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530F" w:rsidRDefault="0092530F" w:rsidP="00F00DCE">
      <w:pPr>
        <w:pStyle w:val="DecHTitle"/>
        <w:keepNext w:val="0"/>
        <w:keepLines w:val="0"/>
      </w:pPr>
      <w:bookmarkStart w:id="0" w:name="_GoBack"/>
      <w:bookmarkEnd w:id="0"/>
      <w:r>
        <w:t>CURTEA EUROPEANĂ A DREPTURILOR OMULUI</w:t>
      </w:r>
    </w:p>
    <w:p w:rsidR="0098410D" w:rsidRPr="00F00DCE" w:rsidRDefault="00074B99" w:rsidP="00F00DCE">
      <w:pPr>
        <w:pStyle w:val="DecHTitle"/>
        <w:keepNext w:val="0"/>
        <w:keepLines w:val="0"/>
      </w:pPr>
      <w:r>
        <w:t>SECȚIA A PATRA</w:t>
      </w:r>
    </w:p>
    <w:p w:rsidR="008E6217" w:rsidRPr="00F00DCE" w:rsidRDefault="00074B99" w:rsidP="00F00DCE">
      <w:pPr>
        <w:pStyle w:val="JuTitle"/>
        <w:keepNext w:val="0"/>
        <w:keepLines w:val="0"/>
      </w:pPr>
      <w:r>
        <w:rPr>
          <w:color w:val="000000" w:themeColor="text1"/>
        </w:rPr>
        <w:t xml:space="preserve">CAUZA </w:t>
      </w:r>
      <w:r>
        <w:t>M.Ș.D. ÎMPOTRIVA ROMÂNIEI</w:t>
      </w:r>
    </w:p>
    <w:p w:rsidR="00D74888" w:rsidRPr="00F00DCE" w:rsidRDefault="00074B99" w:rsidP="00F00DCE">
      <w:pPr>
        <w:pStyle w:val="ECHRCoverTitle4"/>
        <w:keepNext w:val="0"/>
        <w:keepLines w:val="0"/>
      </w:pPr>
      <w:r>
        <w:t>(Cererea nr. 28935/21)</w:t>
      </w:r>
    </w:p>
    <w:p w:rsidR="0098410D" w:rsidRPr="00F00DCE" w:rsidRDefault="0098410D" w:rsidP="00F00DCE">
      <w:pPr>
        <w:pStyle w:val="DecHCase"/>
        <w:keepNext w:val="0"/>
        <w:keepLines w:val="0"/>
      </w:pPr>
    </w:p>
    <w:p w:rsidR="0098410D" w:rsidRPr="00F00DCE" w:rsidRDefault="0098410D" w:rsidP="00F00DCE">
      <w:pPr>
        <w:pStyle w:val="DecHCase"/>
        <w:keepNext w:val="0"/>
        <w:keepLines w:val="0"/>
      </w:pPr>
    </w:p>
    <w:p w:rsidR="00B2561B" w:rsidRPr="00F00DCE" w:rsidRDefault="00B2561B" w:rsidP="00F00DCE">
      <w:pPr>
        <w:pStyle w:val="DecHCase"/>
        <w:keepNext w:val="0"/>
        <w:keepLines w:val="0"/>
      </w:pPr>
    </w:p>
    <w:p w:rsidR="00B2561B" w:rsidRPr="00F00DCE" w:rsidRDefault="00B2561B" w:rsidP="00F00DCE">
      <w:pPr>
        <w:pStyle w:val="DecHCase"/>
        <w:keepNext w:val="0"/>
        <w:keepLines w:val="0"/>
      </w:pPr>
    </w:p>
    <w:p w:rsidR="0098410D" w:rsidRPr="00F00DCE" w:rsidRDefault="00074B99" w:rsidP="00F00DCE">
      <w:pPr>
        <w:pStyle w:val="DecHCase"/>
        <w:keepNext w:val="0"/>
        <w:keepLines w:val="0"/>
      </w:pPr>
      <w:r>
        <w:t>HOTĂRÂRE</w:t>
      </w:r>
    </w:p>
    <w:p w:rsidR="00B2561B" w:rsidRPr="00F00DCE" w:rsidRDefault="00074B99" w:rsidP="00F00DCE">
      <w:pPr>
        <w:pBdr>
          <w:top w:val="single" w:sz="4" w:space="1" w:color="auto"/>
          <w:left w:val="single" w:sz="4" w:space="4" w:color="auto"/>
          <w:bottom w:val="single" w:sz="4" w:space="1" w:color="auto"/>
          <w:right w:val="single" w:sz="4" w:space="4" w:color="auto"/>
        </w:pBdr>
        <w:jc w:val="both"/>
      </w:pPr>
      <w:r>
        <w:t>Art. 8 • Obligații pozitive • Viața privată • Cadru juridic penal inadecvat, la momentul faptelor, care nu oferea reclamantei protecție împotriva actelor de hărțuire online comise de fostul său partener intim constând în difuzarea publică fără consimțământ de fotografii intime ale acesteia • Lipsa unei anchete penale prompte și complete</w:t>
      </w:r>
    </w:p>
    <w:p w:rsidR="00B2561B" w:rsidRPr="00F00DCE" w:rsidRDefault="00B2561B" w:rsidP="00F00DCE">
      <w:pPr>
        <w:pBdr>
          <w:top w:val="single" w:sz="4" w:space="1" w:color="auto"/>
          <w:left w:val="single" w:sz="4" w:space="4" w:color="auto"/>
          <w:bottom w:val="single" w:sz="4" w:space="1" w:color="auto"/>
          <w:right w:val="single" w:sz="4" w:space="4" w:color="auto"/>
        </w:pBdr>
        <w:jc w:val="center"/>
        <w:rPr>
          <w:sz w:val="20"/>
          <w:szCs w:val="20"/>
        </w:rPr>
      </w:pPr>
    </w:p>
    <w:p w:rsidR="00B2561B" w:rsidRPr="00F00DCE" w:rsidRDefault="00074B99" w:rsidP="00F00DCE">
      <w:pPr>
        <w:pBdr>
          <w:top w:val="single" w:sz="4" w:space="1" w:color="auto"/>
          <w:left w:val="single" w:sz="4" w:space="4" w:color="auto"/>
          <w:bottom w:val="single" w:sz="4" w:space="1" w:color="auto"/>
          <w:right w:val="single" w:sz="4" w:space="4" w:color="auto"/>
        </w:pBdr>
        <w:jc w:val="center"/>
        <w:rPr>
          <w:sz w:val="20"/>
          <w:szCs w:val="20"/>
        </w:rPr>
      </w:pPr>
      <w:r>
        <w:rPr>
          <w:sz w:val="20"/>
        </w:rPr>
        <w:t>Întocmită de Grefă. Nu obligă Curtea.</w:t>
      </w:r>
    </w:p>
    <w:p w:rsidR="00B2561B" w:rsidRPr="00F00DCE" w:rsidRDefault="00B2561B" w:rsidP="00F00DCE">
      <w:pPr>
        <w:pStyle w:val="DecHCase"/>
        <w:keepNext w:val="0"/>
        <w:keepLines w:val="0"/>
      </w:pPr>
    </w:p>
    <w:p w:rsidR="0098410D" w:rsidRPr="00F00DCE" w:rsidRDefault="00074B99" w:rsidP="00F00DCE">
      <w:pPr>
        <w:pStyle w:val="DecHCase"/>
        <w:keepNext w:val="0"/>
        <w:keepLines w:val="0"/>
      </w:pPr>
      <w:r>
        <w:t>STRASBOURG</w:t>
      </w:r>
    </w:p>
    <w:p w:rsidR="0098410D" w:rsidRPr="00F00DCE" w:rsidRDefault="00074B99" w:rsidP="00F00DCE">
      <w:pPr>
        <w:pStyle w:val="DecHCase"/>
        <w:keepNext w:val="0"/>
        <w:keepLines w:val="0"/>
      </w:pPr>
      <w:r>
        <w:rPr>
          <w:rFonts w:ascii="Times New Roman" w:hAnsi="Times New Roman"/>
        </w:rPr>
        <w:t>3 decembrie 2024</w:t>
      </w:r>
    </w:p>
    <w:p w:rsidR="00AC4CD4" w:rsidRPr="00F00DCE" w:rsidRDefault="00AC4CD4" w:rsidP="00F00DCE">
      <w:pPr>
        <w:pStyle w:val="JuPara"/>
      </w:pPr>
    </w:p>
    <w:p w:rsidR="002422B6" w:rsidRPr="00F00DCE" w:rsidRDefault="00074B99" w:rsidP="00F00DCE">
      <w:pPr>
        <w:rPr>
          <w:i/>
          <w:sz w:val="22"/>
        </w:rPr>
      </w:pPr>
      <w:r>
        <w:rPr>
          <w:i/>
          <w:sz w:val="22"/>
        </w:rPr>
        <w:t>Hotărârea devine definitivă în condițiile prevăzute la art. 44 § 2 din Convenție. Poate suferi modificări de formă.</w:t>
      </w:r>
    </w:p>
    <w:p w:rsidR="0098410D" w:rsidRPr="00F00DCE" w:rsidRDefault="0098410D" w:rsidP="00F00DCE">
      <w:pPr>
        <w:sectPr w:rsidR="0098410D" w:rsidRPr="00F00DCE" w:rsidSect="00D66471">
          <w:headerReference w:type="default" r:id="rId8"/>
          <w:footerReference w:type="default" r:id="rId9"/>
          <w:headerReference w:type="first" r:id="rId10"/>
          <w:footerReference w:type="first" r:id="rId11"/>
          <w:footnotePr>
            <w:numRestart w:val="eachSect"/>
          </w:footnotePr>
          <w:endnotePr>
            <w:numFmt w:val="decimal"/>
          </w:endnotePr>
          <w:pgSz w:w="11906" w:h="16838" w:code="9"/>
          <w:pgMar w:top="2274" w:right="2274" w:bottom="2274" w:left="2274" w:header="1701" w:footer="720" w:gutter="0"/>
          <w:pgNumType w:start="1"/>
          <w:cols w:space="720"/>
          <w:noEndnote/>
          <w:titlePg/>
        </w:sectPr>
      </w:pPr>
    </w:p>
    <w:p w:rsidR="0098410D" w:rsidRPr="00F00DCE" w:rsidRDefault="00074B99" w:rsidP="00F00DCE">
      <w:pPr>
        <w:pStyle w:val="JuCase"/>
      </w:pPr>
      <w:r>
        <w:lastRenderedPageBreak/>
        <w:t>În cauza M.Ș.D. împotriva României,</w:t>
      </w:r>
    </w:p>
    <w:p w:rsidR="009F4C8F" w:rsidRPr="00F00DCE" w:rsidRDefault="00074B99" w:rsidP="00F00DCE">
      <w:pPr>
        <w:pStyle w:val="JuPara"/>
      </w:pPr>
      <w:r>
        <w:t>Curtea Europeană a Drepturilor Omului (Secția a patra), reunită într-o cameră compusă din:</w:t>
      </w:r>
    </w:p>
    <w:p w:rsidR="00A92625" w:rsidRPr="00F00DCE" w:rsidRDefault="00074B99" w:rsidP="00F00DCE">
      <w:pPr>
        <w:pStyle w:val="JuJudges"/>
      </w:pPr>
      <w:r>
        <w:tab/>
      </w:r>
      <w:proofErr w:type="spellStart"/>
      <w:r>
        <w:t>Lado</w:t>
      </w:r>
      <w:proofErr w:type="spellEnd"/>
      <w:r>
        <w:t xml:space="preserve"> </w:t>
      </w:r>
      <w:proofErr w:type="spellStart"/>
      <w:r>
        <w:t>Chanturia</w:t>
      </w:r>
      <w:proofErr w:type="spellEnd"/>
      <w:r>
        <w:rPr>
          <w:i/>
        </w:rPr>
        <w:t>, președinte</w:t>
      </w:r>
      <w:r>
        <w:t>,</w:t>
      </w:r>
      <w:r>
        <w:br/>
      </w:r>
      <w:r>
        <w:tab/>
      </w:r>
      <w:proofErr w:type="spellStart"/>
      <w:r>
        <w:t>Faris</w:t>
      </w:r>
      <w:proofErr w:type="spellEnd"/>
      <w:r>
        <w:t xml:space="preserve"> </w:t>
      </w:r>
      <w:proofErr w:type="spellStart"/>
      <w:r>
        <w:t>Vehabović</w:t>
      </w:r>
      <w:proofErr w:type="spellEnd"/>
      <w:r>
        <w:t>,</w:t>
      </w:r>
      <w:r>
        <w:br/>
      </w:r>
      <w:r>
        <w:tab/>
        <w:t xml:space="preserve">Tim </w:t>
      </w:r>
      <w:proofErr w:type="spellStart"/>
      <w:r>
        <w:t>Eicke</w:t>
      </w:r>
      <w:proofErr w:type="spellEnd"/>
      <w:r>
        <w:t>,</w:t>
      </w:r>
      <w:r>
        <w:br/>
      </w:r>
      <w:r>
        <w:tab/>
      </w:r>
      <w:proofErr w:type="spellStart"/>
      <w:r>
        <w:t>Jolien</w:t>
      </w:r>
      <w:proofErr w:type="spellEnd"/>
      <w:r>
        <w:t xml:space="preserve"> </w:t>
      </w:r>
      <w:proofErr w:type="spellStart"/>
      <w:r>
        <w:t>Schukking</w:t>
      </w:r>
      <w:proofErr w:type="spellEnd"/>
      <w:r>
        <w:t>,</w:t>
      </w:r>
      <w:r>
        <w:br/>
      </w:r>
      <w:r>
        <w:tab/>
      </w:r>
      <w:proofErr w:type="spellStart"/>
      <w:r>
        <w:t>Lorraine</w:t>
      </w:r>
      <w:proofErr w:type="spellEnd"/>
      <w:r>
        <w:t xml:space="preserve"> </w:t>
      </w:r>
      <w:proofErr w:type="spellStart"/>
      <w:r>
        <w:t>Schembri</w:t>
      </w:r>
      <w:proofErr w:type="spellEnd"/>
      <w:r>
        <w:t xml:space="preserve"> </w:t>
      </w:r>
      <w:proofErr w:type="spellStart"/>
      <w:r>
        <w:t>Orland</w:t>
      </w:r>
      <w:proofErr w:type="spellEnd"/>
      <w:r>
        <w:t>,</w:t>
      </w:r>
      <w:r>
        <w:br/>
      </w:r>
      <w:r>
        <w:tab/>
        <w:t xml:space="preserve">Ana Maria </w:t>
      </w:r>
      <w:proofErr w:type="spellStart"/>
      <w:r>
        <w:t>Guerra</w:t>
      </w:r>
      <w:proofErr w:type="spellEnd"/>
      <w:r>
        <w:t xml:space="preserve"> </w:t>
      </w:r>
      <w:proofErr w:type="spellStart"/>
      <w:r>
        <w:t>Martins</w:t>
      </w:r>
      <w:proofErr w:type="spellEnd"/>
      <w:r>
        <w:t>,</w:t>
      </w:r>
      <w:r>
        <w:br/>
      </w:r>
      <w:r>
        <w:tab/>
        <w:t xml:space="preserve">Sebastian </w:t>
      </w:r>
      <w:proofErr w:type="spellStart"/>
      <w:r>
        <w:t>Răduleţu</w:t>
      </w:r>
      <w:proofErr w:type="spellEnd"/>
      <w:r>
        <w:rPr>
          <w:i/>
        </w:rPr>
        <w:t>, judecători</w:t>
      </w:r>
      <w:r>
        <w:t>,</w:t>
      </w:r>
      <w:r>
        <w:br/>
        <w:t xml:space="preserve">și Simeon Petrovski, </w:t>
      </w:r>
      <w:r>
        <w:rPr>
          <w:i/>
          <w:iCs/>
        </w:rPr>
        <w:t>grefier adjunct de secție</w:t>
      </w:r>
      <w:r>
        <w:rPr>
          <w:i/>
        </w:rPr>
        <w:t>,</w:t>
      </w:r>
    </w:p>
    <w:p w:rsidR="0021702B" w:rsidRPr="00F00DCE" w:rsidRDefault="00074B99" w:rsidP="00F00DCE">
      <w:pPr>
        <w:pStyle w:val="JuPara"/>
      </w:pPr>
      <w:r>
        <w:t>Având în vedere:</w:t>
      </w:r>
    </w:p>
    <w:p w:rsidR="0021702B" w:rsidRPr="00F00DCE" w:rsidRDefault="00074B99" w:rsidP="00F00DCE">
      <w:pPr>
        <w:pStyle w:val="JuPara"/>
      </w:pPr>
      <w:r>
        <w:t xml:space="preserve">cererea (nr. 28935/21) îndreptată împotriva României, prin care un resortisant al acestui stat, doamna M.Ș.D. („reclamanta”), a sesizat Curtea, la 26 mai 2021, în temeiul art. 34 din Convenția pentru apărarea drepturilor omului și a libertăților fundamentale („Convenția”); </w:t>
      </w:r>
    </w:p>
    <w:p w:rsidR="0021702B" w:rsidRPr="00F00DCE" w:rsidRDefault="00074B99" w:rsidP="00F00DCE">
      <w:pPr>
        <w:pStyle w:val="JuPara"/>
      </w:pPr>
      <w:r>
        <w:t>decizia de a comunica cererea Guvernului României („Guvernul”);</w:t>
      </w:r>
    </w:p>
    <w:p w:rsidR="0021702B" w:rsidRPr="00F00DCE" w:rsidRDefault="00074B99" w:rsidP="00F00DCE">
      <w:pPr>
        <w:pStyle w:val="JuPara"/>
      </w:pPr>
      <w:r>
        <w:t>decizia de a nu divulga numele reclamantei;</w:t>
      </w:r>
    </w:p>
    <w:p w:rsidR="0021702B" w:rsidRPr="00F00DCE" w:rsidRDefault="00074B99" w:rsidP="00F00DCE">
      <w:pPr>
        <w:pStyle w:val="JuPara"/>
      </w:pPr>
      <w:r>
        <w:t>observațiile prezentate de guvernul pârât și cele prezentate ca răspuns de reclamantă;</w:t>
      </w:r>
    </w:p>
    <w:p w:rsidR="0021702B" w:rsidRPr="00F00DCE" w:rsidRDefault="00074B99" w:rsidP="00F00DCE">
      <w:pPr>
        <w:pStyle w:val="JuPara"/>
      </w:pPr>
      <w:r>
        <w:t>comentariile formulate de Centrul pentru Consiliere pentru Drepturile Persoanei în Europa (Centrul AIRE), a cărui cerere de intervenție a fost admisă de președintele secției;</w:t>
      </w:r>
    </w:p>
    <w:p w:rsidR="009F4C8F" w:rsidRPr="00F00DCE" w:rsidRDefault="00074B99" w:rsidP="00F00DCE">
      <w:pPr>
        <w:pStyle w:val="JuPara"/>
      </w:pPr>
      <w:r>
        <w:t>după ce a deliberat în camera de consiliu, la 12 noiembrie 2024,</w:t>
      </w:r>
    </w:p>
    <w:p w:rsidR="009F4C8F" w:rsidRPr="00F00DCE" w:rsidRDefault="00074B99" w:rsidP="00F00DCE">
      <w:pPr>
        <w:pStyle w:val="JuPara"/>
      </w:pPr>
      <w:r>
        <w:t>pronunță prezenta hotărâre, adoptată la aceeași dată:</w:t>
      </w:r>
    </w:p>
    <w:p w:rsidR="0021702B" w:rsidRPr="00F00DCE" w:rsidRDefault="00074B99" w:rsidP="00F00DCE">
      <w:pPr>
        <w:pStyle w:val="JuHHead"/>
        <w:numPr>
          <w:ilvl w:val="0"/>
          <w:numId w:val="0"/>
        </w:numPr>
      </w:pPr>
      <w:r>
        <w:t>INTRODUCERE</w:t>
      </w:r>
    </w:p>
    <w:p w:rsidR="0021702B" w:rsidRPr="00F00DCE" w:rsidRDefault="0094597A" w:rsidP="00F00DCE">
      <w:pPr>
        <w:pStyle w:val="JuPara"/>
      </w:pPr>
      <w:r>
        <w:fldChar w:fldCharType="begin"/>
      </w:r>
      <w:r>
        <w:instrText xml:space="preserve"> SEQ level0 \*arabic \* MERGEFORMAT </w:instrText>
      </w:r>
      <w:r>
        <w:fldChar w:fldCharType="separate"/>
      </w:r>
      <w:r>
        <w:rPr>
          <w:noProof/>
        </w:rPr>
        <w:t>1</w:t>
      </w:r>
      <w:r>
        <w:rPr>
          <w:noProof/>
        </w:rPr>
        <w:fldChar w:fldCharType="end"/>
      </w:r>
      <w:r w:rsidR="00074B99">
        <w:t>.</w:t>
      </w:r>
      <w:r w:rsidR="00B3763A">
        <w:t xml:space="preserve"> </w:t>
      </w:r>
      <w:r w:rsidR="00074B99">
        <w:t>Cauza privește răspunsul autorităților naționale la plângerea reclamantei privind pretinse acte de hărțuire online comise de fostul său partener intim din motive de răzbunare constând în difuzarea publică fără consimțământ de fotografii intime ale acesteia. Reclamanta își întemeiază cererea pe art. 6, 8 și 14 din Convenție.</w:t>
      </w:r>
    </w:p>
    <w:p w:rsidR="0021702B" w:rsidRPr="00F00DCE" w:rsidRDefault="00074B99" w:rsidP="00F00DCE">
      <w:pPr>
        <w:pStyle w:val="JuHHead"/>
      </w:pPr>
      <w:r>
        <w:t>ÎN FAPT</w:t>
      </w:r>
    </w:p>
    <w:p w:rsidR="0021702B" w:rsidRPr="00F00DCE" w:rsidRDefault="0094597A" w:rsidP="00F00DCE">
      <w:pPr>
        <w:pStyle w:val="JuPara"/>
      </w:pPr>
      <w:r>
        <w:fldChar w:fldCharType="begin"/>
      </w:r>
      <w:r>
        <w:instrText xml:space="preserve"> SEQ level0 \*arabic </w:instrText>
      </w:r>
      <w:r>
        <w:fldChar w:fldCharType="separate"/>
      </w:r>
      <w:r>
        <w:rPr>
          <w:noProof/>
        </w:rPr>
        <w:t>2</w:t>
      </w:r>
      <w:r>
        <w:rPr>
          <w:noProof/>
        </w:rPr>
        <w:fldChar w:fldCharType="end"/>
      </w:r>
      <w:r w:rsidR="00074B99">
        <w:t>.</w:t>
      </w:r>
      <w:r w:rsidR="00B3763A">
        <w:t xml:space="preserve"> </w:t>
      </w:r>
      <w:r w:rsidR="00074B99">
        <w:t xml:space="preserve">Reclamanta s-a născut în 1997 și locuiește în Craiova. A fost reprezentată de doamna T.C. </w:t>
      </w:r>
      <w:proofErr w:type="spellStart"/>
      <w:r w:rsidR="00074B99">
        <w:t>Godîncă</w:t>
      </w:r>
      <w:proofErr w:type="spellEnd"/>
      <w:r w:rsidR="00074B99">
        <w:t>-Herlea, avocat în Cluj-Napoca.</w:t>
      </w:r>
    </w:p>
    <w:p w:rsidR="0021702B" w:rsidRPr="00F00DCE" w:rsidRDefault="0094597A" w:rsidP="00F00DCE">
      <w:pPr>
        <w:pStyle w:val="JuPara"/>
      </w:pPr>
      <w:r>
        <w:fldChar w:fldCharType="begin"/>
      </w:r>
      <w:r>
        <w:instrText xml:space="preserve"> SEQ level0 \*arabic </w:instrText>
      </w:r>
      <w:r>
        <w:fldChar w:fldCharType="separate"/>
      </w:r>
      <w:r>
        <w:rPr>
          <w:noProof/>
        </w:rPr>
        <w:t>3</w:t>
      </w:r>
      <w:r>
        <w:rPr>
          <w:noProof/>
        </w:rPr>
        <w:fldChar w:fldCharType="end"/>
      </w:r>
      <w:r w:rsidR="00074B99">
        <w:t>.</w:t>
      </w:r>
      <w:r w:rsidR="00B3763A">
        <w:t xml:space="preserve"> </w:t>
      </w:r>
      <w:r w:rsidR="00074B99">
        <w:t xml:space="preserve">Guvernul a fost reprezentat de agentul guvernamental, doamna O.F. </w:t>
      </w:r>
      <w:proofErr w:type="spellStart"/>
      <w:r w:rsidR="00074B99">
        <w:t>Ezer</w:t>
      </w:r>
      <w:proofErr w:type="spellEnd"/>
      <w:r w:rsidR="00074B99">
        <w:t>, din cadrul Ministerului Afacerilor Externe.</w:t>
      </w:r>
    </w:p>
    <w:p w:rsidR="0021702B" w:rsidRPr="00F00DCE" w:rsidRDefault="0094597A" w:rsidP="00F00DCE">
      <w:pPr>
        <w:pStyle w:val="JuPara"/>
        <w:spacing w:after="240"/>
      </w:pPr>
      <w:r>
        <w:fldChar w:fldCharType="begin"/>
      </w:r>
      <w:r>
        <w:instrText xml:space="preserve"> SEQ level0 \*arabic </w:instrText>
      </w:r>
      <w:r>
        <w:fldChar w:fldCharType="separate"/>
      </w:r>
      <w:r>
        <w:rPr>
          <w:noProof/>
        </w:rPr>
        <w:t>4</w:t>
      </w:r>
      <w:r>
        <w:rPr>
          <w:noProof/>
        </w:rPr>
        <w:fldChar w:fldCharType="end"/>
      </w:r>
      <w:r w:rsidR="00074B99">
        <w:t>.</w:t>
      </w:r>
      <w:r w:rsidR="00B3763A">
        <w:t xml:space="preserve"> </w:t>
      </w:r>
      <w:r w:rsidR="00074B99">
        <w:t>Faptele cauzei se pot rezuma după cum urmează.</w:t>
      </w:r>
    </w:p>
    <w:p w:rsidR="0021702B" w:rsidRPr="00F00DCE" w:rsidRDefault="00074B99" w:rsidP="00F00DCE">
      <w:pPr>
        <w:pStyle w:val="JuHIRoman"/>
        <w:numPr>
          <w:ilvl w:val="1"/>
          <w:numId w:val="23"/>
        </w:numPr>
        <w:ind w:left="0" w:firstLine="0"/>
      </w:pPr>
      <w:r>
        <w:lastRenderedPageBreak/>
        <w:t>CIRCUMSTANȚELE CAUZEI</w:t>
      </w:r>
    </w:p>
    <w:p w:rsidR="0021702B" w:rsidRPr="00F00DCE" w:rsidRDefault="00074B99" w:rsidP="00F00DCE">
      <w:pPr>
        <w:pStyle w:val="JuHA"/>
      </w:pPr>
      <w:r>
        <w:t>Istoricul cauzei</w:t>
      </w:r>
    </w:p>
    <w:p w:rsidR="0021702B" w:rsidRPr="00F00DCE" w:rsidRDefault="0094597A" w:rsidP="00F00DCE">
      <w:pPr>
        <w:pStyle w:val="JuPara"/>
      </w:pPr>
      <w:r>
        <w:fldChar w:fldCharType="begin"/>
      </w:r>
      <w:r>
        <w:instrText xml:space="preserve"> SEQ level0 \*arabic \* MERGEFORMAT </w:instrText>
      </w:r>
      <w:r>
        <w:fldChar w:fldCharType="separate"/>
      </w:r>
      <w:r>
        <w:rPr>
          <w:noProof/>
        </w:rPr>
        <w:t>5</w:t>
      </w:r>
      <w:r>
        <w:rPr>
          <w:noProof/>
        </w:rPr>
        <w:fldChar w:fldCharType="end"/>
      </w:r>
      <w:r w:rsidR="00074B99">
        <w:t>.</w:t>
      </w:r>
      <w:r w:rsidR="00B3763A">
        <w:t xml:space="preserve"> </w:t>
      </w:r>
      <w:r w:rsidR="00074B99">
        <w:t>În vara anului 2016, reclamanta, în vârstă de 18 ani la acel moment, l-a întâlnit pe V.C.A., în vârstă de 20 ani, pe platforma de socializare Facebook. Reclamanta fusese admisă la o universitate și urma să studieze la aceeași facultate ca V.C.A. Au început să facă schimb de mesaje online și de fotografii intime reciproc. Prietenia lor online s-a dezvoltat într-o scurtă relație romantică care s-a încheiat pe la mijlocul lunii octombrie 2016.</w:t>
      </w:r>
    </w:p>
    <w:p w:rsidR="0021702B" w:rsidRPr="00F00DCE" w:rsidRDefault="0094597A" w:rsidP="00F00DCE">
      <w:pPr>
        <w:pStyle w:val="JuPara"/>
      </w:pPr>
      <w:r>
        <w:fldChar w:fldCharType="begin"/>
      </w:r>
      <w:r>
        <w:instrText xml:space="preserve"> SEQ level0 \*arabic \* MERGEFORMAT </w:instrText>
      </w:r>
      <w:r>
        <w:fldChar w:fldCharType="separate"/>
      </w:r>
      <w:bookmarkStart w:id="1" w:name="paragraph00006"/>
      <w:r>
        <w:rPr>
          <w:noProof/>
        </w:rPr>
        <w:t>6</w:t>
      </w:r>
      <w:bookmarkEnd w:id="1"/>
      <w:r>
        <w:rPr>
          <w:noProof/>
        </w:rPr>
        <w:fldChar w:fldCharType="end"/>
      </w:r>
      <w:r w:rsidR="00074B99">
        <w:t>.</w:t>
      </w:r>
      <w:r w:rsidR="00B3763A">
        <w:t xml:space="preserve"> </w:t>
      </w:r>
      <w:r w:rsidR="00074B99">
        <w:t>Aproape în același timp când s-a sfârșit relația lor, V.C.A. a avut o altercație cu unul dintre prietenii reclamantei pentru că V.C.A devenise gelos pe acesta. După incident, la 21 octombrie 2016, V.C.A. a creat mai multe conturi false de Facebook folosind identitățile unora dintre prietenii reclamantei în vederea diseminării fotografiilor ei intime.</w:t>
      </w:r>
    </w:p>
    <w:p w:rsidR="0021702B" w:rsidRPr="00F00DCE" w:rsidRDefault="0094597A" w:rsidP="00F00DCE">
      <w:pPr>
        <w:pStyle w:val="JuPara"/>
      </w:pPr>
      <w:r>
        <w:fldChar w:fldCharType="begin"/>
      </w:r>
      <w:r>
        <w:instrText xml:space="preserve"> SEQ level0 \*arabic \* MERGEFORMAT </w:instrText>
      </w:r>
      <w:r>
        <w:fldChar w:fldCharType="separate"/>
      </w:r>
      <w:bookmarkStart w:id="2" w:name="paragraph00007"/>
      <w:r>
        <w:rPr>
          <w:noProof/>
        </w:rPr>
        <w:t>7</w:t>
      </w:r>
      <w:bookmarkEnd w:id="2"/>
      <w:r>
        <w:rPr>
          <w:noProof/>
        </w:rPr>
        <w:fldChar w:fldCharType="end"/>
      </w:r>
      <w:r w:rsidR="00074B99">
        <w:t>.</w:t>
      </w:r>
      <w:r w:rsidR="00B3763A">
        <w:t xml:space="preserve"> </w:t>
      </w:r>
      <w:r w:rsidR="00074B99">
        <w:t>La aceeași dată, V.C.A. a trimis fotografiile intime ale reclamantei către fratele, unchiul și câțiva dintre prietenii apropiați ai fratelui acesteia. Reclamanta a încercat să-l facă pe V.C.A. să înceteze, dar acesta, în replică, a pus aceleași fotografii intime, numele ei și numărul de telefon, pe mai multe site-uri cu reclame la servicii de escortă. Curând după aceea, a contactat-o și a informat-o că nu intenționa să se oprească.</w:t>
      </w:r>
    </w:p>
    <w:p w:rsidR="0021702B" w:rsidRPr="00F00DCE" w:rsidRDefault="0094597A" w:rsidP="00F00DCE">
      <w:pPr>
        <w:pStyle w:val="JuPara"/>
      </w:pPr>
      <w:r>
        <w:fldChar w:fldCharType="begin"/>
      </w:r>
      <w:r>
        <w:instrText xml:space="preserve"> SEQ level0 \*arabic \* MERGEFORMAT </w:instrText>
      </w:r>
      <w:r>
        <w:fldChar w:fldCharType="separate"/>
      </w:r>
      <w:r>
        <w:rPr>
          <w:noProof/>
        </w:rPr>
        <w:t>8</w:t>
      </w:r>
      <w:r>
        <w:rPr>
          <w:noProof/>
        </w:rPr>
        <w:fldChar w:fldCharType="end"/>
      </w:r>
      <w:r w:rsidR="00074B99">
        <w:t>.</w:t>
      </w:r>
      <w:r w:rsidR="00B3763A">
        <w:t xml:space="preserve"> </w:t>
      </w:r>
      <w:r w:rsidR="00074B99">
        <w:t>În urma postărilor lui V.C.A. pe site-urile serviciilor de escortă, reclamanta a primit numeroase apeluri telefonice de la persoane necunoscute care solicitau servicii sexuale.</w:t>
      </w:r>
    </w:p>
    <w:p w:rsidR="0021702B" w:rsidRPr="00F00DCE" w:rsidRDefault="0094597A" w:rsidP="00F00DCE">
      <w:pPr>
        <w:pStyle w:val="JuPara"/>
      </w:pPr>
      <w:r>
        <w:fldChar w:fldCharType="begin"/>
      </w:r>
      <w:r>
        <w:instrText xml:space="preserve"> SEQ level0 </w:instrText>
      </w:r>
      <w:r>
        <w:instrText xml:space="preserve">\*arabic \* MERGEFORMAT </w:instrText>
      </w:r>
      <w:r>
        <w:fldChar w:fldCharType="separate"/>
      </w:r>
      <w:bookmarkStart w:id="3" w:name="paragraph00009"/>
      <w:r>
        <w:rPr>
          <w:noProof/>
        </w:rPr>
        <w:t>9</w:t>
      </w:r>
      <w:bookmarkEnd w:id="3"/>
      <w:r>
        <w:rPr>
          <w:noProof/>
        </w:rPr>
        <w:fldChar w:fldCharType="end"/>
      </w:r>
      <w:r w:rsidR="00074B99">
        <w:t>.</w:t>
      </w:r>
      <w:r w:rsidR="00B3763A">
        <w:t xml:space="preserve"> </w:t>
      </w:r>
      <w:r w:rsidR="00074B99">
        <w:t>Conform reclamantei, V.C.A. se purtase agresiv atât fizic, cât și verbal după despărțire. Astfel, în octombrie a împins-o pe reclamantă, iar în noiembrie a amenințat-o la telefon și i-a spus că speră că ea se va sinucide.</w:t>
      </w:r>
    </w:p>
    <w:p w:rsidR="0021702B" w:rsidRPr="00F00DCE" w:rsidRDefault="0094597A" w:rsidP="00F00DCE">
      <w:pPr>
        <w:pStyle w:val="JuPara"/>
      </w:pPr>
      <w:r>
        <w:fldChar w:fldCharType="begin"/>
      </w:r>
      <w:r>
        <w:instrText xml:space="preserve"> SEQ</w:instrText>
      </w:r>
      <w:r>
        <w:instrText xml:space="preserve"> level0 \*arabic \* MERGEFORMAT </w:instrText>
      </w:r>
      <w:r>
        <w:fldChar w:fldCharType="separate"/>
      </w:r>
      <w:bookmarkStart w:id="4" w:name="paragraph00010"/>
      <w:r>
        <w:rPr>
          <w:noProof/>
        </w:rPr>
        <w:t>10</w:t>
      </w:r>
      <w:bookmarkEnd w:id="4"/>
      <w:r>
        <w:rPr>
          <w:noProof/>
        </w:rPr>
        <w:fldChar w:fldCharType="end"/>
      </w:r>
      <w:r w:rsidR="00074B99">
        <w:t>.</w:t>
      </w:r>
      <w:r w:rsidR="00B3763A">
        <w:t xml:space="preserve"> </w:t>
      </w:r>
      <w:r w:rsidR="00074B99">
        <w:t>Reclamanta a susținut că V.C.A. i-a scris și fratelui ei la 21 octombrie 2016 că prietenii lui au să răspândească fotografiile intime imprimate ale reclamantei în universitatea la care studiau V.C.A și reclamanta. V.C.A. a continuat să pună fotografii intime ale acesteia pe site-uri cu reclame la servicii de escortă până la 21 noiembrie 2016 și, în cele din urmă, a încetat la sfârșitul lunii noiembrie 2016.</w:t>
      </w:r>
    </w:p>
    <w:p w:rsidR="0021702B" w:rsidRPr="00F00DCE" w:rsidRDefault="00074B99" w:rsidP="00F00DCE">
      <w:pPr>
        <w:pStyle w:val="JuHA"/>
      </w:pPr>
      <w:r>
        <w:t>Urmărirea penală</w:t>
      </w:r>
    </w:p>
    <w:p w:rsidR="0021702B" w:rsidRPr="00F00DCE" w:rsidRDefault="00074B99" w:rsidP="00F00DCE">
      <w:pPr>
        <w:pStyle w:val="JuH1"/>
      </w:pPr>
      <w:r>
        <w:t>Plângerea penală depusă de reclamantă</w:t>
      </w:r>
    </w:p>
    <w:p w:rsidR="0021702B" w:rsidRPr="00F00DCE" w:rsidRDefault="0094597A" w:rsidP="00F00DCE">
      <w:pPr>
        <w:pStyle w:val="JuPara"/>
      </w:pPr>
      <w:r>
        <w:fldChar w:fldCharType="begin"/>
      </w:r>
      <w:r>
        <w:instrText xml:space="preserve"> SEQ level0 \*arabic \* MERGEFORMAT </w:instrText>
      </w:r>
      <w:r>
        <w:fldChar w:fldCharType="separate"/>
      </w:r>
      <w:bookmarkStart w:id="5" w:name="paragraph00011"/>
      <w:r>
        <w:rPr>
          <w:noProof/>
        </w:rPr>
        <w:t>11</w:t>
      </w:r>
      <w:bookmarkEnd w:id="5"/>
      <w:r>
        <w:rPr>
          <w:noProof/>
        </w:rPr>
        <w:fldChar w:fldCharType="end"/>
      </w:r>
      <w:r w:rsidR="00074B99">
        <w:t>.</w:t>
      </w:r>
      <w:r w:rsidR="00B3763A">
        <w:t xml:space="preserve"> </w:t>
      </w:r>
      <w:r w:rsidR="00074B99">
        <w:t xml:space="preserve">La 31 octombrie 2016, reclamanta a formulat o plângere penală împotriva lui V.C.A. la Secția 8 Poliție din București, a prezentat autorităților informațiile descrise supra la pct. </w:t>
      </w:r>
      <w:r w:rsidR="00074B99" w:rsidRPr="00F00DCE">
        <w:fldChar w:fldCharType="begin"/>
      </w:r>
      <w:r w:rsidR="00074B99" w:rsidRPr="00F00DCE">
        <w:instrText xml:space="preserve"> REF paragraph00007 \h  \* CharFormat  \* MERGEFORMAT </w:instrText>
      </w:r>
      <w:r w:rsidR="00074B99" w:rsidRPr="00F00DCE">
        <w:fldChar w:fldCharType="separate"/>
      </w:r>
      <w:r>
        <w:t>7</w:t>
      </w:r>
      <w:r w:rsidR="00074B99" w:rsidRPr="00F00DCE">
        <w:fldChar w:fldCharType="end"/>
      </w:r>
      <w:r w:rsidR="00074B99">
        <w:t xml:space="preserve"> și le-a solicitat să ia măsurile legale adecvate împotriva lui. În plus, ea a prezentat </w:t>
      </w:r>
      <w:r w:rsidR="00F04BED">
        <w:t>o unitate flash USB</w:t>
      </w:r>
      <w:r w:rsidR="00F71802">
        <w:t xml:space="preserve"> </w:t>
      </w:r>
      <w:r w:rsidR="00074B99">
        <w:t xml:space="preserve">ce conținea pretinse înregistrări ale conversațiilor pe care le avusese cu V.C.A. și cu mama lui, precum și probe ale apelurilor telefonice descrise </w:t>
      </w:r>
      <w:r w:rsidR="00074B99" w:rsidRPr="00F04BED">
        <w:rPr>
          <w:i/>
        </w:rPr>
        <w:t>supra</w:t>
      </w:r>
      <w:r w:rsidR="00F04BED">
        <w:t>,</w:t>
      </w:r>
      <w:r w:rsidR="00074B99">
        <w:t xml:space="preserve"> pct. </w:t>
      </w:r>
      <w:r w:rsidR="00074B99" w:rsidRPr="00F00DCE">
        <w:fldChar w:fldCharType="begin"/>
      </w:r>
      <w:r w:rsidR="00074B99" w:rsidRPr="00F00DCE">
        <w:instrText xml:space="preserve"> REF paragraph00009 \h  \* CharFormat  \* MERGEFORMAT </w:instrText>
      </w:r>
      <w:r w:rsidR="00074B99" w:rsidRPr="00F00DCE">
        <w:fldChar w:fldCharType="separate"/>
      </w:r>
      <w:r>
        <w:t>9</w:t>
      </w:r>
      <w:r w:rsidR="00074B99" w:rsidRPr="00F00DCE">
        <w:fldChar w:fldCharType="end"/>
      </w:r>
      <w:r w:rsidR="00074B99">
        <w:t>.</w:t>
      </w:r>
    </w:p>
    <w:p w:rsidR="0021702B" w:rsidRPr="00F00DCE" w:rsidRDefault="0094597A" w:rsidP="00F00DCE">
      <w:pPr>
        <w:pStyle w:val="JuPara"/>
      </w:pPr>
      <w:r>
        <w:lastRenderedPageBreak/>
        <w:fldChar w:fldCharType="begin"/>
      </w:r>
      <w:r>
        <w:instrText xml:space="preserve"> SEQ level0 \*arabic \* MERGEFORMAT </w:instrText>
      </w:r>
      <w:r>
        <w:fldChar w:fldCharType="separate"/>
      </w:r>
      <w:bookmarkStart w:id="6" w:name="paragraph00012"/>
      <w:r>
        <w:rPr>
          <w:noProof/>
        </w:rPr>
        <w:t>12</w:t>
      </w:r>
      <w:bookmarkEnd w:id="6"/>
      <w:r>
        <w:rPr>
          <w:noProof/>
        </w:rPr>
        <w:fldChar w:fldCharType="end"/>
      </w:r>
      <w:r w:rsidR="00074B99">
        <w:t>.</w:t>
      </w:r>
      <w:r w:rsidR="00B3763A">
        <w:t xml:space="preserve"> </w:t>
      </w:r>
      <w:r w:rsidR="00074B99">
        <w:tab/>
        <w:t xml:space="preserve">La 29 noiembrie 2016, reclamanta și-a suplimentat plângerea penală și a prezentat autorităților informațiile descrise </w:t>
      </w:r>
      <w:r w:rsidR="00074B99" w:rsidRPr="00B07380">
        <w:rPr>
          <w:i/>
        </w:rPr>
        <w:t>supra</w:t>
      </w:r>
      <w:r w:rsidR="00B07380">
        <w:rPr>
          <w:i/>
        </w:rPr>
        <w:t>,</w:t>
      </w:r>
      <w:r w:rsidR="00074B99">
        <w:t xml:space="preserve"> pct. </w:t>
      </w:r>
      <w:r w:rsidR="002041F6" w:rsidRPr="00F00DCE">
        <w:fldChar w:fldCharType="begin"/>
      </w:r>
      <w:r w:rsidR="002041F6" w:rsidRPr="00F00DCE">
        <w:instrText xml:space="preserve"> REF paragraph00009 \h  \* CharFormat </w:instrText>
      </w:r>
      <w:r w:rsidR="002041F6" w:rsidRPr="00F00DCE">
        <w:fldChar w:fldCharType="separate"/>
      </w:r>
      <w:r>
        <w:t>9</w:t>
      </w:r>
      <w:r w:rsidR="002041F6" w:rsidRPr="00F00DCE">
        <w:fldChar w:fldCharType="end"/>
      </w:r>
      <w:r w:rsidR="00074B99">
        <w:t>.</w:t>
      </w:r>
    </w:p>
    <w:p w:rsidR="0021702B" w:rsidRPr="00F00DCE" w:rsidRDefault="00074B99" w:rsidP="00F00DCE">
      <w:pPr>
        <w:pStyle w:val="JuH1"/>
      </w:pPr>
      <w:r>
        <w:t>Ancheta efectuată de Secția 8 Poliție București</w:t>
      </w:r>
    </w:p>
    <w:p w:rsidR="0021702B" w:rsidRPr="00F00DCE" w:rsidRDefault="0094597A" w:rsidP="00F00DCE">
      <w:pPr>
        <w:pStyle w:val="JuPara"/>
      </w:pPr>
      <w:r>
        <w:fldChar w:fldCharType="begin"/>
      </w:r>
      <w:r>
        <w:instrText xml:space="preserve"> SEQ level0 \*arabic \* MERGEFORMAT </w:instrText>
      </w:r>
      <w:r>
        <w:fldChar w:fldCharType="separate"/>
      </w:r>
      <w:bookmarkStart w:id="7" w:name="paragraph00015"/>
      <w:r>
        <w:rPr>
          <w:noProof/>
        </w:rPr>
        <w:t>13</w:t>
      </w:r>
      <w:bookmarkEnd w:id="7"/>
      <w:r>
        <w:rPr>
          <w:noProof/>
        </w:rPr>
        <w:fldChar w:fldCharType="end"/>
      </w:r>
      <w:r w:rsidR="00074B99">
        <w:t>.</w:t>
      </w:r>
      <w:r w:rsidR="00B3763A">
        <w:t xml:space="preserve"> </w:t>
      </w:r>
      <w:r w:rsidR="00074B99">
        <w:t>Rapoartele oficiale au indicat că, între 25 decembrie 2016 și 10 august 2018, un lucrător de poliție din cadrul Secției 8 Poliție București – și anume, I.T.A. – a încercat să o contacteze pe reclamantă în mod repetat, de cele mai multe ori telefonic, pentru a o invita la Secția 8 Poliție București să dea o declarație cu privire la caz. Încercările sale de a o contacta pe reclamantă au rămas în mare parte fără succes, deoarece aceasta nu a fost receptivă. Totuși, potrivit celor două rapoarte elaborate de Secția 8 Poliție București la 9 mai și 10 august 2018, reclamanta s-a prezentat la secție și a declarat că se va înapoia la altă dată pentru a da declarația. La 9 mai 2018, aceasta a declarat, de asemenea, că avea cunoștință de faptul că V.C.A. fusese anchetat de către poliție în 2015 pentru posesie de droguri și că a fost condamnat la prestarea de muncă neremunerată în folosul comunității, iar ea nu avea nicio intenție să îi producă vreun rău.</w:t>
      </w:r>
    </w:p>
    <w:p w:rsidR="0021702B" w:rsidRPr="00F00DCE" w:rsidRDefault="0094597A" w:rsidP="00F00DCE">
      <w:pPr>
        <w:pStyle w:val="JuPara"/>
      </w:pPr>
      <w:r>
        <w:fldChar w:fldCharType="begin"/>
      </w:r>
      <w:r>
        <w:instrText xml:space="preserve"> SEQ level0 \*arabic \* MERGEFORMAT </w:instrText>
      </w:r>
      <w:r>
        <w:fldChar w:fldCharType="separate"/>
      </w:r>
      <w:bookmarkStart w:id="8" w:name="paragraph00014"/>
      <w:r>
        <w:rPr>
          <w:noProof/>
        </w:rPr>
        <w:t>14</w:t>
      </w:r>
      <w:bookmarkEnd w:id="8"/>
      <w:r>
        <w:rPr>
          <w:noProof/>
        </w:rPr>
        <w:fldChar w:fldCharType="end"/>
      </w:r>
      <w:r w:rsidR="00074B99">
        <w:t>.</w:t>
      </w:r>
      <w:r w:rsidR="00B3763A">
        <w:t xml:space="preserve"> </w:t>
      </w:r>
      <w:r w:rsidR="00074B99">
        <w:t xml:space="preserve">La 4 mai 2017, Secția 8 Poliție București a început o cercetare penală </w:t>
      </w:r>
      <w:r w:rsidR="00074B99">
        <w:rPr>
          <w:i/>
        </w:rPr>
        <w:t>in rem</w:t>
      </w:r>
      <w:r w:rsidR="00074B99">
        <w:t xml:space="preserve"> (cu privire la faptă, fără a avea un suspect) pentru infracțiunile de amenințare și violarea vieții private prevăzute la art. 206 alin. (1) și, respectiv, art. 226 alin. (2) C. </w:t>
      </w:r>
      <w:proofErr w:type="spellStart"/>
      <w:r w:rsidR="00074B99">
        <w:t>pen</w:t>
      </w:r>
      <w:proofErr w:type="spellEnd"/>
      <w:r w:rsidR="00074B99">
        <w:t>.</w:t>
      </w:r>
    </w:p>
    <w:p w:rsidR="0021702B" w:rsidRPr="00F00DCE" w:rsidRDefault="0094597A" w:rsidP="00F00DCE">
      <w:pPr>
        <w:pStyle w:val="JuPara"/>
      </w:pPr>
      <w:r>
        <w:fldChar w:fldCharType="begin"/>
      </w:r>
      <w:r>
        <w:instrText xml:space="preserve"> SEQ level0 \*arabic \* MERGEFORMAT </w:instrText>
      </w:r>
      <w:r>
        <w:fldChar w:fldCharType="separate"/>
      </w:r>
      <w:bookmarkStart w:id="9" w:name="paragraph00016"/>
      <w:r>
        <w:rPr>
          <w:noProof/>
        </w:rPr>
        <w:t>15</w:t>
      </w:r>
      <w:bookmarkEnd w:id="9"/>
      <w:r>
        <w:rPr>
          <w:noProof/>
        </w:rPr>
        <w:fldChar w:fldCharType="end"/>
      </w:r>
      <w:r w:rsidR="00074B99">
        <w:t>.</w:t>
      </w:r>
      <w:r w:rsidR="00B3763A">
        <w:t xml:space="preserve"> </w:t>
      </w:r>
      <w:r w:rsidR="00074B99">
        <w:t>La 22 august 2018, atât reclamanta, cât și V.C.A. s-au prezentat la secția de poliție pentru a da declarații în cauză.</w:t>
      </w:r>
    </w:p>
    <w:p w:rsidR="0021702B" w:rsidRPr="00F00DCE" w:rsidRDefault="0094597A" w:rsidP="00F00DCE">
      <w:pPr>
        <w:pStyle w:val="JuPara"/>
      </w:pPr>
      <w:r>
        <w:fldChar w:fldCharType="begin"/>
      </w:r>
      <w:r>
        <w:instrText xml:space="preserve"> SEQ level0 \*arabic \* MERGEFORMAT </w:instrText>
      </w:r>
      <w:r>
        <w:fldChar w:fldCharType="separate"/>
      </w:r>
      <w:bookmarkStart w:id="10" w:name="paragraph00017"/>
      <w:r>
        <w:rPr>
          <w:noProof/>
        </w:rPr>
        <w:t>16</w:t>
      </w:r>
      <w:bookmarkEnd w:id="10"/>
      <w:r>
        <w:rPr>
          <w:noProof/>
        </w:rPr>
        <w:fldChar w:fldCharType="end"/>
      </w:r>
      <w:r w:rsidR="00074B99">
        <w:t>.</w:t>
      </w:r>
      <w:r w:rsidR="00B3763A">
        <w:t xml:space="preserve"> </w:t>
      </w:r>
      <w:r w:rsidR="00074B99">
        <w:t>În declarația sa,</w:t>
      </w:r>
      <w:r w:rsidR="00074B99">
        <w:rPr>
          <w:color w:val="FF0000"/>
        </w:rPr>
        <w:t xml:space="preserve"> </w:t>
      </w:r>
      <w:r w:rsidR="00074B99">
        <w:t>pe lângă reiterarea în esență a informațiilor care au fost incluse în plângerea formulată inițial (</w:t>
      </w:r>
      <w:r w:rsidR="00074B99">
        <w:rPr>
          <w:i/>
          <w:iCs/>
        </w:rPr>
        <w:t>supra</w:t>
      </w:r>
      <w:r w:rsidR="00074B99">
        <w:t xml:space="preserve">, pct. </w:t>
      </w:r>
      <w:r w:rsidR="00074B99" w:rsidRPr="00F00DCE">
        <w:fldChar w:fldCharType="begin"/>
      </w:r>
      <w:r w:rsidR="00074B99" w:rsidRPr="00F00DCE">
        <w:instrText xml:space="preserve"> REF paragraph00011 \h  \* CharFormat </w:instrText>
      </w:r>
      <w:r w:rsidR="00074B99" w:rsidRPr="00F00DCE">
        <w:fldChar w:fldCharType="separate"/>
      </w:r>
      <w:r>
        <w:t>11</w:t>
      </w:r>
      <w:r w:rsidR="00074B99" w:rsidRPr="00F00DCE">
        <w:fldChar w:fldCharType="end"/>
      </w:r>
      <w:r w:rsidR="00074B99">
        <w:t xml:space="preserve">), reclamanta a prezentat autorităților informații prezentate </w:t>
      </w:r>
      <w:r w:rsidR="00074B99">
        <w:rPr>
          <w:i/>
          <w:iCs/>
        </w:rPr>
        <w:t>supra</w:t>
      </w:r>
      <w:r w:rsidR="00074B99">
        <w:t xml:space="preserve">, pct. </w:t>
      </w:r>
      <w:r w:rsidR="00074B99" w:rsidRPr="00F00DCE">
        <w:fldChar w:fldCharType="begin"/>
      </w:r>
      <w:r w:rsidR="00074B99" w:rsidRPr="00F00DCE">
        <w:instrText xml:space="preserve"> REF paragraph00006 \h  \* CharFormat  \* MERGEFORMAT </w:instrText>
      </w:r>
      <w:r w:rsidR="00074B99" w:rsidRPr="00F00DCE">
        <w:fldChar w:fldCharType="separate"/>
      </w:r>
      <w:r>
        <w:t>6</w:t>
      </w:r>
      <w:r w:rsidR="00074B99" w:rsidRPr="00F00DCE">
        <w:fldChar w:fldCharType="end"/>
      </w:r>
      <w:r w:rsidR="00074B99">
        <w:t>. Aceasta a declarat, de asemenea, că V.C.A. își însoțise postările de pe site-urile cu reclame la servicii de escortă cu informații care au inclus adresa ei și că postările respective fuseseră eliminate automat după două sau trei zile. În plus, aceasta a declarat că V.C.A. nu a lovit-o și nu a amenințat-o cu acte de violență fizică.</w:t>
      </w:r>
    </w:p>
    <w:bookmarkStart w:id="11" w:name="paragraph00020"/>
    <w:p w:rsidR="0021702B" w:rsidRPr="00F00DCE" w:rsidRDefault="00074B99" w:rsidP="00F00DCE">
      <w:pPr>
        <w:pStyle w:val="JuPara"/>
      </w:pPr>
      <w:r w:rsidRPr="00F00DCE">
        <w:fldChar w:fldCharType="begin"/>
      </w:r>
      <w:r w:rsidRPr="00F00DCE">
        <w:instrText xml:space="preserve"> SEQ level0 \*arabic \* MERGEFORMAT </w:instrText>
      </w:r>
      <w:r w:rsidRPr="00F00DCE">
        <w:fldChar w:fldCharType="separate"/>
      </w:r>
      <w:r w:rsidR="0094597A">
        <w:rPr>
          <w:noProof/>
        </w:rPr>
        <w:t>17</w:t>
      </w:r>
      <w:r w:rsidRPr="00F00DCE">
        <w:fldChar w:fldCharType="end"/>
      </w:r>
      <w:bookmarkEnd w:id="11"/>
      <w:r>
        <w:t>.</w:t>
      </w:r>
      <w:r w:rsidR="00B3763A">
        <w:t xml:space="preserve"> </w:t>
      </w:r>
      <w:r>
        <w:t xml:space="preserve">V.C.A. a negat că ar fi lovit-o sau amenințat-o vreodată pe reclamantă. Totuși, a admis că a săvârșit actele descrise </w:t>
      </w:r>
      <w:r>
        <w:rPr>
          <w:i/>
          <w:iCs/>
        </w:rPr>
        <w:t>supra</w:t>
      </w:r>
      <w:r>
        <w:t>, pct. </w:t>
      </w:r>
      <w:r w:rsidRPr="00F00DCE">
        <w:fldChar w:fldCharType="begin"/>
      </w:r>
      <w:r w:rsidRPr="00F00DCE">
        <w:instrText xml:space="preserve"> REF paragraph00007 \h  \* CharFormat  \* MERGEFORMAT </w:instrText>
      </w:r>
      <w:r w:rsidRPr="00F00DCE">
        <w:fldChar w:fldCharType="separate"/>
      </w:r>
      <w:r w:rsidR="0094597A">
        <w:t>7</w:t>
      </w:r>
      <w:r w:rsidRPr="00F00DCE">
        <w:fldChar w:fldCharType="end"/>
      </w:r>
      <w:r>
        <w:t xml:space="preserve">, prin intermediul Facebook. În continuare, acesta a afirmat că a acționat în acest mod din gelozie și mânie, deoarece a văzut un comportament afectuos al reclamantei față de prietenul acesteia menționat </w:t>
      </w:r>
      <w:r>
        <w:rPr>
          <w:i/>
          <w:iCs/>
        </w:rPr>
        <w:t>supra</w:t>
      </w:r>
      <w:r>
        <w:t xml:space="preserve">, pct. </w:t>
      </w:r>
      <w:r w:rsidRPr="00F00DCE">
        <w:fldChar w:fldCharType="begin"/>
      </w:r>
      <w:r w:rsidRPr="00F00DCE">
        <w:instrText xml:space="preserve"> REF paragraph00006 \h  \* CharFormat  \* MERGEFORMAT </w:instrText>
      </w:r>
      <w:r w:rsidRPr="00F00DCE">
        <w:fldChar w:fldCharType="separate"/>
      </w:r>
      <w:r w:rsidR="0094597A">
        <w:t>6</w:t>
      </w:r>
      <w:r w:rsidRPr="00F00DCE">
        <w:fldChar w:fldCharType="end"/>
      </w:r>
      <w:r>
        <w:t>, și din cauză că reclamanta a trimis unor colegi o fotografie a lui luată după cearta pe care a avut-o cu bărbatul respectiv, însoțită de un comentariu jignitor.</w:t>
      </w:r>
    </w:p>
    <w:p w:rsidR="0021702B" w:rsidRPr="00F00DCE" w:rsidRDefault="0094597A" w:rsidP="00F00DCE">
      <w:pPr>
        <w:pStyle w:val="JuPara"/>
      </w:pPr>
      <w:r>
        <w:fldChar w:fldCharType="begin"/>
      </w:r>
      <w:r>
        <w:instrText xml:space="preserve"> SEQ level0 \*arabic \* MERGEFORMAT </w:instrText>
      </w:r>
      <w:r>
        <w:fldChar w:fldCharType="separate"/>
      </w:r>
      <w:bookmarkStart w:id="12" w:name="paragraph00019"/>
      <w:r>
        <w:rPr>
          <w:noProof/>
        </w:rPr>
        <w:t>18</w:t>
      </w:r>
      <w:bookmarkEnd w:id="12"/>
      <w:r>
        <w:rPr>
          <w:noProof/>
        </w:rPr>
        <w:fldChar w:fldCharType="end"/>
      </w:r>
      <w:r w:rsidR="00074B99">
        <w:t>.</w:t>
      </w:r>
      <w:r w:rsidR="00B3763A">
        <w:t xml:space="preserve"> </w:t>
      </w:r>
      <w:r w:rsidR="00074B99">
        <w:t>La 22 august 2018, I.T.A. a informat-o pe reclamantă că era necesar să ia o declarație de martor de la fratele ei (care trăia în străinătate), iar ea a fost de acord să informeze secția de poliție cu privire la data următoarei vizite a fratelui său în țară când o va afla.</w:t>
      </w:r>
    </w:p>
    <w:p w:rsidR="0021702B" w:rsidRPr="00F00DCE" w:rsidRDefault="0094597A" w:rsidP="00F00DCE">
      <w:pPr>
        <w:pStyle w:val="JuPara"/>
      </w:pPr>
      <w:r>
        <w:fldChar w:fldCharType="begin"/>
      </w:r>
      <w:r>
        <w:instrText xml:space="preserve"> SEQ level0 \*arabic \* MERGEFORMAT </w:instrText>
      </w:r>
      <w:r>
        <w:fldChar w:fldCharType="separate"/>
      </w:r>
      <w:bookmarkStart w:id="13" w:name="paragraph00021"/>
      <w:r>
        <w:rPr>
          <w:noProof/>
        </w:rPr>
        <w:t>19</w:t>
      </w:r>
      <w:bookmarkEnd w:id="13"/>
      <w:r>
        <w:rPr>
          <w:noProof/>
        </w:rPr>
        <w:fldChar w:fldCharType="end"/>
      </w:r>
      <w:r w:rsidR="00074B99">
        <w:t>.</w:t>
      </w:r>
      <w:r w:rsidR="00B3763A">
        <w:t xml:space="preserve"> </w:t>
      </w:r>
      <w:r w:rsidR="00074B99">
        <w:t>La 11 decembrie 2018, reclamanta l-a recuzat pe I.T.A. la Parchetul de pe lângă Judecătoria București. Reclamanta a afirmat că, înainte de audierea sa din 22 august 2018 (</w:t>
      </w:r>
      <w:r w:rsidR="00074B99">
        <w:rPr>
          <w:i/>
          <w:iCs/>
        </w:rPr>
        <w:t>supra</w:t>
      </w:r>
      <w:r w:rsidR="00074B99">
        <w:t xml:space="preserve">, pct. </w:t>
      </w:r>
      <w:r w:rsidR="00074B99" w:rsidRPr="00F00DCE">
        <w:fldChar w:fldCharType="begin"/>
      </w:r>
      <w:r w:rsidR="00074B99" w:rsidRPr="00F00DCE">
        <w:instrText xml:space="preserve"> REF paragraph00017 \h  \* CharFormat </w:instrText>
      </w:r>
      <w:r w:rsidR="00074B99" w:rsidRPr="00F00DCE">
        <w:fldChar w:fldCharType="separate"/>
      </w:r>
      <w:r>
        <w:t>16</w:t>
      </w:r>
      <w:r w:rsidR="00074B99" w:rsidRPr="00F00DCE">
        <w:fldChar w:fldCharType="end"/>
      </w:r>
      <w:r w:rsidR="00074B99">
        <w:t xml:space="preserve">), I.T.A. o sunase repetat pentru a o </w:t>
      </w:r>
      <w:r w:rsidR="00074B99">
        <w:lastRenderedPageBreak/>
        <w:t>convoca la secția de poliție și că într-o seară chiar i-a tăiat drumul cu mașina în timp ce ea mergea pe stradă și a amenințat-o că fie va înceta urmărirea penală, fie o va amenda dacă refuza să se conformeze citațiilor. În același timp, I.T.A. o descurajase să angajeze un avocat, spunându-i că ar fi fără rost. Pe de altă parte, l-a citat pe V.C.A. să se prezinte la secția de poliție în același timp cu ea, fiind nevoită să se confrunte cu acesta acolo – deși reclamanta i-a cerut în mod special lui I.T.A. să îl citeze la un moment diferit și i-a spus că V.C.A. o speria în continuare. În plus, I.T.A. a încercat în mod repetat în timpul audierii din august 2018 să o convingă pe reclamantă să-și retragă plângerea spunându-i că plângerea ei nu va avea succes în instanță.</w:t>
      </w:r>
    </w:p>
    <w:p w:rsidR="0021702B" w:rsidRPr="00F00DCE" w:rsidRDefault="0094597A" w:rsidP="00F00DCE">
      <w:pPr>
        <w:pStyle w:val="JuPara"/>
      </w:pPr>
      <w:r>
        <w:fldChar w:fldCharType="begin"/>
      </w:r>
      <w:r>
        <w:instrText xml:space="preserve"> SEQ level0 \*arabic \* MERGEFORMAT </w:instrText>
      </w:r>
      <w:r>
        <w:fldChar w:fldCharType="separate"/>
      </w:r>
      <w:bookmarkStart w:id="14" w:name="paragraph00022"/>
      <w:r>
        <w:rPr>
          <w:noProof/>
        </w:rPr>
        <w:t>20</w:t>
      </w:r>
      <w:bookmarkEnd w:id="14"/>
      <w:r>
        <w:rPr>
          <w:noProof/>
        </w:rPr>
        <w:fldChar w:fldCharType="end"/>
      </w:r>
      <w:r w:rsidR="00074B99">
        <w:t>.</w:t>
      </w:r>
      <w:r w:rsidR="00B3763A">
        <w:t xml:space="preserve"> </w:t>
      </w:r>
      <w:r w:rsidR="00074B99">
        <w:t>Reclamanta a susținut că I.T.A. a fost lipsit de imparțialitate și a acționat neprofesional (dată fiind starea ei psihică foarte delicată) și că prin comportamentul său a speriat-o și i-a cauzat insomnie.</w:t>
      </w:r>
    </w:p>
    <w:p w:rsidR="0021702B" w:rsidRPr="00F00DCE" w:rsidRDefault="0094597A" w:rsidP="00F00DCE">
      <w:pPr>
        <w:pStyle w:val="JuPara"/>
      </w:pPr>
      <w:r>
        <w:fldChar w:fldCharType="begin"/>
      </w:r>
      <w:r>
        <w:instrText xml:space="preserve"> SEQ level0 \*arabic \* MERGEFORMAT </w:instrText>
      </w:r>
      <w:r>
        <w:fldChar w:fldCharType="separate"/>
      </w:r>
      <w:bookmarkStart w:id="15" w:name="paragraph00023"/>
      <w:r>
        <w:rPr>
          <w:noProof/>
        </w:rPr>
        <w:t>21</w:t>
      </w:r>
      <w:bookmarkEnd w:id="15"/>
      <w:r>
        <w:rPr>
          <w:noProof/>
        </w:rPr>
        <w:fldChar w:fldCharType="end"/>
      </w:r>
      <w:r w:rsidR="00074B99">
        <w:t>.</w:t>
      </w:r>
      <w:r w:rsidR="00B3763A">
        <w:t xml:space="preserve"> </w:t>
      </w:r>
      <w:r w:rsidR="00074B99">
        <w:t>La 14 decembrie 2018, reclamanta a angajat un avocat.</w:t>
      </w:r>
    </w:p>
    <w:p w:rsidR="0021702B" w:rsidRPr="00F00DCE" w:rsidRDefault="00074B99" w:rsidP="00F00DCE">
      <w:pPr>
        <w:pStyle w:val="JuH1"/>
      </w:pPr>
      <w:r>
        <w:t>Articolul online și protestul public privind cauza reclamantei</w:t>
      </w:r>
    </w:p>
    <w:p w:rsidR="0021702B" w:rsidRPr="00F00DCE" w:rsidRDefault="0094597A" w:rsidP="00F00DCE">
      <w:pPr>
        <w:pStyle w:val="JuPara"/>
      </w:pPr>
      <w:r>
        <w:fldChar w:fldCharType="begin"/>
      </w:r>
      <w:r>
        <w:instrText xml:space="preserve"> SEQ level0 \*arabic \* MERGEFORMAT </w:instrText>
      </w:r>
      <w:r>
        <w:fldChar w:fldCharType="separate"/>
      </w:r>
      <w:bookmarkStart w:id="16" w:name="paragraph00024"/>
      <w:r>
        <w:rPr>
          <w:noProof/>
        </w:rPr>
        <w:t>22</w:t>
      </w:r>
      <w:bookmarkEnd w:id="16"/>
      <w:r>
        <w:rPr>
          <w:noProof/>
        </w:rPr>
        <w:fldChar w:fldCharType="end"/>
      </w:r>
      <w:r w:rsidR="00074B99">
        <w:t>.</w:t>
      </w:r>
      <w:r w:rsidR="00B3763A">
        <w:t xml:space="preserve"> </w:t>
      </w:r>
      <w:r w:rsidR="00074B99">
        <w:t xml:space="preserve">La 14 decembrie 2018, o publicație online a publicat un articol despre cazul reclamantei intitulat „Umilința supremă”. Autorul a pretins, </w:t>
      </w:r>
      <w:r w:rsidR="00074B99">
        <w:rPr>
          <w:i/>
        </w:rPr>
        <w:t>inter alia</w:t>
      </w:r>
      <w:r w:rsidR="00074B99">
        <w:t>, că reclamanta s-a confruntat în căutarea dreptății cu atitudinea ironică a autorităților, cu acuzații de fapte ilicite și cu presiunea să-și retragă plângerea. Conform articolului, polițiștii de la secția de poliție, în esență, au refuzat să înregistreze plângerea penală a reclamantei, care, așa cum se afirma în articol, a fost înaintată la 29 octombrie 2016, și i-au cerut să se întoarcă peste două zile. De asemenea, polițiștii i-au cerut reclamantei să imprime fotografiile nud care au fost difuzate online și să le aducă cu ea și chiar i-au sugerat să se întoarcă numai însoțită de tatăl său, astfel încât aceștia să fie siguri că plângerea ei este adevărată. În plus, I.T.A. s-a oferit să medieze între V.C.A. și reclamantă și a încurajat-o să ia banii oferiți de acesta.</w:t>
      </w:r>
    </w:p>
    <w:p w:rsidR="0021702B" w:rsidRPr="00F00DCE" w:rsidRDefault="0094597A" w:rsidP="00F00DCE">
      <w:pPr>
        <w:pStyle w:val="JuPara"/>
      </w:pPr>
      <w:r>
        <w:fldChar w:fldCharType="begin"/>
      </w:r>
      <w:r>
        <w:instrText xml:space="preserve"> SEQ level0 \*arabic \* MERGEFORMAT </w:instrText>
      </w:r>
      <w:r>
        <w:fldChar w:fldCharType="separate"/>
      </w:r>
      <w:r>
        <w:rPr>
          <w:noProof/>
        </w:rPr>
        <w:t>23</w:t>
      </w:r>
      <w:r>
        <w:rPr>
          <w:noProof/>
        </w:rPr>
        <w:fldChar w:fldCharType="end"/>
      </w:r>
      <w:r w:rsidR="00074B99">
        <w:t>.</w:t>
      </w:r>
      <w:r w:rsidR="00B3763A">
        <w:t xml:space="preserve"> </w:t>
      </w:r>
      <w:r w:rsidR="00074B99">
        <w:t>La 16 decembrie 2018, în urma publicării articolului, a avut loc în București un protest public de solidaritate cu reclamanta.</w:t>
      </w:r>
    </w:p>
    <w:p w:rsidR="0021702B" w:rsidRPr="00F00DCE" w:rsidRDefault="00074B99" w:rsidP="00F00DCE">
      <w:pPr>
        <w:pStyle w:val="JuH1"/>
      </w:pPr>
      <w:r>
        <w:t>Ancheta efectuată de Serviciul de Investigații Criminale din cadrul Direcției Generale a Poliției Municipiului București</w:t>
      </w:r>
    </w:p>
    <w:p w:rsidR="0021702B" w:rsidRPr="00F00DCE" w:rsidRDefault="0094597A" w:rsidP="00F00DCE">
      <w:pPr>
        <w:pStyle w:val="JuPara"/>
      </w:pPr>
      <w:r>
        <w:fldChar w:fldCharType="begin"/>
      </w:r>
      <w:r>
        <w:instrText xml:space="preserve"> SEQ level0 \*arabic \* MERGEFORMAT </w:instrText>
      </w:r>
      <w:r>
        <w:fldChar w:fldCharType="separate"/>
      </w:r>
      <w:bookmarkStart w:id="17" w:name="paragraph00025"/>
      <w:r>
        <w:rPr>
          <w:noProof/>
        </w:rPr>
        <w:t>24</w:t>
      </w:r>
      <w:bookmarkEnd w:id="17"/>
      <w:r>
        <w:rPr>
          <w:noProof/>
        </w:rPr>
        <w:fldChar w:fldCharType="end"/>
      </w:r>
      <w:r w:rsidR="00074B99">
        <w:t>.</w:t>
      </w:r>
      <w:r w:rsidR="00B3763A">
        <w:t xml:space="preserve"> </w:t>
      </w:r>
      <w:r w:rsidR="00074B99">
        <w:t xml:space="preserve">La 17 decembrie 2018, parchetul a transferat cauza reclamantei de la Secția 8 Poliție București către Serviciul de Investigații Criminale din cadrul Direcției Generale a Poliției Municipiului București („SIC”) pe motiv că, din martie 2015, SIC era organul competent pentru a ancheta infracțiunea prevăzută la art. 226 alin. (2) C. </w:t>
      </w:r>
      <w:proofErr w:type="spellStart"/>
      <w:r w:rsidR="00074B99">
        <w:t>pen</w:t>
      </w:r>
      <w:proofErr w:type="spellEnd"/>
      <w:r w:rsidR="00074B99">
        <w:t>. A respins, de asemenea, plângerea reclamantei față de I.T.A. (</w:t>
      </w:r>
      <w:r w:rsidR="00074B99">
        <w:rPr>
          <w:i/>
          <w:iCs/>
        </w:rPr>
        <w:t>supra</w:t>
      </w:r>
      <w:r w:rsidR="00074B99">
        <w:t xml:space="preserve">, pct. </w:t>
      </w:r>
      <w:r w:rsidR="00074B99" w:rsidRPr="00F00DCE">
        <w:fldChar w:fldCharType="begin"/>
      </w:r>
      <w:r w:rsidR="00074B99" w:rsidRPr="00F00DCE">
        <w:instrText xml:space="preserve"> REF paragraph00021 \h  \* CharFormat  \* MERGEFORMAT </w:instrText>
      </w:r>
      <w:r w:rsidR="00074B99" w:rsidRPr="00F00DCE">
        <w:fldChar w:fldCharType="separate"/>
      </w:r>
      <w:r>
        <w:t>19</w:t>
      </w:r>
      <w:r w:rsidR="00074B99" w:rsidRPr="00F00DCE">
        <w:fldChar w:fldCharType="end"/>
      </w:r>
      <w:r w:rsidR="00074B99">
        <w:t>-</w:t>
      </w:r>
      <w:r w:rsidR="00074B99" w:rsidRPr="00F00DCE">
        <w:fldChar w:fldCharType="begin"/>
      </w:r>
      <w:r w:rsidR="00074B99" w:rsidRPr="00F00DCE">
        <w:instrText xml:space="preserve"> REF paragraph00022 \h  \* CharFormat  \* MERGEFORMAT </w:instrText>
      </w:r>
      <w:r w:rsidR="00074B99" w:rsidRPr="00F00DCE">
        <w:fldChar w:fldCharType="separate"/>
      </w:r>
      <w:r>
        <w:t>20</w:t>
      </w:r>
      <w:r w:rsidR="00074B99" w:rsidRPr="00F00DCE">
        <w:fldChar w:fldCharType="end"/>
      </w:r>
      <w:r w:rsidR="00074B99">
        <w:t>) ca irelevantă.</w:t>
      </w:r>
    </w:p>
    <w:p w:rsidR="0021702B" w:rsidRPr="00F00DCE" w:rsidRDefault="0094597A" w:rsidP="00F00DCE">
      <w:pPr>
        <w:pStyle w:val="JuPara"/>
      </w:pPr>
      <w:r>
        <w:fldChar w:fldCharType="begin"/>
      </w:r>
      <w:r>
        <w:instrText xml:space="preserve"> SEQ level0 \*arabic \* MERGEFORMAT </w:instrText>
      </w:r>
      <w:r>
        <w:fldChar w:fldCharType="separate"/>
      </w:r>
      <w:r>
        <w:rPr>
          <w:noProof/>
        </w:rPr>
        <w:t>25</w:t>
      </w:r>
      <w:r>
        <w:rPr>
          <w:noProof/>
        </w:rPr>
        <w:fldChar w:fldCharType="end"/>
      </w:r>
      <w:r w:rsidR="00074B99">
        <w:t>.</w:t>
      </w:r>
      <w:r w:rsidR="00B3763A">
        <w:t xml:space="preserve"> </w:t>
      </w:r>
      <w:r w:rsidR="00074B99">
        <w:tab/>
        <w:t>La 11 ianuarie 2019, SIC i-a luat o declarație reclamantei în prezența avocatului ales. Aceasta a reiterat anumite informații incluse în declarațiile ei anterioare și în articolul online privind faptele lui V.C.A. (</w:t>
      </w:r>
      <w:r w:rsidR="00074B99">
        <w:rPr>
          <w:i/>
          <w:iCs/>
        </w:rPr>
        <w:t>supra</w:t>
      </w:r>
      <w:r w:rsidR="00074B99">
        <w:t xml:space="preserve">, pct. </w:t>
      </w:r>
      <w:r w:rsidR="00074B99" w:rsidRPr="00F00DCE">
        <w:fldChar w:fldCharType="begin"/>
      </w:r>
      <w:r w:rsidR="00074B99" w:rsidRPr="00F00DCE">
        <w:instrText xml:space="preserve"> REF paragraph00009 \h  \* CharFormat </w:instrText>
      </w:r>
      <w:r w:rsidR="008F1E94" w:rsidRPr="00F00DCE">
        <w:instrText xml:space="preserve"> \* MERGEFORMAT </w:instrText>
      </w:r>
      <w:r w:rsidR="00074B99" w:rsidRPr="00F00DCE">
        <w:fldChar w:fldCharType="separate"/>
      </w:r>
      <w:r>
        <w:t>9</w:t>
      </w:r>
      <w:r w:rsidR="00074B99" w:rsidRPr="00F00DCE">
        <w:fldChar w:fldCharType="end"/>
      </w:r>
      <w:r w:rsidR="00074B99">
        <w:t xml:space="preserve">, </w:t>
      </w:r>
      <w:r w:rsidR="00074B99" w:rsidRPr="00F00DCE">
        <w:fldChar w:fldCharType="begin"/>
      </w:r>
      <w:r w:rsidR="00074B99" w:rsidRPr="00F00DCE">
        <w:instrText xml:space="preserve"> REF paragraph00011 \h  \* CharFormat </w:instrText>
      </w:r>
      <w:r w:rsidR="008F1E94" w:rsidRPr="00F00DCE">
        <w:instrText xml:space="preserve"> \* MERGEFORMAT </w:instrText>
      </w:r>
      <w:r w:rsidR="00074B99" w:rsidRPr="00F00DCE">
        <w:fldChar w:fldCharType="separate"/>
      </w:r>
      <w:r>
        <w:t>11</w:t>
      </w:r>
      <w:r w:rsidR="00074B99" w:rsidRPr="00F00DCE">
        <w:fldChar w:fldCharType="end"/>
      </w:r>
      <w:r w:rsidR="00074B99">
        <w:t xml:space="preserve">, </w:t>
      </w:r>
      <w:r w:rsidR="00074B99" w:rsidRPr="00F00DCE">
        <w:fldChar w:fldCharType="begin"/>
      </w:r>
      <w:r w:rsidR="00074B99" w:rsidRPr="00F00DCE">
        <w:instrText xml:space="preserve"> REF paragraph00017 \h  \* CharFormat </w:instrText>
      </w:r>
      <w:r w:rsidR="008F1E94" w:rsidRPr="00F00DCE">
        <w:instrText xml:space="preserve"> \* MERGEFORMAT </w:instrText>
      </w:r>
      <w:r w:rsidR="00074B99" w:rsidRPr="00F00DCE">
        <w:fldChar w:fldCharType="separate"/>
      </w:r>
      <w:r>
        <w:t>16</w:t>
      </w:r>
      <w:r w:rsidR="00074B99" w:rsidRPr="00F00DCE">
        <w:fldChar w:fldCharType="end"/>
      </w:r>
      <w:r w:rsidR="00074B99">
        <w:t xml:space="preserve"> și </w:t>
      </w:r>
      <w:r w:rsidR="00074B99" w:rsidRPr="00F00DCE">
        <w:fldChar w:fldCharType="begin"/>
      </w:r>
      <w:r w:rsidR="00074B99" w:rsidRPr="00F00DCE">
        <w:instrText xml:space="preserve"> REF paragraph00024 \h  \* CharFormat  \* MERGEFORMAT </w:instrText>
      </w:r>
      <w:r w:rsidR="00074B99" w:rsidRPr="00F00DCE">
        <w:fldChar w:fldCharType="separate"/>
      </w:r>
      <w:r>
        <w:t>22</w:t>
      </w:r>
      <w:r w:rsidR="00074B99" w:rsidRPr="00F00DCE">
        <w:fldChar w:fldCharType="end"/>
      </w:r>
      <w:r w:rsidR="00074B99">
        <w:t xml:space="preserve">) și a repetat solicitarea ca acesta să fie tras la răspundere penală. Mai </w:t>
      </w:r>
      <w:r w:rsidR="00074B99">
        <w:lastRenderedPageBreak/>
        <w:t xml:space="preserve">mult, reclamanta a prezentat la SIC informațiile descrise </w:t>
      </w:r>
      <w:r w:rsidR="00074B99">
        <w:rPr>
          <w:i/>
          <w:iCs/>
        </w:rPr>
        <w:t>supra</w:t>
      </w:r>
      <w:r w:rsidR="00074B99">
        <w:t xml:space="preserve">, pct. </w:t>
      </w:r>
      <w:r w:rsidR="00074B99" w:rsidRPr="00F00DCE">
        <w:fldChar w:fldCharType="begin"/>
      </w:r>
      <w:r w:rsidR="00074B99" w:rsidRPr="00F00DCE">
        <w:instrText xml:space="preserve"> REF paragraph00010 \h  \* CharFormat </w:instrText>
      </w:r>
      <w:r w:rsidR="008F1E94" w:rsidRPr="00F00DCE">
        <w:instrText xml:space="preserve"> \* MERGEFORMAT </w:instrText>
      </w:r>
      <w:r w:rsidR="00074B99" w:rsidRPr="00F00DCE">
        <w:fldChar w:fldCharType="separate"/>
      </w:r>
      <w:r>
        <w:t>10</w:t>
      </w:r>
      <w:r w:rsidR="00074B99" w:rsidRPr="00F00DCE">
        <w:fldChar w:fldCharType="end"/>
      </w:r>
      <w:r w:rsidR="00074B99">
        <w:t>. În final, reclamanta a depus la SIC capturi de ecran și înregistrări despre care susținea că conțin informații care confirmă acuzațiile sale și conținutul articolului (</w:t>
      </w:r>
      <w:r w:rsidR="00074B99">
        <w:rPr>
          <w:i/>
          <w:iCs/>
        </w:rPr>
        <w:t>supra</w:t>
      </w:r>
      <w:r w:rsidR="00074B99">
        <w:t xml:space="preserve">, pct. </w:t>
      </w:r>
      <w:r w:rsidR="00074B99" w:rsidRPr="00F00DCE">
        <w:fldChar w:fldCharType="begin"/>
      </w:r>
      <w:r w:rsidR="00074B99" w:rsidRPr="00F00DCE">
        <w:instrText xml:space="preserve"> REF paragraph00024 \h  \* CharFormat  \* MERGEFORMAT </w:instrText>
      </w:r>
      <w:r w:rsidR="00074B99" w:rsidRPr="00F00DCE">
        <w:fldChar w:fldCharType="separate"/>
      </w:r>
      <w:r>
        <w:t>22</w:t>
      </w:r>
      <w:r w:rsidR="00074B99" w:rsidRPr="00F00DCE">
        <w:fldChar w:fldCharType="end"/>
      </w:r>
      <w:r w:rsidR="00074B99">
        <w:t>) cu privire la faptele lui V.C.A.</w:t>
      </w:r>
    </w:p>
    <w:p w:rsidR="0021702B" w:rsidRPr="00F00DCE" w:rsidRDefault="0094597A" w:rsidP="00F00DCE">
      <w:pPr>
        <w:pStyle w:val="JuPara"/>
      </w:pPr>
      <w:r>
        <w:fldChar w:fldCharType="begin"/>
      </w:r>
      <w:r>
        <w:instrText xml:space="preserve"> SEQ level0 \*arabic \* MERGEFORMAT </w:instrText>
      </w:r>
      <w:r>
        <w:fldChar w:fldCharType="separate"/>
      </w:r>
      <w:r>
        <w:rPr>
          <w:noProof/>
        </w:rPr>
        <w:t>26</w:t>
      </w:r>
      <w:r>
        <w:rPr>
          <w:noProof/>
        </w:rPr>
        <w:fldChar w:fldCharType="end"/>
      </w:r>
      <w:r w:rsidR="00074B99">
        <w:t>.</w:t>
      </w:r>
      <w:r w:rsidR="00B3763A">
        <w:t xml:space="preserve"> </w:t>
      </w:r>
      <w:r w:rsidR="00074B99">
        <w:t>La 30 și 31 ianuarie 2019, SIC a audiat mărturia a trei martori în cauză, inclusiv a fratelui reclamantei.</w:t>
      </w:r>
    </w:p>
    <w:p w:rsidR="0021702B" w:rsidRPr="00F00DCE" w:rsidRDefault="0094597A" w:rsidP="00F00DCE">
      <w:pPr>
        <w:pStyle w:val="JuPara"/>
      </w:pPr>
      <w:r>
        <w:fldChar w:fldCharType="begin"/>
      </w:r>
      <w:r>
        <w:instrText xml:space="preserve"> SEQ</w:instrText>
      </w:r>
      <w:r>
        <w:instrText xml:space="preserve"> level0 \*arabic \* MERGEFORMAT </w:instrText>
      </w:r>
      <w:r>
        <w:fldChar w:fldCharType="separate"/>
      </w:r>
      <w:bookmarkStart w:id="18" w:name="paragraph00033"/>
      <w:r>
        <w:rPr>
          <w:noProof/>
        </w:rPr>
        <w:t>27</w:t>
      </w:r>
      <w:bookmarkEnd w:id="18"/>
      <w:r>
        <w:rPr>
          <w:noProof/>
        </w:rPr>
        <w:fldChar w:fldCharType="end"/>
      </w:r>
      <w:r w:rsidR="00074B99">
        <w:t>.</w:t>
      </w:r>
      <w:r w:rsidR="00B3763A">
        <w:t xml:space="preserve"> </w:t>
      </w:r>
      <w:r w:rsidR="00074B99">
        <w:t>La 28 februarie 2019, reclamanta a cerut parchetului extinderea urmăririi penale pentru a include și alte infracțiuni, și anume: i) fals informatic;</w:t>
      </w:r>
      <w:r w:rsidR="00B3763A">
        <w:t xml:space="preserve"> </w:t>
      </w:r>
      <w:r w:rsidR="00074B99">
        <w:t>ii) hărțuire și instigare la hărțuire; iii) amenințare.</w:t>
      </w:r>
    </w:p>
    <w:p w:rsidR="0021702B" w:rsidRPr="00F00DCE" w:rsidRDefault="0094597A" w:rsidP="00F00DCE">
      <w:pPr>
        <w:pStyle w:val="JuPara"/>
      </w:pPr>
      <w:r>
        <w:fldChar w:fldCharType="begin"/>
      </w:r>
      <w:r>
        <w:instrText xml:space="preserve"> SEQ level0 </w:instrText>
      </w:r>
      <w:r>
        <w:instrText xml:space="preserve">\*arabic \* MERGEFORMAT </w:instrText>
      </w:r>
      <w:r>
        <w:fldChar w:fldCharType="separate"/>
      </w:r>
      <w:bookmarkStart w:id="19" w:name="paragraph00034"/>
      <w:r>
        <w:rPr>
          <w:noProof/>
        </w:rPr>
        <w:t>28</w:t>
      </w:r>
      <w:bookmarkEnd w:id="19"/>
      <w:r>
        <w:rPr>
          <w:noProof/>
        </w:rPr>
        <w:fldChar w:fldCharType="end"/>
      </w:r>
      <w:r w:rsidR="00074B99">
        <w:t>.</w:t>
      </w:r>
      <w:r w:rsidR="00B3763A">
        <w:t xml:space="preserve"> </w:t>
      </w:r>
      <w:r w:rsidR="00074B99">
        <w:t xml:space="preserve">La 8 aprilie 2019, SIC a constatat că, potrivit probelor disponibile, inclusiv </w:t>
      </w:r>
      <w:r w:rsidR="00F04BED">
        <w:t>unitatea</w:t>
      </w:r>
      <w:r w:rsidR="00074B99">
        <w:t xml:space="preserve"> USB (</w:t>
      </w:r>
      <w:r w:rsidR="00074B99">
        <w:rPr>
          <w:i/>
          <w:iCs/>
        </w:rPr>
        <w:t>supra</w:t>
      </w:r>
      <w:r w:rsidR="00074B99">
        <w:t xml:space="preserve">, pct. </w:t>
      </w:r>
      <w:r w:rsidR="00074B99" w:rsidRPr="00F00DCE">
        <w:fldChar w:fldCharType="begin"/>
      </w:r>
      <w:r w:rsidR="00074B99" w:rsidRPr="00F00DCE">
        <w:instrText xml:space="preserve"> REF paragraph00011 \h  \* CharFormat </w:instrText>
      </w:r>
      <w:r w:rsidR="008F1E94" w:rsidRPr="00F00DCE">
        <w:instrText xml:space="preserve"> \* MERGEFORMAT </w:instrText>
      </w:r>
      <w:r w:rsidR="00074B99" w:rsidRPr="00F00DCE">
        <w:fldChar w:fldCharType="separate"/>
      </w:r>
      <w:r>
        <w:t>11</w:t>
      </w:r>
      <w:r w:rsidR="00074B99" w:rsidRPr="00F00DCE">
        <w:fldChar w:fldCharType="end"/>
      </w:r>
      <w:r w:rsidR="00074B99">
        <w:t>), pe care le-a studiat la 14 ianuarie 2019, exista o suspiciune rezonabilă că V.C.A. a săvârșit infracțiunea de violare a vieții private. Prin urmare, a decis că partea din ancheta penală privind această infracțiune (</w:t>
      </w:r>
      <w:r w:rsidR="00074B99">
        <w:rPr>
          <w:i/>
          <w:iCs/>
        </w:rPr>
        <w:t>supra</w:t>
      </w:r>
      <w:r w:rsidR="00074B99">
        <w:t>, pct.</w:t>
      </w:r>
      <w:r w:rsidR="00B3763A">
        <w:t xml:space="preserve"> </w:t>
      </w:r>
      <w:r w:rsidR="00074B99" w:rsidRPr="00F00DCE">
        <w:fldChar w:fldCharType="begin"/>
      </w:r>
      <w:r w:rsidR="00074B99" w:rsidRPr="00F00DCE">
        <w:instrText xml:space="preserve"> REF paragraph00014 \h  \* CharFormat </w:instrText>
      </w:r>
      <w:r w:rsidR="008F1E94" w:rsidRPr="00F00DCE">
        <w:instrText xml:space="preserve"> \* MERGEFORMAT </w:instrText>
      </w:r>
      <w:r w:rsidR="00074B99" w:rsidRPr="00F00DCE">
        <w:fldChar w:fldCharType="separate"/>
      </w:r>
      <w:r>
        <w:t>14</w:t>
      </w:r>
      <w:r w:rsidR="00074B99" w:rsidRPr="00F00DCE">
        <w:fldChar w:fldCharType="end"/>
      </w:r>
      <w:r w:rsidR="00074B99">
        <w:t xml:space="preserve">) trebuie să fie continuată împotriva lui V.C.A. în persoană (și nu </w:t>
      </w:r>
      <w:r w:rsidR="00074B99">
        <w:rPr>
          <w:i/>
        </w:rPr>
        <w:t>in rem</w:t>
      </w:r>
      <w:r w:rsidR="00074B99">
        <w:t>). Parchetul a confirmat aceste constatări.</w:t>
      </w:r>
    </w:p>
    <w:p w:rsidR="0021702B" w:rsidRPr="00F00DCE" w:rsidRDefault="0094597A" w:rsidP="00F00DCE">
      <w:pPr>
        <w:pStyle w:val="JuPara"/>
      </w:pPr>
      <w:r>
        <w:fldChar w:fldCharType="begin"/>
      </w:r>
      <w:r>
        <w:instrText xml:space="preserve"> SEQ level0 \*arabic \* MERGEFORMAT</w:instrText>
      </w:r>
      <w:r>
        <w:instrText xml:space="preserve"> </w:instrText>
      </w:r>
      <w:r>
        <w:fldChar w:fldCharType="separate"/>
      </w:r>
      <w:r>
        <w:rPr>
          <w:noProof/>
        </w:rPr>
        <w:t>29</w:t>
      </w:r>
      <w:r>
        <w:rPr>
          <w:noProof/>
        </w:rPr>
        <w:fldChar w:fldCharType="end"/>
      </w:r>
      <w:r w:rsidR="00074B99">
        <w:t>.</w:t>
      </w:r>
      <w:r w:rsidR="00B3763A">
        <w:t xml:space="preserve"> </w:t>
      </w:r>
      <w:r w:rsidR="00074B99">
        <w:t>La 23 aprilie 2019, SIC l-a notificat pe avocatul reclamantei de intenția sa de a-l audia pe V.C.A. la 29 aprilie 2019. Avocatul reclamantei a cerut fără rezultat ca audierea lui V.C.A. să fie reprogramată deoarece 29 aprilie era o sărbătoare oficială (și anume, a doua zi de Paște) și ea nu ar fi putut participa la interogatoriu.</w:t>
      </w:r>
    </w:p>
    <w:p w:rsidR="0021702B" w:rsidRPr="00F00DCE" w:rsidRDefault="0094597A" w:rsidP="00F00DCE">
      <w:pPr>
        <w:pStyle w:val="JuPara"/>
      </w:pPr>
      <w:r>
        <w:fldChar w:fldCharType="begin"/>
      </w:r>
      <w:r>
        <w:instrText xml:space="preserve"> SEQ level0 \*arabic \* MERGEFORMAT </w:instrText>
      </w:r>
      <w:r>
        <w:fldChar w:fldCharType="separate"/>
      </w:r>
      <w:bookmarkStart w:id="20" w:name="paragraph00048"/>
      <w:r>
        <w:rPr>
          <w:noProof/>
        </w:rPr>
        <w:t>30</w:t>
      </w:r>
      <w:bookmarkEnd w:id="20"/>
      <w:r>
        <w:rPr>
          <w:noProof/>
        </w:rPr>
        <w:fldChar w:fldCharType="end"/>
      </w:r>
      <w:r w:rsidR="00074B99">
        <w:t>.</w:t>
      </w:r>
      <w:r w:rsidR="00B3763A">
        <w:t xml:space="preserve"> </w:t>
      </w:r>
      <w:r w:rsidR="00074B99">
        <w:t>La 29 aprilie 2019, V.C.A. și-a reiterat declarația anterioară (</w:t>
      </w:r>
      <w:r w:rsidR="00074B99">
        <w:rPr>
          <w:i/>
          <w:iCs/>
        </w:rPr>
        <w:t>supra</w:t>
      </w:r>
      <w:r w:rsidR="00074B99">
        <w:t xml:space="preserve">, pct. </w:t>
      </w:r>
      <w:r w:rsidR="00074B99" w:rsidRPr="00F00DCE">
        <w:fldChar w:fldCharType="begin"/>
      </w:r>
      <w:r w:rsidR="00074B99" w:rsidRPr="00F00DCE">
        <w:instrText xml:space="preserve"> REF paragraph00020 \h  \* CharFormat  \* MERGEFORMAT </w:instrText>
      </w:r>
      <w:r w:rsidR="00074B99" w:rsidRPr="00F00DCE">
        <w:fldChar w:fldCharType="separate"/>
      </w:r>
      <w:r>
        <w:t>17</w:t>
      </w:r>
      <w:r w:rsidR="00074B99" w:rsidRPr="00F00DCE">
        <w:fldChar w:fldCharType="end"/>
      </w:r>
      <w:r w:rsidR="00074B99">
        <w:t>) și a recunoscut că a creat mai multe conturi false de Facebook, pe care le-a folosit în scopul diseminării fotografiilor intime ale reclamantei – inclusiv un cont care a afișat informații personale ale reclamantei.</w:t>
      </w:r>
    </w:p>
    <w:p w:rsidR="0021702B" w:rsidRPr="00F00DCE" w:rsidRDefault="0094597A" w:rsidP="00F00DCE">
      <w:pPr>
        <w:pStyle w:val="JuPara"/>
      </w:pPr>
      <w:r>
        <w:fldChar w:fldCharType="begin"/>
      </w:r>
      <w:r>
        <w:instrText xml:space="preserve"> SEQ level0 \*arabic \* MERGEFORMAT </w:instrText>
      </w:r>
      <w:r>
        <w:fldChar w:fldCharType="separate"/>
      </w:r>
      <w:r>
        <w:rPr>
          <w:noProof/>
        </w:rPr>
        <w:t>31</w:t>
      </w:r>
      <w:r>
        <w:rPr>
          <w:noProof/>
        </w:rPr>
        <w:fldChar w:fldCharType="end"/>
      </w:r>
      <w:r w:rsidR="00074B99">
        <w:t>.</w:t>
      </w:r>
      <w:r w:rsidR="00B3763A">
        <w:t xml:space="preserve"> </w:t>
      </w:r>
      <w:r w:rsidR="00074B99">
        <w:t>La 9 mai și 9 august 2019, avocatul reclamantei a cerut parchetului o copie după declarația lui V.C.A. din 4 septembrie 2019.</w:t>
      </w:r>
    </w:p>
    <w:p w:rsidR="0021702B" w:rsidRPr="00F00DCE" w:rsidRDefault="0094597A" w:rsidP="00F00DCE">
      <w:pPr>
        <w:pStyle w:val="JuPara"/>
      </w:pPr>
      <w:r>
        <w:fldChar w:fldCharType="begin"/>
      </w:r>
      <w:r>
        <w:instrText xml:space="preserve"> SEQ level0 \*arabic \* MERGEFORMAT </w:instrText>
      </w:r>
      <w:r>
        <w:fldChar w:fldCharType="separate"/>
      </w:r>
      <w:bookmarkStart w:id="21" w:name="paragraph00036"/>
      <w:r>
        <w:rPr>
          <w:noProof/>
        </w:rPr>
        <w:t>32</w:t>
      </w:r>
      <w:bookmarkEnd w:id="21"/>
      <w:r>
        <w:rPr>
          <w:noProof/>
        </w:rPr>
        <w:fldChar w:fldCharType="end"/>
      </w:r>
      <w:r w:rsidR="00074B99">
        <w:t>.</w:t>
      </w:r>
      <w:r w:rsidR="00B3763A">
        <w:t xml:space="preserve"> </w:t>
      </w:r>
      <w:r w:rsidR="00074B99">
        <w:t>La 3 octombrie 2019, reclamanta și-a repetat cererea pentru extinderea anchetei (</w:t>
      </w:r>
      <w:r w:rsidR="00074B99">
        <w:rPr>
          <w:i/>
          <w:iCs/>
        </w:rPr>
        <w:t>supra</w:t>
      </w:r>
      <w:r w:rsidR="00074B99">
        <w:t>, pct.</w:t>
      </w:r>
      <w:r w:rsidR="00B3763A">
        <w:t xml:space="preserve"> </w:t>
      </w:r>
      <w:r w:rsidR="00074B99" w:rsidRPr="00F00DCE">
        <w:fldChar w:fldCharType="begin"/>
      </w:r>
      <w:r w:rsidR="00074B99" w:rsidRPr="00F00DCE">
        <w:instrText xml:space="preserve"> REF paragraph00033 \h  \* CharFormat </w:instrText>
      </w:r>
      <w:r w:rsidR="00074B99" w:rsidRPr="00F00DCE">
        <w:fldChar w:fldCharType="separate"/>
      </w:r>
      <w:r>
        <w:t>27</w:t>
      </w:r>
      <w:r w:rsidR="00074B99" w:rsidRPr="00F00DCE">
        <w:fldChar w:fldCharType="end"/>
      </w:r>
      <w:r w:rsidR="00074B99">
        <w:t xml:space="preserve">). La 14 noiembrie 2019, parchetul a extins urmărirea penală față de V.C.A. pentru a include infracțiunea de fals informatic prevăzută de art. 325 C. </w:t>
      </w:r>
      <w:proofErr w:type="spellStart"/>
      <w:r w:rsidR="00074B99">
        <w:t>pen</w:t>
      </w:r>
      <w:proofErr w:type="spellEnd"/>
      <w:r w:rsidR="00074B99">
        <w:t>. S-a constatat că, potrivit probelor disponibile, V.C.A. crease în mod ilegal patru conturi false de Facebook și le-a folosit pentru a difuza public fotografiile reclamantei cu scopul de a o denigra și de a-i aduce atingere drepturilor la demnitate și la propria imagine.</w:t>
      </w:r>
    </w:p>
    <w:p w:rsidR="0021702B" w:rsidRPr="00F00DCE" w:rsidRDefault="0094597A" w:rsidP="00F00DCE">
      <w:pPr>
        <w:pStyle w:val="JuPara"/>
      </w:pPr>
      <w:r>
        <w:fldChar w:fldCharType="begin"/>
      </w:r>
      <w:r>
        <w:instrText xml:space="preserve"> SEQ level0 \*arabic \* MERGEFORMAT </w:instrText>
      </w:r>
      <w:r>
        <w:fldChar w:fldCharType="separate"/>
      </w:r>
      <w:r>
        <w:rPr>
          <w:noProof/>
        </w:rPr>
        <w:t>33</w:t>
      </w:r>
      <w:r>
        <w:rPr>
          <w:noProof/>
        </w:rPr>
        <w:fldChar w:fldCharType="end"/>
      </w:r>
      <w:r w:rsidR="00074B99">
        <w:t>.</w:t>
      </w:r>
      <w:r w:rsidR="00B3763A">
        <w:t xml:space="preserve"> </w:t>
      </w:r>
      <w:r w:rsidR="00074B99">
        <w:t xml:space="preserve">La 6 noiembrie 2019, reclamanta s-a plâns în fața </w:t>
      </w:r>
      <w:r w:rsidR="0011222A">
        <w:t>j</w:t>
      </w:r>
      <w:r w:rsidR="00074B99">
        <w:t>udecătoriei de sector București cu privire la pretinsa durată excesivă a anchetei penale față de V.C.A. și a cerut ca instanța să dispună ca autoritățile competente să accelereze ancheta penală.</w:t>
      </w:r>
    </w:p>
    <w:p w:rsidR="0021702B" w:rsidRPr="00F00DCE" w:rsidRDefault="0094597A" w:rsidP="00F00DCE">
      <w:pPr>
        <w:pStyle w:val="JuPara"/>
      </w:pPr>
      <w:r>
        <w:fldChar w:fldCharType="begin"/>
      </w:r>
      <w:r>
        <w:instrText xml:space="preserve"> SEQ level0 \*arabic \* MERGEFORMAT </w:instrText>
      </w:r>
      <w:r>
        <w:fldChar w:fldCharType="separate"/>
      </w:r>
      <w:bookmarkStart w:id="22" w:name="paragraph00044"/>
      <w:r>
        <w:rPr>
          <w:noProof/>
        </w:rPr>
        <w:t>34</w:t>
      </w:r>
      <w:bookmarkEnd w:id="22"/>
      <w:r>
        <w:rPr>
          <w:noProof/>
        </w:rPr>
        <w:fldChar w:fldCharType="end"/>
      </w:r>
      <w:r w:rsidR="00074B99">
        <w:t>.</w:t>
      </w:r>
      <w:r w:rsidR="00B3763A">
        <w:t xml:space="preserve"> </w:t>
      </w:r>
      <w:r w:rsidR="00074B99">
        <w:t xml:space="preserve">Prin încheierea din 27 noiembrie 2019, care nu putea fi atacată, judecătoria a recunoscut că durata anchetei penale a fost excesivă și a dispus ca procurorul să concluzioneze în termen de patru luni de la comunicarea încheierii (3 decembrie 2019). Instanța a constatat că autoritățile de anchetă au fost inactive fără motiv între 14 iunie 2017 și 9 mai 2018, între 22 august 2018 și 11 ianuarie 2019 și între 29 aprilie și 14 noiembrie 2019. Instanța a decis că respectiva cauză nu era complexă și că autoritățile nu au întâmpinat </w:t>
      </w:r>
      <w:r w:rsidR="00074B99">
        <w:lastRenderedPageBreak/>
        <w:t>probleme speciale în efectuarea actelor procedurale necesare. În plus, atât reclamanta, cât și V.C.A. au răspuns la cererile autorităților de anchetă și s-au comportat adecvat. În plus, nu au existat modificări legislative care să afecteze ancheta, iar autoritățile relevante nu au susținut că au avut un volum foarte ridicat de muncă.</w:t>
      </w:r>
    </w:p>
    <w:p w:rsidR="0021702B" w:rsidRPr="00F00DCE" w:rsidRDefault="0094597A" w:rsidP="00F00DCE">
      <w:pPr>
        <w:pStyle w:val="JuPara"/>
      </w:pPr>
      <w:r>
        <w:fldChar w:fldCharType="begin"/>
      </w:r>
      <w:r>
        <w:instrText xml:space="preserve"> SEQ level0 \*arabic \* MERGEFORMAT </w:instrText>
      </w:r>
      <w:r>
        <w:fldChar w:fldCharType="separate"/>
      </w:r>
      <w:r>
        <w:rPr>
          <w:noProof/>
        </w:rPr>
        <w:t>35</w:t>
      </w:r>
      <w:r>
        <w:rPr>
          <w:noProof/>
        </w:rPr>
        <w:fldChar w:fldCharType="end"/>
      </w:r>
      <w:r w:rsidR="00074B99">
        <w:t>.</w:t>
      </w:r>
      <w:r w:rsidR="00B3763A">
        <w:t xml:space="preserve"> </w:t>
      </w:r>
      <w:r w:rsidR="00074B99">
        <w:t>La 9 decembrie 2019, parchetul a dispus ca SIC să-l informeze pe V.C.A. despre ordonanța din 14 noiembrie 2019 (</w:t>
      </w:r>
      <w:r w:rsidR="00074B99">
        <w:rPr>
          <w:i/>
          <w:iCs/>
        </w:rPr>
        <w:t>supra</w:t>
      </w:r>
      <w:r w:rsidR="00074B99">
        <w:t xml:space="preserve">, pct. </w:t>
      </w:r>
      <w:r w:rsidR="00074B99" w:rsidRPr="00F00DCE">
        <w:fldChar w:fldCharType="begin"/>
      </w:r>
      <w:r w:rsidR="00074B99" w:rsidRPr="00F00DCE">
        <w:instrText xml:space="preserve"> REF paragraph00036 \h  \* CharFormat </w:instrText>
      </w:r>
      <w:r w:rsidR="008F1E94" w:rsidRPr="00F00DCE">
        <w:instrText xml:space="preserve"> \* MERGEFORMAT </w:instrText>
      </w:r>
      <w:r w:rsidR="00074B99" w:rsidRPr="00F00DCE">
        <w:fldChar w:fldCharType="separate"/>
      </w:r>
      <w:r>
        <w:t>32</w:t>
      </w:r>
      <w:r w:rsidR="00074B99" w:rsidRPr="00F00DCE">
        <w:fldChar w:fldCharType="end"/>
      </w:r>
      <w:r w:rsidR="00074B99">
        <w:t>) și să fie examinat în calitate de suspect cu privire la infracțiunea în cauză. La 10 ianuarie 2020, SIC l-a audiat pe V.C.A., care și-a reiterat declarația din 29 aprilie 2019 (</w:t>
      </w:r>
      <w:r w:rsidR="00074B99">
        <w:rPr>
          <w:i/>
          <w:iCs/>
        </w:rPr>
        <w:t>supra</w:t>
      </w:r>
      <w:r w:rsidR="00074B99">
        <w:t xml:space="preserve">, pct. </w:t>
      </w:r>
      <w:r w:rsidR="00074B99" w:rsidRPr="00F00DCE">
        <w:fldChar w:fldCharType="begin"/>
      </w:r>
      <w:r w:rsidR="00074B99" w:rsidRPr="00F00DCE">
        <w:instrText xml:space="preserve"> REF paragraph00048 \h  \* CharFormat  \* MERGEFORMAT </w:instrText>
      </w:r>
      <w:r w:rsidR="00074B99" w:rsidRPr="00F00DCE">
        <w:fldChar w:fldCharType="separate"/>
      </w:r>
      <w:r>
        <w:t>30</w:t>
      </w:r>
      <w:r w:rsidR="00074B99" w:rsidRPr="00F00DCE">
        <w:fldChar w:fldCharType="end"/>
      </w:r>
      <w:r w:rsidR="00074B99">
        <w:t>).</w:t>
      </w:r>
    </w:p>
    <w:p w:rsidR="0021702B" w:rsidRPr="00F00DCE" w:rsidRDefault="00074B99" w:rsidP="00F00DCE">
      <w:pPr>
        <w:pStyle w:val="JuH1"/>
      </w:pPr>
      <w:r>
        <w:t>Încetarea anchetei</w:t>
      </w:r>
    </w:p>
    <w:p w:rsidR="0021702B" w:rsidRPr="00F00DCE" w:rsidRDefault="00074B99" w:rsidP="00F00DCE">
      <w:pPr>
        <w:pStyle w:val="JuHa0"/>
      </w:pPr>
      <w:r>
        <w:t>Propunerea SIC</w:t>
      </w:r>
    </w:p>
    <w:p w:rsidR="0021702B" w:rsidRPr="00F00DCE" w:rsidRDefault="0094597A" w:rsidP="00F00DCE">
      <w:pPr>
        <w:pStyle w:val="JuPara"/>
      </w:pPr>
      <w:r>
        <w:fldChar w:fldCharType="begin"/>
      </w:r>
      <w:r>
        <w:instrText xml:space="preserve"> SEQ level0 \*arabic</w:instrText>
      </w:r>
      <w:r>
        <w:instrText xml:space="preserve"> \* MERGEFORMAT </w:instrText>
      </w:r>
      <w:r>
        <w:fldChar w:fldCharType="separate"/>
      </w:r>
      <w:bookmarkStart w:id="23" w:name="paragraph00062"/>
      <w:r>
        <w:rPr>
          <w:noProof/>
        </w:rPr>
        <w:t>36</w:t>
      </w:r>
      <w:bookmarkEnd w:id="23"/>
      <w:r>
        <w:rPr>
          <w:noProof/>
        </w:rPr>
        <w:fldChar w:fldCharType="end"/>
      </w:r>
      <w:r w:rsidR="00074B99">
        <w:t>.</w:t>
      </w:r>
      <w:r w:rsidR="00B3763A">
        <w:t xml:space="preserve"> </w:t>
      </w:r>
      <w:r w:rsidR="00074B99">
        <w:t>La 15 ianuarie 2020, SIC a propus ca ancheta față de V.C.A. cu privire la infracțiunea de violare a vieții private să fie clasată din cauză că faptele sale nu au constituit o infracțiune potrivit legii penale, deoarece reclamanta i-a trimis acestuia fotografiile sale intime de bunăvoie. A mai propus renunțarea la urmărirea penală față de V.C.A. cu privire la infracțiunea de fals informatic deoarece nu exista un interes public în continuarea anchetei. A propus să se dispună ca V.C.A. să-i ceară scuze public reclamantei și să efectueze muncă neplătită în folosul comunității timp de 60 de zile.</w:t>
      </w:r>
    </w:p>
    <w:p w:rsidR="0021702B" w:rsidRPr="00F00DCE" w:rsidRDefault="00074B99" w:rsidP="00F00DCE">
      <w:pPr>
        <w:pStyle w:val="JuHa0"/>
      </w:pPr>
      <w:r>
        <w:t>Rezoluția parchetului din 10 iunie 2020</w:t>
      </w:r>
    </w:p>
    <w:p w:rsidR="0021702B" w:rsidRPr="00F00DCE" w:rsidRDefault="0094597A" w:rsidP="00F00DCE">
      <w:pPr>
        <w:pStyle w:val="JuPara"/>
      </w:pPr>
      <w:r>
        <w:fldChar w:fldCharType="begin"/>
      </w:r>
      <w:r>
        <w:instrText xml:space="preserve"> SEQ level0 \*arabic \* MERGEFORMAT </w:instrText>
      </w:r>
      <w:r>
        <w:fldChar w:fldCharType="separate"/>
      </w:r>
      <w:bookmarkStart w:id="24" w:name="paragraph00032"/>
      <w:r>
        <w:rPr>
          <w:noProof/>
        </w:rPr>
        <w:t>37</w:t>
      </w:r>
      <w:bookmarkEnd w:id="24"/>
      <w:r>
        <w:rPr>
          <w:noProof/>
        </w:rPr>
        <w:fldChar w:fldCharType="end"/>
      </w:r>
      <w:r w:rsidR="00074B99">
        <w:t>.</w:t>
      </w:r>
      <w:r w:rsidR="00B3763A">
        <w:t xml:space="preserve"> </w:t>
      </w:r>
      <w:r w:rsidR="00074B99">
        <w:t>La 10 iunie 2020, parchetul a admis propunerea SIC (</w:t>
      </w:r>
      <w:r w:rsidR="00074B99">
        <w:rPr>
          <w:i/>
          <w:iCs/>
        </w:rPr>
        <w:t>supra</w:t>
      </w:r>
      <w:r w:rsidR="00074B99">
        <w:t xml:space="preserve">, pct. </w:t>
      </w:r>
      <w:r w:rsidR="00074B99" w:rsidRPr="00F00DCE">
        <w:fldChar w:fldCharType="begin"/>
      </w:r>
      <w:r w:rsidR="00074B99" w:rsidRPr="00F00DCE">
        <w:instrText xml:space="preserve"> REF paragraph00062 \h  \* CharFormat  \* MERGEFORMAT </w:instrText>
      </w:r>
      <w:r w:rsidR="00074B99" w:rsidRPr="00F00DCE">
        <w:fldChar w:fldCharType="separate"/>
      </w:r>
      <w:r>
        <w:t>36</w:t>
      </w:r>
      <w:r w:rsidR="00074B99" w:rsidRPr="00F00DCE">
        <w:fldChar w:fldCharType="end"/>
      </w:r>
      <w:r w:rsidR="00074B99">
        <w:t>) și a decis clasarea anchetei în privința infracțiunilor de hărțuire și amenințare deoarece nu au fost întrunite elementele constitutive ale infracțiunii de hărțuire în cauza reclamantei și, în orice caz, intervenise prescripția privind cele două infracțiuni.</w:t>
      </w:r>
    </w:p>
    <w:p w:rsidR="0021702B" w:rsidRPr="00F00DCE" w:rsidRDefault="0094597A" w:rsidP="00F00DCE">
      <w:pPr>
        <w:pStyle w:val="JuPara"/>
      </w:pPr>
      <w:r>
        <w:fldChar w:fldCharType="begin"/>
      </w:r>
      <w:r>
        <w:instrText xml:space="preserve"> SEQ level0 \*arabic \* MERGEFORMAT </w:instrText>
      </w:r>
      <w:r>
        <w:fldChar w:fldCharType="separate"/>
      </w:r>
      <w:r>
        <w:rPr>
          <w:noProof/>
        </w:rPr>
        <w:t>38</w:t>
      </w:r>
      <w:r>
        <w:rPr>
          <w:noProof/>
        </w:rPr>
        <w:fldChar w:fldCharType="end"/>
      </w:r>
      <w:r w:rsidR="00074B99">
        <w:t>.</w:t>
      </w:r>
      <w:r w:rsidR="00B3763A">
        <w:t xml:space="preserve"> </w:t>
      </w:r>
      <w:r w:rsidR="00074B99">
        <w:t>Cu privire la infracțiunea de violare a vieții private, a decis că V.C.A. a obținut fotografiile intime ale reclamantei în mod legal și că elementul constitutiv esențial al acestei infracțiuni nu fusese, prin urmare, prezent.</w:t>
      </w:r>
    </w:p>
    <w:p w:rsidR="0021702B" w:rsidRPr="00F00DCE" w:rsidRDefault="0094597A" w:rsidP="00F00DCE">
      <w:pPr>
        <w:pStyle w:val="JuPara"/>
      </w:pPr>
      <w:r>
        <w:fldChar w:fldCharType="begin"/>
      </w:r>
      <w:r>
        <w:instrText xml:space="preserve"> SEQ level0 \*arabic \* MERGEFORMAT </w:instrText>
      </w:r>
      <w:r>
        <w:fldChar w:fldCharType="separate"/>
      </w:r>
      <w:bookmarkStart w:id="25" w:name="paragraph00068"/>
      <w:r>
        <w:rPr>
          <w:noProof/>
        </w:rPr>
        <w:t>39</w:t>
      </w:r>
      <w:bookmarkEnd w:id="25"/>
      <w:r>
        <w:rPr>
          <w:noProof/>
        </w:rPr>
        <w:fldChar w:fldCharType="end"/>
      </w:r>
      <w:r w:rsidR="00074B99">
        <w:t>.</w:t>
      </w:r>
      <w:r w:rsidR="00B3763A">
        <w:t xml:space="preserve"> </w:t>
      </w:r>
      <w:r w:rsidR="00074B99">
        <w:t>Cu privire la infracțiunea de fals informatic, a constatat că era neîndoielnic faptul că V.C.A. avusese un comportament condamnabil, având un anumit grad de pericol social, deoarece implica riscul ca reclamanta să fie supusă unui anumit nivel de traumă psihică. Cu toate acestea, potrivit probelor aflate la dosar, urmărirea penală putea înceta pentru următoarele motive speciale.</w:t>
      </w:r>
    </w:p>
    <w:p w:rsidR="0021702B" w:rsidRPr="00F00DCE" w:rsidRDefault="0094597A" w:rsidP="00F00DCE">
      <w:pPr>
        <w:pStyle w:val="JuPara"/>
      </w:pPr>
      <w:r>
        <w:fldChar w:fldCharType="begin"/>
      </w:r>
      <w:r>
        <w:instrText xml:space="preserve"> SEQ level0 \*arabic \* MERGEFORMAT </w:instrText>
      </w:r>
      <w:r>
        <w:fldChar w:fldCharType="separate"/>
      </w:r>
      <w:r>
        <w:rPr>
          <w:noProof/>
        </w:rPr>
        <w:t>40</w:t>
      </w:r>
      <w:r>
        <w:rPr>
          <w:noProof/>
        </w:rPr>
        <w:fldChar w:fldCharType="end"/>
      </w:r>
      <w:r w:rsidR="00074B99">
        <w:t>.</w:t>
      </w:r>
      <w:r w:rsidR="00B3763A">
        <w:t xml:space="preserve"> </w:t>
      </w:r>
      <w:r w:rsidR="00074B99">
        <w:t xml:space="preserve">Parchetul a afirmat că propunerea de mai sus ar fi benefică pentru reclamantă. A apreciat că punerea sub acuzare a lui V.C.A. ar prelungi procedura și ar obliga-o pe reclamantă să retrăiască experiențele negative din 2016, deoarece, în timpul procesului, unele dintre probele disponibile pot fi reexaminate și pot fi culese probe noi. A considerat că, în astfel de circumstanțe, reclamanta ar putea experimenta din nou sau chiar simți o </w:t>
      </w:r>
      <w:r w:rsidR="00074B99">
        <w:lastRenderedPageBreak/>
        <w:t>agravare a stării de anxietate pe care (conform acesteia) a simțit-o atunci când a fost interogată de autoritățile de anchetă.</w:t>
      </w:r>
    </w:p>
    <w:p w:rsidR="0021702B" w:rsidRPr="00F00DCE" w:rsidRDefault="0094597A" w:rsidP="00F00DCE">
      <w:pPr>
        <w:pStyle w:val="JuPara"/>
      </w:pPr>
      <w:r>
        <w:fldChar w:fldCharType="begin"/>
      </w:r>
      <w:r>
        <w:instrText xml:space="preserve"> SEQ level0 \*arabic \* MERGEFORMAT </w:instrText>
      </w:r>
      <w:r>
        <w:fldChar w:fldCharType="separate"/>
      </w:r>
      <w:r>
        <w:rPr>
          <w:noProof/>
        </w:rPr>
        <w:t>41</w:t>
      </w:r>
      <w:r>
        <w:rPr>
          <w:noProof/>
        </w:rPr>
        <w:fldChar w:fldCharType="end"/>
      </w:r>
      <w:r w:rsidR="00074B99">
        <w:t>.</w:t>
      </w:r>
      <w:r w:rsidR="00B3763A">
        <w:t xml:space="preserve"> </w:t>
      </w:r>
      <w:r w:rsidR="00074B99">
        <w:t>În plus, date fiind faptele cauzei, punerea sub acuzare a lui V.C.A. ar</w:t>
      </w:r>
      <w:r w:rsidR="00B3763A">
        <w:t xml:space="preserve"> </w:t>
      </w:r>
      <w:r w:rsidR="00074B99">
        <w:t>constitui o „sancționare” excesivă, fiind contrară rolului modest și excepțional jucat în general de procedura penală în formarea, dezvoltarea și educarea tinerilor. A atras atenția că, la momentul faptelor în discuție, V.C.A. și reclamanta erau studenți fără multă experiență de viață, care fuseseră predispuși să acționeze instinctiv, și nu rațional, stimulați de dorința de a experimenta experiențe sexuale specifice vârstei.</w:t>
      </w:r>
    </w:p>
    <w:p w:rsidR="0021702B" w:rsidRPr="00F00DCE" w:rsidRDefault="0094597A" w:rsidP="00F00DCE">
      <w:pPr>
        <w:pStyle w:val="JuPara"/>
      </w:pPr>
      <w:r>
        <w:fldChar w:fldCharType="begin"/>
      </w:r>
      <w:r>
        <w:instrText xml:space="preserve"> SEQ level0 \*arabic \* MERGEFORMAT </w:instrText>
      </w:r>
      <w:r>
        <w:fldChar w:fldCharType="separate"/>
      </w:r>
      <w:bookmarkStart w:id="26" w:name="paragraph00071"/>
      <w:r>
        <w:rPr>
          <w:noProof/>
        </w:rPr>
        <w:t>42</w:t>
      </w:r>
      <w:bookmarkEnd w:id="26"/>
      <w:r>
        <w:rPr>
          <w:noProof/>
        </w:rPr>
        <w:fldChar w:fldCharType="end"/>
      </w:r>
      <w:r w:rsidR="00074B99">
        <w:t>.</w:t>
      </w:r>
      <w:r w:rsidR="00B3763A">
        <w:t xml:space="preserve"> </w:t>
      </w:r>
      <w:r w:rsidR="00074B99">
        <w:t>În plus, alegând să trimită în mod regulat lui V.C.A. fotografii în care ea era în „ipostaze indecente”, reclamanta însăși a contribuit substanțial la transformarea relației sale cu el într-una „centrată pe o sexualitate exacerbată”.</w:t>
      </w:r>
    </w:p>
    <w:p w:rsidR="0021702B" w:rsidRPr="00F00DCE" w:rsidRDefault="0094597A" w:rsidP="00F00DCE">
      <w:pPr>
        <w:pStyle w:val="JuPara"/>
      </w:pPr>
      <w:r>
        <w:fldChar w:fldCharType="begin"/>
      </w:r>
      <w:r>
        <w:instrText xml:space="preserve"> SEQ level0 \*arabic \* MERGEFORMAT </w:instrText>
      </w:r>
      <w:r>
        <w:fldChar w:fldCharType="separate"/>
      </w:r>
      <w:bookmarkStart w:id="27" w:name="paragraph00043"/>
      <w:r>
        <w:rPr>
          <w:noProof/>
        </w:rPr>
        <w:t>43</w:t>
      </w:r>
      <w:bookmarkEnd w:id="27"/>
      <w:r>
        <w:rPr>
          <w:noProof/>
        </w:rPr>
        <w:fldChar w:fldCharType="end"/>
      </w:r>
      <w:r w:rsidR="00074B99">
        <w:t>.</w:t>
      </w:r>
      <w:r w:rsidR="00B3763A">
        <w:t xml:space="preserve"> </w:t>
      </w:r>
      <w:r w:rsidR="00074B99">
        <w:t>De asemenea, V.C.A. a avut un scop mai degrabă copilăresc când a săvârșit actele în cauză – și anume, răzbunarea pe motive de gelozie – și că a fost împins să acționeze în acest mod de un cumul de factori (inclusiv vârsta și lipsa de experiență).</w:t>
      </w:r>
    </w:p>
    <w:p w:rsidR="0021702B" w:rsidRPr="00F00DCE" w:rsidRDefault="0094597A" w:rsidP="00F00DCE">
      <w:pPr>
        <w:pStyle w:val="JuPara"/>
      </w:pPr>
      <w:r>
        <w:fldChar w:fldCharType="begin"/>
      </w:r>
      <w:r>
        <w:instrText xml:space="preserve"> SEQ level0 \*arabic \* MERGEFORMAT </w:instrText>
      </w:r>
      <w:r>
        <w:fldChar w:fldCharType="separate"/>
      </w:r>
      <w:bookmarkStart w:id="28" w:name="paragraph00069"/>
      <w:r>
        <w:rPr>
          <w:noProof/>
        </w:rPr>
        <w:t>44</w:t>
      </w:r>
      <w:bookmarkEnd w:id="28"/>
      <w:r>
        <w:rPr>
          <w:noProof/>
        </w:rPr>
        <w:fldChar w:fldCharType="end"/>
      </w:r>
      <w:r w:rsidR="00074B99">
        <w:t>.</w:t>
      </w:r>
      <w:r w:rsidR="00B3763A">
        <w:t xml:space="preserve"> </w:t>
      </w:r>
      <w:r w:rsidR="00074B99">
        <w:t>Reclamanta a răspuns cu dificultate la citațiile inițiale ale autorităților de anchetă pentru a da o declarație cu privire la caz – deși era esențială clarificarea detaliilor din plângerea sa pentru a începe și a desfășura o anchetă efectivă și promptă (unele elemente de probă fiind stocate online sau pe computere). Dimpotrivă, o dată ce reclamanta și reprezentantul ei legal au clarificat toate acuzațiile aduse lui V.C.A., acesta a apărut în fața autorităților competente de fiecare dată când a fost citat, și-a recunoscut actele și a cooperat cu anchetatorii.</w:t>
      </w:r>
    </w:p>
    <w:bookmarkStart w:id="29" w:name="paragraph00041"/>
    <w:p w:rsidR="0021702B" w:rsidRPr="00F00DCE" w:rsidRDefault="00074B99" w:rsidP="00F00DCE">
      <w:pPr>
        <w:pStyle w:val="JuPara"/>
        <w:rPr>
          <w:rFonts w:cstheme="minorHAnsi"/>
          <w:color w:val="000000"/>
        </w:rPr>
      </w:pPr>
      <w:r w:rsidRPr="00F00DCE">
        <w:rPr>
          <w:rFonts w:cstheme="minorHAnsi"/>
          <w:color w:val="000000"/>
        </w:rPr>
        <w:fldChar w:fldCharType="begin"/>
      </w:r>
      <w:r w:rsidRPr="00F00DCE">
        <w:rPr>
          <w:rFonts w:cstheme="minorHAnsi"/>
          <w:color w:val="000000"/>
        </w:rPr>
        <w:instrText xml:space="preserve"> SEQ level0 \*arabic \* MERGEFORMAT </w:instrText>
      </w:r>
      <w:r w:rsidRPr="00F00DCE">
        <w:rPr>
          <w:rFonts w:cstheme="minorHAnsi"/>
          <w:color w:val="000000"/>
        </w:rPr>
        <w:fldChar w:fldCharType="separate"/>
      </w:r>
      <w:r w:rsidR="0094597A">
        <w:rPr>
          <w:rFonts w:cstheme="minorHAnsi"/>
          <w:noProof/>
          <w:color w:val="000000"/>
        </w:rPr>
        <w:t>45</w:t>
      </w:r>
      <w:r w:rsidRPr="00F00DCE">
        <w:rPr>
          <w:rFonts w:cstheme="minorHAnsi"/>
          <w:color w:val="000000"/>
        </w:rPr>
        <w:fldChar w:fldCharType="end"/>
      </w:r>
      <w:bookmarkEnd w:id="29"/>
      <w:r>
        <w:rPr>
          <w:color w:val="000000"/>
        </w:rPr>
        <w:t>.</w:t>
      </w:r>
      <w:r w:rsidR="00B3763A">
        <w:rPr>
          <w:color w:val="000000"/>
        </w:rPr>
        <w:t xml:space="preserve"> </w:t>
      </w:r>
      <w:r>
        <w:t xml:space="preserve">Procurorul a concluzionat că, având în vedere </w:t>
      </w:r>
      <w:r>
        <w:rPr>
          <w:color w:val="000000"/>
        </w:rPr>
        <w:t>circumstanțele, soluția propusă (</w:t>
      </w:r>
      <w:r>
        <w:rPr>
          <w:i/>
          <w:iCs/>
          <w:color w:val="000000"/>
        </w:rPr>
        <w:t>supra</w:t>
      </w:r>
      <w:r>
        <w:rPr>
          <w:color w:val="000000"/>
        </w:rPr>
        <w:t xml:space="preserve">, pct. </w:t>
      </w:r>
      <w:r w:rsidRPr="00F00DCE">
        <w:rPr>
          <w:rFonts w:cstheme="minorHAnsi"/>
          <w:color w:val="000000"/>
        </w:rPr>
        <w:fldChar w:fldCharType="begin"/>
      </w:r>
      <w:r w:rsidRPr="00F00DCE">
        <w:rPr>
          <w:rFonts w:cstheme="minorHAnsi"/>
          <w:color w:val="000000"/>
        </w:rPr>
        <w:instrText xml:space="preserve"> REF paragraph00062 \h  \* CharFormat </w:instrText>
      </w:r>
      <w:r w:rsidRPr="00F00DCE">
        <w:rPr>
          <w:rFonts w:cstheme="minorHAnsi"/>
          <w:color w:val="000000"/>
        </w:rPr>
      </w:r>
      <w:r w:rsidRPr="00F00DCE">
        <w:rPr>
          <w:rFonts w:cstheme="minorHAnsi"/>
          <w:color w:val="000000"/>
        </w:rPr>
        <w:fldChar w:fldCharType="separate"/>
      </w:r>
      <w:r w:rsidR="0094597A" w:rsidRPr="0094597A">
        <w:rPr>
          <w:rFonts w:cstheme="minorHAnsi"/>
          <w:color w:val="000000"/>
        </w:rPr>
        <w:t>36</w:t>
      </w:r>
      <w:r w:rsidRPr="00F00DCE">
        <w:rPr>
          <w:rFonts w:cstheme="minorHAnsi"/>
          <w:color w:val="000000"/>
        </w:rPr>
        <w:fldChar w:fldCharType="end"/>
      </w:r>
      <w:r>
        <w:rPr>
          <w:color w:val="000000"/>
        </w:rPr>
        <w:t>-</w:t>
      </w:r>
      <w:r w:rsidRPr="00F00DCE">
        <w:rPr>
          <w:rFonts w:cstheme="minorHAnsi"/>
          <w:color w:val="000000"/>
        </w:rPr>
        <w:fldChar w:fldCharType="begin"/>
      </w:r>
      <w:r w:rsidRPr="00F00DCE">
        <w:rPr>
          <w:rFonts w:cstheme="minorHAnsi"/>
          <w:color w:val="000000"/>
        </w:rPr>
        <w:instrText xml:space="preserve"> REF paragraph00032 \h  \* CharFormat  \* MERGEFORMAT </w:instrText>
      </w:r>
      <w:r w:rsidRPr="00F00DCE">
        <w:rPr>
          <w:rFonts w:cstheme="minorHAnsi"/>
          <w:color w:val="000000"/>
        </w:rPr>
      </w:r>
      <w:r w:rsidRPr="00F00DCE">
        <w:rPr>
          <w:rFonts w:cstheme="minorHAnsi"/>
          <w:color w:val="000000"/>
        </w:rPr>
        <w:fldChar w:fldCharType="separate"/>
      </w:r>
      <w:r w:rsidR="0094597A" w:rsidRPr="0094597A">
        <w:rPr>
          <w:rFonts w:cstheme="minorHAnsi"/>
          <w:color w:val="000000"/>
        </w:rPr>
        <w:t>37</w:t>
      </w:r>
      <w:r w:rsidRPr="00F00DCE">
        <w:rPr>
          <w:rFonts w:cstheme="minorHAnsi"/>
          <w:color w:val="000000"/>
        </w:rPr>
        <w:fldChar w:fldCharType="end"/>
      </w:r>
      <w:r>
        <w:rPr>
          <w:color w:val="000000"/>
        </w:rPr>
        <w:t>) constituia o pedeapsă suficientă pentru V.C.A. și o reparație corectă pentru reclamantă din perspectiva legislației penale.</w:t>
      </w:r>
    </w:p>
    <w:p w:rsidR="0021702B" w:rsidRPr="00F00DCE" w:rsidRDefault="00074B99" w:rsidP="00F00DCE">
      <w:pPr>
        <w:pStyle w:val="JuHa0"/>
      </w:pPr>
      <w:r>
        <w:t>Constatarea judiciară privind acuzația de fals informatic</w:t>
      </w:r>
    </w:p>
    <w:p w:rsidR="0021702B" w:rsidRPr="00F00DCE" w:rsidRDefault="0094597A" w:rsidP="00F00DCE">
      <w:pPr>
        <w:pStyle w:val="JuPara"/>
      </w:pPr>
      <w:r>
        <w:fldChar w:fldCharType="begin"/>
      </w:r>
      <w:r>
        <w:instrText xml:space="preserve"> SEQ level0 \*arabic \* MERGEFORMAT </w:instrText>
      </w:r>
      <w:r>
        <w:fldChar w:fldCharType="separate"/>
      </w:r>
      <w:bookmarkStart w:id="30" w:name="paragraph00046"/>
      <w:r>
        <w:rPr>
          <w:noProof/>
        </w:rPr>
        <w:t>46</w:t>
      </w:r>
      <w:bookmarkEnd w:id="30"/>
      <w:r>
        <w:rPr>
          <w:noProof/>
        </w:rPr>
        <w:fldChar w:fldCharType="end"/>
      </w:r>
      <w:r w:rsidR="00074B99">
        <w:t>.</w:t>
      </w:r>
      <w:r w:rsidR="00B3763A">
        <w:t xml:space="preserve"> </w:t>
      </w:r>
      <w:r w:rsidR="00074B99">
        <w:t>Prin încheierea din 30 iulie 2020, care nu putea fi atacată, judecătoria, în complet de judecător unic de cameră preliminară (și anume, C.B.), a confirmat ordonanța parchetului cu privire la infracțiunea de fals informatic (</w:t>
      </w:r>
      <w:r w:rsidR="00074B99">
        <w:rPr>
          <w:i/>
          <w:iCs/>
        </w:rPr>
        <w:t>supra</w:t>
      </w:r>
      <w:r w:rsidR="00074B99">
        <w:t>, pct.</w:t>
      </w:r>
      <w:r w:rsidR="00B3763A">
        <w:t xml:space="preserve"> </w:t>
      </w:r>
      <w:r w:rsidR="00074B99" w:rsidRPr="00F00DCE">
        <w:fldChar w:fldCharType="begin"/>
      </w:r>
      <w:r w:rsidR="00074B99" w:rsidRPr="00F00DCE">
        <w:instrText xml:space="preserve"> REF paragraph00062 \h  \* CharFormat </w:instrText>
      </w:r>
      <w:r w:rsidR="00074B99" w:rsidRPr="00F00DCE">
        <w:fldChar w:fldCharType="separate"/>
      </w:r>
      <w:r>
        <w:t>36</w:t>
      </w:r>
      <w:r w:rsidR="00074B99" w:rsidRPr="00F00DCE">
        <w:fldChar w:fldCharType="end"/>
      </w:r>
      <w:r w:rsidR="00074B99">
        <w:t>-</w:t>
      </w:r>
      <w:r w:rsidR="00074B99" w:rsidRPr="00F00DCE">
        <w:fldChar w:fldCharType="begin"/>
      </w:r>
      <w:r w:rsidR="00074B99" w:rsidRPr="00F00DCE">
        <w:instrText xml:space="preserve"> REF paragraph00032 \h  \* CharFormat  \* MERGEFORMAT </w:instrText>
      </w:r>
      <w:r w:rsidR="00074B99" w:rsidRPr="00F00DCE">
        <w:fldChar w:fldCharType="separate"/>
      </w:r>
      <w:r>
        <w:t>37</w:t>
      </w:r>
      <w:r w:rsidR="00074B99" w:rsidRPr="00F00DCE">
        <w:fldChar w:fldCharType="end"/>
      </w:r>
      <w:r w:rsidR="00074B99">
        <w:t>) în urma cererii acestuia. A constatat că parchetul a interpretat și a aplicat corect dispozițiile relevante din Codul de procedură penală care permit încetarea urmăririi penale.</w:t>
      </w:r>
    </w:p>
    <w:p w:rsidR="0021702B" w:rsidRPr="00F00DCE" w:rsidRDefault="00074B99" w:rsidP="00F00DCE">
      <w:pPr>
        <w:pStyle w:val="JuH1"/>
      </w:pPr>
      <w:r>
        <w:t>Plângerea reclamantei la procurorul ierarhic superior cu privire la ordonanța parchetului din 10 iunie 2020</w:t>
      </w:r>
    </w:p>
    <w:p w:rsidR="0021702B" w:rsidRPr="00F00DCE" w:rsidRDefault="0094597A" w:rsidP="00F00DCE">
      <w:pPr>
        <w:pStyle w:val="JuPara"/>
      </w:pPr>
      <w:r>
        <w:fldChar w:fldCharType="begin"/>
      </w:r>
      <w:r>
        <w:instrText xml:space="preserve"> SEQ level0 \*arabic \* MERGEFORMAT </w:instrText>
      </w:r>
      <w:r>
        <w:fldChar w:fldCharType="separate"/>
      </w:r>
      <w:bookmarkStart w:id="31" w:name="paragraph00052"/>
      <w:r>
        <w:rPr>
          <w:noProof/>
        </w:rPr>
        <w:t>47</w:t>
      </w:r>
      <w:bookmarkEnd w:id="31"/>
      <w:r>
        <w:rPr>
          <w:noProof/>
        </w:rPr>
        <w:fldChar w:fldCharType="end"/>
      </w:r>
      <w:r w:rsidR="00074B99">
        <w:t>.</w:t>
      </w:r>
      <w:r w:rsidR="00B3763A">
        <w:t xml:space="preserve"> </w:t>
      </w:r>
      <w:r w:rsidR="00074B99">
        <w:t xml:space="preserve">La 3 iulie 2020, reclamanta a formulat o plângere împotriva ordonanței din 10 iunie 2020 în fața procurorului ierarhic superior. A susținut că ordonanța nu i-a fost comunicată și că plângerea sa se întemeia pe fragmente </w:t>
      </w:r>
      <w:r w:rsidR="00074B99">
        <w:lastRenderedPageBreak/>
        <w:t>din aceasta citate de presă. Prin urmare, nu a putut formula o plângere motivată corespunzător.</w:t>
      </w:r>
    </w:p>
    <w:p w:rsidR="0021702B" w:rsidRPr="00F00DCE" w:rsidRDefault="0094597A" w:rsidP="00F00DCE">
      <w:pPr>
        <w:pStyle w:val="JuPara"/>
      </w:pPr>
      <w:r>
        <w:fldChar w:fldCharType="begin"/>
      </w:r>
      <w:r>
        <w:instrText xml:space="preserve"> SEQ level0 \*arabic \* MERGEFORMAT </w:instrText>
      </w:r>
      <w:r>
        <w:fldChar w:fldCharType="separate"/>
      </w:r>
      <w:r>
        <w:rPr>
          <w:noProof/>
        </w:rPr>
        <w:t>48</w:t>
      </w:r>
      <w:r>
        <w:rPr>
          <w:noProof/>
        </w:rPr>
        <w:fldChar w:fldCharType="end"/>
      </w:r>
      <w:r w:rsidR="00074B99">
        <w:t>.</w:t>
      </w:r>
      <w:r w:rsidR="00B3763A">
        <w:t xml:space="preserve"> </w:t>
      </w:r>
      <w:r w:rsidR="00074B99">
        <w:t xml:space="preserve">Mai mult, concluzia procurorului că V.C.A. avusese un scop mai degrabă copilăresc când a săvârșit actele în cauză susținea o versiune la care autoritățile de anchetă </w:t>
      </w:r>
      <w:r w:rsidR="00482979">
        <w:t xml:space="preserve">au </w:t>
      </w:r>
      <w:r w:rsidR="00074B99">
        <w:t>subscri</w:t>
      </w:r>
      <w:r w:rsidR="00482979">
        <w:t>s</w:t>
      </w:r>
      <w:r w:rsidR="00074B99">
        <w:t xml:space="preserve"> pe tot parcursul urmăririi penale – și anume că persoana în mod real răspunzătoare de difuzarea fotografiilor sale intime era în fapt ea.</w:t>
      </w:r>
    </w:p>
    <w:p w:rsidR="0021702B" w:rsidRPr="00F00DCE" w:rsidRDefault="0094597A" w:rsidP="00F00DCE">
      <w:pPr>
        <w:pStyle w:val="JuPara"/>
      </w:pPr>
      <w:r>
        <w:fldChar w:fldCharType="begin"/>
      </w:r>
      <w:r>
        <w:instrText xml:space="preserve"> SEQ level0 \*arabic \* MERGEFORMAT </w:instrText>
      </w:r>
      <w:r>
        <w:fldChar w:fldCharType="separate"/>
      </w:r>
      <w:bookmarkStart w:id="32" w:name="paragraph00081"/>
      <w:r>
        <w:rPr>
          <w:noProof/>
        </w:rPr>
        <w:t>49</w:t>
      </w:r>
      <w:bookmarkEnd w:id="32"/>
      <w:r>
        <w:rPr>
          <w:noProof/>
        </w:rPr>
        <w:fldChar w:fldCharType="end"/>
      </w:r>
      <w:r w:rsidR="00074B99">
        <w:t>.</w:t>
      </w:r>
      <w:r w:rsidR="00B3763A">
        <w:t xml:space="preserve"> </w:t>
      </w:r>
      <w:r w:rsidR="00074B99">
        <w:t xml:space="preserve">În continuare, constatările parchetului cu privire la comportamentul acesteia pe durata anchetei erau irelevante și au ignorat comportamentul lui I.T.A. față de ea și constatările judecătoriei descrise </w:t>
      </w:r>
      <w:r w:rsidR="00074B99" w:rsidRPr="00482979">
        <w:rPr>
          <w:i/>
        </w:rPr>
        <w:t>supra</w:t>
      </w:r>
      <w:r w:rsidR="00074B99">
        <w:t xml:space="preserve">, pct. </w:t>
      </w:r>
      <w:r w:rsidR="00074B99" w:rsidRPr="00F00DCE">
        <w:fldChar w:fldCharType="begin"/>
      </w:r>
      <w:r w:rsidR="00074B99" w:rsidRPr="00F00DCE">
        <w:instrText xml:space="preserve"> REF paragraph00044 \h  \* CharFormat </w:instrText>
      </w:r>
      <w:r w:rsidR="00074B99" w:rsidRPr="00F00DCE">
        <w:fldChar w:fldCharType="separate"/>
      </w:r>
      <w:r>
        <w:t>34</w:t>
      </w:r>
      <w:r w:rsidR="00074B99" w:rsidRPr="00F00DCE">
        <w:fldChar w:fldCharType="end"/>
      </w:r>
      <w:r w:rsidR="00074B99">
        <w:t>. De asemenea, din momentul în care a angajat un avocat, a răspuns la toate citațiile și a insistat că își menține cererea.</w:t>
      </w:r>
    </w:p>
    <w:p w:rsidR="0021702B" w:rsidRPr="00F00DCE" w:rsidRDefault="0094597A" w:rsidP="00F00DCE">
      <w:pPr>
        <w:pStyle w:val="JuPara"/>
      </w:pPr>
      <w:r>
        <w:fldChar w:fldCharType="begin"/>
      </w:r>
      <w:r>
        <w:instrText xml:space="preserve"> SEQ level0 \*arabic \* MERGEFORMAT </w:instrText>
      </w:r>
      <w:r>
        <w:fldChar w:fldCharType="separate"/>
      </w:r>
      <w:bookmarkStart w:id="33" w:name="paragraph00047"/>
      <w:r>
        <w:rPr>
          <w:noProof/>
        </w:rPr>
        <w:t>50</w:t>
      </w:r>
      <w:bookmarkEnd w:id="33"/>
      <w:r>
        <w:rPr>
          <w:noProof/>
        </w:rPr>
        <w:fldChar w:fldCharType="end"/>
      </w:r>
      <w:r w:rsidR="00074B99">
        <w:t>.</w:t>
      </w:r>
      <w:r w:rsidR="00B3763A">
        <w:t xml:space="preserve"> </w:t>
      </w:r>
      <w:r w:rsidR="00074B99">
        <w:t>La 5 octombrie 2020, procurorul ierarhic superior a respins plângerea reclamantei ca nefondată și a menținut ordonanța menționată.</w:t>
      </w:r>
    </w:p>
    <w:p w:rsidR="0021702B" w:rsidRPr="00F00DCE" w:rsidRDefault="00074B99" w:rsidP="00F00DCE">
      <w:pPr>
        <w:pStyle w:val="JuH1"/>
      </w:pPr>
      <w:r>
        <w:t>Plângerea reclamantei la judecătorie împotriva ordonanței parchetului din 10 iunie 2020</w:t>
      </w:r>
    </w:p>
    <w:p w:rsidR="0021702B" w:rsidRPr="00F00DCE" w:rsidRDefault="0094597A" w:rsidP="00F00DCE">
      <w:pPr>
        <w:pStyle w:val="JuPara"/>
      </w:pPr>
      <w:r>
        <w:fldChar w:fldCharType="begin"/>
      </w:r>
      <w:r>
        <w:instrText xml:space="preserve"> SEQ level0 \*arabic \* MERGEFORMAT </w:instrText>
      </w:r>
      <w:r>
        <w:fldChar w:fldCharType="separate"/>
      </w:r>
      <w:bookmarkStart w:id="34" w:name="paragraph00080"/>
      <w:r>
        <w:rPr>
          <w:noProof/>
        </w:rPr>
        <w:t>51</w:t>
      </w:r>
      <w:bookmarkEnd w:id="34"/>
      <w:r>
        <w:rPr>
          <w:noProof/>
        </w:rPr>
        <w:fldChar w:fldCharType="end"/>
      </w:r>
      <w:r w:rsidR="00074B99">
        <w:t>.</w:t>
      </w:r>
      <w:r w:rsidR="00B3763A">
        <w:t xml:space="preserve"> </w:t>
      </w:r>
      <w:r w:rsidR="00074B99">
        <w:t>La 22 septembrie 2020, reclamanta a depus la judecătorie o plângere împotriva ordonanței parchetului din 10 iunie 2020, o copie a acesteia pe care o obținuse de la avocatul lui V.C.A., și a reiterat argumentele pe care le invocase în fața procurorul ierarhic superior (</w:t>
      </w:r>
      <w:r w:rsidR="00074B99">
        <w:rPr>
          <w:i/>
          <w:iCs/>
        </w:rPr>
        <w:t>supra</w:t>
      </w:r>
      <w:r w:rsidR="00074B99">
        <w:t xml:space="preserve">, pct. </w:t>
      </w:r>
      <w:r w:rsidR="00074B99" w:rsidRPr="00F00DCE">
        <w:fldChar w:fldCharType="begin"/>
      </w:r>
      <w:r w:rsidR="00074B99" w:rsidRPr="00F00DCE">
        <w:instrText xml:space="preserve"> REF paragraph00052 \h  \* CharFormat </w:instrText>
      </w:r>
      <w:r w:rsidR="00074B99" w:rsidRPr="00F00DCE">
        <w:fldChar w:fldCharType="separate"/>
      </w:r>
      <w:r>
        <w:t>47</w:t>
      </w:r>
      <w:r w:rsidR="00074B99" w:rsidRPr="00F00DCE">
        <w:fldChar w:fldCharType="end"/>
      </w:r>
      <w:r w:rsidR="00074B99">
        <w:t>-</w:t>
      </w:r>
      <w:r w:rsidR="00074B99" w:rsidRPr="00F00DCE">
        <w:fldChar w:fldCharType="begin"/>
      </w:r>
      <w:r w:rsidR="00074B99" w:rsidRPr="00F00DCE">
        <w:instrText xml:space="preserve"> REF paragraph00081 \h  \* CharFormat </w:instrText>
      </w:r>
      <w:r w:rsidR="00074B99" w:rsidRPr="00F00DCE">
        <w:fldChar w:fldCharType="separate"/>
      </w:r>
      <w:r>
        <w:t>49</w:t>
      </w:r>
      <w:r w:rsidR="00074B99" w:rsidRPr="00F00DCE">
        <w:fldChar w:fldCharType="end"/>
      </w:r>
      <w:r w:rsidR="00074B99">
        <w:t>).</w:t>
      </w:r>
    </w:p>
    <w:p w:rsidR="0021702B" w:rsidRPr="00F00DCE" w:rsidRDefault="0094597A" w:rsidP="00F00DCE">
      <w:pPr>
        <w:pStyle w:val="JuPara"/>
      </w:pPr>
      <w:r>
        <w:fldChar w:fldCharType="begin"/>
      </w:r>
      <w:r>
        <w:instrText xml:space="preserve"> SEQ level0 \*arabic \* MERGEFORMAT </w:instrText>
      </w:r>
      <w:r>
        <w:fldChar w:fldCharType="separate"/>
      </w:r>
      <w:bookmarkStart w:id="35" w:name="paragraph00083"/>
      <w:r>
        <w:rPr>
          <w:noProof/>
        </w:rPr>
        <w:t>52</w:t>
      </w:r>
      <w:bookmarkEnd w:id="35"/>
      <w:r>
        <w:rPr>
          <w:noProof/>
        </w:rPr>
        <w:fldChar w:fldCharType="end"/>
      </w:r>
      <w:r w:rsidR="00074B99">
        <w:t>.</w:t>
      </w:r>
      <w:r w:rsidR="00B3763A">
        <w:t xml:space="preserve"> </w:t>
      </w:r>
      <w:r w:rsidR="00074B99">
        <w:t xml:space="preserve">Ulterior, a adăugat că decizia de a înceta ancheta în ceea ce privește infracțiunea de violare a vieții private a fost nelegală întrucât doctrina și practica interne relevante confirmau aproape în unanimitate că elementele constitutive ale infracțiunii prevăzute la art. 226 alin. (2) C. </w:t>
      </w:r>
      <w:proofErr w:type="spellStart"/>
      <w:r w:rsidR="00074B99">
        <w:t>pen</w:t>
      </w:r>
      <w:proofErr w:type="spellEnd"/>
      <w:r w:rsidR="00074B99">
        <w:t>. sunt considerate a fi fost întrunite dacă transmiterea imaginilor private s-a efectuat fără drept – indiferent dacă imaginile în discuție erau obținute cu drept sau fără drept în sensul art. 226 alin. (1). Prin urmare, faptul că reclamanta i-a trimis de bunăvoie lui V.C.A. fotografiile sale intime era irelevant, având în vedere că fotografiile în discuție erau private la acel moment și că V.C.A. le-a difuzat fără drept.</w:t>
      </w:r>
    </w:p>
    <w:p w:rsidR="0021702B" w:rsidRPr="00F00DCE" w:rsidRDefault="0094597A" w:rsidP="00F00DCE">
      <w:pPr>
        <w:pStyle w:val="JuPara"/>
      </w:pPr>
      <w:r>
        <w:fldChar w:fldCharType="begin"/>
      </w:r>
      <w:r>
        <w:instrText xml:space="preserve"> SEQ level0 \*arabic \* MERGEFORMAT </w:instrText>
      </w:r>
      <w:r>
        <w:fldChar w:fldCharType="separate"/>
      </w:r>
      <w:bookmarkStart w:id="36" w:name="paragraph00057"/>
      <w:r>
        <w:rPr>
          <w:noProof/>
        </w:rPr>
        <w:t>53</w:t>
      </w:r>
      <w:bookmarkEnd w:id="36"/>
      <w:r>
        <w:rPr>
          <w:noProof/>
        </w:rPr>
        <w:fldChar w:fldCharType="end"/>
      </w:r>
      <w:r w:rsidR="00074B99">
        <w:t>.</w:t>
      </w:r>
      <w:r w:rsidR="00B3763A">
        <w:t xml:space="preserve"> </w:t>
      </w:r>
      <w:r w:rsidR="00074B99">
        <w:t xml:space="preserve">Doar interpretarea sus-menționată acorda protecție practică și efectivă vieții private a persoanei din perspectiva obligațiilor pozitive ale statului prevăzute de art. 8 din Convenție, așa cum erau reflectate de jurisprudența Curții (s-a făcut trimitere la </w:t>
      </w:r>
      <w:bookmarkStart w:id="37" w:name="_cl35110"/>
      <w:r w:rsidR="00074B99">
        <w:rPr>
          <w:i/>
        </w:rPr>
        <w:t>Rodina împotriva Letoniei</w:t>
      </w:r>
      <w:bookmarkEnd w:id="37"/>
      <w:r w:rsidR="00074B99">
        <w:rPr>
          <w:i/>
        </w:rPr>
        <w:t>,</w:t>
      </w:r>
      <w:r w:rsidR="00074B99">
        <w:t xml:space="preserve"> nr. 48534/10 și 19532/15, 14 mai 2020). A considera în alt mod ar însemna în esență a exclude din domeniul de aplicare al infracțiunii în cauză tocmai tiparul comportamental cu cel mai serios și vizibil impact social.</w:t>
      </w:r>
    </w:p>
    <w:p w:rsidR="0021702B" w:rsidRPr="00F00DCE" w:rsidRDefault="0094597A" w:rsidP="00F00DCE">
      <w:pPr>
        <w:pStyle w:val="JuPara"/>
      </w:pPr>
      <w:r>
        <w:fldChar w:fldCharType="begin"/>
      </w:r>
      <w:r>
        <w:instrText xml:space="preserve"> SEQ level0 \*arabic \* MERGEFORMAT </w:instrText>
      </w:r>
      <w:r>
        <w:fldChar w:fldCharType="separate"/>
      </w:r>
      <w:bookmarkStart w:id="38" w:name="paragraph00054"/>
      <w:r>
        <w:rPr>
          <w:noProof/>
        </w:rPr>
        <w:t>54</w:t>
      </w:r>
      <w:bookmarkEnd w:id="38"/>
      <w:r>
        <w:rPr>
          <w:noProof/>
        </w:rPr>
        <w:fldChar w:fldCharType="end"/>
      </w:r>
      <w:r w:rsidR="00074B99">
        <w:t>.</w:t>
      </w:r>
      <w:r w:rsidR="00B3763A">
        <w:t xml:space="preserve"> </w:t>
      </w:r>
      <w:r w:rsidR="00074B99">
        <w:t>De asemenea, decizia de a finaliza ancheta cu privire la infracțiunile de hărțuire și amenințare pe motivul intervenției prescripției era la fel de nelegală.</w:t>
      </w:r>
    </w:p>
    <w:p w:rsidR="0021702B" w:rsidRPr="00F00DCE" w:rsidRDefault="0094597A" w:rsidP="00F00DCE">
      <w:pPr>
        <w:pStyle w:val="JuPara"/>
      </w:pPr>
      <w:r>
        <w:fldChar w:fldCharType="begin"/>
      </w:r>
      <w:r>
        <w:instrText xml:space="preserve"> SEQ level0 \*arabic \* MERGEFORMAT </w:instrText>
      </w:r>
      <w:r>
        <w:fldChar w:fldCharType="separate"/>
      </w:r>
      <w:r>
        <w:rPr>
          <w:noProof/>
        </w:rPr>
        <w:t>55</w:t>
      </w:r>
      <w:r>
        <w:rPr>
          <w:noProof/>
        </w:rPr>
        <w:fldChar w:fldCharType="end"/>
      </w:r>
      <w:r w:rsidR="00074B99">
        <w:t>.</w:t>
      </w:r>
      <w:r w:rsidR="00B3763A">
        <w:t xml:space="preserve"> </w:t>
      </w:r>
      <w:r w:rsidR="00074B99">
        <w:t>La examinarea plângerii reclamantei a fost desemnat judecătorul C.B. (</w:t>
      </w:r>
      <w:r w:rsidR="00074B99">
        <w:rPr>
          <w:i/>
          <w:iCs/>
        </w:rPr>
        <w:t>supra</w:t>
      </w:r>
      <w:r w:rsidR="00074B99">
        <w:t xml:space="preserve">, pct. </w:t>
      </w:r>
      <w:r w:rsidR="00074B99" w:rsidRPr="00F00DCE">
        <w:fldChar w:fldCharType="begin"/>
      </w:r>
      <w:r w:rsidR="00074B99" w:rsidRPr="00F00DCE">
        <w:instrText xml:space="preserve"> REF paragraph00046 \h  \* CharFormat </w:instrText>
      </w:r>
      <w:r w:rsidR="00074B99" w:rsidRPr="00F00DCE">
        <w:fldChar w:fldCharType="separate"/>
      </w:r>
      <w:r>
        <w:t>46</w:t>
      </w:r>
      <w:r w:rsidR="00074B99" w:rsidRPr="00F00DCE">
        <w:fldChar w:fldCharType="end"/>
      </w:r>
      <w:r w:rsidR="00074B99">
        <w:t>). Reclamanta a cerut recuzarea acestuia, susținând că își exprimase deja opinia cu privire la problema în cauză.</w:t>
      </w:r>
    </w:p>
    <w:p w:rsidR="0021702B" w:rsidRPr="00F00DCE" w:rsidRDefault="0094597A" w:rsidP="00F00DCE">
      <w:pPr>
        <w:pStyle w:val="JuPara"/>
      </w:pPr>
      <w:r>
        <w:lastRenderedPageBreak/>
        <w:fldChar w:fldCharType="begin"/>
      </w:r>
      <w:r>
        <w:instrText xml:space="preserve"> SEQ level0 \*arabic \* MERGEFORMAT </w:instrText>
      </w:r>
      <w:r>
        <w:fldChar w:fldCharType="separate"/>
      </w:r>
      <w:r>
        <w:rPr>
          <w:noProof/>
        </w:rPr>
        <w:t>56</w:t>
      </w:r>
      <w:r>
        <w:rPr>
          <w:noProof/>
        </w:rPr>
        <w:fldChar w:fldCharType="end"/>
      </w:r>
      <w:r w:rsidR="00074B99">
        <w:t>.</w:t>
      </w:r>
      <w:r w:rsidR="00B3763A">
        <w:t xml:space="preserve"> </w:t>
      </w:r>
      <w:r w:rsidR="00074B99">
        <w:t>Prin încheiere care nu putea fi atacată, judecătoria, în complet de judecător unic (și anume, A.M.S.), a respins ca nefondată cererea reclamantei cu privire la judecătorul C.B.</w:t>
      </w:r>
      <w:r w:rsidR="00B3763A">
        <w:t xml:space="preserve"> </w:t>
      </w:r>
      <w:r w:rsidR="00074B99">
        <w:t>Instanța a constatat că, la 30 iulie 2020, C.B. nu a examinat și nu a exprimat o opinie cu privire la niciuna dintre concluziile enumerate în ordonanța parchetului în legătură cu infracțiunile de hărțuire, amenințare și violare a vieții private.</w:t>
      </w:r>
    </w:p>
    <w:p w:rsidR="0021702B" w:rsidRPr="00F00DCE" w:rsidRDefault="0094597A" w:rsidP="00F00DCE">
      <w:pPr>
        <w:pStyle w:val="JuPara"/>
      </w:pPr>
      <w:r>
        <w:fldChar w:fldCharType="begin"/>
      </w:r>
      <w:r>
        <w:instrText xml:space="preserve"> SEQ level0 \*arabic \* MERGEFORMAT </w:instrText>
      </w:r>
      <w:r>
        <w:fldChar w:fldCharType="separate"/>
      </w:r>
      <w:bookmarkStart w:id="39" w:name="paragraph00053"/>
      <w:r>
        <w:rPr>
          <w:noProof/>
        </w:rPr>
        <w:t>57</w:t>
      </w:r>
      <w:bookmarkEnd w:id="39"/>
      <w:r>
        <w:rPr>
          <w:noProof/>
        </w:rPr>
        <w:fldChar w:fldCharType="end"/>
      </w:r>
      <w:r w:rsidR="00074B99">
        <w:t>.</w:t>
      </w:r>
      <w:r w:rsidR="00B3763A">
        <w:t xml:space="preserve"> </w:t>
      </w:r>
      <w:r w:rsidR="00074B99">
        <w:t xml:space="preserve">Prin încheierea din 15 decembrie 2020, care nu putea fi atacată, judecătoria, în complet de judecător unic (și anume, C.B.), a respins ca </w:t>
      </w:r>
      <w:r w:rsidR="00482979">
        <w:t xml:space="preserve">nefondată </w:t>
      </w:r>
      <w:r w:rsidR="00074B99">
        <w:t>plângerea reclamantei împotriva ordonanței parchetului din 10 iunie 2020 (</w:t>
      </w:r>
      <w:r w:rsidR="00074B99">
        <w:rPr>
          <w:i/>
          <w:iCs/>
        </w:rPr>
        <w:t>supra</w:t>
      </w:r>
      <w:r w:rsidR="00074B99">
        <w:t xml:space="preserve">, pct. </w:t>
      </w:r>
      <w:r w:rsidR="00074B99" w:rsidRPr="00F00DCE">
        <w:fldChar w:fldCharType="begin"/>
      </w:r>
      <w:r w:rsidR="00074B99" w:rsidRPr="00F00DCE">
        <w:instrText xml:space="preserve"> REF paragraph00080 \h  \* CharFormat  \* MERGEFORMAT </w:instrText>
      </w:r>
      <w:r w:rsidR="00074B99" w:rsidRPr="00F00DCE">
        <w:fldChar w:fldCharType="separate"/>
      </w:r>
      <w:r>
        <w:t>51</w:t>
      </w:r>
      <w:r w:rsidR="00074B99" w:rsidRPr="00F00DCE">
        <w:fldChar w:fldCharType="end"/>
      </w:r>
      <w:r w:rsidR="00074B99">
        <w:t>-</w:t>
      </w:r>
      <w:r w:rsidR="00D539D5" w:rsidRPr="00F00DCE">
        <w:fldChar w:fldCharType="begin"/>
      </w:r>
      <w:r w:rsidR="00D539D5" w:rsidRPr="00F00DCE">
        <w:instrText xml:space="preserve"> REF paragraph00054 \h  \* CharFormat </w:instrText>
      </w:r>
      <w:r w:rsidR="00D539D5" w:rsidRPr="00F00DCE">
        <w:fldChar w:fldCharType="separate"/>
      </w:r>
      <w:r>
        <w:t>54</w:t>
      </w:r>
      <w:r w:rsidR="00D539D5" w:rsidRPr="00F00DCE">
        <w:fldChar w:fldCharType="end"/>
      </w:r>
      <w:r w:rsidR="00074B99">
        <w:t>).</w:t>
      </w:r>
    </w:p>
    <w:p w:rsidR="0021702B" w:rsidRPr="00F00DCE" w:rsidRDefault="0094597A" w:rsidP="00F00DCE">
      <w:pPr>
        <w:pStyle w:val="JuPara"/>
      </w:pPr>
      <w:r>
        <w:fldChar w:fldCharType="begin"/>
      </w:r>
      <w:r>
        <w:instrText xml:space="preserve"> SEQ level0 \*arabic \* MERGEFORMAT </w:instrText>
      </w:r>
      <w:r>
        <w:fldChar w:fldCharType="separate"/>
      </w:r>
      <w:bookmarkStart w:id="40" w:name="paragraph00098"/>
      <w:r>
        <w:rPr>
          <w:noProof/>
        </w:rPr>
        <w:t>58</w:t>
      </w:r>
      <w:bookmarkEnd w:id="40"/>
      <w:r>
        <w:rPr>
          <w:noProof/>
        </w:rPr>
        <w:fldChar w:fldCharType="end"/>
      </w:r>
      <w:r w:rsidR="00074B99">
        <w:t>.</w:t>
      </w:r>
      <w:r w:rsidR="00B3763A">
        <w:t xml:space="preserve"> </w:t>
      </w:r>
      <w:r w:rsidR="00074B99">
        <w:t>Judecătoria a hotărât că elementele constitutive ale infracțiunii de violare a vieții private nu erau întrunite deoarece V.C.A. nu obținuse fotografiile intime ale reclamantei fără drept. Aceasta îi trimisese de bunăvoie fotografiile sale intime. Faptul că V.C.A. a transmis public aceste fotografii fără consimțământul reclamantei ar fi putut angaja cel mult răspunderea sa civilă dacă reclamanta avea posibilitatea de a demonstra prejudiciul pe care pretinde că l-a suferit.</w:t>
      </w:r>
    </w:p>
    <w:p w:rsidR="0021702B" w:rsidRPr="00F00DCE" w:rsidRDefault="0094597A" w:rsidP="00F00DCE">
      <w:pPr>
        <w:pStyle w:val="JuPara"/>
      </w:pPr>
      <w:r>
        <w:fldChar w:fldCharType="begin"/>
      </w:r>
      <w:r>
        <w:instrText xml:space="preserve"> SEQ level0 \*arabic \* MERGEFORMAT </w:instrText>
      </w:r>
      <w:r>
        <w:fldChar w:fldCharType="separate"/>
      </w:r>
      <w:bookmarkStart w:id="41" w:name="paragraph00059"/>
      <w:r>
        <w:rPr>
          <w:noProof/>
        </w:rPr>
        <w:t>59</w:t>
      </w:r>
      <w:bookmarkEnd w:id="41"/>
      <w:r>
        <w:rPr>
          <w:noProof/>
        </w:rPr>
        <w:fldChar w:fldCharType="end"/>
      </w:r>
      <w:r w:rsidR="00074B99">
        <w:t>.</w:t>
      </w:r>
      <w:r w:rsidR="00B3763A">
        <w:t xml:space="preserve"> </w:t>
      </w:r>
      <w:r w:rsidR="00074B99">
        <w:t>Cu privire la infracțiunea de fals informatic, judecătoria a constatat că examinase deja decizia parchetului în această privință în încheierea din 30 iulie 2020 (</w:t>
      </w:r>
      <w:r w:rsidR="00074B99">
        <w:rPr>
          <w:i/>
          <w:iCs/>
        </w:rPr>
        <w:t>supra</w:t>
      </w:r>
      <w:r w:rsidR="00074B99">
        <w:t xml:space="preserve">, pct. </w:t>
      </w:r>
      <w:r w:rsidR="00074B99" w:rsidRPr="00F00DCE">
        <w:fldChar w:fldCharType="begin"/>
      </w:r>
      <w:r w:rsidR="00074B99" w:rsidRPr="00F00DCE">
        <w:instrText xml:space="preserve"> REF paragraph00046 \h  \* CharFormat </w:instrText>
      </w:r>
      <w:r w:rsidR="00074B99" w:rsidRPr="00F00DCE">
        <w:fldChar w:fldCharType="separate"/>
      </w:r>
      <w:r>
        <w:t>46</w:t>
      </w:r>
      <w:r w:rsidR="00074B99" w:rsidRPr="00F00DCE">
        <w:fldChar w:fldCharType="end"/>
      </w:r>
      <w:r w:rsidR="00074B99">
        <w:t>) și că nu ar putea, așadar, examina respectiva parte din decizie în cursul procedurii actuale.</w:t>
      </w:r>
    </w:p>
    <w:p w:rsidR="0021702B" w:rsidRPr="00F00DCE" w:rsidRDefault="0094597A" w:rsidP="00F00DCE">
      <w:pPr>
        <w:pStyle w:val="JuPara"/>
      </w:pPr>
      <w:r>
        <w:fldChar w:fldCharType="begin"/>
      </w:r>
      <w:r>
        <w:instrText xml:space="preserve"> SEQ level0 \*arabic \* MERGEFORMAT </w:instrText>
      </w:r>
      <w:r>
        <w:fldChar w:fldCharType="separate"/>
      </w:r>
      <w:bookmarkStart w:id="42" w:name="paragraph00101"/>
      <w:r>
        <w:rPr>
          <w:noProof/>
        </w:rPr>
        <w:t>60</w:t>
      </w:r>
      <w:bookmarkEnd w:id="42"/>
      <w:r>
        <w:rPr>
          <w:noProof/>
        </w:rPr>
        <w:fldChar w:fldCharType="end"/>
      </w:r>
      <w:r w:rsidR="00074B99">
        <w:t>.</w:t>
      </w:r>
      <w:r w:rsidR="00B3763A">
        <w:t xml:space="preserve"> </w:t>
      </w:r>
      <w:r w:rsidR="00074B99">
        <w:t>Cu privire la infracțiunile de amenințare și hărțuire, judecătoria a hotărât că una dintre condițiile esențiale pentru ambele infracțiuni nu fusese îndeplinită în cauza reclamantei – și anume că actele lui V.C.A. nu puteau fi capabile de a stârni teamă reclamantei. În opinia judecătoriei, faptul că reclamanta a fost contactată de numeroase persoane căutând servicii sexuale după transmiterea fotografiilor nu ar fi adus în joc infracțiunea de hărțuire: cel mult, ar fi putut angaja răspunderea civilă a lui V.C.A., dacă reclamanta ar fi demonstrat prejudiciul pe care pretinde că l-a suferit.</w:t>
      </w:r>
    </w:p>
    <w:p w:rsidR="0021702B" w:rsidRPr="00F00DCE" w:rsidRDefault="00074B99" w:rsidP="00F00DCE">
      <w:pPr>
        <w:pStyle w:val="JuH1"/>
      </w:pPr>
      <w:r>
        <w:t>Contestație în anulare a reclamantei la hotărârea judecătoriei din 30 iulie 2020</w:t>
      </w:r>
    </w:p>
    <w:p w:rsidR="0021702B" w:rsidRPr="00F00DCE" w:rsidRDefault="0094597A" w:rsidP="00F00DCE">
      <w:pPr>
        <w:pStyle w:val="JuPara"/>
      </w:pPr>
      <w:r>
        <w:fldChar w:fldCharType="begin"/>
      </w:r>
      <w:r>
        <w:instrText xml:space="preserve"> SEQ level0 \*arabic \* MERGEFORMAT </w:instrText>
      </w:r>
      <w:r>
        <w:fldChar w:fldCharType="separate"/>
      </w:r>
      <w:bookmarkStart w:id="43" w:name="paragraph00082"/>
      <w:r>
        <w:rPr>
          <w:noProof/>
        </w:rPr>
        <w:t>61</w:t>
      </w:r>
      <w:bookmarkEnd w:id="43"/>
      <w:r>
        <w:rPr>
          <w:noProof/>
        </w:rPr>
        <w:fldChar w:fldCharType="end"/>
      </w:r>
      <w:r w:rsidR="00074B99">
        <w:t>.</w:t>
      </w:r>
      <w:r w:rsidR="00B3763A">
        <w:t xml:space="preserve"> </w:t>
      </w:r>
      <w:r w:rsidR="00074B99">
        <w:t>La 2 noiembrie 2020, reclamanta a introdus la judecătorie o contestație în anulare a încheierii din 30 iulie 2020 (</w:t>
      </w:r>
      <w:r w:rsidR="00074B99">
        <w:rPr>
          <w:i/>
          <w:iCs/>
        </w:rPr>
        <w:t>supra</w:t>
      </w:r>
      <w:r w:rsidR="00074B99">
        <w:t xml:space="preserve">, pct. </w:t>
      </w:r>
      <w:r w:rsidR="00074B99" w:rsidRPr="00F00DCE">
        <w:fldChar w:fldCharType="begin"/>
      </w:r>
      <w:r w:rsidR="00074B99" w:rsidRPr="00F00DCE">
        <w:instrText xml:space="preserve"> REF paragraph00046 \h  \* CharFormat </w:instrText>
      </w:r>
      <w:r w:rsidR="00074B99" w:rsidRPr="00F00DCE">
        <w:fldChar w:fldCharType="separate"/>
      </w:r>
      <w:r>
        <w:t>46</w:t>
      </w:r>
      <w:r w:rsidR="00074B99" w:rsidRPr="00F00DCE">
        <w:fldChar w:fldCharType="end"/>
      </w:r>
      <w:r w:rsidR="00074B99">
        <w:t xml:space="preserve">). A susținut, </w:t>
      </w:r>
      <w:r w:rsidR="00074B99">
        <w:rPr>
          <w:i/>
        </w:rPr>
        <w:t>inter alia</w:t>
      </w:r>
      <w:r w:rsidR="00074B99">
        <w:t xml:space="preserve">, că instanța i-a încălcat dreptul la egalitatea armelor, întrucât examinase cauza la 30 iulie 2020 fără </w:t>
      </w:r>
      <w:r w:rsidR="002C7B30">
        <w:t>să o</w:t>
      </w:r>
      <w:r w:rsidR="00074B99">
        <w:t xml:space="preserve"> cit</w:t>
      </w:r>
      <w:r w:rsidR="002C7B30">
        <w:t>eze</w:t>
      </w:r>
      <w:r w:rsidR="00074B99">
        <w:t xml:space="preserve"> în mod legal.</w:t>
      </w:r>
    </w:p>
    <w:p w:rsidR="0021702B" w:rsidRPr="00F00DCE" w:rsidRDefault="0094597A" w:rsidP="00F00DCE">
      <w:pPr>
        <w:pStyle w:val="JuPara"/>
      </w:pPr>
      <w:r>
        <w:fldChar w:fldCharType="begin"/>
      </w:r>
      <w:r>
        <w:instrText xml:space="preserve"> SEQ level0 \*arabic \* MERGEFORMAT </w:instrText>
      </w:r>
      <w:r>
        <w:fldChar w:fldCharType="separate"/>
      </w:r>
      <w:bookmarkStart w:id="44" w:name="paragraph00102"/>
      <w:r>
        <w:rPr>
          <w:noProof/>
        </w:rPr>
        <w:t>62</w:t>
      </w:r>
      <w:bookmarkEnd w:id="44"/>
      <w:r>
        <w:rPr>
          <w:noProof/>
        </w:rPr>
        <w:fldChar w:fldCharType="end"/>
      </w:r>
      <w:r w:rsidR="00074B99">
        <w:t>.</w:t>
      </w:r>
      <w:r w:rsidR="00B3763A">
        <w:t xml:space="preserve"> </w:t>
      </w:r>
      <w:r w:rsidR="00074B99">
        <w:t xml:space="preserve">Prin încheierea din 2 februarie 2021, care nu putea fi atacată, judecătoria a admis contestația în anulare formulată de reclamantă și a casat încheierea din 30 iulie 2020. A trimis cauza înapoi la parchet și a dispus reluarea anchetei în ceea ce privește respectiva infracțiune. În esență, instanța a acceptat argumentul reclamantei că i s-a încălcat dreptul la egalitatea armelor. În plus, judecătoria a constatat că exista o suspiciune rezonabilă că V.C.A. a săvârșit infracțiunea în cauză și nu a fost de acord cu concluzia </w:t>
      </w:r>
      <w:r w:rsidR="00074B99">
        <w:lastRenderedPageBreak/>
        <w:t>parchetului că nu exista un interes public în continuarea anchetei față de V.C.A. (</w:t>
      </w:r>
      <w:r w:rsidR="00074B99">
        <w:rPr>
          <w:i/>
          <w:iCs/>
        </w:rPr>
        <w:t>supra</w:t>
      </w:r>
      <w:r w:rsidR="00074B99">
        <w:t xml:space="preserve">, pct. </w:t>
      </w:r>
      <w:r w:rsidR="00074B99" w:rsidRPr="00F00DCE">
        <w:fldChar w:fldCharType="begin"/>
      </w:r>
      <w:r w:rsidR="00074B99" w:rsidRPr="00F00DCE">
        <w:instrText xml:space="preserve"> REF paragraph00062 \h  \* CharFormat  \* MERGEFORMAT </w:instrText>
      </w:r>
      <w:r w:rsidR="00074B99" w:rsidRPr="00F00DCE">
        <w:fldChar w:fldCharType="separate"/>
      </w:r>
      <w:r>
        <w:t>36</w:t>
      </w:r>
      <w:r w:rsidR="00074B99" w:rsidRPr="00F00DCE">
        <w:fldChar w:fldCharType="end"/>
      </w:r>
      <w:r w:rsidR="00074B99">
        <w:t>-</w:t>
      </w:r>
      <w:r w:rsidR="00074B99" w:rsidRPr="00F00DCE">
        <w:fldChar w:fldCharType="begin"/>
      </w:r>
      <w:r w:rsidR="00074B99" w:rsidRPr="00F00DCE">
        <w:instrText xml:space="preserve"> REF paragraph00068 \h  \* CharFormat  \* MERGEFORMAT </w:instrText>
      </w:r>
      <w:r w:rsidR="00074B99" w:rsidRPr="00F00DCE">
        <w:fldChar w:fldCharType="separate"/>
      </w:r>
      <w:r>
        <w:t>39</w:t>
      </w:r>
      <w:r w:rsidR="00074B99" w:rsidRPr="00F00DCE">
        <w:fldChar w:fldCharType="end"/>
      </w:r>
      <w:r w:rsidR="00074B99">
        <w:t>).</w:t>
      </w:r>
    </w:p>
    <w:p w:rsidR="0021702B" w:rsidRPr="00F00DCE" w:rsidRDefault="0094597A" w:rsidP="00F00DCE">
      <w:pPr>
        <w:pStyle w:val="JuPara"/>
      </w:pPr>
      <w:r>
        <w:fldChar w:fldCharType="begin"/>
      </w:r>
      <w:r>
        <w:instrText xml:space="preserve"> SEQ level0 \*arabic \* MERGEFORMAT </w:instrText>
      </w:r>
      <w:r>
        <w:fldChar w:fldCharType="separate"/>
      </w:r>
      <w:bookmarkStart w:id="45" w:name="paragraph00105"/>
      <w:r>
        <w:rPr>
          <w:noProof/>
        </w:rPr>
        <w:t>63</w:t>
      </w:r>
      <w:bookmarkEnd w:id="45"/>
      <w:r>
        <w:rPr>
          <w:noProof/>
        </w:rPr>
        <w:fldChar w:fldCharType="end"/>
      </w:r>
      <w:r w:rsidR="00074B99">
        <w:t>.</w:t>
      </w:r>
      <w:r w:rsidR="00B3763A">
        <w:t xml:space="preserve"> </w:t>
      </w:r>
      <w:r w:rsidR="00074B99">
        <w:t>Instanța a reținut, în această privință, că, potrivit propriilor declarații, faptele lui V.C.A. au fost alimentate de dorința de răzbunare deoarece s-a simțit trădat de reclamantă. Faptele sale arătau că era o persoană periculoasă social, pregătită să încalce normele de drept penal pentru a-și satisface impulsurile fiziologice fundamentale. De asemenea, au demonstrat o lipsă de respect pentru valori sociale extrem de importante, cum ar fi cele legate de libertatea psihică și viața privată a unei persoane. Faptele lui V.C.A. au avut scopul de a o defăima pe reclamantă și imaginea acesteia, atât în ​​public, cât și în cercul prietenilor și al familiei sale, iar nivelul lor de gravitate a fost agravat și mai mult de prejudiciul psihic suferit de reclamantă.</w:t>
      </w:r>
    </w:p>
    <w:p w:rsidR="0021702B" w:rsidRPr="00F00DCE" w:rsidRDefault="0094597A" w:rsidP="00F00DCE">
      <w:pPr>
        <w:pStyle w:val="JuPara"/>
      </w:pPr>
      <w:r>
        <w:fldChar w:fldCharType="begin"/>
      </w:r>
      <w:r>
        <w:instrText xml:space="preserve"> SEQ level0 \*arabic \* MERGEFORMAT </w:instrText>
      </w:r>
      <w:r>
        <w:fldChar w:fldCharType="separate"/>
      </w:r>
      <w:bookmarkStart w:id="46" w:name="paragraph00088"/>
      <w:r>
        <w:rPr>
          <w:noProof/>
        </w:rPr>
        <w:t>64</w:t>
      </w:r>
      <w:bookmarkEnd w:id="46"/>
      <w:r>
        <w:rPr>
          <w:noProof/>
        </w:rPr>
        <w:fldChar w:fldCharType="end"/>
      </w:r>
      <w:r w:rsidR="00074B99">
        <w:t>.</w:t>
      </w:r>
      <w:r w:rsidR="00B3763A">
        <w:t xml:space="preserve"> </w:t>
      </w:r>
      <w:r w:rsidR="00074B99">
        <w:t>Judecătoria nu putea, așadar, fi de acord cu procurorul că motivele din spatele faptelor lui V.C.A. au fost copilărești sau că a continua ancheta penală împotriva sa poate constitui o sancționare excesivă. A apreciat că faptele respective erau foarte periculoase având în vedere pedeapsa maximă și minimă prevăzută prin lege care poate fi impusă pentru infracțiunea invocată și că au încălcat normele sociale care nu protejează doar viața și imaginea private ale persoanei, ci protejează și persoanele împotriva furtului și a informațiilor false.</w:t>
      </w:r>
    </w:p>
    <w:p w:rsidR="0021702B" w:rsidRPr="00F00DCE" w:rsidRDefault="0094597A" w:rsidP="00F00DCE">
      <w:pPr>
        <w:pStyle w:val="JuPara"/>
      </w:pPr>
      <w:r>
        <w:fldChar w:fldCharType="begin"/>
      </w:r>
      <w:r>
        <w:instrText xml:space="preserve"> SEQ level0 \*arabic \* MERGEFORMAT </w:instrText>
      </w:r>
      <w:r>
        <w:fldChar w:fldCharType="separate"/>
      </w:r>
      <w:bookmarkStart w:id="47" w:name="paragraph00108"/>
      <w:r>
        <w:rPr>
          <w:noProof/>
        </w:rPr>
        <w:t>65</w:t>
      </w:r>
      <w:bookmarkEnd w:id="47"/>
      <w:r>
        <w:rPr>
          <w:noProof/>
        </w:rPr>
        <w:fldChar w:fldCharType="end"/>
      </w:r>
      <w:r w:rsidR="00074B99">
        <w:t>.</w:t>
      </w:r>
      <w:r w:rsidR="00B3763A">
        <w:t xml:space="preserve"> </w:t>
      </w:r>
      <w:r w:rsidR="00074B99">
        <w:t xml:space="preserve">Judecătoria a constatat că afirmația parchetului, redată </w:t>
      </w:r>
      <w:r w:rsidR="00074B99">
        <w:rPr>
          <w:i/>
          <w:iCs/>
        </w:rPr>
        <w:t>supra</w:t>
      </w:r>
      <w:r w:rsidR="00074B99">
        <w:t xml:space="preserve">, pct. </w:t>
      </w:r>
      <w:r w:rsidR="00074B99" w:rsidRPr="00F00DCE">
        <w:fldChar w:fldCharType="begin"/>
      </w:r>
      <w:r w:rsidR="00074B99" w:rsidRPr="00F00DCE">
        <w:instrText xml:space="preserve"> REF paragraph00071 \h  \* CharFormat  \* MERGEFORMAT </w:instrText>
      </w:r>
      <w:r w:rsidR="00074B99" w:rsidRPr="00F00DCE">
        <w:fldChar w:fldCharType="separate"/>
      </w:r>
      <w:r>
        <w:t>42</w:t>
      </w:r>
      <w:r w:rsidR="00074B99" w:rsidRPr="00F00DCE">
        <w:fldChar w:fldCharType="end"/>
      </w:r>
      <w:r w:rsidR="00074B99">
        <w:t>, era „de neînțeles”. Aceasta nu putea constitui un motiv obiectiv care ar fi putut fi invocat pentru a aprecia dacă ancheta penală ar fi trebuit să fie abandonată sau nu.</w:t>
      </w:r>
    </w:p>
    <w:p w:rsidR="0021702B" w:rsidRPr="00F00DCE" w:rsidRDefault="0094597A" w:rsidP="00F00DCE">
      <w:pPr>
        <w:pStyle w:val="JuPara"/>
      </w:pPr>
      <w:r>
        <w:fldChar w:fldCharType="begin"/>
      </w:r>
      <w:r>
        <w:instrText xml:space="preserve"> SEQ level0 \*arabic \* MERGEFORMAT </w:instrText>
      </w:r>
      <w:r>
        <w:fldChar w:fldCharType="separate"/>
      </w:r>
      <w:bookmarkStart w:id="48" w:name="paragraph00091"/>
      <w:r>
        <w:rPr>
          <w:noProof/>
        </w:rPr>
        <w:t>66</w:t>
      </w:r>
      <w:bookmarkEnd w:id="48"/>
      <w:r>
        <w:rPr>
          <w:noProof/>
        </w:rPr>
        <w:fldChar w:fldCharType="end"/>
      </w:r>
      <w:r w:rsidR="00074B99">
        <w:t>.</w:t>
      </w:r>
      <w:r w:rsidR="00B3763A">
        <w:t xml:space="preserve"> </w:t>
      </w:r>
      <w:r w:rsidR="00074B99">
        <w:t xml:space="preserve">Cu privire la argumentul parchetului că reclamanta a răspuns </w:t>
      </w:r>
      <w:r w:rsidR="00B67065">
        <w:t xml:space="preserve">cu dificultate </w:t>
      </w:r>
      <w:r w:rsidR="00074B99">
        <w:t>la citațiile inițiale ale autorităților de anchetă pentru a da o declarație în cauză, judecătoria a hotărât că reținerea reclamantei de a răspunde la apeluri telefonice de la numere necunoscute era scuzabilă având în vedere că, la acel moment, era constant hărțuită de un mare număr de apeluri și mesaje primite de la indivizi necunoscuți care căutau servicii sexuale. Judecătoria a considerat că, în mod similar, comportamentul reclamantei era de înțeles – chiar și presupunând că s-ar putea spune că în mod intenționat a evitat să participe la audierea în discuție de la poliție – date fiind anxietatea și potențiala instabilitate emoțională de care ar fi putut suferi din cauza hărțuirii online din partea lui V.C.A.</w:t>
      </w:r>
    </w:p>
    <w:p w:rsidR="0021702B" w:rsidRPr="00F00DCE" w:rsidRDefault="00074B99" w:rsidP="00F00DCE">
      <w:pPr>
        <w:pStyle w:val="JuH1"/>
      </w:pPr>
      <w:r>
        <w:t xml:space="preserve">Ordonanța parchetului din 6 ianuarie 2022 privind infracțiunea de fals informatic și plângerile ulterioare ale reclamantei </w:t>
      </w:r>
    </w:p>
    <w:p w:rsidR="0021702B" w:rsidRPr="00F00DCE" w:rsidRDefault="0094597A" w:rsidP="00F00DCE">
      <w:pPr>
        <w:pStyle w:val="JuPara"/>
      </w:pPr>
      <w:r>
        <w:fldChar w:fldCharType="begin"/>
      </w:r>
      <w:r>
        <w:instrText xml:space="preserve"> SEQ level0 \*arabic \* MERGEFORMAT </w:instrText>
      </w:r>
      <w:r>
        <w:fldChar w:fldCharType="separate"/>
      </w:r>
      <w:bookmarkStart w:id="49" w:name="paragraph00092"/>
      <w:r>
        <w:rPr>
          <w:noProof/>
        </w:rPr>
        <w:t>67</w:t>
      </w:r>
      <w:bookmarkEnd w:id="49"/>
      <w:r>
        <w:rPr>
          <w:noProof/>
        </w:rPr>
        <w:fldChar w:fldCharType="end"/>
      </w:r>
      <w:r w:rsidR="00074B99">
        <w:t>.</w:t>
      </w:r>
      <w:r w:rsidR="00B3763A">
        <w:t xml:space="preserve"> </w:t>
      </w:r>
      <w:r w:rsidR="00074B99">
        <w:t>La 6 ianuarie 2022, parchetul a clasat din nou ancheta cu privire la infracțiunea de fals informatic. A hotărât că contestația în anulare a reclamantei ar fi trebuit respinsă ca inadmisibilă. În plus, V.C.A. respectase obligațiile care i-au fost impuse prin încheierea definitivă din 30 iulie 2020 (</w:t>
      </w:r>
      <w:r w:rsidR="00074B99">
        <w:rPr>
          <w:i/>
          <w:iCs/>
        </w:rPr>
        <w:t>supra</w:t>
      </w:r>
      <w:r w:rsidR="00074B99">
        <w:t>, pct. </w:t>
      </w:r>
      <w:r w:rsidR="00074B99" w:rsidRPr="00F00DCE">
        <w:fldChar w:fldCharType="begin"/>
      </w:r>
      <w:r w:rsidR="00074B99" w:rsidRPr="00F00DCE">
        <w:instrText xml:space="preserve"> REF paragraph00062 \h  \* CharFormat </w:instrText>
      </w:r>
      <w:r w:rsidR="00074B99" w:rsidRPr="00F00DCE">
        <w:fldChar w:fldCharType="separate"/>
      </w:r>
      <w:r>
        <w:t>36</w:t>
      </w:r>
      <w:r w:rsidR="00074B99" w:rsidRPr="00F00DCE">
        <w:fldChar w:fldCharType="end"/>
      </w:r>
      <w:r w:rsidR="00074B99">
        <w:t>-</w:t>
      </w:r>
      <w:r w:rsidR="00074B99" w:rsidRPr="00F00DCE">
        <w:fldChar w:fldCharType="begin"/>
      </w:r>
      <w:r w:rsidR="00074B99" w:rsidRPr="00F00DCE">
        <w:instrText xml:space="preserve"> REF paragraph00032 \h  \* CharFormat  \* MERGEFORMAT </w:instrText>
      </w:r>
      <w:r w:rsidR="00074B99" w:rsidRPr="00F00DCE">
        <w:fldChar w:fldCharType="separate"/>
      </w:r>
      <w:r>
        <w:t>37</w:t>
      </w:r>
      <w:r w:rsidR="00074B99" w:rsidRPr="00F00DCE">
        <w:fldChar w:fldCharType="end"/>
      </w:r>
      <w:r w:rsidR="00074B99">
        <w:t xml:space="preserve"> și </w:t>
      </w:r>
      <w:r w:rsidR="00074B99" w:rsidRPr="00F00DCE">
        <w:fldChar w:fldCharType="begin"/>
      </w:r>
      <w:r w:rsidR="00074B99" w:rsidRPr="00F00DCE">
        <w:instrText xml:space="preserve"> REF paragraph00046 \h  \* CharFormat </w:instrText>
      </w:r>
      <w:r w:rsidR="00074B99" w:rsidRPr="00F00DCE">
        <w:fldChar w:fldCharType="separate"/>
      </w:r>
      <w:r>
        <w:t>46</w:t>
      </w:r>
      <w:r w:rsidR="00074B99" w:rsidRPr="00F00DCE">
        <w:fldChar w:fldCharType="end"/>
      </w:r>
      <w:r w:rsidR="00074B99">
        <w:t xml:space="preserve">). Prin urmare, ancheta penală față de acesta în ceea </w:t>
      </w:r>
      <w:r w:rsidR="00074B99">
        <w:lastRenderedPageBreak/>
        <w:t xml:space="preserve">ce privește infracțiunea de fals informatic nu mai putea continua fără încălcarea principiului </w:t>
      </w:r>
      <w:r w:rsidR="00074B99">
        <w:rPr>
          <w:i/>
        </w:rPr>
        <w:t>ne bis in idem</w:t>
      </w:r>
      <w:r w:rsidR="00074B99">
        <w:t>.</w:t>
      </w:r>
    </w:p>
    <w:p w:rsidR="0021702B" w:rsidRPr="00F00DCE" w:rsidRDefault="0094597A" w:rsidP="00F00DCE">
      <w:pPr>
        <w:pStyle w:val="JuPara"/>
      </w:pPr>
      <w:r>
        <w:fldChar w:fldCharType="begin"/>
      </w:r>
      <w:r>
        <w:instrText xml:space="preserve"> SEQ level0 \*arabic \* MERGEFORMAT </w:instrText>
      </w:r>
      <w:r>
        <w:fldChar w:fldCharType="separate"/>
      </w:r>
      <w:r>
        <w:rPr>
          <w:noProof/>
        </w:rPr>
        <w:t>68</w:t>
      </w:r>
      <w:r>
        <w:rPr>
          <w:noProof/>
        </w:rPr>
        <w:fldChar w:fldCharType="end"/>
      </w:r>
      <w:r w:rsidR="00074B99">
        <w:t>.</w:t>
      </w:r>
      <w:r w:rsidR="00B3763A">
        <w:t xml:space="preserve"> </w:t>
      </w:r>
      <w:r w:rsidR="00074B99">
        <w:t xml:space="preserve">La 28 februarie 2022, procurorul ierarhic superior a respins plângerea reclamantei împotriva ordonanței de mai sus confirmând soluția procurorului că redeschiderea procedurii încălca principiul </w:t>
      </w:r>
      <w:r w:rsidR="00074B99">
        <w:rPr>
          <w:i/>
        </w:rPr>
        <w:t>ne bis in idem</w:t>
      </w:r>
      <w:r w:rsidR="00074B99">
        <w:t>.</w:t>
      </w:r>
    </w:p>
    <w:p w:rsidR="0021702B" w:rsidRPr="00F00DCE" w:rsidRDefault="0094597A" w:rsidP="00F00DCE">
      <w:pPr>
        <w:pStyle w:val="JuPara"/>
      </w:pPr>
      <w:r>
        <w:fldChar w:fldCharType="begin"/>
      </w:r>
      <w:r>
        <w:instrText xml:space="preserve"> SEQ level0 \*arabic \* MERGEFORMAT </w:instrText>
      </w:r>
      <w:r>
        <w:fldChar w:fldCharType="separate"/>
      </w:r>
      <w:bookmarkStart w:id="50" w:name="paragraph00120"/>
      <w:r>
        <w:rPr>
          <w:noProof/>
        </w:rPr>
        <w:t>69</w:t>
      </w:r>
      <w:bookmarkEnd w:id="50"/>
      <w:r>
        <w:rPr>
          <w:noProof/>
        </w:rPr>
        <w:fldChar w:fldCharType="end"/>
      </w:r>
      <w:r w:rsidR="00074B99">
        <w:t>.</w:t>
      </w:r>
      <w:r w:rsidR="00B3763A">
        <w:t xml:space="preserve"> </w:t>
      </w:r>
      <w:r w:rsidR="00074B99">
        <w:t xml:space="preserve">Reclamanta a depus la judecătorie o plângere împotriva soluțiilor procurorului din 6 ianuarie și 28 februarie 2022. Prin încheierea din 21 iulie 2022, care nu putea fi atacată, judecătoria a constatat că, prin revizuirea încheierii din 2 februarie 2022, parchetul a acționat ca o instanță – cu toate că nu avea autoritatea. În plus, a refuzat să urmeze instrucțiunile judecătoriei de a relua ancheta penală în cauză – deși era prin lege obligat să o urmeze. În continuare, principiul </w:t>
      </w:r>
      <w:r w:rsidR="00074B99">
        <w:rPr>
          <w:i/>
        </w:rPr>
        <w:t>ne bis in idem</w:t>
      </w:r>
      <w:r w:rsidR="00074B99">
        <w:t xml:space="preserve"> nu ar fi fost încălcat în cazul lui V.C.A. prin faptul că, pur și simplu, s-a permis ca procedura să continue.</w:t>
      </w:r>
    </w:p>
    <w:p w:rsidR="0021702B" w:rsidRPr="00F00DCE" w:rsidRDefault="0094597A" w:rsidP="00F00DCE">
      <w:pPr>
        <w:pStyle w:val="JuPara"/>
      </w:pPr>
      <w:r>
        <w:fldChar w:fldCharType="begin"/>
      </w:r>
      <w:r>
        <w:instrText xml:space="preserve"> SEQ level0 \*arabic \* MERGEFORMAT </w:instrText>
      </w:r>
      <w:r>
        <w:fldChar w:fldCharType="separate"/>
      </w:r>
      <w:bookmarkStart w:id="51" w:name="paragraph00125"/>
      <w:r>
        <w:rPr>
          <w:noProof/>
        </w:rPr>
        <w:t>70</w:t>
      </w:r>
      <w:bookmarkEnd w:id="51"/>
      <w:r>
        <w:rPr>
          <w:noProof/>
        </w:rPr>
        <w:fldChar w:fldCharType="end"/>
      </w:r>
      <w:r w:rsidR="00074B99">
        <w:t>.</w:t>
      </w:r>
      <w:r w:rsidR="00B3763A">
        <w:t xml:space="preserve"> </w:t>
      </w:r>
      <w:r w:rsidR="00074B99">
        <w:t>Cu toate acestea, judecătoria a reținut că ancheta penală privind infracțiunea de fals informatic trebuia clasată pentru că intervenise prescripția în ceea ce privește respectiva infracțiune în noiembrie 2021.</w:t>
      </w:r>
    </w:p>
    <w:p w:rsidR="0021702B" w:rsidRPr="00F00DCE" w:rsidRDefault="00074B99" w:rsidP="00F00DCE">
      <w:pPr>
        <w:pStyle w:val="JuHA"/>
      </w:pPr>
      <w:r>
        <w:t>Alte informații</w:t>
      </w:r>
    </w:p>
    <w:p w:rsidR="0021702B" w:rsidRPr="00F00DCE" w:rsidRDefault="00074B99" w:rsidP="00F00DCE">
      <w:pPr>
        <w:pStyle w:val="JuH1"/>
      </w:pPr>
      <w:r>
        <w:t>Solicitarea unui parlamentar cu privire la cauza reclamantei</w:t>
      </w:r>
    </w:p>
    <w:p w:rsidR="0021702B" w:rsidRPr="00F00DCE" w:rsidRDefault="0094597A" w:rsidP="00F00DCE">
      <w:pPr>
        <w:pStyle w:val="JuPara"/>
      </w:pPr>
      <w:r>
        <w:fldChar w:fldCharType="begin"/>
      </w:r>
      <w:r>
        <w:instrText xml:space="preserve"> SEQ level0 \*arabic \* MERGEFORMAT </w:instrText>
      </w:r>
      <w:r>
        <w:fldChar w:fldCharType="separate"/>
      </w:r>
      <w:bookmarkStart w:id="52" w:name="paragraph00038"/>
      <w:r>
        <w:rPr>
          <w:noProof/>
        </w:rPr>
        <w:t>71</w:t>
      </w:r>
      <w:bookmarkEnd w:id="52"/>
      <w:r>
        <w:rPr>
          <w:noProof/>
        </w:rPr>
        <w:fldChar w:fldCharType="end"/>
      </w:r>
      <w:r w:rsidR="00074B99">
        <w:t>.</w:t>
      </w:r>
      <w:r w:rsidR="00B3763A">
        <w:t xml:space="preserve"> </w:t>
      </w:r>
      <w:r w:rsidR="00074B99">
        <w:t>La 18 decembrie 2018, un membru al parlamentului („MP”) a adresat o solicitare ministrului afacerilor interne și ministrului justiției cu privire la inacțiunea autorităților în cauza reclamantei. MP a cerut anchetarea alegațiilor din articolul online (</w:t>
      </w:r>
      <w:r w:rsidR="00074B99">
        <w:rPr>
          <w:i/>
          <w:iCs/>
        </w:rPr>
        <w:t>supra</w:t>
      </w:r>
      <w:r w:rsidR="00074B99">
        <w:t xml:space="preserve">, pct. </w:t>
      </w:r>
      <w:r w:rsidR="00074B99" w:rsidRPr="00F00DCE">
        <w:fldChar w:fldCharType="begin"/>
      </w:r>
      <w:r w:rsidR="00074B99" w:rsidRPr="00F00DCE">
        <w:instrText xml:space="preserve"> REF paragraph00024 \h  \* CharFormat  \* MERGEFORMAT </w:instrText>
      </w:r>
      <w:r w:rsidR="00074B99" w:rsidRPr="00F00DCE">
        <w:fldChar w:fldCharType="separate"/>
      </w:r>
      <w:r>
        <w:t>22</w:t>
      </w:r>
      <w:r w:rsidR="00074B99" w:rsidRPr="00F00DCE">
        <w:fldChar w:fldCharType="end"/>
      </w:r>
      <w:r w:rsidR="00074B99">
        <w:t>) și o acțiune promptă împotriva celor răspunzători pentru orice comportament ilegal.</w:t>
      </w:r>
    </w:p>
    <w:p w:rsidR="0021702B" w:rsidRPr="00F00DCE" w:rsidRDefault="0094597A" w:rsidP="00F00DCE">
      <w:pPr>
        <w:pStyle w:val="JuPara"/>
      </w:pPr>
      <w:r>
        <w:fldChar w:fldCharType="begin"/>
      </w:r>
      <w:r>
        <w:instrText xml:space="preserve"> SEQ level0 \*arabic \* MERGEFORMAT </w:instrText>
      </w:r>
      <w:r>
        <w:fldChar w:fldCharType="separate"/>
      </w:r>
      <w:bookmarkStart w:id="53" w:name="paragraph00039"/>
      <w:r>
        <w:rPr>
          <w:noProof/>
        </w:rPr>
        <w:t>72</w:t>
      </w:r>
      <w:bookmarkEnd w:id="53"/>
      <w:r>
        <w:rPr>
          <w:noProof/>
        </w:rPr>
        <w:fldChar w:fldCharType="end"/>
      </w:r>
      <w:r w:rsidR="00074B99">
        <w:t>.</w:t>
      </w:r>
      <w:r w:rsidR="00B3763A">
        <w:t xml:space="preserve"> </w:t>
      </w:r>
      <w:r w:rsidR="00074B99">
        <w:t>La 15 și 31 ianuarie 2019, ministrul afacerilor interne și ministrul justiției, respectiv, au răspuns solicitării MP. Au afirmat că ancheta în cauza reclamantei era în curs și că o anchetă disciplinară fusese deschisă împotriva lui I.T.A.</w:t>
      </w:r>
    </w:p>
    <w:p w:rsidR="0021702B" w:rsidRPr="00F00DCE" w:rsidRDefault="00A14364" w:rsidP="00F00DCE">
      <w:pPr>
        <w:pStyle w:val="JuH1"/>
      </w:pPr>
      <w:r>
        <w:t>Punctul de vedere emis</w:t>
      </w:r>
      <w:r w:rsidR="00074B99">
        <w:t xml:space="preserve"> de Consiliul Național pentru Combaterea Discriminării</w:t>
      </w:r>
    </w:p>
    <w:p w:rsidR="0021702B" w:rsidRPr="00F00DCE" w:rsidRDefault="0094597A" w:rsidP="00F00DCE">
      <w:pPr>
        <w:pStyle w:val="JuPara"/>
      </w:pPr>
      <w:r>
        <w:fldChar w:fldCharType="begin"/>
      </w:r>
      <w:r>
        <w:instrText xml:space="preserve"> SEQ level0 \*arabic \* MERGEFORMAT </w:instrText>
      </w:r>
      <w:r>
        <w:fldChar w:fldCharType="separate"/>
      </w:r>
      <w:bookmarkStart w:id="54" w:name="paragraph00130"/>
      <w:r>
        <w:rPr>
          <w:noProof/>
        </w:rPr>
        <w:t>73</w:t>
      </w:r>
      <w:bookmarkEnd w:id="54"/>
      <w:r>
        <w:rPr>
          <w:noProof/>
        </w:rPr>
        <w:fldChar w:fldCharType="end"/>
      </w:r>
      <w:r w:rsidR="00074B99">
        <w:t>.</w:t>
      </w:r>
      <w:r w:rsidR="00B3763A">
        <w:t xml:space="preserve"> </w:t>
      </w:r>
      <w:r w:rsidR="00074B99">
        <w:t>La 23 noiembrie 2022, la solicitarea Guvernului, Consiliul Național pentru Combaterea Discriminării – CNCD) a întocmit un punct de vedere orientativ și fără caracter obligatoriu cu privire la problema dacă declarația parchetului din 10 iunie 2020 (</w:t>
      </w:r>
      <w:r w:rsidR="00074B99">
        <w:rPr>
          <w:i/>
          <w:iCs/>
        </w:rPr>
        <w:t>supra</w:t>
      </w:r>
      <w:r w:rsidR="00074B99">
        <w:t xml:space="preserve">, pct. </w:t>
      </w:r>
      <w:r w:rsidR="00074B99" w:rsidRPr="00F00DCE">
        <w:fldChar w:fldCharType="begin"/>
      </w:r>
      <w:r w:rsidR="00074B99" w:rsidRPr="00F00DCE">
        <w:instrText xml:space="preserve"> REF paragraph00071 \h  \* CharFormat  \* MERGEFORMAT </w:instrText>
      </w:r>
      <w:r w:rsidR="00074B99" w:rsidRPr="00F00DCE">
        <w:fldChar w:fldCharType="separate"/>
      </w:r>
      <w:r>
        <w:t>42</w:t>
      </w:r>
      <w:r w:rsidR="00074B99" w:rsidRPr="00F00DCE">
        <w:fldChar w:fldCharType="end"/>
      </w:r>
      <w:r w:rsidR="00074B99">
        <w:t>) a fost discriminatorie.</w:t>
      </w:r>
    </w:p>
    <w:p w:rsidR="0021702B" w:rsidRPr="00F00DCE" w:rsidRDefault="0094597A" w:rsidP="00F00DCE">
      <w:pPr>
        <w:pStyle w:val="JuPara"/>
      </w:pPr>
      <w:r>
        <w:fldChar w:fldCharType="begin"/>
      </w:r>
      <w:r>
        <w:instrText xml:space="preserve"> SEQ level0 \*arabic \* MERGEFORM</w:instrText>
      </w:r>
      <w:r>
        <w:instrText xml:space="preserve">AT </w:instrText>
      </w:r>
      <w:r>
        <w:fldChar w:fldCharType="separate"/>
      </w:r>
      <w:bookmarkStart w:id="55" w:name="paragraph00074"/>
      <w:r>
        <w:rPr>
          <w:noProof/>
        </w:rPr>
        <w:t>74</w:t>
      </w:r>
      <w:bookmarkEnd w:id="55"/>
      <w:r>
        <w:rPr>
          <w:noProof/>
        </w:rPr>
        <w:fldChar w:fldCharType="end"/>
      </w:r>
      <w:r w:rsidR="00074B99">
        <w:t>.</w:t>
      </w:r>
      <w:r w:rsidR="00B3763A">
        <w:t xml:space="preserve"> </w:t>
      </w:r>
      <w:r w:rsidR="00074B99">
        <w:t xml:space="preserve">CNCD a constatat că declarația în chestiune a fost excesivă și a subliniat că, prin faptul de a-i trimite fotografiile lui V.C.A., reclamanta nu își dăduse consimțământul pentru a fi transmise către public. Calificarea de către parchet a pozelor reclamantei din fotografiile în discuție ca „indecente” a constituit o aserțiune subiectivă – în formă de insultă personală. Acest tip de judecată de valoare era inacceptabil atunci când era emis într-un cadru instituțional și când servea ca argument invocat pentru a exonera un presupus </w:t>
      </w:r>
      <w:r w:rsidR="00074B99">
        <w:lastRenderedPageBreak/>
        <w:t>făptuitor. Toate elementele sus-menționate ar fi putut face obiectul unei examinări în instanță, posibil generând răspunderea civilă delictuală, care ar fi putut stabili dacă drepturile reclamantei la demnitatea umană și la viața privată și de familie au fost încălcate.</w:t>
      </w:r>
    </w:p>
    <w:p w:rsidR="0021702B" w:rsidRPr="00F00DCE" w:rsidRDefault="0094597A" w:rsidP="00F00DCE">
      <w:pPr>
        <w:pStyle w:val="JuPara"/>
      </w:pPr>
      <w:r>
        <w:fldChar w:fldCharType="begin"/>
      </w:r>
      <w:r>
        <w:instrText xml:space="preserve"> SEQ level0 \*arabic \* MERGEFORMAT </w:instrText>
      </w:r>
      <w:r>
        <w:fldChar w:fldCharType="separate"/>
      </w:r>
      <w:bookmarkStart w:id="56" w:name="paragraph00078"/>
      <w:r>
        <w:rPr>
          <w:noProof/>
        </w:rPr>
        <w:t>75</w:t>
      </w:r>
      <w:bookmarkEnd w:id="56"/>
      <w:r>
        <w:rPr>
          <w:noProof/>
        </w:rPr>
        <w:fldChar w:fldCharType="end"/>
      </w:r>
      <w:r w:rsidR="00074B99">
        <w:t>.</w:t>
      </w:r>
      <w:r w:rsidR="00B3763A">
        <w:t xml:space="preserve"> </w:t>
      </w:r>
      <w:r w:rsidR="00074B99">
        <w:t>CNCD nu a putut concluziona cu certitudine dacă factorul decisiv care a dus la declarația parchetului a fost sexul reclamantei. A afirmat că, dacă aceasta ar fi fost de sex masculin, (i) reclamanta nu ar fi beneficiat de un tratament diferit și mai avantajos (în aceleași circumstanțe) și (ii) parchetul ar fi inclus, la fel, declarația în chestiune în argumentele deciziei sale. Conduita parchetului a fost determinată mai degrabă de aprecierea sa subiectivă cu privire la comportamentul avut de reclamantă în timpul relației sale cu V.C.A., decât de sexul reclamantei.</w:t>
      </w:r>
    </w:p>
    <w:p w:rsidR="0021702B" w:rsidRPr="00F00DCE" w:rsidRDefault="00074B99" w:rsidP="00F00DCE">
      <w:pPr>
        <w:pStyle w:val="JuH1"/>
      </w:pPr>
      <w:r>
        <w:t>Rapoartele prezentate de psihologii reclamantei</w:t>
      </w:r>
    </w:p>
    <w:p w:rsidR="0021702B" w:rsidRPr="00F00DCE" w:rsidRDefault="0094597A" w:rsidP="00F00DCE">
      <w:pPr>
        <w:pStyle w:val="JuPara"/>
      </w:pPr>
      <w:r>
        <w:fldChar w:fldCharType="begin"/>
      </w:r>
      <w:r>
        <w:instrText xml:space="preserve"> SEQ level0 \*arabic \* MERGEFORMAT </w:instrText>
      </w:r>
      <w:r>
        <w:fldChar w:fldCharType="separate"/>
      </w:r>
      <w:bookmarkStart w:id="57" w:name="paragraph00079"/>
      <w:r>
        <w:rPr>
          <w:noProof/>
        </w:rPr>
        <w:t>76</w:t>
      </w:r>
      <w:bookmarkEnd w:id="57"/>
      <w:r>
        <w:rPr>
          <w:noProof/>
        </w:rPr>
        <w:fldChar w:fldCharType="end"/>
      </w:r>
      <w:r w:rsidR="00074B99">
        <w:t>.</w:t>
      </w:r>
      <w:r w:rsidR="00B3763A">
        <w:t xml:space="preserve"> </w:t>
      </w:r>
      <w:r w:rsidR="00074B99">
        <w:t>Doi psihologi, care au efectuat în perioada februarie – iulie 2019 și începând cu luna noiembrie 2022, sesiuni de consiliere cu reclamanta (menite să trateze problemele care au fost determinate de evenimentele din 2016), au prezentat două rapoarte separate cu privire la reclamantă.</w:t>
      </w:r>
    </w:p>
    <w:p w:rsidR="0021702B" w:rsidRPr="00F00DCE" w:rsidRDefault="0094597A" w:rsidP="00F00DCE">
      <w:pPr>
        <w:pStyle w:val="JuPara"/>
      </w:pPr>
      <w:r>
        <w:fldChar w:fldCharType="begin"/>
      </w:r>
      <w:r>
        <w:instrText xml:space="preserve"> SEQ level0 \*arabic \* MERGEFORMAT </w:instrText>
      </w:r>
      <w:r>
        <w:fldChar w:fldCharType="separate"/>
      </w:r>
      <w:r>
        <w:rPr>
          <w:noProof/>
        </w:rPr>
        <w:t>77</w:t>
      </w:r>
      <w:r>
        <w:rPr>
          <w:noProof/>
        </w:rPr>
        <w:fldChar w:fldCharType="end"/>
      </w:r>
      <w:r w:rsidR="00074B99">
        <w:t>.</w:t>
      </w:r>
      <w:r w:rsidR="00B3763A">
        <w:t xml:space="preserve"> </w:t>
      </w:r>
      <w:r w:rsidR="00074B99">
        <w:t>Primul raport arăta că stima de sine a reclamantei a fost afectată, ceea ce, la rândul său, a influențat performanțele sale la universitate și relația cu colegii. De asemenea, a evitat să meargă la cursuri pentru a nu se întâlni cu V.C.A.</w:t>
      </w:r>
    </w:p>
    <w:p w:rsidR="0021702B" w:rsidRPr="00F00DCE" w:rsidRDefault="0094597A" w:rsidP="00F00DCE">
      <w:pPr>
        <w:pStyle w:val="JuPara"/>
      </w:pPr>
      <w:r>
        <w:fldChar w:fldCharType="begin"/>
      </w:r>
      <w:r>
        <w:instrText xml:space="preserve"> SEQ level0 \*arabic \* MERGEFORMAT </w:instrText>
      </w:r>
      <w:r>
        <w:fldChar w:fldCharType="separate"/>
      </w:r>
      <w:bookmarkStart w:id="58" w:name="paragraph00107"/>
      <w:r>
        <w:rPr>
          <w:noProof/>
        </w:rPr>
        <w:t>78</w:t>
      </w:r>
      <w:bookmarkEnd w:id="58"/>
      <w:r>
        <w:rPr>
          <w:noProof/>
        </w:rPr>
        <w:fldChar w:fldCharType="end"/>
      </w:r>
      <w:r w:rsidR="00074B99">
        <w:t>.</w:t>
      </w:r>
      <w:r w:rsidR="00B3763A">
        <w:t xml:space="preserve"> </w:t>
      </w:r>
      <w:r w:rsidR="00074B99">
        <w:t>Al doilea raport menționa că reclamanta a fost diagnosticată cu anxietate generalizată și că expunerea publică a fotografiilor sale i-a afectat puternic încrederea în oameni și capacitatea de a se simți în siguranță în relațiile romantice. Afirmația parchetului (</w:t>
      </w:r>
      <w:r w:rsidR="00074B99">
        <w:rPr>
          <w:i/>
          <w:iCs/>
        </w:rPr>
        <w:t>supra</w:t>
      </w:r>
      <w:r w:rsidR="00074B99">
        <w:t xml:space="preserve">, pct. </w:t>
      </w:r>
      <w:r w:rsidR="00074B99" w:rsidRPr="00F00DCE">
        <w:fldChar w:fldCharType="begin"/>
      </w:r>
      <w:r w:rsidR="00074B99" w:rsidRPr="00F00DCE">
        <w:instrText xml:space="preserve"> REF paragraph00071 \h  \* CharFormat </w:instrText>
      </w:r>
      <w:r w:rsidR="00074B99" w:rsidRPr="00F00DCE">
        <w:fldChar w:fldCharType="separate"/>
      </w:r>
      <w:r>
        <w:t>42</w:t>
      </w:r>
      <w:r w:rsidR="00074B99" w:rsidRPr="00F00DCE">
        <w:fldChar w:fldCharType="end"/>
      </w:r>
      <w:r w:rsidR="00074B99">
        <w:t>) a contribuit considerabil la agravarea anxietății generalizate a reclamantei.</w:t>
      </w:r>
    </w:p>
    <w:p w:rsidR="0021702B" w:rsidRPr="00F00DCE" w:rsidRDefault="00074B99" w:rsidP="00F00DCE">
      <w:pPr>
        <w:pStyle w:val="JuHIRoman"/>
        <w:numPr>
          <w:ilvl w:val="1"/>
          <w:numId w:val="23"/>
        </w:numPr>
        <w:tabs>
          <w:tab w:val="left" w:pos="567"/>
          <w:tab w:val="left" w:pos="680"/>
        </w:tabs>
        <w:ind w:left="0" w:firstLine="0"/>
      </w:pPr>
      <w:r>
        <w:t>CADRUL JURIDIC ȘI PRACTICA RELEVANTE</w:t>
      </w:r>
    </w:p>
    <w:p w:rsidR="0021702B" w:rsidRPr="00F00DCE" w:rsidRDefault="00074B99" w:rsidP="00F00DCE">
      <w:pPr>
        <w:pStyle w:val="JuHA"/>
      </w:pPr>
      <w:r>
        <w:t>Dreptul și practica interne</w:t>
      </w:r>
    </w:p>
    <w:p w:rsidR="0021702B" w:rsidRPr="00F00DCE" w:rsidRDefault="00074B99" w:rsidP="00F00DCE">
      <w:pPr>
        <w:pStyle w:val="JuH1"/>
      </w:pPr>
      <w:r>
        <w:t>Dreptul intern</w:t>
      </w:r>
    </w:p>
    <w:p w:rsidR="0021702B" w:rsidRPr="00F00DCE" w:rsidRDefault="0094597A" w:rsidP="00F00DCE">
      <w:pPr>
        <w:pStyle w:val="JuPara"/>
        <w:spacing w:after="120"/>
      </w:pPr>
      <w:r>
        <w:fldChar w:fldCharType="begin"/>
      </w:r>
      <w:r>
        <w:instrText xml:space="preserve"> SEQ level0 \*arabic \* MERGEFORMAT </w:instrText>
      </w:r>
      <w:r>
        <w:fldChar w:fldCharType="separate"/>
      </w:r>
      <w:bookmarkStart w:id="59" w:name="paragraph00110"/>
      <w:r>
        <w:rPr>
          <w:noProof/>
        </w:rPr>
        <w:t>79</w:t>
      </w:r>
      <w:bookmarkEnd w:id="59"/>
      <w:r>
        <w:rPr>
          <w:noProof/>
        </w:rPr>
        <w:fldChar w:fldCharType="end"/>
      </w:r>
      <w:r w:rsidR="00074B99">
        <w:t>.</w:t>
      </w:r>
      <w:r w:rsidR="00B3763A">
        <w:t xml:space="preserve"> </w:t>
      </w:r>
      <w:r w:rsidR="00074B99">
        <w:t>Dispozițiile relevante ale C</w:t>
      </w:r>
      <w:r w:rsidR="00A14364">
        <w:t>odului penal</w:t>
      </w:r>
      <w:r w:rsidR="00074B99">
        <w:t xml:space="preserve"> au următorul cuprins:</w:t>
      </w:r>
    </w:p>
    <w:p w:rsidR="0021702B" w:rsidRPr="00F00DCE" w:rsidRDefault="00074B99" w:rsidP="00F00DCE">
      <w:pPr>
        <w:pStyle w:val="JuHArticle"/>
        <w:keepLines/>
      </w:pPr>
      <w:r>
        <w:t>Art. 206 – Amenințarea</w:t>
      </w:r>
    </w:p>
    <w:p w:rsidR="0021702B" w:rsidRPr="00F00DCE" w:rsidRDefault="00074B99" w:rsidP="00F00DCE">
      <w:pPr>
        <w:pStyle w:val="JuQuot"/>
      </w:pPr>
      <w:r>
        <w:t>„(1) Fapta de a amenința o persoană cu săvârșirea unei infracțiuni sau a unei fapte păgubitoare îndreptate împotriva sa ori a altei persoane, dacă este de natură să îi producă o stare de temere, se pedepsește cu închisoare de la 3 luni la un an sau cu amendă [...].</w:t>
      </w:r>
    </w:p>
    <w:p w:rsidR="0021702B" w:rsidRPr="00F00DCE" w:rsidRDefault="00074B99" w:rsidP="00F00DCE">
      <w:pPr>
        <w:pStyle w:val="JuQuot"/>
      </w:pPr>
      <w:r>
        <w:t xml:space="preserve">(2) Acțiunea penală se pune în mișcare la plângerea prealabilă a persoanei vătămate.” </w:t>
      </w:r>
    </w:p>
    <w:p w:rsidR="0021702B" w:rsidRPr="00F00DCE" w:rsidRDefault="00074B99" w:rsidP="00F00DCE">
      <w:pPr>
        <w:pStyle w:val="JuHArticle"/>
        <w:keepNext w:val="0"/>
      </w:pPr>
      <w:r>
        <w:t>Articolul 208 - Hărțuirea</w:t>
      </w:r>
    </w:p>
    <w:p w:rsidR="0021702B" w:rsidRPr="00F00DCE" w:rsidRDefault="00074B99" w:rsidP="00F00DCE">
      <w:pPr>
        <w:pStyle w:val="JuQuot"/>
      </w:pPr>
      <w:r>
        <w:t>„[...]</w:t>
      </w:r>
    </w:p>
    <w:p w:rsidR="0021702B" w:rsidRPr="00F00DCE" w:rsidRDefault="00074B99" w:rsidP="00F00DCE">
      <w:pPr>
        <w:pStyle w:val="JuQuot"/>
      </w:pPr>
      <w:r>
        <w:lastRenderedPageBreak/>
        <w:t>(2) Efectuarea de apeluri telefonice sau comunicări prin mijloace de transmitere la distanță, care, prin frecvență sau conținut, îi cauzează o temere unei persoane, se pedepsește cu închisoare de la o lună la 3 luni sau cu amendă [...].</w:t>
      </w:r>
    </w:p>
    <w:p w:rsidR="0021702B" w:rsidRPr="00F00DCE" w:rsidRDefault="00074B99" w:rsidP="00F00DCE">
      <w:pPr>
        <w:pStyle w:val="JuQuot"/>
      </w:pPr>
      <w:r>
        <w:t xml:space="preserve">(3) Acțiunea penală se pune în mișcare la plângerea prealabilă a persoanei vătămate.” </w:t>
      </w:r>
    </w:p>
    <w:p w:rsidR="0021702B" w:rsidRPr="00F00DCE" w:rsidRDefault="00074B99" w:rsidP="00F00DCE">
      <w:pPr>
        <w:pStyle w:val="JuHArticle"/>
      </w:pPr>
      <w:r>
        <w:t>Art. 226 - Violarea vieții private</w:t>
      </w:r>
    </w:p>
    <w:p w:rsidR="0021702B" w:rsidRPr="00F00DCE" w:rsidRDefault="00074B99" w:rsidP="00F00DCE">
      <w:pPr>
        <w:pStyle w:val="JuQuot"/>
      </w:pPr>
      <w:r>
        <w:t>„(1) Atingerea adusă vieții private, fără drept, prin fotografierea, captarea sau înregistrarea de imagini, ascultarea cu mijloace tehnice sau înregistrarea audio a unei persoane aflate într-o locuință sau încăpere ori dependința ținând de aceasta sau a unei convorbiri private se pedepsește cu închisoare de la o lună la 6 luni sau cu amendă.</w:t>
      </w:r>
      <w:r>
        <w:br/>
      </w:r>
    </w:p>
    <w:p w:rsidR="0021702B" w:rsidRPr="00F00DCE" w:rsidRDefault="00074B99" w:rsidP="00F00DCE">
      <w:pPr>
        <w:pStyle w:val="JuQuot"/>
      </w:pPr>
      <w:r>
        <w:t>(2) Divulgarea, difuzarea, prezentarea sau transmiterea, fără drept, a sunetelor, convorbirilor ori a imaginilor prevăzute în alin. (1), către o altă persoană sau către public, se pedepsește cu închisoare de la 3 luni la 2 ani sau cu amendă.</w:t>
      </w:r>
      <w:r>
        <w:br/>
      </w:r>
    </w:p>
    <w:p w:rsidR="0021702B" w:rsidRPr="00F00DCE" w:rsidRDefault="00074B99" w:rsidP="00F00DCE">
      <w:pPr>
        <w:pStyle w:val="JuQuot"/>
      </w:pPr>
      <w:r>
        <w:t xml:space="preserve">(3) Acțiunea penală se pune în mișcare la plângerea prealabilă a persoanei vătămate. </w:t>
      </w:r>
    </w:p>
    <w:p w:rsidR="0021702B" w:rsidRPr="00F00DCE" w:rsidRDefault="00074B99" w:rsidP="00F00DCE">
      <w:pPr>
        <w:pStyle w:val="JuQuot"/>
      </w:pPr>
      <w:r>
        <w:t>(4)</w:t>
      </w:r>
      <w:r w:rsidR="00B3763A">
        <w:t xml:space="preserve"> </w:t>
      </w:r>
      <w:r>
        <w:t>Nu constituie infracțiune fapta prevăzută la alin. (1) și (2) săvârșită:</w:t>
      </w:r>
    </w:p>
    <w:p w:rsidR="0021702B" w:rsidRPr="00F00DCE" w:rsidRDefault="00074B99" w:rsidP="00F00DCE">
      <w:pPr>
        <w:pStyle w:val="JuQuot"/>
      </w:pPr>
      <w:r>
        <w:t xml:space="preserve">a) de către cel care a participat la întâlnirea cu persoana vătămată în cadrul căreia au fost surprinse sunetele, convorbirile sau imaginile, dacă justifică un interes legitim; </w:t>
      </w:r>
    </w:p>
    <w:p w:rsidR="00B3763A" w:rsidRDefault="00074B99" w:rsidP="00F00DCE">
      <w:pPr>
        <w:pStyle w:val="JuQuot"/>
      </w:pPr>
      <w:r>
        <w:t xml:space="preserve">b) dacă persoana vătămată a acționat explicit cu intenția de a fi văzută ori auzită de făptuitor; </w:t>
      </w:r>
    </w:p>
    <w:p w:rsidR="0021702B" w:rsidRPr="00F00DCE" w:rsidRDefault="00074B99" w:rsidP="00F00DCE">
      <w:pPr>
        <w:pStyle w:val="JuQuot"/>
      </w:pPr>
      <w:r>
        <w:t>[...]”</w:t>
      </w:r>
    </w:p>
    <w:p w:rsidR="0021702B" w:rsidRPr="00F00DCE" w:rsidRDefault="0021702B" w:rsidP="00F00DCE">
      <w:pPr>
        <w:pStyle w:val="JuQuot"/>
      </w:pPr>
    </w:p>
    <w:p w:rsidR="0021702B" w:rsidRPr="00F00DCE" w:rsidRDefault="00074B99" w:rsidP="00F00DCE">
      <w:pPr>
        <w:pStyle w:val="JuHArticle"/>
      </w:pPr>
      <w:r>
        <w:t>Art. 325 - Falsul informatic</w:t>
      </w:r>
    </w:p>
    <w:p w:rsidR="0021702B" w:rsidRPr="00F00DCE" w:rsidRDefault="00074B99" w:rsidP="00F00DCE">
      <w:pPr>
        <w:pStyle w:val="JuQuot"/>
        <w:ind w:firstLine="0"/>
      </w:pPr>
      <w:r>
        <w:t>„Fapta de a introduce, modifica sau șterge, fără drept, date informatice ori de a restricționa, fără drept, accesul la aceste date, rezultând date necorespunzătoare adevărului, în scopul de a fi utilizate în vederea producerii unei consecințe juridice, constituie infracțiune și se pedepsește cu închisoarea de la unu la 5 ani.”</w:t>
      </w:r>
    </w:p>
    <w:p w:rsidR="0021702B" w:rsidRPr="00F00DCE" w:rsidRDefault="0094597A" w:rsidP="00F00DCE">
      <w:pPr>
        <w:pStyle w:val="JuPara"/>
      </w:pPr>
      <w:r>
        <w:fldChar w:fldCharType="begin"/>
      </w:r>
      <w:r>
        <w:instrText xml:space="preserve"> SEQ level0 \*arabic \* MERGEFORMAT </w:instrText>
      </w:r>
      <w:r>
        <w:fldChar w:fldCharType="separate"/>
      </w:r>
      <w:bookmarkStart w:id="60" w:name="paragraph00111"/>
      <w:r>
        <w:rPr>
          <w:noProof/>
        </w:rPr>
        <w:t>80</w:t>
      </w:r>
      <w:bookmarkEnd w:id="60"/>
      <w:r>
        <w:rPr>
          <w:noProof/>
        </w:rPr>
        <w:fldChar w:fldCharType="end"/>
      </w:r>
      <w:r w:rsidR="00074B99">
        <w:t>.</w:t>
      </w:r>
      <w:r w:rsidR="00B3763A">
        <w:t xml:space="preserve"> </w:t>
      </w:r>
      <w:r w:rsidR="00074B99">
        <w:t xml:space="preserve">La 17 mai 2023, Parlamentul a adoptat Legea nr. 171/2023, care a intrat în vigoare la 18 iunie 2023. Legea a modificat și completat art. 226 C. </w:t>
      </w:r>
      <w:proofErr w:type="spellStart"/>
      <w:r w:rsidR="00074B99">
        <w:t>pen</w:t>
      </w:r>
      <w:proofErr w:type="spellEnd"/>
      <w:r w:rsidR="00074B99">
        <w:t>. astfel încât acesta prevede următoarele:</w:t>
      </w:r>
    </w:p>
    <w:p w:rsidR="0021702B" w:rsidRPr="00F00DCE" w:rsidRDefault="00074B99" w:rsidP="00F00DCE">
      <w:pPr>
        <w:pStyle w:val="JuQuot"/>
      </w:pPr>
      <w:r>
        <w:t>„(1) Atingerea adusă vieții private, fără drept, prin fotografierea, captarea sau înregistrarea de imagini, ascultarea cu mijloace tehnice sau înregistrarea audio a unei persoane aflate într-o locuință sau încăpere ori dependința ținând de aceasta sau a unei convorbiri private se pedepsește cu închisoare de la o lună la 6 luni sau cu amendă.</w:t>
      </w:r>
    </w:p>
    <w:p w:rsidR="0021702B" w:rsidRPr="00F00DCE" w:rsidRDefault="00074B99" w:rsidP="00F00DCE">
      <w:pPr>
        <w:pStyle w:val="JuQuot"/>
      </w:pPr>
      <w:r>
        <w:t>(2) Divulgarea [...] sau transmiterea, fără drept, a sunetelor, convorbirilor ori a imaginilor prevăzute în alin. (1), către o altă persoană sau către public, se pedepsește cu închisoare de la 3 luni la 2 ani sau cu amendă.</w:t>
      </w:r>
    </w:p>
    <w:p w:rsidR="0021702B" w:rsidRPr="00F00DCE" w:rsidRDefault="00074B99" w:rsidP="00F00DCE">
      <w:pPr>
        <w:pStyle w:val="JuQuot"/>
      </w:pPr>
      <w:r>
        <w:t>(2</w:t>
      </w:r>
      <w:r>
        <w:rPr>
          <w:vertAlign w:val="superscript"/>
        </w:rPr>
        <w:t>1</w:t>
      </w:r>
      <w:r>
        <w:t>) Divulgarea, difuzarea, prezentarea sau transmiterea, în orice mod, a unei imagini intime a unei persoane identificate sau identificabile după informațiile furnizate, fără consimțământul persoanei înfățișate, de natură să provoace acesteia o suferință psihică sau să aducă atingere imaginii sale, se pedepsește cu închisoare de la 6 luni la 3 ani sau cu amendă.</w:t>
      </w:r>
      <w:r>
        <w:cr/>
      </w:r>
      <w:r>
        <w:lastRenderedPageBreak/>
        <w:br/>
      </w:r>
    </w:p>
    <w:p w:rsidR="0021702B" w:rsidRPr="00F00DCE" w:rsidRDefault="00074B99" w:rsidP="00F00DCE">
      <w:pPr>
        <w:pStyle w:val="JuQuot"/>
      </w:pPr>
      <w:r>
        <w:t>(2</w:t>
      </w:r>
      <w:r>
        <w:rPr>
          <w:vertAlign w:val="superscript"/>
        </w:rPr>
        <w:t>2</w:t>
      </w:r>
      <w:r>
        <w:t>) Prin imagine intimă se înțelege orice reproducere, indiferent de suport, a imaginii unei persoane nude, care își expune total sau parțial organele genitale, anusul sau zona pubiană sau, în cazul femeilor, și sânii, ori care este implicată într-un raport sexual sau act sexual.</w:t>
      </w:r>
    </w:p>
    <w:p w:rsidR="0021702B" w:rsidRPr="00F00DCE" w:rsidRDefault="00074B99" w:rsidP="00F00DCE">
      <w:pPr>
        <w:pStyle w:val="JuQuot"/>
      </w:pPr>
      <w:r>
        <w:t xml:space="preserve">(3) Acțiunea penală se pune în mișcare la plângerea prealabilă a persoanei vătămate. </w:t>
      </w:r>
    </w:p>
    <w:p w:rsidR="0021702B" w:rsidRPr="00F00DCE" w:rsidRDefault="00074B99" w:rsidP="00F00DCE">
      <w:pPr>
        <w:pStyle w:val="JuQuot"/>
      </w:pPr>
      <w:r>
        <w:t>(4)</w:t>
      </w:r>
      <w:r w:rsidR="00B3763A">
        <w:t xml:space="preserve"> </w:t>
      </w:r>
      <w:r>
        <w:t>Nu constituie infracțiune fapta prevăzută la alin. (1) și (2) săvârșită:</w:t>
      </w:r>
    </w:p>
    <w:p w:rsidR="0021702B" w:rsidRPr="00F00DCE" w:rsidRDefault="00074B99" w:rsidP="00F00DCE">
      <w:pPr>
        <w:pStyle w:val="JuQuot"/>
      </w:pPr>
      <w:r>
        <w:t xml:space="preserve">a) de către cel care a participat la întâlnirea cu persoana vătămată în cadrul căreia au fost surprinse sunetele, convorbirile sau imaginile, dacă justifică un interes legitim; </w:t>
      </w:r>
    </w:p>
    <w:p w:rsidR="00B3763A" w:rsidRDefault="00074B99" w:rsidP="00F00DCE">
      <w:pPr>
        <w:pStyle w:val="JuQuot"/>
      </w:pPr>
      <w:r>
        <w:t xml:space="preserve">b) dacă persoana vătămată a acționat explicit cu intenția de a fi văzută ori auzită de făptuitor; </w:t>
      </w:r>
    </w:p>
    <w:p w:rsidR="0021702B" w:rsidRPr="00F00DCE" w:rsidRDefault="00074B99" w:rsidP="00F00DCE">
      <w:pPr>
        <w:pStyle w:val="JuQuot"/>
      </w:pPr>
      <w:r>
        <w:t>[...]”</w:t>
      </w:r>
    </w:p>
    <w:p w:rsidR="0021702B" w:rsidRPr="00F00DCE" w:rsidRDefault="0021702B" w:rsidP="00F00DCE">
      <w:pPr>
        <w:pStyle w:val="JuQuot"/>
      </w:pPr>
    </w:p>
    <w:p w:rsidR="0021702B" w:rsidRPr="00F00DCE" w:rsidRDefault="0094597A" w:rsidP="00F00DCE">
      <w:pPr>
        <w:pStyle w:val="JuPara"/>
      </w:pPr>
      <w:r>
        <w:fldChar w:fldCharType="begin"/>
      </w:r>
      <w:r>
        <w:instrText xml:space="preserve"> SEQ level0 \*arabic \* MERGEFORMAT </w:instrText>
      </w:r>
      <w:r>
        <w:fldChar w:fldCharType="separate"/>
      </w:r>
      <w:bookmarkStart w:id="61" w:name="paragraph00147"/>
      <w:r>
        <w:rPr>
          <w:noProof/>
        </w:rPr>
        <w:t>81</w:t>
      </w:r>
      <w:bookmarkEnd w:id="61"/>
      <w:r>
        <w:rPr>
          <w:noProof/>
        </w:rPr>
        <w:fldChar w:fldCharType="end"/>
      </w:r>
      <w:r w:rsidR="00074B99">
        <w:t>.</w:t>
      </w:r>
      <w:r w:rsidR="00B3763A">
        <w:t xml:space="preserve"> </w:t>
      </w:r>
      <w:r w:rsidR="00074B99">
        <w:t>Expunerea de motive a proiectului Legii nr. 171/2023 arăta că art. 226, astfel cum era în vigoare anterior intrării în vigoare a Legii nr. 171/2023, era insuficient pentru a face ca făptuitorii actelor de „pornografie de răzbunare” să răspundă penal pentru că cele mai multe fotografii intime deținute de făptuitori erau obținute consensual.</w:t>
      </w:r>
    </w:p>
    <w:p w:rsidR="0021702B" w:rsidRPr="00F00DCE" w:rsidRDefault="0094597A" w:rsidP="00F00DCE">
      <w:pPr>
        <w:pStyle w:val="JuPara"/>
      </w:pPr>
      <w:r>
        <w:fldChar w:fldCharType="begin"/>
      </w:r>
      <w:r>
        <w:instrText xml:space="preserve"> SEQ level0 \*arabic \* MERGEFORMAT </w:instrText>
      </w:r>
      <w:r>
        <w:fldChar w:fldCharType="separate"/>
      </w:r>
      <w:bookmarkStart w:id="62" w:name="paragraph00148"/>
      <w:r>
        <w:rPr>
          <w:noProof/>
        </w:rPr>
        <w:t>82</w:t>
      </w:r>
      <w:bookmarkEnd w:id="62"/>
      <w:r>
        <w:rPr>
          <w:noProof/>
        </w:rPr>
        <w:fldChar w:fldCharType="end"/>
      </w:r>
      <w:r w:rsidR="00074B99">
        <w:t>.</w:t>
      </w:r>
      <w:r w:rsidR="00B3763A">
        <w:t xml:space="preserve"> </w:t>
      </w:r>
      <w:r w:rsidR="00074B99">
        <w:t>De asemenea, în expunere se indica faptul că art. 226 nu putea acoperi situații în care fotografii intime au fost făcute într-un alt cadru decât „o locuință sau încăpere ori dependința ținând de aceasta”. Mai mult, un singur act, sau chiar acte repetate, de „pornografie din răzbunare” nu ar putea cuprinde elementele constitutive ale infracțiunilor de hărțuire și instigare la hărțuire în circumstanțe în care fotografiile au fost trimise către alte persoane decât victima. Faptele respective ar putea și să nu cuprindă elementele constitutive ale infracțiunii de amenințare sau de șantaj. Mai departe, căile de atac civile erau insuficiente pentru a-i descuraja pe făptuitori să comită astfel de acte. Procedurile civile sunt îndelungate și costisitoare, revenindu-i victimei sarcina dificilă de a dovedi prejudiciul moral și nu puteau garanta eliminarea fotografiilor ilegale de pe paginile web care le găzduiau, deoarece hotărârile instanțelor civile erau obligatorii doar pentru părțile din procedură.</w:t>
      </w:r>
    </w:p>
    <w:p w:rsidR="0021702B" w:rsidRPr="00F00DCE" w:rsidRDefault="0094597A" w:rsidP="00F00DCE">
      <w:pPr>
        <w:pStyle w:val="JuPara"/>
      </w:pPr>
      <w:r>
        <w:fldChar w:fldCharType="begin"/>
      </w:r>
      <w:r>
        <w:instrText xml:space="preserve"> SEQ level0 \*arabic \* MERGEFORMAT </w:instrText>
      </w:r>
      <w:r>
        <w:fldChar w:fldCharType="separate"/>
      </w:r>
      <w:bookmarkStart w:id="63" w:name="paragraph00149"/>
      <w:r>
        <w:rPr>
          <w:noProof/>
        </w:rPr>
        <w:t>83</w:t>
      </w:r>
      <w:bookmarkEnd w:id="63"/>
      <w:r>
        <w:rPr>
          <w:noProof/>
        </w:rPr>
        <w:fldChar w:fldCharType="end"/>
      </w:r>
      <w:r w:rsidR="00074B99">
        <w:t>.</w:t>
      </w:r>
      <w:r w:rsidR="00B3763A">
        <w:t xml:space="preserve"> </w:t>
      </w:r>
      <w:r w:rsidR="00074B99">
        <w:t>Expunerea de motive concluziona că incriminarea „pornografiei de răzbunare” era necesară pentru a acorda unor astfel de acte un nivel adecvat de stigmatizare socială, având în vedere gravele consecințe psihice, profesionale și personale asupra victimelor infracțiunii.</w:t>
      </w:r>
    </w:p>
    <w:p w:rsidR="0021702B" w:rsidRPr="00F00DCE" w:rsidRDefault="00074B99" w:rsidP="00F00DCE">
      <w:pPr>
        <w:pStyle w:val="JuH1"/>
      </w:pPr>
      <w:r>
        <w:t>Practica internă</w:t>
      </w:r>
    </w:p>
    <w:p w:rsidR="0021702B" w:rsidRPr="00F00DCE" w:rsidRDefault="0094597A" w:rsidP="00F00DCE">
      <w:pPr>
        <w:pStyle w:val="JuPara"/>
      </w:pPr>
      <w:r>
        <w:fldChar w:fldCharType="begin"/>
      </w:r>
      <w:r>
        <w:instrText xml:space="preserve"> SEQ level0 \*arabic \* MERGEFORMAT </w:instrText>
      </w:r>
      <w:r>
        <w:fldChar w:fldCharType="separate"/>
      </w:r>
      <w:bookmarkStart w:id="64" w:name="paragraph00152"/>
      <w:r>
        <w:rPr>
          <w:noProof/>
        </w:rPr>
        <w:t>84</w:t>
      </w:r>
      <w:bookmarkEnd w:id="64"/>
      <w:r>
        <w:rPr>
          <w:noProof/>
        </w:rPr>
        <w:fldChar w:fldCharType="end"/>
      </w:r>
      <w:r w:rsidR="00074B99">
        <w:t>.</w:t>
      </w:r>
      <w:r w:rsidR="00B3763A">
        <w:t xml:space="preserve"> </w:t>
      </w:r>
      <w:r w:rsidR="00074B99">
        <w:t xml:space="preserve">Prin decizia nr. 51 din 24 iunie 2021, Înalta Curte de Casație și Justiție a admis sesizarea unei curți de apel pentru pronunțarea unei hotărâri prealabile pentru dezlegarea următoarei chestiuni de drept: </w:t>
      </w:r>
      <w:r w:rsidR="00394E5B">
        <w:t>t</w:t>
      </w:r>
      <w:r w:rsidR="00074B99">
        <w:t xml:space="preserve">ipicitatea infracțiunii de violare a vieții private în modalitatea incriminată de art. 226 </w:t>
      </w:r>
      <w:r w:rsidR="00074B99">
        <w:lastRenderedPageBreak/>
        <w:t xml:space="preserve">alin. (2) </w:t>
      </w:r>
      <w:r w:rsidR="00394E5B">
        <w:t xml:space="preserve">C. </w:t>
      </w:r>
      <w:proofErr w:type="spellStart"/>
      <w:r w:rsidR="00394E5B">
        <w:t>pen</w:t>
      </w:r>
      <w:proofErr w:type="spellEnd"/>
      <w:r w:rsidR="00394E5B">
        <w:t>.</w:t>
      </w:r>
      <w:r w:rsidR="00074B99">
        <w:t xml:space="preserve"> este condiționată de deținerea unor sunete, convorbiri ori imagini realizate fără drept, prin fotografierea, captarea sau înregistrarea de imagini, ascultarea cu mijloace tehnice sau înregistrarea audio a unei persoane aflate într-o locuință sau încăpere ori dependință ținând de acestea sau a unei convorbiri private?</w:t>
      </w:r>
      <w:r w:rsidR="00B3763A">
        <w:t xml:space="preserve"> </w:t>
      </w:r>
      <w:r w:rsidR="00074B99">
        <w:t>Instanța care a trimis cererea a reținut că doctrina națională cu privire la aspectul de drept examinat era divergentă (adică, inconsecventă), la fel ca jurisprudența relevantă a instanțelor naționale.</w:t>
      </w:r>
    </w:p>
    <w:p w:rsidR="0021702B" w:rsidRPr="00F00DCE" w:rsidRDefault="0094597A" w:rsidP="00F00DCE">
      <w:pPr>
        <w:pStyle w:val="JuPara"/>
      </w:pPr>
      <w:r>
        <w:fldChar w:fldCharType="begin"/>
      </w:r>
      <w:r>
        <w:instrText xml:space="preserve"> SEQ level0 \*arabic \* MERGEFORMAT </w:instrText>
      </w:r>
      <w:r>
        <w:fldChar w:fldCharType="separate"/>
      </w:r>
      <w:bookmarkStart w:id="65" w:name="paragraph00085"/>
      <w:r>
        <w:rPr>
          <w:noProof/>
        </w:rPr>
        <w:t>85</w:t>
      </w:r>
      <w:bookmarkEnd w:id="65"/>
      <w:r>
        <w:rPr>
          <w:noProof/>
        </w:rPr>
        <w:fldChar w:fldCharType="end"/>
      </w:r>
      <w:r w:rsidR="00074B99">
        <w:t>.</w:t>
      </w:r>
      <w:r w:rsidR="00B3763A">
        <w:t xml:space="preserve"> </w:t>
      </w:r>
      <w:r w:rsidR="00074B99">
        <w:t xml:space="preserve">ÎCCJ a hotărât că elementele constitutive ale infracțiunii prevăzute la art. 226 alin. (2) din C. </w:t>
      </w:r>
      <w:proofErr w:type="spellStart"/>
      <w:r w:rsidR="00074B99">
        <w:t>pen</w:t>
      </w:r>
      <w:proofErr w:type="spellEnd"/>
      <w:r w:rsidR="00074B99">
        <w:t>. sunt întrunite în cazul în care sunetele, convorbirile ori imaginile respective au fost prezentate sau transmise fără drept către o altă persoană sau către public. Nu este relevant dacă aceste sunete, convorbiri ori imagini au fost obținute în mod legal sau ilegal. Decizia a fost publicată în Monitorul Oficial din 3 noiembrie 2021 și este legal obligatorie pentru instanțele naționale din momentul publicării.</w:t>
      </w:r>
    </w:p>
    <w:p w:rsidR="0021702B" w:rsidRPr="00F00DCE" w:rsidRDefault="00074B99" w:rsidP="00F00DCE">
      <w:pPr>
        <w:pStyle w:val="JuHA"/>
      </w:pPr>
      <w:r>
        <w:t>Documente internaționale</w:t>
      </w:r>
    </w:p>
    <w:p w:rsidR="0021702B" w:rsidRPr="00F00DCE" w:rsidRDefault="00074B99" w:rsidP="00F00DCE">
      <w:pPr>
        <w:pStyle w:val="JuH1"/>
      </w:pPr>
      <w:r>
        <w:t>Organizația Națiunilor Unite</w:t>
      </w:r>
    </w:p>
    <w:p w:rsidR="0021702B" w:rsidRPr="00F00DCE" w:rsidRDefault="0094597A" w:rsidP="00F00DCE">
      <w:pPr>
        <w:pStyle w:val="JuPara"/>
      </w:pPr>
      <w:r>
        <w:fldChar w:fldCharType="begin"/>
      </w:r>
      <w:r>
        <w:instrText xml:space="preserve"> SEQ level0 \*arabic \* MERGEFORMAT </w:instrText>
      </w:r>
      <w:r>
        <w:fldChar w:fldCharType="separate"/>
      </w:r>
      <w:bookmarkStart w:id="66" w:name="paragraph00086"/>
      <w:r>
        <w:rPr>
          <w:noProof/>
        </w:rPr>
        <w:t>86</w:t>
      </w:r>
      <w:bookmarkEnd w:id="66"/>
      <w:r>
        <w:rPr>
          <w:noProof/>
        </w:rPr>
        <w:fldChar w:fldCharType="end"/>
      </w:r>
      <w:r w:rsidR="00074B99">
        <w:t>.</w:t>
      </w:r>
      <w:r w:rsidR="00B3763A">
        <w:t xml:space="preserve"> </w:t>
      </w:r>
      <w:r w:rsidR="00074B99">
        <w:t xml:space="preserve">Dispozițiile relevante din Convenția asupra eliminării tuturor formelor de discriminare față de femei („Convenția CEDAW”) – ratificată de România la 7 ianuarie 1982 – și recomandările relevante ale Comitetului Organizației Națiunilor Unite pentru eliminarea discriminării față de femei („Comitetul CEDAW”) – organism expert al ONU care monitorizează respectarea Convenției CEDAW și face recomandări generale statelor părți cu privire la orice chestiuni specifice privind eliminarea discriminării față de femei – sunt prezentate în </w:t>
      </w:r>
      <w:bookmarkStart w:id="67" w:name="_cl39051"/>
      <w:proofErr w:type="spellStart"/>
      <w:r w:rsidR="00074B99">
        <w:rPr>
          <w:i/>
        </w:rPr>
        <w:t>Volodina</w:t>
      </w:r>
      <w:proofErr w:type="spellEnd"/>
      <w:r w:rsidR="00074B99">
        <w:rPr>
          <w:i/>
        </w:rPr>
        <w:t xml:space="preserve"> împotriva Rusiei</w:t>
      </w:r>
      <w:bookmarkEnd w:id="67"/>
      <w:r w:rsidR="00074B99">
        <w:t xml:space="preserve"> (nr. 41261/17, pct. 51-55, 9 iulie 2019).</w:t>
      </w:r>
    </w:p>
    <w:p w:rsidR="0021702B" w:rsidRPr="00F00DCE" w:rsidRDefault="0094597A" w:rsidP="00F00DCE">
      <w:pPr>
        <w:pStyle w:val="JuPara"/>
      </w:pPr>
      <w:r>
        <w:fldChar w:fldCharType="begin"/>
      </w:r>
      <w:r>
        <w:instrText xml:space="preserve"> SEQ level0 \*</w:instrText>
      </w:r>
      <w:r>
        <w:instrText xml:space="preserve">arabic \* MERGEFORMAT </w:instrText>
      </w:r>
      <w:r>
        <w:fldChar w:fldCharType="separate"/>
      </w:r>
      <w:bookmarkStart w:id="68" w:name="paragraph00121"/>
      <w:r>
        <w:rPr>
          <w:noProof/>
        </w:rPr>
        <w:t>87</w:t>
      </w:r>
      <w:bookmarkEnd w:id="68"/>
      <w:r>
        <w:rPr>
          <w:noProof/>
        </w:rPr>
        <w:fldChar w:fldCharType="end"/>
      </w:r>
      <w:r w:rsidR="00074B99">
        <w:t>.</w:t>
      </w:r>
      <w:r w:rsidR="00B3763A">
        <w:t xml:space="preserve"> </w:t>
      </w:r>
      <w:r w:rsidR="00074B99">
        <w:t>În observațiile sale finale cu privire la al șaptelea și al optulea raport periodic privind România</w:t>
      </w:r>
      <w:r w:rsidR="00074B99">
        <w:rPr>
          <w:vertAlign w:val="superscript"/>
        </w:rPr>
        <w:t xml:space="preserve"> </w:t>
      </w:r>
      <w:r w:rsidR="00074B99">
        <w:t xml:space="preserve">luate împreună (examinate la 6 iulie 2017), Comitetul CEDAW și-a exprimat îngrijorarea cu privire la, </w:t>
      </w:r>
      <w:r w:rsidR="00074B99">
        <w:rPr>
          <w:i/>
        </w:rPr>
        <w:t>inter alia</w:t>
      </w:r>
      <w:r w:rsidR="00074B99">
        <w:t xml:space="preserve">, (i) lipsa de încredere a femeilor în sistemul judiciar și (ii) stigmatizarea victimelor, care a dus la raportarea redusă a cazurilor de violență bazată pe gen împotriva femeilor și fetelor, inclusiv violența psihică și economică, hărțuirea sexuală și violul conjugal. A recomandat, printre alte măsuri, ca autoritățile române (i) să ia măsuri pentru a </w:t>
      </w:r>
      <w:proofErr w:type="spellStart"/>
      <w:r w:rsidR="00074B99">
        <w:t>destigmatiza</w:t>
      </w:r>
      <w:proofErr w:type="spellEnd"/>
      <w:r w:rsidR="00074B99">
        <w:t xml:space="preserve"> victimele și a ridica nivelul de conștientizare a caracterului penal al violenței bazate pe gen împotriva femeilor și fetelor și (ii) să garanteze că toate cazurile raportate de violență bazată pe gen împotriva femeilor și fetelor sunt anchetate adecvat, că făptuitorii sunt condamnați și că pedepsele aplicate sunt proporționale cu gravitatea infracțiunii săvârșite.</w:t>
      </w:r>
    </w:p>
    <w:p w:rsidR="0021702B" w:rsidRPr="00F00DCE" w:rsidRDefault="0094597A" w:rsidP="00F00DCE">
      <w:pPr>
        <w:pStyle w:val="JuPara"/>
        <w:rPr>
          <w:rFonts w:ascii="Times New Roman" w:eastAsia="Times New Roman" w:hAnsi="Times New Roman" w:cs="Times New Roman"/>
        </w:rPr>
      </w:pPr>
      <w:r>
        <w:fldChar w:fldCharType="begin"/>
      </w:r>
      <w:r>
        <w:instrText xml:space="preserve"> SEQ level0 \*arabic \* MERGEFORMAT </w:instrText>
      </w:r>
      <w:r>
        <w:fldChar w:fldCharType="separate"/>
      </w:r>
      <w:bookmarkStart w:id="69" w:name="paragraph00122"/>
      <w:r>
        <w:rPr>
          <w:noProof/>
        </w:rPr>
        <w:t>88</w:t>
      </w:r>
      <w:bookmarkEnd w:id="69"/>
      <w:r>
        <w:rPr>
          <w:noProof/>
        </w:rPr>
        <w:fldChar w:fldCharType="end"/>
      </w:r>
      <w:r w:rsidR="00074B99">
        <w:t>.</w:t>
      </w:r>
      <w:r w:rsidR="00B3763A">
        <w:t xml:space="preserve"> </w:t>
      </w:r>
      <w:r w:rsidR="00074B99">
        <w:t>Constatări relevante suplimentare în (i) raportul din 2015 intitulat „Violența cibernetică împotriva femeilor și fetelor: un apel de trezire global” al Comisiei UNESCO</w:t>
      </w:r>
      <w:r w:rsidR="00074B99">
        <w:noBreakHyphen/>
        <w:t xml:space="preserve">ITU de bandă largă pentru grupul de lucru de </w:t>
      </w:r>
      <w:r w:rsidR="00074B99">
        <w:lastRenderedPageBreak/>
        <w:t xml:space="preserve">dezvoltare digitală privind banda largă și genul, (ii) un raport privind violența online împotriva femeilor și a fetelor din perspectiva drepturilor omului (A/HRC/38/47, 18 iunie 2018) al Raportorului special al Consiliului pentru Drepturile Omului cu privire la violența față de femei, și (iii) un studiu de mapare despre violența online (publicat la 9 iulie 2018) efectuat de Grupul de lucru al Convenției pentru criminalitatea informatică privind hărțuirea online și alte forme de violență online (în special împotriva femeilor și a copiilor), sunt prezentate în </w:t>
      </w:r>
      <w:proofErr w:type="spellStart"/>
      <w:r w:rsidR="00074B99">
        <w:rPr>
          <w:i/>
        </w:rPr>
        <w:t>Volodina</w:t>
      </w:r>
      <w:proofErr w:type="spellEnd"/>
      <w:r w:rsidR="00074B99">
        <w:rPr>
          <w:i/>
        </w:rPr>
        <w:t xml:space="preserve"> împotriva Rusiei (nr. 2</w:t>
      </w:r>
      <w:r w:rsidR="00074B99">
        <w:t>)</w:t>
      </w:r>
      <w:r w:rsidR="00074B99">
        <w:rPr>
          <w:rFonts w:ascii="Times New Roman" w:hAnsi="Times New Roman"/>
        </w:rPr>
        <w:t xml:space="preserve"> (nr. 40419/19, pct. 22-24, 14 septembrie 2021).</w:t>
      </w:r>
    </w:p>
    <w:p w:rsidR="0021702B" w:rsidRPr="00F00DCE" w:rsidRDefault="00074B99" w:rsidP="00F00DCE">
      <w:pPr>
        <w:pStyle w:val="JuH1"/>
        <w:rPr>
          <w:rFonts w:eastAsia="Times New Roman"/>
        </w:rPr>
      </w:pPr>
      <w:r>
        <w:t>Consiliul Europei</w:t>
      </w:r>
    </w:p>
    <w:p w:rsidR="0021702B" w:rsidRPr="00F00DCE" w:rsidRDefault="0094597A" w:rsidP="00F00DCE">
      <w:pPr>
        <w:pStyle w:val="JuPara"/>
        <w:ind w:firstLine="340"/>
      </w:pPr>
      <w:r>
        <w:fldChar w:fldCharType="begin"/>
      </w:r>
      <w:r>
        <w:instrText xml:space="preserve"> SEQ level0 \*arabic \* MERGEFORMAT </w:instrText>
      </w:r>
      <w:r>
        <w:fldChar w:fldCharType="separate"/>
      </w:r>
      <w:bookmarkStart w:id="70" w:name="paragraph00158"/>
      <w:r>
        <w:rPr>
          <w:noProof/>
        </w:rPr>
        <w:t>89</w:t>
      </w:r>
      <w:bookmarkEnd w:id="70"/>
      <w:r>
        <w:rPr>
          <w:noProof/>
        </w:rPr>
        <w:fldChar w:fldCharType="end"/>
      </w:r>
      <w:r w:rsidR="00074B99">
        <w:t>.</w:t>
      </w:r>
      <w:r w:rsidR="00B3763A">
        <w:t xml:space="preserve"> </w:t>
      </w:r>
      <w:r w:rsidR="00074B99">
        <w:t xml:space="preserve">Prevederile relevante ale Convenției privind prevenirea și combaterea violenței împotriva femeilor și a violenței domestice din 7 aprilie 2011 („Convenția de la Istanbul“), care a intrat în vigoare în ceea ce privește România la 1 septembrie 2016, sunt prezentate în </w:t>
      </w:r>
      <w:r w:rsidR="00074B99">
        <w:rPr>
          <w:i/>
        </w:rPr>
        <w:t>M.G. împotriva Turciei</w:t>
      </w:r>
      <w:r w:rsidR="00074B99">
        <w:t xml:space="preserve"> (nr. 646/10, pct. 54, 22 martie 2016) și </w:t>
      </w:r>
      <w:bookmarkStart w:id="71" w:name="_cl40740"/>
      <w:r w:rsidR="00074B99">
        <w:rPr>
          <w:i/>
        </w:rPr>
        <w:t>J.L. împotriva Italiei</w:t>
      </w:r>
      <w:bookmarkEnd w:id="71"/>
      <w:r w:rsidR="00074B99">
        <w:t xml:space="preserve"> (nr. 5671/16, pct. 65, 27 mai 2021).</w:t>
      </w:r>
    </w:p>
    <w:p w:rsidR="0021702B" w:rsidRPr="00F00DCE" w:rsidRDefault="0094597A" w:rsidP="00F00DCE">
      <w:pPr>
        <w:pStyle w:val="JuPara"/>
      </w:pPr>
      <w:r>
        <w:fldChar w:fldCharType="begin"/>
      </w:r>
      <w:r>
        <w:instrText xml:space="preserve"> SEQ level0 \*arabic \* MERGEFORMAT </w:instrText>
      </w:r>
      <w:r>
        <w:fldChar w:fldCharType="separate"/>
      </w:r>
      <w:r>
        <w:rPr>
          <w:noProof/>
        </w:rPr>
        <w:t>90</w:t>
      </w:r>
      <w:r>
        <w:rPr>
          <w:noProof/>
        </w:rPr>
        <w:fldChar w:fldCharType="end"/>
      </w:r>
      <w:r w:rsidR="00074B99">
        <w:t>.</w:t>
      </w:r>
      <w:r w:rsidR="00B3763A">
        <w:t xml:space="preserve"> </w:t>
      </w:r>
      <w:r w:rsidR="00074B99">
        <w:t>Convenția de la Istanbul cuprinde, de asemenea, următoarele dispoziții:</w:t>
      </w:r>
    </w:p>
    <w:p w:rsidR="0021702B" w:rsidRPr="00F00DCE" w:rsidRDefault="00074B99" w:rsidP="00F00DCE">
      <w:pPr>
        <w:pStyle w:val="JuHArticle"/>
      </w:pPr>
      <w:r>
        <w:t>Articolul 3 – Definiții</w:t>
      </w:r>
    </w:p>
    <w:p w:rsidR="0021702B" w:rsidRPr="00F00DCE" w:rsidRDefault="00074B99" w:rsidP="00F00DCE">
      <w:pPr>
        <w:pStyle w:val="JuQuot"/>
      </w:pPr>
      <w:r>
        <w:t>„În scopul prezentei convenții:</w:t>
      </w:r>
    </w:p>
    <w:p w:rsidR="0021702B" w:rsidRPr="00F00DCE" w:rsidRDefault="00074B99" w:rsidP="00F00DCE">
      <w:pPr>
        <w:pStyle w:val="JuQuot"/>
      </w:pPr>
      <w:r>
        <w:t xml:space="preserve"> a) «violența împotriva femeilor» este înțeleasă drept o încălcare a drepturilor omului și o formă de discriminare împotriva femeilor și va însemna toate acțiunile de violență de gen care rezultă în sau care sunt probabile a rezulta în vătămarea sau suferința fizică, sexuală, psihologică sau economică cauzată femeilor, inclusiv amenințările cu asemenea acțiuni, constrângerea sau </w:t>
      </w:r>
      <w:proofErr w:type="spellStart"/>
      <w:r>
        <w:t>deprivarea</w:t>
      </w:r>
      <w:proofErr w:type="spellEnd"/>
      <w:r>
        <w:t xml:space="preserve"> arbitrară de libertate, indiferent dacă se produce în public sau în viața privată; </w:t>
      </w:r>
    </w:p>
    <w:p w:rsidR="0021702B" w:rsidRPr="00F00DCE" w:rsidRDefault="00074B99" w:rsidP="00F00DCE">
      <w:pPr>
        <w:pStyle w:val="JuQuot"/>
      </w:pPr>
      <w:r>
        <w:t>b) «violența domestică» va însemna toate acțiunile de violență fizică, sexuală, psihologică sau economică, care se produc în mediul familial sau domestic ori între foștii sau actualii soți sau parteneri, indiferent dacă agresorul împarte sau a împărțit același domiciliu cu victima;</w:t>
      </w:r>
    </w:p>
    <w:p w:rsidR="0021702B" w:rsidRPr="00F00DCE" w:rsidRDefault="00074B99" w:rsidP="00F00DCE">
      <w:pPr>
        <w:pStyle w:val="JuQuot"/>
      </w:pPr>
      <w:r>
        <w:t>[...]”</w:t>
      </w:r>
    </w:p>
    <w:p w:rsidR="0021702B" w:rsidRPr="00F00DCE" w:rsidRDefault="00074B99" w:rsidP="00F00DCE">
      <w:pPr>
        <w:pStyle w:val="JuHArticle"/>
      </w:pPr>
      <w:r>
        <w:t>Articolul 40 – Hărțuirea sexuală</w:t>
      </w:r>
    </w:p>
    <w:p w:rsidR="0021702B" w:rsidRPr="00F00DCE" w:rsidRDefault="00074B99" w:rsidP="00F00DCE">
      <w:pPr>
        <w:pStyle w:val="JuQuot"/>
        <w:ind w:firstLine="0"/>
      </w:pPr>
      <w:r>
        <w:t>„Părțile vor lua măsurile legislative sau alte măsuri necesare pentru a se asigura că orice formă de conduită verbală, nonverbală sau fizică de natură sexuală, cu scopul sau cu efectul violării demnității unei persoane, în special atunci când se creează un mediu intimidant, ostil, degradant, umilitor sau jignitor, este supusă unei sancțiuni penale sau altei sancțiuni legale.”</w:t>
      </w:r>
    </w:p>
    <w:p w:rsidR="0021702B" w:rsidRPr="00F00DCE" w:rsidRDefault="0094597A" w:rsidP="00F00DCE">
      <w:pPr>
        <w:pStyle w:val="JuPara"/>
        <w:ind w:firstLine="340"/>
      </w:pPr>
      <w:r>
        <w:fldChar w:fldCharType="begin"/>
      </w:r>
      <w:r>
        <w:instrText xml:space="preserve"> SEQ level0 \*arabic \* MERGEFORMAT </w:instrText>
      </w:r>
      <w:r>
        <w:fldChar w:fldCharType="separate"/>
      </w:r>
      <w:r>
        <w:rPr>
          <w:noProof/>
        </w:rPr>
        <w:t>91</w:t>
      </w:r>
      <w:r>
        <w:rPr>
          <w:noProof/>
        </w:rPr>
        <w:fldChar w:fldCharType="end"/>
      </w:r>
      <w:r w:rsidR="00074B99">
        <w:t>.</w:t>
      </w:r>
      <w:r w:rsidR="00B3763A">
        <w:t xml:space="preserve"> </w:t>
      </w:r>
      <w:r w:rsidR="00074B99">
        <w:t xml:space="preserve">În Recomandările sale generale nr. 1 cu privire la dimensiunea digitală a violenței împotriva femeilor, adoptate la 20 octombrie 2021, Grupul de experți pentru acțiunea împotriva violenței împotriva femeilor și a violenței în familie care monitorizează Convenția de la Istanbul („Grupul de experți al </w:t>
      </w:r>
      <w:r w:rsidR="00074B99">
        <w:lastRenderedPageBreak/>
        <w:t>Convenției de la Istanbul”) a formulat următoarele concluzii: (i) manifestările de violență împotriva femeilor și fetelor în sfera digitală trebuie considerate expresii ale violenței de gen împotriva femeilor acoperite de Convenția de la Istanbul (pct. 18 din aceasta); (ii) distribuirea abuzivă sau amenințările cu distribuirea de imagini de nud sau sexuale ale unei persoane în sfera digitală (care mai poartă denumirea de „pornografie din răzbunare”) constituie hârțuire sexuală care poate lua și forma deghizării în victimă și a distribuirii de conținut sexual [pct. 38 lit. a) și d) din aceasta]; (iii) multe din formele violenței împotriva femeilor comise prin intermediul mijloacelor digitale (inclusiv hărțuirea sexuală online sau prin mijloace digitale) au intrat în limitele comportamentului intenționat, pe care statele părți la Convenția de la Istanbul sunt chemate să îl incrimineze (pct. 36 din aceasta).</w:t>
      </w:r>
    </w:p>
    <w:p w:rsidR="0021702B" w:rsidRPr="00F00DCE" w:rsidRDefault="0094597A" w:rsidP="00F00DCE">
      <w:pPr>
        <w:pStyle w:val="JuPara"/>
        <w:ind w:firstLine="340"/>
      </w:pPr>
      <w:r>
        <w:fldChar w:fldCharType="begin"/>
      </w:r>
      <w:r>
        <w:instrText xml:space="preserve"> SEQ level0 \*arabic \* MERGEFORMAT </w:instrText>
      </w:r>
      <w:r>
        <w:fldChar w:fldCharType="separate"/>
      </w:r>
      <w:bookmarkStart w:id="72" w:name="paragraph00162"/>
      <w:r>
        <w:rPr>
          <w:noProof/>
        </w:rPr>
        <w:t>92</w:t>
      </w:r>
      <w:bookmarkEnd w:id="72"/>
      <w:r>
        <w:rPr>
          <w:noProof/>
        </w:rPr>
        <w:fldChar w:fldCharType="end"/>
      </w:r>
      <w:r w:rsidR="00074B99">
        <w:t>.</w:t>
      </w:r>
      <w:r w:rsidR="00B3763A">
        <w:t xml:space="preserve"> </w:t>
      </w:r>
      <w:r w:rsidR="00074B99">
        <w:t>În raportul de evaluare de bază privind România emis la 4 martie 2022, Grupul de experți privind Convenția de la Istanbul a subliniat necesitatea de „a fi asigurate cercetarea, condamnarea și pedepsirea adecvate în cazurile de violență împotriva femeilor” – inclusiv prin creșterea frecvenței raportării unor asemenea cazuri. Raportul atrăgea atenția asupra neîncrederii în sistemul de justiție penală – în special în ceea ce privește organismele de aplicare a legii, pentru reluctanța femeilor de a raporta violența (în special în cazul în care făptuitorul era un partener intim). „[...] ofițerii de poliție sunt deseori primii care intră în contact cu o victimă, iar atitudinea și acțiunile lor sunt cruciale pentru a determina dacă o victimă decide să raporteze și alege să participe la acțiunile judiciare ulterioare [...]” (pct. 341 din raport).</w:t>
      </w:r>
    </w:p>
    <w:p w:rsidR="0021702B" w:rsidRPr="00F00DCE" w:rsidRDefault="0094597A" w:rsidP="00F00DCE">
      <w:pPr>
        <w:pStyle w:val="JuPara"/>
        <w:ind w:firstLine="340"/>
      </w:pPr>
      <w:r>
        <w:fldChar w:fldCharType="begin"/>
      </w:r>
      <w:r>
        <w:instrText xml:space="preserve"> SEQ level0 \*arabic \* MERGEFORMAT </w:instrText>
      </w:r>
      <w:r>
        <w:fldChar w:fldCharType="separate"/>
      </w:r>
      <w:r>
        <w:rPr>
          <w:noProof/>
        </w:rPr>
        <w:t>93</w:t>
      </w:r>
      <w:r>
        <w:rPr>
          <w:noProof/>
        </w:rPr>
        <w:fldChar w:fldCharType="end"/>
      </w:r>
      <w:r w:rsidR="00074B99">
        <w:t>.</w:t>
      </w:r>
      <w:r w:rsidR="00B3763A">
        <w:t xml:space="preserve"> </w:t>
      </w:r>
      <w:r w:rsidR="00074B99">
        <w:t xml:space="preserve">În raport se sublinia că au fost exprimate îngrijorări (i) că „în urma prejudecăților și a atitudinilor discriminatorii care decurg dintr-o cultură patriarhală, victimele care sunt tratate cu insensibilitate sau lipsă de compasiune, decid adesea să nu continue procesul” și (ii) cu privire la „răspândirea miturilor și a stereotipurilor negative asupra femeilor victime în rândul autorităților de aplicare a legii, care uneori ar putea merge până la a manifesta reticență sau refuzul de a-și înregistra sau procesa plângerea” (pct. 342 din raport). </w:t>
      </w:r>
    </w:p>
    <w:p w:rsidR="0021702B" w:rsidRPr="00F00DCE" w:rsidRDefault="0094597A" w:rsidP="00F00DCE">
      <w:pPr>
        <w:pStyle w:val="JuPara"/>
        <w:ind w:firstLine="340"/>
      </w:pPr>
      <w:r>
        <w:fldChar w:fldCharType="begin"/>
      </w:r>
      <w:r>
        <w:instrText xml:space="preserve"> SEQ level0 \*arabic \* MERGEFORMAT </w:instrText>
      </w:r>
      <w:r>
        <w:fldChar w:fldCharType="separate"/>
      </w:r>
      <w:bookmarkStart w:id="73" w:name="paragraph00165"/>
      <w:r>
        <w:rPr>
          <w:noProof/>
        </w:rPr>
        <w:t>94</w:t>
      </w:r>
      <w:bookmarkEnd w:id="73"/>
      <w:r>
        <w:rPr>
          <w:noProof/>
        </w:rPr>
        <w:fldChar w:fldCharType="end"/>
      </w:r>
      <w:r w:rsidR="00074B99">
        <w:t>.</w:t>
      </w:r>
      <w:r w:rsidR="00B3763A">
        <w:t xml:space="preserve"> </w:t>
      </w:r>
      <w:r w:rsidR="00074B99">
        <w:t>În raport se sublinia în continuare că au fost ridicate îngrijorări cu privire la practicile de investigație care au efect de „revictimizare” – cum ar fi „interogarea îndelungată, comentariile și presupunerile înjositoare și chiar presiunea de a se reconcilia cu autorul violenței”. Asemenea atitudini au minimalizat credibilitatea dată relatărilor victimelor privind violența, „împiedică recunoașterea gravității și specificității violenței și împiedică aplicarea deplină a prevederilor și măsurilor menite să protejeze victimele și să le ofere măsuri de remediere” (pct. 343 din raport).</w:t>
      </w:r>
    </w:p>
    <w:p w:rsidR="0021702B" w:rsidRPr="00F00DCE" w:rsidRDefault="00074B99" w:rsidP="00F00DCE">
      <w:pPr>
        <w:pStyle w:val="JuHA"/>
      </w:pPr>
      <w:r>
        <w:t>Uniunea Europeană</w:t>
      </w:r>
    </w:p>
    <w:p w:rsidR="0021702B" w:rsidRPr="00F00DCE" w:rsidRDefault="0094597A" w:rsidP="00F00DCE">
      <w:pPr>
        <w:pStyle w:val="JuPara"/>
      </w:pPr>
      <w:r>
        <w:fldChar w:fldCharType="begin"/>
      </w:r>
      <w:r>
        <w:instrText xml:space="preserve"> SEQ level0 \*arabic \* ME</w:instrText>
      </w:r>
      <w:r>
        <w:instrText xml:space="preserve">RGEFORMAT </w:instrText>
      </w:r>
      <w:r>
        <w:fldChar w:fldCharType="separate"/>
      </w:r>
      <w:bookmarkStart w:id="74" w:name="paragraph00132"/>
      <w:r>
        <w:rPr>
          <w:noProof/>
        </w:rPr>
        <w:t>95</w:t>
      </w:r>
      <w:bookmarkEnd w:id="74"/>
      <w:r>
        <w:rPr>
          <w:noProof/>
        </w:rPr>
        <w:fldChar w:fldCharType="end"/>
      </w:r>
      <w:r w:rsidR="00074B99">
        <w:t>.</w:t>
      </w:r>
      <w:r w:rsidR="00B3763A">
        <w:t xml:space="preserve"> </w:t>
      </w:r>
      <w:r w:rsidR="00074B99">
        <w:t xml:space="preserve">La 13 iunie 2024, Directiva (UE) 2024/1385 a Parlamentului European și a Consiliului din 14 mai 2024 privind combaterea violenței împotriva </w:t>
      </w:r>
      <w:r w:rsidR="00074B99">
        <w:lastRenderedPageBreak/>
        <w:t>femeilor și a violenței domestice, JO 2024 L</w:t>
      </w:r>
      <w:r w:rsidR="00394E5B">
        <w:t>,</w:t>
      </w:r>
      <w:r w:rsidR="00074B99">
        <w:t xml:space="preserve"> a intrat în vigoare și trebuie să fie transpusă de statele membre până cel mai târziu la 14 iunie 2027. Art. 5 alin. (1) lit. a) din directivă (care privește partajare</w:t>
      </w:r>
      <w:r w:rsidR="00394E5B">
        <w:t>a</w:t>
      </w:r>
      <w:r w:rsidR="00074B99">
        <w:t xml:space="preserve"> neconsensuală de materiale intime sau manipulate) prevede că statele membre se asigură că faptele comise cu intenție </w:t>
      </w:r>
      <w:r w:rsidR="00394E5B">
        <w:t>[</w:t>
      </w:r>
      <w:r w:rsidR="00074B99">
        <w:t>constând în punerea la dispoziția publicului, prin intermediul tehnologiilor informației și comunicațiilor (TIC), de imagini, înregistrări video sau materiale similare care prezintă părți intime ale unei persoane, fără cons</w:t>
      </w:r>
      <w:r w:rsidR="00394E5B">
        <w:t>imțământul persoanei respective]</w:t>
      </w:r>
      <w:r w:rsidR="00074B99">
        <w:t>, de natură să cauzeze prejudicii persoanei sunt pedepsite ca infracțiuni. Art. 7 lit. d) din directivă (care privește hărțuirea pe internet) prevede că statele membre se asigură că faptele comise cu intenție (constând în punerea la dispoziția publicului, prin intermediul TIC, de materiale care conțin date cu caracter personal ale unei persoane, fără consimțământul acesteia, cu scopul de a incita alte persoane să cauzeze vătămări fizice sau daune psihologice grave persoanei respective) sunt pedepsite ca infracțiuni.</w:t>
      </w:r>
    </w:p>
    <w:p w:rsidR="0021702B" w:rsidRPr="00F00DCE" w:rsidRDefault="0094597A" w:rsidP="00F00DCE">
      <w:pPr>
        <w:pStyle w:val="JuPara"/>
      </w:pPr>
      <w:r>
        <w:fldChar w:fldCharType="begin"/>
      </w:r>
      <w:r>
        <w:instrText xml:space="preserve"> SEQ level0 \</w:instrText>
      </w:r>
      <w:r>
        <w:instrText xml:space="preserve">*arabic \* MERGEFORMAT </w:instrText>
      </w:r>
      <w:r>
        <w:fldChar w:fldCharType="separate"/>
      </w:r>
      <w:bookmarkStart w:id="75" w:name="paragraph00100"/>
      <w:r>
        <w:rPr>
          <w:noProof/>
        </w:rPr>
        <w:t>96</w:t>
      </w:r>
      <w:bookmarkEnd w:id="75"/>
      <w:r>
        <w:rPr>
          <w:noProof/>
        </w:rPr>
        <w:fldChar w:fldCharType="end"/>
      </w:r>
      <w:r w:rsidR="00074B99">
        <w:t>.</w:t>
      </w:r>
      <w:r w:rsidR="00B3763A">
        <w:t xml:space="preserve"> </w:t>
      </w:r>
      <w:r w:rsidR="00074B99">
        <w:t xml:space="preserve">Constatările relevante ale unui sondaj realizat la nivelul întregii Uniuni Europene în perioada martie – septembrie 2012 de către Agenția pentru Drepturi Fundamentale a Uniunii Europene și ale raportului privind „Violența cibernetică împotriva femeilor și a fetelor” elaborat de Institutul european pentru egalitatea de șanse între femei și bărbați în 2017, relevant la momentul faptelor în speță, au fost prezentate în </w:t>
      </w:r>
      <w:r w:rsidR="00074B99">
        <w:rPr>
          <w:i/>
        </w:rPr>
        <w:t>Buturugă împotriva României</w:t>
      </w:r>
      <w:r w:rsidR="00074B99">
        <w:t xml:space="preserve"> (nr. 56867/15, pct. 41-42, 11 februarie 2020). Cel din urmă raport a fost ulterior actualizat la 25 noiembrie 2022.</w:t>
      </w:r>
    </w:p>
    <w:p w:rsidR="0021702B" w:rsidRPr="00F00DCE" w:rsidRDefault="00074B99" w:rsidP="00F00DCE">
      <w:pPr>
        <w:pStyle w:val="JuHHead"/>
      </w:pPr>
      <w:r>
        <w:t>ÎN DREPT</w:t>
      </w:r>
    </w:p>
    <w:p w:rsidR="0021702B" w:rsidRPr="00F00DCE" w:rsidRDefault="00074B99" w:rsidP="00F00DCE">
      <w:pPr>
        <w:pStyle w:val="JuHIRoman"/>
      </w:pPr>
      <w:r>
        <w:rPr>
          <w:caps w:val="0"/>
        </w:rPr>
        <w:t>OBSERVAȚII PRELIMINARE</w:t>
      </w:r>
    </w:p>
    <w:p w:rsidR="0021702B" w:rsidRPr="00F00DCE" w:rsidRDefault="0094597A" w:rsidP="00F00DCE">
      <w:pPr>
        <w:pStyle w:val="JuPara"/>
      </w:pPr>
      <w:r>
        <w:fldChar w:fldCharType="begin"/>
      </w:r>
      <w:r>
        <w:instrText xml:space="preserve"> SEQ level0 \*arabic \* MERGEFORMAT </w:instrText>
      </w:r>
      <w:r>
        <w:fldChar w:fldCharType="separate"/>
      </w:r>
      <w:r>
        <w:rPr>
          <w:noProof/>
        </w:rPr>
        <w:t>97</w:t>
      </w:r>
      <w:r>
        <w:rPr>
          <w:noProof/>
        </w:rPr>
        <w:fldChar w:fldCharType="end"/>
      </w:r>
      <w:r w:rsidR="00074B99">
        <w:t>.</w:t>
      </w:r>
      <w:r w:rsidR="00B3763A">
        <w:t xml:space="preserve"> </w:t>
      </w:r>
      <w:r w:rsidR="00074B99">
        <w:t>Curtea reține de la început că unele dintre afirmațiile reclamantei din cererea sa inițială adresată Curții se pot citi ca o sugestie că propunerea parchetului cu privire la infracțiunea de fals informatic nu intra în domeniul prezentei cereri. Totuși, având în vedere (i) argumentele reclamantei transmise autorităților naționale și respectivele constatări ale acestora (</w:t>
      </w:r>
      <w:r w:rsidR="00074B99">
        <w:rPr>
          <w:i/>
          <w:iCs/>
        </w:rPr>
        <w:t>supra</w:t>
      </w:r>
      <w:r w:rsidR="00074B99">
        <w:t xml:space="preserve">, pct. </w:t>
      </w:r>
      <w:r w:rsidR="00074B99" w:rsidRPr="00F00DCE">
        <w:fldChar w:fldCharType="begin"/>
      </w:r>
      <w:r w:rsidR="00074B99" w:rsidRPr="00F00DCE">
        <w:instrText xml:space="preserve"> REF paragraph00021 \h  \* CharFormat </w:instrText>
      </w:r>
      <w:r w:rsidR="00074B99" w:rsidRPr="00F00DCE">
        <w:fldChar w:fldCharType="separate"/>
      </w:r>
      <w:r>
        <w:t>19</w:t>
      </w:r>
      <w:r w:rsidR="00074B99" w:rsidRPr="00F00DCE">
        <w:fldChar w:fldCharType="end"/>
      </w:r>
      <w:r w:rsidR="00074B99">
        <w:t xml:space="preserve">, </w:t>
      </w:r>
      <w:r w:rsidR="00074B99" w:rsidRPr="00F00DCE">
        <w:fldChar w:fldCharType="begin"/>
      </w:r>
      <w:r w:rsidR="00074B99" w:rsidRPr="00F00DCE">
        <w:instrText xml:space="preserve"> REF paragraph00033 \h  \* CharFormat </w:instrText>
      </w:r>
      <w:r w:rsidR="00074B99" w:rsidRPr="00F00DCE">
        <w:fldChar w:fldCharType="separate"/>
      </w:r>
      <w:r>
        <w:t>27</w:t>
      </w:r>
      <w:r w:rsidR="00074B99" w:rsidRPr="00F00DCE">
        <w:fldChar w:fldCharType="end"/>
      </w:r>
      <w:r w:rsidR="00074B99">
        <w:t xml:space="preserve">, </w:t>
      </w:r>
      <w:r w:rsidR="00074B99" w:rsidRPr="00F00DCE">
        <w:fldChar w:fldCharType="begin"/>
      </w:r>
      <w:r w:rsidR="00074B99" w:rsidRPr="00F00DCE">
        <w:instrText xml:space="preserve"> REF paragraph00036 \h  \* CharFormat </w:instrText>
      </w:r>
      <w:r w:rsidR="00074B99" w:rsidRPr="00F00DCE">
        <w:fldChar w:fldCharType="separate"/>
      </w:r>
      <w:r>
        <w:t>32</w:t>
      </w:r>
      <w:r w:rsidR="00074B99" w:rsidRPr="00F00DCE">
        <w:fldChar w:fldCharType="end"/>
      </w:r>
      <w:r w:rsidR="00074B99">
        <w:t xml:space="preserve">, </w:t>
      </w:r>
      <w:r w:rsidR="00074B99" w:rsidRPr="00F00DCE">
        <w:fldChar w:fldCharType="begin"/>
      </w:r>
      <w:r w:rsidR="00074B99" w:rsidRPr="00F00DCE">
        <w:instrText xml:space="preserve"> REF paragraph00062 \h  \* CharFormat </w:instrText>
      </w:r>
      <w:r w:rsidR="00074B99" w:rsidRPr="00F00DCE">
        <w:fldChar w:fldCharType="separate"/>
      </w:r>
      <w:r>
        <w:t>36</w:t>
      </w:r>
      <w:r w:rsidR="00074B99" w:rsidRPr="00F00DCE">
        <w:fldChar w:fldCharType="end"/>
      </w:r>
      <w:r w:rsidR="00074B99">
        <w:t>-</w:t>
      </w:r>
      <w:r w:rsidR="00074B99" w:rsidRPr="00F00DCE">
        <w:fldChar w:fldCharType="begin"/>
      </w:r>
      <w:r w:rsidR="00074B99" w:rsidRPr="00F00DCE">
        <w:instrText xml:space="preserve"> REF paragraph00080 \h  \* CharFormat </w:instrText>
      </w:r>
      <w:r w:rsidR="00074B99" w:rsidRPr="00F00DCE">
        <w:fldChar w:fldCharType="separate"/>
      </w:r>
      <w:r>
        <w:t>51</w:t>
      </w:r>
      <w:r w:rsidR="00074B99" w:rsidRPr="00F00DCE">
        <w:fldChar w:fldCharType="end"/>
      </w:r>
      <w:r w:rsidR="00074B99">
        <w:t xml:space="preserve">, </w:t>
      </w:r>
      <w:r w:rsidR="00C20B4B" w:rsidRPr="00F00DCE">
        <w:fldChar w:fldCharType="begin"/>
      </w:r>
      <w:r w:rsidR="00C20B4B" w:rsidRPr="00F00DCE">
        <w:instrText xml:space="preserve"> REF paragraph00059 \h  \* CharFormat </w:instrText>
      </w:r>
      <w:r w:rsidR="00C20B4B" w:rsidRPr="00F00DCE">
        <w:fldChar w:fldCharType="separate"/>
      </w:r>
      <w:r>
        <w:t>59</w:t>
      </w:r>
      <w:r w:rsidR="00C20B4B" w:rsidRPr="00F00DCE">
        <w:fldChar w:fldCharType="end"/>
      </w:r>
      <w:r w:rsidR="00074B99">
        <w:t xml:space="preserve">, </w:t>
      </w:r>
      <w:r w:rsidR="00074B99" w:rsidRPr="00F00DCE">
        <w:fldChar w:fldCharType="begin"/>
      </w:r>
      <w:r w:rsidR="00074B99" w:rsidRPr="00F00DCE">
        <w:instrText xml:space="preserve"> REF paragraph00102 \h  \* CharFormat </w:instrText>
      </w:r>
      <w:r w:rsidR="00074B99" w:rsidRPr="00F00DCE">
        <w:fldChar w:fldCharType="separate"/>
      </w:r>
      <w:r>
        <w:t>62</w:t>
      </w:r>
      <w:r w:rsidR="00074B99" w:rsidRPr="00F00DCE">
        <w:fldChar w:fldCharType="end"/>
      </w:r>
      <w:r w:rsidR="00074B99">
        <w:t>-</w:t>
      </w:r>
      <w:r w:rsidR="00074B99" w:rsidRPr="00F00DCE">
        <w:fldChar w:fldCharType="begin"/>
      </w:r>
      <w:r w:rsidR="00074B99" w:rsidRPr="00F00DCE">
        <w:instrText xml:space="preserve"> REF paragraph00091 \h  \* CharFormat </w:instrText>
      </w:r>
      <w:r w:rsidR="00074B99" w:rsidRPr="00F00DCE">
        <w:fldChar w:fldCharType="separate"/>
      </w:r>
      <w:r>
        <w:t>66</w:t>
      </w:r>
      <w:r w:rsidR="00074B99" w:rsidRPr="00F00DCE">
        <w:fldChar w:fldCharType="end"/>
      </w:r>
      <w:r w:rsidR="00074B99">
        <w:t xml:space="preserve"> și </w:t>
      </w:r>
      <w:r w:rsidR="00074B99" w:rsidRPr="00F00DCE">
        <w:fldChar w:fldCharType="begin"/>
      </w:r>
      <w:r w:rsidR="00074B99" w:rsidRPr="00F00DCE">
        <w:instrText xml:space="preserve"> REF paragraph00120 \h  \* CharFormat </w:instrText>
      </w:r>
      <w:r w:rsidR="00074B99" w:rsidRPr="00F00DCE">
        <w:fldChar w:fldCharType="separate"/>
      </w:r>
      <w:r>
        <w:t>69</w:t>
      </w:r>
      <w:r w:rsidR="00074B99" w:rsidRPr="00F00DCE">
        <w:fldChar w:fldCharType="end"/>
      </w:r>
      <w:r w:rsidR="00074B99">
        <w:t>), (ii) natura și întinderea capetelor sale de cerere în fața Curții (</w:t>
      </w:r>
      <w:r w:rsidR="00074B99">
        <w:rPr>
          <w:i/>
          <w:iCs/>
        </w:rPr>
        <w:t>infra</w:t>
      </w:r>
      <w:r w:rsidR="00074B99">
        <w:t xml:space="preserve">, pct. </w:t>
      </w:r>
      <w:r w:rsidR="00074B99" w:rsidRPr="00F00DCE">
        <w:fldChar w:fldCharType="begin"/>
      </w:r>
      <w:r w:rsidR="00074B99" w:rsidRPr="00F00DCE">
        <w:instrText xml:space="preserve"> REF paragraph00138 \h  \* CharFormat  \* MERGEFORMAT </w:instrText>
      </w:r>
      <w:r w:rsidR="00074B99" w:rsidRPr="00F00DCE">
        <w:fldChar w:fldCharType="separate"/>
      </w:r>
      <w:r>
        <w:t>100</w:t>
      </w:r>
      <w:r w:rsidR="00074B99" w:rsidRPr="00F00DCE">
        <w:fldChar w:fldCharType="end"/>
      </w:r>
      <w:r w:rsidR="00074B99">
        <w:t xml:space="preserve"> și </w:t>
      </w:r>
      <w:r w:rsidR="00074B99" w:rsidRPr="00F00DCE">
        <w:fldChar w:fldCharType="begin"/>
      </w:r>
      <w:r w:rsidR="00074B99" w:rsidRPr="00F00DCE">
        <w:instrText xml:space="preserve"> REF paragraph00212 \h  \* CharFormat </w:instrText>
      </w:r>
      <w:r w:rsidR="00074B99" w:rsidRPr="00F00DCE">
        <w:fldChar w:fldCharType="separate"/>
      </w:r>
      <w:r>
        <w:t>160</w:t>
      </w:r>
      <w:r w:rsidR="00074B99" w:rsidRPr="00F00DCE">
        <w:fldChar w:fldCharType="end"/>
      </w:r>
      <w:r w:rsidR="00074B99">
        <w:t>) și (iii) legătura complicată dintre infracțiunea respectivă și aceste capete de cerere, Curtea consideră că ar trebui să evalueze contextul și situația reclamată în ansamblu.</w:t>
      </w:r>
    </w:p>
    <w:p w:rsidR="0021702B" w:rsidRPr="00F00DCE" w:rsidRDefault="0094597A" w:rsidP="00F00DCE">
      <w:pPr>
        <w:pStyle w:val="JuPara"/>
      </w:pPr>
      <w:r>
        <w:fldChar w:fldCharType="begin"/>
      </w:r>
      <w:r>
        <w:instrText xml:space="preserve"> SEQ level0 \*arabic \* MERGEFORMAT </w:instrText>
      </w:r>
      <w:r>
        <w:fldChar w:fldCharType="separate"/>
      </w:r>
      <w:r>
        <w:rPr>
          <w:noProof/>
        </w:rPr>
        <w:t>98</w:t>
      </w:r>
      <w:r>
        <w:rPr>
          <w:noProof/>
        </w:rPr>
        <w:fldChar w:fldCharType="end"/>
      </w:r>
      <w:r w:rsidR="00074B99">
        <w:t>.</w:t>
      </w:r>
      <w:r w:rsidR="00B3763A">
        <w:t xml:space="preserve"> </w:t>
      </w:r>
      <w:r w:rsidR="00074B99">
        <w:t xml:space="preserve">Guvernul nu a formulat nicio îngrijorare sau obiecție expresă în legătură cu declarațiile contestate [pentru contrast </w:t>
      </w:r>
      <w:proofErr w:type="spellStart"/>
      <w:r w:rsidR="00074B99">
        <w:rPr>
          <w:i/>
        </w:rPr>
        <w:t>Radomilja</w:t>
      </w:r>
      <w:proofErr w:type="spellEnd"/>
      <w:r w:rsidR="00074B99">
        <w:rPr>
          <w:i/>
        </w:rPr>
        <w:t xml:space="preserve"> și alții împotriva Croației</w:t>
      </w:r>
      <w:r w:rsidR="00074B99">
        <w:t xml:space="preserve"> (MC), nr. 37685/10 și 22768/12, pct. 98 și 126, 20 martie 2018]. Dimpotrivă, ambele părți au invocat și au dezbătut în mare măsură concluziile parchetului și măsurile propuse cu privire la infracțiunea respectivă (</w:t>
      </w:r>
      <w:r w:rsidR="00074B99">
        <w:rPr>
          <w:i/>
          <w:iCs/>
        </w:rPr>
        <w:t>infra</w:t>
      </w:r>
      <w:r w:rsidR="00074B99">
        <w:t xml:space="preserve">, pct. </w:t>
      </w:r>
      <w:r w:rsidR="00074B99" w:rsidRPr="00F00DCE">
        <w:fldChar w:fldCharType="begin"/>
      </w:r>
      <w:r w:rsidR="00074B99" w:rsidRPr="00F00DCE">
        <w:instrText xml:space="preserve"> REF paragraph00145 \h  \* CharFormat  \* MERGEFORMAT </w:instrText>
      </w:r>
      <w:r w:rsidR="00074B99" w:rsidRPr="00F00DCE">
        <w:fldChar w:fldCharType="separate"/>
      </w:r>
      <w:r>
        <w:t>104</w:t>
      </w:r>
      <w:r w:rsidR="00074B99" w:rsidRPr="00F00DCE">
        <w:fldChar w:fldCharType="end"/>
      </w:r>
      <w:r w:rsidR="00074B99">
        <w:t>-</w:t>
      </w:r>
      <w:r w:rsidR="00074B99" w:rsidRPr="00F00DCE">
        <w:fldChar w:fldCharType="begin"/>
      </w:r>
      <w:r w:rsidR="00074B99" w:rsidRPr="00F00DCE">
        <w:instrText xml:space="preserve"> REF paragraph00184 \h  \* CharFormat  \* MERGEFORMAT </w:instrText>
      </w:r>
      <w:r w:rsidR="00074B99" w:rsidRPr="00F00DCE">
        <w:fldChar w:fldCharType="separate"/>
      </w:r>
      <w:r>
        <w:t>107</w:t>
      </w:r>
      <w:r w:rsidR="00074B99" w:rsidRPr="00F00DCE">
        <w:fldChar w:fldCharType="end"/>
      </w:r>
      <w:r w:rsidR="00074B99">
        <w:t xml:space="preserve"> și </w:t>
      </w:r>
      <w:r w:rsidR="00074B99" w:rsidRPr="00F00DCE">
        <w:fldChar w:fldCharType="begin"/>
      </w:r>
      <w:r w:rsidR="00074B99" w:rsidRPr="00F00DCE">
        <w:instrText xml:space="preserve"> REF paragraph00178 \h  \* CharFormat  \* MERGEFORMAT </w:instrText>
      </w:r>
      <w:r w:rsidR="00074B99" w:rsidRPr="00F00DCE">
        <w:fldChar w:fldCharType="separate"/>
      </w:r>
      <w:r>
        <w:t>110</w:t>
      </w:r>
      <w:r w:rsidR="00074B99" w:rsidRPr="00F00DCE">
        <w:fldChar w:fldCharType="end"/>
      </w:r>
      <w:r w:rsidR="00074B99">
        <w:t>-</w:t>
      </w:r>
      <w:r w:rsidR="00074B99" w:rsidRPr="00F00DCE">
        <w:fldChar w:fldCharType="begin"/>
      </w:r>
      <w:r w:rsidR="00074B99" w:rsidRPr="00F00DCE">
        <w:instrText xml:space="preserve"> REF paragraph00156 \h  \* CharFormat  \* MERGEFORMAT </w:instrText>
      </w:r>
      <w:r w:rsidR="00074B99" w:rsidRPr="00F00DCE">
        <w:fldChar w:fldCharType="separate"/>
      </w:r>
      <w:r>
        <w:t>111</w:t>
      </w:r>
      <w:r w:rsidR="00074B99" w:rsidRPr="00F00DCE">
        <w:fldChar w:fldCharType="end"/>
      </w:r>
      <w:r w:rsidR="00074B99">
        <w:t>).</w:t>
      </w:r>
    </w:p>
    <w:p w:rsidR="0021702B" w:rsidRPr="0063272B" w:rsidRDefault="00074B99" w:rsidP="00F00DCE">
      <w:pPr>
        <w:pStyle w:val="JuHIRoman"/>
      </w:pPr>
      <w:r w:rsidRPr="0063272B">
        <w:lastRenderedPageBreak/>
        <w:t>CU PRIVIRE LA PRETINSA ÎNCĂLCARE A ART. 6 ȘI ART. 8 DIN CONVENȚIE</w:t>
      </w:r>
    </w:p>
    <w:p w:rsidR="0021702B" w:rsidRPr="00F00DCE" w:rsidRDefault="0094597A" w:rsidP="00F00DCE">
      <w:pPr>
        <w:pStyle w:val="JuPara"/>
      </w:pPr>
      <w:r>
        <w:fldChar w:fldCharType="begin"/>
      </w:r>
      <w:r>
        <w:instrText xml:space="preserve"> SEQ level0 \*arabic </w:instrText>
      </w:r>
      <w:r>
        <w:fldChar w:fldCharType="separate"/>
      </w:r>
      <w:bookmarkStart w:id="76" w:name="paragraph00136"/>
      <w:r>
        <w:rPr>
          <w:noProof/>
        </w:rPr>
        <w:t>99</w:t>
      </w:r>
      <w:bookmarkEnd w:id="76"/>
      <w:r>
        <w:rPr>
          <w:noProof/>
        </w:rPr>
        <w:fldChar w:fldCharType="end"/>
      </w:r>
      <w:r w:rsidR="00074B99" w:rsidRPr="0063272B">
        <w:t>.</w:t>
      </w:r>
      <w:r w:rsidR="00B3763A" w:rsidRPr="0063272B">
        <w:t xml:space="preserve"> </w:t>
      </w:r>
      <w:r w:rsidR="00074B99" w:rsidRPr="0063272B">
        <w:t>Invocând art. 8 din Convenție, reclamanta s-a plâns că autoritățile naționale nu i-au protejat efectiv dreptul la respectarea vieții private și dreptul</w:t>
      </w:r>
      <w:r w:rsidR="00074B99">
        <w:t xml:space="preserve"> la intimitate față de faptele lui V.C.A. constând în (i) publicarea fotografiilor intime ale acesteia pe site-uri de servicii de escortă, împreună cu numele ei, numărul de telefon și adresa, și (ii) transmiterea acestor fotografii atât către familia și prietenii acesteia, cât și public prin platforma de social media Facebook dându-se cu rea-credință drept unii dintre prietenii reclamantei sau chiar drept reclamanta (</w:t>
      </w:r>
      <w:r w:rsidR="00074B99">
        <w:rPr>
          <w:i/>
          <w:iCs/>
        </w:rPr>
        <w:t>supra</w:t>
      </w:r>
      <w:r w:rsidR="00074B99">
        <w:t xml:space="preserve">, pct. </w:t>
      </w:r>
      <w:r w:rsidR="00074B99" w:rsidRPr="00F00DCE">
        <w:fldChar w:fldCharType="begin"/>
      </w:r>
      <w:r w:rsidR="00074B99" w:rsidRPr="00F00DCE">
        <w:instrText xml:space="preserve"> REF paragraph00006 \h  \* CharFormat  \* MERGEFORMAT </w:instrText>
      </w:r>
      <w:r w:rsidR="00074B99" w:rsidRPr="00F00DCE">
        <w:fldChar w:fldCharType="separate"/>
      </w:r>
      <w:r>
        <w:t>6</w:t>
      </w:r>
      <w:r w:rsidR="00074B99" w:rsidRPr="00F00DCE">
        <w:fldChar w:fldCharType="end"/>
      </w:r>
      <w:r w:rsidR="00074B99">
        <w:t>-</w:t>
      </w:r>
      <w:r w:rsidR="00074B99" w:rsidRPr="00F00DCE">
        <w:fldChar w:fldCharType="begin"/>
      </w:r>
      <w:r w:rsidR="00074B99" w:rsidRPr="00F00DCE">
        <w:instrText xml:space="preserve"> REF paragraph00010 \h  \* CharFormat  \* MERGEFORMAT </w:instrText>
      </w:r>
      <w:r w:rsidR="00074B99" w:rsidRPr="00F00DCE">
        <w:fldChar w:fldCharType="separate"/>
      </w:r>
      <w:r>
        <w:t>10</w:t>
      </w:r>
      <w:r w:rsidR="00074B99" w:rsidRPr="00F00DCE">
        <w:fldChar w:fldCharType="end"/>
      </w:r>
      <w:r w:rsidR="00074B99">
        <w:t xml:space="preserve">, </w:t>
      </w:r>
      <w:r w:rsidR="00074B99" w:rsidRPr="00F00DCE">
        <w:fldChar w:fldCharType="begin"/>
      </w:r>
      <w:r w:rsidR="00074B99" w:rsidRPr="00F00DCE">
        <w:instrText xml:space="preserve"> REF paragraph00020 \h  \* CharFormat  \* MERGEFORMAT </w:instrText>
      </w:r>
      <w:r w:rsidR="00074B99" w:rsidRPr="00F00DCE">
        <w:fldChar w:fldCharType="separate"/>
      </w:r>
      <w:r>
        <w:t>17</w:t>
      </w:r>
      <w:r w:rsidR="00074B99" w:rsidRPr="00F00DCE">
        <w:fldChar w:fldCharType="end"/>
      </w:r>
      <w:r w:rsidR="00074B99">
        <w:t xml:space="preserve">, </w:t>
      </w:r>
      <w:r w:rsidR="00074B99" w:rsidRPr="00F00DCE">
        <w:fldChar w:fldCharType="begin"/>
      </w:r>
      <w:r w:rsidR="00074B99" w:rsidRPr="00F00DCE">
        <w:instrText xml:space="preserve"> REF paragraph00048 \h  \* CharFormat  \* MERGEFORMAT </w:instrText>
      </w:r>
      <w:r w:rsidR="00074B99" w:rsidRPr="00F00DCE">
        <w:fldChar w:fldCharType="separate"/>
      </w:r>
      <w:r>
        <w:t>30</w:t>
      </w:r>
      <w:r w:rsidR="00074B99" w:rsidRPr="00F00DCE">
        <w:fldChar w:fldCharType="end"/>
      </w:r>
      <w:r w:rsidR="00074B99">
        <w:t xml:space="preserve">, </w:t>
      </w:r>
      <w:r w:rsidR="00074B99" w:rsidRPr="00F00DCE">
        <w:fldChar w:fldCharType="begin"/>
      </w:r>
      <w:r w:rsidR="00074B99" w:rsidRPr="00F00DCE">
        <w:instrText xml:space="preserve"> REF paragraph00068 \h  \* CharFormat  \* MERGEFORMAT </w:instrText>
      </w:r>
      <w:r w:rsidR="00074B99" w:rsidRPr="00F00DCE">
        <w:fldChar w:fldCharType="separate"/>
      </w:r>
      <w:r>
        <w:t>39</w:t>
      </w:r>
      <w:r w:rsidR="00074B99" w:rsidRPr="00F00DCE">
        <w:fldChar w:fldCharType="end"/>
      </w:r>
      <w:r w:rsidR="00074B99">
        <w:t>-</w:t>
      </w:r>
      <w:r w:rsidR="00074B99" w:rsidRPr="00F00DCE">
        <w:fldChar w:fldCharType="begin"/>
      </w:r>
      <w:r w:rsidR="00074B99" w:rsidRPr="00F00DCE">
        <w:instrText xml:space="preserve"> REF paragraph00041 \h  \* CharFormat  \* MERGEFORMAT </w:instrText>
      </w:r>
      <w:r w:rsidR="00074B99" w:rsidRPr="00F00DCE">
        <w:fldChar w:fldCharType="separate"/>
      </w:r>
      <w:r w:rsidRPr="0094597A">
        <w:t>45</w:t>
      </w:r>
      <w:r w:rsidR="00074B99" w:rsidRPr="00F00DCE">
        <w:fldChar w:fldCharType="end"/>
      </w:r>
      <w:r w:rsidR="00074B99">
        <w:t xml:space="preserve"> și </w:t>
      </w:r>
      <w:r w:rsidR="00074B99" w:rsidRPr="00F00DCE">
        <w:fldChar w:fldCharType="begin"/>
      </w:r>
      <w:r w:rsidR="00074B99" w:rsidRPr="00F00DCE">
        <w:instrText xml:space="preserve"> REF paragraph00102 \h  \* CharFormat </w:instrText>
      </w:r>
      <w:r w:rsidR="00074B99" w:rsidRPr="00F00DCE">
        <w:fldChar w:fldCharType="separate"/>
      </w:r>
      <w:r>
        <w:t>62</w:t>
      </w:r>
      <w:r w:rsidR="00074B99" w:rsidRPr="00F00DCE">
        <w:fldChar w:fldCharType="end"/>
      </w:r>
      <w:r w:rsidR="00074B99">
        <w:t xml:space="preserve">), deși autoritățile, în temeiul legislației relevante în vigoare la momentul faptelor și al Convenției – aveau obligația să o protejeze. Acestea (i) au interpretat eronat și au aplicat greșit legislația națională destinată să asigure drepturile și libertățile protejate prin art. 8 din Convenție – în mod special, prin art. 226 C. </w:t>
      </w:r>
      <w:proofErr w:type="spellStart"/>
      <w:r w:rsidR="00074B99">
        <w:t>pen</w:t>
      </w:r>
      <w:proofErr w:type="spellEnd"/>
      <w:r w:rsidR="00074B99">
        <w:t>., (ii) au efectuat în mod deliberat și malițios o anchetă inefectivă și (iii) nu au respectat doctrina și practica interne relevante.</w:t>
      </w:r>
    </w:p>
    <w:p w:rsidR="0021702B" w:rsidRPr="00F00DCE" w:rsidRDefault="00074B99" w:rsidP="00F00DCE">
      <w:pPr>
        <w:pStyle w:val="JuPara"/>
      </w:pPr>
      <w:r>
        <w:t xml:space="preserve">În temeiul art. 6 din Convenție, s-a plâns că autoritățile naționale i-au încălcat dreptul de acces la o instanță, dreptul la o instanță imparțială și dreptul la un proces într-un termen rezonabil. Reclamanta nu a avut posibilitatea de a introduce o acțiune civilă împotriva lui V.C.A. deoarece autoritățile au clasat ancheta penală în parte fără întocmirea unui rechizitoriu și la momentul în care deja se împlinise termenul general de prescripție pentru </w:t>
      </w:r>
      <w:r w:rsidR="0063272B">
        <w:t>formularea</w:t>
      </w:r>
      <w:r>
        <w:t xml:space="preserve"> unei acțiuni separate civile. Mai mult, judecătorul de cameră preliminară C.B. a fost lipsit de imparțialitate deoarece, la 30 iulie 2020, își exprimase deja opinia cu privire la ordonanța procurorului din 10 iunie 2020 de încetare a urmăririi penale în partea relevantă. În sfârșit, procesul penal împotriva lui V.C.A. a avut o durată excesivă din motive care nu se puteau imputa reclamantei.</w:t>
      </w:r>
    </w:p>
    <w:p w:rsidR="0021702B" w:rsidRPr="00F00DCE" w:rsidRDefault="0094597A" w:rsidP="00F00DCE">
      <w:pPr>
        <w:pStyle w:val="JuPara"/>
      </w:pPr>
      <w:r>
        <w:fldChar w:fldCharType="begin"/>
      </w:r>
      <w:r>
        <w:instrText xml:space="preserve"> SEQ level0 \*arabic \* MERGEFORMAT </w:instrText>
      </w:r>
      <w:r>
        <w:fldChar w:fldCharType="separate"/>
      </w:r>
      <w:bookmarkStart w:id="77" w:name="paragraph00138"/>
      <w:r>
        <w:rPr>
          <w:noProof/>
        </w:rPr>
        <w:t>100</w:t>
      </w:r>
      <w:bookmarkEnd w:id="77"/>
      <w:r>
        <w:rPr>
          <w:noProof/>
        </w:rPr>
        <w:fldChar w:fldCharType="end"/>
      </w:r>
      <w:r w:rsidR="00074B99">
        <w:t>.</w:t>
      </w:r>
      <w:r w:rsidR="00B3763A">
        <w:t xml:space="preserve"> </w:t>
      </w:r>
      <w:r w:rsidR="00074B99">
        <w:t xml:space="preserve">Curtea reține că aceste capete de cerere privesc o pretinsa nerespectare de către autoritățile naționale a obligației pozitive de a proteja efectiv reclamanta împotriva transmiterii publice fără drept a fotografiilor ei intime de către V.C.A. – inclusiv prin efectuarea unei anchete efective cu privire la circumstanțele cauzei sale. Fiind competentă a realiza o încadrare în drept a faptelor cauzei (a se vedea </w:t>
      </w:r>
      <w:proofErr w:type="spellStart"/>
      <w:r w:rsidR="00074B99">
        <w:rPr>
          <w:i/>
        </w:rPr>
        <w:t>Radomilja</w:t>
      </w:r>
      <w:proofErr w:type="spellEnd"/>
      <w:r w:rsidR="00074B99">
        <w:rPr>
          <w:i/>
          <w:iCs/>
        </w:rPr>
        <w:t xml:space="preserve"> și alții</w:t>
      </w:r>
      <w:r w:rsidR="00074B99">
        <w:t>, citată anterior, pct. 114 și 126), consideră că acestea trebuie examinate doar în temeiul art. 8 din Convenție, care prevede următoarele:</w:t>
      </w:r>
    </w:p>
    <w:p w:rsidR="0021702B" w:rsidRPr="00F00DCE" w:rsidRDefault="00074B99" w:rsidP="00F00DCE">
      <w:pPr>
        <w:pStyle w:val="JuQuot"/>
      </w:pPr>
      <w:r>
        <w:t>„1.</w:t>
      </w:r>
      <w:r w:rsidR="00B3763A">
        <w:t xml:space="preserve"> </w:t>
      </w:r>
      <w:r>
        <w:t>Orice persoană are dreptul la respectarea vieții sale private și de familie, a domiciliului său și a corespondenței sale.</w:t>
      </w:r>
    </w:p>
    <w:p w:rsidR="0021702B" w:rsidRPr="00F00DCE" w:rsidRDefault="00074B99" w:rsidP="00F00DCE">
      <w:pPr>
        <w:pStyle w:val="JuQuot"/>
      </w:pPr>
      <w:r>
        <w:t>2.</w:t>
      </w:r>
      <w:r w:rsidR="00B3763A">
        <w:t xml:space="preserve"> </w:t>
      </w:r>
      <w:r>
        <w:t>Nu este admis amestecul unei autorități publice în exercitarea acestui drept decât în măsura în care acest amestec este prevăzut de lege și dacă constituie o măsură care, într-o societate democratică, este necesară pentru securitatea națională, siguranța publică, bunăstarea economică a țării, apărarea ordinii și prevenirea faptelor penale, protejarea sănătății sau a moralei, ori protejarea drepturilor și libertăților altora.”</w:t>
      </w:r>
    </w:p>
    <w:p w:rsidR="0021702B" w:rsidRPr="00F00DCE" w:rsidRDefault="00074B99" w:rsidP="00F00DCE">
      <w:pPr>
        <w:pStyle w:val="JuHA"/>
      </w:pPr>
      <w:r>
        <w:lastRenderedPageBreak/>
        <w:t>Cu privire la admisibilitate</w:t>
      </w:r>
    </w:p>
    <w:p w:rsidR="0021702B" w:rsidRPr="00F00DCE" w:rsidRDefault="0094597A" w:rsidP="00F00DCE">
      <w:pPr>
        <w:pStyle w:val="JuPara"/>
      </w:pPr>
      <w:r>
        <w:fldChar w:fldCharType="begin"/>
      </w:r>
      <w:r>
        <w:instrText xml:space="preserve"> SEQ level0 \*arabic </w:instrText>
      </w:r>
      <w:r>
        <w:fldChar w:fldCharType="separate"/>
      </w:r>
      <w:r>
        <w:rPr>
          <w:noProof/>
        </w:rPr>
        <w:t>101</w:t>
      </w:r>
      <w:r>
        <w:rPr>
          <w:noProof/>
        </w:rPr>
        <w:fldChar w:fldCharType="end"/>
      </w:r>
      <w:r w:rsidR="00074B99">
        <w:t>.</w:t>
      </w:r>
      <w:r w:rsidR="00B3763A">
        <w:t xml:space="preserve"> </w:t>
      </w:r>
      <w:r w:rsidR="00074B99">
        <w:t>Curtea observă că acest capăt de cerere nu este nici vădit nefondat, nici inadmisibil pentru alte motive enumerate la art. 35 din Convenție. Prin urmare, este necesar să fie declarat admisibil.</w:t>
      </w:r>
    </w:p>
    <w:p w:rsidR="0021702B" w:rsidRPr="00F00DCE" w:rsidRDefault="00074B99" w:rsidP="00F00DCE">
      <w:pPr>
        <w:pStyle w:val="JuHA"/>
      </w:pPr>
      <w:r>
        <w:t>Cu privire la fond</w:t>
      </w:r>
    </w:p>
    <w:p w:rsidR="0021702B" w:rsidRPr="00F00DCE" w:rsidRDefault="00074B99" w:rsidP="00F00DCE">
      <w:pPr>
        <w:pStyle w:val="JuH1"/>
      </w:pPr>
      <w:r>
        <w:t>Argumentele părților</w:t>
      </w:r>
    </w:p>
    <w:p w:rsidR="0021702B" w:rsidRPr="00F00DCE" w:rsidRDefault="00074B99" w:rsidP="00F00DCE">
      <w:pPr>
        <w:pStyle w:val="JuHa0"/>
      </w:pPr>
      <w:r>
        <w:t>Reclamanta</w:t>
      </w:r>
    </w:p>
    <w:p w:rsidR="0021702B" w:rsidRPr="00F00DCE" w:rsidRDefault="0094597A" w:rsidP="00F00DCE">
      <w:pPr>
        <w:pStyle w:val="JuPara"/>
      </w:pPr>
      <w:r>
        <w:fldChar w:fldCharType="begin"/>
      </w:r>
      <w:r>
        <w:instrText xml:space="preserve"> SEQ level0 \*arabic </w:instrText>
      </w:r>
      <w:r>
        <w:fldChar w:fldCharType="separate"/>
      </w:r>
      <w:bookmarkStart w:id="78" w:name="paragraph00172"/>
      <w:r>
        <w:rPr>
          <w:noProof/>
        </w:rPr>
        <w:t>102</w:t>
      </w:r>
      <w:bookmarkEnd w:id="78"/>
      <w:r>
        <w:rPr>
          <w:noProof/>
        </w:rPr>
        <w:fldChar w:fldCharType="end"/>
      </w:r>
      <w:r w:rsidR="00074B99">
        <w:t>.</w:t>
      </w:r>
      <w:r w:rsidR="00B3763A">
        <w:t xml:space="preserve"> </w:t>
      </w:r>
      <w:r w:rsidR="00074B99">
        <w:t xml:space="preserve">Reclamanta a susținut că sistemul românesc nu interzicea și nu incrimina efectiv violența online împotriva femeilor – ​​în special difuzarea neconsensuală a imaginilor intime și amenințarea cu acest lucru. La momentul faptelor, art. 226 C. </w:t>
      </w:r>
      <w:proofErr w:type="spellStart"/>
      <w:r w:rsidR="00074B99">
        <w:t>pen</w:t>
      </w:r>
      <w:proofErr w:type="spellEnd"/>
      <w:r w:rsidR="00074B99">
        <w:t>. a generat incertitudini cu privire la interpretarea sa, pe care în cele din urmă</w:t>
      </w:r>
      <w:r w:rsidR="0063272B">
        <w:t xml:space="preserve"> ÎCCJ le-a</w:t>
      </w:r>
      <w:r w:rsidR="00074B99">
        <w:t xml:space="preserve"> clarificat la 24 iunie 2021, după evenimentele din cauză. De asemenea, a durat prea mult ca </w:t>
      </w:r>
      <w:r w:rsidR="00074B99">
        <w:rPr>
          <w:rStyle w:val="JuParaChar"/>
        </w:rPr>
        <w:t xml:space="preserve">Legea nr. 171/2023 să fie adoptată și, în plus, aceasta </w:t>
      </w:r>
      <w:r w:rsidR="00074B99">
        <w:t xml:space="preserve">era incompletă, întrucât nu incrimina publicarea imaginilor intime pe site-uri de servicii de escortă. Autorii unor astfel de acțiuni nu puteau fi urmăriți penal pentru hărțuire pentru că </w:t>
      </w:r>
      <w:r w:rsidR="0063272B">
        <w:t>acțiunile respective</w:t>
      </w:r>
      <w:r w:rsidR="00074B99">
        <w:t xml:space="preserve"> nu intră în sfera de aplicare a infracțiunii în cauză.</w:t>
      </w:r>
    </w:p>
    <w:p w:rsidR="0021702B" w:rsidRPr="00F00DCE" w:rsidRDefault="0094597A" w:rsidP="00F00DCE">
      <w:pPr>
        <w:pStyle w:val="JuPara"/>
      </w:pPr>
      <w:r>
        <w:fldChar w:fldCharType="begin"/>
      </w:r>
      <w:r>
        <w:instrText xml:space="preserve"> SEQ level0 \*arabic \* MERGEFORMAT </w:instrText>
      </w:r>
      <w:r>
        <w:fldChar w:fldCharType="separate"/>
      </w:r>
      <w:r>
        <w:rPr>
          <w:noProof/>
        </w:rPr>
        <w:t>103</w:t>
      </w:r>
      <w:r>
        <w:rPr>
          <w:noProof/>
        </w:rPr>
        <w:fldChar w:fldCharType="end"/>
      </w:r>
      <w:r w:rsidR="00074B99">
        <w:t>.</w:t>
      </w:r>
      <w:r w:rsidR="00B3763A">
        <w:t xml:space="preserve"> </w:t>
      </w:r>
      <w:r w:rsidR="00074B99">
        <w:t xml:space="preserve">Autoritățile naționale nu au protejat-o efectiv de hărțuirea online </w:t>
      </w:r>
      <w:r w:rsidR="0063272B">
        <w:t>având în vedere</w:t>
      </w:r>
      <w:r w:rsidR="00074B99">
        <w:t xml:space="preserve"> modul ineficient în care au efectuat ancheta în cauza sa [s-a făcut trimitere la </w:t>
      </w:r>
      <w:r w:rsidR="00074B99">
        <w:rPr>
          <w:i/>
        </w:rPr>
        <w:t>K.U. împotriva Finlandei</w:t>
      </w:r>
      <w:r w:rsidR="00074B99">
        <w:t xml:space="preserve">, nr. 2872/02, CEDO 2008, și </w:t>
      </w:r>
      <w:proofErr w:type="spellStart"/>
      <w:r w:rsidR="00074B99">
        <w:rPr>
          <w:i/>
          <w:color w:val="000000"/>
        </w:rPr>
        <w:t>Volodina</w:t>
      </w:r>
      <w:proofErr w:type="spellEnd"/>
      <w:r w:rsidR="00074B99">
        <w:rPr>
          <w:i/>
          <w:color w:val="000000"/>
        </w:rPr>
        <w:t xml:space="preserve"> (nr. 2)</w:t>
      </w:r>
      <w:r w:rsidR="00074B99">
        <w:rPr>
          <w:color w:val="000000"/>
        </w:rPr>
        <w:t xml:space="preserve">, citată anterior]. În special, până la </w:t>
      </w:r>
      <w:r w:rsidR="00074B99">
        <w:t xml:space="preserve">14 decembrie 2018, </w:t>
      </w:r>
      <w:r w:rsidR="0063272B">
        <w:rPr>
          <w:color w:val="000000"/>
        </w:rPr>
        <w:t xml:space="preserve">când a angajat un avocat, </w:t>
      </w:r>
      <w:r w:rsidR="00074B99">
        <w:t xml:space="preserve">acestea i-au tratat superficial plângerea, în speranța că și-o va retrage, și nu au încercat să ia nicio măsură pentru a-i proteja viața privată. Prin urmare, V.C.A. a continuat să transmită public fotografiile intime și informațiile ei personale până la sfârșitul lunii noiembrie 2016. Ancheta </w:t>
      </w:r>
      <w:r w:rsidR="0063272B">
        <w:t>în</w:t>
      </w:r>
      <w:r w:rsidR="00074B99">
        <w:t xml:space="preserve"> cauza ei a durat cel puțin șase ani din cauza inactivității nejustificate a autorităților de anchetă. Acest lucru a făcut ca anumite infracțiuni anchetate (și anume, amenințarea și hărțuirea) să se prescrie.</w:t>
      </w:r>
    </w:p>
    <w:p w:rsidR="0021702B" w:rsidRPr="00F00DCE" w:rsidRDefault="0094597A" w:rsidP="00F00DCE">
      <w:pPr>
        <w:pStyle w:val="JuPara"/>
      </w:pPr>
      <w:r>
        <w:fldChar w:fldCharType="begin"/>
      </w:r>
      <w:r>
        <w:instrText xml:space="preserve"> SEQ level0 \*arabic \* MERGEFORMAT </w:instrText>
      </w:r>
      <w:r>
        <w:fldChar w:fldCharType="separate"/>
      </w:r>
      <w:bookmarkStart w:id="79" w:name="paragraph00145"/>
      <w:r>
        <w:rPr>
          <w:noProof/>
        </w:rPr>
        <w:t>104</w:t>
      </w:r>
      <w:bookmarkEnd w:id="79"/>
      <w:r>
        <w:rPr>
          <w:noProof/>
        </w:rPr>
        <w:fldChar w:fldCharType="end"/>
      </w:r>
      <w:r w:rsidR="00074B99">
        <w:t>.</w:t>
      </w:r>
      <w:r w:rsidR="00B3763A">
        <w:t xml:space="preserve"> </w:t>
      </w:r>
      <w:r w:rsidR="00074B99">
        <w:t xml:space="preserve">În plus, autoritățile au interpretat greșit art. 226 C. </w:t>
      </w:r>
      <w:proofErr w:type="spellStart"/>
      <w:r w:rsidR="00074B99">
        <w:t>pen</w:t>
      </w:r>
      <w:proofErr w:type="spellEnd"/>
      <w:r w:rsidR="00074B99">
        <w:t xml:space="preserve">. și au dispus clasarea anchetei privind infracțiunea de violare a vieții private. Interpretarea dată de acestea infracțiunii a fost contrazisă de mare parte din doctrina și practica naționale relevante. În plus, ancheta penală privind infracțiunea de fals informatic </w:t>
      </w:r>
      <w:r w:rsidR="0063272B">
        <w:t xml:space="preserve">a </w:t>
      </w:r>
      <w:r w:rsidR="00074B99">
        <w:t>f</w:t>
      </w:r>
      <w:r w:rsidR="0063272B">
        <w:t>ost</w:t>
      </w:r>
      <w:r w:rsidR="00074B99">
        <w:t xml:space="preserve"> începută la inițiativa ei, deși autoritățile ar fi putut proceda astfel din oficiu. Au refuzat să desfășoare ancheta chiar după ce judecătoria le-a obligat să facă aceasta. Parchetul a renunțat la ancheta cu privire la această infracțiune ignorând anumite elemente relevante – precum remarcile lui V.C.A. din timpul convorbirilor înregistrate cu reclamanta în care sugera că se bucura de impactul psihic devastator pe care acțiunile sale l-au avut asupra ei – și minimalizând gravitatea comportării lui V.C.A. Această abordare a plasat vina pentru </w:t>
      </w:r>
      <w:r w:rsidR="0063272B">
        <w:t>acțiunile</w:t>
      </w:r>
      <w:r w:rsidR="00074B99">
        <w:t xml:space="preserve"> lui V.C.A. asupra ei</w:t>
      </w:r>
      <w:r w:rsidR="0063272B">
        <w:t xml:space="preserve">, </w:t>
      </w:r>
      <w:r w:rsidR="00074B99">
        <w:t xml:space="preserve">fiind </w:t>
      </w:r>
      <w:r w:rsidR="00074B99">
        <w:lastRenderedPageBreak/>
        <w:t xml:space="preserve">femeie, </w:t>
      </w:r>
      <w:r w:rsidR="0063272B">
        <w:t xml:space="preserve">și </w:t>
      </w:r>
      <w:r w:rsidR="00074B99">
        <w:t>ar fi putut determina victimele femei să renunțe la plângeri în circumstanțe similare și putea servi la a încuraja actele de „pornografie de răzbunare”. De asemenea, a ignorat faptul că doar autoritățile aveau competența să clarifice faptele puse în sarcină lui V.C.A. – mai ales întrucât ea atrăsese atenția asupra tuturor aspectelor relevante din plângerea sa împotriva lui V.C.A. de la bun început.</w:t>
      </w:r>
    </w:p>
    <w:p w:rsidR="0021702B" w:rsidRPr="00F00DCE" w:rsidRDefault="0094597A" w:rsidP="00F00DCE">
      <w:pPr>
        <w:pStyle w:val="JuPara"/>
      </w:pPr>
      <w:r>
        <w:fldChar w:fldCharType="begin"/>
      </w:r>
      <w:r>
        <w:instrText xml:space="preserve"> SEQ level0 \*arabic \* MERGEFORMAT </w:instrText>
      </w:r>
      <w:r>
        <w:fldChar w:fldCharType="separate"/>
      </w:r>
      <w:bookmarkStart w:id="80" w:name="paragraph00183"/>
      <w:r>
        <w:rPr>
          <w:noProof/>
        </w:rPr>
        <w:t>105</w:t>
      </w:r>
      <w:bookmarkEnd w:id="80"/>
      <w:r>
        <w:rPr>
          <w:noProof/>
        </w:rPr>
        <w:fldChar w:fldCharType="end"/>
      </w:r>
      <w:r w:rsidR="00074B99">
        <w:t>.</w:t>
      </w:r>
      <w:r w:rsidR="00B3763A">
        <w:t xml:space="preserve"> </w:t>
      </w:r>
      <w:r w:rsidR="00074B99">
        <w:t xml:space="preserve">Argumentele susținute de parchet ilustrau o tendință generală a autorităților de anchetă implicate în astfel de cazuri de a rămâne pasive în fața unor plângeri </w:t>
      </w:r>
      <w:r w:rsidR="0063272B">
        <w:t>similare dacă victima nu insistă</w:t>
      </w:r>
      <w:r w:rsidR="00074B99">
        <w:t xml:space="preserve"> cu plângerea și în esență </w:t>
      </w:r>
      <w:r w:rsidR="0063272B">
        <w:t>face</w:t>
      </w:r>
      <w:r w:rsidR="00074B99">
        <w:t xml:space="preserve"> munca în locul lor. Autoritățile au profitat și de faptul că majoritatea victimelor nu-și puteau permite avocați, ca instrument de a le presa să-și retrage plângerile și a soluționa cazurile.</w:t>
      </w:r>
    </w:p>
    <w:p w:rsidR="0021702B" w:rsidRPr="00F00DCE" w:rsidRDefault="0094597A" w:rsidP="00F00DCE">
      <w:pPr>
        <w:pStyle w:val="JuPara"/>
      </w:pPr>
      <w:r>
        <w:fldChar w:fldCharType="begin"/>
      </w:r>
      <w:r>
        <w:instrText xml:space="preserve"> SEQ level0 \*arabic \* MERGEFORMAT </w:instrText>
      </w:r>
      <w:r>
        <w:fldChar w:fldCharType="separate"/>
      </w:r>
      <w:r>
        <w:rPr>
          <w:noProof/>
        </w:rPr>
        <w:t>106</w:t>
      </w:r>
      <w:r>
        <w:rPr>
          <w:noProof/>
        </w:rPr>
        <w:fldChar w:fldCharType="end"/>
      </w:r>
      <w:r w:rsidR="00074B99">
        <w:t>.</w:t>
      </w:r>
      <w:r w:rsidR="00B3763A">
        <w:t xml:space="preserve"> </w:t>
      </w:r>
      <w:r w:rsidR="00074B99">
        <w:t>Punctul de vedere al CNCD (</w:t>
      </w:r>
      <w:r w:rsidR="00074B99">
        <w:rPr>
          <w:i/>
          <w:iCs/>
        </w:rPr>
        <w:t>supra</w:t>
      </w:r>
      <w:r w:rsidR="00074B99">
        <w:t xml:space="preserve">, pct. </w:t>
      </w:r>
      <w:r w:rsidR="00074B99" w:rsidRPr="00F00DCE">
        <w:fldChar w:fldCharType="begin"/>
      </w:r>
      <w:r w:rsidR="00074B99" w:rsidRPr="00F00DCE">
        <w:instrText xml:space="preserve"> REF paragraph00130 \h  \* CharFormat  \* MERGEFORMAT </w:instrText>
      </w:r>
      <w:r w:rsidR="00074B99" w:rsidRPr="00F00DCE">
        <w:fldChar w:fldCharType="separate"/>
      </w:r>
      <w:r>
        <w:t>73</w:t>
      </w:r>
      <w:r w:rsidR="00074B99" w:rsidRPr="00F00DCE">
        <w:fldChar w:fldCharType="end"/>
      </w:r>
      <w:r w:rsidR="00074B99">
        <w:t>-</w:t>
      </w:r>
      <w:r w:rsidR="00074B99" w:rsidRPr="00F00DCE">
        <w:fldChar w:fldCharType="begin"/>
      </w:r>
      <w:r w:rsidR="00074B99" w:rsidRPr="00F00DCE">
        <w:instrText xml:space="preserve"> REF paragraph00078 \h  \* CharFormat </w:instrText>
      </w:r>
      <w:r w:rsidR="00074B99" w:rsidRPr="00F00DCE">
        <w:fldChar w:fldCharType="separate"/>
      </w:r>
      <w:r>
        <w:t>75</w:t>
      </w:r>
      <w:r w:rsidR="00074B99" w:rsidRPr="00F00DCE">
        <w:fldChar w:fldCharType="end"/>
      </w:r>
      <w:r w:rsidR="00074B99">
        <w:t>) a consemnat că referirile și comentariile oferite de parchet în privința „ipostazelor indecente” ale reclamantei în fotografiile pe care le-a trimis lui V.C.A. fuseseră excesive.</w:t>
      </w:r>
    </w:p>
    <w:p w:rsidR="0021702B" w:rsidRPr="00F00DCE" w:rsidRDefault="0094597A" w:rsidP="00F00DCE">
      <w:pPr>
        <w:pStyle w:val="JuPara"/>
      </w:pPr>
      <w:r>
        <w:fldChar w:fldCharType="begin"/>
      </w:r>
      <w:r>
        <w:instrText xml:space="preserve"> SEQ level0 \*arabic \* MERGEFORMAT </w:instrText>
      </w:r>
      <w:r>
        <w:fldChar w:fldCharType="separate"/>
      </w:r>
      <w:bookmarkStart w:id="81" w:name="paragraph00184"/>
      <w:r>
        <w:rPr>
          <w:noProof/>
        </w:rPr>
        <w:t>107</w:t>
      </w:r>
      <w:bookmarkEnd w:id="81"/>
      <w:r>
        <w:rPr>
          <w:noProof/>
        </w:rPr>
        <w:fldChar w:fldCharType="end"/>
      </w:r>
      <w:r w:rsidR="00074B99">
        <w:t>.</w:t>
      </w:r>
      <w:r w:rsidR="00B3763A">
        <w:t xml:space="preserve"> </w:t>
      </w:r>
      <w:r w:rsidR="00074B99">
        <w:t>În ultimul rând, faptul că lui V.C.A. i s-a impus să depună muncă în folosul comunității și să publice o „mică” scuză publică a fost insuficient pentru a repara încălcarea drepturilor ei.</w:t>
      </w:r>
    </w:p>
    <w:p w:rsidR="0021702B" w:rsidRPr="00F00DCE" w:rsidRDefault="00074B99" w:rsidP="00F00DCE">
      <w:pPr>
        <w:pStyle w:val="JuHa0"/>
      </w:pPr>
      <w:r>
        <w:t>Guvernul</w:t>
      </w:r>
    </w:p>
    <w:bookmarkStart w:id="82" w:name="paragraph00090"/>
    <w:p w:rsidR="0021702B" w:rsidRPr="00F00DCE" w:rsidRDefault="00074B99" w:rsidP="00F00DCE">
      <w:pPr>
        <w:pStyle w:val="JuPara"/>
      </w:pPr>
      <w:r w:rsidRPr="00F00DCE">
        <w:fldChar w:fldCharType="begin"/>
      </w:r>
      <w:r w:rsidRPr="00F00DCE">
        <w:instrText xml:space="preserve"> SEQ level0 \*arabic \* MERGEFORMAT </w:instrText>
      </w:r>
      <w:r w:rsidRPr="00F00DCE">
        <w:fldChar w:fldCharType="separate"/>
      </w:r>
      <w:r w:rsidR="0094597A">
        <w:rPr>
          <w:noProof/>
        </w:rPr>
        <w:t>108</w:t>
      </w:r>
      <w:r w:rsidRPr="00F00DCE">
        <w:fldChar w:fldCharType="end"/>
      </w:r>
      <w:bookmarkEnd w:id="82"/>
      <w:r>
        <w:rPr>
          <w:rStyle w:val="JuParaChar"/>
        </w:rPr>
        <w:t>. Guvernul a susținut că sistemul juridic național a acordat protecția adecvată reclamantei și a interzis și incriminat violența online împotriva femeilor – ​​în special difuzarea neconsensuală a imaginilor intime și amenințarea cu acest lucru. Decizia ÎCCJ din 24 iunie 2021 (</w:t>
      </w:r>
      <w:r>
        <w:rPr>
          <w:rStyle w:val="JuParaChar"/>
          <w:i/>
          <w:iCs/>
        </w:rPr>
        <w:t>supra</w:t>
      </w:r>
      <w:r>
        <w:rPr>
          <w:rStyle w:val="JuParaChar"/>
        </w:rPr>
        <w:t xml:space="preserve">, pct. </w:t>
      </w:r>
      <w:r w:rsidRPr="00F00DCE">
        <w:rPr>
          <w:rStyle w:val="JuParaChar"/>
        </w:rPr>
        <w:fldChar w:fldCharType="begin"/>
      </w:r>
      <w:r w:rsidRPr="00F00DCE">
        <w:rPr>
          <w:rStyle w:val="JuParaChar"/>
        </w:rPr>
        <w:instrText xml:space="preserve"> REF paragraph00152 \h  \* CharFormat  \* MERGEFORMAT </w:instrText>
      </w:r>
      <w:r w:rsidRPr="00F00DCE">
        <w:rPr>
          <w:rStyle w:val="JuParaChar"/>
        </w:rPr>
      </w:r>
      <w:r w:rsidRPr="00F00DCE">
        <w:rPr>
          <w:rStyle w:val="JuParaChar"/>
        </w:rPr>
        <w:fldChar w:fldCharType="separate"/>
      </w:r>
      <w:r w:rsidR="0094597A" w:rsidRPr="0094597A">
        <w:rPr>
          <w:rStyle w:val="JuParaChar"/>
        </w:rPr>
        <w:t>84</w:t>
      </w:r>
      <w:r w:rsidRPr="00F00DCE">
        <w:rPr>
          <w:rStyle w:val="JuParaChar"/>
        </w:rPr>
        <w:fldChar w:fldCharType="end"/>
      </w:r>
      <w:r>
        <w:rPr>
          <w:rStyle w:val="JuParaChar"/>
        </w:rPr>
        <w:t>-</w:t>
      </w:r>
      <w:r w:rsidRPr="00F00DCE">
        <w:rPr>
          <w:rStyle w:val="JuParaChar"/>
        </w:rPr>
        <w:fldChar w:fldCharType="begin"/>
      </w:r>
      <w:r w:rsidRPr="00F00DCE">
        <w:rPr>
          <w:rStyle w:val="JuParaChar"/>
        </w:rPr>
        <w:instrText xml:space="preserve"> REF paragraph00085 \h  \* CharFormat </w:instrText>
      </w:r>
      <w:r w:rsidRPr="00F00DCE">
        <w:rPr>
          <w:rStyle w:val="JuParaChar"/>
        </w:rPr>
      </w:r>
      <w:r w:rsidRPr="00F00DCE">
        <w:rPr>
          <w:rStyle w:val="JuParaChar"/>
        </w:rPr>
        <w:fldChar w:fldCharType="separate"/>
      </w:r>
      <w:r w:rsidR="0094597A" w:rsidRPr="0094597A">
        <w:rPr>
          <w:rStyle w:val="JuParaChar"/>
        </w:rPr>
        <w:t>85</w:t>
      </w:r>
      <w:r w:rsidRPr="00F00DCE">
        <w:rPr>
          <w:rStyle w:val="JuParaChar"/>
        </w:rPr>
        <w:fldChar w:fldCharType="end"/>
      </w:r>
      <w:r>
        <w:rPr>
          <w:rStyle w:val="JuParaChar"/>
        </w:rPr>
        <w:t xml:space="preserve">), obligatorie pentru toate instanțele naționale, a clarificat sensul art. 226 alin. (2) C. </w:t>
      </w:r>
      <w:proofErr w:type="spellStart"/>
      <w:r>
        <w:rPr>
          <w:rStyle w:val="JuParaChar"/>
        </w:rPr>
        <w:t>pen</w:t>
      </w:r>
      <w:proofErr w:type="spellEnd"/>
      <w:r>
        <w:rPr>
          <w:rStyle w:val="JuParaChar"/>
        </w:rPr>
        <w:t>. Ca urmare, respectiva prevedere se aplica circumstanțelor similare cu cele privind cauza reclamantei. Legea nr. 171/2023 a clarificat, în continuare, și consolidat cadrul juridic sus-menționat prin</w:t>
      </w:r>
      <w:r>
        <w:t xml:space="preserve"> abordarea explicită a „pornografiei din răzbunare” și prin definirea din perspectiva drepturilor omului a termenului în cauză, conformă cu documentele internaționale relevante (</w:t>
      </w:r>
      <w:r>
        <w:rPr>
          <w:i/>
          <w:iCs/>
        </w:rPr>
        <w:t>supra</w:t>
      </w:r>
      <w:r>
        <w:t xml:space="preserve">, pct. </w:t>
      </w:r>
      <w:r w:rsidRPr="00F00DCE">
        <w:fldChar w:fldCharType="begin"/>
      </w:r>
      <w:r w:rsidRPr="00F00DCE">
        <w:instrText xml:space="preserve"> REF paragraph00122 \h  \* CharFormat  \* MERGEFORMAT </w:instrText>
      </w:r>
      <w:r w:rsidRPr="00F00DCE">
        <w:fldChar w:fldCharType="separate"/>
      </w:r>
      <w:r w:rsidR="0094597A">
        <w:t>88</w:t>
      </w:r>
      <w:r w:rsidRPr="00F00DCE">
        <w:fldChar w:fldCharType="end"/>
      </w:r>
      <w:r>
        <w:t>). În special, legea a abordat atât aspectul difuzării fără consimțământ de imagini în orice mod (inclusiv online), cât și aspectul scopului unei astfel de acțiuni – și anume, umilirea sau prejudicierea victimei (</w:t>
      </w:r>
      <w:r>
        <w:rPr>
          <w:i/>
          <w:iCs/>
        </w:rPr>
        <w:t>supra</w:t>
      </w:r>
      <w:r>
        <w:t xml:space="preserve">, pct. </w:t>
      </w:r>
      <w:r w:rsidRPr="00F00DCE">
        <w:fldChar w:fldCharType="begin"/>
      </w:r>
      <w:r w:rsidRPr="00F00DCE">
        <w:instrText xml:space="preserve"> REF paragraph00111 \h  \* CharFormat  \* MERGEFORMAT </w:instrText>
      </w:r>
      <w:r w:rsidRPr="00F00DCE">
        <w:fldChar w:fldCharType="separate"/>
      </w:r>
      <w:r w:rsidR="0094597A">
        <w:t>80</w:t>
      </w:r>
      <w:r w:rsidRPr="00F00DCE">
        <w:fldChar w:fldCharType="end"/>
      </w:r>
      <w:r>
        <w:t>).</w:t>
      </w:r>
    </w:p>
    <w:p w:rsidR="0021702B" w:rsidRPr="00F00DCE" w:rsidRDefault="0094597A" w:rsidP="00F00DCE">
      <w:pPr>
        <w:pStyle w:val="JuPara"/>
      </w:pPr>
      <w:r>
        <w:fldChar w:fldCharType="begin"/>
      </w:r>
      <w:r>
        <w:instrText xml:space="preserve"> SEQ level0 \*arabic \* MERGEFORMAT </w:instrText>
      </w:r>
      <w:r>
        <w:fldChar w:fldCharType="separate"/>
      </w:r>
      <w:bookmarkStart w:id="83" w:name="paragraph00113"/>
      <w:r>
        <w:rPr>
          <w:noProof/>
        </w:rPr>
        <w:t>109</w:t>
      </w:r>
      <w:bookmarkEnd w:id="83"/>
      <w:r>
        <w:rPr>
          <w:noProof/>
        </w:rPr>
        <w:fldChar w:fldCharType="end"/>
      </w:r>
      <w:r w:rsidR="00074B99">
        <w:t>.</w:t>
      </w:r>
      <w:r w:rsidR="00B3763A">
        <w:t xml:space="preserve"> </w:t>
      </w:r>
      <w:r w:rsidR="00074B99">
        <w:t>În opinia Guvernului, autoritățile interne au luat măsurile adecvate de investigare a cape</w:t>
      </w:r>
      <w:r w:rsidR="008426F9">
        <w:t>t</w:t>
      </w:r>
      <w:r w:rsidR="00074B99">
        <w:t xml:space="preserve">elor de cerere ale reclamantei privind faptele lui V.C.A. – cu privire la hărțuirea ei online de către acesta prin intermediul </w:t>
      </w:r>
      <w:r w:rsidR="008426F9">
        <w:t>difuzării</w:t>
      </w:r>
      <w:r w:rsidR="00074B99">
        <w:t xml:space="preserve"> fotografiilor ei intime – și i-au acordat acesteia o cale de atac efectivă cu efecte de descurajare. În legătură cu aceasta, Guvernul a subliniat comportamentul evaziv al reclamantei ca răspuns la invitațiile adresate ei de anchetatori pentru a da declarații în legătură cu cauza – comportament, de asemenea, remarcat de autorități (</w:t>
      </w:r>
      <w:r w:rsidR="00074B99">
        <w:rPr>
          <w:i/>
          <w:iCs/>
        </w:rPr>
        <w:t>supra</w:t>
      </w:r>
      <w:r w:rsidR="00074B99">
        <w:t xml:space="preserve">, pct. </w:t>
      </w:r>
      <w:r w:rsidR="00074B99" w:rsidRPr="00F00DCE">
        <w:fldChar w:fldCharType="begin"/>
      </w:r>
      <w:r w:rsidR="00074B99" w:rsidRPr="00F00DCE">
        <w:instrText xml:space="preserve"> REF paragraph00015 \h  \* CharFormat  \* MERGEFORMAT </w:instrText>
      </w:r>
      <w:r w:rsidR="00074B99" w:rsidRPr="00F00DCE">
        <w:fldChar w:fldCharType="separate"/>
      </w:r>
      <w:r>
        <w:t>13</w:t>
      </w:r>
      <w:r w:rsidR="00074B99" w:rsidRPr="00F00DCE">
        <w:fldChar w:fldCharType="end"/>
      </w:r>
      <w:r w:rsidR="00074B99">
        <w:t xml:space="preserve"> și </w:t>
      </w:r>
      <w:r w:rsidR="00074B99" w:rsidRPr="00F00DCE">
        <w:fldChar w:fldCharType="begin"/>
      </w:r>
      <w:r w:rsidR="00074B99" w:rsidRPr="00F00DCE">
        <w:instrText xml:space="preserve"> REF paragraph00069 \h  \* CharFormat  \* MERGEFORMAT </w:instrText>
      </w:r>
      <w:r w:rsidR="00074B99" w:rsidRPr="00F00DCE">
        <w:fldChar w:fldCharType="separate"/>
      </w:r>
      <w:r>
        <w:t>44</w:t>
      </w:r>
      <w:r w:rsidR="00074B99" w:rsidRPr="00F00DCE">
        <w:fldChar w:fldCharType="end"/>
      </w:r>
      <w:r w:rsidR="00074B99">
        <w:t>).</w:t>
      </w:r>
    </w:p>
    <w:bookmarkStart w:id="84" w:name="paragraph00178"/>
    <w:p w:rsidR="0021702B" w:rsidRPr="00F00DCE" w:rsidRDefault="00074B99" w:rsidP="00F00DCE">
      <w:pPr>
        <w:pStyle w:val="JuPara"/>
        <w:rPr>
          <w:rFonts w:cstheme="minorHAnsi"/>
          <w:color w:val="000000"/>
        </w:rPr>
      </w:pPr>
      <w:r w:rsidRPr="00F00DCE">
        <w:fldChar w:fldCharType="begin"/>
      </w:r>
      <w:r w:rsidRPr="00F00DCE">
        <w:instrText xml:space="preserve"> SEQ level0 \*arabic \* MERGEFORMAT </w:instrText>
      </w:r>
      <w:r w:rsidRPr="00F00DCE">
        <w:fldChar w:fldCharType="separate"/>
      </w:r>
      <w:r w:rsidR="0094597A">
        <w:rPr>
          <w:noProof/>
        </w:rPr>
        <w:t>110</w:t>
      </w:r>
      <w:r w:rsidRPr="00F00DCE">
        <w:fldChar w:fldCharType="end"/>
      </w:r>
      <w:bookmarkEnd w:id="84"/>
      <w:r>
        <w:t>.</w:t>
      </w:r>
      <w:r w:rsidR="00B3763A">
        <w:t xml:space="preserve"> </w:t>
      </w:r>
      <w:r>
        <w:t xml:space="preserve">Guvernul a observat că autoritățile naționale au început urmărirea penală cu privire la faptă, în urma căreia a fost stabilită identitatea autorului. </w:t>
      </w:r>
      <w:r>
        <w:lastRenderedPageBreak/>
        <w:t>Decizia lor de a nu-l pune sub acuzare pe V.C.A. s-a bazat pe o evaluare aprofundată a circumstanțelor cauzei – inclusiv faptul că (i) continuarea procedurii ar fi putut cauza prejudicii suplimentare reclamantei, (ii) V.C.A. ar fi putut fi pedepsit excesiv, având în vedere rolul limitat pe care dreptul penal ar trebui să îl joace în formarea, educația și dezvoltarea tinerilor, și (iii) ambele părți în proces erau</w:t>
      </w:r>
      <w:r>
        <w:rPr>
          <w:color w:val="000000"/>
        </w:rPr>
        <w:t xml:space="preserve"> tinere și fără experiență de viață. Mai mult, autoritățile i-au impus sancțiuni adecvate lui V.C.A. </w:t>
      </w:r>
      <w:r>
        <w:t>(</w:t>
      </w:r>
      <w:r>
        <w:rPr>
          <w:i/>
          <w:iCs/>
        </w:rPr>
        <w:t>supra</w:t>
      </w:r>
      <w:r>
        <w:t xml:space="preserve">, pct. </w:t>
      </w:r>
      <w:r w:rsidRPr="00F00DCE">
        <w:rPr>
          <w:rFonts w:cstheme="minorHAnsi"/>
          <w:color w:val="000000"/>
        </w:rPr>
        <w:fldChar w:fldCharType="begin"/>
      </w:r>
      <w:r w:rsidRPr="00F00DCE">
        <w:rPr>
          <w:rFonts w:cstheme="minorHAnsi"/>
          <w:color w:val="000000"/>
        </w:rPr>
        <w:instrText xml:space="preserve"> REF paragraph00062 \h  \* CharFormat </w:instrText>
      </w:r>
      <w:r w:rsidRPr="00F00DCE">
        <w:rPr>
          <w:rFonts w:cstheme="minorHAnsi"/>
          <w:color w:val="000000"/>
        </w:rPr>
      </w:r>
      <w:r w:rsidRPr="00F00DCE">
        <w:rPr>
          <w:rFonts w:cstheme="minorHAnsi"/>
          <w:color w:val="000000"/>
        </w:rPr>
        <w:fldChar w:fldCharType="separate"/>
      </w:r>
      <w:r w:rsidR="0094597A" w:rsidRPr="0094597A">
        <w:rPr>
          <w:rFonts w:cstheme="minorHAnsi"/>
          <w:color w:val="000000"/>
        </w:rPr>
        <w:t>36</w:t>
      </w:r>
      <w:r w:rsidRPr="00F00DCE">
        <w:rPr>
          <w:rFonts w:cstheme="minorHAnsi"/>
          <w:color w:val="000000"/>
        </w:rPr>
        <w:fldChar w:fldCharType="end"/>
      </w:r>
      <w:r>
        <w:rPr>
          <w:color w:val="000000"/>
        </w:rPr>
        <w:noBreakHyphen/>
      </w:r>
      <w:r w:rsidRPr="00F00DCE">
        <w:rPr>
          <w:rFonts w:cstheme="minorHAnsi"/>
          <w:color w:val="000000"/>
        </w:rPr>
        <w:fldChar w:fldCharType="begin"/>
      </w:r>
      <w:r w:rsidRPr="00F00DCE">
        <w:rPr>
          <w:rFonts w:cstheme="minorHAnsi"/>
          <w:color w:val="000000"/>
        </w:rPr>
        <w:instrText xml:space="preserve"> REF paragraph00032 \h  \* CharFormat  \* MERGEFORMAT </w:instrText>
      </w:r>
      <w:r w:rsidRPr="00F00DCE">
        <w:rPr>
          <w:rFonts w:cstheme="minorHAnsi"/>
          <w:color w:val="000000"/>
        </w:rPr>
      </w:r>
      <w:r w:rsidRPr="00F00DCE">
        <w:rPr>
          <w:rFonts w:cstheme="minorHAnsi"/>
          <w:color w:val="000000"/>
        </w:rPr>
        <w:fldChar w:fldCharType="separate"/>
      </w:r>
      <w:r w:rsidR="0094597A" w:rsidRPr="0094597A">
        <w:rPr>
          <w:rFonts w:cstheme="minorHAnsi"/>
          <w:color w:val="000000"/>
        </w:rPr>
        <w:t>37</w:t>
      </w:r>
      <w:r w:rsidRPr="00F00DCE">
        <w:rPr>
          <w:rFonts w:cstheme="minorHAnsi"/>
          <w:color w:val="000000"/>
        </w:rPr>
        <w:fldChar w:fldCharType="end"/>
      </w:r>
      <w:r>
        <w:rPr>
          <w:color w:val="000000"/>
        </w:rPr>
        <w:t xml:space="preserve">), care, din punct de vedere al legislației penale, i-au putut oferi reclamantei reparații corecte pentru suferința avută. </w:t>
      </w:r>
      <w:r>
        <w:t xml:space="preserve">Elementele de mai sus </w:t>
      </w:r>
      <w:r>
        <w:rPr>
          <w:color w:val="000000"/>
        </w:rPr>
        <w:t xml:space="preserve">sunt suficiente pentru a diferenția cauza reclamantei de cea a reclamanților din </w:t>
      </w:r>
      <w:r>
        <w:rPr>
          <w:i/>
        </w:rPr>
        <w:t>K.U. împotriva Finlandei</w:t>
      </w:r>
      <w:r>
        <w:t xml:space="preserve"> și </w:t>
      </w:r>
      <w:proofErr w:type="spellStart"/>
      <w:r>
        <w:rPr>
          <w:i/>
          <w:color w:val="000000"/>
        </w:rPr>
        <w:t>Volodina</w:t>
      </w:r>
      <w:proofErr w:type="spellEnd"/>
      <w:r>
        <w:rPr>
          <w:i/>
          <w:color w:val="000000"/>
        </w:rPr>
        <w:t xml:space="preserve"> (nr. 2)</w:t>
      </w:r>
      <w:r>
        <w:rPr>
          <w:color w:val="000000"/>
        </w:rPr>
        <w:t xml:space="preserve"> (ambele citate anterior).</w:t>
      </w:r>
    </w:p>
    <w:p w:rsidR="0021702B" w:rsidRPr="00F00DCE" w:rsidRDefault="0094597A" w:rsidP="00F00DCE">
      <w:pPr>
        <w:pStyle w:val="JuPara"/>
      </w:pPr>
      <w:r>
        <w:fldChar w:fldCharType="begin"/>
      </w:r>
      <w:r>
        <w:instrText xml:space="preserve"> SEQ level0 \*arabic \* MERGEFORMAT </w:instrText>
      </w:r>
      <w:r>
        <w:fldChar w:fldCharType="separate"/>
      </w:r>
      <w:bookmarkStart w:id="85" w:name="paragraph00156"/>
      <w:r>
        <w:rPr>
          <w:noProof/>
        </w:rPr>
        <w:t>111</w:t>
      </w:r>
      <w:bookmarkEnd w:id="85"/>
      <w:r>
        <w:rPr>
          <w:noProof/>
        </w:rPr>
        <w:fldChar w:fldCharType="end"/>
      </w:r>
      <w:r w:rsidR="00074B99">
        <w:t>.</w:t>
      </w:r>
      <w:r w:rsidR="00B3763A">
        <w:t xml:space="preserve"> </w:t>
      </w:r>
      <w:r w:rsidR="00074B99">
        <w:t>Guvernul a mai susținut că argumentele citate de parchet în ordonanța din 10 iunie 2020 au constituit doar poziția exprimată de procuror în ceea privește atât comportamentul reclamantei, cât și cel al lui V.C.A. Cu referire la punctul de vedere prezentat de CNCD (</w:t>
      </w:r>
      <w:r w:rsidR="00074B99">
        <w:rPr>
          <w:i/>
          <w:iCs/>
        </w:rPr>
        <w:t>supra</w:t>
      </w:r>
      <w:r w:rsidR="00074B99">
        <w:t xml:space="preserve">, pct. </w:t>
      </w:r>
      <w:r w:rsidR="00074B99" w:rsidRPr="00F00DCE">
        <w:fldChar w:fldCharType="begin"/>
      </w:r>
      <w:r w:rsidR="00074B99" w:rsidRPr="00F00DCE">
        <w:instrText xml:space="preserve"> REF paragraph00130 \h  \* CharFormat  \* MERGEFORMAT </w:instrText>
      </w:r>
      <w:r w:rsidR="00074B99" w:rsidRPr="00F00DCE">
        <w:fldChar w:fldCharType="separate"/>
      </w:r>
      <w:r>
        <w:t>73</w:t>
      </w:r>
      <w:r w:rsidR="00074B99" w:rsidRPr="00F00DCE">
        <w:fldChar w:fldCharType="end"/>
      </w:r>
      <w:r w:rsidR="00074B99">
        <w:t>-</w:t>
      </w:r>
      <w:r w:rsidR="00074B99" w:rsidRPr="00F00DCE">
        <w:fldChar w:fldCharType="begin"/>
      </w:r>
      <w:r w:rsidR="00074B99" w:rsidRPr="00F00DCE">
        <w:instrText xml:space="preserve"> REF paragraph00078 \h  \* CharFormat </w:instrText>
      </w:r>
      <w:r w:rsidR="00074B99" w:rsidRPr="00F00DCE">
        <w:fldChar w:fldCharType="separate"/>
      </w:r>
      <w:r>
        <w:t>75</w:t>
      </w:r>
      <w:r w:rsidR="00074B99" w:rsidRPr="00F00DCE">
        <w:fldChar w:fldCharType="end"/>
      </w:r>
      <w:r w:rsidR="00074B99">
        <w:t xml:space="preserve">), nu se putea pretinde cu certitudine că motivarea pentru argumentele respective a fost sexul reclamantei. Argumentul că reclamanta a contribuit substanțial la exacerbarea naturii sexuale a relației nu exclude rolul lui V.C.A. în respectiva relație. În același timp, referirile la transmiterea fotografiilor de către reclamantă și la infantilismul acțiunilor lui V.C.A. a constituit un aspect </w:t>
      </w:r>
      <w:proofErr w:type="spellStart"/>
      <w:r w:rsidR="00074B99">
        <w:t>factual</w:t>
      </w:r>
      <w:proofErr w:type="spellEnd"/>
      <w:r w:rsidR="00074B99">
        <w:t xml:space="preserve"> de nedisputat al cauzei și nu o opinie sau o judecată oferite de procuror.</w:t>
      </w:r>
    </w:p>
    <w:p w:rsidR="0021702B" w:rsidRPr="00F00DCE" w:rsidRDefault="00074B99" w:rsidP="00F00DCE">
      <w:pPr>
        <w:pStyle w:val="JuHa0"/>
      </w:pPr>
      <w:r>
        <w:t>Terțul intervenient</w:t>
      </w:r>
    </w:p>
    <w:p w:rsidR="0021702B" w:rsidRPr="00F00DCE" w:rsidRDefault="0094597A" w:rsidP="00F00DCE">
      <w:pPr>
        <w:pStyle w:val="JuPara"/>
      </w:pPr>
      <w:r>
        <w:fldChar w:fldCharType="begin"/>
      </w:r>
      <w:r>
        <w:instrText xml:space="preserve"> SEQ level0 \*arabic \* MERGEFORMAT </w:instrText>
      </w:r>
      <w:r>
        <w:fldChar w:fldCharType="separate"/>
      </w:r>
      <w:r>
        <w:rPr>
          <w:noProof/>
        </w:rPr>
        <w:t>112</w:t>
      </w:r>
      <w:r>
        <w:rPr>
          <w:noProof/>
        </w:rPr>
        <w:fldChar w:fldCharType="end"/>
      </w:r>
      <w:r w:rsidR="00074B99">
        <w:t>.</w:t>
      </w:r>
      <w:r w:rsidR="00B3763A">
        <w:t xml:space="preserve"> </w:t>
      </w:r>
      <w:r w:rsidR="00074B99">
        <w:t>Centrul AIRE a susținut că din jurisprudența Curții reieșea clar faptul că violența online și actele asociate de hărțuire online – ca și violența domestică și alte acte de violență bazată pe gen – intră sub incidența art. 8 din Convenție. În conformitate cu obligațiile pozitive ale statelor contractante, dreptul intern trebuie în mod specific să ofere protecție împotriva acestei violențe. Curtea a recunoscut că actele de violență online –</w:t>
      </w:r>
      <w:r w:rsidR="00B3763A">
        <w:t xml:space="preserve"> </w:t>
      </w:r>
      <w:r w:rsidR="00074B99">
        <w:t>inclusiv partajarea de fotografii intime fără consimțământul persoanei fotografiate și cu intenția de a degrada acea persoană – sunt suficient de grave pentru a impune un răspuns de drept penal din partea autorităților naționale. Procesele civile, deși adecvate în situații mai puțin grave, nu ar oferi o protecție suficientă în astfel de circumstanțe.</w:t>
      </w:r>
    </w:p>
    <w:p w:rsidR="0021702B" w:rsidRPr="00F00DCE" w:rsidRDefault="0094597A" w:rsidP="00F00DCE">
      <w:pPr>
        <w:pStyle w:val="JuPara"/>
      </w:pPr>
      <w:r>
        <w:fldChar w:fldCharType="begin"/>
      </w:r>
      <w:r>
        <w:instrText xml:space="preserve"> SEQ level0 \*arabic \* MERGEFORMAT </w:instrText>
      </w:r>
      <w:r>
        <w:fldChar w:fldCharType="separate"/>
      </w:r>
      <w:r>
        <w:rPr>
          <w:noProof/>
        </w:rPr>
        <w:t>113</w:t>
      </w:r>
      <w:r>
        <w:rPr>
          <w:noProof/>
        </w:rPr>
        <w:fldChar w:fldCharType="end"/>
      </w:r>
      <w:r w:rsidR="00074B99">
        <w:t>.</w:t>
      </w:r>
      <w:r w:rsidR="00B3763A">
        <w:t xml:space="preserve"> </w:t>
      </w:r>
      <w:r w:rsidR="00074B99">
        <w:t>În continuare s-a susținut că autoritățile naționale au obligația să ia măsuri de descurajare care să prevină violența în formă continuată și trebuie să evalueze, când este cazul, ce anume poate și trebuie făcut pentru a proteja o persoană de violența online repetată.</w:t>
      </w:r>
    </w:p>
    <w:p w:rsidR="0021702B" w:rsidRPr="00F00DCE" w:rsidRDefault="0094597A" w:rsidP="00F00DCE">
      <w:pPr>
        <w:pStyle w:val="JuPara"/>
      </w:pPr>
      <w:r>
        <w:fldChar w:fldCharType="begin"/>
      </w:r>
      <w:r>
        <w:instrText xml:space="preserve"> SEQ level0 \*arabic \* MERGEFORMAT </w:instrText>
      </w:r>
      <w:r>
        <w:fldChar w:fldCharType="separate"/>
      </w:r>
      <w:r>
        <w:rPr>
          <w:noProof/>
        </w:rPr>
        <w:t>114</w:t>
      </w:r>
      <w:r>
        <w:rPr>
          <w:noProof/>
        </w:rPr>
        <w:fldChar w:fldCharType="end"/>
      </w:r>
      <w:r w:rsidR="00074B99">
        <w:t>.</w:t>
      </w:r>
      <w:r w:rsidR="00B3763A">
        <w:t xml:space="preserve"> </w:t>
      </w:r>
      <w:r w:rsidR="00074B99">
        <w:t xml:space="preserve">Mai mult, era evident din jurisprudența Curții în temeiul art. 8 că, în astfel de cazuri, autoritățile interne aveau obligația de a acționa prompt și cu bună-credință și de a efectua o anchetă efectivă și amănunțită. Autoritățile naționale erau responsabile pentru orice întârzieri în cadrul anchetei, indiferent dacă aceste întârzieri rezultau din deficiențe judiciare sau din alte </w:t>
      </w:r>
      <w:r w:rsidR="00074B99">
        <w:lastRenderedPageBreak/>
        <w:t>deficiențe structurale – inclusiv întârzieri cauzate de lipsa unor dispoziții naționale clare cu privire la anchetarea infracțiunilor online și a violenței online sau de reticența anumitor ofițeri de poliție de a ancheta acuzațiile privind astfel de violențe. Lipsa unei anchete efective a contribuit la un sentiment de impunitate în jurul violenței online și de neputință de a proteja persoanele (în special femei și fete) de astfel de acte.</w:t>
      </w:r>
    </w:p>
    <w:p w:rsidR="0021702B" w:rsidRPr="00F00DCE" w:rsidRDefault="00074B99" w:rsidP="00F00DCE">
      <w:pPr>
        <w:pStyle w:val="JuH1"/>
      </w:pPr>
      <w:r>
        <w:t>Motivarea Curții</w:t>
      </w:r>
    </w:p>
    <w:p w:rsidR="0021702B" w:rsidRPr="00F00DCE" w:rsidRDefault="00074B99" w:rsidP="00F00DCE">
      <w:pPr>
        <w:pStyle w:val="JuHa0"/>
        <w:rPr>
          <w:i/>
          <w:iCs/>
        </w:rPr>
      </w:pPr>
      <w:r>
        <w:t>Principii generale</w:t>
      </w:r>
    </w:p>
    <w:p w:rsidR="0021702B" w:rsidRPr="00F00DCE" w:rsidRDefault="0094597A" w:rsidP="00F00DCE">
      <w:pPr>
        <w:pStyle w:val="JuPara"/>
      </w:pPr>
      <w:r>
        <w:fldChar w:fldCharType="begin"/>
      </w:r>
      <w:r>
        <w:instrText xml:space="preserve"> SEQ level0 \*arabic \* MERGEFORMAT </w:instrText>
      </w:r>
      <w:r>
        <w:fldChar w:fldCharType="separate"/>
      </w:r>
      <w:bookmarkStart w:id="86" w:name="paragraph00129"/>
      <w:r>
        <w:rPr>
          <w:noProof/>
        </w:rPr>
        <w:t>115</w:t>
      </w:r>
      <w:bookmarkEnd w:id="86"/>
      <w:r>
        <w:rPr>
          <w:noProof/>
        </w:rPr>
        <w:fldChar w:fldCharType="end"/>
      </w:r>
      <w:r w:rsidR="00074B99">
        <w:t>.</w:t>
      </w:r>
      <w:r w:rsidR="00B3763A">
        <w:t xml:space="preserve"> </w:t>
      </w:r>
      <w:r w:rsidR="00074B99">
        <w:t xml:space="preserve">Curtea reiterează că noțiunea de „viață privată” în sensul art. 8 este un termen cuprinzător, care nu poate fi definit exhaustiv și care include integritatea fizică și psihică a persoanei [a se vedea </w:t>
      </w:r>
      <w:r w:rsidR="00074B99">
        <w:rPr>
          <w:i/>
        </w:rPr>
        <w:t>Nicolae Virgiliu Tănase împotriva României</w:t>
      </w:r>
      <w:r w:rsidR="00074B99">
        <w:t xml:space="preserve"> (MC), nr. 41720/13, pct. 126, 25 iunie 2019, cu trimiterile suplimentare]. Mai mult, aceasta cuprinde și aspecte ale identității unei persoane, cum ar fi numele persoanei, fotografia sau imaginea, și dreptul de a controla utilizarea acestei imagini [a se vedea </w:t>
      </w:r>
      <w:bookmarkStart w:id="87" w:name="_cl30621"/>
      <w:proofErr w:type="spellStart"/>
      <w:r w:rsidR="00074B99">
        <w:rPr>
          <w:i/>
        </w:rPr>
        <w:t>López</w:t>
      </w:r>
      <w:proofErr w:type="spellEnd"/>
      <w:r w:rsidR="00074B99">
        <w:rPr>
          <w:i/>
        </w:rPr>
        <w:t xml:space="preserve"> </w:t>
      </w:r>
      <w:proofErr w:type="spellStart"/>
      <w:r w:rsidR="00074B99">
        <w:rPr>
          <w:i/>
        </w:rPr>
        <w:t>Ribalda</w:t>
      </w:r>
      <w:proofErr w:type="spellEnd"/>
      <w:r w:rsidR="00074B99">
        <w:rPr>
          <w:i/>
        </w:rPr>
        <w:t xml:space="preserve"> și alții împotriva Spaniei</w:t>
      </w:r>
      <w:bookmarkEnd w:id="87"/>
      <w:r w:rsidR="00074B99">
        <w:t xml:space="preserve"> (MC), nr. 1874/13 și 8567/13, pct. 87-89, 17 octombrie 2019]. Mai mult, corpul unei persoane reprezintă un aspect intim al vieții private (a se vedea </w:t>
      </w:r>
      <w:r w:rsidR="00074B99">
        <w:rPr>
          <w:i/>
        </w:rPr>
        <w:t>Y.F. împotriva Turciei</w:t>
      </w:r>
      <w:r w:rsidR="00074B99">
        <w:t>, nr. 24209/94, pct. 33, CEDO 2003</w:t>
      </w:r>
      <w:r w:rsidR="00074B99">
        <w:noBreakHyphen/>
        <w:t xml:space="preserve">IX, și </w:t>
      </w:r>
      <w:r w:rsidR="00074B99">
        <w:rPr>
          <w:i/>
        </w:rPr>
        <w:t>Nicolae Virgiliu Tănase</w:t>
      </w:r>
      <w:r w:rsidR="00074B99">
        <w:t>, citată anterior, pct. 126).</w:t>
      </w:r>
    </w:p>
    <w:p w:rsidR="0021702B" w:rsidRPr="00F00DCE" w:rsidRDefault="0094597A" w:rsidP="00F00DCE">
      <w:pPr>
        <w:pStyle w:val="JuPara"/>
      </w:pPr>
      <w:r>
        <w:fldChar w:fldCharType="begin"/>
      </w:r>
      <w:r>
        <w:instrText xml:space="preserve"> SEQ level0 \*arabic \* MERGEFORMAT </w:instrText>
      </w:r>
      <w:r>
        <w:fldChar w:fldCharType="separate"/>
      </w:r>
      <w:r>
        <w:rPr>
          <w:noProof/>
        </w:rPr>
        <w:t>116</w:t>
      </w:r>
      <w:r>
        <w:rPr>
          <w:noProof/>
        </w:rPr>
        <w:fldChar w:fldCharType="end"/>
      </w:r>
      <w:r w:rsidR="00074B99">
        <w:t>.</w:t>
      </w:r>
      <w:r w:rsidR="00B3763A">
        <w:t xml:space="preserve"> </w:t>
      </w:r>
      <w:r w:rsidR="00074B99">
        <w:t>Scopul art. 8 este</w:t>
      </w:r>
      <w:r w:rsidR="00FB28C9">
        <w:t>,</w:t>
      </w:r>
      <w:r w:rsidR="00074B99">
        <w:t xml:space="preserve"> în esență</w:t>
      </w:r>
      <w:r w:rsidR="00FB28C9">
        <w:t>,</w:t>
      </w:r>
      <w:r w:rsidR="00074B99">
        <w:t xml:space="preserve"> de a proteja persoana împotriva amestecului arbitrar al autorităților publice. Totuși, această prevedere nu obligă pur și simplu statul să se abțină de la astfel de ingerințe: în plus față de acest demers în primul rând negativ, există obligații pozitive inerente în respectarea efectivă a vieții private. Aceste obligații pot implica adoptarea unor măsuri destinate să asigure respectarea vieții private chiar și în sfera relațiilor dintre persoane particulare [a se vedea</w:t>
      </w:r>
      <w:r w:rsidR="00074B99">
        <w:rPr>
          <w:i/>
          <w:iCs/>
        </w:rPr>
        <w:t xml:space="preserve">, </w:t>
      </w:r>
      <w:r w:rsidR="00074B99">
        <w:t xml:space="preserve">între alte hotărâri, </w:t>
      </w:r>
      <w:proofErr w:type="spellStart"/>
      <w:r w:rsidR="00074B99">
        <w:rPr>
          <w:i/>
          <w:iCs/>
        </w:rPr>
        <w:t>Söderman</w:t>
      </w:r>
      <w:proofErr w:type="spellEnd"/>
      <w:r w:rsidR="00074B99">
        <w:rPr>
          <w:i/>
          <w:iCs/>
        </w:rPr>
        <w:t xml:space="preserve"> împotriva Suediei</w:t>
      </w:r>
      <w:r w:rsidR="00074B99">
        <w:t xml:space="preserve"> (MC), nr. 5786/08, pct. 78, CEDO 2013, și </w:t>
      </w:r>
      <w:bookmarkStart w:id="88" w:name="_cl32838"/>
      <w:r w:rsidR="00074B99">
        <w:rPr>
          <w:i/>
        </w:rPr>
        <w:t>Nicolae Virgiliu Tănase</w:t>
      </w:r>
      <w:bookmarkEnd w:id="88"/>
      <w:r w:rsidR="00074B99">
        <w:t>, citată anterior, pct. 125].</w:t>
      </w:r>
    </w:p>
    <w:p w:rsidR="0021702B" w:rsidRPr="00F00DCE" w:rsidRDefault="0094597A" w:rsidP="00F00DCE">
      <w:pPr>
        <w:pStyle w:val="JuPara"/>
      </w:pPr>
      <w:r>
        <w:fldChar w:fldCharType="begin"/>
      </w:r>
      <w:r>
        <w:instrText xml:space="preserve"> SEQ level0 \*arabic \* MERGEFORMAT </w:instrText>
      </w:r>
      <w:r>
        <w:fldChar w:fldCharType="separate"/>
      </w:r>
      <w:r>
        <w:rPr>
          <w:noProof/>
        </w:rPr>
        <w:t>117</w:t>
      </w:r>
      <w:r>
        <w:rPr>
          <w:noProof/>
        </w:rPr>
        <w:fldChar w:fldCharType="end"/>
      </w:r>
      <w:r w:rsidR="00074B99">
        <w:t>.</w:t>
      </w:r>
      <w:r w:rsidR="00B3763A">
        <w:t xml:space="preserve"> </w:t>
      </w:r>
      <w:r w:rsidR="00074B99">
        <w:t xml:space="preserve">Alegerea mijloacelor destinate să asigure respectarea art. 8 din Convenție în domeniul relațiilor dintre indivizi este, în principiu, un aspect care ține de marja de apreciere a statelor contractante – indiferent dacă obligațiile ce revin statului sunt pozitive sau negative. Există mai multe modalități de a garanta respectarea vieții private, iar natura obligației statului va depinde de aspectul specific al vieții private în cauză. Atunci când este în joc o latură deosebit de importantă a vieții sau a identității unei persoane sau atunci când activitățile aflate în joc implică un aspect foarte intim al vieții private, marja acordată statului este restrânsă corespunzător (a se vedea </w:t>
      </w:r>
      <w:proofErr w:type="spellStart"/>
      <w:r w:rsidR="00074B99">
        <w:rPr>
          <w:i/>
        </w:rPr>
        <w:t>Söderman</w:t>
      </w:r>
      <w:proofErr w:type="spellEnd"/>
      <w:r w:rsidR="00074B99">
        <w:t>, citată anterior, pct. 79, cu trimiterile suplimentare).</w:t>
      </w:r>
    </w:p>
    <w:p w:rsidR="0021702B" w:rsidRPr="00F00DCE" w:rsidRDefault="0094597A" w:rsidP="00F00DCE">
      <w:pPr>
        <w:pStyle w:val="JuPara"/>
      </w:pPr>
      <w:r>
        <w:fldChar w:fldCharType="begin"/>
      </w:r>
      <w:r>
        <w:instrText xml:space="preserve"> SEQ level0 \*arabic \* MERGEFORMAT </w:instrText>
      </w:r>
      <w:r>
        <w:fldChar w:fldCharType="separate"/>
      </w:r>
      <w:bookmarkStart w:id="89" w:name="paragraph00133"/>
      <w:r>
        <w:rPr>
          <w:noProof/>
        </w:rPr>
        <w:t>118</w:t>
      </w:r>
      <w:bookmarkEnd w:id="89"/>
      <w:r>
        <w:rPr>
          <w:noProof/>
        </w:rPr>
        <w:fldChar w:fldCharType="end"/>
      </w:r>
      <w:r w:rsidR="00074B99">
        <w:t>.</w:t>
      </w:r>
      <w:r w:rsidR="00B3763A">
        <w:t xml:space="preserve"> </w:t>
      </w:r>
      <w:r w:rsidR="00074B99">
        <w:t xml:space="preserve">În sfera violenței săvârșite între persoane fizice, Curtea a caracterizat actele de violență online, hărțuire online și deghizare cu rea-credință ca forme ale violenței împotriva femeilor și a copiilor care le pot submina integritatea fizică și psihică având în vedere vulnerabilitatea acestora [a se vedea </w:t>
      </w:r>
      <w:r w:rsidR="00074B99">
        <w:rPr>
          <w:i/>
        </w:rPr>
        <w:t xml:space="preserve">K.U. </w:t>
      </w:r>
      <w:r w:rsidR="00074B99">
        <w:rPr>
          <w:i/>
        </w:rPr>
        <w:lastRenderedPageBreak/>
        <w:t>împotriva Finlandei</w:t>
      </w:r>
      <w:r w:rsidR="00074B99">
        <w:t xml:space="preserve">, citată anterior, pct. 41, și </w:t>
      </w:r>
      <w:proofErr w:type="spellStart"/>
      <w:r w:rsidR="00074B99">
        <w:rPr>
          <w:i/>
        </w:rPr>
        <w:t>Volodina</w:t>
      </w:r>
      <w:proofErr w:type="spellEnd"/>
      <w:r w:rsidR="00074B99">
        <w:rPr>
          <w:i/>
        </w:rPr>
        <w:t xml:space="preserve"> (nr. 2</w:t>
      </w:r>
      <w:r w:rsidR="00074B99">
        <w:t>)</w:t>
      </w:r>
      <w:r w:rsidR="00074B99">
        <w:rPr>
          <w:rFonts w:ascii="Times New Roman" w:hAnsi="Times New Roman"/>
        </w:rPr>
        <w:t>, citată anterior, pct. 48</w:t>
      </w:r>
      <w:r w:rsidR="00074B99">
        <w:t xml:space="preserve">]. Curtea a subliniat că „violența cibernetică este recunoscută în prezent ca fiind un aspect al violenței împotriva femeilor și fetelor și se poate prezenta sub diferite forme, între care violările informatice ale vieții private [...] și preluarea, partajarea și manipularea datelor și a imaginilor, inclusiv a datelor intime” [a se vedea </w:t>
      </w:r>
      <w:r w:rsidR="00074B99">
        <w:rPr>
          <w:i/>
        </w:rPr>
        <w:t>Buturugă</w:t>
      </w:r>
      <w:r w:rsidR="00074B99">
        <w:t xml:space="preserve">, citată anterior, pct. 74, și </w:t>
      </w:r>
      <w:proofErr w:type="spellStart"/>
      <w:r w:rsidR="00074B99">
        <w:rPr>
          <w:i/>
        </w:rPr>
        <w:t>Volodina</w:t>
      </w:r>
      <w:proofErr w:type="spellEnd"/>
      <w:r w:rsidR="00074B99">
        <w:rPr>
          <w:i/>
        </w:rPr>
        <w:t xml:space="preserve"> (nr. 2</w:t>
      </w:r>
      <w:r w:rsidR="00074B99">
        <w:t>)</w:t>
      </w:r>
      <w:r w:rsidR="00074B99">
        <w:rPr>
          <w:rFonts w:ascii="Times New Roman" w:hAnsi="Times New Roman"/>
        </w:rPr>
        <w:t>, citată anterior, pct. 48</w:t>
      </w:r>
      <w:r w:rsidR="00074B99">
        <w:t>].</w:t>
      </w:r>
    </w:p>
    <w:p w:rsidR="0021702B" w:rsidRPr="00F00DCE" w:rsidRDefault="0094597A" w:rsidP="00F00DCE">
      <w:pPr>
        <w:pStyle w:val="JuPara"/>
      </w:pPr>
      <w:r>
        <w:fldChar w:fldCharType="begin"/>
      </w:r>
      <w:r>
        <w:instrText xml:space="preserve"> SEQ level0 \*arabic \* MERGEFORMAT </w:instrText>
      </w:r>
      <w:r>
        <w:fldChar w:fldCharType="separate"/>
      </w:r>
      <w:bookmarkStart w:id="90" w:name="paragraph00201"/>
      <w:r>
        <w:rPr>
          <w:noProof/>
        </w:rPr>
        <w:t>119</w:t>
      </w:r>
      <w:bookmarkEnd w:id="90"/>
      <w:r>
        <w:rPr>
          <w:noProof/>
        </w:rPr>
        <w:fldChar w:fldCharType="end"/>
      </w:r>
      <w:r w:rsidR="00074B99">
        <w:t>.</w:t>
      </w:r>
      <w:r w:rsidR="00B3763A">
        <w:t xml:space="preserve"> </w:t>
      </w:r>
      <w:r w:rsidR="00074B99">
        <w:t>De asemenea, a constatat că violența online sau „violența cibernetică” este strâns legată de violența offline sau „din viața reală” și trebuie privită ca o altă fațetă a complexului fenomen al violenței domestice (</w:t>
      </w:r>
      <w:r w:rsidR="00074B99">
        <w:rPr>
          <w:i/>
          <w:iCs/>
        </w:rPr>
        <w:t>ibidem</w:t>
      </w:r>
      <w:r w:rsidR="00074B99">
        <w:t xml:space="preserve">, </w:t>
      </w:r>
      <w:r w:rsidR="00074B99">
        <w:rPr>
          <w:rFonts w:ascii="Times New Roman" w:hAnsi="Times New Roman"/>
        </w:rPr>
        <w:t>pct. 49</w:t>
      </w:r>
      <w:r w:rsidR="00074B99">
        <w:t>). A mai arătat că atât instrumentele internaționale, cât și jurisprudența consacrată a Curții au subliniat vulnerabilitatea deosebită a victimelor violenței domestice și nevoia de implicare activă a statului în protejarea acestora. Alături de copiii și de alte persoane vulnerabile, acestea au în mod deosebit dreptul la o protecție efectivă (</w:t>
      </w:r>
      <w:r w:rsidR="00074B99">
        <w:rPr>
          <w:i/>
          <w:iCs/>
        </w:rPr>
        <w:t>ibidem</w:t>
      </w:r>
      <w:r w:rsidR="00074B99">
        <w:rPr>
          <w:rFonts w:ascii="Times New Roman" w:hAnsi="Times New Roman"/>
        </w:rPr>
        <w:t>, pct. 47, cu trimiterile suplimentare</w:t>
      </w:r>
      <w:r w:rsidR="00074B99">
        <w:t>).</w:t>
      </w:r>
    </w:p>
    <w:p w:rsidR="0021702B" w:rsidRPr="00F00DCE" w:rsidRDefault="0094597A" w:rsidP="00F00DCE">
      <w:pPr>
        <w:pStyle w:val="JuPara"/>
      </w:pPr>
      <w:r>
        <w:fldChar w:fldCharType="begin"/>
      </w:r>
      <w:r>
        <w:instrText xml:space="preserve"> SEQ level0 \*arabic \* MERGEFORMAT </w:instrText>
      </w:r>
      <w:r>
        <w:fldChar w:fldCharType="separate"/>
      </w:r>
      <w:r>
        <w:rPr>
          <w:noProof/>
        </w:rPr>
        <w:t>120</w:t>
      </w:r>
      <w:r>
        <w:rPr>
          <w:noProof/>
        </w:rPr>
        <w:fldChar w:fldCharType="end"/>
      </w:r>
      <w:r w:rsidR="00074B99">
        <w:t>.</w:t>
      </w:r>
      <w:r w:rsidR="00B3763A">
        <w:t xml:space="preserve"> </w:t>
      </w:r>
      <w:r w:rsidR="00074B99">
        <w:t xml:space="preserve">Curtea reiterează că statele au obligația pozitivă de a institui și aplica efectiv un sistem care să sancționeze toate formele de violență în familie, indiferent dacă acestea au loc offline sau online, și de a oferi suficiente garanții și măsuri adecvate de protecție victimelor violenței în familie sub forma unei descurajări efective împotriva gravelor încălcări ale integrității lor fizice și psihice [a se vedea </w:t>
      </w:r>
      <w:proofErr w:type="spellStart"/>
      <w:r w:rsidR="00074B99">
        <w:rPr>
          <w:i/>
        </w:rPr>
        <w:t>Opuz</w:t>
      </w:r>
      <w:proofErr w:type="spellEnd"/>
      <w:r w:rsidR="00074B99">
        <w:rPr>
          <w:i/>
        </w:rPr>
        <w:t xml:space="preserve"> împotriva Turciei</w:t>
      </w:r>
      <w:r w:rsidR="00074B99">
        <w:t xml:space="preserve">, nr. 33401/02, pct. 145, CEDO 2009, și </w:t>
      </w:r>
      <w:proofErr w:type="spellStart"/>
      <w:r w:rsidR="00074B99">
        <w:rPr>
          <w:i/>
        </w:rPr>
        <w:t>Volodina</w:t>
      </w:r>
      <w:proofErr w:type="spellEnd"/>
      <w:r w:rsidR="00074B99">
        <w:rPr>
          <w:i/>
        </w:rPr>
        <w:t xml:space="preserve"> (nr. 2</w:t>
      </w:r>
      <w:r w:rsidR="00074B99">
        <w:t>)</w:t>
      </w:r>
      <w:r w:rsidR="00074B99">
        <w:rPr>
          <w:rFonts w:ascii="Times New Roman" w:hAnsi="Times New Roman"/>
        </w:rPr>
        <w:t>, citată anterior, pct. 49 și 58</w:t>
      </w:r>
      <w:r w:rsidR="00074B99">
        <w:t xml:space="preserve">]. Această obligație pozitivă include, în special (în unele cauze în temeiul art. 2 sau art. 3 și în alte situații în temeiul art. 8 separat sau coroborat cu art. 3 din Convenție): a) obligația de a institui și de a aplica în practică un cadru legal adecvat care să ofere protecție împotriva actelor de violență comise de persoane particulare; b) obligația de a lua măsuri rezonabile pentru a preveni un risc real și imediat de violență recurentă despre care autoritățile știau sau ar fi trebuit să știe; c) obligația de a efectua o anchetă efectivă pentru acte de violență [a se vedea </w:t>
      </w:r>
      <w:r w:rsidR="00074B99">
        <w:rPr>
          <w:i/>
        </w:rPr>
        <w:t>Kurt împotriva Austriei</w:t>
      </w:r>
      <w:r w:rsidR="00074B99">
        <w:t xml:space="preserve"> (MC), nr. 62903/15, pct. 164, 15 iunie 2021, și </w:t>
      </w:r>
      <w:proofErr w:type="spellStart"/>
      <w:r w:rsidR="00074B99">
        <w:rPr>
          <w:i/>
        </w:rPr>
        <w:t>Volodina</w:t>
      </w:r>
      <w:proofErr w:type="spellEnd"/>
      <w:r w:rsidR="00074B99">
        <w:rPr>
          <w:i/>
        </w:rPr>
        <w:t xml:space="preserve"> (nr. 2</w:t>
      </w:r>
      <w:r w:rsidR="00074B99">
        <w:t>)</w:t>
      </w:r>
      <w:r w:rsidR="00074B99">
        <w:rPr>
          <w:rFonts w:ascii="Times New Roman" w:hAnsi="Times New Roman"/>
        </w:rPr>
        <w:t>, citată anterior, pct. 49</w:t>
      </w:r>
      <w:r w:rsidR="00074B99">
        <w:t>].</w:t>
      </w:r>
    </w:p>
    <w:p w:rsidR="0021702B" w:rsidRPr="00F00DCE" w:rsidRDefault="0094597A" w:rsidP="00F00DCE">
      <w:pPr>
        <w:pStyle w:val="JuPara"/>
      </w:pPr>
      <w:r>
        <w:fldChar w:fldCharType="begin"/>
      </w:r>
      <w:r>
        <w:instrText xml:space="preserve"> SEQ le</w:instrText>
      </w:r>
      <w:r>
        <w:instrText xml:space="preserve">vel0 \*arabic \* MERGEFORMAT </w:instrText>
      </w:r>
      <w:r>
        <w:fldChar w:fldCharType="separate"/>
      </w:r>
      <w:bookmarkStart w:id="91" w:name="paragraph00169"/>
      <w:r>
        <w:rPr>
          <w:noProof/>
        </w:rPr>
        <w:t>121</w:t>
      </w:r>
      <w:bookmarkEnd w:id="91"/>
      <w:r>
        <w:rPr>
          <w:noProof/>
        </w:rPr>
        <w:fldChar w:fldCharType="end"/>
      </w:r>
      <w:r w:rsidR="00074B99">
        <w:t>.</w:t>
      </w:r>
      <w:r w:rsidR="00B3763A">
        <w:t xml:space="preserve"> </w:t>
      </w:r>
      <w:r w:rsidR="00074B99">
        <w:t xml:space="preserve">Curtea a reținut că actele de violență online implicând publicarea de fotografii intime ale victimelor, cu scopul de a atrage atenția familiei și a prietenilor acestora pentru a le umili și degrada, precum și urmărirea mișcărilor victimelor cu ajutorul unui dispozitiv GPS și trimiterea de amenințări cu moartea pe social media, determinându-le să simtă anxietate, suferință și nesiguranță, sunt suficient de grave pentru a impune un răspuns de drept penal din partea autorităților naționale. În astfel de cazuri, o acțiune civilă în justiție, care ar putea constitui o cale de atac adecvată în situații mai puțin grave, nu este în măsură să realizeze obiectivele [a se vedea </w:t>
      </w:r>
      <w:proofErr w:type="spellStart"/>
      <w:r w:rsidR="00074B99">
        <w:rPr>
          <w:i/>
        </w:rPr>
        <w:t>Volodina</w:t>
      </w:r>
      <w:proofErr w:type="spellEnd"/>
      <w:r w:rsidR="00074B99">
        <w:rPr>
          <w:i/>
        </w:rPr>
        <w:t xml:space="preserve"> (nr. 2</w:t>
      </w:r>
      <w:r w:rsidR="00074B99">
        <w:t>)</w:t>
      </w:r>
      <w:r w:rsidR="00074B99">
        <w:rPr>
          <w:rFonts w:ascii="Times New Roman" w:hAnsi="Times New Roman"/>
        </w:rPr>
        <w:t>, citată anterior, pct. 57, cu trimiterile suplimentare</w:t>
      </w:r>
      <w:r w:rsidR="00FB28C9">
        <w:rPr>
          <w:rFonts w:ascii="Times New Roman" w:hAnsi="Times New Roman"/>
        </w:rPr>
        <w:t>]</w:t>
      </w:r>
      <w:r w:rsidR="00074B99">
        <w:t xml:space="preserve"> sus-menționate (</w:t>
      </w:r>
      <w:r w:rsidR="00074B99">
        <w:rPr>
          <w:i/>
          <w:iCs/>
        </w:rPr>
        <w:t>infra</w:t>
      </w:r>
      <w:r w:rsidR="00074B99">
        <w:t>, pct. </w:t>
      </w:r>
      <w:r w:rsidR="00074B99" w:rsidRPr="00F00DCE">
        <w:fldChar w:fldCharType="begin"/>
      </w:r>
      <w:r w:rsidR="00074B99" w:rsidRPr="00F00DCE">
        <w:instrText xml:space="preserve"> REF paragraph00201 \h  \* CharFormat  \* MERGEFORMAT </w:instrText>
      </w:r>
      <w:r w:rsidR="00074B99" w:rsidRPr="00F00DCE">
        <w:fldChar w:fldCharType="separate"/>
      </w:r>
      <w:r>
        <w:t>119</w:t>
      </w:r>
      <w:r w:rsidR="00074B99" w:rsidRPr="00F00DCE">
        <w:fldChar w:fldCharType="end"/>
      </w:r>
      <w:r w:rsidR="00074B99">
        <w:t>-</w:t>
      </w:r>
      <w:r w:rsidR="00074B99" w:rsidRPr="00F00DCE">
        <w:fldChar w:fldCharType="begin"/>
      </w:r>
      <w:r w:rsidR="00074B99" w:rsidRPr="00F00DCE">
        <w:instrText xml:space="preserve"> REF paragraph00169 \h  \* CharFormat  \* MERGEFORMAT </w:instrText>
      </w:r>
      <w:r w:rsidR="00074B99" w:rsidRPr="00F00DCE">
        <w:fldChar w:fldCharType="separate"/>
      </w:r>
      <w:r>
        <w:t>121</w:t>
      </w:r>
      <w:r w:rsidR="00074B99" w:rsidRPr="00F00DCE">
        <w:fldChar w:fldCharType="end"/>
      </w:r>
      <w:r w:rsidR="00FB28C9">
        <w:t>)</w:t>
      </w:r>
      <w:r w:rsidR="00074B99">
        <w:t>.</w:t>
      </w:r>
    </w:p>
    <w:p w:rsidR="0021702B" w:rsidRPr="00F00DCE" w:rsidRDefault="00074B99" w:rsidP="00F00DCE">
      <w:pPr>
        <w:pStyle w:val="JuHa0"/>
      </w:pPr>
      <w:r>
        <w:lastRenderedPageBreak/>
        <w:t>Aplicarea principiilor sus-menționate în această cauză</w:t>
      </w:r>
    </w:p>
    <w:p w:rsidR="0021702B" w:rsidRPr="00F00DCE" w:rsidRDefault="0094597A" w:rsidP="00F00DCE">
      <w:pPr>
        <w:pStyle w:val="JuPara"/>
      </w:pPr>
      <w:r>
        <w:fldChar w:fldCharType="begin"/>
      </w:r>
      <w:r>
        <w:instrText xml:space="preserve"> SEQ </w:instrText>
      </w:r>
      <w:r>
        <w:instrText xml:space="preserve">level0 \*arabic \* MERGEFORMAT </w:instrText>
      </w:r>
      <w:r>
        <w:fldChar w:fldCharType="separate"/>
      </w:r>
      <w:bookmarkStart w:id="92" w:name="paragraph00137"/>
      <w:r>
        <w:rPr>
          <w:noProof/>
        </w:rPr>
        <w:t>122</w:t>
      </w:r>
      <w:bookmarkEnd w:id="92"/>
      <w:r>
        <w:rPr>
          <w:noProof/>
        </w:rPr>
        <w:fldChar w:fldCharType="end"/>
      </w:r>
      <w:r w:rsidR="00074B99">
        <w:t>.</w:t>
      </w:r>
      <w:r w:rsidR="00B3763A">
        <w:t xml:space="preserve"> </w:t>
      </w:r>
      <w:r w:rsidR="00074B99">
        <w:t xml:space="preserve">Curtea reține că părțile nu au disputat aplicabilitatea art. 8 în prezenta cauză și nu vede niciun motiv să constate contrariul. Reclamanta a fost victima </w:t>
      </w:r>
      <w:r w:rsidR="006D3C0A">
        <w:t>faptelor</w:t>
      </w:r>
      <w:r w:rsidR="00074B99">
        <w:t xml:space="preserve"> săvârșite de fostul ei partener intim, și anume V.C.A., descrise </w:t>
      </w:r>
      <w:r w:rsidR="00074B99">
        <w:rPr>
          <w:i/>
          <w:iCs/>
        </w:rPr>
        <w:t>supra</w:t>
      </w:r>
      <w:r w:rsidR="00074B99">
        <w:t xml:space="preserve">, pct. </w:t>
      </w:r>
      <w:r w:rsidR="00074B99" w:rsidRPr="00F00DCE">
        <w:fldChar w:fldCharType="begin"/>
      </w:r>
      <w:r w:rsidR="00074B99" w:rsidRPr="00F00DCE">
        <w:instrText xml:space="preserve"> REF paragraph00136 \h  \* CharFormat </w:instrText>
      </w:r>
      <w:r w:rsidR="00074B99" w:rsidRPr="00F00DCE">
        <w:fldChar w:fldCharType="separate"/>
      </w:r>
      <w:r>
        <w:t>99</w:t>
      </w:r>
      <w:r w:rsidR="00074B99" w:rsidRPr="00F00DCE">
        <w:fldChar w:fldCharType="end"/>
      </w:r>
      <w:r w:rsidR="00074B99">
        <w:t xml:space="preserve">. Curtea este convinsă că </w:t>
      </w:r>
      <w:r w:rsidR="006D3C0A">
        <w:t>faptele</w:t>
      </w:r>
      <w:r w:rsidR="00074B99">
        <w:t xml:space="preserve"> în cauză pot fi considerate hărțuire online în sensul jurisprudenței sale (</w:t>
      </w:r>
      <w:r w:rsidR="00074B99">
        <w:rPr>
          <w:i/>
          <w:iCs/>
        </w:rPr>
        <w:t>supra</w:t>
      </w:r>
      <w:r w:rsidR="00074B99">
        <w:t xml:space="preserve">, pct. </w:t>
      </w:r>
      <w:r w:rsidR="00074B99" w:rsidRPr="00F00DCE">
        <w:fldChar w:fldCharType="begin"/>
      </w:r>
      <w:r w:rsidR="00074B99" w:rsidRPr="00F00DCE">
        <w:instrText xml:space="preserve"> REF paragraph00133 \h  \* CharFormat </w:instrText>
      </w:r>
      <w:r w:rsidR="00074B99" w:rsidRPr="00F00DCE">
        <w:fldChar w:fldCharType="separate"/>
      </w:r>
      <w:r>
        <w:t>118</w:t>
      </w:r>
      <w:r w:rsidR="00074B99" w:rsidRPr="00F00DCE">
        <w:fldChar w:fldCharType="end"/>
      </w:r>
      <w:r w:rsidR="00074B99">
        <w:t>).</w:t>
      </w:r>
    </w:p>
    <w:p w:rsidR="0021702B" w:rsidRPr="00F00DCE" w:rsidRDefault="0094597A" w:rsidP="00F00DCE">
      <w:pPr>
        <w:pStyle w:val="JuPara"/>
      </w:pPr>
      <w:r>
        <w:fldChar w:fldCharType="begin"/>
      </w:r>
      <w:r>
        <w:instrText xml:space="preserve"> SEQ level0 \*arabic \* MERGEFORMAT </w:instrText>
      </w:r>
      <w:r>
        <w:fldChar w:fldCharType="separate"/>
      </w:r>
      <w:r>
        <w:rPr>
          <w:noProof/>
        </w:rPr>
        <w:t>123</w:t>
      </w:r>
      <w:r>
        <w:rPr>
          <w:noProof/>
        </w:rPr>
        <w:fldChar w:fldCharType="end"/>
      </w:r>
      <w:r w:rsidR="00074B99">
        <w:t>.</w:t>
      </w:r>
      <w:r w:rsidR="00B3763A">
        <w:t xml:space="preserve"> </w:t>
      </w:r>
      <w:r w:rsidR="00074B99">
        <w:t xml:space="preserve">Autoritățile naționale au stabilit, deși în contextul infracțiunii de fals informatic, că </w:t>
      </w:r>
      <w:r w:rsidR="006D3C0A">
        <w:t>faptele</w:t>
      </w:r>
      <w:r w:rsidR="00074B99">
        <w:t xml:space="preserve"> în cauză au fost alimentate de dorința lui V.C.A. de a se răzbuna pe reclamantă și de a o defăima, denigra și umili atât în ​​public, cât și în cercul prietenilor, al familiei și al cunoștințelor ei deoarece s-a simțit trădat de ea (</w:t>
      </w:r>
      <w:r w:rsidR="00074B99">
        <w:rPr>
          <w:i/>
          <w:iCs/>
        </w:rPr>
        <w:t>supra</w:t>
      </w:r>
      <w:r w:rsidR="00074B99">
        <w:t xml:space="preserve">, pct. </w:t>
      </w:r>
      <w:r w:rsidR="00074B99" w:rsidRPr="00F00DCE">
        <w:fldChar w:fldCharType="begin"/>
      </w:r>
      <w:r w:rsidR="00074B99" w:rsidRPr="00F00DCE">
        <w:instrText xml:space="preserve"> REF paragraph00068 \h  \* CharFormat </w:instrText>
      </w:r>
      <w:r w:rsidR="00074B99" w:rsidRPr="00F00DCE">
        <w:fldChar w:fldCharType="separate"/>
      </w:r>
      <w:r>
        <w:t>39</w:t>
      </w:r>
      <w:r w:rsidR="00074B99" w:rsidRPr="00F00DCE">
        <w:fldChar w:fldCharType="end"/>
      </w:r>
      <w:r w:rsidR="00074B99">
        <w:t>-</w:t>
      </w:r>
      <w:r w:rsidR="00074B99" w:rsidRPr="00F00DCE">
        <w:fldChar w:fldCharType="begin"/>
      </w:r>
      <w:r w:rsidR="00074B99" w:rsidRPr="00F00DCE">
        <w:instrText xml:space="preserve"> REF paragraph00043 \h  \* CharFormat </w:instrText>
      </w:r>
      <w:r w:rsidR="00074B99" w:rsidRPr="00F00DCE">
        <w:fldChar w:fldCharType="separate"/>
      </w:r>
      <w:r>
        <w:t>43</w:t>
      </w:r>
      <w:r w:rsidR="00074B99" w:rsidRPr="00F00DCE">
        <w:fldChar w:fldCharType="end"/>
      </w:r>
      <w:r w:rsidR="00074B99">
        <w:t xml:space="preserve"> și </w:t>
      </w:r>
      <w:r w:rsidR="00074B99" w:rsidRPr="00F00DCE">
        <w:fldChar w:fldCharType="begin"/>
      </w:r>
      <w:r w:rsidR="00074B99" w:rsidRPr="00F00DCE">
        <w:instrText xml:space="preserve"> REF paragraph00105 \h  \* CharFormat  \* MERGEFORMAT </w:instrText>
      </w:r>
      <w:r w:rsidR="00074B99" w:rsidRPr="00F00DCE">
        <w:fldChar w:fldCharType="separate"/>
      </w:r>
      <w:r>
        <w:t>63</w:t>
      </w:r>
      <w:r w:rsidR="00074B99" w:rsidRPr="00F00DCE">
        <w:fldChar w:fldCharType="end"/>
      </w:r>
      <w:r w:rsidR="00074B99">
        <w:noBreakHyphen/>
      </w:r>
      <w:r w:rsidR="00074B99" w:rsidRPr="00F00DCE">
        <w:fldChar w:fldCharType="begin"/>
      </w:r>
      <w:r w:rsidR="00074B99" w:rsidRPr="00F00DCE">
        <w:instrText xml:space="preserve"> REF paragraph00088 \h  \* CharFormat </w:instrText>
      </w:r>
      <w:r w:rsidR="00074B99" w:rsidRPr="00F00DCE">
        <w:fldChar w:fldCharType="separate"/>
      </w:r>
      <w:r>
        <w:t>64</w:t>
      </w:r>
      <w:r w:rsidR="00074B99" w:rsidRPr="00F00DCE">
        <w:fldChar w:fldCharType="end"/>
      </w:r>
      <w:r w:rsidR="00074B99">
        <w:t xml:space="preserve">). Aceste </w:t>
      </w:r>
      <w:r w:rsidR="006D3C0A">
        <w:t>fapte</w:t>
      </w:r>
      <w:r w:rsidR="00074B99">
        <w:t xml:space="preserve"> au expus-o pe reclamantă hărțuirii de către indivizi necunoscuți pentru servicii sexuale și, pe lângă urmările generate de </w:t>
      </w:r>
      <w:r w:rsidR="006D3C0A">
        <w:t>faptele respective</w:t>
      </w:r>
      <w:r w:rsidR="00074B99">
        <w:t>, au fost în măsură să-i provoace reclamantei traume și daune psihice și instabilitate emoțională, precum și inducerea unor sentimente de anxietate și teamă (</w:t>
      </w:r>
      <w:r w:rsidR="00074B99">
        <w:rPr>
          <w:i/>
          <w:iCs/>
        </w:rPr>
        <w:t>supra</w:t>
      </w:r>
      <w:r w:rsidR="00074B99">
        <w:t xml:space="preserve">, pct. </w:t>
      </w:r>
      <w:r w:rsidR="00074B99" w:rsidRPr="00F00DCE">
        <w:fldChar w:fldCharType="begin"/>
      </w:r>
      <w:r w:rsidR="00074B99" w:rsidRPr="00F00DCE">
        <w:instrText xml:space="preserve"> REF paragraph00068 \h  \* CharFormat  \* MERGEFORMAT </w:instrText>
      </w:r>
      <w:r w:rsidR="00074B99" w:rsidRPr="00F00DCE">
        <w:fldChar w:fldCharType="separate"/>
      </w:r>
      <w:r>
        <w:t>39</w:t>
      </w:r>
      <w:r w:rsidR="00074B99" w:rsidRPr="00F00DCE">
        <w:fldChar w:fldCharType="end"/>
      </w:r>
      <w:r w:rsidR="00074B99">
        <w:t xml:space="preserve"> și </w:t>
      </w:r>
      <w:r w:rsidR="00074B99" w:rsidRPr="00F00DCE">
        <w:fldChar w:fldCharType="begin"/>
      </w:r>
      <w:r w:rsidR="00074B99" w:rsidRPr="00F00DCE">
        <w:instrText xml:space="preserve"> REF paragraph00091 \h  \* CharFormat  \* MERGEFORMAT </w:instrText>
      </w:r>
      <w:r w:rsidR="00074B99" w:rsidRPr="00F00DCE">
        <w:fldChar w:fldCharType="separate"/>
      </w:r>
      <w:r>
        <w:t>66</w:t>
      </w:r>
      <w:r w:rsidR="00074B99" w:rsidRPr="00F00DCE">
        <w:fldChar w:fldCharType="end"/>
      </w:r>
      <w:r w:rsidR="00074B99">
        <w:t>). Într-adevăr, rapoartele de evaluare înaintate Curții confirmă faptul că acțiunile lui V.C.A. și urmările lor i-au afectat grav bunăstarea psihică și fizică și că au avut un impact pe termen lung asupra sănătății sale psihice, care a afectat, în cele din urmă, capacitatea reclamantei de a coexista – și de a forma, de a se bucura și de a păstra relațiile – cu alte persoane (</w:t>
      </w:r>
      <w:r w:rsidR="00074B99">
        <w:rPr>
          <w:i/>
          <w:iCs/>
        </w:rPr>
        <w:t>supra</w:t>
      </w:r>
      <w:r w:rsidR="00074B99">
        <w:t xml:space="preserve">, pct. </w:t>
      </w:r>
      <w:r w:rsidR="00074B99" w:rsidRPr="00F00DCE">
        <w:fldChar w:fldCharType="begin"/>
      </w:r>
      <w:r w:rsidR="00074B99" w:rsidRPr="00F00DCE">
        <w:instrText xml:space="preserve"> REF paragraph00079 \h  \* CharFormat </w:instrText>
      </w:r>
      <w:r w:rsidR="00074B99" w:rsidRPr="00F00DCE">
        <w:fldChar w:fldCharType="separate"/>
      </w:r>
      <w:r>
        <w:t>76</w:t>
      </w:r>
      <w:r w:rsidR="00074B99" w:rsidRPr="00F00DCE">
        <w:fldChar w:fldCharType="end"/>
      </w:r>
      <w:r w:rsidR="00074B99">
        <w:noBreakHyphen/>
      </w:r>
      <w:r w:rsidR="00074B99" w:rsidRPr="00F00DCE">
        <w:fldChar w:fldCharType="begin"/>
      </w:r>
      <w:r w:rsidR="00074B99" w:rsidRPr="00F00DCE">
        <w:instrText xml:space="preserve"> REF paragraph00107 \h  \* CharFormat  \* MERGEFORMAT </w:instrText>
      </w:r>
      <w:r w:rsidR="00074B99" w:rsidRPr="00F00DCE">
        <w:fldChar w:fldCharType="separate"/>
      </w:r>
      <w:r>
        <w:t>78</w:t>
      </w:r>
      <w:r w:rsidR="00074B99" w:rsidRPr="00F00DCE">
        <w:fldChar w:fldCharType="end"/>
      </w:r>
      <w:r w:rsidR="00074B99">
        <w:t>).</w:t>
      </w:r>
    </w:p>
    <w:p w:rsidR="0021702B" w:rsidRPr="00F00DCE" w:rsidRDefault="0094597A" w:rsidP="00F00DCE">
      <w:pPr>
        <w:pStyle w:val="JuPara"/>
      </w:pPr>
      <w:r>
        <w:fldChar w:fldCharType="begin"/>
      </w:r>
      <w:r>
        <w:instrText xml:space="preserve"> SEQ level0 \*arabic \* MERGEFORMAT </w:instrText>
      </w:r>
      <w:r>
        <w:fldChar w:fldCharType="separate"/>
      </w:r>
      <w:r>
        <w:rPr>
          <w:noProof/>
        </w:rPr>
        <w:t>124</w:t>
      </w:r>
      <w:r>
        <w:rPr>
          <w:noProof/>
        </w:rPr>
        <w:fldChar w:fldCharType="end"/>
      </w:r>
      <w:r w:rsidR="00074B99">
        <w:t>.</w:t>
      </w:r>
      <w:r w:rsidR="00B3763A">
        <w:t xml:space="preserve"> </w:t>
      </w:r>
      <w:r w:rsidR="00074B99">
        <w:t>Curtea reține, de asemenea, că atât autoritățile de anchetă, cât și instanțele de la nivel național au considerat actele în cauză, sau cel puțin o parte din acestea, ca fiind condamnabile (</w:t>
      </w:r>
      <w:r w:rsidR="00074B99">
        <w:rPr>
          <w:i/>
          <w:iCs/>
        </w:rPr>
        <w:t>supra</w:t>
      </w:r>
      <w:r w:rsidR="00074B99">
        <w:t xml:space="preserve">, pct. </w:t>
      </w:r>
      <w:r w:rsidR="00074B99" w:rsidRPr="00F00DCE">
        <w:fldChar w:fldCharType="begin"/>
      </w:r>
      <w:r w:rsidR="00074B99" w:rsidRPr="00F00DCE">
        <w:instrText xml:space="preserve"> REF paragraph00068 \h  \* CharFormat  \* MERGEFORMAT </w:instrText>
      </w:r>
      <w:r w:rsidR="00074B99" w:rsidRPr="00F00DCE">
        <w:fldChar w:fldCharType="separate"/>
      </w:r>
      <w:r>
        <w:t>39</w:t>
      </w:r>
      <w:r w:rsidR="00074B99" w:rsidRPr="00F00DCE">
        <w:fldChar w:fldCharType="end"/>
      </w:r>
      <w:r w:rsidR="00074B99">
        <w:t>) și necesitând o anume formă de reacție sau despăgubire din punctul de vedere al legislației penale (</w:t>
      </w:r>
      <w:r w:rsidR="00074B99">
        <w:rPr>
          <w:i/>
          <w:iCs/>
        </w:rPr>
        <w:t>supra</w:t>
      </w:r>
      <w:r w:rsidR="00074B99">
        <w:t>, pct. </w:t>
      </w:r>
      <w:r w:rsidR="00074B99" w:rsidRPr="00F00DCE">
        <w:fldChar w:fldCharType="begin"/>
      </w:r>
      <w:r w:rsidR="00074B99" w:rsidRPr="00F00DCE">
        <w:instrText xml:space="preserve"> REF paragraph00041 \h  \* CharFormat  \* MERGEFORMAT </w:instrText>
      </w:r>
      <w:r w:rsidR="00074B99" w:rsidRPr="00F00DCE">
        <w:fldChar w:fldCharType="separate"/>
      </w:r>
      <w:r w:rsidRPr="0094597A">
        <w:t>45</w:t>
      </w:r>
      <w:r w:rsidR="00074B99" w:rsidRPr="00F00DCE">
        <w:fldChar w:fldCharType="end"/>
      </w:r>
      <w:r w:rsidR="00074B99">
        <w:t xml:space="preserve">, </w:t>
      </w:r>
      <w:r w:rsidR="00074B99" w:rsidRPr="00F00DCE">
        <w:fldChar w:fldCharType="begin"/>
      </w:r>
      <w:r w:rsidR="00074B99" w:rsidRPr="00F00DCE">
        <w:instrText xml:space="preserve"> REF paragraph00102 \h  \* CharFormat </w:instrText>
      </w:r>
      <w:r w:rsidR="00074B99" w:rsidRPr="00F00DCE">
        <w:fldChar w:fldCharType="separate"/>
      </w:r>
      <w:r>
        <w:t>62</w:t>
      </w:r>
      <w:r w:rsidR="00074B99" w:rsidRPr="00F00DCE">
        <w:fldChar w:fldCharType="end"/>
      </w:r>
      <w:r w:rsidR="00074B99">
        <w:t>-</w:t>
      </w:r>
      <w:r w:rsidR="00074B99" w:rsidRPr="00F00DCE">
        <w:fldChar w:fldCharType="begin"/>
      </w:r>
      <w:r w:rsidR="00074B99" w:rsidRPr="00F00DCE">
        <w:instrText xml:space="preserve"> REF paragraph00088 \h  \* CharFormat </w:instrText>
      </w:r>
      <w:r w:rsidR="00074B99" w:rsidRPr="00F00DCE">
        <w:fldChar w:fldCharType="separate"/>
      </w:r>
      <w:r>
        <w:t>64</w:t>
      </w:r>
      <w:r w:rsidR="00074B99" w:rsidRPr="00F00DCE">
        <w:fldChar w:fldCharType="end"/>
      </w:r>
      <w:r w:rsidR="00074B99">
        <w:t xml:space="preserve"> și </w:t>
      </w:r>
      <w:r w:rsidR="00074B99" w:rsidRPr="00F00DCE">
        <w:fldChar w:fldCharType="begin"/>
      </w:r>
      <w:r w:rsidR="00074B99" w:rsidRPr="00F00DCE">
        <w:instrText xml:space="preserve"> REF paragraph00120 \h  \* CharFormat </w:instrText>
      </w:r>
      <w:r w:rsidR="00074B99" w:rsidRPr="00F00DCE">
        <w:fldChar w:fldCharType="separate"/>
      </w:r>
      <w:r>
        <w:t>69</w:t>
      </w:r>
      <w:r w:rsidR="00074B99" w:rsidRPr="00F00DCE">
        <w:fldChar w:fldCharType="end"/>
      </w:r>
      <w:r w:rsidR="00074B99">
        <w:t>-</w:t>
      </w:r>
      <w:r w:rsidR="00074B99" w:rsidRPr="00F00DCE">
        <w:fldChar w:fldCharType="begin"/>
      </w:r>
      <w:r w:rsidR="00074B99" w:rsidRPr="00F00DCE">
        <w:instrText xml:space="preserve"> REF paragraph00125 \h  \* CharFormat  \* MERGEFORMAT </w:instrText>
      </w:r>
      <w:r w:rsidR="00074B99" w:rsidRPr="00F00DCE">
        <w:fldChar w:fldCharType="separate"/>
      </w:r>
      <w:r>
        <w:t>70</w:t>
      </w:r>
      <w:r w:rsidR="00074B99" w:rsidRPr="00F00DCE">
        <w:fldChar w:fldCharType="end"/>
      </w:r>
      <w:r w:rsidR="00074B99">
        <w:t xml:space="preserve">). Judecătoria le-a etichetat drept „foarte periculoase” și a constatat că </w:t>
      </w:r>
      <w:r w:rsidR="00B0262F">
        <w:t xml:space="preserve">au </w:t>
      </w:r>
      <w:r w:rsidR="00074B99">
        <w:t>încălca</w:t>
      </w:r>
      <w:r w:rsidR="00B0262F">
        <w:t>t</w:t>
      </w:r>
      <w:r w:rsidR="00074B99">
        <w:t xml:space="preserve"> un număr de norme sociale menite să protejeze dreptul unei persoane la respectarea vieții private – inclusiv imaginea și identitatea sa (</w:t>
      </w:r>
      <w:r w:rsidR="00074B99">
        <w:rPr>
          <w:i/>
          <w:iCs/>
        </w:rPr>
        <w:t>supra</w:t>
      </w:r>
      <w:r w:rsidR="00074B99">
        <w:t xml:space="preserve">, pct. </w:t>
      </w:r>
      <w:r w:rsidR="00074B99" w:rsidRPr="00F00DCE">
        <w:fldChar w:fldCharType="begin"/>
      </w:r>
      <w:r w:rsidR="00074B99" w:rsidRPr="00F00DCE">
        <w:instrText xml:space="preserve"> REF paragraph00088 \h  \* CharFormat  \* MERGEFORMAT </w:instrText>
      </w:r>
      <w:r w:rsidR="00074B99" w:rsidRPr="00F00DCE">
        <w:fldChar w:fldCharType="separate"/>
      </w:r>
      <w:r>
        <w:t>64</w:t>
      </w:r>
      <w:r w:rsidR="00074B99" w:rsidRPr="00F00DCE">
        <w:fldChar w:fldCharType="end"/>
      </w:r>
      <w:r w:rsidR="00074B99">
        <w:t xml:space="preserve">). Deși nu era aplicabilă la acel moment, expunerea de motive la Legea nr. 171/2023 care a modificat și a completat art. 226 C. </w:t>
      </w:r>
      <w:proofErr w:type="spellStart"/>
      <w:r w:rsidR="00074B99">
        <w:t>pen</w:t>
      </w:r>
      <w:proofErr w:type="spellEnd"/>
      <w:r w:rsidR="00074B99">
        <w:t xml:space="preserve">. concluzionează și că incriminarea unor asemenea </w:t>
      </w:r>
      <w:r w:rsidR="00B0262F">
        <w:t>fapte</w:t>
      </w:r>
      <w:r w:rsidR="00074B99">
        <w:t xml:space="preserve"> era necesară pentru ca acestea să poată atrage un nivel adecvat de stigmatizare socială și că în astfel de situații o cale de atac în dreptul civil este insuficientă pentru a-i descuraja pe făptuitori să comită astfel de acte (</w:t>
      </w:r>
      <w:r w:rsidR="00074B99">
        <w:rPr>
          <w:i/>
          <w:iCs/>
        </w:rPr>
        <w:t>supra</w:t>
      </w:r>
      <w:r w:rsidR="00074B99">
        <w:t xml:space="preserve">, pct. </w:t>
      </w:r>
      <w:r w:rsidR="00074B99" w:rsidRPr="00F00DCE">
        <w:fldChar w:fldCharType="begin"/>
      </w:r>
      <w:r w:rsidR="00074B99" w:rsidRPr="00F00DCE">
        <w:instrText xml:space="preserve"> REF paragraph00147 \h  \* CharFormat </w:instrText>
      </w:r>
      <w:r w:rsidR="00074B99" w:rsidRPr="00F00DCE">
        <w:fldChar w:fldCharType="separate"/>
      </w:r>
      <w:r>
        <w:t>81</w:t>
      </w:r>
      <w:r w:rsidR="00074B99" w:rsidRPr="00F00DCE">
        <w:fldChar w:fldCharType="end"/>
      </w:r>
      <w:r w:rsidR="00074B99">
        <w:t>-</w:t>
      </w:r>
      <w:r w:rsidR="00074B99" w:rsidRPr="00F00DCE">
        <w:fldChar w:fldCharType="begin"/>
      </w:r>
      <w:r w:rsidR="00074B99" w:rsidRPr="00F00DCE">
        <w:instrText xml:space="preserve"> REF paragraph00149 \h  \* CharFormat </w:instrText>
      </w:r>
      <w:r w:rsidR="00074B99" w:rsidRPr="00F00DCE">
        <w:fldChar w:fldCharType="separate"/>
      </w:r>
      <w:r>
        <w:t>83</w:t>
      </w:r>
      <w:r w:rsidR="00074B99" w:rsidRPr="00F00DCE">
        <w:fldChar w:fldCharType="end"/>
      </w:r>
      <w:r w:rsidR="00074B99">
        <w:t>).</w:t>
      </w:r>
    </w:p>
    <w:p w:rsidR="0021702B" w:rsidRPr="00F00DCE" w:rsidRDefault="0094597A" w:rsidP="00F00DCE">
      <w:pPr>
        <w:pStyle w:val="JuPara"/>
      </w:pPr>
      <w:r>
        <w:fldChar w:fldCharType="begin"/>
      </w:r>
      <w:r>
        <w:instrText xml:space="preserve"> SEQ level0 \*arabic \* MERGEFORMAT </w:instrText>
      </w:r>
      <w:r>
        <w:fldChar w:fldCharType="separate"/>
      </w:r>
      <w:r>
        <w:rPr>
          <w:noProof/>
        </w:rPr>
        <w:t>125</w:t>
      </w:r>
      <w:r>
        <w:rPr>
          <w:noProof/>
        </w:rPr>
        <w:fldChar w:fldCharType="end"/>
      </w:r>
      <w:r w:rsidR="00074B99">
        <w:t>.</w:t>
      </w:r>
      <w:r w:rsidR="00B3763A">
        <w:t xml:space="preserve"> </w:t>
      </w:r>
      <w:r w:rsidR="00074B99">
        <w:t>Având în vedere cele de mai sus și dată fiind jurisprudența Curții în materie (</w:t>
      </w:r>
      <w:r w:rsidR="00074B99">
        <w:rPr>
          <w:i/>
          <w:iCs/>
        </w:rPr>
        <w:t>supra</w:t>
      </w:r>
      <w:r w:rsidR="00074B99">
        <w:t xml:space="preserve">, pct. </w:t>
      </w:r>
      <w:r w:rsidR="00074B99" w:rsidRPr="00F00DCE">
        <w:fldChar w:fldCharType="begin"/>
      </w:r>
      <w:r w:rsidR="00074B99" w:rsidRPr="00F00DCE">
        <w:instrText xml:space="preserve"> REF paragraph00129 \h  \* CharFormat </w:instrText>
      </w:r>
      <w:r w:rsidR="00074B99" w:rsidRPr="00F00DCE">
        <w:fldChar w:fldCharType="separate"/>
      </w:r>
      <w:r>
        <w:t>115</w:t>
      </w:r>
      <w:r w:rsidR="00074B99" w:rsidRPr="00F00DCE">
        <w:fldChar w:fldCharType="end"/>
      </w:r>
      <w:r w:rsidR="00074B99">
        <w:t>-</w:t>
      </w:r>
      <w:r w:rsidR="00074B99" w:rsidRPr="00F00DCE">
        <w:fldChar w:fldCharType="begin"/>
      </w:r>
      <w:r w:rsidR="00074B99" w:rsidRPr="00F00DCE">
        <w:instrText xml:space="preserve"> REF paragraph00169 \h  \* CharFormat </w:instrText>
      </w:r>
      <w:r w:rsidR="00074B99" w:rsidRPr="00F00DCE">
        <w:fldChar w:fldCharType="separate"/>
      </w:r>
      <w:r>
        <w:t>121</w:t>
      </w:r>
      <w:r w:rsidR="00074B99" w:rsidRPr="00F00DCE">
        <w:fldChar w:fldCharType="end"/>
      </w:r>
      <w:r w:rsidR="00074B99">
        <w:t>), Curtea este convinsă că faptele lui V.C.A., care au afectat-o considerabil pe reclamantă, au fost suficient de grave pentru a impune un răspuns de drept penal din partea autorităților naționale. O astfel de cerință decurge, de asemenea, din documente internaționale, dintre care unele sunt obligatorii pentru statul pârât (</w:t>
      </w:r>
      <w:r w:rsidR="00074B99">
        <w:rPr>
          <w:i/>
          <w:iCs/>
        </w:rPr>
        <w:t>supra</w:t>
      </w:r>
      <w:r w:rsidR="00074B99">
        <w:t xml:space="preserve">, pct. </w:t>
      </w:r>
      <w:r w:rsidR="00074B99" w:rsidRPr="00F00DCE">
        <w:fldChar w:fldCharType="begin"/>
      </w:r>
      <w:r w:rsidR="00074B99" w:rsidRPr="00F00DCE">
        <w:instrText xml:space="preserve"> REF paragraph00086 \h  \* CharFormat </w:instrText>
      </w:r>
      <w:r w:rsidR="00074B99" w:rsidRPr="00F00DCE">
        <w:fldChar w:fldCharType="separate"/>
      </w:r>
      <w:r>
        <w:t>86</w:t>
      </w:r>
      <w:r w:rsidR="00074B99" w:rsidRPr="00F00DCE">
        <w:fldChar w:fldCharType="end"/>
      </w:r>
      <w:r w:rsidR="00074B99">
        <w:t>-</w:t>
      </w:r>
      <w:r w:rsidR="00074B99" w:rsidRPr="00F00DCE">
        <w:fldChar w:fldCharType="begin"/>
      </w:r>
      <w:r w:rsidR="00074B99" w:rsidRPr="00F00DCE">
        <w:instrText xml:space="preserve"> REF paragraph00100 \h  \* CharFormat </w:instrText>
      </w:r>
      <w:r w:rsidR="00074B99" w:rsidRPr="00F00DCE">
        <w:fldChar w:fldCharType="separate"/>
      </w:r>
      <w:r>
        <w:t>96</w:t>
      </w:r>
      <w:r w:rsidR="00074B99" w:rsidRPr="00F00DCE">
        <w:fldChar w:fldCharType="end"/>
      </w:r>
      <w:r w:rsidR="00074B99">
        <w:t xml:space="preserve">). Curtea reiterează, de asemenea, că atât interesul public, cât și interesele protejării victimelor vulnerabile față de infracțiuni care le încalcă integritatea fizică și psihică cer să fie disponibilă o cale de atac care să permită identificarea și tragerea la </w:t>
      </w:r>
      <w:r w:rsidR="00074B99">
        <w:lastRenderedPageBreak/>
        <w:t xml:space="preserve">răspundere a autorului (a se vedea </w:t>
      </w:r>
      <w:r w:rsidR="00074B99">
        <w:rPr>
          <w:i/>
        </w:rPr>
        <w:t>K.U. împotriva Finlandei</w:t>
      </w:r>
      <w:r w:rsidR="00074B99">
        <w:t xml:space="preserve">, citată anterior, pct. 47, și </w:t>
      </w:r>
      <w:proofErr w:type="spellStart"/>
      <w:r w:rsidR="00074B99">
        <w:rPr>
          <w:i/>
        </w:rPr>
        <w:t>Volodina</w:t>
      </w:r>
      <w:proofErr w:type="spellEnd"/>
      <w:r w:rsidR="00074B99">
        <w:t>, citată anterior, pct. 100). În consecință, faptul că reclamanta ar fi putut să introducă o acțiune civilă împotriva lui V.C.A., astfel cum a susținut judecătoria (</w:t>
      </w:r>
      <w:r w:rsidR="00074B99">
        <w:rPr>
          <w:i/>
          <w:iCs/>
        </w:rPr>
        <w:t>supra</w:t>
      </w:r>
      <w:r w:rsidR="00074B99">
        <w:t xml:space="preserve">, pct. </w:t>
      </w:r>
      <w:r w:rsidR="00074B99" w:rsidRPr="00F00DCE">
        <w:fldChar w:fldCharType="begin"/>
      </w:r>
      <w:r w:rsidR="00074B99" w:rsidRPr="00F00DCE">
        <w:instrText xml:space="preserve"> REF paragraph00053 \h  \* CharFormat </w:instrText>
      </w:r>
      <w:r w:rsidR="00074B99" w:rsidRPr="00F00DCE">
        <w:fldChar w:fldCharType="separate"/>
      </w:r>
      <w:r>
        <w:t>57</w:t>
      </w:r>
      <w:r w:rsidR="00074B99" w:rsidRPr="00F00DCE">
        <w:fldChar w:fldCharType="end"/>
      </w:r>
      <w:r w:rsidR="00074B99">
        <w:t>-</w:t>
      </w:r>
      <w:r w:rsidR="00074B99" w:rsidRPr="00F00DCE">
        <w:fldChar w:fldCharType="begin"/>
      </w:r>
      <w:r w:rsidR="00074B99" w:rsidRPr="00F00DCE">
        <w:instrText xml:space="preserve"> REF paragraph00098 \h  \* CharFormat </w:instrText>
      </w:r>
      <w:r w:rsidR="00074B99" w:rsidRPr="00F00DCE">
        <w:fldChar w:fldCharType="separate"/>
      </w:r>
      <w:r>
        <w:t>58</w:t>
      </w:r>
      <w:r w:rsidR="00074B99" w:rsidRPr="00F00DCE">
        <w:fldChar w:fldCharType="end"/>
      </w:r>
      <w:r w:rsidR="00074B99">
        <w:t xml:space="preserve"> și </w:t>
      </w:r>
      <w:r w:rsidR="00074B99" w:rsidRPr="00F00DCE">
        <w:fldChar w:fldCharType="begin"/>
      </w:r>
      <w:r w:rsidR="00074B99" w:rsidRPr="00F00DCE">
        <w:instrText xml:space="preserve"> REF paragraph00101 \h  \* CharFormat  \* MERGEFORMAT </w:instrText>
      </w:r>
      <w:r w:rsidR="00074B99" w:rsidRPr="00F00DCE">
        <w:fldChar w:fldCharType="separate"/>
      </w:r>
      <w:r>
        <w:t>60</w:t>
      </w:r>
      <w:r w:rsidR="00074B99" w:rsidRPr="00F00DCE">
        <w:fldChar w:fldCharType="end"/>
      </w:r>
      <w:r w:rsidR="00074B99">
        <w:t>), nu poate fi considerat drept un substitut corespunzător pentru cerința de mai sus.</w:t>
      </w:r>
    </w:p>
    <w:p w:rsidR="0021702B" w:rsidRPr="00F00DCE" w:rsidRDefault="0094597A" w:rsidP="00F00DCE">
      <w:pPr>
        <w:pStyle w:val="JuPara"/>
      </w:pPr>
      <w:r>
        <w:fldChar w:fldCharType="begin"/>
      </w:r>
      <w:r>
        <w:instrText xml:space="preserve"> SEQ level0 \*arabic \* MERGEFORMAT </w:instrText>
      </w:r>
      <w:r>
        <w:fldChar w:fldCharType="separate"/>
      </w:r>
      <w:r>
        <w:rPr>
          <w:noProof/>
        </w:rPr>
        <w:t>126</w:t>
      </w:r>
      <w:r>
        <w:rPr>
          <w:noProof/>
        </w:rPr>
        <w:fldChar w:fldCharType="end"/>
      </w:r>
      <w:r w:rsidR="00074B99">
        <w:t>.</w:t>
      </w:r>
      <w:r w:rsidR="00B3763A">
        <w:t xml:space="preserve"> </w:t>
      </w:r>
      <w:r w:rsidR="00074B99">
        <w:t>Reclamanta a susținut că sistemul juridic național nu a interzis sau incriminat efectiv toate formele hărțuirii online – în special, difuzarea neconsensuală (sau amenințarea cu aceasta) de imagini intime ale unei persoane care au fost obținute în mod legal de un presupus făptuitor. În plus, a susținut că autoritățile naționale nu i-au oferit protecția efectivă împotriva hărțuirii online și că nu au desfășurat o anchetă efectivă în cauza sa (</w:t>
      </w:r>
      <w:r w:rsidR="00074B99">
        <w:rPr>
          <w:i/>
          <w:iCs/>
        </w:rPr>
        <w:t>supra</w:t>
      </w:r>
      <w:r w:rsidR="00074B99">
        <w:t xml:space="preserve">, pct. </w:t>
      </w:r>
      <w:r w:rsidR="00074B99" w:rsidRPr="00F00DCE">
        <w:fldChar w:fldCharType="begin"/>
      </w:r>
      <w:r w:rsidR="00074B99" w:rsidRPr="00F00DCE">
        <w:instrText xml:space="preserve"> REF paragraph00136 \h  \* CharFormat  \* MERGEFORMAT </w:instrText>
      </w:r>
      <w:r w:rsidR="00074B99" w:rsidRPr="00F00DCE">
        <w:fldChar w:fldCharType="separate"/>
      </w:r>
      <w:r>
        <w:t>99</w:t>
      </w:r>
      <w:r w:rsidR="00074B99" w:rsidRPr="00F00DCE">
        <w:fldChar w:fldCharType="end"/>
      </w:r>
      <w:r w:rsidR="00074B99">
        <w:t xml:space="preserve"> și </w:t>
      </w:r>
      <w:r w:rsidR="00074B99" w:rsidRPr="00F00DCE">
        <w:fldChar w:fldCharType="begin"/>
      </w:r>
      <w:r w:rsidR="00074B99" w:rsidRPr="00F00DCE">
        <w:instrText xml:space="preserve"> REF paragraph00172 \h  \* CharFormat  \* MERGEFORMAT </w:instrText>
      </w:r>
      <w:r w:rsidR="00074B99" w:rsidRPr="00F00DCE">
        <w:fldChar w:fldCharType="separate"/>
      </w:r>
      <w:r>
        <w:t>102</w:t>
      </w:r>
      <w:r w:rsidR="00074B99" w:rsidRPr="00F00DCE">
        <w:fldChar w:fldCharType="end"/>
      </w:r>
      <w:r w:rsidR="00074B99">
        <w:t>-</w:t>
      </w:r>
      <w:r w:rsidR="00074B99" w:rsidRPr="00F00DCE">
        <w:fldChar w:fldCharType="begin"/>
      </w:r>
      <w:r w:rsidR="00074B99" w:rsidRPr="00F00DCE">
        <w:instrText xml:space="preserve"> REF paragraph00184 \h  \* CharFormat  \* MERGEFORMAT </w:instrText>
      </w:r>
      <w:r w:rsidR="00074B99" w:rsidRPr="00F00DCE">
        <w:fldChar w:fldCharType="separate"/>
      </w:r>
      <w:r>
        <w:t>107</w:t>
      </w:r>
      <w:r w:rsidR="00074B99" w:rsidRPr="00F00DCE">
        <w:fldChar w:fldCharType="end"/>
      </w:r>
      <w:r w:rsidR="00074B99">
        <w:t>).</w:t>
      </w:r>
    </w:p>
    <w:p w:rsidR="0021702B" w:rsidRPr="00F00DCE" w:rsidRDefault="0094597A" w:rsidP="00F00DCE">
      <w:pPr>
        <w:pStyle w:val="JuPara"/>
      </w:pPr>
      <w:r>
        <w:fldChar w:fldCharType="begin"/>
      </w:r>
      <w:r>
        <w:instrText xml:space="preserve"> SEQ level0 \*arabic \* MERGEFORMAT </w:instrText>
      </w:r>
      <w:r>
        <w:fldChar w:fldCharType="separate"/>
      </w:r>
      <w:r>
        <w:rPr>
          <w:noProof/>
        </w:rPr>
        <w:t>127</w:t>
      </w:r>
      <w:r>
        <w:rPr>
          <w:noProof/>
        </w:rPr>
        <w:fldChar w:fldCharType="end"/>
      </w:r>
      <w:r w:rsidR="00074B99">
        <w:t>.</w:t>
      </w:r>
      <w:r w:rsidR="00B3763A">
        <w:t xml:space="preserve"> </w:t>
      </w:r>
      <w:r w:rsidR="00074B99">
        <w:t>Prin urmare, Curtea va examina dacă statul pârât a instituit cadrul legal penal adecvat care să ofere protecție împotriva faptelor specifice ale fostului său partener și dacă modul în care autoritățile naționale au efectuat ancheta cu privire la plângerile reclamantei a fost efectiv.</w:t>
      </w:r>
    </w:p>
    <w:p w:rsidR="0021702B" w:rsidRPr="00F00DCE" w:rsidRDefault="00074B99" w:rsidP="00F00DCE">
      <w:pPr>
        <w:pStyle w:val="JuHi"/>
        <w:spacing w:line="240" w:lineRule="auto"/>
      </w:pPr>
      <w:r>
        <w:t>Cadrul legal</w:t>
      </w:r>
    </w:p>
    <w:p w:rsidR="0021702B" w:rsidRPr="00F00DCE" w:rsidRDefault="00074B99" w:rsidP="00F00DCE">
      <w:pPr>
        <w:pStyle w:val="JuPara"/>
      </w:pPr>
      <w:r w:rsidRPr="00F00DCE">
        <w:rPr>
          <w:rStyle w:val="JuParaChar"/>
        </w:rPr>
        <w:fldChar w:fldCharType="begin"/>
      </w:r>
      <w:r w:rsidRPr="00F00DCE">
        <w:rPr>
          <w:rStyle w:val="JuParaChar"/>
        </w:rPr>
        <w:instrText xml:space="preserve"> SEQ level0 \*arabic \* MERGEFORMAT </w:instrText>
      </w:r>
      <w:r w:rsidRPr="00F00DCE">
        <w:rPr>
          <w:rStyle w:val="JuParaChar"/>
        </w:rPr>
        <w:fldChar w:fldCharType="separate"/>
      </w:r>
      <w:r w:rsidR="0094597A">
        <w:rPr>
          <w:rStyle w:val="JuParaChar"/>
          <w:noProof/>
        </w:rPr>
        <w:t>128</w:t>
      </w:r>
      <w:r w:rsidRPr="00F00DCE">
        <w:rPr>
          <w:rStyle w:val="JuParaChar"/>
        </w:rPr>
        <w:fldChar w:fldCharType="end"/>
      </w:r>
      <w:r>
        <w:rPr>
          <w:rStyle w:val="JuParaChar"/>
        </w:rPr>
        <w:t>.</w:t>
      </w:r>
      <w:r w:rsidR="00B3763A">
        <w:rPr>
          <w:rStyle w:val="JuParaChar"/>
        </w:rPr>
        <w:t xml:space="preserve"> </w:t>
      </w:r>
      <w:r>
        <w:rPr>
          <w:rStyle w:val="JuParaChar"/>
        </w:rPr>
        <w:t xml:space="preserve">Curtea reține că, în opinia parchetului și a autorităților judecătorești naționale, elementele constitutive ale infracțiunii de violare a vieții private nu au fost prezente în cauza reclamantei și că, prin urmare, art. 226 alin. (2) C. </w:t>
      </w:r>
      <w:proofErr w:type="spellStart"/>
      <w:r>
        <w:rPr>
          <w:rStyle w:val="JuParaChar"/>
        </w:rPr>
        <w:t>pen</w:t>
      </w:r>
      <w:proofErr w:type="spellEnd"/>
      <w:r>
        <w:rPr>
          <w:rStyle w:val="JuParaChar"/>
        </w:rPr>
        <w:t>. nu se aplică, deoarece aceasta a trimis de bunăvoie fotografiile sale intime către V.C.A. (</w:t>
      </w:r>
      <w:r>
        <w:rPr>
          <w:rStyle w:val="JuParaChar"/>
          <w:i/>
          <w:iCs/>
        </w:rPr>
        <w:t>supra</w:t>
      </w:r>
      <w:r>
        <w:rPr>
          <w:rStyle w:val="JuParaChar"/>
        </w:rPr>
        <w:t xml:space="preserve">, pct. </w:t>
      </w:r>
      <w:r w:rsidRPr="00F00DCE">
        <w:rPr>
          <w:rStyle w:val="JuParaChar"/>
        </w:rPr>
        <w:fldChar w:fldCharType="begin"/>
      </w:r>
      <w:r w:rsidRPr="00F00DCE">
        <w:rPr>
          <w:rStyle w:val="JuParaChar"/>
        </w:rPr>
        <w:instrText xml:space="preserve"> REF paragraph00062 \h  \* CharFormat  \* MERGEFORMAT </w:instrText>
      </w:r>
      <w:r w:rsidRPr="00F00DCE">
        <w:rPr>
          <w:rStyle w:val="JuParaChar"/>
        </w:rPr>
      </w:r>
      <w:r w:rsidRPr="00F00DCE">
        <w:rPr>
          <w:rStyle w:val="JuParaChar"/>
        </w:rPr>
        <w:fldChar w:fldCharType="separate"/>
      </w:r>
      <w:r w:rsidR="0094597A" w:rsidRPr="0094597A">
        <w:rPr>
          <w:rStyle w:val="JuParaChar"/>
        </w:rPr>
        <w:t>36</w:t>
      </w:r>
      <w:r w:rsidRPr="00F00DCE">
        <w:rPr>
          <w:rStyle w:val="JuParaChar"/>
        </w:rPr>
        <w:fldChar w:fldCharType="end"/>
      </w:r>
      <w:r>
        <w:rPr>
          <w:rStyle w:val="JuParaChar"/>
        </w:rPr>
        <w:t xml:space="preserve">, </w:t>
      </w:r>
      <w:r w:rsidRPr="00F00DCE">
        <w:rPr>
          <w:rStyle w:val="JuParaChar"/>
        </w:rPr>
        <w:fldChar w:fldCharType="begin"/>
      </w:r>
      <w:r w:rsidRPr="00F00DCE">
        <w:rPr>
          <w:rStyle w:val="JuParaChar"/>
        </w:rPr>
        <w:instrText xml:space="preserve"> REF paragraph00047 \h  \* CharFormat  \* MERGEFORMAT </w:instrText>
      </w:r>
      <w:r w:rsidRPr="00F00DCE">
        <w:rPr>
          <w:rStyle w:val="JuParaChar"/>
        </w:rPr>
      </w:r>
      <w:r w:rsidRPr="00F00DCE">
        <w:rPr>
          <w:rStyle w:val="JuParaChar"/>
        </w:rPr>
        <w:fldChar w:fldCharType="separate"/>
      </w:r>
      <w:r w:rsidR="0094597A" w:rsidRPr="0094597A">
        <w:rPr>
          <w:rStyle w:val="JuParaChar"/>
        </w:rPr>
        <w:t>50</w:t>
      </w:r>
      <w:r w:rsidRPr="00F00DCE">
        <w:rPr>
          <w:rStyle w:val="JuParaChar"/>
        </w:rPr>
        <w:fldChar w:fldCharType="end"/>
      </w:r>
      <w:r>
        <w:rPr>
          <w:rStyle w:val="JuParaChar"/>
        </w:rPr>
        <w:t xml:space="preserve"> și </w:t>
      </w:r>
      <w:r w:rsidRPr="00F00DCE">
        <w:rPr>
          <w:rStyle w:val="JuParaChar"/>
        </w:rPr>
        <w:fldChar w:fldCharType="begin"/>
      </w:r>
      <w:r w:rsidRPr="00F00DCE">
        <w:rPr>
          <w:rStyle w:val="JuParaChar"/>
        </w:rPr>
        <w:instrText xml:space="preserve"> REF paragraph00053 \h  \* CharFormat  \* MERGEFORMAT </w:instrText>
      </w:r>
      <w:r w:rsidRPr="00F00DCE">
        <w:rPr>
          <w:rStyle w:val="JuParaChar"/>
        </w:rPr>
      </w:r>
      <w:r w:rsidRPr="00F00DCE">
        <w:rPr>
          <w:rStyle w:val="JuParaChar"/>
        </w:rPr>
        <w:fldChar w:fldCharType="separate"/>
      </w:r>
      <w:r w:rsidR="0094597A" w:rsidRPr="0094597A">
        <w:rPr>
          <w:rStyle w:val="JuParaChar"/>
        </w:rPr>
        <w:t>57</w:t>
      </w:r>
      <w:r w:rsidRPr="00F00DCE">
        <w:rPr>
          <w:rStyle w:val="JuParaChar"/>
        </w:rPr>
        <w:fldChar w:fldCharType="end"/>
      </w:r>
      <w:r>
        <w:rPr>
          <w:rStyle w:val="JuParaChar"/>
        </w:rPr>
        <w:t>-</w:t>
      </w:r>
      <w:r w:rsidRPr="00F00DCE">
        <w:rPr>
          <w:rStyle w:val="JuParaChar"/>
        </w:rPr>
        <w:fldChar w:fldCharType="begin"/>
      </w:r>
      <w:r w:rsidRPr="00F00DCE">
        <w:rPr>
          <w:rStyle w:val="JuParaChar"/>
        </w:rPr>
        <w:instrText xml:space="preserve"> REF paragraph00098 \h  \* CharFormat  \* MERGEFORMAT </w:instrText>
      </w:r>
      <w:r w:rsidRPr="00F00DCE">
        <w:rPr>
          <w:rStyle w:val="JuParaChar"/>
        </w:rPr>
      </w:r>
      <w:r w:rsidRPr="00F00DCE">
        <w:rPr>
          <w:rStyle w:val="JuParaChar"/>
        </w:rPr>
        <w:fldChar w:fldCharType="separate"/>
      </w:r>
      <w:r w:rsidR="0094597A" w:rsidRPr="0094597A">
        <w:rPr>
          <w:rStyle w:val="JuParaChar"/>
        </w:rPr>
        <w:t>58</w:t>
      </w:r>
      <w:r w:rsidRPr="00F00DCE">
        <w:rPr>
          <w:rStyle w:val="JuParaChar"/>
        </w:rPr>
        <w:fldChar w:fldCharType="end"/>
      </w:r>
      <w:r>
        <w:rPr>
          <w:rStyle w:val="JuParaChar"/>
        </w:rPr>
        <w:t>).</w:t>
      </w:r>
    </w:p>
    <w:p w:rsidR="0021702B" w:rsidRPr="00F00DCE" w:rsidRDefault="00074B99" w:rsidP="00F00DCE">
      <w:pPr>
        <w:pStyle w:val="JuPara"/>
        <w:rPr>
          <w:rStyle w:val="JuParaChar"/>
        </w:rPr>
      </w:pPr>
      <w:r w:rsidRPr="00F00DCE">
        <w:rPr>
          <w:rStyle w:val="JuParaChar"/>
        </w:rPr>
        <w:fldChar w:fldCharType="begin"/>
      </w:r>
      <w:r w:rsidRPr="00F00DCE">
        <w:rPr>
          <w:rStyle w:val="JuParaChar"/>
        </w:rPr>
        <w:instrText xml:space="preserve"> SEQ level0 \*arabic \* MERGEFORMAT </w:instrText>
      </w:r>
      <w:r w:rsidRPr="00F00DCE">
        <w:rPr>
          <w:rStyle w:val="JuParaChar"/>
        </w:rPr>
        <w:fldChar w:fldCharType="separate"/>
      </w:r>
      <w:r w:rsidR="0094597A">
        <w:rPr>
          <w:rStyle w:val="JuParaChar"/>
          <w:noProof/>
        </w:rPr>
        <w:t>129</w:t>
      </w:r>
      <w:r w:rsidRPr="00F00DCE">
        <w:rPr>
          <w:rStyle w:val="JuParaChar"/>
        </w:rPr>
        <w:fldChar w:fldCharType="end"/>
      </w:r>
      <w:r>
        <w:rPr>
          <w:rStyle w:val="JuParaChar"/>
        </w:rPr>
        <w:t>.</w:t>
      </w:r>
      <w:r w:rsidR="00B3763A">
        <w:rPr>
          <w:rStyle w:val="JuParaChar"/>
        </w:rPr>
        <w:t xml:space="preserve"> </w:t>
      </w:r>
      <w:r>
        <w:rPr>
          <w:rStyle w:val="JuParaChar"/>
        </w:rPr>
        <w:t xml:space="preserve">Cu toate acestea, în decizia din 24 iunie 2021, ÎCCJ a decis că, la momentul faptelor în discuție, doctrina și practica interne erau divergente cu privire la corecta interpretare a art. 226 alin. (2) C. </w:t>
      </w:r>
      <w:proofErr w:type="spellStart"/>
      <w:r>
        <w:rPr>
          <w:rStyle w:val="JuParaChar"/>
        </w:rPr>
        <w:t>pen</w:t>
      </w:r>
      <w:proofErr w:type="spellEnd"/>
      <w:r>
        <w:rPr>
          <w:rStyle w:val="JuParaChar"/>
        </w:rPr>
        <w:t>. și că nu reieșea clar dacă elementele constitutive ale infracțiunii prevăzute la acest articol erau prezente, atunci când făptuitorul a obținut imagini intime în mod licit, dar le-a transmis ilegal – și anume, fără consimțământul victimei.</w:t>
      </w:r>
    </w:p>
    <w:p w:rsidR="0021702B" w:rsidRPr="00F00DCE" w:rsidRDefault="0094597A" w:rsidP="00F00DCE">
      <w:pPr>
        <w:pStyle w:val="JuPara"/>
        <w:rPr>
          <w:rStyle w:val="JuParaChar"/>
        </w:rPr>
      </w:pPr>
      <w:r>
        <w:fldChar w:fldCharType="begin"/>
      </w:r>
      <w:r>
        <w:instrText xml:space="preserve"> SEQ level0 \*arabic \* MERGEFORMAT </w:instrText>
      </w:r>
      <w:r>
        <w:fldChar w:fldCharType="separate"/>
      </w:r>
      <w:r>
        <w:rPr>
          <w:noProof/>
        </w:rPr>
        <w:t>130</w:t>
      </w:r>
      <w:r>
        <w:rPr>
          <w:noProof/>
        </w:rPr>
        <w:fldChar w:fldCharType="end"/>
      </w:r>
      <w:r w:rsidR="00074B99">
        <w:t>.</w:t>
      </w:r>
      <w:r w:rsidR="00B3763A">
        <w:t xml:space="preserve"> </w:t>
      </w:r>
      <w:r w:rsidR="00074B99">
        <w:rPr>
          <w:rStyle w:val="JuParaChar"/>
        </w:rPr>
        <w:t xml:space="preserve">Se pare că reclamanta a recunoscut că art. 226 C. </w:t>
      </w:r>
      <w:proofErr w:type="spellStart"/>
      <w:r w:rsidR="00074B99">
        <w:rPr>
          <w:rStyle w:val="JuParaChar"/>
        </w:rPr>
        <w:t>pen</w:t>
      </w:r>
      <w:proofErr w:type="spellEnd"/>
      <w:r w:rsidR="00074B99">
        <w:rPr>
          <w:rStyle w:val="JuParaChar"/>
        </w:rPr>
        <w:t>. ar fi putut, cel puțin teoretic, să-i ofere o anumită protecție (</w:t>
      </w:r>
      <w:r w:rsidR="00074B99">
        <w:rPr>
          <w:rStyle w:val="JuParaChar"/>
          <w:i/>
          <w:iCs/>
        </w:rPr>
        <w:t>supra</w:t>
      </w:r>
      <w:r w:rsidR="00074B99">
        <w:rPr>
          <w:rStyle w:val="JuParaChar"/>
        </w:rPr>
        <w:t xml:space="preserve">, pct. </w:t>
      </w:r>
      <w:r w:rsidR="00074B99" w:rsidRPr="00F00DCE">
        <w:rPr>
          <w:rStyle w:val="JuParaChar"/>
        </w:rPr>
        <w:fldChar w:fldCharType="begin"/>
      </w:r>
      <w:r w:rsidR="00074B99" w:rsidRPr="00F00DCE">
        <w:rPr>
          <w:rStyle w:val="JuParaChar"/>
        </w:rPr>
        <w:instrText xml:space="preserve"> REF paragraph00172 \h  \* CharFormat  \* MERGEFORMAT </w:instrText>
      </w:r>
      <w:r w:rsidR="00074B99" w:rsidRPr="00F00DCE">
        <w:rPr>
          <w:rStyle w:val="JuParaChar"/>
        </w:rPr>
      </w:r>
      <w:r w:rsidR="00074B99" w:rsidRPr="00F00DCE">
        <w:rPr>
          <w:rStyle w:val="JuParaChar"/>
        </w:rPr>
        <w:fldChar w:fldCharType="separate"/>
      </w:r>
      <w:r w:rsidRPr="0094597A">
        <w:rPr>
          <w:rStyle w:val="JuParaChar"/>
        </w:rPr>
        <w:t>102</w:t>
      </w:r>
      <w:r w:rsidR="00074B99" w:rsidRPr="00F00DCE">
        <w:rPr>
          <w:rStyle w:val="JuParaChar"/>
        </w:rPr>
        <w:fldChar w:fldCharType="end"/>
      </w:r>
      <w:r w:rsidR="00074B99">
        <w:rPr>
          <w:rStyle w:val="JuParaChar"/>
        </w:rPr>
        <w:t xml:space="preserve">). În același timp, </w:t>
      </w:r>
      <w:r w:rsidR="00074B99">
        <w:t xml:space="preserve">Guvernul a susținut că </w:t>
      </w:r>
      <w:r w:rsidR="00074B99">
        <w:rPr>
          <w:rStyle w:val="JuParaChar"/>
        </w:rPr>
        <w:t xml:space="preserve">art. 226 alin. (2) C. </w:t>
      </w:r>
      <w:proofErr w:type="spellStart"/>
      <w:r w:rsidR="00074B99">
        <w:rPr>
          <w:rStyle w:val="JuParaChar"/>
        </w:rPr>
        <w:t>pen</w:t>
      </w:r>
      <w:proofErr w:type="spellEnd"/>
      <w:r w:rsidR="00074B99">
        <w:rPr>
          <w:rStyle w:val="JuParaChar"/>
        </w:rPr>
        <w:t>., în interpretarea din decizia ÎCCJ din 24 iunie 2021 (</w:t>
      </w:r>
      <w:r w:rsidR="00074B99">
        <w:rPr>
          <w:rStyle w:val="JuParaChar"/>
          <w:i/>
          <w:iCs/>
        </w:rPr>
        <w:t>supra</w:t>
      </w:r>
      <w:r w:rsidR="00074B99">
        <w:rPr>
          <w:rStyle w:val="JuParaChar"/>
        </w:rPr>
        <w:t xml:space="preserve">, pct. </w:t>
      </w:r>
      <w:r w:rsidR="00074B99" w:rsidRPr="00F00DCE">
        <w:rPr>
          <w:rStyle w:val="JuParaChar"/>
        </w:rPr>
        <w:fldChar w:fldCharType="begin"/>
      </w:r>
      <w:r w:rsidR="00074B99" w:rsidRPr="00F00DCE">
        <w:rPr>
          <w:rStyle w:val="JuParaChar"/>
        </w:rPr>
        <w:instrText xml:space="preserve"> REF paragraph00152 \h  \* CharFormat  \* MERGEFORMAT </w:instrText>
      </w:r>
      <w:r w:rsidR="00074B99" w:rsidRPr="00F00DCE">
        <w:rPr>
          <w:rStyle w:val="JuParaChar"/>
        </w:rPr>
      </w:r>
      <w:r w:rsidR="00074B99" w:rsidRPr="00F00DCE">
        <w:rPr>
          <w:rStyle w:val="JuParaChar"/>
        </w:rPr>
        <w:fldChar w:fldCharType="separate"/>
      </w:r>
      <w:r w:rsidRPr="0094597A">
        <w:rPr>
          <w:rStyle w:val="JuParaChar"/>
        </w:rPr>
        <w:t>84</w:t>
      </w:r>
      <w:r w:rsidR="00074B99" w:rsidRPr="00F00DCE">
        <w:rPr>
          <w:rStyle w:val="JuParaChar"/>
        </w:rPr>
        <w:fldChar w:fldCharType="end"/>
      </w:r>
      <w:r w:rsidR="00074B99">
        <w:rPr>
          <w:rStyle w:val="JuParaChar"/>
        </w:rPr>
        <w:t>-</w:t>
      </w:r>
      <w:r w:rsidR="00074B99" w:rsidRPr="00F00DCE">
        <w:rPr>
          <w:rStyle w:val="JuParaChar"/>
        </w:rPr>
        <w:fldChar w:fldCharType="begin"/>
      </w:r>
      <w:r w:rsidR="00074B99" w:rsidRPr="00F00DCE">
        <w:rPr>
          <w:rStyle w:val="JuParaChar"/>
        </w:rPr>
        <w:instrText xml:space="preserve"> REF paragraph00085 \h  \* CharFormat </w:instrText>
      </w:r>
      <w:r w:rsidR="00074B99" w:rsidRPr="00F00DCE">
        <w:rPr>
          <w:rStyle w:val="JuParaChar"/>
        </w:rPr>
      </w:r>
      <w:r w:rsidR="00074B99" w:rsidRPr="00F00DCE">
        <w:rPr>
          <w:rStyle w:val="JuParaChar"/>
        </w:rPr>
        <w:fldChar w:fldCharType="separate"/>
      </w:r>
      <w:r w:rsidRPr="0094597A">
        <w:rPr>
          <w:rStyle w:val="JuParaChar"/>
        </w:rPr>
        <w:t>85</w:t>
      </w:r>
      <w:r w:rsidR="00074B99" w:rsidRPr="00F00DCE">
        <w:rPr>
          <w:rStyle w:val="JuParaChar"/>
        </w:rPr>
        <w:fldChar w:fldCharType="end"/>
      </w:r>
      <w:r w:rsidR="00074B99">
        <w:rPr>
          <w:rStyle w:val="JuParaChar"/>
        </w:rPr>
        <w:t xml:space="preserve">), oferea o protecție efectivă în ceea ce privește violența online împotriva femeilor – în special, interzicerea și incriminarea difuzării neconsensuale a imaginilor intime obținute în mod licit de făptuitor și amenințarea cu aceasta. Decizia menționată a clarificat că art. 226 alin. (2) C. </w:t>
      </w:r>
      <w:proofErr w:type="spellStart"/>
      <w:r w:rsidR="00074B99">
        <w:rPr>
          <w:rStyle w:val="JuParaChar"/>
        </w:rPr>
        <w:t>pen</w:t>
      </w:r>
      <w:proofErr w:type="spellEnd"/>
      <w:r w:rsidR="00074B99">
        <w:rPr>
          <w:rStyle w:val="JuParaChar"/>
        </w:rPr>
        <w:t>. este aplicabil pentru circumstanțe care seamănă cu cele din cauza reclamantei (</w:t>
      </w:r>
      <w:r w:rsidR="00074B99">
        <w:rPr>
          <w:rStyle w:val="JuParaChar"/>
          <w:i/>
          <w:iCs/>
        </w:rPr>
        <w:t>supra</w:t>
      </w:r>
      <w:r w:rsidR="00074B99">
        <w:rPr>
          <w:rStyle w:val="JuParaChar"/>
        </w:rPr>
        <w:t xml:space="preserve">, pct. </w:t>
      </w:r>
      <w:r w:rsidR="00074B99" w:rsidRPr="00F00DCE">
        <w:rPr>
          <w:rStyle w:val="JuParaChar"/>
        </w:rPr>
        <w:fldChar w:fldCharType="begin"/>
      </w:r>
      <w:r w:rsidR="00074B99" w:rsidRPr="00F00DCE">
        <w:rPr>
          <w:rStyle w:val="JuParaChar"/>
        </w:rPr>
        <w:instrText xml:space="preserve"> REF paragraph00090 \h  \* CharFormat  \* MERGEFORMAT </w:instrText>
      </w:r>
      <w:r w:rsidR="00074B99" w:rsidRPr="00F00DCE">
        <w:rPr>
          <w:rStyle w:val="JuParaChar"/>
        </w:rPr>
      </w:r>
      <w:r w:rsidR="00074B99" w:rsidRPr="00F00DCE">
        <w:rPr>
          <w:rStyle w:val="JuParaChar"/>
        </w:rPr>
        <w:fldChar w:fldCharType="separate"/>
      </w:r>
      <w:r w:rsidRPr="0094597A">
        <w:rPr>
          <w:rStyle w:val="JuParaChar"/>
        </w:rPr>
        <w:t>108</w:t>
      </w:r>
      <w:r w:rsidR="00074B99" w:rsidRPr="00F00DCE">
        <w:rPr>
          <w:rStyle w:val="JuParaChar"/>
        </w:rPr>
        <w:fldChar w:fldCharType="end"/>
      </w:r>
      <w:r w:rsidR="00074B99">
        <w:rPr>
          <w:rStyle w:val="JuParaChar"/>
        </w:rPr>
        <w:t>).</w:t>
      </w:r>
    </w:p>
    <w:p w:rsidR="0021702B" w:rsidRPr="00F00DCE" w:rsidRDefault="00074B99" w:rsidP="00F00DCE">
      <w:pPr>
        <w:pStyle w:val="JuPara"/>
        <w:rPr>
          <w:rStyle w:val="JuParaChar"/>
        </w:rPr>
      </w:pPr>
      <w:r w:rsidRPr="00F00DCE">
        <w:rPr>
          <w:rStyle w:val="JuParaChar"/>
        </w:rPr>
        <w:fldChar w:fldCharType="begin"/>
      </w:r>
      <w:r w:rsidRPr="00F00DCE">
        <w:rPr>
          <w:rStyle w:val="JuParaChar"/>
        </w:rPr>
        <w:instrText xml:space="preserve"> SEQ level0 \*arabic \* MERGEFORMAT </w:instrText>
      </w:r>
      <w:r w:rsidRPr="00F00DCE">
        <w:rPr>
          <w:rStyle w:val="JuParaChar"/>
        </w:rPr>
        <w:fldChar w:fldCharType="separate"/>
      </w:r>
      <w:r w:rsidR="0094597A">
        <w:rPr>
          <w:rStyle w:val="JuParaChar"/>
          <w:noProof/>
        </w:rPr>
        <w:t>131</w:t>
      </w:r>
      <w:r w:rsidRPr="00F00DCE">
        <w:rPr>
          <w:rStyle w:val="JuParaChar"/>
        </w:rPr>
        <w:fldChar w:fldCharType="end"/>
      </w:r>
      <w:r>
        <w:rPr>
          <w:rStyle w:val="JuParaChar"/>
        </w:rPr>
        <w:t>.</w:t>
      </w:r>
      <w:r w:rsidR="00B3763A">
        <w:rPr>
          <w:rStyle w:val="JuParaChar"/>
        </w:rPr>
        <w:t xml:space="preserve"> </w:t>
      </w:r>
      <w:r>
        <w:rPr>
          <w:rStyle w:val="JuParaChar"/>
        </w:rPr>
        <w:t xml:space="preserve">Este adevărat că decizia ÎCCJ din 24 iunie 2021 a validat punctul de vedere al Guvernului cu efect obligatoriu. Cu toate acestea, a avut doar un efect </w:t>
      </w:r>
      <w:r>
        <w:rPr>
          <w:rStyle w:val="JuParaChar"/>
          <w:i/>
        </w:rPr>
        <w:t xml:space="preserve">ex </w:t>
      </w:r>
      <w:proofErr w:type="spellStart"/>
      <w:r>
        <w:rPr>
          <w:rStyle w:val="JuParaChar"/>
          <w:i/>
        </w:rPr>
        <w:t>nunc</w:t>
      </w:r>
      <w:proofErr w:type="spellEnd"/>
      <w:r>
        <w:rPr>
          <w:rStyle w:val="JuParaChar"/>
        </w:rPr>
        <w:t xml:space="preserve"> și a fost pronunțată la mai mult de șase luni după ce s-a finalizat procedura în cauza reclamantei prin hotărâre judecătorească definitivă (</w:t>
      </w:r>
      <w:r>
        <w:rPr>
          <w:rStyle w:val="JuParaChar"/>
          <w:i/>
          <w:iCs/>
        </w:rPr>
        <w:t>supra</w:t>
      </w:r>
      <w:r>
        <w:rPr>
          <w:rStyle w:val="JuParaChar"/>
        </w:rPr>
        <w:t xml:space="preserve">, pct. </w:t>
      </w:r>
      <w:r w:rsidRPr="00F00DCE">
        <w:rPr>
          <w:rStyle w:val="JuParaChar"/>
        </w:rPr>
        <w:fldChar w:fldCharType="begin"/>
      </w:r>
      <w:r w:rsidRPr="00F00DCE">
        <w:rPr>
          <w:rStyle w:val="JuParaChar"/>
        </w:rPr>
        <w:instrText xml:space="preserve"> REF paragraph00053 \h  \* CharFormat  \* MERGEFORMAT </w:instrText>
      </w:r>
      <w:r w:rsidRPr="00F00DCE">
        <w:rPr>
          <w:rStyle w:val="JuParaChar"/>
        </w:rPr>
      </w:r>
      <w:r w:rsidRPr="00F00DCE">
        <w:rPr>
          <w:rStyle w:val="JuParaChar"/>
        </w:rPr>
        <w:fldChar w:fldCharType="separate"/>
      </w:r>
      <w:r w:rsidR="0094597A" w:rsidRPr="0094597A">
        <w:rPr>
          <w:rStyle w:val="JuParaChar"/>
        </w:rPr>
        <w:t>57</w:t>
      </w:r>
      <w:r w:rsidRPr="00F00DCE">
        <w:rPr>
          <w:rStyle w:val="JuParaChar"/>
        </w:rPr>
        <w:fldChar w:fldCharType="end"/>
      </w:r>
      <w:r>
        <w:rPr>
          <w:rStyle w:val="JuParaChar"/>
        </w:rPr>
        <w:noBreakHyphen/>
      </w:r>
      <w:r w:rsidRPr="00F00DCE">
        <w:rPr>
          <w:rStyle w:val="JuParaChar"/>
        </w:rPr>
        <w:fldChar w:fldCharType="begin"/>
      </w:r>
      <w:r w:rsidRPr="00F00DCE">
        <w:rPr>
          <w:rStyle w:val="JuParaChar"/>
        </w:rPr>
        <w:instrText xml:space="preserve"> REF paragraph00098 \h  \* CharFormat  \* MERGEFORMAT </w:instrText>
      </w:r>
      <w:r w:rsidRPr="00F00DCE">
        <w:rPr>
          <w:rStyle w:val="JuParaChar"/>
        </w:rPr>
      </w:r>
      <w:r w:rsidRPr="00F00DCE">
        <w:rPr>
          <w:rStyle w:val="JuParaChar"/>
        </w:rPr>
        <w:fldChar w:fldCharType="separate"/>
      </w:r>
      <w:r w:rsidR="0094597A" w:rsidRPr="0094597A">
        <w:rPr>
          <w:rStyle w:val="JuParaChar"/>
        </w:rPr>
        <w:t>58</w:t>
      </w:r>
      <w:r w:rsidRPr="00F00DCE">
        <w:rPr>
          <w:rStyle w:val="JuParaChar"/>
        </w:rPr>
        <w:fldChar w:fldCharType="end"/>
      </w:r>
      <w:r>
        <w:rPr>
          <w:rStyle w:val="JuParaChar"/>
        </w:rPr>
        <w:t>).</w:t>
      </w:r>
    </w:p>
    <w:p w:rsidR="0021702B" w:rsidRPr="00F00DCE" w:rsidRDefault="00074B99" w:rsidP="00F00DCE">
      <w:pPr>
        <w:pStyle w:val="JuPara"/>
      </w:pPr>
      <w:r w:rsidRPr="00F00DCE">
        <w:rPr>
          <w:rStyle w:val="JuParaChar"/>
        </w:rPr>
        <w:lastRenderedPageBreak/>
        <w:fldChar w:fldCharType="begin"/>
      </w:r>
      <w:r w:rsidRPr="00F00DCE">
        <w:rPr>
          <w:rStyle w:val="JuParaChar"/>
        </w:rPr>
        <w:instrText xml:space="preserve"> SEQ level0 \*arabic \* MERGEFORMAT </w:instrText>
      </w:r>
      <w:r w:rsidRPr="00F00DCE">
        <w:rPr>
          <w:rStyle w:val="JuParaChar"/>
        </w:rPr>
        <w:fldChar w:fldCharType="separate"/>
      </w:r>
      <w:r w:rsidR="0094597A">
        <w:rPr>
          <w:rStyle w:val="JuParaChar"/>
          <w:noProof/>
        </w:rPr>
        <w:t>132</w:t>
      </w:r>
      <w:r w:rsidRPr="00F00DCE">
        <w:rPr>
          <w:rStyle w:val="JuParaChar"/>
        </w:rPr>
        <w:fldChar w:fldCharType="end"/>
      </w:r>
      <w:r>
        <w:rPr>
          <w:rStyle w:val="JuParaChar"/>
        </w:rPr>
        <w:t>.</w:t>
      </w:r>
      <w:r w:rsidR="00B3763A">
        <w:rPr>
          <w:rStyle w:val="JuParaChar"/>
        </w:rPr>
        <w:t xml:space="preserve"> </w:t>
      </w:r>
      <w:r>
        <w:rPr>
          <w:rStyle w:val="JuParaChar"/>
        </w:rPr>
        <w:t xml:space="preserve">Curtea reține argumentul Guvernului că modificările aduse art. 226 C. </w:t>
      </w:r>
      <w:proofErr w:type="spellStart"/>
      <w:r>
        <w:rPr>
          <w:rStyle w:val="JuParaChar"/>
        </w:rPr>
        <w:t>pen</w:t>
      </w:r>
      <w:proofErr w:type="spellEnd"/>
      <w:r>
        <w:rPr>
          <w:rStyle w:val="JuParaChar"/>
        </w:rPr>
        <w:t xml:space="preserve">. prin Legea nr. 171/2023 </w:t>
      </w:r>
      <w:r>
        <w:t xml:space="preserve">acordau o protecție adecvată victimelor „pornografiei din răzbunare”, precum reclamanta pentru motivele descrise </w:t>
      </w:r>
      <w:r>
        <w:rPr>
          <w:i/>
          <w:iCs/>
        </w:rPr>
        <w:t>supra</w:t>
      </w:r>
      <w:r>
        <w:t xml:space="preserve">, pct. </w:t>
      </w:r>
      <w:r w:rsidRPr="00F00DCE">
        <w:fldChar w:fldCharType="begin"/>
      </w:r>
      <w:r w:rsidRPr="00F00DCE">
        <w:instrText xml:space="preserve"> REF paragraph00090 \h  \* CharFormat </w:instrText>
      </w:r>
      <w:r w:rsidRPr="00F00DCE">
        <w:fldChar w:fldCharType="separate"/>
      </w:r>
      <w:r w:rsidR="0094597A">
        <w:t>108</w:t>
      </w:r>
      <w:r w:rsidRPr="00F00DCE">
        <w:fldChar w:fldCharType="end"/>
      </w:r>
      <w:r>
        <w:t>. Totuși, chiar dacă acest argument ar putea fi acceptat (</w:t>
      </w:r>
      <w:r>
        <w:rPr>
          <w:i/>
          <w:iCs/>
        </w:rPr>
        <w:t>supra</w:t>
      </w:r>
      <w:r>
        <w:t xml:space="preserve">, pct. </w:t>
      </w:r>
      <w:r w:rsidRPr="00F00DCE">
        <w:fldChar w:fldCharType="begin"/>
      </w:r>
      <w:r w:rsidRPr="00F00DCE">
        <w:instrText xml:space="preserve"> REF paragraph00147 \h  \* CharFormat  \* MERGEFORMAT </w:instrText>
      </w:r>
      <w:r w:rsidRPr="00F00DCE">
        <w:fldChar w:fldCharType="separate"/>
      </w:r>
      <w:r w:rsidR="0094597A">
        <w:t>81</w:t>
      </w:r>
      <w:r w:rsidRPr="00F00DCE">
        <w:fldChar w:fldCharType="end"/>
      </w:r>
      <w:r>
        <w:t>-</w:t>
      </w:r>
      <w:r w:rsidRPr="00F00DCE">
        <w:fldChar w:fldCharType="begin"/>
      </w:r>
      <w:r w:rsidRPr="00F00DCE">
        <w:instrText xml:space="preserve"> REF paragraph00149 \h  \* CharFormat </w:instrText>
      </w:r>
      <w:r w:rsidRPr="00F00DCE">
        <w:fldChar w:fldCharType="separate"/>
      </w:r>
      <w:r w:rsidR="0094597A">
        <w:t>83</w:t>
      </w:r>
      <w:r w:rsidRPr="00F00DCE">
        <w:fldChar w:fldCharType="end"/>
      </w:r>
      <w:r>
        <w:t xml:space="preserve">) – în pofida aserțiunilor reclamantei reținute </w:t>
      </w:r>
      <w:r>
        <w:rPr>
          <w:i/>
          <w:iCs/>
        </w:rPr>
        <w:t>supra</w:t>
      </w:r>
      <w:r>
        <w:t xml:space="preserve">, pct. </w:t>
      </w:r>
      <w:r w:rsidRPr="00F00DCE">
        <w:fldChar w:fldCharType="begin"/>
      </w:r>
      <w:r w:rsidRPr="00F00DCE">
        <w:instrText xml:space="preserve"> REF paragraph00172 \h  \* CharFormat </w:instrText>
      </w:r>
      <w:r w:rsidRPr="00F00DCE">
        <w:fldChar w:fldCharType="separate"/>
      </w:r>
      <w:r w:rsidR="0094597A">
        <w:t>102</w:t>
      </w:r>
      <w:r w:rsidRPr="00F00DCE">
        <w:fldChar w:fldCharType="end"/>
      </w:r>
      <w:r>
        <w:t xml:space="preserve"> – Curtea observă că modificările în chestiune au intrat în vigoare abia în iunie 2023 (adică la oarecare timp după ce toate procedurile penale cu privire la cauza reclamantei s-au finalizat prin hotărâri judecătorești definitive) și, prin urmare, nu ar fi putut avea legătură cu cauza sa.</w:t>
      </w:r>
    </w:p>
    <w:p w:rsidR="0021702B" w:rsidRPr="00F00DCE" w:rsidRDefault="0094597A" w:rsidP="00F00DCE">
      <w:pPr>
        <w:pStyle w:val="JuPara"/>
      </w:pPr>
      <w:r>
        <w:fldChar w:fldCharType="begin"/>
      </w:r>
      <w:r>
        <w:instrText xml:space="preserve"> SEQ level0 \*arabic \*</w:instrText>
      </w:r>
      <w:r>
        <w:instrText xml:space="preserve"> MERGEFORMAT </w:instrText>
      </w:r>
      <w:r>
        <w:fldChar w:fldCharType="separate"/>
      </w:r>
      <w:r>
        <w:rPr>
          <w:noProof/>
        </w:rPr>
        <w:t>133</w:t>
      </w:r>
      <w:r>
        <w:rPr>
          <w:noProof/>
        </w:rPr>
        <w:fldChar w:fldCharType="end"/>
      </w:r>
      <w:r w:rsidR="00074B99">
        <w:t>.</w:t>
      </w:r>
      <w:r w:rsidR="00B3763A">
        <w:t xml:space="preserve"> </w:t>
      </w:r>
      <w:r w:rsidR="00074B99">
        <w:t xml:space="preserve">Având în vedere circumstanțele </w:t>
      </w:r>
      <w:r w:rsidR="00B0262F">
        <w:t>din cauză</w:t>
      </w:r>
      <w:r w:rsidR="00074B99">
        <w:t xml:space="preserve">, Curtea concluzionează că dispozițiile art. 226 C. </w:t>
      </w:r>
      <w:proofErr w:type="spellStart"/>
      <w:r w:rsidR="00074B99">
        <w:t>pen</w:t>
      </w:r>
      <w:proofErr w:type="spellEnd"/>
      <w:r w:rsidR="00074B99">
        <w:t xml:space="preserve">., în forma la momentul faptelor, nu oferă reclamantei o protecție adecvată în practică împotriva </w:t>
      </w:r>
      <w:r w:rsidR="00B0262F">
        <w:t>faptelor</w:t>
      </w:r>
      <w:r w:rsidR="00074B99">
        <w:t xml:space="preserve"> specifice ale fostului său partener.</w:t>
      </w:r>
    </w:p>
    <w:p w:rsidR="0021702B" w:rsidRPr="00F00DCE" w:rsidRDefault="0094597A" w:rsidP="00F00DCE">
      <w:pPr>
        <w:pStyle w:val="JuPara"/>
      </w:pPr>
      <w:r>
        <w:fldChar w:fldCharType="begin"/>
      </w:r>
      <w:r>
        <w:instrText xml:space="preserve"> SEQ level0 \*arabic \* MERGEFORMAT </w:instrText>
      </w:r>
      <w:r>
        <w:fldChar w:fldCharType="separate"/>
      </w:r>
      <w:r>
        <w:rPr>
          <w:noProof/>
        </w:rPr>
        <w:t>134</w:t>
      </w:r>
      <w:r>
        <w:rPr>
          <w:noProof/>
        </w:rPr>
        <w:fldChar w:fldCharType="end"/>
      </w:r>
      <w:r w:rsidR="00074B99">
        <w:t>.</w:t>
      </w:r>
      <w:r w:rsidR="00B3763A">
        <w:t xml:space="preserve"> </w:t>
      </w:r>
      <w:r w:rsidR="00074B99">
        <w:t xml:space="preserve">Curtea a reținut și că Guvernul nu a sugerat alte norme de drept penal care ar fi putut să o protejeze adecvat pe reclamantă împotriva </w:t>
      </w:r>
      <w:r w:rsidR="00B0262F">
        <w:t>faptelor</w:t>
      </w:r>
      <w:r w:rsidR="00074B99">
        <w:t xml:space="preserve"> lui V.C.A. Totuși, Curtea va aprecia dacă dispozițiile, altele decât art. 226, invocate în cursul procedurii interne (</w:t>
      </w:r>
      <w:r w:rsidR="00074B99">
        <w:rPr>
          <w:i/>
          <w:iCs/>
        </w:rPr>
        <w:t>supra</w:t>
      </w:r>
      <w:r w:rsidR="00074B99">
        <w:t xml:space="preserve">, pct. </w:t>
      </w:r>
      <w:r w:rsidR="00074B99" w:rsidRPr="00F00DCE">
        <w:fldChar w:fldCharType="begin"/>
      </w:r>
      <w:r w:rsidR="00074B99" w:rsidRPr="00F00DCE">
        <w:instrText xml:space="preserve"> REF paragraph00011 \h  \* CharFormat </w:instrText>
      </w:r>
      <w:r w:rsidR="00074B99" w:rsidRPr="00F00DCE">
        <w:fldChar w:fldCharType="separate"/>
      </w:r>
      <w:r>
        <w:t>11</w:t>
      </w:r>
      <w:r w:rsidR="00074B99" w:rsidRPr="00F00DCE">
        <w:fldChar w:fldCharType="end"/>
      </w:r>
      <w:r w:rsidR="00074B99">
        <w:t xml:space="preserve">, </w:t>
      </w:r>
      <w:r w:rsidR="00074B99" w:rsidRPr="00F00DCE">
        <w:fldChar w:fldCharType="begin"/>
      </w:r>
      <w:r w:rsidR="00074B99" w:rsidRPr="00F00DCE">
        <w:instrText xml:space="preserve"> REF paragraph00017 \h  \* CharFormat </w:instrText>
      </w:r>
      <w:r w:rsidR="00074B99" w:rsidRPr="00F00DCE">
        <w:fldChar w:fldCharType="separate"/>
      </w:r>
      <w:r>
        <w:t>16</w:t>
      </w:r>
      <w:r w:rsidR="00074B99" w:rsidRPr="00F00DCE">
        <w:fldChar w:fldCharType="end"/>
      </w:r>
      <w:r w:rsidR="00074B99">
        <w:t xml:space="preserve">, </w:t>
      </w:r>
      <w:r w:rsidR="00074B99" w:rsidRPr="00F00DCE">
        <w:fldChar w:fldCharType="begin"/>
      </w:r>
      <w:r w:rsidR="00074B99" w:rsidRPr="00F00DCE">
        <w:instrText xml:space="preserve"> REF paragraph00062 \h  \* CharFormat  \* MERGEFORMAT </w:instrText>
      </w:r>
      <w:r w:rsidR="00074B99" w:rsidRPr="00F00DCE">
        <w:fldChar w:fldCharType="separate"/>
      </w:r>
      <w:r>
        <w:t>36</w:t>
      </w:r>
      <w:r w:rsidR="00074B99" w:rsidRPr="00F00DCE">
        <w:fldChar w:fldCharType="end"/>
      </w:r>
      <w:r w:rsidR="00074B99">
        <w:t>-</w:t>
      </w:r>
      <w:r w:rsidR="00074B99" w:rsidRPr="00F00DCE">
        <w:fldChar w:fldCharType="begin"/>
      </w:r>
      <w:r w:rsidR="00074B99" w:rsidRPr="00F00DCE">
        <w:instrText xml:space="preserve"> REF paragraph00041 \h  \* CharFormat  \* MERGEFORMAT </w:instrText>
      </w:r>
      <w:r w:rsidR="00074B99" w:rsidRPr="00F00DCE">
        <w:fldChar w:fldCharType="separate"/>
      </w:r>
      <w:r w:rsidRPr="0094597A">
        <w:t>45</w:t>
      </w:r>
      <w:r w:rsidR="00074B99" w:rsidRPr="00F00DCE">
        <w:fldChar w:fldCharType="end"/>
      </w:r>
      <w:r w:rsidR="00074B99">
        <w:t xml:space="preserve">, </w:t>
      </w:r>
      <w:r w:rsidR="00074B99" w:rsidRPr="00F00DCE">
        <w:fldChar w:fldCharType="begin"/>
      </w:r>
      <w:r w:rsidR="00074B99" w:rsidRPr="00F00DCE">
        <w:instrText xml:space="preserve"> REF paragraph00053 \h  \* CharFormat  \* MERGEFORMAT </w:instrText>
      </w:r>
      <w:r w:rsidR="00074B99" w:rsidRPr="00F00DCE">
        <w:fldChar w:fldCharType="separate"/>
      </w:r>
      <w:r>
        <w:t>57</w:t>
      </w:r>
      <w:r w:rsidR="00074B99" w:rsidRPr="00F00DCE">
        <w:fldChar w:fldCharType="end"/>
      </w:r>
      <w:r w:rsidR="00074B99">
        <w:t>-</w:t>
      </w:r>
      <w:r w:rsidR="00074B99" w:rsidRPr="00F00DCE">
        <w:fldChar w:fldCharType="begin"/>
      </w:r>
      <w:r w:rsidR="00074B99" w:rsidRPr="00F00DCE">
        <w:instrText xml:space="preserve"> REF paragraph00101 \h  \* CharFormat  \* MERGEFORMAT </w:instrText>
      </w:r>
      <w:r w:rsidR="00074B99" w:rsidRPr="00F00DCE">
        <w:fldChar w:fldCharType="separate"/>
      </w:r>
      <w:r>
        <w:t>60</w:t>
      </w:r>
      <w:r w:rsidR="00074B99" w:rsidRPr="00F00DCE">
        <w:fldChar w:fldCharType="end"/>
      </w:r>
      <w:r w:rsidR="00074B99">
        <w:t xml:space="preserve"> și </w:t>
      </w:r>
      <w:r w:rsidR="00074B99" w:rsidRPr="00F00DCE">
        <w:fldChar w:fldCharType="begin"/>
      </w:r>
      <w:r w:rsidR="00074B99" w:rsidRPr="00F00DCE">
        <w:instrText xml:space="preserve"> REF paragraph00102 \h  \* CharFormat  \* MERGEFORMAT </w:instrText>
      </w:r>
      <w:r w:rsidR="00074B99" w:rsidRPr="00F00DCE">
        <w:fldChar w:fldCharType="separate"/>
      </w:r>
      <w:r>
        <w:t>62</w:t>
      </w:r>
      <w:r w:rsidR="00074B99" w:rsidRPr="00F00DCE">
        <w:fldChar w:fldCharType="end"/>
      </w:r>
      <w:r w:rsidR="00074B99">
        <w:t>-</w:t>
      </w:r>
      <w:r w:rsidR="00074B99" w:rsidRPr="00F00DCE">
        <w:fldChar w:fldCharType="begin"/>
      </w:r>
      <w:r w:rsidR="00074B99" w:rsidRPr="00F00DCE">
        <w:instrText xml:space="preserve"> REF paragraph00125 \h  \* CharFormat  \* MERGEFORMAT </w:instrText>
      </w:r>
      <w:r w:rsidR="00074B99" w:rsidRPr="00F00DCE">
        <w:fldChar w:fldCharType="separate"/>
      </w:r>
      <w:r>
        <w:t>70</w:t>
      </w:r>
      <w:r w:rsidR="00074B99" w:rsidRPr="00F00DCE">
        <w:fldChar w:fldCharType="end"/>
      </w:r>
      <w:r w:rsidR="00074B99">
        <w:t>), au fost în măsură să ofere reclamantei o protecție efectivă.</w:t>
      </w:r>
    </w:p>
    <w:p w:rsidR="0021702B" w:rsidRPr="00F00DCE" w:rsidRDefault="0094597A" w:rsidP="00F00DCE">
      <w:pPr>
        <w:pStyle w:val="JuPara"/>
      </w:pPr>
      <w:r>
        <w:fldChar w:fldCharType="begin"/>
      </w:r>
      <w:r>
        <w:instrText xml:space="preserve"> SEQ level0 \*arabic \* MERGEFORMAT </w:instrText>
      </w:r>
      <w:r>
        <w:fldChar w:fldCharType="separate"/>
      </w:r>
      <w:r>
        <w:rPr>
          <w:noProof/>
        </w:rPr>
        <w:t>135</w:t>
      </w:r>
      <w:r>
        <w:rPr>
          <w:noProof/>
        </w:rPr>
        <w:fldChar w:fldCharType="end"/>
      </w:r>
      <w:r w:rsidR="00074B99">
        <w:t>.</w:t>
      </w:r>
      <w:r w:rsidR="00B3763A">
        <w:t xml:space="preserve"> </w:t>
      </w:r>
      <w:r w:rsidR="00074B99">
        <w:t>Cu privire la infracțiunile de amenințare și hărțuire sau de instigare la hărțuire, opinia autorităților naționale a fost, de asemenea, că faptele lui V.C.A. nu conțineau elementele constitutive ale unor astfel de infracțiuni (</w:t>
      </w:r>
      <w:r w:rsidR="00074B99">
        <w:rPr>
          <w:i/>
          <w:iCs/>
        </w:rPr>
        <w:t>supra</w:t>
      </w:r>
      <w:r w:rsidR="00074B99">
        <w:t xml:space="preserve">, pct. </w:t>
      </w:r>
      <w:r w:rsidR="00074B99" w:rsidRPr="00F00DCE">
        <w:fldChar w:fldCharType="begin"/>
      </w:r>
      <w:r w:rsidR="00074B99" w:rsidRPr="00F00DCE">
        <w:instrText xml:space="preserve"> REF paragraph00101 \h  \* CharFormat  \* MERGEFORMAT </w:instrText>
      </w:r>
      <w:r w:rsidR="00074B99" w:rsidRPr="00F00DCE">
        <w:fldChar w:fldCharType="separate"/>
      </w:r>
      <w:r>
        <w:t>60</w:t>
      </w:r>
      <w:r w:rsidR="00074B99" w:rsidRPr="00F00DCE">
        <w:fldChar w:fldCharType="end"/>
      </w:r>
      <w:r w:rsidR="00074B99">
        <w:t xml:space="preserve"> și </w:t>
      </w:r>
      <w:r w:rsidR="00074B99" w:rsidRPr="00F00DCE">
        <w:fldChar w:fldCharType="begin"/>
      </w:r>
      <w:r w:rsidR="00074B99" w:rsidRPr="00F00DCE">
        <w:instrText xml:space="preserve"> REF paragraph00147 \h  \* CharFormat  \* MERGEFORMAT </w:instrText>
      </w:r>
      <w:r w:rsidR="00074B99" w:rsidRPr="00F00DCE">
        <w:fldChar w:fldCharType="separate"/>
      </w:r>
      <w:r>
        <w:t>81</w:t>
      </w:r>
      <w:r w:rsidR="00074B99" w:rsidRPr="00F00DCE">
        <w:fldChar w:fldCharType="end"/>
      </w:r>
      <w:r w:rsidR="00074B99">
        <w:t>-</w:t>
      </w:r>
      <w:r w:rsidR="00074B99" w:rsidRPr="00F00DCE">
        <w:fldChar w:fldCharType="begin"/>
      </w:r>
      <w:r w:rsidR="00074B99" w:rsidRPr="00F00DCE">
        <w:instrText xml:space="preserve"> REF paragraph00149 \h  \* CharFormat  \* MERGEFORMAT </w:instrText>
      </w:r>
      <w:r w:rsidR="00074B99" w:rsidRPr="00F00DCE">
        <w:fldChar w:fldCharType="separate"/>
      </w:r>
      <w:r>
        <w:t>83</w:t>
      </w:r>
      <w:r w:rsidR="00074B99" w:rsidRPr="00F00DCE">
        <w:fldChar w:fldCharType="end"/>
      </w:r>
      <w:r w:rsidR="00074B99">
        <w:t>).</w:t>
      </w:r>
    </w:p>
    <w:p w:rsidR="0021702B" w:rsidRPr="00F00DCE" w:rsidRDefault="0094597A" w:rsidP="00F00DCE">
      <w:pPr>
        <w:pStyle w:val="JuPara"/>
      </w:pPr>
      <w:r>
        <w:fldChar w:fldCharType="begin"/>
      </w:r>
      <w:r>
        <w:instrText xml:space="preserve"> SEQ level0 \*arabic \* MERGEFORMAT </w:instrText>
      </w:r>
      <w:r>
        <w:fldChar w:fldCharType="separate"/>
      </w:r>
      <w:r>
        <w:rPr>
          <w:noProof/>
        </w:rPr>
        <w:t>136</w:t>
      </w:r>
      <w:r>
        <w:rPr>
          <w:noProof/>
        </w:rPr>
        <w:fldChar w:fldCharType="end"/>
      </w:r>
      <w:r w:rsidR="00074B99">
        <w:t>.</w:t>
      </w:r>
      <w:r w:rsidR="00B3763A">
        <w:t xml:space="preserve"> </w:t>
      </w:r>
      <w:r w:rsidR="00074B99">
        <w:t xml:space="preserve">Cu privire la infracțiunea de fals informatic, Curtea constată că faptele care constituie elementele constitutive ale infracțiunii în cauză sunt diferite de cele care constituie elementele constitutive ale infracțiunii prevăzute la art. 226 C. </w:t>
      </w:r>
      <w:proofErr w:type="spellStart"/>
      <w:r w:rsidR="00074B99">
        <w:t>pen</w:t>
      </w:r>
      <w:proofErr w:type="spellEnd"/>
      <w:r w:rsidR="00074B99">
        <w:t>. (</w:t>
      </w:r>
      <w:r w:rsidR="00074B99">
        <w:rPr>
          <w:i/>
          <w:iCs/>
        </w:rPr>
        <w:t>supra</w:t>
      </w:r>
      <w:r w:rsidR="00074B99">
        <w:t xml:space="preserve">, pct. </w:t>
      </w:r>
      <w:r w:rsidR="00074B99" w:rsidRPr="00F00DCE">
        <w:fldChar w:fldCharType="begin"/>
      </w:r>
      <w:r w:rsidR="00074B99" w:rsidRPr="00F00DCE">
        <w:instrText xml:space="preserve"> REF paragraph00062 \h  \* CharFormat  \* MERGEFORMAT </w:instrText>
      </w:r>
      <w:r w:rsidR="00074B99" w:rsidRPr="00F00DCE">
        <w:fldChar w:fldCharType="separate"/>
      </w:r>
      <w:r>
        <w:t>36</w:t>
      </w:r>
      <w:r w:rsidR="00074B99" w:rsidRPr="00F00DCE">
        <w:fldChar w:fldCharType="end"/>
      </w:r>
      <w:r w:rsidR="00074B99">
        <w:t>-</w:t>
      </w:r>
      <w:r w:rsidR="00074B99" w:rsidRPr="00F00DCE">
        <w:fldChar w:fldCharType="begin"/>
      </w:r>
      <w:r w:rsidR="00074B99" w:rsidRPr="00F00DCE">
        <w:instrText xml:space="preserve"> REF paragraph00041 \h  \* CharFormat  \* MERGEFORMAT </w:instrText>
      </w:r>
      <w:r w:rsidR="00074B99" w:rsidRPr="00F00DCE">
        <w:fldChar w:fldCharType="separate"/>
      </w:r>
      <w:r w:rsidRPr="0094597A">
        <w:t>45</w:t>
      </w:r>
      <w:r w:rsidR="00074B99" w:rsidRPr="00F00DCE">
        <w:fldChar w:fldCharType="end"/>
      </w:r>
      <w:r w:rsidR="00074B99">
        <w:t xml:space="preserve">, </w:t>
      </w:r>
      <w:r w:rsidR="00074B99" w:rsidRPr="00F00DCE">
        <w:fldChar w:fldCharType="begin"/>
      </w:r>
      <w:r w:rsidR="00074B99" w:rsidRPr="00F00DCE">
        <w:instrText xml:space="preserve"> REF paragraph00053 \h  \* CharFormat  \* MERGEFORMAT </w:instrText>
      </w:r>
      <w:r w:rsidR="00074B99" w:rsidRPr="00F00DCE">
        <w:fldChar w:fldCharType="separate"/>
      </w:r>
      <w:r>
        <w:t>57</w:t>
      </w:r>
      <w:r w:rsidR="00074B99" w:rsidRPr="00F00DCE">
        <w:fldChar w:fldCharType="end"/>
      </w:r>
      <w:r w:rsidR="00074B99">
        <w:t>-</w:t>
      </w:r>
      <w:r w:rsidR="00074B99" w:rsidRPr="00F00DCE">
        <w:fldChar w:fldCharType="begin"/>
      </w:r>
      <w:r w:rsidR="00074B99" w:rsidRPr="00F00DCE">
        <w:instrText xml:space="preserve"> REF paragraph00101 \h  \* CharFormat  \* MERGEFORMAT </w:instrText>
      </w:r>
      <w:r w:rsidR="00074B99" w:rsidRPr="00F00DCE">
        <w:fldChar w:fldCharType="separate"/>
      </w:r>
      <w:r>
        <w:t>60</w:t>
      </w:r>
      <w:r w:rsidR="00074B99" w:rsidRPr="00F00DCE">
        <w:fldChar w:fldCharType="end"/>
      </w:r>
      <w:r w:rsidR="00074B99">
        <w:t xml:space="preserve"> și </w:t>
      </w:r>
      <w:r w:rsidR="00074B99" w:rsidRPr="00F00DCE">
        <w:fldChar w:fldCharType="begin"/>
      </w:r>
      <w:r w:rsidR="00074B99" w:rsidRPr="00F00DCE">
        <w:instrText xml:space="preserve"> REF paragraph00110 \h  \* CharFormat  \* MERGEFORMAT </w:instrText>
      </w:r>
      <w:r w:rsidR="00074B99" w:rsidRPr="00F00DCE">
        <w:fldChar w:fldCharType="separate"/>
      </w:r>
      <w:r>
        <w:t>79</w:t>
      </w:r>
      <w:r w:rsidR="00074B99" w:rsidRPr="00F00DCE">
        <w:fldChar w:fldCharType="end"/>
      </w:r>
      <w:r w:rsidR="00074B99">
        <w:t xml:space="preserve">). Chiar și în ipoteza că infracțiunea prevăzută la art. 325 C. </w:t>
      </w:r>
      <w:proofErr w:type="spellStart"/>
      <w:r w:rsidR="00074B99">
        <w:t>pen</w:t>
      </w:r>
      <w:proofErr w:type="spellEnd"/>
      <w:r w:rsidR="00074B99">
        <w:t>. ar fi putut fi folosită pentru a-l considera pe V.C.A. răspunzător de unele fapte de care este acuzat de către reclamantă (</w:t>
      </w:r>
      <w:r w:rsidR="00074B99">
        <w:rPr>
          <w:i/>
          <w:iCs/>
        </w:rPr>
        <w:t>supra</w:t>
      </w:r>
      <w:r w:rsidR="00074B99">
        <w:t xml:space="preserve">, pct. </w:t>
      </w:r>
      <w:r w:rsidR="00074B99" w:rsidRPr="00F00DCE">
        <w:fldChar w:fldCharType="begin"/>
      </w:r>
      <w:r w:rsidR="00074B99" w:rsidRPr="00F00DCE">
        <w:instrText xml:space="preserve"> REF paragraph00006 \h  \* CharFormat </w:instrText>
      </w:r>
      <w:r w:rsidR="00074B99" w:rsidRPr="00F00DCE">
        <w:fldChar w:fldCharType="separate"/>
      </w:r>
      <w:r>
        <w:t>6</w:t>
      </w:r>
      <w:r w:rsidR="00074B99" w:rsidRPr="00F00DCE">
        <w:fldChar w:fldCharType="end"/>
      </w:r>
      <w:r w:rsidR="00074B99">
        <w:t>-</w:t>
      </w:r>
      <w:r w:rsidR="00074B99" w:rsidRPr="00F00DCE">
        <w:fldChar w:fldCharType="begin"/>
      </w:r>
      <w:r w:rsidR="00074B99" w:rsidRPr="00F00DCE">
        <w:instrText xml:space="preserve"> REF paragraph00007 \h  \* CharFormat </w:instrText>
      </w:r>
      <w:r w:rsidR="00074B99" w:rsidRPr="00F00DCE">
        <w:fldChar w:fldCharType="separate"/>
      </w:r>
      <w:r>
        <w:t>7</w:t>
      </w:r>
      <w:r w:rsidR="00074B99" w:rsidRPr="00F00DCE">
        <w:fldChar w:fldCharType="end"/>
      </w:r>
      <w:r w:rsidR="00074B99">
        <w:t>), nu i-ar fi putut acorda reclamantei tipul de protecție cerut, în termeni de formă și de întindere, împotriva tuturor pretinselor fapte comise de V.C.A.</w:t>
      </w:r>
    </w:p>
    <w:p w:rsidR="0021702B" w:rsidRPr="00F00DCE" w:rsidRDefault="0094597A" w:rsidP="00F00DCE">
      <w:pPr>
        <w:pStyle w:val="JuPara"/>
      </w:pPr>
      <w:r>
        <w:fldChar w:fldCharType="begin"/>
      </w:r>
      <w:r>
        <w:instrText xml:space="preserve"> SEQ level0 \*arabic \* MERGEFORMAT </w:instrText>
      </w:r>
      <w:r>
        <w:fldChar w:fldCharType="separate"/>
      </w:r>
      <w:r>
        <w:rPr>
          <w:noProof/>
        </w:rPr>
        <w:t>137</w:t>
      </w:r>
      <w:r>
        <w:rPr>
          <w:noProof/>
        </w:rPr>
        <w:fldChar w:fldCharType="end"/>
      </w:r>
      <w:r w:rsidR="00074B99">
        <w:t>.</w:t>
      </w:r>
      <w:r w:rsidR="00B3763A">
        <w:t xml:space="preserve"> </w:t>
      </w:r>
      <w:r w:rsidR="00074B99">
        <w:t>În lumina celor de mai sus, Curtea concluzionează că statul pârât, la momentul relevant, nu a instituit un cadru legal penal adecvat care să poată oferi reclamantei protecția cerută împotriva actelor specifice ale lui V.C.A.</w:t>
      </w:r>
    </w:p>
    <w:p w:rsidR="0021702B" w:rsidRPr="00F00DCE" w:rsidRDefault="00074B99" w:rsidP="00F00DCE">
      <w:pPr>
        <w:pStyle w:val="JuHi"/>
        <w:spacing w:line="240" w:lineRule="auto"/>
      </w:pPr>
      <w:r>
        <w:t>Ancheta penală</w:t>
      </w:r>
    </w:p>
    <w:p w:rsidR="0021702B" w:rsidRPr="00F00DCE" w:rsidRDefault="0094597A" w:rsidP="00F00DCE">
      <w:pPr>
        <w:pStyle w:val="JuPara"/>
      </w:pPr>
      <w:r>
        <w:fldChar w:fldCharType="begin"/>
      </w:r>
      <w:r>
        <w:instrText xml:space="preserve"> SEQ level0 \*arabic \* MERGEFORMAT </w:instrText>
      </w:r>
      <w:r>
        <w:fldChar w:fldCharType="separate"/>
      </w:r>
      <w:bookmarkStart w:id="93" w:name="paragraph00224"/>
      <w:r>
        <w:rPr>
          <w:noProof/>
        </w:rPr>
        <w:t>138</w:t>
      </w:r>
      <w:bookmarkEnd w:id="93"/>
      <w:r>
        <w:rPr>
          <w:noProof/>
        </w:rPr>
        <w:fldChar w:fldCharType="end"/>
      </w:r>
      <w:r w:rsidR="00074B99">
        <w:t>.</w:t>
      </w:r>
      <w:r w:rsidR="00B3763A">
        <w:t xml:space="preserve"> </w:t>
      </w:r>
      <w:r w:rsidR="00074B99">
        <w:t xml:space="preserve">Cu privire la modul în care autoritățile naționale au efectuat ancheta cu privire la alegațiile reclamantei, Curtea reiterează faptul că, pentru a fi efectivă, ancheta trebuie să fie promptă și aprofundată. Autoritățile trebuie să urmeze toți pașii rezonabili pentru a obține probele referitoare la incidentul în discuție – inclusiv probe medico-legale [a se vedea </w:t>
      </w:r>
      <w:proofErr w:type="spellStart"/>
      <w:r w:rsidR="00074B99">
        <w:rPr>
          <w:i/>
        </w:rPr>
        <w:t>Volodina</w:t>
      </w:r>
      <w:proofErr w:type="spellEnd"/>
      <w:r w:rsidR="00074B99">
        <w:rPr>
          <w:i/>
        </w:rPr>
        <w:t xml:space="preserve"> (nr. 2)</w:t>
      </w:r>
      <w:r w:rsidR="00074B99">
        <w:t>, citată anterior, pct. 62]. Neefectuarea procedurilor privind actele de violență online cu diligența necesară poate antrena răspunderea autorităților pentru că nu s-</w:t>
      </w:r>
      <w:r w:rsidR="00074B99">
        <w:lastRenderedPageBreak/>
        <w:t>au asigurat că autorii acțiuni</w:t>
      </w:r>
      <w:r w:rsidR="007A6620">
        <w:t>lor respective</w:t>
      </w:r>
      <w:r w:rsidR="00074B99">
        <w:t xml:space="preserve"> sunt trași la răspundere [a se vedea </w:t>
      </w:r>
      <w:proofErr w:type="spellStart"/>
      <w:r w:rsidR="00074B99">
        <w:rPr>
          <w:i/>
        </w:rPr>
        <w:t>Volodina</w:t>
      </w:r>
      <w:proofErr w:type="spellEnd"/>
      <w:r w:rsidR="00074B99">
        <w:rPr>
          <w:i/>
        </w:rPr>
        <w:t xml:space="preserve"> (nr. 2)</w:t>
      </w:r>
      <w:r w:rsidR="00074B99">
        <w:t>, citată anterior, pct. 67].</w:t>
      </w:r>
    </w:p>
    <w:p w:rsidR="0021702B" w:rsidRPr="00F00DCE" w:rsidRDefault="00074B99" w:rsidP="00F00DCE">
      <w:pPr>
        <w:pStyle w:val="JuPara"/>
        <w:rPr>
          <w:rFonts w:eastAsia="Times New Roman"/>
        </w:rPr>
      </w:pPr>
      <w:r w:rsidRPr="00F00DCE">
        <w:rPr>
          <w:rFonts w:eastAsia="Times New Roman"/>
        </w:rPr>
        <w:fldChar w:fldCharType="begin"/>
      </w:r>
      <w:r w:rsidRPr="00F00DCE">
        <w:rPr>
          <w:rFonts w:eastAsia="Times New Roman"/>
        </w:rPr>
        <w:instrText xml:space="preserve"> SEQ level0 \*arabic \* MERGEFORMAT </w:instrText>
      </w:r>
      <w:r w:rsidRPr="00F00DCE">
        <w:rPr>
          <w:rFonts w:eastAsia="Times New Roman"/>
        </w:rPr>
        <w:fldChar w:fldCharType="separate"/>
      </w:r>
      <w:r w:rsidR="0094597A">
        <w:rPr>
          <w:rFonts w:eastAsia="Times New Roman"/>
          <w:noProof/>
        </w:rPr>
        <w:t>139</w:t>
      </w:r>
      <w:r w:rsidRPr="00F00DCE">
        <w:rPr>
          <w:rFonts w:eastAsia="Times New Roman"/>
        </w:rPr>
        <w:fldChar w:fldCharType="end"/>
      </w:r>
      <w:r>
        <w:t>.</w:t>
      </w:r>
      <w:r w:rsidR="00B3763A">
        <w:t xml:space="preserve"> </w:t>
      </w:r>
      <w:r>
        <w:t>Curtea observă</w:t>
      </w:r>
      <w:r w:rsidR="007A6620">
        <w:t>,</w:t>
      </w:r>
      <w:r>
        <w:t xml:space="preserve"> în </w:t>
      </w:r>
      <w:r w:rsidR="007A6620">
        <w:t>această privință,</w:t>
      </w:r>
      <w:r>
        <w:t xml:space="preserve"> că autoritățile au deschis ancheta cu privire la </w:t>
      </w:r>
      <w:r w:rsidR="007A6620">
        <w:t>acuzațiile</w:t>
      </w:r>
      <w:r>
        <w:t xml:space="preserve"> reclamantei la 4 mai 2017 – mai exact, mai mult de șase luni după ce reclamanta depusese plângerea penală la 31 octombrie 2016 (</w:t>
      </w:r>
      <w:r>
        <w:rPr>
          <w:i/>
          <w:iCs/>
        </w:rPr>
        <w:t>supra</w:t>
      </w:r>
      <w:r>
        <w:t xml:space="preserve">, pct. </w:t>
      </w:r>
      <w:r w:rsidRPr="00F00DCE">
        <w:rPr>
          <w:rFonts w:eastAsia="Times New Roman"/>
        </w:rPr>
        <w:fldChar w:fldCharType="begin"/>
      </w:r>
      <w:r w:rsidRPr="00F00DCE">
        <w:rPr>
          <w:rFonts w:eastAsia="Times New Roman"/>
        </w:rPr>
        <w:instrText xml:space="preserve"> REF paragraph00011 \h  \* CharFormat </w:instrText>
      </w:r>
      <w:r w:rsidR="008F1E94" w:rsidRPr="00F00DCE">
        <w:rPr>
          <w:rFonts w:eastAsia="Times New Roman"/>
        </w:rPr>
        <w:instrText xml:space="preserve"> \* MERGEFORMAT </w:instrText>
      </w:r>
      <w:r w:rsidRPr="00F00DCE">
        <w:rPr>
          <w:rFonts w:eastAsia="Times New Roman"/>
        </w:rPr>
      </w:r>
      <w:r w:rsidRPr="00F00DCE">
        <w:rPr>
          <w:rFonts w:eastAsia="Times New Roman"/>
        </w:rPr>
        <w:fldChar w:fldCharType="separate"/>
      </w:r>
      <w:r w:rsidR="0094597A" w:rsidRPr="0094597A">
        <w:rPr>
          <w:rFonts w:eastAsia="Times New Roman"/>
        </w:rPr>
        <w:t>11</w:t>
      </w:r>
      <w:r w:rsidRPr="00F00DCE">
        <w:rPr>
          <w:rFonts w:eastAsia="Times New Roman"/>
        </w:rPr>
        <w:fldChar w:fldCharType="end"/>
      </w:r>
      <w:r>
        <w:t xml:space="preserve"> și </w:t>
      </w:r>
      <w:r w:rsidRPr="00F00DCE">
        <w:rPr>
          <w:rFonts w:eastAsia="Times New Roman"/>
        </w:rPr>
        <w:fldChar w:fldCharType="begin"/>
      </w:r>
      <w:r w:rsidRPr="00F00DCE">
        <w:rPr>
          <w:rFonts w:eastAsia="Times New Roman"/>
        </w:rPr>
        <w:instrText xml:space="preserve"> REF paragraph00014 \h  \* CharFormat </w:instrText>
      </w:r>
      <w:r w:rsidR="008F1E94" w:rsidRPr="00F00DCE">
        <w:rPr>
          <w:rFonts w:eastAsia="Times New Roman"/>
        </w:rPr>
        <w:instrText xml:space="preserve"> \* MERGEFORMAT </w:instrText>
      </w:r>
      <w:r w:rsidRPr="00F00DCE">
        <w:rPr>
          <w:rFonts w:eastAsia="Times New Roman"/>
        </w:rPr>
      </w:r>
      <w:r w:rsidRPr="00F00DCE">
        <w:rPr>
          <w:rFonts w:eastAsia="Times New Roman"/>
        </w:rPr>
        <w:fldChar w:fldCharType="separate"/>
      </w:r>
      <w:r w:rsidR="0094597A" w:rsidRPr="0094597A">
        <w:rPr>
          <w:rFonts w:eastAsia="Times New Roman"/>
        </w:rPr>
        <w:t>14</w:t>
      </w:r>
      <w:r w:rsidRPr="00F00DCE">
        <w:rPr>
          <w:rFonts w:eastAsia="Times New Roman"/>
        </w:rPr>
        <w:fldChar w:fldCharType="end"/>
      </w:r>
      <w:r>
        <w:t xml:space="preserve">). S-a declanșat ancheta </w:t>
      </w:r>
      <w:r>
        <w:rPr>
          <w:i/>
        </w:rPr>
        <w:t>in rem</w:t>
      </w:r>
      <w:r>
        <w:t xml:space="preserve"> – deși reclamanta a prezentat probe incriminatoare referitoare la V.C.A. (</w:t>
      </w:r>
      <w:r>
        <w:rPr>
          <w:i/>
          <w:iCs/>
        </w:rPr>
        <w:t>supra</w:t>
      </w:r>
      <w:r>
        <w:t xml:space="preserve">, pct. </w:t>
      </w:r>
      <w:r w:rsidRPr="00F00DCE">
        <w:rPr>
          <w:rFonts w:eastAsia="Times New Roman"/>
        </w:rPr>
        <w:fldChar w:fldCharType="begin"/>
      </w:r>
      <w:r w:rsidRPr="00F00DCE">
        <w:rPr>
          <w:rFonts w:eastAsia="Times New Roman"/>
        </w:rPr>
        <w:instrText xml:space="preserve"> REF paragraph00011 \h  \* CharFormat </w:instrText>
      </w:r>
      <w:r w:rsidR="008F1E94" w:rsidRPr="00F00DCE">
        <w:rPr>
          <w:rFonts w:eastAsia="Times New Roman"/>
        </w:rPr>
        <w:instrText xml:space="preserve"> \* MERGEFORMAT </w:instrText>
      </w:r>
      <w:r w:rsidRPr="00F00DCE">
        <w:rPr>
          <w:rFonts w:eastAsia="Times New Roman"/>
        </w:rPr>
      </w:r>
      <w:r w:rsidRPr="00F00DCE">
        <w:rPr>
          <w:rFonts w:eastAsia="Times New Roman"/>
        </w:rPr>
        <w:fldChar w:fldCharType="separate"/>
      </w:r>
      <w:r w:rsidR="0094597A" w:rsidRPr="0094597A">
        <w:rPr>
          <w:rFonts w:eastAsia="Times New Roman"/>
        </w:rPr>
        <w:t>11</w:t>
      </w:r>
      <w:r w:rsidRPr="00F00DCE">
        <w:rPr>
          <w:rFonts w:eastAsia="Times New Roman"/>
        </w:rPr>
        <w:fldChar w:fldCharType="end"/>
      </w:r>
      <w:r>
        <w:t>). Autoritățile l-au audiat pe V.C.A. pentru prima dată în legătură cu acuzațiile formulate față de acesta de către reclamantă în august 2018 – cu mai mult de un an și opt luni după ce reclamanta depusese plângerea (</w:t>
      </w:r>
      <w:r>
        <w:rPr>
          <w:i/>
          <w:iCs/>
        </w:rPr>
        <w:t>supra</w:t>
      </w:r>
      <w:r>
        <w:t xml:space="preserve">, pct. </w:t>
      </w:r>
      <w:r w:rsidRPr="00F00DCE">
        <w:rPr>
          <w:rFonts w:eastAsia="Times New Roman"/>
        </w:rPr>
        <w:fldChar w:fldCharType="begin"/>
      </w:r>
      <w:r w:rsidRPr="00F00DCE">
        <w:rPr>
          <w:rFonts w:eastAsia="Times New Roman"/>
        </w:rPr>
        <w:instrText xml:space="preserve"> REF paragraph00011 \h  \* CharFormat </w:instrText>
      </w:r>
      <w:r w:rsidR="008F1E94" w:rsidRPr="00F00DCE">
        <w:rPr>
          <w:rFonts w:eastAsia="Times New Roman"/>
        </w:rPr>
        <w:instrText xml:space="preserve"> \* MERGEFORMAT </w:instrText>
      </w:r>
      <w:r w:rsidRPr="00F00DCE">
        <w:rPr>
          <w:rFonts w:eastAsia="Times New Roman"/>
        </w:rPr>
      </w:r>
      <w:r w:rsidRPr="00F00DCE">
        <w:rPr>
          <w:rFonts w:eastAsia="Times New Roman"/>
        </w:rPr>
        <w:fldChar w:fldCharType="separate"/>
      </w:r>
      <w:r w:rsidR="0094597A" w:rsidRPr="0094597A">
        <w:rPr>
          <w:rFonts w:eastAsia="Times New Roman"/>
        </w:rPr>
        <w:t>11</w:t>
      </w:r>
      <w:r w:rsidRPr="00F00DCE">
        <w:rPr>
          <w:rFonts w:eastAsia="Times New Roman"/>
        </w:rPr>
        <w:fldChar w:fldCharType="end"/>
      </w:r>
      <w:r>
        <w:t xml:space="preserve">, </w:t>
      </w:r>
      <w:r w:rsidRPr="00F00DCE">
        <w:rPr>
          <w:rFonts w:eastAsia="Times New Roman"/>
        </w:rPr>
        <w:fldChar w:fldCharType="begin"/>
      </w:r>
      <w:r w:rsidRPr="00F00DCE">
        <w:rPr>
          <w:rFonts w:eastAsia="Times New Roman"/>
        </w:rPr>
        <w:instrText xml:space="preserve"> REF paragraph00016 \h  \* CharFormat </w:instrText>
      </w:r>
      <w:r w:rsidR="008F1E94" w:rsidRPr="00F00DCE">
        <w:rPr>
          <w:rFonts w:eastAsia="Times New Roman"/>
        </w:rPr>
        <w:instrText xml:space="preserve"> \* MERGEFORMAT </w:instrText>
      </w:r>
      <w:r w:rsidRPr="00F00DCE">
        <w:rPr>
          <w:rFonts w:eastAsia="Times New Roman"/>
        </w:rPr>
      </w:r>
      <w:r w:rsidRPr="00F00DCE">
        <w:rPr>
          <w:rFonts w:eastAsia="Times New Roman"/>
        </w:rPr>
        <w:fldChar w:fldCharType="separate"/>
      </w:r>
      <w:r w:rsidR="0094597A" w:rsidRPr="0094597A">
        <w:rPr>
          <w:rFonts w:eastAsia="Times New Roman"/>
        </w:rPr>
        <w:t>15</w:t>
      </w:r>
      <w:r w:rsidRPr="00F00DCE">
        <w:rPr>
          <w:rFonts w:eastAsia="Times New Roman"/>
        </w:rPr>
        <w:fldChar w:fldCharType="end"/>
      </w:r>
      <w:r>
        <w:t xml:space="preserve"> și </w:t>
      </w:r>
      <w:r w:rsidRPr="00F00DCE">
        <w:rPr>
          <w:rFonts w:eastAsia="Times New Roman"/>
        </w:rPr>
        <w:fldChar w:fldCharType="begin"/>
      </w:r>
      <w:r w:rsidRPr="00F00DCE">
        <w:rPr>
          <w:rFonts w:eastAsia="Times New Roman"/>
        </w:rPr>
        <w:instrText xml:space="preserve"> REF paragraph00020 \h  \* CharFormat  \* MERGEFORMAT </w:instrText>
      </w:r>
      <w:r w:rsidRPr="00F00DCE">
        <w:rPr>
          <w:rFonts w:eastAsia="Times New Roman"/>
        </w:rPr>
      </w:r>
      <w:r w:rsidRPr="00F00DCE">
        <w:rPr>
          <w:rFonts w:eastAsia="Times New Roman"/>
        </w:rPr>
        <w:fldChar w:fldCharType="separate"/>
      </w:r>
      <w:r w:rsidR="0094597A" w:rsidRPr="0094597A">
        <w:rPr>
          <w:rFonts w:eastAsia="Times New Roman"/>
        </w:rPr>
        <w:t>17</w:t>
      </w:r>
      <w:r w:rsidRPr="00F00DCE">
        <w:rPr>
          <w:rFonts w:eastAsia="Times New Roman"/>
        </w:rPr>
        <w:fldChar w:fldCharType="end"/>
      </w:r>
      <w:r>
        <w:t>).</w:t>
      </w:r>
    </w:p>
    <w:p w:rsidR="0021702B" w:rsidRPr="00F00DCE" w:rsidRDefault="00074B99" w:rsidP="00F00DCE">
      <w:pPr>
        <w:pStyle w:val="JuPara"/>
      </w:pPr>
      <w:r w:rsidRPr="00F00DCE">
        <w:rPr>
          <w:rFonts w:ascii="Times New Roman" w:eastAsia="Times New Roman" w:hAnsi="Times New Roman" w:cs="Times New Roman"/>
        </w:rPr>
        <w:fldChar w:fldCharType="begin"/>
      </w:r>
      <w:r w:rsidRPr="00F00DCE">
        <w:rPr>
          <w:rFonts w:ascii="Times New Roman" w:eastAsia="Times New Roman" w:hAnsi="Times New Roman" w:cs="Times New Roman"/>
        </w:rPr>
        <w:instrText xml:space="preserve"> SEQ level0 \*arabic \* MERGEFORMAT </w:instrText>
      </w:r>
      <w:r w:rsidRPr="00F00DCE">
        <w:rPr>
          <w:rFonts w:ascii="Times New Roman" w:eastAsia="Times New Roman" w:hAnsi="Times New Roman" w:cs="Times New Roman"/>
        </w:rPr>
        <w:fldChar w:fldCharType="separate"/>
      </w:r>
      <w:r w:rsidR="0094597A">
        <w:rPr>
          <w:rFonts w:ascii="Times New Roman" w:eastAsia="Times New Roman" w:hAnsi="Times New Roman" w:cs="Times New Roman"/>
          <w:noProof/>
        </w:rPr>
        <w:t>140</w:t>
      </w:r>
      <w:r w:rsidRPr="00F00DCE">
        <w:rPr>
          <w:rFonts w:ascii="Times New Roman" w:eastAsia="Times New Roman" w:hAnsi="Times New Roman" w:cs="Times New Roman"/>
        </w:rPr>
        <w:fldChar w:fldCharType="end"/>
      </w:r>
      <w:r>
        <w:rPr>
          <w:rFonts w:ascii="Times New Roman" w:hAnsi="Times New Roman"/>
        </w:rPr>
        <w:t>.</w:t>
      </w:r>
      <w:r w:rsidR="00B3763A">
        <w:rPr>
          <w:rFonts w:ascii="Times New Roman" w:hAnsi="Times New Roman"/>
        </w:rPr>
        <w:t xml:space="preserve"> </w:t>
      </w:r>
      <w:r>
        <w:t>În acest timp, autoritățile par să fi încercat doar să obțină declarații suplimentare</w:t>
      </w:r>
      <w:r>
        <w:rPr>
          <w:rFonts w:ascii="Times New Roman" w:hAnsi="Times New Roman"/>
        </w:rPr>
        <w:t xml:space="preserve"> de la reclamantă cu privire la circumstanțele cauzei (</w:t>
      </w:r>
      <w:r>
        <w:rPr>
          <w:rFonts w:ascii="Times New Roman" w:hAnsi="Times New Roman"/>
          <w:i/>
          <w:iCs/>
        </w:rPr>
        <w:t>supra</w:t>
      </w:r>
      <w:r>
        <w:rPr>
          <w:rFonts w:ascii="Times New Roman" w:hAnsi="Times New Roman"/>
        </w:rPr>
        <w:t xml:space="preserve">, pct. </w:t>
      </w:r>
      <w:r w:rsidRPr="00F00DCE">
        <w:rPr>
          <w:rFonts w:ascii="Times New Roman" w:eastAsia="Times New Roman" w:hAnsi="Times New Roman" w:cs="Times New Roman"/>
        </w:rPr>
        <w:fldChar w:fldCharType="begin"/>
      </w:r>
      <w:r w:rsidRPr="00F00DCE">
        <w:rPr>
          <w:rFonts w:ascii="Times New Roman" w:eastAsia="Times New Roman" w:hAnsi="Times New Roman" w:cs="Times New Roman"/>
        </w:rPr>
        <w:instrText xml:space="preserve"> REF paragraph00011 \h  \* CharFormat </w:instrText>
      </w:r>
      <w:r w:rsidRPr="00F00DCE">
        <w:rPr>
          <w:rFonts w:ascii="Times New Roman" w:eastAsia="Times New Roman" w:hAnsi="Times New Roman" w:cs="Times New Roman"/>
        </w:rPr>
      </w:r>
      <w:r w:rsidRPr="00F00DCE">
        <w:rPr>
          <w:rFonts w:ascii="Times New Roman" w:eastAsia="Times New Roman" w:hAnsi="Times New Roman" w:cs="Times New Roman"/>
        </w:rPr>
        <w:fldChar w:fldCharType="separate"/>
      </w:r>
      <w:r w:rsidR="0094597A" w:rsidRPr="0094597A">
        <w:rPr>
          <w:rFonts w:ascii="Times New Roman" w:eastAsia="Times New Roman" w:hAnsi="Times New Roman" w:cs="Times New Roman"/>
        </w:rPr>
        <w:t>11</w:t>
      </w:r>
      <w:r w:rsidRPr="00F00DCE">
        <w:rPr>
          <w:rFonts w:ascii="Times New Roman" w:eastAsia="Times New Roman" w:hAnsi="Times New Roman" w:cs="Times New Roman"/>
        </w:rPr>
        <w:fldChar w:fldCharType="end"/>
      </w:r>
      <w:r>
        <w:rPr>
          <w:rFonts w:ascii="Times New Roman" w:hAnsi="Times New Roman"/>
        </w:rPr>
        <w:t>-</w:t>
      </w:r>
      <w:r w:rsidRPr="00F00DCE">
        <w:rPr>
          <w:rFonts w:ascii="Times New Roman" w:eastAsia="Times New Roman" w:hAnsi="Times New Roman" w:cs="Times New Roman"/>
        </w:rPr>
        <w:fldChar w:fldCharType="begin"/>
      </w:r>
      <w:r w:rsidRPr="00F00DCE">
        <w:rPr>
          <w:rFonts w:ascii="Times New Roman" w:eastAsia="Times New Roman" w:hAnsi="Times New Roman" w:cs="Times New Roman"/>
        </w:rPr>
        <w:instrText xml:space="preserve"> REF paragraph00020 \h  \* CharFormat </w:instrText>
      </w:r>
      <w:r w:rsidRPr="00F00DCE">
        <w:rPr>
          <w:rFonts w:ascii="Times New Roman" w:eastAsia="Times New Roman" w:hAnsi="Times New Roman" w:cs="Times New Roman"/>
        </w:rPr>
      </w:r>
      <w:r w:rsidRPr="00F00DCE">
        <w:rPr>
          <w:rFonts w:ascii="Times New Roman" w:eastAsia="Times New Roman" w:hAnsi="Times New Roman" w:cs="Times New Roman"/>
        </w:rPr>
        <w:fldChar w:fldCharType="separate"/>
      </w:r>
      <w:r w:rsidR="0094597A" w:rsidRPr="0094597A">
        <w:rPr>
          <w:rFonts w:ascii="Times New Roman" w:eastAsia="Times New Roman" w:hAnsi="Times New Roman" w:cs="Times New Roman"/>
        </w:rPr>
        <w:t>17</w:t>
      </w:r>
      <w:r w:rsidRPr="00F00DCE">
        <w:rPr>
          <w:rFonts w:ascii="Times New Roman" w:eastAsia="Times New Roman" w:hAnsi="Times New Roman" w:cs="Times New Roman"/>
        </w:rPr>
        <w:fldChar w:fldCharType="end"/>
      </w:r>
      <w:r>
        <w:rPr>
          <w:rFonts w:ascii="Times New Roman" w:hAnsi="Times New Roman"/>
        </w:rPr>
        <w:t>). Nu au luat nicio măsură care să vizeze strângerea și securizarea promptă a oricărei probe în legătură cu cauza, deși unele dintre probele</w:t>
      </w:r>
      <w:r>
        <w:t xml:space="preserve"> în discuție, care erau disponibile online sau pe computerele persoanelor a căror identitate putea fi stabilită cu ușurință, ar fi putut să se piardă și, prin urmare (după cum a recunoscut parchetul), ar fi putut afecta caracterul efectiv și promptitudinea anchetei (</w:t>
      </w:r>
      <w:r>
        <w:rPr>
          <w:i/>
          <w:iCs/>
        </w:rPr>
        <w:t>supra</w:t>
      </w:r>
      <w:r>
        <w:t xml:space="preserve">, pct. </w:t>
      </w:r>
      <w:r w:rsidRPr="00F00DCE">
        <w:fldChar w:fldCharType="begin"/>
      </w:r>
      <w:r w:rsidRPr="00F00DCE">
        <w:instrText xml:space="preserve"> REF paragraph00017 \h  \* CharFormat </w:instrText>
      </w:r>
      <w:r w:rsidRPr="00F00DCE">
        <w:fldChar w:fldCharType="separate"/>
      </w:r>
      <w:r w:rsidR="0094597A">
        <w:t>16</w:t>
      </w:r>
      <w:r w:rsidRPr="00F00DCE">
        <w:fldChar w:fldCharType="end"/>
      </w:r>
      <w:r>
        <w:t xml:space="preserve"> și </w:t>
      </w:r>
      <w:r w:rsidRPr="00F00DCE">
        <w:fldChar w:fldCharType="begin"/>
      </w:r>
      <w:r w:rsidRPr="00F00DCE">
        <w:instrText xml:space="preserve"> REF paragraph00069 \h  \* CharFormat  \* MERGEFORMAT </w:instrText>
      </w:r>
      <w:r w:rsidRPr="00F00DCE">
        <w:fldChar w:fldCharType="separate"/>
      </w:r>
      <w:r w:rsidR="0094597A">
        <w:t>44</w:t>
      </w:r>
      <w:r w:rsidRPr="00F00DCE">
        <w:fldChar w:fldCharType="end"/>
      </w:r>
      <w:r>
        <w:t>)</w:t>
      </w:r>
      <w:r>
        <w:rPr>
          <w:rFonts w:ascii="Times New Roman" w:hAnsi="Times New Roman"/>
        </w:rPr>
        <w:t>. De asemenea, se pare că nu au luat nicio măsură care să o protejeze pe reclamantă împotriva lui V.C.A. sau să atenueze orice posibil abuz suplimentar din partea lui – în pofida faptului că aceasta afirmase în mod expres în cererea sa inițială că V.C.A. a contactat</w:t>
      </w:r>
      <w:r w:rsidR="007A6620">
        <w:rPr>
          <w:rFonts w:ascii="Times New Roman" w:hAnsi="Times New Roman"/>
        </w:rPr>
        <w:noBreakHyphen/>
      </w:r>
      <w:r>
        <w:rPr>
          <w:rFonts w:ascii="Times New Roman" w:hAnsi="Times New Roman"/>
        </w:rPr>
        <w:t xml:space="preserve">o și a informat-o că nu intenționa să renunțe la comportamentul său </w:t>
      </w:r>
      <w:r>
        <w:t>(</w:t>
      </w:r>
      <w:r>
        <w:rPr>
          <w:i/>
          <w:iCs/>
        </w:rPr>
        <w:t>supra</w:t>
      </w:r>
      <w:r>
        <w:t xml:space="preserve">, pct. </w:t>
      </w:r>
      <w:r w:rsidRPr="00F00DCE">
        <w:fldChar w:fldCharType="begin"/>
      </w:r>
      <w:r w:rsidRPr="00F00DCE">
        <w:instrText xml:space="preserve"> REF paragraph00007 \h  \* CharFormat </w:instrText>
      </w:r>
      <w:r w:rsidRPr="00F00DCE">
        <w:fldChar w:fldCharType="separate"/>
      </w:r>
      <w:r w:rsidR="0094597A">
        <w:t>7</w:t>
      </w:r>
      <w:r w:rsidRPr="00F00DCE">
        <w:fldChar w:fldCharType="end"/>
      </w:r>
      <w:r>
        <w:t xml:space="preserve"> și </w:t>
      </w:r>
      <w:r w:rsidRPr="00F00DCE">
        <w:fldChar w:fldCharType="begin"/>
      </w:r>
      <w:r w:rsidRPr="00F00DCE">
        <w:instrText xml:space="preserve"> REF paragraph00011 \h  \* CharFormat </w:instrText>
      </w:r>
      <w:r w:rsidRPr="00F00DCE">
        <w:fldChar w:fldCharType="separate"/>
      </w:r>
      <w:r w:rsidR="0094597A">
        <w:t>11</w:t>
      </w:r>
      <w:r w:rsidRPr="00F00DCE">
        <w:fldChar w:fldCharType="end"/>
      </w:r>
      <w:r>
        <w:t>). Faptul că V.C.A., în cele din urmă, și-a pus în practică amenințarea și a continuat să aibă același comportament – chiar după ce reclamanta a depus plângerea inițială împotriva lui (</w:t>
      </w:r>
      <w:r>
        <w:rPr>
          <w:i/>
          <w:iCs/>
        </w:rPr>
        <w:t>supra</w:t>
      </w:r>
      <w:r>
        <w:t xml:space="preserve">, pct. </w:t>
      </w:r>
      <w:r w:rsidRPr="00F00DCE">
        <w:fldChar w:fldCharType="begin"/>
      </w:r>
      <w:r w:rsidRPr="00F00DCE">
        <w:instrText xml:space="preserve"> REF paragraph00006 \h  \* CharFormat </w:instrText>
      </w:r>
      <w:r w:rsidRPr="00F00DCE">
        <w:fldChar w:fldCharType="separate"/>
      </w:r>
      <w:r w:rsidR="0094597A">
        <w:t>6</w:t>
      </w:r>
      <w:r w:rsidRPr="00F00DCE">
        <w:fldChar w:fldCharType="end"/>
      </w:r>
      <w:r>
        <w:t>-</w:t>
      </w:r>
      <w:r w:rsidRPr="00F00DCE">
        <w:fldChar w:fldCharType="begin"/>
      </w:r>
      <w:r w:rsidRPr="00F00DCE">
        <w:instrText xml:space="preserve"> REF paragraph00012 \h  \* CharFormat </w:instrText>
      </w:r>
      <w:r w:rsidRPr="00F00DCE">
        <w:fldChar w:fldCharType="separate"/>
      </w:r>
      <w:r w:rsidR="0094597A">
        <w:t>12</w:t>
      </w:r>
      <w:r w:rsidRPr="00F00DCE">
        <w:fldChar w:fldCharType="end"/>
      </w:r>
      <w:r>
        <w:t>) – vine să confirme și să sublinieze nevoia de astfel de măsuri.</w:t>
      </w:r>
    </w:p>
    <w:p w:rsidR="0021702B" w:rsidRPr="00F00DCE" w:rsidRDefault="0094597A" w:rsidP="00F00DCE">
      <w:pPr>
        <w:pStyle w:val="JuPara"/>
      </w:pPr>
      <w:r>
        <w:fldChar w:fldCharType="begin"/>
      </w:r>
      <w:r>
        <w:instrText xml:space="preserve"> SEQ level0 \*arabic \* MERGEFORMAT </w:instrText>
      </w:r>
      <w:r>
        <w:fldChar w:fldCharType="separate"/>
      </w:r>
      <w:r>
        <w:rPr>
          <w:noProof/>
        </w:rPr>
        <w:t>141</w:t>
      </w:r>
      <w:r>
        <w:rPr>
          <w:noProof/>
        </w:rPr>
        <w:fldChar w:fldCharType="end"/>
      </w:r>
      <w:r w:rsidR="00074B99">
        <w:t>.</w:t>
      </w:r>
      <w:r w:rsidR="00B3763A">
        <w:t xml:space="preserve"> </w:t>
      </w:r>
      <w:r w:rsidR="00074B99">
        <w:t>Guvernul a subliniat atitudinea evazivă a reclamantei ca răspuns la invitațiile adresate ei de anchetatori pentru a da declarații în cursul procedurilor în legătură cu cauza, ca o posibilă explicație pentru conduita autorităților (</w:t>
      </w:r>
      <w:r w:rsidR="00074B99">
        <w:rPr>
          <w:i/>
          <w:iCs/>
        </w:rPr>
        <w:t>supra</w:t>
      </w:r>
      <w:r w:rsidR="00074B99">
        <w:t xml:space="preserve">, pct. </w:t>
      </w:r>
      <w:r w:rsidR="00074B99" w:rsidRPr="00F00DCE">
        <w:fldChar w:fldCharType="begin"/>
      </w:r>
      <w:r w:rsidR="00074B99" w:rsidRPr="00F00DCE">
        <w:instrText xml:space="preserve"> REF paragraph00113 \h  \* CharFormat </w:instrText>
      </w:r>
      <w:r w:rsidR="00074B99" w:rsidRPr="00F00DCE">
        <w:fldChar w:fldCharType="separate"/>
      </w:r>
      <w:r>
        <w:t>109</w:t>
      </w:r>
      <w:r w:rsidR="00074B99" w:rsidRPr="00F00DCE">
        <w:fldChar w:fldCharType="end"/>
      </w:r>
      <w:r w:rsidR="00074B99">
        <w:t>). Totuși, Curtea nu este convinsă că respectiva conduită a autorităților din primele etape ale anchetei se putea explica prin comportamentul pretins evaziv al reclamantei sau că ea era responsabilă de inactivitatea lor pentru următoarele motive.</w:t>
      </w:r>
    </w:p>
    <w:p w:rsidR="0021702B" w:rsidRPr="00F00DCE" w:rsidRDefault="0094597A" w:rsidP="00F00DCE">
      <w:pPr>
        <w:pStyle w:val="JuPara"/>
      </w:pPr>
      <w:r>
        <w:fldChar w:fldCharType="begin"/>
      </w:r>
      <w:r>
        <w:instrText xml:space="preserve"> SEQ level0 \*arabic \* MERGEFORMAT </w:instrText>
      </w:r>
      <w:r>
        <w:fldChar w:fldCharType="separate"/>
      </w:r>
      <w:r>
        <w:rPr>
          <w:noProof/>
        </w:rPr>
        <w:t>142</w:t>
      </w:r>
      <w:r>
        <w:rPr>
          <w:noProof/>
        </w:rPr>
        <w:fldChar w:fldCharType="end"/>
      </w:r>
      <w:r w:rsidR="00074B99">
        <w:t>.</w:t>
      </w:r>
      <w:r w:rsidR="00B3763A">
        <w:t xml:space="preserve"> </w:t>
      </w:r>
      <w:r w:rsidR="00074B99">
        <w:t>Judecătoria a constatat că comportamentul reclamantei ar putea fi explicat prin factori în afara controlului său, precum anxietatea, potențiala instabilitate emoțională, și că a fost în mod constant hărțuită de un mare număr de apeluri și mesaje de la indivizi necunoscuți care căutau servicii sexuale și că putea, prin urmare, să nu fie blamată pentru acesta (</w:t>
      </w:r>
      <w:r w:rsidR="00074B99">
        <w:rPr>
          <w:i/>
          <w:iCs/>
        </w:rPr>
        <w:t>supra</w:t>
      </w:r>
      <w:r w:rsidR="00074B99">
        <w:t xml:space="preserve">, pct. </w:t>
      </w:r>
      <w:r w:rsidR="00074B99" w:rsidRPr="00F00DCE">
        <w:fldChar w:fldCharType="begin"/>
      </w:r>
      <w:r w:rsidR="00074B99" w:rsidRPr="00F00DCE">
        <w:instrText xml:space="preserve"> REF paragraph00091 \h  \* CharFormat  \* MERGEFORMAT </w:instrText>
      </w:r>
      <w:r w:rsidR="00074B99" w:rsidRPr="00F00DCE">
        <w:fldChar w:fldCharType="separate"/>
      </w:r>
      <w:r>
        <w:t>66</w:t>
      </w:r>
      <w:r w:rsidR="00074B99" w:rsidRPr="00F00DCE">
        <w:fldChar w:fldCharType="end"/>
      </w:r>
      <w:r w:rsidR="00074B99">
        <w:t>). În plus, chiar reclamanta a subliniat presupuse declarații și măsuri luate de anchetatorul însărcinat cu cazul său, prin care, în opinia sa, a urmărit să o determine să se îndoiască de ea însăși sau să renunțe la plângerea penală pe care a depus-o împotriva lui V.C.A. (</w:t>
      </w:r>
      <w:r w:rsidR="00074B99">
        <w:rPr>
          <w:i/>
          <w:iCs/>
        </w:rPr>
        <w:t>supra</w:t>
      </w:r>
      <w:r w:rsidR="00074B99">
        <w:t xml:space="preserve">, pct. </w:t>
      </w:r>
      <w:r w:rsidR="00074B99" w:rsidRPr="00F00DCE">
        <w:fldChar w:fldCharType="begin"/>
      </w:r>
      <w:r w:rsidR="00074B99" w:rsidRPr="00F00DCE">
        <w:instrText xml:space="preserve"> REF paragraph00022 \h  \* CharFormat  \* MERGEFORMAT </w:instrText>
      </w:r>
      <w:r w:rsidR="00074B99" w:rsidRPr="00F00DCE">
        <w:fldChar w:fldCharType="separate"/>
      </w:r>
      <w:r>
        <w:t>20</w:t>
      </w:r>
      <w:r w:rsidR="00074B99" w:rsidRPr="00F00DCE">
        <w:fldChar w:fldCharType="end"/>
      </w:r>
      <w:r w:rsidR="00074B99">
        <w:t xml:space="preserve">, </w:t>
      </w:r>
      <w:r w:rsidR="00074B99" w:rsidRPr="00F00DCE">
        <w:fldChar w:fldCharType="begin"/>
      </w:r>
      <w:r w:rsidR="00074B99" w:rsidRPr="00F00DCE">
        <w:instrText xml:space="preserve"> REF paragraph00081 \h  \* CharFormat  \* MERGEFORMAT </w:instrText>
      </w:r>
      <w:r w:rsidR="00074B99" w:rsidRPr="00F00DCE">
        <w:fldChar w:fldCharType="separate"/>
      </w:r>
      <w:r>
        <w:t>49</w:t>
      </w:r>
      <w:r w:rsidR="00074B99" w:rsidRPr="00F00DCE">
        <w:fldChar w:fldCharType="end"/>
      </w:r>
      <w:r w:rsidR="00074B99">
        <w:t xml:space="preserve"> și </w:t>
      </w:r>
      <w:r w:rsidR="00074B99" w:rsidRPr="00F00DCE">
        <w:fldChar w:fldCharType="begin"/>
      </w:r>
      <w:r w:rsidR="00074B99" w:rsidRPr="00F00DCE">
        <w:instrText xml:space="preserve"> REF paragraph00183 \h  \* CharFormat  \* MERGEFORMAT </w:instrText>
      </w:r>
      <w:r w:rsidR="00074B99" w:rsidRPr="00F00DCE">
        <w:fldChar w:fldCharType="separate"/>
      </w:r>
      <w:r>
        <w:t>105</w:t>
      </w:r>
      <w:r w:rsidR="00074B99" w:rsidRPr="00F00DCE">
        <w:fldChar w:fldCharType="end"/>
      </w:r>
      <w:r w:rsidR="00074B99">
        <w:t>). Afirmațiile reclamantei au fost reluate în articolul din presă legat de cauza sa (</w:t>
      </w:r>
      <w:r w:rsidR="00074B99">
        <w:rPr>
          <w:i/>
          <w:iCs/>
        </w:rPr>
        <w:t>supra</w:t>
      </w:r>
      <w:r w:rsidR="00074B99">
        <w:t xml:space="preserve">, pct. </w:t>
      </w:r>
      <w:r w:rsidR="00074B99" w:rsidRPr="00F00DCE">
        <w:lastRenderedPageBreak/>
        <w:fldChar w:fldCharType="begin"/>
      </w:r>
      <w:r w:rsidR="00074B99" w:rsidRPr="00F00DCE">
        <w:instrText xml:space="preserve"> REF paragraph00024 \h  \* CharFormat  \* MERGEFORMAT </w:instrText>
      </w:r>
      <w:r w:rsidR="00074B99" w:rsidRPr="00F00DCE">
        <w:fldChar w:fldCharType="separate"/>
      </w:r>
      <w:r>
        <w:t>22</w:t>
      </w:r>
      <w:r w:rsidR="00074B99" w:rsidRPr="00F00DCE">
        <w:fldChar w:fldCharType="end"/>
      </w:r>
      <w:r w:rsidR="00074B99">
        <w:t>). Susținerile de mai sus despre conduita sau afirmațiile anchetatorului în discuție reflectă un tipar care pare să se repete în cauzele privind violența dintre parteneri intimi și care produce îngrijorări serioase cu privire la eficiența mecanismului de protecție prevăzut pentru victimele unor astfel de acte (</w:t>
      </w:r>
      <w:r w:rsidR="00074B99">
        <w:rPr>
          <w:i/>
          <w:iCs/>
        </w:rPr>
        <w:t>supra</w:t>
      </w:r>
      <w:r w:rsidR="00074B99">
        <w:t xml:space="preserve">, pct. </w:t>
      </w:r>
      <w:r w:rsidR="00074B99" w:rsidRPr="00F00DCE">
        <w:fldChar w:fldCharType="begin"/>
      </w:r>
      <w:r w:rsidR="00074B99" w:rsidRPr="00F00DCE">
        <w:instrText xml:space="preserve"> REF paragraph00121 \h  \* CharFormat  \* MERGEFORMAT </w:instrText>
      </w:r>
      <w:r w:rsidR="00074B99" w:rsidRPr="00F00DCE">
        <w:fldChar w:fldCharType="separate"/>
      </w:r>
      <w:r>
        <w:t>87</w:t>
      </w:r>
      <w:r w:rsidR="00074B99" w:rsidRPr="00F00DCE">
        <w:fldChar w:fldCharType="end"/>
      </w:r>
      <w:r w:rsidR="00074B99">
        <w:t xml:space="preserve"> și </w:t>
      </w:r>
      <w:r w:rsidR="00074B99" w:rsidRPr="00F00DCE">
        <w:fldChar w:fldCharType="begin"/>
      </w:r>
      <w:r w:rsidR="00074B99" w:rsidRPr="00F00DCE">
        <w:instrText xml:space="preserve"> REF paragraph00162 \h  \* CharFormat  \* MERGEFORMAT </w:instrText>
      </w:r>
      <w:r w:rsidR="00074B99" w:rsidRPr="00F00DCE">
        <w:fldChar w:fldCharType="separate"/>
      </w:r>
      <w:r>
        <w:t>92</w:t>
      </w:r>
      <w:r w:rsidR="00074B99" w:rsidRPr="00F00DCE">
        <w:fldChar w:fldCharType="end"/>
      </w:r>
      <w:r w:rsidR="00074B99">
        <w:t>-</w:t>
      </w:r>
      <w:r w:rsidR="00074B99" w:rsidRPr="00F00DCE">
        <w:fldChar w:fldCharType="begin"/>
      </w:r>
      <w:r w:rsidR="00074B99" w:rsidRPr="00F00DCE">
        <w:instrText xml:space="preserve"> REF paragraph00165 \h  \* CharFormat  \* MERGEFORMAT </w:instrText>
      </w:r>
      <w:r w:rsidR="00074B99" w:rsidRPr="00F00DCE">
        <w:fldChar w:fldCharType="separate"/>
      </w:r>
      <w:r>
        <w:t>94</w:t>
      </w:r>
      <w:r w:rsidR="00074B99" w:rsidRPr="00F00DCE">
        <w:fldChar w:fldCharType="end"/>
      </w:r>
      <w:r w:rsidR="00074B99">
        <w:t>). Cu toate acestea, plângerile formulate în fața autorităților naționale (atât de reclamantă, cât și de un membru al parlamentului) despre pretinsele declarații ale anchetatorului și despre pretinsele măsuri luate de acesta nu au dus la rezultate concrete. În legătură cu aceasta, Curtea observă că Guvernul nu a informat-o despre rezultatele pretinsei proceduri disciplinare împotriva lui I.T.A., și nici despre detaliile care au determinat autoritățile să respingă plângerea reclamantei în această privință (</w:t>
      </w:r>
      <w:r w:rsidR="00074B99">
        <w:rPr>
          <w:i/>
          <w:iCs/>
        </w:rPr>
        <w:t>supra</w:t>
      </w:r>
      <w:r w:rsidR="00074B99">
        <w:t xml:space="preserve">, pct. </w:t>
      </w:r>
      <w:r w:rsidR="00074B99" w:rsidRPr="00F00DCE">
        <w:fldChar w:fldCharType="begin"/>
      </w:r>
      <w:r w:rsidR="00074B99" w:rsidRPr="00F00DCE">
        <w:instrText xml:space="preserve"> REF paragraph00038 \h  \* CharFormat </w:instrText>
      </w:r>
      <w:r w:rsidR="00074B99" w:rsidRPr="00F00DCE">
        <w:fldChar w:fldCharType="separate"/>
      </w:r>
      <w:r>
        <w:t>71</w:t>
      </w:r>
      <w:r w:rsidR="00074B99" w:rsidRPr="00F00DCE">
        <w:fldChar w:fldCharType="end"/>
      </w:r>
      <w:r w:rsidR="00074B99">
        <w:t>-</w:t>
      </w:r>
      <w:r w:rsidR="00074B99" w:rsidRPr="00F00DCE">
        <w:fldChar w:fldCharType="begin"/>
      </w:r>
      <w:r w:rsidR="00074B99" w:rsidRPr="00F00DCE">
        <w:instrText xml:space="preserve"> REF paragraph00039 \h  \* CharFormat </w:instrText>
      </w:r>
      <w:r w:rsidR="00074B99" w:rsidRPr="00F00DCE">
        <w:fldChar w:fldCharType="separate"/>
      </w:r>
      <w:r>
        <w:t>72</w:t>
      </w:r>
      <w:r w:rsidR="00074B99" w:rsidRPr="00F00DCE">
        <w:fldChar w:fldCharType="end"/>
      </w:r>
      <w:r w:rsidR="00074B99">
        <w:t>).</w:t>
      </w:r>
    </w:p>
    <w:p w:rsidR="0021702B" w:rsidRPr="00F00DCE" w:rsidRDefault="0094597A" w:rsidP="00F00DCE">
      <w:pPr>
        <w:pStyle w:val="JuPara"/>
      </w:pPr>
      <w:r>
        <w:fldChar w:fldCharType="begin"/>
      </w:r>
      <w:r>
        <w:instrText xml:space="preserve"> SEQ level0 \*arabic \* MERGEFORMAT </w:instrText>
      </w:r>
      <w:r>
        <w:fldChar w:fldCharType="separate"/>
      </w:r>
      <w:r>
        <w:rPr>
          <w:noProof/>
        </w:rPr>
        <w:t>143</w:t>
      </w:r>
      <w:r>
        <w:rPr>
          <w:noProof/>
        </w:rPr>
        <w:fldChar w:fldCharType="end"/>
      </w:r>
      <w:r w:rsidR="00074B99">
        <w:t>.</w:t>
      </w:r>
      <w:r w:rsidR="00B3763A">
        <w:t xml:space="preserve"> </w:t>
      </w:r>
      <w:r w:rsidR="00074B99">
        <w:t>Curtea reține, de asemenea, că chiar după ce anchetatorii i-au chestionat pe reclamantă și pe V.C.A. la 22 august 2018, autoritățile au rămas pasive în atitudinea lor față de anchetarea cauzei – deși era clară intenția reclamantei de continuare a cauzei și V.C.A. recunoscuse că săvârșise cele mai multe dintre faptele de care era acuzat (</w:t>
      </w:r>
      <w:r w:rsidR="00074B99">
        <w:rPr>
          <w:i/>
          <w:iCs/>
        </w:rPr>
        <w:t>supra</w:t>
      </w:r>
      <w:r w:rsidR="00074B99">
        <w:t xml:space="preserve">, pct. </w:t>
      </w:r>
      <w:r w:rsidR="00074B99" w:rsidRPr="00F00DCE">
        <w:fldChar w:fldCharType="begin"/>
      </w:r>
      <w:r w:rsidR="00074B99" w:rsidRPr="00F00DCE">
        <w:instrText xml:space="preserve"> REF paragraph00016 \h  \* CharFormat </w:instrText>
      </w:r>
      <w:r w:rsidR="00074B99" w:rsidRPr="00F00DCE">
        <w:fldChar w:fldCharType="separate"/>
      </w:r>
      <w:r>
        <w:t>15</w:t>
      </w:r>
      <w:r w:rsidR="00074B99" w:rsidRPr="00F00DCE">
        <w:fldChar w:fldCharType="end"/>
      </w:r>
      <w:r w:rsidR="00074B99">
        <w:t>-</w:t>
      </w:r>
      <w:r w:rsidR="00074B99" w:rsidRPr="00F00DCE">
        <w:fldChar w:fldCharType="begin"/>
      </w:r>
      <w:r w:rsidR="00074B99" w:rsidRPr="00F00DCE">
        <w:instrText xml:space="preserve"> REF paragraph00023 \h  \* CharFormat  \* MERGEFORMAT </w:instrText>
      </w:r>
      <w:r w:rsidR="00074B99" w:rsidRPr="00F00DCE">
        <w:fldChar w:fldCharType="separate"/>
      </w:r>
      <w:r>
        <w:t>21</w:t>
      </w:r>
      <w:r w:rsidR="00074B99" w:rsidRPr="00F00DCE">
        <w:fldChar w:fldCharType="end"/>
      </w:r>
      <w:r w:rsidR="00074B99">
        <w:t>).</w:t>
      </w:r>
    </w:p>
    <w:p w:rsidR="0021702B" w:rsidRPr="00F00DCE" w:rsidRDefault="0094597A" w:rsidP="00F00DCE">
      <w:pPr>
        <w:pStyle w:val="JuPara"/>
      </w:pPr>
      <w:r>
        <w:fldChar w:fldCharType="begin"/>
      </w:r>
      <w:r>
        <w:instrText xml:space="preserve"> SEQ level0 \*arabic \* MERGEFOR</w:instrText>
      </w:r>
      <w:r>
        <w:instrText xml:space="preserve">MAT </w:instrText>
      </w:r>
      <w:r>
        <w:fldChar w:fldCharType="separate"/>
      </w:r>
      <w:r>
        <w:rPr>
          <w:noProof/>
        </w:rPr>
        <w:t>144</w:t>
      </w:r>
      <w:r>
        <w:rPr>
          <w:noProof/>
        </w:rPr>
        <w:fldChar w:fldCharType="end"/>
      </w:r>
      <w:r w:rsidR="00074B99">
        <w:t>.</w:t>
      </w:r>
      <w:r w:rsidR="00B3763A">
        <w:t xml:space="preserve"> </w:t>
      </w:r>
      <w:r w:rsidR="00074B99">
        <w:t>Ulterior, cauza a fost transferată de la Secția 8 Poliție București la SIC într-o aparentă încercare de a revigora ancheta (</w:t>
      </w:r>
      <w:r w:rsidR="00074B99">
        <w:rPr>
          <w:i/>
          <w:iCs/>
        </w:rPr>
        <w:t>supra</w:t>
      </w:r>
      <w:r w:rsidR="00074B99">
        <w:t xml:space="preserve">, pct. </w:t>
      </w:r>
      <w:r w:rsidR="00074B99" w:rsidRPr="00F00DCE">
        <w:fldChar w:fldCharType="begin"/>
      </w:r>
      <w:r w:rsidR="00074B99" w:rsidRPr="00F00DCE">
        <w:instrText xml:space="preserve"> REF paragraph00025 \h  \* CharFormat </w:instrText>
      </w:r>
      <w:r w:rsidR="00074B99" w:rsidRPr="00F00DCE">
        <w:fldChar w:fldCharType="separate"/>
      </w:r>
      <w:r>
        <w:t>24</w:t>
      </w:r>
      <w:r w:rsidR="00074B99" w:rsidRPr="00F00DCE">
        <w:fldChar w:fldCharType="end"/>
      </w:r>
      <w:r w:rsidR="00074B99">
        <w:t>). Totuși, Curtea nu poate decât să constate că acest transfer a avut loc doar după ce cauza reclamantei și pretinsa conduită necorespunzătoare a autorităților în cursul investigării cauzei sale au fost făcute publice de presă și au generat un protest public (</w:t>
      </w:r>
      <w:r w:rsidR="00074B99">
        <w:rPr>
          <w:i/>
          <w:iCs/>
        </w:rPr>
        <w:t>supra</w:t>
      </w:r>
      <w:r w:rsidR="00074B99">
        <w:t xml:space="preserve">, pct. </w:t>
      </w:r>
      <w:r w:rsidR="00074B99" w:rsidRPr="00F00DCE">
        <w:fldChar w:fldCharType="begin"/>
      </w:r>
      <w:r w:rsidR="00074B99" w:rsidRPr="00F00DCE">
        <w:instrText xml:space="preserve"> REF paragraph00024 \h  \* CharFormat  \* MERGEFORMAT </w:instrText>
      </w:r>
      <w:r w:rsidR="00074B99" w:rsidRPr="00F00DCE">
        <w:fldChar w:fldCharType="separate"/>
      </w:r>
      <w:r>
        <w:t>22</w:t>
      </w:r>
      <w:r w:rsidR="00074B99" w:rsidRPr="00F00DCE">
        <w:fldChar w:fldCharType="end"/>
      </w:r>
      <w:r w:rsidR="00074B99">
        <w:t>-</w:t>
      </w:r>
      <w:r w:rsidR="00074B99" w:rsidRPr="00F00DCE">
        <w:fldChar w:fldCharType="begin"/>
      </w:r>
      <w:r w:rsidR="00074B99" w:rsidRPr="00F00DCE">
        <w:instrText xml:space="preserve"> REF paragraph00025 \h  \* CharFormat </w:instrText>
      </w:r>
      <w:r w:rsidR="00074B99" w:rsidRPr="00F00DCE">
        <w:fldChar w:fldCharType="separate"/>
      </w:r>
      <w:r>
        <w:t>24</w:t>
      </w:r>
      <w:r w:rsidR="00074B99" w:rsidRPr="00F00DCE">
        <w:fldChar w:fldCharType="end"/>
      </w:r>
      <w:r w:rsidR="00074B99">
        <w:t>). În plus, aceasta a fost determinată de considerente care au aruncat îndoieli serioase asupra eficacității și a rigurozității anchetei efectuate până la acel moment în cauza sa, având în vedere că, cel puțin de la 4 mai 2017, autoritățile au cunoscut în mod clar sau ar fi trebuit să cunoască că Secția 8 Poliție București nu avea competență pentru a investiga afirmațiile reclamantei referitoare la V.C.A. (</w:t>
      </w:r>
      <w:r w:rsidR="00074B99">
        <w:rPr>
          <w:i/>
          <w:iCs/>
        </w:rPr>
        <w:t>supra</w:t>
      </w:r>
      <w:r w:rsidR="00074B99">
        <w:t xml:space="preserve">, pct. </w:t>
      </w:r>
      <w:r w:rsidR="00074B99" w:rsidRPr="00F00DCE">
        <w:fldChar w:fldCharType="begin"/>
      </w:r>
      <w:r w:rsidR="00074B99" w:rsidRPr="00F00DCE">
        <w:instrText xml:space="preserve"> REF paragraph00014 \h  \* CharFormat </w:instrText>
      </w:r>
      <w:r w:rsidR="00074B99" w:rsidRPr="00F00DCE">
        <w:fldChar w:fldCharType="separate"/>
      </w:r>
      <w:r>
        <w:t>14</w:t>
      </w:r>
      <w:r w:rsidR="00074B99" w:rsidRPr="00F00DCE">
        <w:fldChar w:fldCharType="end"/>
      </w:r>
      <w:r w:rsidR="00074B99">
        <w:t xml:space="preserve"> și </w:t>
      </w:r>
      <w:r w:rsidR="00074B99" w:rsidRPr="00F00DCE">
        <w:fldChar w:fldCharType="begin"/>
      </w:r>
      <w:r w:rsidR="00074B99" w:rsidRPr="00F00DCE">
        <w:instrText xml:space="preserve"> REF paragraph00025 \h  \* CharFormat </w:instrText>
      </w:r>
      <w:r w:rsidR="00074B99" w:rsidRPr="00F00DCE">
        <w:fldChar w:fldCharType="separate"/>
      </w:r>
      <w:r>
        <w:t>24</w:t>
      </w:r>
      <w:r w:rsidR="00074B99" w:rsidRPr="00F00DCE">
        <w:fldChar w:fldCharType="end"/>
      </w:r>
      <w:r w:rsidR="00074B99">
        <w:t>).</w:t>
      </w:r>
    </w:p>
    <w:p w:rsidR="0021702B" w:rsidRPr="00F00DCE" w:rsidRDefault="0094597A" w:rsidP="00F00DCE">
      <w:pPr>
        <w:pStyle w:val="JuPara"/>
      </w:pPr>
      <w:r>
        <w:fldChar w:fldCharType="begin"/>
      </w:r>
      <w:r>
        <w:instrText xml:space="preserve"> SEQ level0 \*arabic \* MERGEFORMAT </w:instrText>
      </w:r>
      <w:r>
        <w:fldChar w:fldCharType="separate"/>
      </w:r>
      <w:r>
        <w:rPr>
          <w:noProof/>
        </w:rPr>
        <w:t>145</w:t>
      </w:r>
      <w:r>
        <w:rPr>
          <w:noProof/>
        </w:rPr>
        <w:fldChar w:fldCharType="end"/>
      </w:r>
      <w:r w:rsidR="00074B99">
        <w:t>.</w:t>
      </w:r>
      <w:r w:rsidR="00B3763A">
        <w:t xml:space="preserve"> </w:t>
      </w:r>
      <w:r w:rsidR="00074B99">
        <w:t xml:space="preserve">Curtea observă că autoritățile naționale au început o anchetă </w:t>
      </w:r>
      <w:r w:rsidR="00074B99">
        <w:rPr>
          <w:i/>
          <w:iCs/>
        </w:rPr>
        <w:t xml:space="preserve">in </w:t>
      </w:r>
      <w:proofErr w:type="spellStart"/>
      <w:r w:rsidR="00074B99">
        <w:rPr>
          <w:i/>
          <w:iCs/>
        </w:rPr>
        <w:t>personam</w:t>
      </w:r>
      <w:proofErr w:type="spellEnd"/>
      <w:r w:rsidR="00074B99">
        <w:t xml:space="preserve"> împotriva lui V.C.A. cu privire la infracțiunea de violare a vieții private doar la 8 aprilie 2019 – la peste doi ani și cinci luni de la momentul la care reclamanta depusese plângerea penală și la mai mult de 7 luni după ce V.C.A. a admis că a săvârșit faptele de care era acuzat (</w:t>
      </w:r>
      <w:r w:rsidR="00074B99">
        <w:rPr>
          <w:i/>
          <w:iCs/>
        </w:rPr>
        <w:t>supra</w:t>
      </w:r>
      <w:r w:rsidR="00074B99">
        <w:t xml:space="preserve">, pct. </w:t>
      </w:r>
      <w:r w:rsidR="00074B99" w:rsidRPr="00F00DCE">
        <w:fldChar w:fldCharType="begin"/>
      </w:r>
      <w:r w:rsidR="00074B99" w:rsidRPr="00F00DCE">
        <w:instrText xml:space="preserve"> REF paragraph00011 \h  \* CharFormat </w:instrText>
      </w:r>
      <w:r w:rsidR="00074B99" w:rsidRPr="00F00DCE">
        <w:fldChar w:fldCharType="separate"/>
      </w:r>
      <w:r>
        <w:t>11</w:t>
      </w:r>
      <w:r w:rsidR="00074B99" w:rsidRPr="00F00DCE">
        <w:fldChar w:fldCharType="end"/>
      </w:r>
      <w:r w:rsidR="00074B99">
        <w:t xml:space="preserve">, </w:t>
      </w:r>
      <w:r w:rsidR="00074B99" w:rsidRPr="00F00DCE">
        <w:fldChar w:fldCharType="begin"/>
      </w:r>
      <w:r w:rsidR="00074B99" w:rsidRPr="00F00DCE">
        <w:instrText xml:space="preserve"> REF paragraph00020 \h  \* CharFormat  \* MERGEFORMAT </w:instrText>
      </w:r>
      <w:r w:rsidR="00074B99" w:rsidRPr="00F00DCE">
        <w:fldChar w:fldCharType="separate"/>
      </w:r>
      <w:r>
        <w:t>17</w:t>
      </w:r>
      <w:r w:rsidR="00074B99" w:rsidRPr="00F00DCE">
        <w:fldChar w:fldCharType="end"/>
      </w:r>
      <w:r w:rsidR="00074B99">
        <w:t xml:space="preserve"> și </w:t>
      </w:r>
      <w:r w:rsidR="00074B99" w:rsidRPr="00F00DCE">
        <w:fldChar w:fldCharType="begin"/>
      </w:r>
      <w:r w:rsidR="00074B99" w:rsidRPr="00F00DCE">
        <w:instrText xml:space="preserve"> REF paragraph00034 \h  \* CharFormat  \* MERGEFORMAT </w:instrText>
      </w:r>
      <w:r w:rsidR="00074B99" w:rsidRPr="00F00DCE">
        <w:fldChar w:fldCharType="separate"/>
      </w:r>
      <w:r>
        <w:t>28</w:t>
      </w:r>
      <w:r w:rsidR="00074B99" w:rsidRPr="00F00DCE">
        <w:fldChar w:fldCharType="end"/>
      </w:r>
      <w:r w:rsidR="00074B99">
        <w:t>). În plus, au decis să extindă ancheta penală pentru a include infracțiunea de fals informatic numai după ce reclamanta le-a solicitat în mod repetat să procedeze astfel și la aproape 7 luni după ce V.C.A. a recunoscut că a folosit mai multe conturi false de Facebook pentru a difuza fotografiile reclamantei (</w:t>
      </w:r>
      <w:r w:rsidR="00074B99">
        <w:rPr>
          <w:i/>
          <w:iCs/>
        </w:rPr>
        <w:t>supra</w:t>
      </w:r>
      <w:r w:rsidR="00074B99">
        <w:t xml:space="preserve">, pct. </w:t>
      </w:r>
      <w:r w:rsidR="00074B99" w:rsidRPr="00F00DCE">
        <w:fldChar w:fldCharType="begin"/>
      </w:r>
      <w:r w:rsidR="00074B99" w:rsidRPr="00F00DCE">
        <w:instrText xml:space="preserve"> REF paragraph00020 \h  \* CharFormat </w:instrText>
      </w:r>
      <w:r w:rsidR="00074B99" w:rsidRPr="00F00DCE">
        <w:fldChar w:fldCharType="separate"/>
      </w:r>
      <w:r>
        <w:t>17</w:t>
      </w:r>
      <w:r w:rsidR="00074B99" w:rsidRPr="00F00DCE">
        <w:fldChar w:fldCharType="end"/>
      </w:r>
      <w:r w:rsidR="00074B99">
        <w:t xml:space="preserve">, </w:t>
      </w:r>
      <w:r w:rsidR="00074B99" w:rsidRPr="00F00DCE">
        <w:fldChar w:fldCharType="begin"/>
      </w:r>
      <w:r w:rsidR="00074B99" w:rsidRPr="00F00DCE">
        <w:instrText xml:space="preserve"> REF paragraph00033 \h  \* CharFormat </w:instrText>
      </w:r>
      <w:r w:rsidR="00074B99" w:rsidRPr="00F00DCE">
        <w:fldChar w:fldCharType="separate"/>
      </w:r>
      <w:r>
        <w:t>27</w:t>
      </w:r>
      <w:r w:rsidR="00074B99" w:rsidRPr="00F00DCE">
        <w:fldChar w:fldCharType="end"/>
      </w:r>
      <w:r w:rsidR="00074B99">
        <w:t xml:space="preserve">, </w:t>
      </w:r>
      <w:r w:rsidR="00074B99" w:rsidRPr="00F00DCE">
        <w:fldChar w:fldCharType="begin"/>
      </w:r>
      <w:r w:rsidR="00074B99" w:rsidRPr="00F00DCE">
        <w:instrText xml:space="preserve"> REF paragraph00048 \h  \* CharFormat  \* MERGEFORMAT </w:instrText>
      </w:r>
      <w:r w:rsidR="00074B99" w:rsidRPr="00F00DCE">
        <w:fldChar w:fldCharType="separate"/>
      </w:r>
      <w:r>
        <w:t>30</w:t>
      </w:r>
      <w:r w:rsidR="00074B99" w:rsidRPr="00F00DCE">
        <w:fldChar w:fldCharType="end"/>
      </w:r>
      <w:r w:rsidR="00074B99">
        <w:t xml:space="preserve"> și </w:t>
      </w:r>
      <w:r w:rsidR="00074B99" w:rsidRPr="00F00DCE">
        <w:fldChar w:fldCharType="begin"/>
      </w:r>
      <w:r w:rsidR="00074B99" w:rsidRPr="00F00DCE">
        <w:instrText xml:space="preserve"> REF paragraph00036 \h  \* CharFormat </w:instrText>
      </w:r>
      <w:r w:rsidR="00074B99" w:rsidRPr="00F00DCE">
        <w:fldChar w:fldCharType="separate"/>
      </w:r>
      <w:r>
        <w:t>32</w:t>
      </w:r>
      <w:r w:rsidR="00074B99" w:rsidRPr="00F00DCE">
        <w:fldChar w:fldCharType="end"/>
      </w:r>
      <w:r w:rsidR="00074B99">
        <w:t>). Curtea observă că, în cazul infracțiunii de fals informatic, autoritățile naționale ar fi putut începe ancheta din oficiu – nu trebuiau să aștepte ca reclamanta să formuleze o plângere prealabilă (</w:t>
      </w:r>
      <w:r w:rsidR="00074B99">
        <w:rPr>
          <w:i/>
          <w:iCs/>
        </w:rPr>
        <w:t>supra</w:t>
      </w:r>
      <w:r w:rsidR="00074B99">
        <w:t xml:space="preserve">, pct. </w:t>
      </w:r>
      <w:r w:rsidR="00074B99" w:rsidRPr="00F00DCE">
        <w:fldChar w:fldCharType="begin"/>
      </w:r>
      <w:r w:rsidR="00074B99" w:rsidRPr="00F00DCE">
        <w:instrText xml:space="preserve"> REF paragraph00110 \h  \* CharFormat  \* MERGEFORMAT </w:instrText>
      </w:r>
      <w:r w:rsidR="00074B99" w:rsidRPr="00F00DCE">
        <w:fldChar w:fldCharType="separate"/>
      </w:r>
      <w:r>
        <w:t>79</w:t>
      </w:r>
      <w:r w:rsidR="00074B99" w:rsidRPr="00F00DCE">
        <w:fldChar w:fldCharType="end"/>
      </w:r>
      <w:r w:rsidR="00074B99">
        <w:t xml:space="preserve">). Trebuie notat că, la 27 noiembrie 2019, judecătoria a recunoscut că ancheta desfășurată până la acel moment în cauză a avut o durată excesivă </w:t>
      </w:r>
      <w:r w:rsidR="00074B99">
        <w:lastRenderedPageBreak/>
        <w:t>din motive care nu puteau fi imputate reclamantei. De asemenea, a dispus ca parchetul să grăbească finalizarea ei (</w:t>
      </w:r>
      <w:r w:rsidR="00074B99">
        <w:rPr>
          <w:i/>
          <w:iCs/>
        </w:rPr>
        <w:t>supra</w:t>
      </w:r>
      <w:r w:rsidR="00074B99">
        <w:t xml:space="preserve">, pct. </w:t>
      </w:r>
      <w:r w:rsidR="00074B99" w:rsidRPr="00F00DCE">
        <w:fldChar w:fldCharType="begin"/>
      </w:r>
      <w:r w:rsidR="00074B99" w:rsidRPr="00F00DCE">
        <w:instrText xml:space="preserve"> REF paragraph00044 \h  \* CharFormat  \* MERGEFORMAT </w:instrText>
      </w:r>
      <w:r w:rsidR="00074B99" w:rsidRPr="00F00DCE">
        <w:fldChar w:fldCharType="separate"/>
      </w:r>
      <w:r>
        <w:t>34</w:t>
      </w:r>
      <w:r w:rsidR="00074B99" w:rsidRPr="00F00DCE">
        <w:fldChar w:fldCharType="end"/>
      </w:r>
      <w:r w:rsidR="00074B99">
        <w:t>).</w:t>
      </w:r>
    </w:p>
    <w:p w:rsidR="0021702B" w:rsidRPr="00F00DCE" w:rsidRDefault="0094597A" w:rsidP="00F00DCE">
      <w:pPr>
        <w:pStyle w:val="JuPara"/>
      </w:pPr>
      <w:r>
        <w:fldChar w:fldCharType="begin"/>
      </w:r>
      <w:r>
        <w:instrText xml:space="preserve"> SEQ level0 \*arabic \* MERGEFORMAT </w:instrText>
      </w:r>
      <w:r>
        <w:fldChar w:fldCharType="separate"/>
      </w:r>
      <w:bookmarkStart w:id="94" w:name="paragraph00234"/>
      <w:r>
        <w:rPr>
          <w:noProof/>
        </w:rPr>
        <w:t>146</w:t>
      </w:r>
      <w:bookmarkEnd w:id="94"/>
      <w:r>
        <w:rPr>
          <w:noProof/>
        </w:rPr>
        <w:fldChar w:fldCharType="end"/>
      </w:r>
      <w:r w:rsidR="00074B99">
        <w:t>.</w:t>
      </w:r>
      <w:r w:rsidR="00B3763A">
        <w:t xml:space="preserve"> </w:t>
      </w:r>
      <w:r w:rsidR="00074B99">
        <w:t xml:space="preserve">Chiar presupunând că parchetul ar fi îndeplinit dispoziția respectivă de accelerare a anchetei, Curtea observă că acesta a finalizat-o în privința infracțiunii de violare a vieții private pentru motive care erau controversate, dată fiind practica internă neconsecventă privind interpretarea art. 226 C. </w:t>
      </w:r>
      <w:proofErr w:type="spellStart"/>
      <w:r w:rsidR="00074B99">
        <w:t>pen</w:t>
      </w:r>
      <w:proofErr w:type="spellEnd"/>
      <w:r w:rsidR="00074B99">
        <w:t>. la acel moment (</w:t>
      </w:r>
      <w:r w:rsidR="00074B99">
        <w:rPr>
          <w:i/>
          <w:iCs/>
        </w:rPr>
        <w:t>supra</w:t>
      </w:r>
      <w:r w:rsidR="00074B99">
        <w:t xml:space="preserve">, pct. </w:t>
      </w:r>
      <w:r w:rsidR="00074B99" w:rsidRPr="00F00DCE">
        <w:fldChar w:fldCharType="begin"/>
      </w:r>
      <w:r w:rsidR="00074B99" w:rsidRPr="00F00DCE">
        <w:instrText xml:space="preserve"> REF paragraph00062 \h  \* CharFormat  \* MERGEFORMAT </w:instrText>
      </w:r>
      <w:r w:rsidR="00074B99" w:rsidRPr="00F00DCE">
        <w:fldChar w:fldCharType="separate"/>
      </w:r>
      <w:r>
        <w:t>36</w:t>
      </w:r>
      <w:r w:rsidR="00074B99" w:rsidRPr="00F00DCE">
        <w:fldChar w:fldCharType="end"/>
      </w:r>
      <w:r w:rsidR="00074B99">
        <w:t>-</w:t>
      </w:r>
      <w:r w:rsidR="00074B99" w:rsidRPr="00F00DCE">
        <w:fldChar w:fldCharType="begin"/>
      </w:r>
      <w:r w:rsidR="00074B99" w:rsidRPr="00F00DCE">
        <w:instrText xml:space="preserve"> REF paragraph00041 \h  \* CharFormat  \* MERGEFORMAT </w:instrText>
      </w:r>
      <w:r w:rsidR="00074B99" w:rsidRPr="00F00DCE">
        <w:fldChar w:fldCharType="separate"/>
      </w:r>
      <w:r w:rsidRPr="0094597A">
        <w:t>45</w:t>
      </w:r>
      <w:r w:rsidR="00074B99" w:rsidRPr="00F00DCE">
        <w:fldChar w:fldCharType="end"/>
      </w:r>
      <w:r w:rsidR="00074B99">
        <w:t xml:space="preserve">, </w:t>
      </w:r>
      <w:r w:rsidR="00074B99" w:rsidRPr="00F00DCE">
        <w:fldChar w:fldCharType="begin"/>
      </w:r>
      <w:r w:rsidR="00074B99" w:rsidRPr="00F00DCE">
        <w:instrText xml:space="preserve"> REF paragraph00080 \h  \* CharFormat  \* MERGEFORMAT </w:instrText>
      </w:r>
      <w:r w:rsidR="00074B99" w:rsidRPr="00F00DCE">
        <w:fldChar w:fldCharType="separate"/>
      </w:r>
      <w:r>
        <w:t>51</w:t>
      </w:r>
      <w:r w:rsidR="00074B99" w:rsidRPr="00F00DCE">
        <w:fldChar w:fldCharType="end"/>
      </w:r>
      <w:r w:rsidR="00074B99">
        <w:t>-</w:t>
      </w:r>
      <w:r w:rsidR="00732CC1" w:rsidRPr="00F00DCE">
        <w:fldChar w:fldCharType="begin"/>
      </w:r>
      <w:r w:rsidR="00732CC1" w:rsidRPr="00F00DCE">
        <w:instrText xml:space="preserve"> REF paragraph00054 \h  \* CharFormat </w:instrText>
      </w:r>
      <w:r w:rsidR="00732CC1" w:rsidRPr="00F00DCE">
        <w:fldChar w:fldCharType="separate"/>
      </w:r>
      <w:r>
        <w:t>54</w:t>
      </w:r>
      <w:r w:rsidR="00732CC1" w:rsidRPr="00F00DCE">
        <w:fldChar w:fldCharType="end"/>
      </w:r>
      <w:r w:rsidR="00074B99">
        <w:t xml:space="preserve">, </w:t>
      </w:r>
      <w:r w:rsidR="00074B99" w:rsidRPr="00F00DCE">
        <w:fldChar w:fldCharType="begin"/>
      </w:r>
      <w:r w:rsidR="00074B99" w:rsidRPr="00F00DCE">
        <w:instrText xml:space="preserve"> REF paragraph00053 \h  \* CharFormat </w:instrText>
      </w:r>
      <w:r w:rsidR="00074B99" w:rsidRPr="00F00DCE">
        <w:fldChar w:fldCharType="separate"/>
      </w:r>
      <w:r>
        <w:t>57</w:t>
      </w:r>
      <w:r w:rsidR="00074B99" w:rsidRPr="00F00DCE">
        <w:fldChar w:fldCharType="end"/>
      </w:r>
      <w:r w:rsidR="00074B99">
        <w:t>-</w:t>
      </w:r>
      <w:r w:rsidR="00074B99" w:rsidRPr="00F00DCE">
        <w:fldChar w:fldCharType="begin"/>
      </w:r>
      <w:r w:rsidR="00074B99" w:rsidRPr="00F00DCE">
        <w:instrText xml:space="preserve"> REF paragraph00098 \h  \* CharFormat </w:instrText>
      </w:r>
      <w:r w:rsidR="00074B99" w:rsidRPr="00F00DCE">
        <w:fldChar w:fldCharType="separate"/>
      </w:r>
      <w:r>
        <w:t>58</w:t>
      </w:r>
      <w:r w:rsidR="00074B99" w:rsidRPr="00F00DCE">
        <w:fldChar w:fldCharType="end"/>
      </w:r>
      <w:r w:rsidR="00074B99">
        <w:t xml:space="preserve"> și </w:t>
      </w:r>
      <w:r w:rsidR="00074B99" w:rsidRPr="00F00DCE">
        <w:fldChar w:fldCharType="begin"/>
      </w:r>
      <w:r w:rsidR="00074B99" w:rsidRPr="00F00DCE">
        <w:instrText xml:space="preserve"> REF paragraph00152 \h  \* CharFormat  \* MERGEFORMAT </w:instrText>
      </w:r>
      <w:r w:rsidR="00074B99" w:rsidRPr="00F00DCE">
        <w:fldChar w:fldCharType="separate"/>
      </w:r>
      <w:r>
        <w:t>84</w:t>
      </w:r>
      <w:r w:rsidR="00074B99" w:rsidRPr="00F00DCE">
        <w:fldChar w:fldCharType="end"/>
      </w:r>
      <w:r w:rsidR="00074B99">
        <w:t>-</w:t>
      </w:r>
      <w:r w:rsidR="00074B99" w:rsidRPr="00F00DCE">
        <w:fldChar w:fldCharType="begin"/>
      </w:r>
      <w:r w:rsidR="00074B99" w:rsidRPr="00F00DCE">
        <w:instrText xml:space="preserve"> REF paragraph00085 \h  \* CharFormat </w:instrText>
      </w:r>
      <w:r w:rsidR="00074B99" w:rsidRPr="00F00DCE">
        <w:fldChar w:fldCharType="separate"/>
      </w:r>
      <w:r>
        <w:t>85</w:t>
      </w:r>
      <w:r w:rsidR="00074B99" w:rsidRPr="00F00DCE">
        <w:fldChar w:fldCharType="end"/>
      </w:r>
      <w:r w:rsidR="00074B99">
        <w:t>). În plus, a renunțat la ancheta cu privire la infracțiunea de fals informatic pentru motive care au fost criticate de judecătorie, care a considerat că motivele respective erau parțial „de neînțeles”. Instanța a subliniat că respectivele motive nu au constituit un temei obiectiv pe care parchetul să-și fi putut baza aprecierea dacă ancheta penală putea înceta (</w:t>
      </w:r>
      <w:r w:rsidR="00074B99">
        <w:rPr>
          <w:i/>
          <w:iCs/>
        </w:rPr>
        <w:t>supra</w:t>
      </w:r>
      <w:r w:rsidR="00074B99">
        <w:t xml:space="preserve">, pct. </w:t>
      </w:r>
      <w:r w:rsidR="00074B99" w:rsidRPr="00F00DCE">
        <w:fldChar w:fldCharType="begin"/>
      </w:r>
      <w:r w:rsidR="00074B99" w:rsidRPr="00F00DCE">
        <w:instrText xml:space="preserve"> REF paragraph00062 \h  \* CharFormat  \* MERGEFORMAT </w:instrText>
      </w:r>
      <w:r w:rsidR="00074B99" w:rsidRPr="00F00DCE">
        <w:fldChar w:fldCharType="separate"/>
      </w:r>
      <w:r>
        <w:t>36</w:t>
      </w:r>
      <w:r w:rsidR="00074B99" w:rsidRPr="00F00DCE">
        <w:fldChar w:fldCharType="end"/>
      </w:r>
      <w:r w:rsidR="00074B99">
        <w:t>-</w:t>
      </w:r>
      <w:r w:rsidR="00074B99" w:rsidRPr="00F00DCE">
        <w:fldChar w:fldCharType="begin"/>
      </w:r>
      <w:r w:rsidR="00074B99" w:rsidRPr="00F00DCE">
        <w:instrText xml:space="preserve"> REF paragraph00041 \h  \* CharFormat  \* MERGEFORMAT </w:instrText>
      </w:r>
      <w:r w:rsidR="00074B99" w:rsidRPr="00F00DCE">
        <w:fldChar w:fldCharType="separate"/>
      </w:r>
      <w:r w:rsidRPr="0094597A">
        <w:t>45</w:t>
      </w:r>
      <w:r w:rsidR="00074B99" w:rsidRPr="00F00DCE">
        <w:fldChar w:fldCharType="end"/>
      </w:r>
      <w:r w:rsidR="00074B99">
        <w:t xml:space="preserve"> și </w:t>
      </w:r>
      <w:r w:rsidR="00074B99" w:rsidRPr="00F00DCE">
        <w:fldChar w:fldCharType="begin"/>
      </w:r>
      <w:r w:rsidR="00074B99" w:rsidRPr="00F00DCE">
        <w:instrText xml:space="preserve"> REF paragraph00102 \h  \* CharFormat  \* MERGEFORMAT </w:instrText>
      </w:r>
      <w:r w:rsidR="00074B99" w:rsidRPr="00F00DCE">
        <w:fldChar w:fldCharType="separate"/>
      </w:r>
      <w:r>
        <w:t>62</w:t>
      </w:r>
      <w:r w:rsidR="00074B99" w:rsidRPr="00F00DCE">
        <w:fldChar w:fldCharType="end"/>
      </w:r>
      <w:r w:rsidR="00074B99">
        <w:t>-</w:t>
      </w:r>
      <w:r w:rsidR="00074B99" w:rsidRPr="00F00DCE">
        <w:fldChar w:fldCharType="begin"/>
      </w:r>
      <w:r w:rsidR="00074B99" w:rsidRPr="00F00DCE">
        <w:instrText xml:space="preserve"> REF paragraph00091 \h  \* CharFormat  \* MERGEFORMAT </w:instrText>
      </w:r>
      <w:r w:rsidR="00074B99" w:rsidRPr="00F00DCE">
        <w:fldChar w:fldCharType="separate"/>
      </w:r>
      <w:r>
        <w:t>66</w:t>
      </w:r>
      <w:r w:rsidR="00074B99" w:rsidRPr="00F00DCE">
        <w:fldChar w:fldCharType="end"/>
      </w:r>
      <w:r w:rsidR="00074B99">
        <w:t>). În sfârșit, ancheta cu privire la infracțiunile de hărțuire și amenințare a fost clasată deoarece intervenise prescripția răspunderii penale pentru aceste infracțiuni.</w:t>
      </w:r>
    </w:p>
    <w:p w:rsidR="0021702B" w:rsidRPr="00F00DCE" w:rsidRDefault="0094597A" w:rsidP="00F00DCE">
      <w:pPr>
        <w:pStyle w:val="JuPara"/>
      </w:pPr>
      <w:r>
        <w:fldChar w:fldCharType="begin"/>
      </w:r>
      <w:r>
        <w:instrText xml:space="preserve"> SEQ level0 \*arabic \* MERGEFORMAT </w:instrText>
      </w:r>
      <w:r>
        <w:fldChar w:fldCharType="separate"/>
      </w:r>
      <w:bookmarkStart w:id="95" w:name="paragraph00198"/>
      <w:r>
        <w:rPr>
          <w:noProof/>
        </w:rPr>
        <w:t>147</w:t>
      </w:r>
      <w:bookmarkEnd w:id="95"/>
      <w:r>
        <w:rPr>
          <w:noProof/>
        </w:rPr>
        <w:fldChar w:fldCharType="end"/>
      </w:r>
      <w:r w:rsidR="00074B99">
        <w:t>.</w:t>
      </w:r>
      <w:r w:rsidR="00B3763A">
        <w:t xml:space="preserve"> </w:t>
      </w:r>
      <w:r w:rsidR="00074B99">
        <w:t>Văzute în contextul general al modului în care autoritățile naționale au efectuat ancheta în cauza reclamantei, constatările de mai sus ale judecătoriei provoacă serioase îngrijorări despre următoarele aspecte pe care le subliniază: (i) lipsa de imparțialitate a parchetului în analiza cauzei reclamantei (</w:t>
      </w:r>
      <w:r w:rsidR="00074B99">
        <w:rPr>
          <w:i/>
          <w:iCs/>
        </w:rPr>
        <w:t>supra</w:t>
      </w:r>
      <w:r w:rsidR="00074B99">
        <w:t xml:space="preserve">, pct. </w:t>
      </w:r>
      <w:r w:rsidR="00074B99" w:rsidRPr="00F00DCE">
        <w:fldChar w:fldCharType="begin"/>
      </w:r>
      <w:r w:rsidR="00074B99" w:rsidRPr="00F00DCE">
        <w:instrText xml:space="preserve"> REF paragraph00130 \h  \* CharFormat  \* MERGEFORMAT </w:instrText>
      </w:r>
      <w:r w:rsidR="00074B99" w:rsidRPr="00F00DCE">
        <w:fldChar w:fldCharType="separate"/>
      </w:r>
      <w:r>
        <w:t>73</w:t>
      </w:r>
      <w:r w:rsidR="00074B99" w:rsidRPr="00F00DCE">
        <w:fldChar w:fldCharType="end"/>
      </w:r>
      <w:r w:rsidR="00074B99">
        <w:t>-</w:t>
      </w:r>
      <w:r w:rsidR="00074B99" w:rsidRPr="00F00DCE">
        <w:fldChar w:fldCharType="begin"/>
      </w:r>
      <w:r w:rsidR="00074B99" w:rsidRPr="00F00DCE">
        <w:instrText xml:space="preserve"> REF paragraph00078 \h  \* CharFormat </w:instrText>
      </w:r>
      <w:r w:rsidR="00074B99" w:rsidRPr="00F00DCE">
        <w:fldChar w:fldCharType="separate"/>
      </w:r>
      <w:r>
        <w:t>75</w:t>
      </w:r>
      <w:r w:rsidR="00074B99" w:rsidRPr="00F00DCE">
        <w:fldChar w:fldCharType="end"/>
      </w:r>
      <w:r w:rsidR="00074B99">
        <w:t>), (ii) dezinteresul inacceptabil manifestat de parchet care a avut un efect înjositor și de „revictimizare” asupra victimelor care erau implicate în relații pe care acesta le considera „centrate pe o sexualitate exacerbată” din cauza fotografiilor făcute victimelor în presupuse „ipostaze indecente” pe care aceste victime le-au trimis partenerilor intimi (</w:t>
      </w:r>
      <w:r w:rsidR="00074B99">
        <w:rPr>
          <w:i/>
          <w:iCs/>
        </w:rPr>
        <w:t>supra</w:t>
      </w:r>
      <w:r w:rsidR="00074B99">
        <w:t xml:space="preserve">, pct. </w:t>
      </w:r>
      <w:r w:rsidR="00074B99" w:rsidRPr="00F00DCE">
        <w:fldChar w:fldCharType="begin"/>
      </w:r>
      <w:r w:rsidR="00074B99" w:rsidRPr="00F00DCE">
        <w:instrText xml:space="preserve"> REF paragraph00071 \h  \* CharFormat  \* MERGEFORMAT </w:instrText>
      </w:r>
      <w:r w:rsidR="00074B99" w:rsidRPr="00F00DCE">
        <w:fldChar w:fldCharType="separate"/>
      </w:r>
      <w:r>
        <w:t>42</w:t>
      </w:r>
      <w:r w:rsidR="00074B99" w:rsidRPr="00F00DCE">
        <w:fldChar w:fldCharType="end"/>
      </w:r>
      <w:r w:rsidR="00074B99">
        <w:t xml:space="preserve">, și punctul de vedere al CNCD </w:t>
      </w:r>
      <w:r w:rsidR="00074B99">
        <w:rPr>
          <w:i/>
          <w:iCs/>
        </w:rPr>
        <w:t>supra</w:t>
      </w:r>
      <w:r w:rsidR="00074B99">
        <w:t xml:space="preserve">, pct. </w:t>
      </w:r>
      <w:r w:rsidR="00074B99" w:rsidRPr="00F00DCE">
        <w:fldChar w:fldCharType="begin"/>
      </w:r>
      <w:r w:rsidR="00074B99" w:rsidRPr="00F00DCE">
        <w:instrText xml:space="preserve"> REF paragraph00130 \h  \* CharFormat </w:instrText>
      </w:r>
      <w:r w:rsidR="00074B99" w:rsidRPr="00F00DCE">
        <w:fldChar w:fldCharType="separate"/>
      </w:r>
      <w:r>
        <w:t>73</w:t>
      </w:r>
      <w:r w:rsidR="00074B99" w:rsidRPr="00F00DCE">
        <w:fldChar w:fldCharType="end"/>
      </w:r>
      <w:r w:rsidR="00074B99">
        <w:t>-</w:t>
      </w:r>
      <w:r w:rsidR="00074B99" w:rsidRPr="00F00DCE">
        <w:fldChar w:fldCharType="begin"/>
      </w:r>
      <w:r w:rsidR="00074B99" w:rsidRPr="00F00DCE">
        <w:instrText xml:space="preserve"> REF paragraph00078 \h  \* CharFormat </w:instrText>
      </w:r>
      <w:r w:rsidR="00074B99" w:rsidRPr="00F00DCE">
        <w:fldChar w:fldCharType="separate"/>
      </w:r>
      <w:r>
        <w:t>75</w:t>
      </w:r>
      <w:r w:rsidR="00074B99" w:rsidRPr="00F00DCE">
        <w:fldChar w:fldCharType="end"/>
      </w:r>
      <w:r w:rsidR="00074B99">
        <w:t>), și (iii) aparenta absență (sau lipsa de calitate) a formării centrate pe nevoile victimelor unor astfel de acte și pe prevenirea „revictimizării”, pe care statul pârât trebuie, în temeiul obligațiilor sale internaționale, să o asigure personalului său profesional care lucrează cu victimele violenței dintre bărbați și femei (</w:t>
      </w:r>
      <w:r w:rsidR="00074B99">
        <w:rPr>
          <w:i/>
          <w:iCs/>
        </w:rPr>
        <w:t>supra</w:t>
      </w:r>
      <w:r w:rsidR="00074B99">
        <w:t xml:space="preserve">, pct. </w:t>
      </w:r>
      <w:r w:rsidR="00074B99" w:rsidRPr="00F00DCE">
        <w:fldChar w:fldCharType="begin"/>
      </w:r>
      <w:r w:rsidR="00074B99" w:rsidRPr="00F00DCE">
        <w:instrText xml:space="preserve"> REF paragraph00121 \h  \* CharFormat </w:instrText>
      </w:r>
      <w:r w:rsidR="00074B99" w:rsidRPr="00F00DCE">
        <w:fldChar w:fldCharType="separate"/>
      </w:r>
      <w:r>
        <w:t>87</w:t>
      </w:r>
      <w:r w:rsidR="00074B99" w:rsidRPr="00F00DCE">
        <w:fldChar w:fldCharType="end"/>
      </w:r>
      <w:r w:rsidR="00074B99">
        <w:t xml:space="preserve"> și </w:t>
      </w:r>
      <w:r w:rsidR="00074B99" w:rsidRPr="00F00DCE">
        <w:fldChar w:fldCharType="begin"/>
      </w:r>
      <w:r w:rsidR="00074B99" w:rsidRPr="00F00DCE">
        <w:instrText xml:space="preserve"> REF paragraph00162 \h  \* CharFormat </w:instrText>
      </w:r>
      <w:r w:rsidR="00074B99" w:rsidRPr="00F00DCE">
        <w:fldChar w:fldCharType="separate"/>
      </w:r>
      <w:r>
        <w:t>92</w:t>
      </w:r>
      <w:r w:rsidR="00074B99" w:rsidRPr="00F00DCE">
        <w:fldChar w:fldCharType="end"/>
      </w:r>
      <w:r w:rsidR="00074B99">
        <w:t>-</w:t>
      </w:r>
      <w:r w:rsidR="00074B99" w:rsidRPr="00F00DCE">
        <w:fldChar w:fldCharType="begin"/>
      </w:r>
      <w:r w:rsidR="00074B99" w:rsidRPr="00F00DCE">
        <w:instrText xml:space="preserve"> REF paragraph00165 \h  \* CharFormat  \* MERGEFORMAT </w:instrText>
      </w:r>
      <w:r w:rsidR="00074B99" w:rsidRPr="00F00DCE">
        <w:fldChar w:fldCharType="separate"/>
      </w:r>
      <w:r>
        <w:t>94</w:t>
      </w:r>
      <w:r w:rsidR="00074B99" w:rsidRPr="00F00DCE">
        <w:fldChar w:fldCharType="end"/>
      </w:r>
      <w:r w:rsidR="00074B99">
        <w:t>).</w:t>
      </w:r>
    </w:p>
    <w:p w:rsidR="0021702B" w:rsidRPr="00F00DCE" w:rsidRDefault="00074B99" w:rsidP="00F00DCE">
      <w:pPr>
        <w:pStyle w:val="JuPara"/>
        <w:rPr>
          <w:rFonts w:eastAsia="Times New Roman"/>
        </w:rPr>
      </w:pPr>
      <w:r w:rsidRPr="00F00DCE">
        <w:rPr>
          <w:rFonts w:eastAsia="Times New Roman"/>
        </w:rPr>
        <w:fldChar w:fldCharType="begin"/>
      </w:r>
      <w:r w:rsidRPr="00F00DCE">
        <w:rPr>
          <w:rFonts w:eastAsia="Times New Roman"/>
        </w:rPr>
        <w:instrText xml:space="preserve"> SEQ level0 \*arabic \* MERGEFORMAT </w:instrText>
      </w:r>
      <w:r w:rsidRPr="00F00DCE">
        <w:rPr>
          <w:rFonts w:eastAsia="Times New Roman"/>
        </w:rPr>
        <w:fldChar w:fldCharType="separate"/>
      </w:r>
      <w:r w:rsidR="0094597A">
        <w:rPr>
          <w:rFonts w:eastAsia="Times New Roman"/>
          <w:noProof/>
        </w:rPr>
        <w:t>148</w:t>
      </w:r>
      <w:r w:rsidRPr="00F00DCE">
        <w:rPr>
          <w:rFonts w:eastAsia="Times New Roman"/>
        </w:rPr>
        <w:fldChar w:fldCharType="end"/>
      </w:r>
      <w:r>
        <w:t>.</w:t>
      </w:r>
      <w:r w:rsidR="00B3763A">
        <w:t xml:space="preserve"> </w:t>
      </w:r>
      <w:r>
        <w:t>Prin urmare, Curtea este de acord cu opinia judecătoriei că argumentele și considerațiile de mai sus invocate de parchet (</w:t>
      </w:r>
      <w:r>
        <w:rPr>
          <w:i/>
          <w:iCs/>
        </w:rPr>
        <w:t>supra</w:t>
      </w:r>
      <w:r>
        <w:t xml:space="preserve">, pct. </w:t>
      </w:r>
      <w:r w:rsidRPr="00F00DCE">
        <w:rPr>
          <w:rFonts w:eastAsia="Times New Roman"/>
        </w:rPr>
        <w:fldChar w:fldCharType="begin"/>
      </w:r>
      <w:r w:rsidRPr="00F00DCE">
        <w:rPr>
          <w:rFonts w:eastAsia="Times New Roman"/>
        </w:rPr>
        <w:instrText xml:space="preserve"> REF paragraph00071 \h  \* CharFormat  \* MERGEFORMAT </w:instrText>
      </w:r>
      <w:r w:rsidRPr="00F00DCE">
        <w:rPr>
          <w:rFonts w:eastAsia="Times New Roman"/>
        </w:rPr>
      </w:r>
      <w:r w:rsidRPr="00F00DCE">
        <w:rPr>
          <w:rFonts w:eastAsia="Times New Roman"/>
        </w:rPr>
        <w:fldChar w:fldCharType="separate"/>
      </w:r>
      <w:r w:rsidR="0094597A" w:rsidRPr="0094597A">
        <w:rPr>
          <w:rFonts w:eastAsia="Times New Roman"/>
        </w:rPr>
        <w:t>42</w:t>
      </w:r>
      <w:r w:rsidRPr="00F00DCE">
        <w:rPr>
          <w:rFonts w:eastAsia="Times New Roman"/>
        </w:rPr>
        <w:fldChar w:fldCharType="end"/>
      </w:r>
      <w:r>
        <w:t xml:space="preserve">) nu erau relevante sau utile pentru a aprecia încetarea anchetei cu privire la V.C.A. (chestiune care ar fi putut fi examinată în lumina faptelor obiective și a rezultatelor procedurii deschise de reclamantă împotriva lui V.C.A.) și nici decisive pentru soluționarea cauzei (a se vedea, </w:t>
      </w:r>
      <w:r>
        <w:rPr>
          <w:i/>
        </w:rPr>
        <w:t>mutatis mutandis</w:t>
      </w:r>
      <w:r>
        <w:t xml:space="preserve">, </w:t>
      </w:r>
      <w:r>
        <w:rPr>
          <w:i/>
        </w:rPr>
        <w:t>J.L. împotriva Italiei</w:t>
      </w:r>
      <w:r>
        <w:t>, citată anterior, pct. 137, cu trimiterile suplimentare).</w:t>
      </w:r>
    </w:p>
    <w:p w:rsidR="0021702B" w:rsidRPr="00F00DCE" w:rsidRDefault="00074B99" w:rsidP="00F00DCE">
      <w:pPr>
        <w:pStyle w:val="JuPara"/>
      </w:pPr>
      <w:r w:rsidRPr="00F00DCE">
        <w:rPr>
          <w:rFonts w:eastAsia="Times New Roman"/>
        </w:rPr>
        <w:fldChar w:fldCharType="begin"/>
      </w:r>
      <w:r w:rsidRPr="00F00DCE">
        <w:rPr>
          <w:rFonts w:eastAsia="Times New Roman"/>
        </w:rPr>
        <w:instrText xml:space="preserve"> SEQ level0 \*arabic \* MERGEFORMAT </w:instrText>
      </w:r>
      <w:r w:rsidRPr="00F00DCE">
        <w:rPr>
          <w:rFonts w:eastAsia="Times New Roman"/>
        </w:rPr>
        <w:fldChar w:fldCharType="separate"/>
      </w:r>
      <w:bookmarkStart w:id="96" w:name="paragraph00200"/>
      <w:r w:rsidR="0094597A">
        <w:rPr>
          <w:rFonts w:eastAsia="Times New Roman"/>
          <w:noProof/>
        </w:rPr>
        <w:t>149</w:t>
      </w:r>
      <w:bookmarkEnd w:id="96"/>
      <w:r w:rsidRPr="00F00DCE">
        <w:rPr>
          <w:rFonts w:eastAsia="Times New Roman"/>
        </w:rPr>
        <w:fldChar w:fldCharType="end"/>
      </w:r>
      <w:r>
        <w:t>.</w:t>
      </w:r>
      <w:r w:rsidR="00B3763A">
        <w:t xml:space="preserve"> </w:t>
      </w:r>
      <w:r>
        <w:t xml:space="preserve">Curtea reiterează faptul că capacitatea unei anchete să-și bazeze concluziile pe o analiză amănunțită, obiectivă și imparțială a tuturor elementelor relevante ale unei cauze este unul dintre parametrii interdependenți care, luați împreună, permit Curții să evalueze gradul de eficacitate al unei anchete și, prin urmare, respectarea de către autorități a obligației procedurale care le revine acestora în temeiul, </w:t>
      </w:r>
      <w:r>
        <w:rPr>
          <w:i/>
        </w:rPr>
        <w:t>inter alia</w:t>
      </w:r>
      <w:r>
        <w:t xml:space="preserve">, art. 8 din Convenție [a se vedea </w:t>
      </w:r>
      <w:bookmarkStart w:id="97" w:name="_cl35437"/>
      <w:r>
        <w:rPr>
          <w:i/>
        </w:rPr>
        <w:t>S.M. împotriva Croației</w:t>
      </w:r>
      <w:bookmarkEnd w:id="97"/>
      <w:r>
        <w:t xml:space="preserve"> (MC), nr. 60561/14, pct. 312-20, 25 iunie 2020, în contextul art. 4 din Convenție; </w:t>
      </w:r>
      <w:bookmarkStart w:id="98" w:name="_cl40459"/>
      <w:r>
        <w:rPr>
          <w:i/>
        </w:rPr>
        <w:t>N.Ç. împotriva Turciei</w:t>
      </w:r>
      <w:bookmarkEnd w:id="98"/>
      <w:r>
        <w:t xml:space="preserve">, </w:t>
      </w:r>
      <w:r>
        <w:lastRenderedPageBreak/>
        <w:t xml:space="preserve">nr. 40591/11, pct. 97, 9 februarie 2021, în contextul art. 2 și 3 din Convenție; și </w:t>
      </w:r>
      <w:r>
        <w:rPr>
          <w:i/>
        </w:rPr>
        <w:t>J.L. împotriva Italiei</w:t>
      </w:r>
      <w:r>
        <w:t>, citată anterior, pct. 124].</w:t>
      </w:r>
    </w:p>
    <w:p w:rsidR="0021702B" w:rsidRPr="00F00DCE" w:rsidRDefault="0094597A" w:rsidP="00F00DCE">
      <w:pPr>
        <w:pStyle w:val="JuPara"/>
      </w:pPr>
      <w:r>
        <w:fldChar w:fldCharType="begin"/>
      </w:r>
      <w:r>
        <w:instrText xml:space="preserve"> SEQ level0 \*arabic \* MERGEFORMAT </w:instrText>
      </w:r>
      <w:r>
        <w:fldChar w:fldCharType="separate"/>
      </w:r>
      <w:bookmarkStart w:id="99" w:name="paragraph00154"/>
      <w:r>
        <w:rPr>
          <w:noProof/>
        </w:rPr>
        <w:t>150</w:t>
      </w:r>
      <w:bookmarkEnd w:id="99"/>
      <w:r>
        <w:rPr>
          <w:noProof/>
        </w:rPr>
        <w:fldChar w:fldCharType="end"/>
      </w:r>
      <w:r w:rsidR="00074B99">
        <w:t>.</w:t>
      </w:r>
      <w:r w:rsidR="00B3763A">
        <w:t xml:space="preserve"> </w:t>
      </w:r>
      <w:r w:rsidR="00074B99">
        <w:t xml:space="preserve">Judecătoria a confirmat ordonanța parchetului cu privire la infracțiunea de violare a vieții private fără a aborda în mod expres argumentele reclamantei potrivit cărora acesta era nelegală și, în special, potrivit cărora practica internă privind interpretarea art. 226 C. </w:t>
      </w:r>
      <w:proofErr w:type="spellStart"/>
      <w:r w:rsidR="00074B99">
        <w:t>pen</w:t>
      </w:r>
      <w:proofErr w:type="spellEnd"/>
      <w:r w:rsidR="00074B99">
        <w:t>. în această privință nu era consecventă (</w:t>
      </w:r>
      <w:r w:rsidR="00074B99">
        <w:rPr>
          <w:i/>
          <w:iCs/>
        </w:rPr>
        <w:t>supra</w:t>
      </w:r>
      <w:r w:rsidR="00074B99">
        <w:t xml:space="preserve">, pct. </w:t>
      </w:r>
      <w:r w:rsidR="00074B99" w:rsidRPr="00F00DCE">
        <w:fldChar w:fldCharType="begin"/>
      </w:r>
      <w:r w:rsidR="00074B99" w:rsidRPr="00F00DCE">
        <w:instrText xml:space="preserve"> REF paragraph00080 \h  \* CharFormat  \* MERGEFORMAT </w:instrText>
      </w:r>
      <w:r w:rsidR="00074B99" w:rsidRPr="00F00DCE">
        <w:fldChar w:fldCharType="separate"/>
      </w:r>
      <w:r>
        <w:t>51</w:t>
      </w:r>
      <w:r w:rsidR="00074B99" w:rsidRPr="00F00DCE">
        <w:fldChar w:fldCharType="end"/>
      </w:r>
      <w:r w:rsidR="00074B99">
        <w:t>-</w:t>
      </w:r>
      <w:r w:rsidR="00074B99" w:rsidRPr="00F00DCE">
        <w:fldChar w:fldCharType="begin"/>
      </w:r>
      <w:r w:rsidR="00074B99" w:rsidRPr="00F00DCE">
        <w:instrText xml:space="preserve"> REF paragraph00057 \h  \* CharFormat </w:instrText>
      </w:r>
      <w:r w:rsidR="00074B99" w:rsidRPr="00F00DCE">
        <w:fldChar w:fldCharType="separate"/>
      </w:r>
      <w:r>
        <w:t>53</w:t>
      </w:r>
      <w:r w:rsidR="00074B99" w:rsidRPr="00F00DCE">
        <w:fldChar w:fldCharType="end"/>
      </w:r>
      <w:r w:rsidR="00074B99">
        <w:t xml:space="preserve"> și </w:t>
      </w:r>
      <w:r w:rsidR="00074B99" w:rsidRPr="00F00DCE">
        <w:fldChar w:fldCharType="begin"/>
      </w:r>
      <w:r w:rsidR="00074B99" w:rsidRPr="00F00DCE">
        <w:instrText xml:space="preserve"> REF paragraph00053 \h  \* CharFormat  \* MERGEFORMAT </w:instrText>
      </w:r>
      <w:r w:rsidR="00074B99" w:rsidRPr="00F00DCE">
        <w:fldChar w:fldCharType="separate"/>
      </w:r>
      <w:r>
        <w:t>57</w:t>
      </w:r>
      <w:r w:rsidR="00074B99" w:rsidRPr="00F00DCE">
        <w:fldChar w:fldCharType="end"/>
      </w:r>
      <w:r w:rsidR="00074B99">
        <w:t>-</w:t>
      </w:r>
      <w:r w:rsidR="00074B99" w:rsidRPr="00F00DCE">
        <w:fldChar w:fldCharType="begin"/>
      </w:r>
      <w:r w:rsidR="00074B99" w:rsidRPr="00F00DCE">
        <w:instrText xml:space="preserve"> REF paragraph00098 \h  \* CharFormat </w:instrText>
      </w:r>
      <w:r w:rsidR="00074B99" w:rsidRPr="00F00DCE">
        <w:fldChar w:fldCharType="separate"/>
      </w:r>
      <w:r>
        <w:t>58</w:t>
      </w:r>
      <w:r w:rsidR="00074B99" w:rsidRPr="00F00DCE">
        <w:fldChar w:fldCharType="end"/>
      </w:r>
      <w:r w:rsidR="00074B99">
        <w:t>). În același timp, a respins ordonanța parchetului cu privire la infracțiunea de fals informatic și a dispus ca acesta să reia ancheta cu privire la această infracțiune. Parchetul a refuzat totuși să urmeze dispozițiile instanței din motive care nu numai că au fost considerate în esență nelegale de către instanțele naționale (</w:t>
      </w:r>
      <w:r w:rsidR="00074B99">
        <w:rPr>
          <w:i/>
          <w:iCs/>
        </w:rPr>
        <w:t>supra</w:t>
      </w:r>
      <w:r w:rsidR="00074B99">
        <w:t xml:space="preserve">, pct. </w:t>
      </w:r>
      <w:r w:rsidR="00074B99" w:rsidRPr="00F00DCE">
        <w:fldChar w:fldCharType="begin"/>
      </w:r>
      <w:r w:rsidR="00074B99" w:rsidRPr="00F00DCE">
        <w:instrText xml:space="preserve"> REF paragraph00092 \h  \* CharFormat </w:instrText>
      </w:r>
      <w:r w:rsidR="00074B99" w:rsidRPr="00F00DCE">
        <w:fldChar w:fldCharType="separate"/>
      </w:r>
      <w:r>
        <w:t>67</w:t>
      </w:r>
      <w:r w:rsidR="00074B99" w:rsidRPr="00F00DCE">
        <w:fldChar w:fldCharType="end"/>
      </w:r>
      <w:r w:rsidR="00074B99">
        <w:noBreakHyphen/>
      </w:r>
      <w:r w:rsidR="00074B99" w:rsidRPr="00F00DCE">
        <w:fldChar w:fldCharType="begin"/>
      </w:r>
      <w:r w:rsidR="00074B99" w:rsidRPr="00F00DCE">
        <w:instrText xml:space="preserve"> REF paragraph00125 \h  \* CharFormat </w:instrText>
      </w:r>
      <w:r w:rsidR="00074B99" w:rsidRPr="00F00DCE">
        <w:fldChar w:fldCharType="separate"/>
      </w:r>
      <w:r>
        <w:t>70</w:t>
      </w:r>
      <w:r w:rsidR="00074B99" w:rsidRPr="00F00DCE">
        <w:fldChar w:fldCharType="end"/>
      </w:r>
      <w:r w:rsidR="00074B99">
        <w:t>), dar pe care și Curtea le consideră surprinzătoare, având în vedere că, în ianuarie 2022, ancheta ar fi putut fi clasată pur și simplu pe motiv că termenul de prescripție în ceea ce privește respectiva infracțiune se împlinise în noiembrie 2021 (</w:t>
      </w:r>
      <w:r w:rsidR="00074B99">
        <w:rPr>
          <w:i/>
          <w:iCs/>
        </w:rPr>
        <w:t>supra</w:t>
      </w:r>
      <w:r w:rsidR="00074B99">
        <w:t xml:space="preserve">, pct. </w:t>
      </w:r>
      <w:r w:rsidR="00074B99" w:rsidRPr="00F00DCE">
        <w:fldChar w:fldCharType="begin"/>
      </w:r>
      <w:r w:rsidR="00074B99" w:rsidRPr="00F00DCE">
        <w:instrText xml:space="preserve"> REF paragraph00120 \h  \* CharFormat </w:instrText>
      </w:r>
      <w:r w:rsidR="00074B99" w:rsidRPr="00F00DCE">
        <w:fldChar w:fldCharType="separate"/>
      </w:r>
      <w:r>
        <w:t>69</w:t>
      </w:r>
      <w:r w:rsidR="00074B99" w:rsidRPr="00F00DCE">
        <w:fldChar w:fldCharType="end"/>
      </w:r>
      <w:r w:rsidR="00074B99">
        <w:t>-</w:t>
      </w:r>
      <w:r w:rsidR="00074B99" w:rsidRPr="00F00DCE">
        <w:fldChar w:fldCharType="begin"/>
      </w:r>
      <w:r w:rsidR="00074B99" w:rsidRPr="00F00DCE">
        <w:instrText xml:space="preserve"> REF paragraph00125 \h  \* CharFormat  \* MERGEFORMAT </w:instrText>
      </w:r>
      <w:r w:rsidR="00074B99" w:rsidRPr="00F00DCE">
        <w:fldChar w:fldCharType="separate"/>
      </w:r>
      <w:r>
        <w:t>70</w:t>
      </w:r>
      <w:r w:rsidR="00074B99" w:rsidRPr="00F00DCE">
        <w:fldChar w:fldCharType="end"/>
      </w:r>
      <w:r w:rsidR="00074B99">
        <w:t>). Curtea consideră ordonanța parchetului ca fiind deosebit de îngrijorătoare, întrucât semnalează un refuz flagrant de a urma dispozițiile instanței, deși – așa cum a subliniat judecătoria – acesta era obligat prin lege să o urmeze.</w:t>
      </w:r>
    </w:p>
    <w:p w:rsidR="0021702B" w:rsidRPr="00F00DCE" w:rsidRDefault="0094597A" w:rsidP="00F00DCE">
      <w:pPr>
        <w:pStyle w:val="JuPara"/>
      </w:pPr>
      <w:r>
        <w:fldChar w:fldCharType="begin"/>
      </w:r>
      <w:r>
        <w:instrText xml:space="preserve"> SEQ level0 \*arabic \* MERGEFORMAT </w:instrText>
      </w:r>
      <w:r>
        <w:fldChar w:fldCharType="separate"/>
      </w:r>
      <w:bookmarkStart w:id="100" w:name="paragraph00203"/>
      <w:r>
        <w:rPr>
          <w:noProof/>
        </w:rPr>
        <w:t>151</w:t>
      </w:r>
      <w:bookmarkEnd w:id="100"/>
      <w:r>
        <w:rPr>
          <w:noProof/>
        </w:rPr>
        <w:fldChar w:fldCharType="end"/>
      </w:r>
      <w:r w:rsidR="00074B99">
        <w:t>.</w:t>
      </w:r>
      <w:r w:rsidR="00B3763A">
        <w:t xml:space="preserve"> </w:t>
      </w:r>
      <w:r w:rsidR="00074B99">
        <w:t>Curtea observă și că, deși judecătoria pare să fi împărtășit opinia reclamantei că ancheta ar fi trebuit redeschisă (</w:t>
      </w:r>
      <w:r w:rsidR="00074B99">
        <w:rPr>
          <w:i/>
          <w:iCs/>
        </w:rPr>
        <w:t>supra</w:t>
      </w:r>
      <w:r w:rsidR="00074B99">
        <w:t xml:space="preserve">, pct. </w:t>
      </w:r>
      <w:r w:rsidR="00074B99" w:rsidRPr="00F00DCE">
        <w:fldChar w:fldCharType="begin"/>
      </w:r>
      <w:r w:rsidR="00074B99" w:rsidRPr="00F00DCE">
        <w:instrText xml:space="preserve"> REF paragraph00120 \h  \* CharFormat  \* MERGEFORMAT </w:instrText>
      </w:r>
      <w:r w:rsidR="00074B99" w:rsidRPr="00F00DCE">
        <w:fldChar w:fldCharType="separate"/>
      </w:r>
      <w:r>
        <w:t>69</w:t>
      </w:r>
      <w:r w:rsidR="00074B99" w:rsidRPr="00F00DCE">
        <w:fldChar w:fldCharType="end"/>
      </w:r>
      <w:r w:rsidR="00074B99">
        <w:t>-</w:t>
      </w:r>
      <w:r w:rsidR="00074B99" w:rsidRPr="00F00DCE">
        <w:fldChar w:fldCharType="begin"/>
      </w:r>
      <w:r w:rsidR="00074B99" w:rsidRPr="00F00DCE">
        <w:instrText xml:space="preserve"> REF paragraph00125 \h  \* CharFormat  \* MERGEFORMAT </w:instrText>
      </w:r>
      <w:r w:rsidR="00074B99" w:rsidRPr="00F00DCE">
        <w:fldChar w:fldCharType="separate"/>
      </w:r>
      <w:r>
        <w:t>70</w:t>
      </w:r>
      <w:r w:rsidR="00074B99" w:rsidRPr="00F00DCE">
        <w:fldChar w:fldCharType="end"/>
      </w:r>
      <w:r w:rsidR="00074B99">
        <w:t>), instanța nu mai putea să o facă deoarece se împlinise termenul de prescripție în ceea ce privește infracțiunea de fals informatic, în mod similar cu ancheta cu privire la infracțiunile de hărțuire și amenințare (</w:t>
      </w:r>
      <w:r w:rsidR="00074B99">
        <w:rPr>
          <w:i/>
          <w:iCs/>
        </w:rPr>
        <w:t>supra</w:t>
      </w:r>
      <w:r w:rsidR="00074B99">
        <w:t xml:space="preserve">, pct. </w:t>
      </w:r>
      <w:r w:rsidR="00074B99" w:rsidRPr="00F00DCE">
        <w:fldChar w:fldCharType="begin"/>
      </w:r>
      <w:r w:rsidR="00074B99" w:rsidRPr="00F00DCE">
        <w:instrText xml:space="preserve"> REF paragraph00234 \h  \* CharFormat </w:instrText>
      </w:r>
      <w:r w:rsidR="00074B99" w:rsidRPr="00F00DCE">
        <w:fldChar w:fldCharType="separate"/>
      </w:r>
      <w:r>
        <w:t>146</w:t>
      </w:r>
      <w:r w:rsidR="00074B99" w:rsidRPr="00F00DCE">
        <w:fldChar w:fldCharType="end"/>
      </w:r>
      <w:r w:rsidR="00074B99">
        <w:t>).</w:t>
      </w:r>
    </w:p>
    <w:p w:rsidR="0021702B" w:rsidRPr="00F00DCE" w:rsidRDefault="0094597A" w:rsidP="00F00DCE">
      <w:pPr>
        <w:pStyle w:val="JuPara"/>
      </w:pPr>
      <w:r>
        <w:fldChar w:fldCharType="begin"/>
      </w:r>
      <w:r>
        <w:instrText xml:space="preserve"> SEQ level0 \*arabic \* MERGEFORMAT </w:instrText>
      </w:r>
      <w:r>
        <w:fldChar w:fldCharType="separate"/>
      </w:r>
      <w:bookmarkStart w:id="101" w:name="paragraph00206"/>
      <w:r>
        <w:rPr>
          <w:noProof/>
        </w:rPr>
        <w:t>152</w:t>
      </w:r>
      <w:bookmarkEnd w:id="101"/>
      <w:r>
        <w:rPr>
          <w:noProof/>
        </w:rPr>
        <w:fldChar w:fldCharType="end"/>
      </w:r>
      <w:r w:rsidR="00074B99">
        <w:t>.</w:t>
      </w:r>
      <w:r w:rsidR="00B3763A">
        <w:t xml:space="preserve"> </w:t>
      </w:r>
      <w:r w:rsidR="00074B99">
        <w:t>Fără îndoială că autoritățile erau sau ar fi trebuit să fie pe deplin conștiente încă de la declanșarea urmării penale de data specifică la care se împlinea termenul de prescripție pentru fiecare dintre infracțiunile cercetate, în lipsa oricărei neînțelegeri posibile cu privire la datele în discuție pe motive legate, de exemplu, de modificări în legislația națională relevantă (</w:t>
      </w:r>
      <w:r w:rsidR="00074B99">
        <w:rPr>
          <w:i/>
          <w:iCs/>
        </w:rPr>
        <w:t>supra</w:t>
      </w:r>
      <w:r w:rsidR="00074B99">
        <w:t xml:space="preserve">, pct. </w:t>
      </w:r>
      <w:r w:rsidR="00074B99" w:rsidRPr="00F00DCE">
        <w:fldChar w:fldCharType="begin"/>
      </w:r>
      <w:r w:rsidR="00074B99" w:rsidRPr="00F00DCE">
        <w:instrText xml:space="preserve"> REF paragraph00044 \h  \* CharFormat </w:instrText>
      </w:r>
      <w:r w:rsidR="00074B99" w:rsidRPr="00F00DCE">
        <w:fldChar w:fldCharType="separate"/>
      </w:r>
      <w:r>
        <w:t>34</w:t>
      </w:r>
      <w:r w:rsidR="00074B99" w:rsidRPr="00F00DCE">
        <w:fldChar w:fldCharType="end"/>
      </w:r>
      <w:r w:rsidR="00074B99">
        <w:t>) sau în jurisprudență. Totuși, acestea nu s-au conformat obligației lor inerente de a efectua o investigație înainte de împlinirea termenului în cauză.</w:t>
      </w:r>
    </w:p>
    <w:p w:rsidR="0021702B" w:rsidRPr="00F00DCE" w:rsidRDefault="0094597A" w:rsidP="00F00DCE">
      <w:pPr>
        <w:pStyle w:val="JuPara"/>
      </w:pPr>
      <w:r>
        <w:fldChar w:fldCharType="begin"/>
      </w:r>
      <w:r>
        <w:instrText xml:space="preserve"> SEQ level0 \*arabic \* MERGEFORMAT </w:instrText>
      </w:r>
      <w:r>
        <w:fldChar w:fldCharType="separate"/>
      </w:r>
      <w:r>
        <w:rPr>
          <w:noProof/>
        </w:rPr>
        <w:t>153</w:t>
      </w:r>
      <w:r>
        <w:rPr>
          <w:noProof/>
        </w:rPr>
        <w:fldChar w:fldCharType="end"/>
      </w:r>
      <w:r w:rsidR="00074B99">
        <w:t>.</w:t>
      </w:r>
      <w:r w:rsidR="00B3763A">
        <w:t xml:space="preserve"> </w:t>
      </w:r>
      <w:r w:rsidR="00074B99">
        <w:t>Guvernul nu a indicat niciun element de probă convingător potrivit căruia reclamanta ar fi responsabilă în vreun fel de împlinirea termenului de prescripție, având în vedere că aceasta a prezentat anchetatorilor toate informațiile și probele pertinente cu privire la faptele lui V.C.A. suficient de devreme în cadrul procedurii pentru a le oferi acestora suficient timp pentru a investiga și pentru a încadra juridic corespunzător faptele lui V.C.A. și pentru a-l trage la răspundere.</w:t>
      </w:r>
    </w:p>
    <w:p w:rsidR="00C56DB3" w:rsidRPr="00F00DCE" w:rsidRDefault="0094597A" w:rsidP="00F00DCE">
      <w:pPr>
        <w:pStyle w:val="JuPara"/>
      </w:pPr>
      <w:r>
        <w:fldChar w:fldCharType="begin"/>
      </w:r>
      <w:r>
        <w:instrText xml:space="preserve"> SEQ level0 \*arabic \* MERGEFORMAT </w:instrText>
      </w:r>
      <w:r>
        <w:fldChar w:fldCharType="separate"/>
      </w:r>
      <w:bookmarkStart w:id="102" w:name="paragraph00205"/>
      <w:r>
        <w:rPr>
          <w:noProof/>
        </w:rPr>
        <w:t>154</w:t>
      </w:r>
      <w:bookmarkEnd w:id="102"/>
      <w:r>
        <w:rPr>
          <w:noProof/>
        </w:rPr>
        <w:fldChar w:fldCharType="end"/>
      </w:r>
      <w:r w:rsidR="00074B99">
        <w:t>.</w:t>
      </w:r>
      <w:r w:rsidR="00B3763A">
        <w:t xml:space="preserve"> </w:t>
      </w:r>
      <w:r w:rsidR="00074B99">
        <w:t xml:space="preserve">Curtea consideră că deficiența menționată a autorităților (pct. </w:t>
      </w:r>
      <w:r w:rsidR="0021702B" w:rsidRPr="00F00DCE">
        <w:fldChar w:fldCharType="begin"/>
      </w:r>
      <w:r w:rsidR="0021702B" w:rsidRPr="00F00DCE">
        <w:instrText xml:space="preserve"> REF paragraph00206 \h  \* CharFormat  \* MERGEFORMAT </w:instrText>
      </w:r>
      <w:r w:rsidR="0021702B" w:rsidRPr="00F00DCE">
        <w:fldChar w:fldCharType="separate"/>
      </w:r>
      <w:r>
        <w:t>152</w:t>
      </w:r>
      <w:r w:rsidR="0021702B" w:rsidRPr="00F00DCE">
        <w:fldChar w:fldCharType="end"/>
      </w:r>
      <w:r w:rsidR="00074B99">
        <w:t xml:space="preserve"> </w:t>
      </w:r>
      <w:r w:rsidR="00074B99">
        <w:rPr>
          <w:i/>
        </w:rPr>
        <w:t>in fine</w:t>
      </w:r>
      <w:r w:rsidR="00074B99">
        <w:t>) și efectele acesteia pun și mai mult la îndoială capacitatea și dorința acestora de a efectua o cercetare o anchetă rapidă și aprofundată în cauza reclamantei, ceea ce era vital pentru a menține încrederea publicului în respectarea statului de drept și pentru prevenirea oricărei aparențe de complicitate sau toleranță față de fapte ilegale.</w:t>
      </w:r>
    </w:p>
    <w:p w:rsidR="0021702B" w:rsidRPr="00F00DCE" w:rsidRDefault="0094597A" w:rsidP="00F00DCE">
      <w:pPr>
        <w:pStyle w:val="JuPara"/>
        <w:rPr>
          <w:rFonts w:cstheme="minorHAnsi"/>
          <w:color w:val="000000"/>
        </w:rPr>
      </w:pPr>
      <w:r>
        <w:lastRenderedPageBreak/>
        <w:fldChar w:fldCharType="begin"/>
      </w:r>
      <w:r>
        <w:instrText xml:space="preserve"> SEQ level0 \*arabic \* MERGEFORMAT </w:instrText>
      </w:r>
      <w:r>
        <w:fldChar w:fldCharType="separate"/>
      </w:r>
      <w:bookmarkStart w:id="103" w:name="paragraph00242"/>
      <w:r>
        <w:rPr>
          <w:noProof/>
        </w:rPr>
        <w:t>155</w:t>
      </w:r>
      <w:bookmarkEnd w:id="103"/>
      <w:r>
        <w:rPr>
          <w:noProof/>
        </w:rPr>
        <w:fldChar w:fldCharType="end"/>
      </w:r>
      <w:r w:rsidR="00074B99">
        <w:t>.</w:t>
      </w:r>
      <w:r w:rsidR="00B3763A">
        <w:t xml:space="preserve"> </w:t>
      </w:r>
      <w:r w:rsidR="00074B99">
        <w:t>Curtea reține argumentul Guvernului că autoritățile și-au respectat obligația de a efectua o anchetă efectivă având în vedere că i-au impus sancțiuni adecvate lui V.C.A. care i-au putut oferi reclamantei reparații corecte</w:t>
      </w:r>
      <w:r w:rsidR="00074B99">
        <w:rPr>
          <w:color w:val="000000"/>
        </w:rPr>
        <w:t>, din punct de vedere al legislației penale, pentru suferința îndurată (</w:t>
      </w:r>
      <w:r w:rsidR="00074B99">
        <w:rPr>
          <w:i/>
          <w:iCs/>
          <w:color w:val="000000"/>
        </w:rPr>
        <w:t>supra</w:t>
      </w:r>
      <w:r w:rsidR="00074B99">
        <w:rPr>
          <w:color w:val="000000"/>
        </w:rPr>
        <w:t xml:space="preserve">, pct. </w:t>
      </w:r>
      <w:r w:rsidR="00074B99" w:rsidRPr="00F00DCE">
        <w:rPr>
          <w:rFonts w:cstheme="minorHAnsi"/>
          <w:color w:val="000000"/>
        </w:rPr>
        <w:fldChar w:fldCharType="begin"/>
      </w:r>
      <w:r w:rsidR="00074B99" w:rsidRPr="00F00DCE">
        <w:rPr>
          <w:rFonts w:cstheme="minorHAnsi"/>
          <w:color w:val="000000"/>
        </w:rPr>
        <w:instrText xml:space="preserve"> REF paragraph00178 \h  \* CharFormat  \* MERGEFORMAT </w:instrText>
      </w:r>
      <w:r w:rsidR="00074B99" w:rsidRPr="00F00DCE">
        <w:rPr>
          <w:rFonts w:cstheme="minorHAnsi"/>
          <w:color w:val="000000"/>
        </w:rPr>
      </w:r>
      <w:r w:rsidR="00074B99" w:rsidRPr="00F00DCE">
        <w:rPr>
          <w:rFonts w:cstheme="minorHAnsi"/>
          <w:color w:val="000000"/>
        </w:rPr>
        <w:fldChar w:fldCharType="separate"/>
      </w:r>
      <w:r w:rsidRPr="0094597A">
        <w:rPr>
          <w:rFonts w:cstheme="minorHAnsi"/>
          <w:color w:val="000000"/>
        </w:rPr>
        <w:t>110</w:t>
      </w:r>
      <w:r w:rsidR="00074B99" w:rsidRPr="00F00DCE">
        <w:rPr>
          <w:rFonts w:cstheme="minorHAnsi"/>
          <w:color w:val="000000"/>
        </w:rPr>
        <w:fldChar w:fldCharType="end"/>
      </w:r>
      <w:r w:rsidR="00074B99">
        <w:rPr>
          <w:color w:val="000000"/>
        </w:rPr>
        <w:t xml:space="preserve">). </w:t>
      </w:r>
      <w:r w:rsidR="00074B99">
        <w:t>Totuși, Curtea observă că judecătoria a constatat că motivarea dată de parchet deciziei sale de a impune sancțiunile în chestiune (i) nu a ținut seama de interesele publice în joc și (ii) a ignorat natura deosebit de periculoasă a faptelor lui V.C.A. și gravul prejudiciu psihic suferit de reclamantă (</w:t>
      </w:r>
      <w:r w:rsidR="00074B99">
        <w:rPr>
          <w:i/>
          <w:iCs/>
        </w:rPr>
        <w:t>supra</w:t>
      </w:r>
      <w:r w:rsidR="00074B99">
        <w:t xml:space="preserve">, pct. </w:t>
      </w:r>
      <w:r w:rsidR="00074B99" w:rsidRPr="00F00DCE">
        <w:rPr>
          <w:rFonts w:cstheme="minorHAnsi"/>
          <w:color w:val="000000"/>
        </w:rPr>
        <w:fldChar w:fldCharType="begin"/>
      </w:r>
      <w:r w:rsidR="00074B99" w:rsidRPr="00F00DCE">
        <w:rPr>
          <w:rFonts w:cstheme="minorHAnsi"/>
          <w:color w:val="000000"/>
        </w:rPr>
        <w:instrText xml:space="preserve"> REF paragraph00102 \h  \* CharFormat  \* MERGEFORMAT </w:instrText>
      </w:r>
      <w:r w:rsidR="00074B99" w:rsidRPr="00F00DCE">
        <w:rPr>
          <w:rFonts w:cstheme="minorHAnsi"/>
          <w:color w:val="000000"/>
        </w:rPr>
      </w:r>
      <w:r w:rsidR="00074B99" w:rsidRPr="00F00DCE">
        <w:rPr>
          <w:rFonts w:cstheme="minorHAnsi"/>
          <w:color w:val="000000"/>
        </w:rPr>
        <w:fldChar w:fldCharType="separate"/>
      </w:r>
      <w:r w:rsidRPr="0094597A">
        <w:rPr>
          <w:rFonts w:cstheme="minorHAnsi"/>
          <w:color w:val="000000"/>
        </w:rPr>
        <w:t>62</w:t>
      </w:r>
      <w:r w:rsidR="00074B99" w:rsidRPr="00F00DCE">
        <w:rPr>
          <w:rFonts w:cstheme="minorHAnsi"/>
          <w:color w:val="000000"/>
        </w:rPr>
        <w:fldChar w:fldCharType="end"/>
      </w:r>
      <w:r w:rsidR="00074B99">
        <w:rPr>
          <w:color w:val="000000"/>
        </w:rPr>
        <w:t>-</w:t>
      </w:r>
      <w:r w:rsidR="00074B99" w:rsidRPr="00F00DCE">
        <w:rPr>
          <w:rFonts w:cstheme="minorHAnsi"/>
          <w:color w:val="000000"/>
        </w:rPr>
        <w:fldChar w:fldCharType="begin"/>
      </w:r>
      <w:r w:rsidR="00074B99" w:rsidRPr="00F00DCE">
        <w:rPr>
          <w:rFonts w:cstheme="minorHAnsi"/>
          <w:color w:val="000000"/>
        </w:rPr>
        <w:instrText xml:space="preserve"> REF paragraph00091 \h  \* CharFormat </w:instrText>
      </w:r>
      <w:r w:rsidR="00074B99" w:rsidRPr="00F00DCE">
        <w:rPr>
          <w:rFonts w:cstheme="minorHAnsi"/>
          <w:color w:val="000000"/>
        </w:rPr>
      </w:r>
      <w:r w:rsidR="00074B99" w:rsidRPr="00F00DCE">
        <w:rPr>
          <w:rFonts w:cstheme="minorHAnsi"/>
          <w:color w:val="000000"/>
        </w:rPr>
        <w:fldChar w:fldCharType="separate"/>
      </w:r>
      <w:r w:rsidRPr="0094597A">
        <w:rPr>
          <w:rFonts w:cstheme="minorHAnsi"/>
          <w:color w:val="000000"/>
        </w:rPr>
        <w:t>66</w:t>
      </w:r>
      <w:r w:rsidR="00074B99" w:rsidRPr="00F00DCE">
        <w:rPr>
          <w:rFonts w:cstheme="minorHAnsi"/>
          <w:color w:val="000000"/>
        </w:rPr>
        <w:fldChar w:fldCharType="end"/>
      </w:r>
      <w:r w:rsidR="00074B99">
        <w:rPr>
          <w:color w:val="000000"/>
        </w:rPr>
        <w:t>).</w:t>
      </w:r>
    </w:p>
    <w:p w:rsidR="0021702B" w:rsidRPr="00F00DCE" w:rsidRDefault="00074B99" w:rsidP="00F00DCE">
      <w:pPr>
        <w:pStyle w:val="JuPara"/>
        <w:rPr>
          <w:rFonts w:cstheme="minorHAnsi"/>
          <w:color w:val="000000"/>
        </w:rPr>
      </w:pPr>
      <w:r w:rsidRPr="00F00DCE">
        <w:rPr>
          <w:rFonts w:cstheme="minorHAnsi"/>
          <w:color w:val="000000"/>
        </w:rPr>
        <w:fldChar w:fldCharType="begin"/>
      </w:r>
      <w:r w:rsidRPr="00F00DCE">
        <w:rPr>
          <w:rFonts w:cstheme="minorHAnsi"/>
          <w:color w:val="000000"/>
        </w:rPr>
        <w:instrText xml:space="preserve"> SEQ level0 \*arabic \* MERGEFORMAT </w:instrText>
      </w:r>
      <w:r w:rsidRPr="00F00DCE">
        <w:rPr>
          <w:rFonts w:cstheme="minorHAnsi"/>
          <w:color w:val="000000"/>
        </w:rPr>
        <w:fldChar w:fldCharType="separate"/>
      </w:r>
      <w:bookmarkStart w:id="104" w:name="paragraph00239"/>
      <w:r w:rsidR="0094597A">
        <w:rPr>
          <w:rFonts w:cstheme="minorHAnsi"/>
          <w:noProof/>
          <w:color w:val="000000"/>
        </w:rPr>
        <w:t>156</w:t>
      </w:r>
      <w:bookmarkEnd w:id="104"/>
      <w:r w:rsidRPr="00F00DCE">
        <w:rPr>
          <w:rFonts w:cstheme="minorHAnsi"/>
          <w:color w:val="000000"/>
        </w:rPr>
        <w:fldChar w:fldCharType="end"/>
      </w:r>
      <w:r>
        <w:rPr>
          <w:color w:val="000000"/>
        </w:rPr>
        <w:t>.</w:t>
      </w:r>
      <w:r w:rsidR="00B3763A">
        <w:rPr>
          <w:color w:val="000000"/>
        </w:rPr>
        <w:t xml:space="preserve"> </w:t>
      </w:r>
      <w:r>
        <w:rPr>
          <w:color w:val="000000"/>
        </w:rPr>
        <w:t xml:space="preserve">Prin urmare, Curtea nu poate accepta argumentul sus-menționat al Guvernului. În opinia Curții, motivele invocate de judecătorie, împreună cu soluționarea anchetei din cauza reclamantei, sunt suficiente pentru a provoca îndoieli față de capacitatea mecanismului juridic al autorităților naționale de a </w:t>
      </w:r>
      <w:r>
        <w:t xml:space="preserve">produce efecte suficient de descurajatoare încât să protejeze victimele, precum reclamanta, de astfel de fapte care le permit făptuitorilor să se sustragă răspunderii [a se vedea </w:t>
      </w:r>
      <w:proofErr w:type="spellStart"/>
      <w:r>
        <w:rPr>
          <w:i/>
        </w:rPr>
        <w:t>Volodina</w:t>
      </w:r>
      <w:proofErr w:type="spellEnd"/>
      <w:r>
        <w:rPr>
          <w:i/>
        </w:rPr>
        <w:t xml:space="preserve"> (nr. 2)</w:t>
      </w:r>
      <w:r>
        <w:t>, citată anterior, pct. 67].</w:t>
      </w:r>
    </w:p>
    <w:p w:rsidR="0021702B" w:rsidRPr="00F00DCE" w:rsidRDefault="0094597A" w:rsidP="00F00DCE">
      <w:pPr>
        <w:pStyle w:val="JuPara"/>
      </w:pPr>
      <w:r>
        <w:fldChar w:fldCharType="begin"/>
      </w:r>
      <w:r>
        <w:instrText xml:space="preserve"> SEQ level0 \*arabic \* MERGEFORMAT </w:instrText>
      </w:r>
      <w:r>
        <w:fldChar w:fldCharType="separate"/>
      </w:r>
      <w:r>
        <w:rPr>
          <w:noProof/>
        </w:rPr>
        <w:t>157</w:t>
      </w:r>
      <w:r>
        <w:rPr>
          <w:noProof/>
        </w:rPr>
        <w:fldChar w:fldCharType="end"/>
      </w:r>
      <w:r w:rsidR="00074B99">
        <w:t>.</w:t>
      </w:r>
      <w:r w:rsidR="00B3763A">
        <w:t xml:space="preserve"> </w:t>
      </w:r>
      <w:r w:rsidR="00074B99">
        <w:t xml:space="preserve">Motivele invocate mai sus, inclusiv constatările sale, </w:t>
      </w:r>
      <w:r w:rsidR="00074B99">
        <w:rPr>
          <w:i/>
          <w:iCs/>
        </w:rPr>
        <w:t>supra</w:t>
      </w:r>
      <w:r w:rsidR="00074B99">
        <w:t xml:space="preserve">, pct. </w:t>
      </w:r>
      <w:r w:rsidR="00074B99" w:rsidRPr="00F00DCE">
        <w:fldChar w:fldCharType="begin"/>
      </w:r>
      <w:r w:rsidR="00074B99" w:rsidRPr="00F00DCE">
        <w:instrText xml:space="preserve"> REF paragraph00198 \h  \* CharFormat  \* MERGEFORMAT </w:instrText>
      </w:r>
      <w:r w:rsidR="00074B99" w:rsidRPr="00F00DCE">
        <w:fldChar w:fldCharType="separate"/>
      </w:r>
      <w:r>
        <w:t>147</w:t>
      </w:r>
      <w:r w:rsidR="00074B99" w:rsidRPr="00F00DCE">
        <w:fldChar w:fldCharType="end"/>
      </w:r>
      <w:r w:rsidR="00074B99">
        <w:t>-</w:t>
      </w:r>
      <w:r w:rsidR="00074B99" w:rsidRPr="00F00DCE">
        <w:fldChar w:fldCharType="begin"/>
      </w:r>
      <w:r w:rsidR="00074B99" w:rsidRPr="00F00DCE">
        <w:instrText xml:space="preserve"> REF paragraph00205 \h  \* CharFormat  \* MERGEFORMAT </w:instrText>
      </w:r>
      <w:r w:rsidR="00074B99" w:rsidRPr="00F00DCE">
        <w:fldChar w:fldCharType="separate"/>
      </w:r>
      <w:r>
        <w:t>154</w:t>
      </w:r>
      <w:r w:rsidR="00074B99" w:rsidRPr="00F00DCE">
        <w:fldChar w:fldCharType="end"/>
      </w:r>
      <w:r w:rsidR="00074B99">
        <w:t>, sunt suficiente Curții pentru a concluziona că autoritățile naționale nu au efectuat o anchetă efectivă cu privire la alegațiile reclamantei legate de faptele specifice ale fostului său partener intim.</w:t>
      </w:r>
    </w:p>
    <w:p w:rsidR="0021702B" w:rsidRPr="00F00DCE" w:rsidRDefault="00074B99" w:rsidP="00F00DCE">
      <w:pPr>
        <w:pStyle w:val="JuHi"/>
      </w:pPr>
      <w:r>
        <w:t>Concluzie</w:t>
      </w:r>
    </w:p>
    <w:p w:rsidR="0021702B" w:rsidRPr="00F00DCE" w:rsidRDefault="0094597A" w:rsidP="00F00DCE">
      <w:pPr>
        <w:pStyle w:val="JuPara"/>
      </w:pPr>
      <w:r>
        <w:fldChar w:fldCharType="begin"/>
      </w:r>
      <w:r>
        <w:instrText xml:space="preserve"> SEQ level0 \*arabic \* MERGEFORMAT </w:instrText>
      </w:r>
      <w:r>
        <w:fldChar w:fldCharType="separate"/>
      </w:r>
      <w:r>
        <w:rPr>
          <w:noProof/>
        </w:rPr>
        <w:t>158</w:t>
      </w:r>
      <w:r>
        <w:rPr>
          <w:noProof/>
        </w:rPr>
        <w:fldChar w:fldCharType="end"/>
      </w:r>
      <w:r w:rsidR="00074B99">
        <w:t>.</w:t>
      </w:r>
      <w:r w:rsidR="00B3763A">
        <w:t xml:space="preserve"> </w:t>
      </w:r>
      <w:r w:rsidR="00074B99">
        <w:t>Curtea constată că, în total, cadrul legal penal neadecvat instituit de autorități (care nu a oferit protecție față de actele specifice de violență online a căror victimă a fost reclamanta) și modul în care acestea au gestionat cauza reclamantei (caracterizat mai cu seamă de reticența de a efectua o anchetă penală expeditivă și completă, cu efect de descurajare) au relevat o neîndeplinire a obligațiilor pozitive care le revin în temeiul art. 8 din Convenție.</w:t>
      </w:r>
    </w:p>
    <w:p w:rsidR="0021702B" w:rsidRPr="00F00DCE" w:rsidRDefault="0094597A" w:rsidP="00F00DCE">
      <w:pPr>
        <w:pStyle w:val="JuPara"/>
      </w:pPr>
      <w:r>
        <w:fldChar w:fldCharType="begin"/>
      </w:r>
      <w:r>
        <w:instrText xml:space="preserve"> SEQ level0 \*arabic </w:instrText>
      </w:r>
      <w:r>
        <w:fldChar w:fldCharType="separate"/>
      </w:r>
      <w:r>
        <w:rPr>
          <w:noProof/>
        </w:rPr>
        <w:t>159</w:t>
      </w:r>
      <w:r>
        <w:rPr>
          <w:noProof/>
        </w:rPr>
        <w:fldChar w:fldCharType="end"/>
      </w:r>
      <w:r w:rsidR="00074B99">
        <w:t>.</w:t>
      </w:r>
      <w:r w:rsidR="00B3763A">
        <w:t xml:space="preserve"> </w:t>
      </w:r>
      <w:r w:rsidR="00074B99">
        <w:t>În consecință, a fost încălcat art. 8 din Convenție.</w:t>
      </w:r>
    </w:p>
    <w:p w:rsidR="0021702B" w:rsidRPr="00F00DCE" w:rsidRDefault="00074B99" w:rsidP="00F00DCE">
      <w:pPr>
        <w:pStyle w:val="JuHIRoman"/>
        <w:tabs>
          <w:tab w:val="left" w:pos="567"/>
          <w:tab w:val="left" w:pos="680"/>
        </w:tabs>
        <w:ind w:left="397" w:hanging="397"/>
      </w:pPr>
      <w:r>
        <w:t>CU PRIVIRE LA PRETINSA ÎNCĂLCARE A ART. 14 COROBORAT CU ART. 8 DIN CONVENȚIE</w:t>
      </w:r>
    </w:p>
    <w:p w:rsidR="0021702B" w:rsidRPr="00F00DCE" w:rsidRDefault="0094597A" w:rsidP="00F00DCE">
      <w:pPr>
        <w:pStyle w:val="JuPara"/>
      </w:pPr>
      <w:r>
        <w:fldChar w:fldCharType="begin"/>
      </w:r>
      <w:r>
        <w:instrText xml:space="preserve"> SEQ level0 \*arabic \* MERGEFORMAT </w:instrText>
      </w:r>
      <w:r>
        <w:fldChar w:fldCharType="separate"/>
      </w:r>
      <w:bookmarkStart w:id="105" w:name="paragraph00212"/>
      <w:r>
        <w:rPr>
          <w:noProof/>
        </w:rPr>
        <w:t>160</w:t>
      </w:r>
      <w:bookmarkEnd w:id="105"/>
      <w:r>
        <w:rPr>
          <w:noProof/>
        </w:rPr>
        <w:fldChar w:fldCharType="end"/>
      </w:r>
      <w:r w:rsidR="00074B99">
        <w:t>.</w:t>
      </w:r>
      <w:r w:rsidR="00B3763A">
        <w:t xml:space="preserve"> </w:t>
      </w:r>
      <w:r w:rsidR="00074B99">
        <w:t>Reclamanta s-a plâns cu privire la motivarea oferită în rechizitoriul procurorului din 10 iunie 2020 de clasare a anchetei penale față de V.C.A. în ceea ce privește infracțiunea de fals informatic (</w:t>
      </w:r>
      <w:r w:rsidR="00074B99">
        <w:rPr>
          <w:i/>
          <w:iCs/>
        </w:rPr>
        <w:t>supra</w:t>
      </w:r>
      <w:r w:rsidR="00074B99">
        <w:t xml:space="preserve">, pct. </w:t>
      </w:r>
      <w:r w:rsidR="00074B99" w:rsidRPr="00F00DCE">
        <w:fldChar w:fldCharType="begin"/>
      </w:r>
      <w:r w:rsidR="00074B99" w:rsidRPr="00F00DCE">
        <w:instrText xml:space="preserve"> REF paragraph00068 \h  \* CharFormat </w:instrText>
      </w:r>
      <w:r w:rsidR="00074B99" w:rsidRPr="00F00DCE">
        <w:fldChar w:fldCharType="separate"/>
      </w:r>
      <w:r>
        <w:t>39</w:t>
      </w:r>
      <w:r w:rsidR="00074B99" w:rsidRPr="00F00DCE">
        <w:fldChar w:fldCharType="end"/>
      </w:r>
      <w:r w:rsidR="00074B99">
        <w:t>-</w:t>
      </w:r>
      <w:r w:rsidR="00074B99" w:rsidRPr="00F00DCE">
        <w:fldChar w:fldCharType="begin"/>
      </w:r>
      <w:r w:rsidR="00074B99" w:rsidRPr="00F00DCE">
        <w:instrText xml:space="preserve"> REF paragraph00041 \h  \* CharFormat  \* MERGEFORMAT </w:instrText>
      </w:r>
      <w:r w:rsidR="00074B99" w:rsidRPr="00F00DCE">
        <w:fldChar w:fldCharType="separate"/>
      </w:r>
      <w:r w:rsidRPr="0094597A">
        <w:t>45</w:t>
      </w:r>
      <w:r w:rsidR="00074B99" w:rsidRPr="00F00DCE">
        <w:fldChar w:fldCharType="end"/>
      </w:r>
      <w:r w:rsidR="00074B99">
        <w:t>). Având în vedere competența Curții de a realiza încadrarea juridică a faptelor cauzei (</w:t>
      </w:r>
      <w:r w:rsidR="00074B99">
        <w:rPr>
          <w:i/>
          <w:iCs/>
        </w:rPr>
        <w:t>supra</w:t>
      </w:r>
      <w:r w:rsidR="00074B99">
        <w:t xml:space="preserve">, pct. </w:t>
      </w:r>
      <w:r w:rsidR="00074B99" w:rsidRPr="00F00DCE">
        <w:rPr>
          <w:rFonts w:cstheme="minorHAnsi"/>
          <w:color w:val="000000"/>
        </w:rPr>
        <w:fldChar w:fldCharType="begin"/>
      </w:r>
      <w:r w:rsidR="00074B99" w:rsidRPr="00F00DCE">
        <w:rPr>
          <w:rFonts w:cstheme="minorHAnsi"/>
          <w:color w:val="000000"/>
        </w:rPr>
        <w:instrText xml:space="preserve"> REF paragraph00138 \h  \* CharFormat </w:instrText>
      </w:r>
      <w:r w:rsidR="00074B99" w:rsidRPr="00F00DCE">
        <w:rPr>
          <w:rFonts w:cstheme="minorHAnsi"/>
          <w:color w:val="000000"/>
        </w:rPr>
      </w:r>
      <w:r w:rsidR="00074B99" w:rsidRPr="00F00DCE">
        <w:rPr>
          <w:rFonts w:cstheme="minorHAnsi"/>
          <w:color w:val="000000"/>
        </w:rPr>
        <w:fldChar w:fldCharType="separate"/>
      </w:r>
      <w:r w:rsidRPr="0094597A">
        <w:rPr>
          <w:rFonts w:cstheme="minorHAnsi"/>
          <w:color w:val="000000"/>
        </w:rPr>
        <w:t>100</w:t>
      </w:r>
      <w:r w:rsidR="00074B99" w:rsidRPr="00F00DCE">
        <w:rPr>
          <w:rFonts w:cstheme="minorHAnsi"/>
          <w:color w:val="000000"/>
        </w:rPr>
        <w:fldChar w:fldCharType="end"/>
      </w:r>
      <w:r w:rsidR="00074B99">
        <w:rPr>
          <w:color w:val="000000"/>
        </w:rPr>
        <w:t xml:space="preserve">), aceasta consideră </w:t>
      </w:r>
      <w:r w:rsidR="00074B99">
        <w:t>că observațiile de mai sus includ acuzații privind tratamentul inegal pe criterii de sex și, în consecință, trebuie examinate în temeiul art. 14 din Convenție, coroborat cu art. 8. Art. 14 din Convenție prevede următoarele:</w:t>
      </w:r>
    </w:p>
    <w:p w:rsidR="0021702B" w:rsidRPr="00F00DCE" w:rsidRDefault="00074B99" w:rsidP="00F00DCE">
      <w:pPr>
        <w:pStyle w:val="JuHArticle"/>
      </w:pPr>
      <w:r>
        <w:lastRenderedPageBreak/>
        <w:t>Art. 14</w:t>
      </w:r>
    </w:p>
    <w:p w:rsidR="0021702B" w:rsidRPr="00F00DCE" w:rsidRDefault="00074B99" w:rsidP="00F00DCE">
      <w:pPr>
        <w:pStyle w:val="JuQuot"/>
      </w:pPr>
      <w:r>
        <w:t>„Exercitarea drepturilor și libertăților recunoscute de prezenta Convenție trebuie să fie asigurată fără nicio deosebire bazată, în special, pe sex, rasă, culoare, limbă, religie, opinii politice sau orice alte opinii, origine națională sau socială, apartenența la o minoritate națională, avere, naștere sau orice altă situație.”</w:t>
      </w:r>
    </w:p>
    <w:p w:rsidR="0021702B" w:rsidRPr="00F00DCE" w:rsidRDefault="00074B99" w:rsidP="00F00DCE">
      <w:pPr>
        <w:pStyle w:val="JuHA"/>
      </w:pPr>
      <w:r>
        <w:t>Argumentele părților</w:t>
      </w:r>
    </w:p>
    <w:p w:rsidR="0021702B" w:rsidRPr="00F00DCE" w:rsidRDefault="0094597A" w:rsidP="00F00DCE">
      <w:pPr>
        <w:pStyle w:val="JuPara"/>
      </w:pPr>
      <w:r>
        <w:fldChar w:fldCharType="begin"/>
      </w:r>
      <w:r>
        <w:instrText xml:space="preserve"> SEQ level0 \*arabic \* MERGEFORMAT </w:instrText>
      </w:r>
      <w:r>
        <w:fldChar w:fldCharType="separate"/>
      </w:r>
      <w:bookmarkStart w:id="106" w:name="paragraph00247"/>
      <w:r>
        <w:rPr>
          <w:noProof/>
        </w:rPr>
        <w:t>161</w:t>
      </w:r>
      <w:bookmarkEnd w:id="106"/>
      <w:r>
        <w:rPr>
          <w:noProof/>
        </w:rPr>
        <w:fldChar w:fldCharType="end"/>
      </w:r>
      <w:r w:rsidR="00074B99">
        <w:t>.</w:t>
      </w:r>
      <w:r w:rsidR="00B3763A">
        <w:t xml:space="preserve"> </w:t>
      </w:r>
      <w:r w:rsidR="00074B99">
        <w:t>Guvernul a contestat faptul că reclamanta s-a întemeiat explicit pe art. 14 din Convenție și a susținut că capetele ei de cerere priveau doar pretinsa încălcare a art. 6 și art. 8 din Convenție.</w:t>
      </w:r>
    </w:p>
    <w:p w:rsidR="0021702B" w:rsidRPr="00F00DCE" w:rsidRDefault="0094597A" w:rsidP="00F00DCE">
      <w:pPr>
        <w:pStyle w:val="JuPara"/>
      </w:pPr>
      <w:r>
        <w:fldChar w:fldCharType="begin"/>
      </w:r>
      <w:r>
        <w:instrText xml:space="preserve"> SEQ level0 \*arabic \* MERGEFORMAT </w:instrText>
      </w:r>
      <w:r>
        <w:fldChar w:fldCharType="separate"/>
      </w:r>
      <w:r>
        <w:rPr>
          <w:noProof/>
        </w:rPr>
        <w:t>162</w:t>
      </w:r>
      <w:r>
        <w:rPr>
          <w:noProof/>
        </w:rPr>
        <w:fldChar w:fldCharType="end"/>
      </w:r>
      <w:r w:rsidR="00074B99">
        <w:t>.</w:t>
      </w:r>
      <w:r w:rsidR="00B3763A">
        <w:t xml:space="preserve"> </w:t>
      </w:r>
      <w:r w:rsidR="00074B99">
        <w:t>Reclamanta a susținut că acuzațiile din acest capăt de cerere au fost generate de faptele de care aceasta s-a plâns.</w:t>
      </w:r>
    </w:p>
    <w:p w:rsidR="0021702B" w:rsidRPr="00F00DCE" w:rsidRDefault="00074B99" w:rsidP="00F00DCE">
      <w:pPr>
        <w:pStyle w:val="JuHA"/>
      </w:pPr>
      <w:r>
        <w:t>Terțul intervenient</w:t>
      </w:r>
    </w:p>
    <w:p w:rsidR="0021702B" w:rsidRPr="00F00DCE" w:rsidRDefault="0094597A" w:rsidP="00F00DCE">
      <w:pPr>
        <w:pStyle w:val="JuPara"/>
      </w:pPr>
      <w:r>
        <w:fldChar w:fldCharType="begin"/>
      </w:r>
      <w:r>
        <w:instrText xml:space="preserve"> SEQ level0 \*arabic \* MERGEFORMAT </w:instrText>
      </w:r>
      <w:r>
        <w:fldChar w:fldCharType="separate"/>
      </w:r>
      <w:r>
        <w:rPr>
          <w:noProof/>
        </w:rPr>
        <w:t>163</w:t>
      </w:r>
      <w:r>
        <w:rPr>
          <w:noProof/>
        </w:rPr>
        <w:fldChar w:fldCharType="end"/>
      </w:r>
      <w:r w:rsidR="00074B99">
        <w:t>.</w:t>
      </w:r>
      <w:r w:rsidR="00B3763A">
        <w:t xml:space="preserve"> </w:t>
      </w:r>
      <w:r w:rsidR="00074B99">
        <w:t xml:space="preserve">Centrul AIRE a susținut că autoritățile naționale aveau obligația să efectueze o anchetă adecvată și efectivă pentru </w:t>
      </w:r>
      <w:r w:rsidR="00F124F1">
        <w:t>fapte</w:t>
      </w:r>
      <w:r w:rsidR="00074B99">
        <w:t xml:space="preserve"> de violență. Aceasta includea stabilirea faptului dacă o pretinsă neefectuare a unei anchete efective a fost determinată de motive de discriminare sau de prejudecăți bazate pe o caracteristică specifică a unei persoane.</w:t>
      </w:r>
    </w:p>
    <w:p w:rsidR="0021702B" w:rsidRPr="00F00DCE" w:rsidRDefault="00074B99" w:rsidP="00F00DCE">
      <w:pPr>
        <w:pStyle w:val="JuHA"/>
      </w:pPr>
      <w:r>
        <w:t>Motivarea Curții</w:t>
      </w:r>
    </w:p>
    <w:p w:rsidR="0021702B" w:rsidRPr="00F00DCE" w:rsidRDefault="0094597A" w:rsidP="00F00DCE">
      <w:pPr>
        <w:pStyle w:val="JuPara"/>
      </w:pPr>
      <w:r>
        <w:fldChar w:fldCharType="begin"/>
      </w:r>
      <w:r>
        <w:instrText xml:space="preserve"> SEQ level0 \*arabic \* MERGEFORMAT </w:instrText>
      </w:r>
      <w:r>
        <w:fldChar w:fldCharType="separate"/>
      </w:r>
      <w:r>
        <w:rPr>
          <w:noProof/>
        </w:rPr>
        <w:t>164</w:t>
      </w:r>
      <w:r>
        <w:rPr>
          <w:noProof/>
        </w:rPr>
        <w:fldChar w:fldCharType="end"/>
      </w:r>
      <w:r w:rsidR="00074B99">
        <w:t>.</w:t>
      </w:r>
      <w:r w:rsidR="00B3763A">
        <w:t xml:space="preserve"> </w:t>
      </w:r>
      <w:r w:rsidR="00074B99">
        <w:t>Curtea observă că acuzațiile în materie sunt strâns legate de capătul de cerere al reclamantei în temeiul art. 8 din Convenție (</w:t>
      </w:r>
      <w:r w:rsidR="00074B99">
        <w:rPr>
          <w:i/>
          <w:iCs/>
        </w:rPr>
        <w:t>supra</w:t>
      </w:r>
      <w:r w:rsidR="00074B99">
        <w:t xml:space="preserve">, pct. </w:t>
      </w:r>
      <w:r w:rsidR="00074B99" w:rsidRPr="00F00DCE">
        <w:fldChar w:fldCharType="begin"/>
      </w:r>
      <w:r w:rsidR="00074B99" w:rsidRPr="00F00DCE">
        <w:instrText xml:space="preserve"> REF paragraph00136 \h  \* CharFormat  \* MERGEFORMAT </w:instrText>
      </w:r>
      <w:r w:rsidR="00074B99" w:rsidRPr="00F00DCE">
        <w:fldChar w:fldCharType="separate"/>
      </w:r>
      <w:r>
        <w:t>99</w:t>
      </w:r>
      <w:r w:rsidR="00074B99" w:rsidRPr="00F00DCE">
        <w:fldChar w:fldCharType="end"/>
      </w:r>
      <w:r w:rsidR="00074B99">
        <w:t>-</w:t>
      </w:r>
      <w:r w:rsidR="00074B99" w:rsidRPr="00F00DCE">
        <w:fldChar w:fldCharType="begin"/>
      </w:r>
      <w:r w:rsidR="00074B99" w:rsidRPr="00F00DCE">
        <w:instrText xml:space="preserve"> REF paragraph00138 \h  \* CharFormat </w:instrText>
      </w:r>
      <w:r w:rsidR="00074B99" w:rsidRPr="00F00DCE">
        <w:fldChar w:fldCharType="separate"/>
      </w:r>
      <w:r>
        <w:t>100</w:t>
      </w:r>
      <w:r w:rsidR="00074B99" w:rsidRPr="00F00DCE">
        <w:fldChar w:fldCharType="end"/>
      </w:r>
      <w:r w:rsidR="00074B99">
        <w:t>). În lumina constatărilor sale referitoare la art. 8 (</w:t>
      </w:r>
      <w:r w:rsidR="00074B99">
        <w:rPr>
          <w:i/>
          <w:iCs/>
        </w:rPr>
        <w:t>supra</w:t>
      </w:r>
      <w:r w:rsidR="00074B99">
        <w:t xml:space="preserve">, pct. </w:t>
      </w:r>
      <w:r w:rsidR="00074B99" w:rsidRPr="00F00DCE">
        <w:fldChar w:fldCharType="begin"/>
      </w:r>
      <w:r w:rsidR="00074B99" w:rsidRPr="00F00DCE">
        <w:instrText xml:space="preserve"> REF paragraph00224 \h  \* CharFormat  \* MERGEFORMAT </w:instrText>
      </w:r>
      <w:r w:rsidR="00074B99" w:rsidRPr="00F00DCE">
        <w:fldChar w:fldCharType="separate"/>
      </w:r>
      <w:r>
        <w:t>138</w:t>
      </w:r>
      <w:r w:rsidR="00074B99" w:rsidRPr="00F00DCE">
        <w:fldChar w:fldCharType="end"/>
      </w:r>
      <w:r w:rsidR="00074B99">
        <w:t>-</w:t>
      </w:r>
      <w:r w:rsidR="00074B99" w:rsidRPr="00F00DCE">
        <w:fldChar w:fldCharType="begin"/>
      </w:r>
      <w:r w:rsidR="00074B99" w:rsidRPr="00F00DCE">
        <w:instrText xml:space="preserve"> REF paragraph00239 \h  \* CharFormat  \* MERGEFORMAT </w:instrText>
      </w:r>
      <w:r w:rsidR="00074B99" w:rsidRPr="00F00DCE">
        <w:fldChar w:fldCharType="separate"/>
      </w:r>
      <w:r w:rsidRPr="0094597A">
        <w:t>156</w:t>
      </w:r>
      <w:r w:rsidR="00074B99" w:rsidRPr="00F00DCE">
        <w:fldChar w:fldCharType="end"/>
      </w:r>
      <w:r w:rsidR="00074B99">
        <w:t xml:space="preserve">), Curtea consideră că nu este necesară examinarea separată a admisibilității sau fondului acestor acuzații din unghiul art. 14 coroborat cu art. 8 (a se vedea, între alte hotărâri, </w:t>
      </w:r>
      <w:r w:rsidR="00074B99">
        <w:rPr>
          <w:i/>
        </w:rPr>
        <w:t>J.L. împotriva Italiei</w:t>
      </w:r>
      <w:r w:rsidR="00074B99">
        <w:t>, citată anterior, pct. 147).</w:t>
      </w:r>
    </w:p>
    <w:p w:rsidR="0021702B" w:rsidRPr="00F00DCE" w:rsidRDefault="00074B99" w:rsidP="00F00DCE">
      <w:pPr>
        <w:pStyle w:val="JuHIRoman"/>
        <w:tabs>
          <w:tab w:val="left" w:pos="567"/>
          <w:tab w:val="left" w:pos="680"/>
        </w:tabs>
        <w:ind w:left="397" w:hanging="397"/>
      </w:pPr>
      <w:r>
        <w:t>CU PRIVIRE LA APLICAREA ART. 41 DIN CONVENȚIE</w:t>
      </w:r>
    </w:p>
    <w:p w:rsidR="0021702B" w:rsidRPr="00F00DCE" w:rsidRDefault="0094597A" w:rsidP="00F00DCE">
      <w:pPr>
        <w:pStyle w:val="JuPara"/>
      </w:pPr>
      <w:r>
        <w:fldChar w:fldCharType="begin"/>
      </w:r>
      <w:r>
        <w:instrText xml:space="preserve"> SEQ level0 \*arabic \* MERGEFORMAT </w:instrText>
      </w:r>
      <w:r>
        <w:fldChar w:fldCharType="separate"/>
      </w:r>
      <w:r>
        <w:rPr>
          <w:noProof/>
        </w:rPr>
        <w:t>165</w:t>
      </w:r>
      <w:r>
        <w:rPr>
          <w:noProof/>
        </w:rPr>
        <w:fldChar w:fldCharType="end"/>
      </w:r>
      <w:r w:rsidR="00074B99">
        <w:t>.</w:t>
      </w:r>
      <w:r w:rsidR="00B3763A">
        <w:t xml:space="preserve"> </w:t>
      </w:r>
      <w:r w:rsidR="00074B99">
        <w:t>Art. 41 din Convenție prevede:</w:t>
      </w:r>
    </w:p>
    <w:p w:rsidR="0021702B" w:rsidRPr="00F00DCE" w:rsidRDefault="00074B99" w:rsidP="00F00DCE">
      <w:pPr>
        <w:pStyle w:val="JuQuot"/>
      </w:pPr>
      <w:r>
        <w:t>„Dacă Curtea declară că a avut loc o încălcare a Convenției sau a protocoalelor sale și dacă dreptul intern al înaltei părți contractante nu permite decât o înlăturare incompletă a consecințelor acestei încălcări, Curtea acordă părții lezate, dacă este cazul, o reparație echitabilă.”</w:t>
      </w:r>
    </w:p>
    <w:p w:rsidR="0021702B" w:rsidRPr="00F00DCE" w:rsidRDefault="00074B99" w:rsidP="00F00DCE">
      <w:pPr>
        <w:pStyle w:val="JuHA"/>
      </w:pPr>
      <w:r>
        <w:t>Prejudiciu</w:t>
      </w:r>
    </w:p>
    <w:p w:rsidR="0021702B" w:rsidRPr="00F00DCE" w:rsidRDefault="0094597A" w:rsidP="00F00DCE">
      <w:pPr>
        <w:pStyle w:val="JuPara"/>
      </w:pPr>
      <w:r>
        <w:fldChar w:fldCharType="begin"/>
      </w:r>
      <w:r>
        <w:instrText xml:space="preserve"> SEQ level0 \*arabic \* MERGEFORMAT </w:instrText>
      </w:r>
      <w:r>
        <w:fldChar w:fldCharType="separate"/>
      </w:r>
      <w:r>
        <w:rPr>
          <w:noProof/>
        </w:rPr>
        <w:t>166</w:t>
      </w:r>
      <w:r>
        <w:rPr>
          <w:noProof/>
        </w:rPr>
        <w:fldChar w:fldCharType="end"/>
      </w:r>
      <w:r w:rsidR="00074B99">
        <w:t>.</w:t>
      </w:r>
      <w:r w:rsidR="00B3763A">
        <w:t xml:space="preserve"> </w:t>
      </w:r>
      <w:r w:rsidR="00074B99">
        <w:t>Reclamanta a solicitat suma de 700 euro (EUR) pentru prejudiciul material pe care îl suferise, în baza costurilor terapiei psihologice pe care a urmat-o începând cu luna noiembrie 2022 (</w:t>
      </w:r>
      <w:r w:rsidR="00074B99">
        <w:rPr>
          <w:i/>
          <w:iCs/>
        </w:rPr>
        <w:t>supra</w:t>
      </w:r>
      <w:r w:rsidR="00074B99">
        <w:t xml:space="preserve">, pct. </w:t>
      </w:r>
      <w:r w:rsidR="00074B99" w:rsidRPr="00F00DCE">
        <w:fldChar w:fldCharType="begin"/>
      </w:r>
      <w:r w:rsidR="00074B99" w:rsidRPr="00F00DCE">
        <w:instrText xml:space="preserve"> REF paragraph00079 \h  \* CharFormat </w:instrText>
      </w:r>
      <w:r w:rsidR="00074B99" w:rsidRPr="00F00DCE">
        <w:fldChar w:fldCharType="separate"/>
      </w:r>
      <w:r>
        <w:t>76</w:t>
      </w:r>
      <w:r w:rsidR="00074B99" w:rsidRPr="00F00DCE">
        <w:fldChar w:fldCharType="end"/>
      </w:r>
      <w:r w:rsidR="00074B99">
        <w:noBreakHyphen/>
      </w:r>
      <w:r w:rsidR="00074B99" w:rsidRPr="00F00DCE">
        <w:fldChar w:fldCharType="begin"/>
      </w:r>
      <w:r w:rsidR="00074B99" w:rsidRPr="00F00DCE">
        <w:instrText xml:space="preserve"> REF paragraph00107 \h  \* CharFormat  \* MERGEFORMAT </w:instrText>
      </w:r>
      <w:r w:rsidR="00074B99" w:rsidRPr="00F00DCE">
        <w:fldChar w:fldCharType="separate"/>
      </w:r>
      <w:r>
        <w:t>78</w:t>
      </w:r>
      <w:r w:rsidR="00074B99" w:rsidRPr="00F00DCE">
        <w:fldChar w:fldCharType="end"/>
      </w:r>
      <w:r w:rsidR="00074B99">
        <w:t xml:space="preserve">), despre care susține că a fost consecința directă a încălcării dreptului la respectarea vieții </w:t>
      </w:r>
      <w:r w:rsidR="00074B99">
        <w:lastRenderedPageBreak/>
        <w:t>sale private și a modului în care a fost tratată</w:t>
      </w:r>
      <w:r w:rsidR="00B3763A">
        <w:t xml:space="preserve"> </w:t>
      </w:r>
      <w:r w:rsidR="00074B99">
        <w:t>de autoritățile de anchetă. A depus copii ale facturilor și chitanțelor care atestă plata sumei solicitate.</w:t>
      </w:r>
    </w:p>
    <w:p w:rsidR="0021702B" w:rsidRPr="00F00DCE" w:rsidRDefault="0094597A" w:rsidP="00F00DCE">
      <w:pPr>
        <w:pStyle w:val="JuPara"/>
      </w:pPr>
      <w:r>
        <w:fldChar w:fldCharType="begin"/>
      </w:r>
      <w:r>
        <w:instrText xml:space="preserve"> SEQ level0 \*arabic \* MERGEFORMAT </w:instrText>
      </w:r>
      <w:r>
        <w:fldChar w:fldCharType="separate"/>
      </w:r>
      <w:r>
        <w:rPr>
          <w:noProof/>
        </w:rPr>
        <w:t>167</w:t>
      </w:r>
      <w:r>
        <w:rPr>
          <w:noProof/>
        </w:rPr>
        <w:fldChar w:fldCharType="end"/>
      </w:r>
      <w:r w:rsidR="00074B99">
        <w:t>.</w:t>
      </w:r>
      <w:r w:rsidR="00B3763A">
        <w:t xml:space="preserve"> </w:t>
      </w:r>
      <w:r w:rsidR="00074B99">
        <w:t>Reclamanta a mai solicitat 12 000 EUR cu titlu de prejudiciu moral pentru suferința psihică cauzată de respectivele fapte ale lui V.C.A. și ale autorităților.</w:t>
      </w:r>
    </w:p>
    <w:p w:rsidR="0021702B" w:rsidRPr="00F00DCE" w:rsidRDefault="0094597A" w:rsidP="00F00DCE">
      <w:pPr>
        <w:pStyle w:val="JuPara"/>
      </w:pPr>
      <w:r>
        <w:fldChar w:fldCharType="begin"/>
      </w:r>
      <w:r>
        <w:instrText xml:space="preserve"> SEQ level0 \*arabic </w:instrText>
      </w:r>
      <w:r>
        <w:fldChar w:fldCharType="separate"/>
      </w:r>
      <w:r>
        <w:rPr>
          <w:noProof/>
        </w:rPr>
        <w:t>168</w:t>
      </w:r>
      <w:r>
        <w:rPr>
          <w:noProof/>
        </w:rPr>
        <w:fldChar w:fldCharType="end"/>
      </w:r>
      <w:r w:rsidR="00074B99">
        <w:t>.</w:t>
      </w:r>
      <w:r w:rsidR="00B3763A">
        <w:t xml:space="preserve"> </w:t>
      </w:r>
      <w:r w:rsidR="00074B99">
        <w:t>Guvernul a contestat pretenția reclamantei, susținând, în special, că nu există o legătură de cauzalitate directă între prejudiciul material invocat și acuzațiile de care se plânge. A mai susținut că suma solicitată în ceea ce privește prejudiciul moral este excesivă, că reclamanta a beneficiat deja de o formă de despăgubire morală, având în vedere scuzele publice ale lui V.C.A., și că simpla constatare a încălcării ar constitui o reparație echitabilă suficientă în cazul său.</w:t>
      </w:r>
    </w:p>
    <w:p w:rsidR="0021702B" w:rsidRPr="00F00DCE" w:rsidRDefault="0094597A" w:rsidP="00F00DCE">
      <w:pPr>
        <w:pStyle w:val="JuPara"/>
      </w:pPr>
      <w:r>
        <w:fldChar w:fldCharType="begin"/>
      </w:r>
      <w:r>
        <w:instrText xml:space="preserve"> SEQ level0 \*arabic \* MERGEFORMAT </w:instrText>
      </w:r>
      <w:r>
        <w:fldChar w:fldCharType="separate"/>
      </w:r>
      <w:r>
        <w:rPr>
          <w:noProof/>
        </w:rPr>
        <w:t>169</w:t>
      </w:r>
      <w:r>
        <w:rPr>
          <w:noProof/>
        </w:rPr>
        <w:fldChar w:fldCharType="end"/>
      </w:r>
      <w:r w:rsidR="00074B99">
        <w:t>.</w:t>
      </w:r>
      <w:r w:rsidR="00B3763A">
        <w:t xml:space="preserve"> </w:t>
      </w:r>
      <w:r w:rsidR="00074B99">
        <w:t>Curtea acceptă elementele de probă prezentate de reclamantă atrăgând atenția că a existat o legătură de cauzalitate între încălcarea constatată și prejudiciul material invocat de aceasta (</w:t>
      </w:r>
      <w:r w:rsidR="00074B99">
        <w:rPr>
          <w:i/>
          <w:iCs/>
        </w:rPr>
        <w:t>supra</w:t>
      </w:r>
      <w:r w:rsidR="00074B99">
        <w:t xml:space="preserve">, pct. </w:t>
      </w:r>
      <w:r w:rsidR="00074B99" w:rsidRPr="00F00DCE">
        <w:fldChar w:fldCharType="begin"/>
      </w:r>
      <w:r w:rsidR="00074B99" w:rsidRPr="00F00DCE">
        <w:instrText xml:space="preserve"> REF paragraph00079 \h  \* CharFormat </w:instrText>
      </w:r>
      <w:r w:rsidR="00074B99" w:rsidRPr="00F00DCE">
        <w:fldChar w:fldCharType="separate"/>
      </w:r>
      <w:r>
        <w:t>76</w:t>
      </w:r>
      <w:r w:rsidR="00074B99" w:rsidRPr="00F00DCE">
        <w:fldChar w:fldCharType="end"/>
      </w:r>
      <w:r w:rsidR="00074B99">
        <w:t>-</w:t>
      </w:r>
      <w:r w:rsidR="00074B99" w:rsidRPr="00F00DCE">
        <w:fldChar w:fldCharType="begin"/>
      </w:r>
      <w:r w:rsidR="00074B99" w:rsidRPr="00F00DCE">
        <w:instrText xml:space="preserve"> REF paragraph00107 \h  \* CharFormat  \* MERGEFORMAT </w:instrText>
      </w:r>
      <w:r w:rsidR="00074B99" w:rsidRPr="00F00DCE">
        <w:fldChar w:fldCharType="separate"/>
      </w:r>
      <w:r>
        <w:t>78</w:t>
      </w:r>
      <w:r w:rsidR="00074B99" w:rsidRPr="00F00DCE">
        <w:fldChar w:fldCharType="end"/>
      </w:r>
      <w:r w:rsidR="00074B99">
        <w:t>). Prin urmare, Curtea îi acordă reclamantei 700 EUR, plus orice sumă ce poate fi datorată cu titlu de impozit, pentru prejudiciul material.</w:t>
      </w:r>
    </w:p>
    <w:p w:rsidR="0021702B" w:rsidRPr="00F00DCE" w:rsidRDefault="0094597A" w:rsidP="00F00DCE">
      <w:pPr>
        <w:pStyle w:val="JuPara"/>
      </w:pPr>
      <w:r>
        <w:fldChar w:fldCharType="begin"/>
      </w:r>
      <w:r>
        <w:instrText xml:space="preserve"> SEQ level0 \*arabic \* MERGEFORMAT </w:instrText>
      </w:r>
      <w:r>
        <w:fldChar w:fldCharType="separate"/>
      </w:r>
      <w:r>
        <w:rPr>
          <w:noProof/>
        </w:rPr>
        <w:t>170</w:t>
      </w:r>
      <w:r>
        <w:rPr>
          <w:noProof/>
        </w:rPr>
        <w:fldChar w:fldCharType="end"/>
      </w:r>
      <w:r w:rsidR="00074B99">
        <w:t>.</w:t>
      </w:r>
      <w:r w:rsidR="00B3763A">
        <w:t xml:space="preserve"> </w:t>
      </w:r>
      <w:r w:rsidR="00074B99">
        <w:t>Cu privire la pretenția reclamantei privind prejudiciul moral, Curtea consideră că simpla constatare a unei încălcări de către Curte și scuzele publice ale lui V.C.A.</w:t>
      </w:r>
      <w:r w:rsidR="00306FAA">
        <w:t xml:space="preserve"> </w:t>
      </w:r>
      <w:r w:rsidR="00074B99">
        <w:t>nu sunt suficiente pentru a despăgubi reclamanta pentru frustrarea pe care trebuie să o fi simțit ca urmare a acțiunilor autorităților. Pronunțându-se în echitate, Curtea acordă reclamantei 7 500 EUR, plus orice sumă ce poate fi datorată cu titlu de impozit, pentru prejudiciul moral.</w:t>
      </w:r>
    </w:p>
    <w:p w:rsidR="0021702B" w:rsidRPr="00F00DCE" w:rsidRDefault="00074B99" w:rsidP="00F00DCE">
      <w:pPr>
        <w:pStyle w:val="JuHA"/>
      </w:pPr>
      <w:r>
        <w:t>Cheltuieli de judecată</w:t>
      </w:r>
    </w:p>
    <w:p w:rsidR="00C56DB3" w:rsidRPr="00F00DCE" w:rsidRDefault="0094597A" w:rsidP="00F00DCE">
      <w:pPr>
        <w:pStyle w:val="JuPara"/>
      </w:pPr>
      <w:r>
        <w:fldChar w:fldCharType="begin"/>
      </w:r>
      <w:r>
        <w:instrText xml:space="preserve"> SEQ level0 \*arabic \* MERGEFORMAT </w:instrText>
      </w:r>
      <w:r>
        <w:fldChar w:fldCharType="separate"/>
      </w:r>
      <w:bookmarkStart w:id="107" w:name="paragraph00271"/>
      <w:r>
        <w:rPr>
          <w:noProof/>
        </w:rPr>
        <w:t>171</w:t>
      </w:r>
      <w:bookmarkEnd w:id="107"/>
      <w:r>
        <w:rPr>
          <w:noProof/>
        </w:rPr>
        <w:fldChar w:fldCharType="end"/>
      </w:r>
      <w:r w:rsidR="00074B99">
        <w:t>.</w:t>
      </w:r>
      <w:r w:rsidR="00B3763A">
        <w:t xml:space="preserve"> </w:t>
      </w:r>
      <w:r w:rsidR="00074B99">
        <w:t>Reclamanta a solicitat, de asemenea, 215 EUR pentru cheltuielile de judecată efectuate în fața instanțelor naționale și în fața Curții. A prezentat documente care atestă suma solicitată. Din această sumă, a plătit 90 EUR pentru traducerea unor documente înaintate Curții. În plus, 80 EUR corespund cheltuielilor de judecată în legătură cu plângerile care au fost respinse de parchet sau de instanțele naționale. Deși nu plătise acele cheltuieli din lipsă de fonduri, acestea au rămas de plată în termen de cinci ani.</w:t>
      </w:r>
    </w:p>
    <w:p w:rsidR="0021702B" w:rsidRPr="00F00DCE" w:rsidRDefault="0094597A" w:rsidP="00F00DCE">
      <w:pPr>
        <w:pStyle w:val="JuPara"/>
      </w:pPr>
      <w:r>
        <w:fldChar w:fldCharType="begin"/>
      </w:r>
      <w:r>
        <w:instrText xml:space="preserve"> SEQ level0 \*arabic </w:instrText>
      </w:r>
      <w:r>
        <w:fldChar w:fldCharType="separate"/>
      </w:r>
      <w:bookmarkStart w:id="108" w:name="paragraph00272"/>
      <w:r>
        <w:rPr>
          <w:noProof/>
        </w:rPr>
        <w:t>172</w:t>
      </w:r>
      <w:bookmarkEnd w:id="108"/>
      <w:r>
        <w:rPr>
          <w:noProof/>
        </w:rPr>
        <w:fldChar w:fldCharType="end"/>
      </w:r>
      <w:r w:rsidR="00074B99">
        <w:t>.</w:t>
      </w:r>
      <w:r w:rsidR="00B3763A">
        <w:t xml:space="preserve"> </w:t>
      </w:r>
      <w:r w:rsidR="00074B99">
        <w:t>Guvernul a invitat Curtea să acorde reclamantei o sumă rezonabilă pentru cheltuielile care au fost în mod necesar și cu adevărat efectuate pe parcursul procedurii. A contestat, în continuare, motivele juridice pentru rambursarea a 170 EUR indicată de reclamantă.</w:t>
      </w:r>
    </w:p>
    <w:p w:rsidR="0021702B" w:rsidRPr="00F00DCE" w:rsidRDefault="0094597A" w:rsidP="00F00DCE">
      <w:pPr>
        <w:pStyle w:val="JuPara"/>
      </w:pPr>
      <w:r>
        <w:fldChar w:fldCharType="begin"/>
      </w:r>
      <w:r>
        <w:instrText xml:space="preserve"> SEQ level0 \*arabic </w:instrText>
      </w:r>
      <w:r>
        <w:fldChar w:fldCharType="separate"/>
      </w:r>
      <w:bookmarkStart w:id="109" w:name="paragraph00273"/>
      <w:r>
        <w:rPr>
          <w:noProof/>
        </w:rPr>
        <w:t>173</w:t>
      </w:r>
      <w:bookmarkEnd w:id="109"/>
      <w:r>
        <w:rPr>
          <w:noProof/>
        </w:rPr>
        <w:fldChar w:fldCharType="end"/>
      </w:r>
      <w:r w:rsidR="00074B99">
        <w:t>.</w:t>
      </w:r>
      <w:r w:rsidR="00B3763A">
        <w:t xml:space="preserve"> </w:t>
      </w:r>
      <w:r w:rsidR="00074B99">
        <w:t xml:space="preserve">Potrivit jurisprudenței Curții, un reclamant are dreptul la rambursarea cheltuielilor de judecată numai în măsura în care se stabilește caracterul real, necesar și rezonabil al acestora (a se vedea </w:t>
      </w:r>
      <w:r w:rsidR="00074B99">
        <w:rPr>
          <w:i/>
        </w:rPr>
        <w:t>J.L. împotriva Italiei</w:t>
      </w:r>
      <w:r w:rsidR="00074B99">
        <w:t>, citată anterior, pct. 154). În prezenta cauză, ținând seama de documentele aflate în posesia sa și de jurisprudența sa, Curtea consideră rezonabil să acorde suma de 125 EUR pentru toate cheltuielile de judecată, plus orice sumă ce poate fi datorată de reclamantă cu titlu de impozit.</w:t>
      </w:r>
    </w:p>
    <w:p w:rsidR="0021702B" w:rsidRPr="00F00DCE" w:rsidRDefault="00074B99" w:rsidP="00F00DCE">
      <w:pPr>
        <w:pStyle w:val="JuHHead"/>
        <w:numPr>
          <w:ilvl w:val="0"/>
          <w:numId w:val="21"/>
        </w:numPr>
        <w:ind w:left="360" w:hanging="360"/>
      </w:pPr>
      <w:r>
        <w:lastRenderedPageBreak/>
        <w:t>PENTRU ACESTE MOTIVE, CURTEA, ÎN UNANIMITATE,</w:t>
      </w:r>
    </w:p>
    <w:p w:rsidR="0021702B" w:rsidRPr="00F00DCE" w:rsidRDefault="00074B99" w:rsidP="00F00DCE">
      <w:pPr>
        <w:pStyle w:val="JuList"/>
      </w:pPr>
      <w:r>
        <w:rPr>
          <w:i/>
          <w:iCs/>
        </w:rPr>
        <w:t>Declară</w:t>
      </w:r>
      <w:r>
        <w:t xml:space="preserve"> admisibil capătul de cerere formulat în temeiul art. 8 din Convenție;</w:t>
      </w:r>
    </w:p>
    <w:p w:rsidR="0021702B" w:rsidRPr="00F00DCE" w:rsidRDefault="00074B99" w:rsidP="00F00DCE">
      <w:pPr>
        <w:pStyle w:val="JuList"/>
      </w:pPr>
      <w:r>
        <w:rPr>
          <w:i/>
        </w:rPr>
        <w:t>Hotărăște</w:t>
      </w:r>
      <w:r>
        <w:t xml:space="preserve"> că a fost încălcat art. 8 din Convenție;</w:t>
      </w:r>
    </w:p>
    <w:p w:rsidR="0021702B" w:rsidRPr="00F00DCE" w:rsidRDefault="00074B99" w:rsidP="00F00DCE">
      <w:pPr>
        <w:pStyle w:val="JuList"/>
      </w:pPr>
      <w:r>
        <w:rPr>
          <w:i/>
        </w:rPr>
        <w:t>Hotărăște</w:t>
      </w:r>
      <w:r>
        <w:t xml:space="preserve"> că nu este necesar să examineze separat admisibilitatea și temeinicia capătului de cerere formulat în temeiul art. 14 coroborat cu art. 8 din Convenție;</w:t>
      </w:r>
    </w:p>
    <w:p w:rsidR="0021702B" w:rsidRPr="00F00DCE" w:rsidRDefault="00074B99" w:rsidP="00F00DCE">
      <w:pPr>
        <w:pStyle w:val="JuList"/>
      </w:pPr>
      <w:r>
        <w:rPr>
          <w:i/>
        </w:rPr>
        <w:t>Hotărăște</w:t>
      </w:r>
    </w:p>
    <w:p w:rsidR="0021702B" w:rsidRPr="00F00DCE" w:rsidRDefault="00074B99" w:rsidP="00F00DCE">
      <w:pPr>
        <w:pStyle w:val="JuLista"/>
      </w:pPr>
      <w:r>
        <w:t>că statul pârât trebuie să plătească, în termen de trei luni de la data rămânerii definitive a hotărârii, în conformitate cu art. 44 § 2 din Convenție, următoarele sume, care trebuie convertite în moneda națională a statului pârât la rata de schimb aplicabilă la data plății:</w:t>
      </w:r>
    </w:p>
    <w:p w:rsidR="0021702B" w:rsidRPr="00F00DCE" w:rsidRDefault="00074B99" w:rsidP="00F00DCE">
      <w:pPr>
        <w:pStyle w:val="JuListi"/>
      </w:pPr>
      <w:r>
        <w:t>700 EUR (șapte sute euro), plus orice sumă ce poate fi datorată cu titlu de impozit, cu titlu de despăgubire pentru prejudiciul material;</w:t>
      </w:r>
    </w:p>
    <w:p w:rsidR="0021702B" w:rsidRPr="00F00DCE" w:rsidRDefault="00074B99" w:rsidP="00F00DCE">
      <w:pPr>
        <w:pStyle w:val="JuListi"/>
      </w:pPr>
      <w:r>
        <w:t>7 500 EUR (șapte mii cinci sute euro), plus orice sumă ce poate fi datorată cu titlu de impozit, pentru prejudiciul moral;</w:t>
      </w:r>
    </w:p>
    <w:p w:rsidR="0021702B" w:rsidRPr="00F00DCE" w:rsidRDefault="00074B99" w:rsidP="00F00DCE">
      <w:pPr>
        <w:pStyle w:val="JuListi"/>
      </w:pPr>
      <w:r>
        <w:t>125 EUR (o sută douăzeci și cinci euro), pentru cheltuielile de judecată, plus orice sumă ce poate fi datorată de reclamantă cu titlu de impozit;</w:t>
      </w:r>
    </w:p>
    <w:p w:rsidR="00C56DB3" w:rsidRPr="00F00DCE" w:rsidRDefault="00074B99" w:rsidP="00F00DCE">
      <w:pPr>
        <w:pStyle w:val="JuLista"/>
      </w:pPr>
      <w:r>
        <w:t>că, de la împlinirea termenului menționat și până la efectuarea plății, aceste sume trebuie majorată cu o dobândă simplă, la o rată egală cu rata dobânzii facilității de împrumut marginal practicată de Banca Centrală Europeană, aplicabilă pe parcursul acestei perioade și majorată cu trei puncte procentuale;</w:t>
      </w:r>
    </w:p>
    <w:p w:rsidR="004D0EC7" w:rsidRPr="00F00DCE" w:rsidRDefault="00074B99" w:rsidP="00F00DCE">
      <w:pPr>
        <w:pStyle w:val="JuList"/>
      </w:pPr>
      <w:r>
        <w:rPr>
          <w:i/>
          <w:iCs/>
        </w:rPr>
        <w:t>Respinge</w:t>
      </w:r>
      <w:r>
        <w:t xml:space="preserve"> cererea de acordare a unei reparații echitabile pentru celelalte capete de cerere.</w:t>
      </w:r>
    </w:p>
    <w:p w:rsidR="008E3A08" w:rsidRPr="00F00DCE" w:rsidRDefault="00074B99" w:rsidP="00F00DCE">
      <w:pPr>
        <w:pStyle w:val="JuParaLast"/>
      </w:pPr>
      <w:r>
        <w:t>Redactată în limba engleză și comunicată în scris la 3 decembrie 2024, în conformitate cu art. 77 § 2 și 3 din Regulamentul Curții.</w:t>
      </w:r>
    </w:p>
    <w:p w:rsidR="007E79A4" w:rsidRPr="00F00DCE" w:rsidRDefault="00074B99" w:rsidP="00F00DCE">
      <w:pPr>
        <w:pStyle w:val="JuSigned"/>
        <w:keepNext/>
        <w:keepLines/>
      </w:pPr>
      <w:r>
        <w:tab/>
        <w:t>Simeon Petrovski</w:t>
      </w:r>
      <w:r>
        <w:tab/>
        <w:t>Lado Chanturia</w:t>
      </w:r>
      <w:r>
        <w:br/>
      </w:r>
      <w:r>
        <w:tab/>
        <w:t>Grefier adjunct</w:t>
      </w:r>
      <w:r>
        <w:tab/>
        <w:t>Președinte</w:t>
      </w:r>
    </w:p>
    <w:sectPr w:rsidR="007E79A4" w:rsidRPr="00F00DCE" w:rsidSect="007D3701">
      <w:headerReference w:type="even" r:id="rId12"/>
      <w:headerReference w:type="default" r:id="rId13"/>
      <w:footerReference w:type="even" r:id="rId14"/>
      <w:footerReference w:type="default" r:id="rId15"/>
      <w:footnotePr>
        <w:numRestart w:val="eachSect"/>
      </w:footnotePr>
      <w:pgSz w:w="11906" w:h="16838" w:code="9"/>
      <w:pgMar w:top="2274" w:right="2274" w:bottom="2274" w:left="2274" w:header="1701"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0112" w:rsidRDefault="00A00112">
      <w:r>
        <w:separator/>
      </w:r>
    </w:p>
  </w:endnote>
  <w:endnote w:type="continuationSeparator" w:id="0">
    <w:p w:rsidR="00A00112" w:rsidRDefault="00A00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802" w:rsidRPr="00150BFA" w:rsidRDefault="00F71802" w:rsidP="0020718E">
    <w:pPr>
      <w:jc w:val="center"/>
    </w:pPr>
    <w:r>
      <w:rPr>
        <w:noProof/>
        <w:lang w:eastAsia="ro-RO"/>
      </w:rPr>
      <w:drawing>
        <wp:inline distT="0" distB="0" distL="0" distR="0">
          <wp:extent cx="771525" cy="619125"/>
          <wp:effectExtent l="0" t="0" r="9525" b="9525"/>
          <wp:docPr id="46" name="Picture 46"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F71802" w:rsidRPr="00E67565" w:rsidRDefault="00F71802" w:rsidP="00AF12C5">
    <w:pPr>
      <w:pStyle w:val="Footer0"/>
      <w:jc w:val="center"/>
      <w:rPr>
        <w:sz w:val="4"/>
        <w:szCs w:val="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802" w:rsidRPr="00150BFA" w:rsidRDefault="00F71802" w:rsidP="0020718E">
    <w:pPr>
      <w:jc w:val="center"/>
    </w:pPr>
    <w:r>
      <w:rPr>
        <w:noProof/>
        <w:lang w:eastAsia="ro-RO"/>
      </w:rPr>
      <w:drawing>
        <wp:inline distT="0" distB="0" distL="0" distR="0">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F71802" w:rsidRPr="00E67565" w:rsidRDefault="00F71802" w:rsidP="009E7A6F">
    <w:pPr>
      <w:pStyle w:val="Footer0"/>
      <w:jc w:val="center"/>
      <w:rPr>
        <w:sz w:val="4"/>
        <w:szCs w:val="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802" w:rsidRDefault="00F71802" w:rsidP="009A115C">
    <w:pPr>
      <w:pStyle w:val="JuHeader"/>
    </w:pPr>
    <w:r>
      <w:fldChar w:fldCharType="begin"/>
    </w:r>
    <w:r>
      <w:instrText xml:space="preserve"> PAGE  \* MERGEFORMAT </w:instrText>
    </w:r>
    <w:r>
      <w:fldChar w:fldCharType="separate"/>
    </w:r>
    <w:r w:rsidR="0094597A">
      <w:rPr>
        <w:noProof/>
      </w:rPr>
      <w:t>34</w:t>
    </w:r>
    <w: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802" w:rsidRPr="000B7195" w:rsidRDefault="00F71802" w:rsidP="007D3701">
    <w:pPr>
      <w:pStyle w:val="JuHeader"/>
    </w:pPr>
    <w:r>
      <w:fldChar w:fldCharType="begin"/>
    </w:r>
    <w:r>
      <w:instrText xml:space="preserve"> PAGE  \* MERGEFORMAT </w:instrText>
    </w:r>
    <w:r>
      <w:fldChar w:fldCharType="separate"/>
    </w:r>
    <w:r w:rsidR="0094597A">
      <w:rPr>
        <w:noProof/>
      </w:rPr>
      <w:t>33</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0112" w:rsidRDefault="00A00112">
      <w:r>
        <w:separator/>
      </w:r>
    </w:p>
  </w:footnote>
  <w:footnote w:type="continuationSeparator" w:id="0">
    <w:p w:rsidR="00A00112" w:rsidRDefault="00A0011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802" w:rsidRPr="00A45145" w:rsidRDefault="00F71802" w:rsidP="00A45145">
    <w:pPr>
      <w:jc w:val="center"/>
    </w:pPr>
    <w:r>
      <w:rPr>
        <w:noProof/>
        <w:lang w:eastAsia="ro-RO"/>
      </w:rPr>
      <w:drawing>
        <wp:inline distT="0" distB="0" distL="0" distR="0">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F71802" w:rsidRPr="00E67565" w:rsidRDefault="00F71802" w:rsidP="00B14793">
    <w:pPr>
      <w:jc w:val="center"/>
      <w:rPr>
        <w:sz w:val="4"/>
        <w:szCs w:val="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802" w:rsidRPr="00AD6329" w:rsidRDefault="00F71802" w:rsidP="00B3763A">
    <w:pPr>
      <w:jc w:val="right"/>
      <w:rPr>
        <w:i/>
        <w:sz w:val="22"/>
        <w:szCs w:val="22"/>
      </w:rPr>
    </w:pPr>
    <w:r>
      <w:rPr>
        <w:i/>
        <w:sz w:val="22"/>
      </w:rPr>
      <w:t>Tradus și revizuit de IER (http://ier.gov.ro/)</w:t>
    </w:r>
  </w:p>
  <w:p w:rsidR="00F71802" w:rsidRPr="00A45145" w:rsidRDefault="00F71802" w:rsidP="00A45145">
    <w:pPr>
      <w:jc w:val="center"/>
    </w:pPr>
    <w:r>
      <w:rPr>
        <w:noProof/>
        <w:lang w:eastAsia="ro-RO"/>
      </w:rPr>
      <w:drawing>
        <wp:inline distT="0" distB="0" distL="0" distR="0">
          <wp:extent cx="2962275" cy="1219200"/>
          <wp:effectExtent l="0" t="0" r="9525" b="0"/>
          <wp:docPr id="40" name="Picture 40"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F71802" w:rsidRPr="00E67565" w:rsidRDefault="00F71802"/>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802" w:rsidRPr="004D0EC7" w:rsidRDefault="00F71802" w:rsidP="004D0EC7">
    <w:pPr>
      <w:pStyle w:val="JuHeader"/>
    </w:pPr>
    <w:r>
      <w:t>HOTĂRÂREA M.Ș.D. ÎMPOTRIVA ROMÂNIEI</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802" w:rsidRPr="00882CD5" w:rsidRDefault="00F71802" w:rsidP="007D3701">
    <w:pPr>
      <w:pStyle w:val="JuHeader"/>
    </w:pPr>
    <w:r>
      <w:t>HOTĂRÂREA M.Ș.D. ÎMPOTRIVA ROMÂNIEI</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C8FE6436"/>
    <w:numStyleLink w:val="ECHRA1StyleList"/>
  </w:abstractNum>
  <w:abstractNum w:abstractNumId="10" w15:restartNumberingAfterBreak="0">
    <w:nsid w:val="0C0F5BFC"/>
    <w:multiLevelType w:val="multilevel"/>
    <w:tmpl w:val="95E85314"/>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lvl>
    <w:lvl w:ilvl="5">
      <w:start w:val="1"/>
      <w:numFmt w:val="lowerRoman"/>
      <w:pStyle w:val="JuHi"/>
      <w:lvlText w:val="(%6)"/>
      <w:lvlJc w:val="left"/>
      <w:pPr>
        <w:ind w:left="1021" w:hanging="341"/>
      </w:p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FFFFFF" w:themeColor="background1"/>
      </w:rPr>
    </w:lvl>
    <w:lvl w:ilvl="1">
      <w:start w:val="1"/>
      <w:numFmt w:val="bullet"/>
      <w:pStyle w:val="ECHRBullet2"/>
      <w:lvlText w:val=""/>
      <w:lvlJc w:val="left"/>
      <w:pPr>
        <w:tabs>
          <w:tab w:val="num" w:pos="1134"/>
        </w:tabs>
        <w:ind w:left="1135" w:hanging="284"/>
      </w:pPr>
      <w:rPr>
        <w:rFonts w:ascii="Wingdings" w:hAnsi="Wingdings" w:hint="default"/>
        <w:color w:val="FFFFFF"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FFFFFF"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6"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7" w15:restartNumberingAfterBreak="0">
    <w:nsid w:val="56B9429C"/>
    <w:multiLevelType w:val="multilevel"/>
    <w:tmpl w:val="EAA66700"/>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abstractNum w:abstractNumId="18" w15:restartNumberingAfterBreak="0">
    <w:nsid w:val="67FD1241"/>
    <w:multiLevelType w:val="hybridMultilevel"/>
    <w:tmpl w:val="F6D86CC2"/>
    <w:lvl w:ilvl="0" w:tplc="980456DE">
      <w:start w:val="1"/>
      <w:numFmt w:val="bullet"/>
      <w:pStyle w:val="ListBullet"/>
      <w:lvlText w:val=""/>
      <w:lvlJc w:val="left"/>
      <w:pPr>
        <w:tabs>
          <w:tab w:val="num" w:pos="851"/>
        </w:tabs>
        <w:ind w:left="568" w:firstLine="0"/>
      </w:pPr>
      <w:rPr>
        <w:rFonts w:ascii="Wingdings" w:hAnsi="Wingdings" w:hint="default"/>
        <w:color w:val="808080"/>
        <w:sz w:val="16"/>
      </w:rPr>
    </w:lvl>
    <w:lvl w:ilvl="1" w:tplc="FDAEA5FA" w:tentative="1">
      <w:start w:val="1"/>
      <w:numFmt w:val="bullet"/>
      <w:lvlText w:val="o"/>
      <w:lvlJc w:val="left"/>
      <w:pPr>
        <w:tabs>
          <w:tab w:val="num" w:pos="1724"/>
        </w:tabs>
        <w:ind w:left="1724" w:hanging="360"/>
      </w:pPr>
      <w:rPr>
        <w:rFonts w:ascii="Courier New" w:hAnsi="Courier New" w:cs="Courier New" w:hint="default"/>
      </w:rPr>
    </w:lvl>
    <w:lvl w:ilvl="2" w:tplc="E5348A22" w:tentative="1">
      <w:start w:val="1"/>
      <w:numFmt w:val="bullet"/>
      <w:lvlText w:val=""/>
      <w:lvlJc w:val="left"/>
      <w:pPr>
        <w:tabs>
          <w:tab w:val="num" w:pos="2444"/>
        </w:tabs>
        <w:ind w:left="2444" w:hanging="360"/>
      </w:pPr>
      <w:rPr>
        <w:rFonts w:ascii="Wingdings" w:hAnsi="Wingdings" w:hint="default"/>
      </w:rPr>
    </w:lvl>
    <w:lvl w:ilvl="3" w:tplc="A238E2E4" w:tentative="1">
      <w:start w:val="1"/>
      <w:numFmt w:val="bullet"/>
      <w:lvlText w:val=""/>
      <w:lvlJc w:val="left"/>
      <w:pPr>
        <w:tabs>
          <w:tab w:val="num" w:pos="3164"/>
        </w:tabs>
        <w:ind w:left="3164" w:hanging="360"/>
      </w:pPr>
      <w:rPr>
        <w:rFonts w:ascii="Symbol" w:hAnsi="Symbol" w:hint="default"/>
      </w:rPr>
    </w:lvl>
    <w:lvl w:ilvl="4" w:tplc="CA90A35E" w:tentative="1">
      <w:start w:val="1"/>
      <w:numFmt w:val="bullet"/>
      <w:lvlText w:val="o"/>
      <w:lvlJc w:val="left"/>
      <w:pPr>
        <w:tabs>
          <w:tab w:val="num" w:pos="3884"/>
        </w:tabs>
        <w:ind w:left="3884" w:hanging="360"/>
      </w:pPr>
      <w:rPr>
        <w:rFonts w:ascii="Courier New" w:hAnsi="Courier New" w:cs="Courier New" w:hint="default"/>
      </w:rPr>
    </w:lvl>
    <w:lvl w:ilvl="5" w:tplc="D8EEC650" w:tentative="1">
      <w:start w:val="1"/>
      <w:numFmt w:val="bullet"/>
      <w:lvlText w:val=""/>
      <w:lvlJc w:val="left"/>
      <w:pPr>
        <w:tabs>
          <w:tab w:val="num" w:pos="4604"/>
        </w:tabs>
        <w:ind w:left="4604" w:hanging="360"/>
      </w:pPr>
      <w:rPr>
        <w:rFonts w:ascii="Wingdings" w:hAnsi="Wingdings" w:hint="default"/>
      </w:rPr>
    </w:lvl>
    <w:lvl w:ilvl="6" w:tplc="96687F14" w:tentative="1">
      <w:start w:val="1"/>
      <w:numFmt w:val="bullet"/>
      <w:lvlText w:val=""/>
      <w:lvlJc w:val="left"/>
      <w:pPr>
        <w:tabs>
          <w:tab w:val="num" w:pos="5324"/>
        </w:tabs>
        <w:ind w:left="5324" w:hanging="360"/>
      </w:pPr>
      <w:rPr>
        <w:rFonts w:ascii="Symbol" w:hAnsi="Symbol" w:hint="default"/>
      </w:rPr>
    </w:lvl>
    <w:lvl w:ilvl="7" w:tplc="C41AC38C" w:tentative="1">
      <w:start w:val="1"/>
      <w:numFmt w:val="bullet"/>
      <w:lvlText w:val="o"/>
      <w:lvlJc w:val="left"/>
      <w:pPr>
        <w:tabs>
          <w:tab w:val="num" w:pos="6044"/>
        </w:tabs>
        <w:ind w:left="6044" w:hanging="360"/>
      </w:pPr>
      <w:rPr>
        <w:rFonts w:ascii="Courier New" w:hAnsi="Courier New" w:cs="Courier New" w:hint="default"/>
      </w:rPr>
    </w:lvl>
    <w:lvl w:ilvl="8" w:tplc="69FEC7BE" w:tentative="1">
      <w:start w:val="1"/>
      <w:numFmt w:val="bullet"/>
      <w:lvlText w:val=""/>
      <w:lvlJc w:val="left"/>
      <w:pPr>
        <w:tabs>
          <w:tab w:val="num" w:pos="6764"/>
        </w:tabs>
        <w:ind w:left="6764" w:hanging="360"/>
      </w:pPr>
      <w:rPr>
        <w:rFonts w:ascii="Wingdings" w:hAnsi="Wingdings" w:hint="default"/>
      </w:rPr>
    </w:lvl>
  </w:abstractNum>
  <w:abstractNum w:abstractNumId="19" w15:restartNumberingAfterBreak="0">
    <w:nsid w:val="7D35409C"/>
    <w:multiLevelType w:val="multilevel"/>
    <w:tmpl w:val="EAA66700"/>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num w:numId="1">
    <w:abstractNumId w:val="14"/>
  </w:num>
  <w:num w:numId="2">
    <w:abstractNumId w:val="12"/>
  </w:num>
  <w:num w:numId="3">
    <w:abstractNumId w:val="11"/>
  </w:num>
  <w:num w:numId="4">
    <w:abstractNumId w:val="15"/>
  </w:num>
  <w:num w:numId="5">
    <w:abstractNumId w:val="13"/>
  </w:num>
  <w:num w:numId="6">
    <w:abstractNumId w:val="16"/>
  </w:num>
  <w:num w:numId="7">
    <w:abstractNumId w:val="15"/>
  </w:num>
  <w:num w:numId="8">
    <w:abstractNumId w:val="16"/>
  </w:num>
  <w:num w:numId="9">
    <w:abstractNumId w:val="10"/>
  </w:num>
  <w:num w:numId="10">
    <w:abstractNumId w:val="9"/>
  </w:num>
  <w:num w:numId="11">
    <w:abstractNumId w:val="18"/>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9"/>
  </w:num>
  <w:num w:numId="22">
    <w:abstractNumId w:val="17"/>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9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1"/>
  <w:defaultTabStop w:val="720"/>
  <w:hyphenationZone w:val="425"/>
  <w:evenAndOddHeaders/>
  <w:drawingGridHorizontalSpacing w:val="110"/>
  <w:displayHorizontalDrawingGridEvery w:val="2"/>
  <w:displayVerticalDrawingGridEvery w:val="2"/>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EMM" w:val="0"/>
    <w:docVar w:name="NBEMMDOC" w:val="0"/>
    <w:docVar w:name="Plural" w:val="0"/>
  </w:docVars>
  <w:rsids>
    <w:rsidRoot w:val="0021702B"/>
    <w:rsid w:val="000041F8"/>
    <w:rsid w:val="000042A8"/>
    <w:rsid w:val="00004308"/>
    <w:rsid w:val="00005BF0"/>
    <w:rsid w:val="0000617D"/>
    <w:rsid w:val="00007154"/>
    <w:rsid w:val="000103AE"/>
    <w:rsid w:val="00011D69"/>
    <w:rsid w:val="00012AD3"/>
    <w:rsid w:val="00015C2D"/>
    <w:rsid w:val="00015F00"/>
    <w:rsid w:val="0001768D"/>
    <w:rsid w:val="00022C1D"/>
    <w:rsid w:val="0002592F"/>
    <w:rsid w:val="00027F29"/>
    <w:rsid w:val="00031428"/>
    <w:rsid w:val="00034987"/>
    <w:rsid w:val="00041560"/>
    <w:rsid w:val="000602DF"/>
    <w:rsid w:val="00061B05"/>
    <w:rsid w:val="000632D5"/>
    <w:rsid w:val="000644EE"/>
    <w:rsid w:val="000712E3"/>
    <w:rsid w:val="00074B99"/>
    <w:rsid w:val="000770F6"/>
    <w:rsid w:val="0007747F"/>
    <w:rsid w:val="0007780A"/>
    <w:rsid w:val="00085457"/>
    <w:rsid w:val="000925AD"/>
    <w:rsid w:val="00096FE1"/>
    <w:rsid w:val="00097A62"/>
    <w:rsid w:val="000A24EB"/>
    <w:rsid w:val="000B686A"/>
    <w:rsid w:val="000B6923"/>
    <w:rsid w:val="000B7195"/>
    <w:rsid w:val="000C5F3C"/>
    <w:rsid w:val="000C6DCC"/>
    <w:rsid w:val="000C7E7C"/>
    <w:rsid w:val="000D2E56"/>
    <w:rsid w:val="000D47AA"/>
    <w:rsid w:val="000D721F"/>
    <w:rsid w:val="000E069B"/>
    <w:rsid w:val="000E0E82"/>
    <w:rsid w:val="000E1DC5"/>
    <w:rsid w:val="000E223F"/>
    <w:rsid w:val="000E46B8"/>
    <w:rsid w:val="000E7D45"/>
    <w:rsid w:val="000F52F4"/>
    <w:rsid w:val="000F7851"/>
    <w:rsid w:val="00101505"/>
    <w:rsid w:val="00104E23"/>
    <w:rsid w:val="00110DA8"/>
    <w:rsid w:val="00111B0C"/>
    <w:rsid w:val="0011222A"/>
    <w:rsid w:val="00120D6C"/>
    <w:rsid w:val="001257EC"/>
    <w:rsid w:val="00133D33"/>
    <w:rsid w:val="00134B6A"/>
    <w:rsid w:val="00134D64"/>
    <w:rsid w:val="00135A30"/>
    <w:rsid w:val="0013612C"/>
    <w:rsid w:val="00137FF6"/>
    <w:rsid w:val="00141650"/>
    <w:rsid w:val="00150BFA"/>
    <w:rsid w:val="00155F3D"/>
    <w:rsid w:val="001561B6"/>
    <w:rsid w:val="00162A12"/>
    <w:rsid w:val="00166530"/>
    <w:rsid w:val="00170027"/>
    <w:rsid w:val="00182EBA"/>
    <w:rsid w:val="001832BD"/>
    <w:rsid w:val="001943B5"/>
    <w:rsid w:val="00195134"/>
    <w:rsid w:val="001A020C"/>
    <w:rsid w:val="001A145B"/>
    <w:rsid w:val="001A3E09"/>
    <w:rsid w:val="001A674C"/>
    <w:rsid w:val="001B3B24"/>
    <w:rsid w:val="001C055B"/>
    <w:rsid w:val="001C0F98"/>
    <w:rsid w:val="001C2A42"/>
    <w:rsid w:val="001D63ED"/>
    <w:rsid w:val="001D7348"/>
    <w:rsid w:val="001E035B"/>
    <w:rsid w:val="001E0961"/>
    <w:rsid w:val="001E3EAE"/>
    <w:rsid w:val="001E6857"/>
    <w:rsid w:val="001E6F32"/>
    <w:rsid w:val="001F2145"/>
    <w:rsid w:val="001F6262"/>
    <w:rsid w:val="001F67B0"/>
    <w:rsid w:val="001F7B3D"/>
    <w:rsid w:val="00202752"/>
    <w:rsid w:val="0020335A"/>
    <w:rsid w:val="002041F6"/>
    <w:rsid w:val="002052BC"/>
    <w:rsid w:val="00205F9F"/>
    <w:rsid w:val="0020718E"/>
    <w:rsid w:val="00210338"/>
    <w:rsid w:val="002115FC"/>
    <w:rsid w:val="0021423C"/>
    <w:rsid w:val="0021702B"/>
    <w:rsid w:val="00226C89"/>
    <w:rsid w:val="00230D00"/>
    <w:rsid w:val="00231DF7"/>
    <w:rsid w:val="00231FD1"/>
    <w:rsid w:val="002339E0"/>
    <w:rsid w:val="00233CF8"/>
    <w:rsid w:val="0023575D"/>
    <w:rsid w:val="00237148"/>
    <w:rsid w:val="0024222D"/>
    <w:rsid w:val="002422B6"/>
    <w:rsid w:val="00244B0E"/>
    <w:rsid w:val="00244F6C"/>
    <w:rsid w:val="00246B89"/>
    <w:rsid w:val="00247E62"/>
    <w:rsid w:val="00252C4E"/>
    <w:rsid w:val="002532C5"/>
    <w:rsid w:val="00254DF2"/>
    <w:rsid w:val="00260C03"/>
    <w:rsid w:val="0026439A"/>
    <w:rsid w:val="0026540E"/>
    <w:rsid w:val="00275123"/>
    <w:rsid w:val="00281B7C"/>
    <w:rsid w:val="00282240"/>
    <w:rsid w:val="00282BD8"/>
    <w:rsid w:val="00287AD5"/>
    <w:rsid w:val="00290650"/>
    <w:rsid w:val="002934D0"/>
    <w:rsid w:val="00293676"/>
    <w:rsid w:val="00293BD9"/>
    <w:rsid w:val="002948AD"/>
    <w:rsid w:val="002A01CC"/>
    <w:rsid w:val="002A613A"/>
    <w:rsid w:val="002A61B1"/>
    <w:rsid w:val="002A663C"/>
    <w:rsid w:val="002B444B"/>
    <w:rsid w:val="002B5887"/>
    <w:rsid w:val="002B5B43"/>
    <w:rsid w:val="002C0E27"/>
    <w:rsid w:val="002C3040"/>
    <w:rsid w:val="002C4433"/>
    <w:rsid w:val="002C5ADD"/>
    <w:rsid w:val="002C7826"/>
    <w:rsid w:val="002C7B30"/>
    <w:rsid w:val="002D022D"/>
    <w:rsid w:val="002D24BB"/>
    <w:rsid w:val="002D2FA7"/>
    <w:rsid w:val="002D47BA"/>
    <w:rsid w:val="002D77B9"/>
    <w:rsid w:val="002E46DA"/>
    <w:rsid w:val="002E7764"/>
    <w:rsid w:val="002F2AF7"/>
    <w:rsid w:val="002F69C4"/>
    <w:rsid w:val="002F7D9E"/>
    <w:rsid w:val="002F7E1C"/>
    <w:rsid w:val="00301A75"/>
    <w:rsid w:val="00302F70"/>
    <w:rsid w:val="0030336F"/>
    <w:rsid w:val="0030375E"/>
    <w:rsid w:val="00303A19"/>
    <w:rsid w:val="00306FAA"/>
    <w:rsid w:val="00312A30"/>
    <w:rsid w:val="003201D8"/>
    <w:rsid w:val="00320F72"/>
    <w:rsid w:val="0032463E"/>
    <w:rsid w:val="00326224"/>
    <w:rsid w:val="00337EE4"/>
    <w:rsid w:val="00340FFD"/>
    <w:rsid w:val="00345C41"/>
    <w:rsid w:val="003506B1"/>
    <w:rsid w:val="00355877"/>
    <w:rsid w:val="00356AC7"/>
    <w:rsid w:val="003609FA"/>
    <w:rsid w:val="003710C8"/>
    <w:rsid w:val="003750BE"/>
    <w:rsid w:val="00385A36"/>
    <w:rsid w:val="00385F3D"/>
    <w:rsid w:val="0038740C"/>
    <w:rsid w:val="00387B9D"/>
    <w:rsid w:val="00387C70"/>
    <w:rsid w:val="00390294"/>
    <w:rsid w:val="00393633"/>
    <w:rsid w:val="0039364F"/>
    <w:rsid w:val="00394E5B"/>
    <w:rsid w:val="00396686"/>
    <w:rsid w:val="0039778E"/>
    <w:rsid w:val="003A4C4D"/>
    <w:rsid w:val="003B4941"/>
    <w:rsid w:val="003C5714"/>
    <w:rsid w:val="003C6B9F"/>
    <w:rsid w:val="003C6E2A"/>
    <w:rsid w:val="003C73EB"/>
    <w:rsid w:val="003D0299"/>
    <w:rsid w:val="003E3029"/>
    <w:rsid w:val="003E6D80"/>
    <w:rsid w:val="003E7BCC"/>
    <w:rsid w:val="003F05FA"/>
    <w:rsid w:val="003F244A"/>
    <w:rsid w:val="003F2517"/>
    <w:rsid w:val="003F30B8"/>
    <w:rsid w:val="003F4C45"/>
    <w:rsid w:val="003F5F7B"/>
    <w:rsid w:val="003F7D64"/>
    <w:rsid w:val="0040433A"/>
    <w:rsid w:val="00414300"/>
    <w:rsid w:val="00414F27"/>
    <w:rsid w:val="00420703"/>
    <w:rsid w:val="00425C67"/>
    <w:rsid w:val="00427E7A"/>
    <w:rsid w:val="004355AC"/>
    <w:rsid w:val="00436C49"/>
    <w:rsid w:val="00443D98"/>
    <w:rsid w:val="00445366"/>
    <w:rsid w:val="00447F5B"/>
    <w:rsid w:val="00454B25"/>
    <w:rsid w:val="00461DB0"/>
    <w:rsid w:val="00463926"/>
    <w:rsid w:val="00464AB7"/>
    <w:rsid w:val="00464C9A"/>
    <w:rsid w:val="00474F3D"/>
    <w:rsid w:val="00477E3A"/>
    <w:rsid w:val="0048169D"/>
    <w:rsid w:val="00482979"/>
    <w:rsid w:val="00483E5F"/>
    <w:rsid w:val="00485FF9"/>
    <w:rsid w:val="0049049B"/>
    <w:rsid w:val="004907F0"/>
    <w:rsid w:val="0049140B"/>
    <w:rsid w:val="004923A5"/>
    <w:rsid w:val="0049310E"/>
    <w:rsid w:val="004950E2"/>
    <w:rsid w:val="00496BFB"/>
    <w:rsid w:val="004A15C7"/>
    <w:rsid w:val="004A3201"/>
    <w:rsid w:val="004A7044"/>
    <w:rsid w:val="004B013B"/>
    <w:rsid w:val="004B112B"/>
    <w:rsid w:val="004B444E"/>
    <w:rsid w:val="004C01E4"/>
    <w:rsid w:val="004C086C"/>
    <w:rsid w:val="004C1F56"/>
    <w:rsid w:val="004C27BC"/>
    <w:rsid w:val="004C6621"/>
    <w:rsid w:val="004D0EC7"/>
    <w:rsid w:val="004D15F3"/>
    <w:rsid w:val="004D3B3D"/>
    <w:rsid w:val="004D4EF1"/>
    <w:rsid w:val="004D5311"/>
    <w:rsid w:val="004D5DCC"/>
    <w:rsid w:val="004D7E45"/>
    <w:rsid w:val="004F10AF"/>
    <w:rsid w:val="004F11A4"/>
    <w:rsid w:val="004F2389"/>
    <w:rsid w:val="004F304D"/>
    <w:rsid w:val="004F4290"/>
    <w:rsid w:val="004F61BE"/>
    <w:rsid w:val="004F66B1"/>
    <w:rsid w:val="00505F69"/>
    <w:rsid w:val="00511C07"/>
    <w:rsid w:val="005125CB"/>
    <w:rsid w:val="00512EC4"/>
    <w:rsid w:val="00513528"/>
    <w:rsid w:val="0051725A"/>
    <w:rsid w:val="005173A6"/>
    <w:rsid w:val="00517BB8"/>
    <w:rsid w:val="00520354"/>
    <w:rsid w:val="00520BAA"/>
    <w:rsid w:val="005217D8"/>
    <w:rsid w:val="00525208"/>
    <w:rsid w:val="005257A5"/>
    <w:rsid w:val="005264C0"/>
    <w:rsid w:val="00526A8A"/>
    <w:rsid w:val="00527FB1"/>
    <w:rsid w:val="00530AFC"/>
    <w:rsid w:val="00530FE6"/>
    <w:rsid w:val="00531DF2"/>
    <w:rsid w:val="0053315C"/>
    <w:rsid w:val="00537476"/>
    <w:rsid w:val="005442EE"/>
    <w:rsid w:val="00545DA6"/>
    <w:rsid w:val="0054716E"/>
    <w:rsid w:val="00547353"/>
    <w:rsid w:val="005474E7"/>
    <w:rsid w:val="005512A3"/>
    <w:rsid w:val="005578CE"/>
    <w:rsid w:val="00562781"/>
    <w:rsid w:val="00562B6C"/>
    <w:rsid w:val="0057271C"/>
    <w:rsid w:val="00572845"/>
    <w:rsid w:val="005879A2"/>
    <w:rsid w:val="00592772"/>
    <w:rsid w:val="0059574A"/>
    <w:rsid w:val="005A1B9B"/>
    <w:rsid w:val="005A2221"/>
    <w:rsid w:val="005A2E79"/>
    <w:rsid w:val="005A6751"/>
    <w:rsid w:val="005B092E"/>
    <w:rsid w:val="005B152C"/>
    <w:rsid w:val="005B1EE0"/>
    <w:rsid w:val="005B2B24"/>
    <w:rsid w:val="005B4425"/>
    <w:rsid w:val="005B4B94"/>
    <w:rsid w:val="005C2C62"/>
    <w:rsid w:val="005C3EE8"/>
    <w:rsid w:val="005D2F2A"/>
    <w:rsid w:val="005D34F9"/>
    <w:rsid w:val="005D4190"/>
    <w:rsid w:val="005D551B"/>
    <w:rsid w:val="005D67A3"/>
    <w:rsid w:val="005E2988"/>
    <w:rsid w:val="005E3085"/>
    <w:rsid w:val="005F0EB3"/>
    <w:rsid w:val="005F3D2B"/>
    <w:rsid w:val="005F51E1"/>
    <w:rsid w:val="00611C80"/>
    <w:rsid w:val="00620692"/>
    <w:rsid w:val="006242CA"/>
    <w:rsid w:val="00627507"/>
    <w:rsid w:val="0063272B"/>
    <w:rsid w:val="00633717"/>
    <w:rsid w:val="006344E1"/>
    <w:rsid w:val="00643524"/>
    <w:rsid w:val="0064393B"/>
    <w:rsid w:val="00645CF2"/>
    <w:rsid w:val="006545C4"/>
    <w:rsid w:val="00661971"/>
    <w:rsid w:val="00661CE8"/>
    <w:rsid w:val="006623D9"/>
    <w:rsid w:val="006642A5"/>
    <w:rsid w:val="0066550C"/>
    <w:rsid w:val="00665BD2"/>
    <w:rsid w:val="006716F2"/>
    <w:rsid w:val="00674BE3"/>
    <w:rsid w:val="00675AF2"/>
    <w:rsid w:val="00682BF2"/>
    <w:rsid w:val="0068573E"/>
    <w:rsid w:val="006859CE"/>
    <w:rsid w:val="00691270"/>
    <w:rsid w:val="00694BA8"/>
    <w:rsid w:val="006A037C"/>
    <w:rsid w:val="006A0C84"/>
    <w:rsid w:val="006A36F4"/>
    <w:rsid w:val="006A406F"/>
    <w:rsid w:val="006A4E97"/>
    <w:rsid w:val="006A5D3A"/>
    <w:rsid w:val="006B1942"/>
    <w:rsid w:val="006C0D3F"/>
    <w:rsid w:val="006C23D4"/>
    <w:rsid w:val="006C7BB0"/>
    <w:rsid w:val="006D3237"/>
    <w:rsid w:val="006D3C0A"/>
    <w:rsid w:val="006E2E37"/>
    <w:rsid w:val="006E3CF1"/>
    <w:rsid w:val="006E68A3"/>
    <w:rsid w:val="006E7E80"/>
    <w:rsid w:val="006F1C2D"/>
    <w:rsid w:val="006F48CA"/>
    <w:rsid w:val="006F64DD"/>
    <w:rsid w:val="006F712D"/>
    <w:rsid w:val="00715127"/>
    <w:rsid w:val="007151DE"/>
    <w:rsid w:val="00715E8E"/>
    <w:rsid w:val="00723580"/>
    <w:rsid w:val="00723755"/>
    <w:rsid w:val="0073136C"/>
    <w:rsid w:val="00731F0F"/>
    <w:rsid w:val="00732CC1"/>
    <w:rsid w:val="00733250"/>
    <w:rsid w:val="007352B1"/>
    <w:rsid w:val="00741404"/>
    <w:rsid w:val="007449E5"/>
    <w:rsid w:val="0074750E"/>
    <w:rsid w:val="00747FF0"/>
    <w:rsid w:val="00751066"/>
    <w:rsid w:val="0075566E"/>
    <w:rsid w:val="00763602"/>
    <w:rsid w:val="00764D4E"/>
    <w:rsid w:val="00765A1F"/>
    <w:rsid w:val="00775B6D"/>
    <w:rsid w:val="00776D68"/>
    <w:rsid w:val="00781140"/>
    <w:rsid w:val="0078323E"/>
    <w:rsid w:val="007849C2"/>
    <w:rsid w:val="007850EE"/>
    <w:rsid w:val="00785B95"/>
    <w:rsid w:val="00790E96"/>
    <w:rsid w:val="007926FD"/>
    <w:rsid w:val="00793366"/>
    <w:rsid w:val="0079666C"/>
    <w:rsid w:val="007A6620"/>
    <w:rsid w:val="007A716F"/>
    <w:rsid w:val="007B270A"/>
    <w:rsid w:val="007B4182"/>
    <w:rsid w:val="007C0695"/>
    <w:rsid w:val="007C419A"/>
    <w:rsid w:val="007C4CC8"/>
    <w:rsid w:val="007C5426"/>
    <w:rsid w:val="007C5798"/>
    <w:rsid w:val="007D1ECD"/>
    <w:rsid w:val="007D3701"/>
    <w:rsid w:val="007D4832"/>
    <w:rsid w:val="007E21B2"/>
    <w:rsid w:val="007E2C4E"/>
    <w:rsid w:val="007E2C8C"/>
    <w:rsid w:val="007E51BA"/>
    <w:rsid w:val="007E73D7"/>
    <w:rsid w:val="007E79A4"/>
    <w:rsid w:val="007F1905"/>
    <w:rsid w:val="007F27E4"/>
    <w:rsid w:val="007F3437"/>
    <w:rsid w:val="00802C64"/>
    <w:rsid w:val="00805E52"/>
    <w:rsid w:val="008061D0"/>
    <w:rsid w:val="00810B38"/>
    <w:rsid w:val="008204C7"/>
    <w:rsid w:val="00820992"/>
    <w:rsid w:val="00823602"/>
    <w:rsid w:val="008255F5"/>
    <w:rsid w:val="00826890"/>
    <w:rsid w:val="0083014E"/>
    <w:rsid w:val="0083214A"/>
    <w:rsid w:val="00834220"/>
    <w:rsid w:val="008426F9"/>
    <w:rsid w:val="00845723"/>
    <w:rsid w:val="008519E7"/>
    <w:rsid w:val="00851EF9"/>
    <w:rsid w:val="008577FD"/>
    <w:rsid w:val="00860B03"/>
    <w:rsid w:val="0086497A"/>
    <w:rsid w:val="0086538E"/>
    <w:rsid w:val="00867066"/>
    <w:rsid w:val="00870F07"/>
    <w:rsid w:val="008713A1"/>
    <w:rsid w:val="00872584"/>
    <w:rsid w:val="008754AB"/>
    <w:rsid w:val="0088060C"/>
    <w:rsid w:val="00882CD5"/>
    <w:rsid w:val="00883151"/>
    <w:rsid w:val="00893576"/>
    <w:rsid w:val="00893E73"/>
    <w:rsid w:val="008B02DC"/>
    <w:rsid w:val="008B092C"/>
    <w:rsid w:val="008B57CE"/>
    <w:rsid w:val="008C26DE"/>
    <w:rsid w:val="008D1668"/>
    <w:rsid w:val="008D2225"/>
    <w:rsid w:val="008D4752"/>
    <w:rsid w:val="008D5A13"/>
    <w:rsid w:val="008E271C"/>
    <w:rsid w:val="008E2B19"/>
    <w:rsid w:val="008E3A08"/>
    <w:rsid w:val="008E418E"/>
    <w:rsid w:val="008E5BC6"/>
    <w:rsid w:val="008E6217"/>
    <w:rsid w:val="008E6A25"/>
    <w:rsid w:val="008F1E94"/>
    <w:rsid w:val="008F2465"/>
    <w:rsid w:val="008F2554"/>
    <w:rsid w:val="008F3AEC"/>
    <w:rsid w:val="008F4D80"/>
    <w:rsid w:val="008F5193"/>
    <w:rsid w:val="008F6B36"/>
    <w:rsid w:val="009013A7"/>
    <w:rsid w:val="009017FB"/>
    <w:rsid w:val="009017FC"/>
    <w:rsid w:val="0090506B"/>
    <w:rsid w:val="009050C9"/>
    <w:rsid w:val="009066FC"/>
    <w:rsid w:val="009140A3"/>
    <w:rsid w:val="009144A2"/>
    <w:rsid w:val="0091510C"/>
    <w:rsid w:val="00917888"/>
    <w:rsid w:val="0092530F"/>
    <w:rsid w:val="009259AC"/>
    <w:rsid w:val="00926F38"/>
    <w:rsid w:val="00927BEB"/>
    <w:rsid w:val="009333DC"/>
    <w:rsid w:val="00934301"/>
    <w:rsid w:val="00936CD1"/>
    <w:rsid w:val="0094131C"/>
    <w:rsid w:val="00941747"/>
    <w:rsid w:val="00941EFB"/>
    <w:rsid w:val="0094597A"/>
    <w:rsid w:val="00947AFB"/>
    <w:rsid w:val="00951AA3"/>
    <w:rsid w:val="00951D7D"/>
    <w:rsid w:val="00956D0C"/>
    <w:rsid w:val="009630C7"/>
    <w:rsid w:val="00972B55"/>
    <w:rsid w:val="009743B7"/>
    <w:rsid w:val="0098228B"/>
    <w:rsid w:val="009828DA"/>
    <w:rsid w:val="0098410D"/>
    <w:rsid w:val="00985BAB"/>
    <w:rsid w:val="00986B3C"/>
    <w:rsid w:val="009A115C"/>
    <w:rsid w:val="009A7FC1"/>
    <w:rsid w:val="009B1606"/>
    <w:rsid w:val="009B1B5F"/>
    <w:rsid w:val="009B6673"/>
    <w:rsid w:val="009C191B"/>
    <w:rsid w:val="009C2BD6"/>
    <w:rsid w:val="009D57AA"/>
    <w:rsid w:val="009E1F32"/>
    <w:rsid w:val="009E2CC2"/>
    <w:rsid w:val="009E47A2"/>
    <w:rsid w:val="009E776C"/>
    <w:rsid w:val="009E7A6F"/>
    <w:rsid w:val="009F4C8F"/>
    <w:rsid w:val="00A00112"/>
    <w:rsid w:val="00A02972"/>
    <w:rsid w:val="00A05588"/>
    <w:rsid w:val="00A14364"/>
    <w:rsid w:val="00A15601"/>
    <w:rsid w:val="00A1726E"/>
    <w:rsid w:val="00A204CF"/>
    <w:rsid w:val="00A21D2B"/>
    <w:rsid w:val="00A22745"/>
    <w:rsid w:val="00A23D49"/>
    <w:rsid w:val="00A27004"/>
    <w:rsid w:val="00A308CE"/>
    <w:rsid w:val="00A30C29"/>
    <w:rsid w:val="00A34DD6"/>
    <w:rsid w:val="00A35683"/>
    <w:rsid w:val="00A36819"/>
    <w:rsid w:val="00A36989"/>
    <w:rsid w:val="00A41D86"/>
    <w:rsid w:val="00A43628"/>
    <w:rsid w:val="00A45145"/>
    <w:rsid w:val="00A51D0F"/>
    <w:rsid w:val="00A5295A"/>
    <w:rsid w:val="00A54192"/>
    <w:rsid w:val="00A57147"/>
    <w:rsid w:val="00A6035E"/>
    <w:rsid w:val="00A6144C"/>
    <w:rsid w:val="00A66617"/>
    <w:rsid w:val="00A671F8"/>
    <w:rsid w:val="00A673A4"/>
    <w:rsid w:val="00A724AE"/>
    <w:rsid w:val="00A73329"/>
    <w:rsid w:val="00A82359"/>
    <w:rsid w:val="00A865D2"/>
    <w:rsid w:val="00A87C10"/>
    <w:rsid w:val="00A90BCD"/>
    <w:rsid w:val="00A92625"/>
    <w:rsid w:val="00A94C20"/>
    <w:rsid w:val="00A95D81"/>
    <w:rsid w:val="00AA1B09"/>
    <w:rsid w:val="00AA227F"/>
    <w:rsid w:val="00AA3BC7"/>
    <w:rsid w:val="00AA754A"/>
    <w:rsid w:val="00AB099E"/>
    <w:rsid w:val="00AB4328"/>
    <w:rsid w:val="00AC38DE"/>
    <w:rsid w:val="00AC4CD4"/>
    <w:rsid w:val="00AE0A2E"/>
    <w:rsid w:val="00AE354C"/>
    <w:rsid w:val="00AF12C5"/>
    <w:rsid w:val="00AF4B07"/>
    <w:rsid w:val="00AF6186"/>
    <w:rsid w:val="00AF7A3A"/>
    <w:rsid w:val="00B02587"/>
    <w:rsid w:val="00B0262F"/>
    <w:rsid w:val="00B049D1"/>
    <w:rsid w:val="00B07380"/>
    <w:rsid w:val="00B14793"/>
    <w:rsid w:val="00B153A0"/>
    <w:rsid w:val="00B160DB"/>
    <w:rsid w:val="00B20836"/>
    <w:rsid w:val="00B235BB"/>
    <w:rsid w:val="00B2561B"/>
    <w:rsid w:val="00B27A44"/>
    <w:rsid w:val="00B30BBF"/>
    <w:rsid w:val="00B33B3C"/>
    <w:rsid w:val="00B33C03"/>
    <w:rsid w:val="00B3763A"/>
    <w:rsid w:val="00B4421F"/>
    <w:rsid w:val="00B44E56"/>
    <w:rsid w:val="00B45917"/>
    <w:rsid w:val="00B46543"/>
    <w:rsid w:val="00B47D33"/>
    <w:rsid w:val="00B52BE0"/>
    <w:rsid w:val="00B54133"/>
    <w:rsid w:val="00B55A8D"/>
    <w:rsid w:val="00B67065"/>
    <w:rsid w:val="00B701ED"/>
    <w:rsid w:val="00B748F7"/>
    <w:rsid w:val="00B8086C"/>
    <w:rsid w:val="00B81C58"/>
    <w:rsid w:val="00B83239"/>
    <w:rsid w:val="00B861B4"/>
    <w:rsid w:val="00B86DFE"/>
    <w:rsid w:val="00B90990"/>
    <w:rsid w:val="00B922FF"/>
    <w:rsid w:val="00B9281E"/>
    <w:rsid w:val="00B93925"/>
    <w:rsid w:val="00B95187"/>
    <w:rsid w:val="00BA2D55"/>
    <w:rsid w:val="00BA44B6"/>
    <w:rsid w:val="00BA71B1"/>
    <w:rsid w:val="00BB0637"/>
    <w:rsid w:val="00BB345F"/>
    <w:rsid w:val="00BB68EA"/>
    <w:rsid w:val="00BC0B99"/>
    <w:rsid w:val="00BC1C27"/>
    <w:rsid w:val="00BC56A7"/>
    <w:rsid w:val="00BC6BBF"/>
    <w:rsid w:val="00BD1572"/>
    <w:rsid w:val="00BE14E3"/>
    <w:rsid w:val="00BE3774"/>
    <w:rsid w:val="00BE41E5"/>
    <w:rsid w:val="00BE4CE2"/>
    <w:rsid w:val="00BF0CA2"/>
    <w:rsid w:val="00BF118F"/>
    <w:rsid w:val="00BF4109"/>
    <w:rsid w:val="00BF4CC3"/>
    <w:rsid w:val="00C054C7"/>
    <w:rsid w:val="00C057B5"/>
    <w:rsid w:val="00C07D0E"/>
    <w:rsid w:val="00C115C3"/>
    <w:rsid w:val="00C12A8D"/>
    <w:rsid w:val="00C15547"/>
    <w:rsid w:val="00C1672D"/>
    <w:rsid w:val="00C20B4B"/>
    <w:rsid w:val="00C22687"/>
    <w:rsid w:val="00C26A92"/>
    <w:rsid w:val="00C26B1C"/>
    <w:rsid w:val="00C32E4D"/>
    <w:rsid w:val="00C333A0"/>
    <w:rsid w:val="00C36A81"/>
    <w:rsid w:val="00C41974"/>
    <w:rsid w:val="00C44A2C"/>
    <w:rsid w:val="00C44F09"/>
    <w:rsid w:val="00C477F7"/>
    <w:rsid w:val="00C509A6"/>
    <w:rsid w:val="00C53F4A"/>
    <w:rsid w:val="00C54125"/>
    <w:rsid w:val="00C55B54"/>
    <w:rsid w:val="00C56DB3"/>
    <w:rsid w:val="00C6098E"/>
    <w:rsid w:val="00C6152C"/>
    <w:rsid w:val="00C71424"/>
    <w:rsid w:val="00C74810"/>
    <w:rsid w:val="00C90D68"/>
    <w:rsid w:val="00C939FE"/>
    <w:rsid w:val="00CA4BDA"/>
    <w:rsid w:val="00CB13E3"/>
    <w:rsid w:val="00CB1F66"/>
    <w:rsid w:val="00CB232C"/>
    <w:rsid w:val="00CB2951"/>
    <w:rsid w:val="00CB4277"/>
    <w:rsid w:val="00CC2931"/>
    <w:rsid w:val="00CC5067"/>
    <w:rsid w:val="00CD11D3"/>
    <w:rsid w:val="00CD282B"/>
    <w:rsid w:val="00CD447B"/>
    <w:rsid w:val="00CD4C35"/>
    <w:rsid w:val="00CD7369"/>
    <w:rsid w:val="00CE0B0E"/>
    <w:rsid w:val="00CE3831"/>
    <w:rsid w:val="00CF2397"/>
    <w:rsid w:val="00D00ABB"/>
    <w:rsid w:val="00D02EEC"/>
    <w:rsid w:val="00D03551"/>
    <w:rsid w:val="00D04315"/>
    <w:rsid w:val="00D06A63"/>
    <w:rsid w:val="00D07E0E"/>
    <w:rsid w:val="00D10CD6"/>
    <w:rsid w:val="00D11478"/>
    <w:rsid w:val="00D15ED0"/>
    <w:rsid w:val="00D164BF"/>
    <w:rsid w:val="00D21B3E"/>
    <w:rsid w:val="00D21FED"/>
    <w:rsid w:val="00D23048"/>
    <w:rsid w:val="00D24251"/>
    <w:rsid w:val="00D26E72"/>
    <w:rsid w:val="00D343E2"/>
    <w:rsid w:val="00D350E7"/>
    <w:rsid w:val="00D361A2"/>
    <w:rsid w:val="00D37272"/>
    <w:rsid w:val="00D44C2E"/>
    <w:rsid w:val="00D45414"/>
    <w:rsid w:val="00D50A0A"/>
    <w:rsid w:val="00D53548"/>
    <w:rsid w:val="00D539D5"/>
    <w:rsid w:val="00D5576B"/>
    <w:rsid w:val="00D566BD"/>
    <w:rsid w:val="00D57A4D"/>
    <w:rsid w:val="00D60AA7"/>
    <w:rsid w:val="00D6435F"/>
    <w:rsid w:val="00D66471"/>
    <w:rsid w:val="00D669D4"/>
    <w:rsid w:val="00D70641"/>
    <w:rsid w:val="00D74888"/>
    <w:rsid w:val="00D7488B"/>
    <w:rsid w:val="00D75E28"/>
    <w:rsid w:val="00D772C2"/>
    <w:rsid w:val="00D8008E"/>
    <w:rsid w:val="00D82C45"/>
    <w:rsid w:val="00D908A8"/>
    <w:rsid w:val="00D977B6"/>
    <w:rsid w:val="00DA1223"/>
    <w:rsid w:val="00DA4A31"/>
    <w:rsid w:val="00DA7B04"/>
    <w:rsid w:val="00DB36C2"/>
    <w:rsid w:val="00DC00A8"/>
    <w:rsid w:val="00DC169B"/>
    <w:rsid w:val="00DC2AB9"/>
    <w:rsid w:val="00DC3DA9"/>
    <w:rsid w:val="00DC63F0"/>
    <w:rsid w:val="00DD37EA"/>
    <w:rsid w:val="00DD6EE5"/>
    <w:rsid w:val="00DE386C"/>
    <w:rsid w:val="00DE4D35"/>
    <w:rsid w:val="00DF098B"/>
    <w:rsid w:val="00DF11C4"/>
    <w:rsid w:val="00DF210C"/>
    <w:rsid w:val="00DF4B6A"/>
    <w:rsid w:val="00E004C0"/>
    <w:rsid w:val="00E02C09"/>
    <w:rsid w:val="00E04D59"/>
    <w:rsid w:val="00E07DA1"/>
    <w:rsid w:val="00E123CB"/>
    <w:rsid w:val="00E13B09"/>
    <w:rsid w:val="00E20E13"/>
    <w:rsid w:val="00E21DBC"/>
    <w:rsid w:val="00E275D7"/>
    <w:rsid w:val="00E27DBE"/>
    <w:rsid w:val="00E32AB1"/>
    <w:rsid w:val="00E36C71"/>
    <w:rsid w:val="00E40404"/>
    <w:rsid w:val="00E4126A"/>
    <w:rsid w:val="00E42A06"/>
    <w:rsid w:val="00E459C6"/>
    <w:rsid w:val="00E47589"/>
    <w:rsid w:val="00E523EA"/>
    <w:rsid w:val="00E557AA"/>
    <w:rsid w:val="00E63EC7"/>
    <w:rsid w:val="00E64915"/>
    <w:rsid w:val="00E64D3A"/>
    <w:rsid w:val="00E661D4"/>
    <w:rsid w:val="00E67565"/>
    <w:rsid w:val="00E70091"/>
    <w:rsid w:val="00E70651"/>
    <w:rsid w:val="00E70D2E"/>
    <w:rsid w:val="00E720F5"/>
    <w:rsid w:val="00E744E0"/>
    <w:rsid w:val="00E76D47"/>
    <w:rsid w:val="00E827BC"/>
    <w:rsid w:val="00E838A6"/>
    <w:rsid w:val="00E849F7"/>
    <w:rsid w:val="00E90302"/>
    <w:rsid w:val="00E91D05"/>
    <w:rsid w:val="00E9262D"/>
    <w:rsid w:val="00E94245"/>
    <w:rsid w:val="00E95C1E"/>
    <w:rsid w:val="00E97396"/>
    <w:rsid w:val="00EA185E"/>
    <w:rsid w:val="00EA592A"/>
    <w:rsid w:val="00EB14E4"/>
    <w:rsid w:val="00EB32A5"/>
    <w:rsid w:val="00EB34ED"/>
    <w:rsid w:val="00EB447C"/>
    <w:rsid w:val="00EB7BE0"/>
    <w:rsid w:val="00EC315E"/>
    <w:rsid w:val="00ED077C"/>
    <w:rsid w:val="00ED10A9"/>
    <w:rsid w:val="00ED1190"/>
    <w:rsid w:val="00ED34AC"/>
    <w:rsid w:val="00ED6544"/>
    <w:rsid w:val="00EE0277"/>
    <w:rsid w:val="00EE1174"/>
    <w:rsid w:val="00EE2899"/>
    <w:rsid w:val="00EE3E00"/>
    <w:rsid w:val="00EE5DD2"/>
    <w:rsid w:val="00EF36C5"/>
    <w:rsid w:val="00EF3DB4"/>
    <w:rsid w:val="00F00A79"/>
    <w:rsid w:val="00F00D13"/>
    <w:rsid w:val="00F00DCE"/>
    <w:rsid w:val="00F00E86"/>
    <w:rsid w:val="00F04BED"/>
    <w:rsid w:val="00F07C1E"/>
    <w:rsid w:val="00F105DB"/>
    <w:rsid w:val="00F124F1"/>
    <w:rsid w:val="00F132BC"/>
    <w:rsid w:val="00F13D80"/>
    <w:rsid w:val="00F15B4D"/>
    <w:rsid w:val="00F16A7C"/>
    <w:rsid w:val="00F16AAA"/>
    <w:rsid w:val="00F1709C"/>
    <w:rsid w:val="00F21161"/>
    <w:rsid w:val="00F218EF"/>
    <w:rsid w:val="00F21BC7"/>
    <w:rsid w:val="00F266A2"/>
    <w:rsid w:val="00F32094"/>
    <w:rsid w:val="00F32269"/>
    <w:rsid w:val="00F35B7A"/>
    <w:rsid w:val="00F36D7F"/>
    <w:rsid w:val="00F56A6F"/>
    <w:rsid w:val="00F5709C"/>
    <w:rsid w:val="00F60B85"/>
    <w:rsid w:val="00F64EF1"/>
    <w:rsid w:val="00F71802"/>
    <w:rsid w:val="00F72498"/>
    <w:rsid w:val="00F72B14"/>
    <w:rsid w:val="00F7349B"/>
    <w:rsid w:val="00F8765F"/>
    <w:rsid w:val="00F90767"/>
    <w:rsid w:val="00F91AD6"/>
    <w:rsid w:val="00F9263C"/>
    <w:rsid w:val="00FA1637"/>
    <w:rsid w:val="00FA685B"/>
    <w:rsid w:val="00FB0C01"/>
    <w:rsid w:val="00FB28C9"/>
    <w:rsid w:val="00FB5934"/>
    <w:rsid w:val="00FC18F2"/>
    <w:rsid w:val="00FC2A17"/>
    <w:rsid w:val="00FC38CF"/>
    <w:rsid w:val="00FC39E5"/>
    <w:rsid w:val="00FC3A78"/>
    <w:rsid w:val="00FD1005"/>
    <w:rsid w:val="00FD1F7F"/>
    <w:rsid w:val="00FD6C75"/>
    <w:rsid w:val="00FD7972"/>
    <w:rsid w:val="00FE0401"/>
    <w:rsid w:val="00FE65E6"/>
    <w:rsid w:val="00FE71B3"/>
    <w:rsid w:val="00FF42C5"/>
    <w:rsid w:val="00FF7F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B2561B"/>
    <w:rPr>
      <w:sz w:val="24"/>
      <w:szCs w:val="24"/>
    </w:rPr>
  </w:style>
  <w:style w:type="paragraph" w:styleId="Heading1">
    <w:name w:val="heading 1"/>
    <w:basedOn w:val="Normal"/>
    <w:next w:val="Normal"/>
    <w:link w:val="Heading1Char"/>
    <w:uiPriority w:val="98"/>
    <w:semiHidden/>
    <w:rsid w:val="002B5B43"/>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2B5B43"/>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2B5B43"/>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2B5B43"/>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2B5B43"/>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2B5B43"/>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2B5B43"/>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2B5B43"/>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2B5B43"/>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2B5B43"/>
    <w:rPr>
      <w:rFonts w:ascii="Tahoma" w:hAnsi="Tahoma" w:cs="Tahoma"/>
      <w:sz w:val="16"/>
      <w:szCs w:val="16"/>
    </w:rPr>
  </w:style>
  <w:style w:type="character" w:customStyle="1" w:styleId="BalloonTextChar">
    <w:name w:val="Balloon Text Char"/>
    <w:basedOn w:val="DefaultParagraphFont"/>
    <w:link w:val="BalloonText"/>
    <w:uiPriority w:val="98"/>
    <w:semiHidden/>
    <w:rsid w:val="002B5B43"/>
    <w:rPr>
      <w:rFonts w:ascii="Tahoma" w:hAnsi="Tahoma" w:cs="Tahoma"/>
      <w:sz w:val="16"/>
      <w:szCs w:val="16"/>
      <w:lang w:val="ro-RO"/>
    </w:rPr>
  </w:style>
  <w:style w:type="character" w:styleId="BookTitle">
    <w:name w:val="Book Title"/>
    <w:uiPriority w:val="98"/>
    <w:semiHidden/>
    <w:qFormat/>
    <w:rsid w:val="002B5B43"/>
    <w:rPr>
      <w:i/>
      <w:iCs/>
      <w:smallCaps/>
      <w:spacing w:val="5"/>
    </w:rPr>
  </w:style>
  <w:style w:type="paragraph" w:customStyle="1" w:styleId="JuHeader">
    <w:name w:val="Ju_Header"/>
    <w:aliases w:val="_Header"/>
    <w:basedOn w:val="Header"/>
    <w:uiPriority w:val="29"/>
    <w:qFormat/>
    <w:rsid w:val="002B5B43"/>
    <w:pPr>
      <w:tabs>
        <w:tab w:val="clear" w:pos="4536"/>
        <w:tab w:val="clear" w:pos="9072"/>
      </w:tabs>
      <w:jc w:val="center"/>
    </w:pPr>
    <w:rPr>
      <w:sz w:val="18"/>
    </w:rPr>
  </w:style>
  <w:style w:type="paragraph" w:customStyle="1" w:styleId="NormalJustified">
    <w:name w:val="Normal_Justified"/>
    <w:basedOn w:val="Normal"/>
    <w:semiHidden/>
    <w:rsid w:val="002B5B43"/>
    <w:pPr>
      <w:jc w:val="both"/>
    </w:pPr>
  </w:style>
  <w:style w:type="character" w:styleId="Strong">
    <w:name w:val="Strong"/>
    <w:uiPriority w:val="98"/>
    <w:semiHidden/>
    <w:qFormat/>
    <w:rsid w:val="002B5B43"/>
    <w:rPr>
      <w:b/>
      <w:bCs/>
    </w:rPr>
  </w:style>
  <w:style w:type="paragraph" w:styleId="NoSpacing">
    <w:name w:val="No Spacing"/>
    <w:basedOn w:val="Normal"/>
    <w:link w:val="NoSpacingChar"/>
    <w:uiPriority w:val="98"/>
    <w:semiHidden/>
    <w:qFormat/>
    <w:rsid w:val="002B5B43"/>
  </w:style>
  <w:style w:type="character" w:customStyle="1" w:styleId="NoSpacingChar">
    <w:name w:val="No Spacing Char"/>
    <w:basedOn w:val="DefaultParagraphFont"/>
    <w:link w:val="NoSpacing"/>
    <w:uiPriority w:val="98"/>
    <w:semiHidden/>
    <w:rsid w:val="002B5B43"/>
    <w:rPr>
      <w:sz w:val="24"/>
      <w:szCs w:val="24"/>
      <w:lang w:val="ro-RO"/>
    </w:rPr>
  </w:style>
  <w:style w:type="paragraph" w:customStyle="1" w:styleId="JuQuot">
    <w:name w:val="Ju_Quot"/>
    <w:aliases w:val="ECHR_Para_Quote,_Quote"/>
    <w:basedOn w:val="NormalJustified"/>
    <w:link w:val="JuQuotChar"/>
    <w:qFormat/>
    <w:rsid w:val="002B5B43"/>
    <w:pPr>
      <w:spacing w:before="120" w:after="120"/>
      <w:ind w:left="425" w:firstLine="142"/>
    </w:pPr>
    <w:rPr>
      <w:sz w:val="20"/>
    </w:rPr>
  </w:style>
  <w:style w:type="paragraph" w:customStyle="1" w:styleId="JuList">
    <w:name w:val="Ju_List"/>
    <w:aliases w:val="_List_1"/>
    <w:basedOn w:val="NormalJustified"/>
    <w:uiPriority w:val="23"/>
    <w:qFormat/>
    <w:rsid w:val="002B5B43"/>
    <w:pPr>
      <w:numPr>
        <w:numId w:val="10"/>
      </w:numPr>
      <w:spacing w:before="280" w:after="60"/>
    </w:pPr>
  </w:style>
  <w:style w:type="paragraph" w:customStyle="1" w:styleId="JuLista">
    <w:name w:val="Ju_List_a"/>
    <w:aliases w:val="_List_2"/>
    <w:basedOn w:val="NormalJustified"/>
    <w:uiPriority w:val="23"/>
    <w:rsid w:val="002B5B43"/>
    <w:pPr>
      <w:numPr>
        <w:ilvl w:val="1"/>
        <w:numId w:val="10"/>
      </w:numPr>
    </w:pPr>
  </w:style>
  <w:style w:type="paragraph" w:customStyle="1" w:styleId="JuListi">
    <w:name w:val="Ju_List_i"/>
    <w:aliases w:val="_List_3"/>
    <w:basedOn w:val="NormalJustified"/>
    <w:uiPriority w:val="23"/>
    <w:rsid w:val="002B5B43"/>
    <w:pPr>
      <w:numPr>
        <w:ilvl w:val="2"/>
        <w:numId w:val="10"/>
      </w:numPr>
    </w:pPr>
  </w:style>
  <w:style w:type="paragraph" w:customStyle="1" w:styleId="JuHArticle">
    <w:name w:val="Ju_H_Article"/>
    <w:aliases w:val="_Title_Quote"/>
    <w:basedOn w:val="Normal"/>
    <w:next w:val="JuQuot"/>
    <w:uiPriority w:val="19"/>
    <w:qFormat/>
    <w:rsid w:val="002B5B43"/>
    <w:pPr>
      <w:keepNext/>
      <w:spacing w:before="100" w:beforeAutospacing="1" w:after="120"/>
      <w:contextualSpacing/>
      <w:jc w:val="center"/>
    </w:pPr>
    <w:rPr>
      <w:b/>
      <w:sz w:val="20"/>
    </w:rPr>
  </w:style>
  <w:style w:type="paragraph" w:customStyle="1" w:styleId="DecHTitle">
    <w:name w:val="Dec_H_Title"/>
    <w:aliases w:val="_Title_1"/>
    <w:basedOn w:val="JuPara"/>
    <w:next w:val="JuPara"/>
    <w:uiPriority w:val="38"/>
    <w:qFormat/>
    <w:rsid w:val="002B5B43"/>
    <w:pPr>
      <w:keepNext/>
      <w:keepLines/>
      <w:spacing w:after="240"/>
      <w:ind w:firstLine="0"/>
      <w:jc w:val="center"/>
      <w:outlineLvl w:val="0"/>
    </w:pPr>
    <w:rPr>
      <w:rFonts w:asciiTheme="majorHAnsi" w:hAnsiTheme="majorHAnsi"/>
      <w:sz w:val="28"/>
    </w:rPr>
  </w:style>
  <w:style w:type="paragraph" w:customStyle="1" w:styleId="ECHRCoverTitle4">
    <w:name w:val="ECHR_Cover_Title_4"/>
    <w:aliases w:val="_Title_4"/>
    <w:basedOn w:val="JuPara"/>
    <w:next w:val="JuPara"/>
    <w:uiPriority w:val="38"/>
    <w:qFormat/>
    <w:rsid w:val="002B5B43"/>
    <w:pPr>
      <w:keepNext/>
      <w:keepLines/>
      <w:tabs>
        <w:tab w:val="right" w:pos="7938"/>
      </w:tabs>
      <w:ind w:firstLine="0"/>
      <w:jc w:val="center"/>
    </w:pPr>
    <w:rPr>
      <w:i/>
    </w:rPr>
  </w:style>
  <w:style w:type="paragraph" w:customStyle="1" w:styleId="JuHHead">
    <w:name w:val="Ju_H_Head"/>
    <w:aliases w:val="_Head_1"/>
    <w:basedOn w:val="Heading1"/>
    <w:next w:val="JuPara"/>
    <w:uiPriority w:val="17"/>
    <w:qFormat/>
    <w:rsid w:val="002B5B43"/>
    <w:pPr>
      <w:keepNext/>
      <w:keepLines/>
      <w:numPr>
        <w:numId w:val="9"/>
      </w:numPr>
      <w:spacing w:before="100" w:beforeAutospacing="1" w:after="240"/>
      <w:contextualSpacing w:val="0"/>
      <w:jc w:val="both"/>
    </w:pPr>
    <w:rPr>
      <w:b w:val="0"/>
      <w:caps/>
      <w:color w:val="auto"/>
    </w:rPr>
  </w:style>
  <w:style w:type="numbering" w:customStyle="1" w:styleId="ECHRA1StyleBulletedSquare">
    <w:name w:val="ECHR_A1_Style_Bulleted_Square"/>
    <w:basedOn w:val="NoList"/>
    <w:rsid w:val="002B5B43"/>
    <w:pPr>
      <w:numPr>
        <w:numId w:val="4"/>
      </w:numPr>
    </w:pPr>
  </w:style>
  <w:style w:type="paragraph" w:customStyle="1" w:styleId="JuSigned">
    <w:name w:val="Ju_Signed"/>
    <w:aliases w:val="_Signature"/>
    <w:basedOn w:val="Normal"/>
    <w:next w:val="JuPara"/>
    <w:uiPriority w:val="31"/>
    <w:qFormat/>
    <w:rsid w:val="002B5B43"/>
    <w:pPr>
      <w:tabs>
        <w:tab w:val="center" w:pos="1418"/>
        <w:tab w:val="center" w:pos="5954"/>
      </w:tabs>
      <w:spacing w:before="720"/>
    </w:pPr>
  </w:style>
  <w:style w:type="paragraph" w:styleId="Title">
    <w:name w:val="Title"/>
    <w:basedOn w:val="Normal"/>
    <w:next w:val="Normal"/>
    <w:link w:val="TitleChar"/>
    <w:uiPriority w:val="98"/>
    <w:semiHidden/>
    <w:qFormat/>
    <w:rsid w:val="002B5B43"/>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2B5B43"/>
    <w:rPr>
      <w:rFonts w:asciiTheme="majorHAnsi" w:eastAsiaTheme="majorEastAsia" w:hAnsiTheme="majorHAnsi" w:cstheme="majorBidi"/>
      <w:spacing w:val="5"/>
      <w:sz w:val="52"/>
      <w:szCs w:val="52"/>
      <w:lang w:val="ro-RO" w:bidi="en-US"/>
    </w:rPr>
  </w:style>
  <w:style w:type="numbering" w:customStyle="1" w:styleId="ECHRA1StyleList">
    <w:name w:val="ECHR_A1_Style_List"/>
    <w:basedOn w:val="NoList"/>
    <w:uiPriority w:val="99"/>
    <w:rsid w:val="002B5B43"/>
    <w:pPr>
      <w:numPr>
        <w:numId w:val="5"/>
      </w:numPr>
    </w:pPr>
  </w:style>
  <w:style w:type="numbering" w:customStyle="1" w:styleId="ECHRA1StyleNumberedList">
    <w:name w:val="ECHR_A1_Style_Numbered_List"/>
    <w:basedOn w:val="NoList"/>
    <w:rsid w:val="002B5B43"/>
    <w:pPr>
      <w:numPr>
        <w:numId w:val="6"/>
      </w:numPr>
    </w:pPr>
  </w:style>
  <w:style w:type="table" w:customStyle="1" w:styleId="ECHRTable2019">
    <w:name w:val="ECHR_Table_2019"/>
    <w:basedOn w:val="TableNormal"/>
    <w:uiPriority w:val="99"/>
    <w:rsid w:val="002B5B43"/>
    <w:rPr>
      <w:sz w:val="24"/>
      <w:szCs w:val="24"/>
    </w:rPr>
    <w:tblPr>
      <w:tblStyleRowBandSize w:val="1"/>
      <w:tblStyleColBandSize w:val="1"/>
      <w:jc w:val="center"/>
      <w:tbl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blBorders>
    </w:tblPr>
    <w:trPr>
      <w:jc w:val="center"/>
    </w:trPr>
    <w:tblStylePr w:type="firstRow">
      <w:rPr>
        <w:rFonts w:asciiTheme="majorHAnsi" w:hAnsiTheme="majorHAnsi"/>
        <w:b/>
        <w:i w:val="0"/>
        <w:color w:val="auto"/>
        <w:sz w:val="22"/>
      </w:rPr>
      <w:tblPr/>
      <w:tcPr>
        <w:shd w:val="clear" w:color="auto" w:fill="DDDDDD" w:themeFill="accent3" w:themeFillTint="33"/>
      </w:tcPr>
    </w:tblStylePr>
    <w:tblStylePr w:type="lastRow">
      <w:rPr>
        <w:b/>
        <w:i w:val="0"/>
      </w:rPr>
      <w:tblPr/>
      <w:tcPr>
        <w:tcBorders>
          <w:top w:val="single" w:sz="8" w:space="0" w:color="595959" w:themeColor="accent3"/>
          <w:left w:val="single" w:sz="4" w:space="0" w:color="595959" w:themeColor="accent3"/>
          <w:bottom w:val="single" w:sz="8" w:space="0" w:color="595959" w:themeColor="accent3"/>
          <w:right w:val="single" w:sz="4" w:space="0" w:color="595959" w:themeColor="accent3"/>
          <w:insideH w:val="nil"/>
          <w:insideV w:val="single" w:sz="4" w:space="0" w:color="595959"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EFEFEF" w:themeFill="text2" w:themeFillTint="33"/>
      </w:tcPr>
    </w:tblStylePr>
    <w:tblStylePr w:type="lastCol">
      <w:rPr>
        <w:b/>
        <w:i w:val="0"/>
      </w:rPr>
    </w:tblStylePr>
    <w:tblStylePr w:type="band2Vert">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EFEFEF" w:themeFill="text2" w:themeFillTint="33"/>
      </w:tcPr>
    </w:tblStylePr>
    <w:tblStylePr w:type="band2Horz">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l2br w:val="nil"/>
          <w:tr2bl w:val="nil"/>
        </w:tcBorders>
        <w:shd w:val="clear" w:color="auto" w:fill="EFEFEF" w:themeFill="text2" w:themeFillTint="33"/>
      </w:tcPr>
    </w:tblStylePr>
  </w:style>
  <w:style w:type="paragraph" w:customStyle="1" w:styleId="Footer">
    <w:name w:val="_Footer"/>
    <w:aliases w:val="Footer_"/>
    <w:basedOn w:val="Footer0"/>
    <w:uiPriority w:val="57"/>
    <w:semiHidden/>
    <w:rsid w:val="007D3701"/>
    <w:rPr>
      <w:sz w:val="8"/>
    </w:rPr>
  </w:style>
  <w:style w:type="paragraph" w:customStyle="1" w:styleId="JuCourt">
    <w:name w:val="Ju_Court"/>
    <w:aliases w:val="_Court_Names"/>
    <w:basedOn w:val="Normal"/>
    <w:next w:val="Normal"/>
    <w:uiPriority w:val="32"/>
    <w:qFormat/>
    <w:rsid w:val="002B5B43"/>
    <w:pPr>
      <w:tabs>
        <w:tab w:val="left" w:pos="907"/>
        <w:tab w:val="left" w:pos="1701"/>
        <w:tab w:val="right" w:pos="7371"/>
      </w:tabs>
      <w:spacing w:before="240"/>
      <w:ind w:left="397" w:hanging="397"/>
    </w:pPr>
    <w:rPr>
      <w:lang w:bidi="en-US"/>
    </w:rPr>
  </w:style>
  <w:style w:type="paragraph" w:customStyle="1" w:styleId="JuHIRoman">
    <w:name w:val="Ju_H_I_Roman"/>
    <w:aliases w:val="_Head_2"/>
    <w:basedOn w:val="Heading2"/>
    <w:next w:val="JuPara"/>
    <w:uiPriority w:val="17"/>
    <w:qFormat/>
    <w:rsid w:val="002B5B43"/>
    <w:pPr>
      <w:keepNext/>
      <w:keepLines/>
      <w:numPr>
        <w:ilvl w:val="1"/>
        <w:numId w:val="9"/>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2B5B43"/>
    <w:pPr>
      <w:keepNext/>
      <w:keepLines/>
      <w:numPr>
        <w:ilvl w:val="2"/>
        <w:numId w:val="9"/>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2B5B43"/>
    <w:pPr>
      <w:keepNext/>
      <w:keepLines/>
      <w:numPr>
        <w:ilvl w:val="3"/>
        <w:numId w:val="9"/>
      </w:numPr>
      <w:spacing w:before="100" w:beforeAutospacing="1" w:after="120"/>
      <w:jc w:val="both"/>
    </w:pPr>
    <w:rPr>
      <w:b w:val="0"/>
      <w:color w:val="auto"/>
      <w:sz w:val="24"/>
    </w:rPr>
  </w:style>
  <w:style w:type="paragraph" w:styleId="Header">
    <w:name w:val="header"/>
    <w:basedOn w:val="Normal"/>
    <w:link w:val="HeaderChar"/>
    <w:uiPriority w:val="98"/>
    <w:semiHidden/>
    <w:rsid w:val="002B5B43"/>
    <w:pPr>
      <w:tabs>
        <w:tab w:val="center" w:pos="4536"/>
        <w:tab w:val="right" w:pos="9072"/>
      </w:tabs>
    </w:pPr>
  </w:style>
  <w:style w:type="character" w:customStyle="1" w:styleId="HeaderChar">
    <w:name w:val="Header Char"/>
    <w:basedOn w:val="DefaultParagraphFont"/>
    <w:link w:val="Header"/>
    <w:uiPriority w:val="98"/>
    <w:semiHidden/>
    <w:rsid w:val="002B5B43"/>
    <w:rPr>
      <w:sz w:val="24"/>
      <w:szCs w:val="24"/>
      <w:lang w:val="ro-RO"/>
    </w:rPr>
  </w:style>
  <w:style w:type="character" w:customStyle="1" w:styleId="Heading1Char">
    <w:name w:val="Heading 1 Char"/>
    <w:basedOn w:val="DefaultParagraphFont"/>
    <w:link w:val="Heading1"/>
    <w:uiPriority w:val="98"/>
    <w:semiHidden/>
    <w:rsid w:val="002B5B43"/>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2B5B43"/>
    <w:pPr>
      <w:keepNext/>
      <w:keepLines/>
      <w:numPr>
        <w:ilvl w:val="4"/>
        <w:numId w:val="9"/>
      </w:numPr>
      <w:spacing w:before="100" w:beforeAutospacing="1" w:after="120"/>
      <w:jc w:val="both"/>
    </w:pPr>
    <w:rPr>
      <w:color w:val="auto"/>
      <w:sz w:val="20"/>
    </w:rPr>
  </w:style>
  <w:style w:type="paragraph" w:customStyle="1" w:styleId="JuHi">
    <w:name w:val="Ju_H_i"/>
    <w:aliases w:val="_Head_6"/>
    <w:basedOn w:val="Heading6"/>
    <w:next w:val="JuPara"/>
    <w:uiPriority w:val="17"/>
    <w:rsid w:val="002B5B43"/>
    <w:pPr>
      <w:keepNext/>
      <w:keepLines/>
      <w:numPr>
        <w:ilvl w:val="5"/>
        <w:numId w:val="9"/>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2B5B43"/>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2B5B43"/>
    <w:pPr>
      <w:keepNext/>
      <w:keepLines/>
      <w:numPr>
        <w:ilvl w:val="6"/>
        <w:numId w:val="9"/>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2B5B43"/>
    <w:pPr>
      <w:keepNext/>
      <w:keepLines/>
      <w:numPr>
        <w:ilvl w:val="7"/>
        <w:numId w:val="9"/>
      </w:numPr>
      <w:spacing w:before="100" w:beforeAutospacing="1" w:after="120"/>
      <w:jc w:val="both"/>
    </w:pPr>
    <w:rPr>
      <w:i/>
    </w:rPr>
  </w:style>
  <w:style w:type="character" w:customStyle="1" w:styleId="Heading3Char">
    <w:name w:val="Heading 3 Char"/>
    <w:basedOn w:val="DefaultParagraphFont"/>
    <w:link w:val="Heading3"/>
    <w:uiPriority w:val="98"/>
    <w:semiHidden/>
    <w:rsid w:val="002B5B43"/>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2B5B43"/>
    <w:pPr>
      <w:keepNext/>
      <w:keepLines/>
      <w:spacing w:before="240" w:after="240"/>
      <w:ind w:firstLine="284"/>
    </w:pPr>
  </w:style>
  <w:style w:type="paragraph" w:customStyle="1" w:styleId="JuJudges">
    <w:name w:val="Ju_Judges"/>
    <w:aliases w:val="_Judges"/>
    <w:basedOn w:val="Normal"/>
    <w:uiPriority w:val="32"/>
    <w:qFormat/>
    <w:rsid w:val="002B5B43"/>
    <w:pPr>
      <w:tabs>
        <w:tab w:val="left" w:pos="567"/>
        <w:tab w:val="left" w:pos="1134"/>
      </w:tabs>
    </w:pPr>
  </w:style>
  <w:style w:type="character" w:customStyle="1" w:styleId="Heading4Char">
    <w:name w:val="Heading 4 Char"/>
    <w:basedOn w:val="DefaultParagraphFont"/>
    <w:link w:val="Heading4"/>
    <w:uiPriority w:val="98"/>
    <w:semiHidden/>
    <w:rsid w:val="002B5B43"/>
    <w:rPr>
      <w:rFonts w:asciiTheme="majorHAnsi" w:eastAsiaTheme="majorEastAsia" w:hAnsiTheme="majorHAnsi" w:cstheme="majorBidi"/>
      <w:b/>
      <w:bCs/>
      <w:i/>
      <w:iCs/>
      <w:color w:val="777777"/>
      <w:lang w:val="ro-RO"/>
    </w:rPr>
  </w:style>
  <w:style w:type="paragraph" w:customStyle="1" w:styleId="JuInitialled">
    <w:name w:val="Ju_Initialled"/>
    <w:aliases w:val="_Right"/>
    <w:basedOn w:val="Normal"/>
    <w:uiPriority w:val="30"/>
    <w:qFormat/>
    <w:rsid w:val="002B5B43"/>
    <w:pPr>
      <w:tabs>
        <w:tab w:val="center" w:pos="6407"/>
      </w:tabs>
      <w:spacing w:before="720"/>
      <w:jc w:val="right"/>
    </w:pPr>
  </w:style>
  <w:style w:type="character" w:customStyle="1" w:styleId="Heading5Char">
    <w:name w:val="Heading 5 Char"/>
    <w:basedOn w:val="DefaultParagraphFont"/>
    <w:link w:val="Heading5"/>
    <w:uiPriority w:val="98"/>
    <w:semiHidden/>
    <w:rsid w:val="002B5B43"/>
    <w:rPr>
      <w:rFonts w:asciiTheme="majorHAnsi" w:eastAsiaTheme="majorEastAsia" w:hAnsiTheme="majorHAnsi" w:cstheme="majorBidi"/>
      <w:b/>
      <w:bCs/>
      <w:color w:val="808080"/>
      <w:lang w:val="ro-RO"/>
    </w:rPr>
  </w:style>
  <w:style w:type="character" w:customStyle="1" w:styleId="JuITMark">
    <w:name w:val="Ju_ITMark"/>
    <w:aliases w:val="_ITMark"/>
    <w:basedOn w:val="DefaultParagraphFont"/>
    <w:uiPriority w:val="54"/>
    <w:qFormat/>
    <w:rsid w:val="002B5B43"/>
    <w:rPr>
      <w:vanish w:val="0"/>
      <w:color w:val="auto"/>
      <w:sz w:val="14"/>
      <w:bdr w:val="none" w:sz="0" w:space="0" w:color="auto"/>
      <w:shd w:val="clear" w:color="auto" w:fill="FFFFFF" w:themeFill="background1" w:themeFillTint="33"/>
    </w:rPr>
  </w:style>
  <w:style w:type="character" w:customStyle="1" w:styleId="JUNAMES">
    <w:name w:val="JU_NAMES"/>
    <w:aliases w:val="_Ju_Names"/>
    <w:uiPriority w:val="33"/>
    <w:qFormat/>
    <w:rsid w:val="002B5B43"/>
    <w:rPr>
      <w:caps w:val="0"/>
      <w:smallCaps/>
    </w:rPr>
  </w:style>
  <w:style w:type="character" w:styleId="SubtleEmphasis">
    <w:name w:val="Subtle Emphasis"/>
    <w:uiPriority w:val="98"/>
    <w:semiHidden/>
    <w:qFormat/>
    <w:rsid w:val="002B5B43"/>
    <w:rPr>
      <w:i/>
      <w:iCs/>
    </w:rPr>
  </w:style>
  <w:style w:type="table" w:customStyle="1" w:styleId="ECHRTable">
    <w:name w:val="ECHR_Table"/>
    <w:basedOn w:val="TableNormal"/>
    <w:rsid w:val="002B5B43"/>
    <w:rPr>
      <w:rFonts w:eastAsia="Times New Roman" w:cs="Times New Roman"/>
      <w:sz w:val="20"/>
      <w:szCs w:val="20"/>
    </w:rPr>
    <w:tblPr>
      <w:tblStyleRowBandSize w:val="1"/>
      <w:tblStyleColBandSize w:val="1"/>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rFonts w:asciiTheme="majorHAnsi" w:hAnsiTheme="majorHAnsi"/>
        <w:b/>
        <w:i w:val="0"/>
        <w:color w:val="424242" w:themeColor="accent3" w:themeShade="BF"/>
        <w:sz w:val="22"/>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2B5B43"/>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95959" w:themeColor="accent3"/>
      </w:rPr>
    </w:tblStylePr>
  </w:style>
  <w:style w:type="character" w:styleId="Emphasis">
    <w:name w:val="Emphasis"/>
    <w:uiPriority w:val="98"/>
    <w:semiHidden/>
    <w:qFormat/>
    <w:rsid w:val="002B5B43"/>
    <w:rPr>
      <w:b/>
      <w:bCs/>
      <w:i/>
      <w:iCs/>
      <w:spacing w:val="10"/>
      <w:bdr w:val="none" w:sz="0" w:space="0" w:color="auto"/>
      <w:shd w:val="clear" w:color="auto" w:fill="auto"/>
    </w:rPr>
  </w:style>
  <w:style w:type="paragraph" w:styleId="Footer0">
    <w:name w:val="footer"/>
    <w:basedOn w:val="Normal"/>
    <w:link w:val="FooterChar"/>
    <w:uiPriority w:val="98"/>
    <w:semiHidden/>
    <w:rsid w:val="002B5B43"/>
    <w:pPr>
      <w:tabs>
        <w:tab w:val="center" w:pos="3686"/>
        <w:tab w:val="right" w:pos="7371"/>
      </w:tabs>
    </w:pPr>
  </w:style>
  <w:style w:type="character" w:customStyle="1" w:styleId="FooterChar">
    <w:name w:val="Footer Char"/>
    <w:basedOn w:val="DefaultParagraphFont"/>
    <w:link w:val="Footer0"/>
    <w:uiPriority w:val="98"/>
    <w:semiHidden/>
    <w:rsid w:val="002B5B43"/>
    <w:rPr>
      <w:sz w:val="24"/>
      <w:szCs w:val="24"/>
      <w:lang w:val="ro-RO"/>
    </w:rPr>
  </w:style>
  <w:style w:type="character" w:styleId="FootnoteReference">
    <w:name w:val="footnote reference"/>
    <w:basedOn w:val="DefaultParagraphFont"/>
    <w:uiPriority w:val="98"/>
    <w:semiHidden/>
    <w:rsid w:val="002B5B43"/>
    <w:rPr>
      <w:vertAlign w:val="superscript"/>
    </w:rPr>
  </w:style>
  <w:style w:type="paragraph" w:styleId="FootnoteText">
    <w:name w:val="footnote text"/>
    <w:basedOn w:val="NormalJustified"/>
    <w:link w:val="FootnoteTextChar"/>
    <w:uiPriority w:val="98"/>
    <w:semiHidden/>
    <w:rsid w:val="002B5B43"/>
    <w:rPr>
      <w:sz w:val="20"/>
      <w:szCs w:val="20"/>
    </w:rPr>
  </w:style>
  <w:style w:type="character" w:customStyle="1" w:styleId="FootnoteTextChar">
    <w:name w:val="Footnote Text Char"/>
    <w:basedOn w:val="DefaultParagraphFont"/>
    <w:link w:val="FootnoteText"/>
    <w:uiPriority w:val="98"/>
    <w:semiHidden/>
    <w:rsid w:val="002B5B43"/>
    <w:rPr>
      <w:sz w:val="20"/>
      <w:szCs w:val="20"/>
      <w:lang w:val="ro-RO"/>
    </w:rPr>
  </w:style>
  <w:style w:type="character" w:customStyle="1" w:styleId="Heading6Char">
    <w:name w:val="Heading 6 Char"/>
    <w:basedOn w:val="DefaultParagraphFont"/>
    <w:link w:val="Heading6"/>
    <w:uiPriority w:val="98"/>
    <w:semiHidden/>
    <w:rsid w:val="002B5B43"/>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2B5B43"/>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2B5B43"/>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2B5B43"/>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2B5B43"/>
    <w:rPr>
      <w:color w:val="0072BC" w:themeColor="hyperlink"/>
      <w:u w:val="single"/>
    </w:rPr>
  </w:style>
  <w:style w:type="character" w:styleId="IntenseEmphasis">
    <w:name w:val="Intense Emphasis"/>
    <w:uiPriority w:val="98"/>
    <w:semiHidden/>
    <w:qFormat/>
    <w:rsid w:val="002B5B43"/>
    <w:rPr>
      <w:b/>
      <w:bCs/>
    </w:rPr>
  </w:style>
  <w:style w:type="paragraph" w:styleId="IntenseQuote">
    <w:name w:val="Intense Quote"/>
    <w:basedOn w:val="Normal"/>
    <w:next w:val="Normal"/>
    <w:link w:val="IntenseQuoteChar"/>
    <w:uiPriority w:val="98"/>
    <w:semiHidden/>
    <w:qFormat/>
    <w:rsid w:val="002B5B43"/>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2B5B43"/>
    <w:rPr>
      <w:b/>
      <w:bCs/>
      <w:i/>
      <w:iCs/>
      <w:sz w:val="24"/>
      <w:szCs w:val="24"/>
      <w:lang w:val="ro-RO" w:bidi="en-US"/>
    </w:rPr>
  </w:style>
  <w:style w:type="character" w:styleId="IntenseReference">
    <w:name w:val="Intense Reference"/>
    <w:uiPriority w:val="98"/>
    <w:semiHidden/>
    <w:qFormat/>
    <w:rsid w:val="002B5B43"/>
    <w:rPr>
      <w:smallCaps/>
      <w:spacing w:val="5"/>
      <w:u w:val="single"/>
    </w:rPr>
  </w:style>
  <w:style w:type="paragraph" w:styleId="ListParagraph">
    <w:name w:val="List Paragraph"/>
    <w:basedOn w:val="Normal"/>
    <w:uiPriority w:val="98"/>
    <w:semiHidden/>
    <w:qFormat/>
    <w:rsid w:val="002B5B43"/>
    <w:pPr>
      <w:ind w:left="720"/>
      <w:contextualSpacing/>
    </w:pPr>
  </w:style>
  <w:style w:type="table" w:customStyle="1" w:styleId="LtrTableAddress">
    <w:name w:val="Ltr_Table_Address"/>
    <w:aliases w:val="ECHR_Ltr_Table_Address"/>
    <w:basedOn w:val="TableNormal"/>
    <w:uiPriority w:val="99"/>
    <w:rsid w:val="002B5B43"/>
    <w:rPr>
      <w:sz w:val="24"/>
      <w:szCs w:val="24"/>
    </w:rPr>
    <w:tblPr>
      <w:tblInd w:w="5103" w:type="dxa"/>
    </w:tblPr>
  </w:style>
  <w:style w:type="paragraph" w:styleId="Quote">
    <w:name w:val="Quote"/>
    <w:basedOn w:val="Normal"/>
    <w:next w:val="Normal"/>
    <w:link w:val="QuoteChar"/>
    <w:uiPriority w:val="98"/>
    <w:semiHidden/>
    <w:qFormat/>
    <w:rsid w:val="002B5B43"/>
    <w:pPr>
      <w:spacing w:before="200"/>
      <w:ind w:left="360" w:right="360"/>
    </w:pPr>
    <w:rPr>
      <w:i/>
      <w:iCs/>
      <w:lang w:bidi="en-US"/>
    </w:rPr>
  </w:style>
  <w:style w:type="character" w:customStyle="1" w:styleId="QuoteChar">
    <w:name w:val="Quote Char"/>
    <w:basedOn w:val="DefaultParagraphFont"/>
    <w:link w:val="Quote"/>
    <w:uiPriority w:val="98"/>
    <w:semiHidden/>
    <w:rsid w:val="002B5B43"/>
    <w:rPr>
      <w:i/>
      <w:iCs/>
      <w:sz w:val="24"/>
      <w:szCs w:val="24"/>
      <w:lang w:val="ro-RO" w:bidi="en-US"/>
    </w:rPr>
  </w:style>
  <w:style w:type="character" w:styleId="SubtleReference">
    <w:name w:val="Subtle Reference"/>
    <w:uiPriority w:val="98"/>
    <w:semiHidden/>
    <w:qFormat/>
    <w:rsid w:val="002B5B43"/>
    <w:rPr>
      <w:smallCaps/>
    </w:rPr>
  </w:style>
  <w:style w:type="table" w:styleId="TableGrid">
    <w:name w:val="Table Grid"/>
    <w:basedOn w:val="TableNormal"/>
    <w:uiPriority w:val="59"/>
    <w:semiHidden/>
    <w:rsid w:val="002B5B43"/>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2B5B43"/>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2B5B43"/>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2B5B43"/>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2B5B43"/>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2B5B43"/>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2B5B43"/>
    <w:pPr>
      <w:keepNext/>
      <w:keepLines/>
      <w:spacing w:before="240"/>
      <w:contextualSpacing/>
      <w:jc w:val="center"/>
    </w:pPr>
    <w:rPr>
      <w:rFonts w:asciiTheme="majorHAnsi" w:hAnsiTheme="majorHAnsi"/>
      <w:b/>
      <w:color w:val="424242" w:themeColor="accent3" w:themeShade="BF"/>
      <w:sz w:val="28"/>
    </w:rPr>
  </w:style>
  <w:style w:type="table" w:customStyle="1" w:styleId="UGTable">
    <w:name w:val="UG_Table"/>
    <w:aliases w:val="ECHR_UG_Table"/>
    <w:basedOn w:val="TableNormal"/>
    <w:uiPriority w:val="99"/>
    <w:rsid w:val="002B5B43"/>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2B5B43"/>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2B5B43"/>
    <w:rPr>
      <w:color w:val="000000" w:themeColor="text1"/>
      <w:sz w:val="18"/>
      <w:szCs w:val="24"/>
    </w:rPr>
    <w:tblPr>
      <w:tblBorders>
        <w:top w:val="single" w:sz="8" w:space="0" w:color="9B9B9B" w:themeColor="accent3" w:themeTint="99"/>
        <w:left w:val="single" w:sz="8" w:space="0" w:color="9B9B9B" w:themeColor="accent3" w:themeTint="99"/>
        <w:bottom w:val="single" w:sz="8" w:space="0" w:color="9B9B9B" w:themeColor="accent3" w:themeTint="99"/>
        <w:right w:val="single" w:sz="8" w:space="0" w:color="9B9B9B" w:themeColor="accent3" w:themeTint="99"/>
        <w:insideH w:val="single" w:sz="8" w:space="0" w:color="9B9B9B" w:themeColor="accent3" w:themeTint="99"/>
        <w:insideV w:val="single" w:sz="8" w:space="0" w:color="9B9B9B"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2B5B43"/>
    <w:rPr>
      <w:color w:val="000000" w:themeColor="text1"/>
      <w:sz w:val="24"/>
      <w:szCs w:val="24"/>
    </w:rPr>
    <w:tblPr>
      <w:tblInd w:w="-680" w:type="dxa"/>
      <w:tblBorders>
        <w:insideH w:val="single" w:sz="4" w:space="0" w:color="B0B0B0" w:themeColor="text2"/>
        <w:insideV w:val="single" w:sz="4" w:space="0" w:color="B0B0B0" w:themeColor="text2"/>
      </w:tblBorders>
      <w:tblCellMar>
        <w:top w:w="142" w:type="dxa"/>
        <w:bottom w:w="142" w:type="dxa"/>
      </w:tblCellMar>
    </w:tblPr>
    <w:trPr>
      <w:cantSplit/>
    </w:trPr>
  </w:style>
  <w:style w:type="table" w:customStyle="1" w:styleId="ECHRTableMemo">
    <w:name w:val="ECHR_Table_Memo"/>
    <w:basedOn w:val="TableNormal"/>
    <w:uiPriority w:val="99"/>
    <w:rsid w:val="002B5B43"/>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838383" w:themeColor="text2" w:themeShade="BF"/>
          <w:right w:val="nil"/>
          <w:insideH w:val="nil"/>
          <w:insideV w:val="nil"/>
          <w:tl2br w:val="nil"/>
          <w:tr2bl w:val="nil"/>
        </w:tcBorders>
      </w:tcPr>
    </w:tblStylePr>
  </w:style>
  <w:style w:type="table" w:customStyle="1" w:styleId="ECHRDNTable">
    <w:name w:val="ECHR_DN_Table"/>
    <w:basedOn w:val="TableNormal"/>
    <w:uiPriority w:val="99"/>
    <w:rsid w:val="002B5B43"/>
    <w:rPr>
      <w:sz w:val="24"/>
      <w:szCs w:val="24"/>
    </w:rPr>
    <w:tblPr>
      <w:jc w:val="center"/>
      <w:tblBorders>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24242" w:themeColor="accent3" w:themeShade="BF"/>
        <w:sz w:val="24"/>
      </w:rPr>
      <w:tblPr/>
      <w:tcPr>
        <w:tcBorders>
          <w:top w:val="single" w:sz="4" w:space="0" w:color="838383" w:themeColor="text2" w:themeShade="BF"/>
          <w:left w:val="single" w:sz="4" w:space="0" w:color="838383" w:themeColor="text2" w:themeShade="BF"/>
          <w:bottom w:val="nil"/>
          <w:right w:val="single" w:sz="4" w:space="0" w:color="838383"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2B5B43"/>
    <w:pPr>
      <w:keepNext/>
      <w:keepLines/>
      <w:spacing w:before="240"/>
      <w:contextualSpacing/>
      <w:jc w:val="center"/>
    </w:pPr>
    <w:rPr>
      <w:rFonts w:asciiTheme="majorHAnsi" w:eastAsiaTheme="majorEastAsia" w:hAnsiTheme="majorHAnsi" w:cstheme="majorBidi"/>
      <w:b/>
      <w:bCs/>
      <w:color w:val="424242" w:themeColor="accent3" w:themeShade="BF"/>
      <w:sz w:val="28"/>
    </w:rPr>
  </w:style>
  <w:style w:type="paragraph" w:styleId="Subtitle">
    <w:name w:val="Subtitle"/>
    <w:basedOn w:val="Normal"/>
    <w:next w:val="Normal"/>
    <w:link w:val="SubtitleChar"/>
    <w:uiPriority w:val="98"/>
    <w:semiHidden/>
    <w:qFormat/>
    <w:rsid w:val="002B5B43"/>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2B5B43"/>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2B5B43"/>
    <w:pPr>
      <w:numPr>
        <w:numId w:val="1"/>
      </w:numPr>
    </w:pPr>
  </w:style>
  <w:style w:type="paragraph" w:customStyle="1" w:styleId="JuPara">
    <w:name w:val="Ju_Para"/>
    <w:aliases w:val="_Para"/>
    <w:basedOn w:val="NormalJustified"/>
    <w:link w:val="JuParaChar"/>
    <w:uiPriority w:val="4"/>
    <w:qFormat/>
    <w:rsid w:val="002B5B43"/>
    <w:pPr>
      <w:ind w:firstLine="284"/>
    </w:pPr>
  </w:style>
  <w:style w:type="numbering" w:styleId="1ai">
    <w:name w:val="Outline List 1"/>
    <w:basedOn w:val="NoList"/>
    <w:uiPriority w:val="99"/>
    <w:semiHidden/>
    <w:unhideWhenUsed/>
    <w:rsid w:val="002B5B43"/>
    <w:pPr>
      <w:numPr>
        <w:numId w:val="2"/>
      </w:numPr>
    </w:pPr>
  </w:style>
  <w:style w:type="table" w:customStyle="1" w:styleId="ECHRTableSimpleBox">
    <w:name w:val="ECHR_Table_Simple_Box"/>
    <w:basedOn w:val="TableNormal"/>
    <w:uiPriority w:val="99"/>
    <w:rsid w:val="002B5B43"/>
    <w:rPr>
      <w:sz w:val="24"/>
      <w:szCs w:val="24"/>
    </w:rPr>
    <w:tblPr>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tblBorders>
      <w:tblCellMar>
        <w:top w:w="113" w:type="dxa"/>
        <w:bottom w:w="113" w:type="dxa"/>
      </w:tblCellMar>
    </w:tblPr>
  </w:style>
  <w:style w:type="table" w:customStyle="1" w:styleId="ECHRTableNoLines">
    <w:name w:val="ECHR_Table_No_Lines"/>
    <w:basedOn w:val="TableNormal"/>
    <w:uiPriority w:val="99"/>
    <w:rsid w:val="002B5B43"/>
    <w:rPr>
      <w:sz w:val="24"/>
      <w:szCs w:val="24"/>
    </w:rPr>
    <w:tblPr>
      <w:tblCellMar>
        <w:top w:w="85" w:type="dxa"/>
        <w:left w:w="142" w:type="dxa"/>
        <w:bottom w:w="28" w:type="dxa"/>
        <w:right w:w="142" w:type="dxa"/>
      </w:tblCellMar>
    </w:tblPr>
    <w:tblStylePr w:type="firstRow">
      <w:rPr>
        <w:rFonts w:asciiTheme="majorHAnsi" w:hAnsiTheme="majorHAnsi"/>
        <w:b/>
        <w:i w:val="0"/>
        <w:color w:val="424242" w:themeColor="accent3" w:themeShade="BF"/>
        <w:sz w:val="24"/>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cBorders>
      </w:tcPr>
    </w:tblStylePr>
  </w:style>
  <w:style w:type="numbering" w:styleId="ArticleSection">
    <w:name w:val="Outline List 3"/>
    <w:basedOn w:val="NoList"/>
    <w:uiPriority w:val="99"/>
    <w:semiHidden/>
    <w:unhideWhenUsed/>
    <w:rsid w:val="002B5B43"/>
    <w:pPr>
      <w:numPr>
        <w:numId w:val="3"/>
      </w:numPr>
    </w:pPr>
  </w:style>
  <w:style w:type="table" w:customStyle="1" w:styleId="ECHRTableForInternalUse">
    <w:name w:val="ECHR_Table_For_Internal_Use"/>
    <w:basedOn w:val="TableNormal"/>
    <w:uiPriority w:val="99"/>
    <w:rsid w:val="002B5B43"/>
    <w:rPr>
      <w:color w:val="585858"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tcPr>
    </w:tblStylePr>
    <w:tblStylePr w:type="band1Vert">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tcPr>
    </w:tblStylePr>
  </w:style>
  <w:style w:type="table" w:customStyle="1" w:styleId="ECHRListTable">
    <w:name w:val="ECHR_List_Table"/>
    <w:basedOn w:val="TableNormal"/>
    <w:uiPriority w:val="99"/>
    <w:rsid w:val="002B5B43"/>
    <w:rPr>
      <w:sz w:val="24"/>
      <w:szCs w:val="24"/>
    </w:rPr>
    <w:tblPr>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b/>
        <w:color w:val="424242" w:themeColor="accent3" w:themeShade="BF"/>
      </w:rPr>
      <w:tblPr/>
      <w:trPr>
        <w:tblHeader/>
      </w:tr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2B5B43"/>
  </w:style>
  <w:style w:type="paragraph" w:styleId="BlockText">
    <w:name w:val="Block Text"/>
    <w:basedOn w:val="Normal"/>
    <w:uiPriority w:val="98"/>
    <w:semiHidden/>
    <w:rsid w:val="002B5B43"/>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2B5B43"/>
    <w:rPr>
      <w:sz w:val="24"/>
      <w:szCs w:val="24"/>
    </w:rPr>
    <w:tblPr>
      <w:tblInd w:w="-1474" w:type="dxa"/>
      <w:tblBorders>
        <w:bottom w:val="single" w:sz="6" w:space="0" w:color="838383"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2B5B43"/>
    <w:pPr>
      <w:spacing w:after="120"/>
    </w:pPr>
  </w:style>
  <w:style w:type="character" w:customStyle="1" w:styleId="BodyTextChar">
    <w:name w:val="Body Text Char"/>
    <w:basedOn w:val="DefaultParagraphFont"/>
    <w:link w:val="BodyText"/>
    <w:uiPriority w:val="98"/>
    <w:semiHidden/>
    <w:rsid w:val="002B5B43"/>
    <w:rPr>
      <w:sz w:val="24"/>
      <w:szCs w:val="24"/>
      <w:lang w:val="ro-RO"/>
    </w:rPr>
  </w:style>
  <w:style w:type="table" w:customStyle="1" w:styleId="ECHRTableOddBanded">
    <w:name w:val="ECHR_Table_Odd_Banded"/>
    <w:basedOn w:val="TableNormal"/>
    <w:uiPriority w:val="99"/>
    <w:rsid w:val="002B5B43"/>
    <w:tblPr>
      <w:tblStyleRowBandSize w:val="1"/>
      <w:tblStyleColBandSize w:val="1"/>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rFonts w:asciiTheme="majorHAnsi" w:hAnsiTheme="majorHAnsi"/>
        <w:b/>
        <w:i w:val="0"/>
        <w:color w:val="424242" w:themeColor="accent3" w:themeShade="BF"/>
        <w:sz w:val="22"/>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nil"/>
          <w:insideV w:val="single" w:sz="4" w:space="0" w:color="838383"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2B5B43"/>
    <w:pPr>
      <w:spacing w:after="120" w:line="480" w:lineRule="auto"/>
    </w:pPr>
  </w:style>
  <w:style w:type="table" w:customStyle="1" w:styleId="ECHRHeaderTableReduced">
    <w:name w:val="ECHR_Header_Table_Reduced"/>
    <w:basedOn w:val="TableNormal"/>
    <w:uiPriority w:val="99"/>
    <w:rsid w:val="002B5B43"/>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838383" w:themeColor="text2" w:themeShade="BF"/>
          <w:right w:val="nil"/>
          <w:insideH w:val="nil"/>
          <w:insideV w:val="nil"/>
          <w:tl2br w:val="nil"/>
          <w:tr2bl w:val="nil"/>
        </w:tcBorders>
      </w:tcPr>
    </w:tblStylePr>
    <w:tblStylePr w:type="lastRow">
      <w:pPr>
        <w:jc w:val="right"/>
      </w:pPr>
      <w:tblPr/>
      <w:tcPr>
        <w:tcBorders>
          <w:top w:val="single" w:sz="6" w:space="0" w:color="838383"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2B5B43"/>
    <w:pPr>
      <w:ind w:firstLine="284"/>
    </w:pPr>
    <w:rPr>
      <w:b/>
    </w:rPr>
  </w:style>
  <w:style w:type="character" w:styleId="PageNumber">
    <w:name w:val="page number"/>
    <w:uiPriority w:val="98"/>
    <w:semiHidden/>
    <w:rsid w:val="002B5B43"/>
    <w:rPr>
      <w:sz w:val="18"/>
    </w:rPr>
  </w:style>
  <w:style w:type="paragraph" w:styleId="ListBullet">
    <w:name w:val="List Bullet"/>
    <w:basedOn w:val="Normal"/>
    <w:uiPriority w:val="98"/>
    <w:semiHidden/>
    <w:rsid w:val="002B5B43"/>
    <w:pPr>
      <w:numPr>
        <w:numId w:val="11"/>
      </w:numPr>
    </w:pPr>
  </w:style>
  <w:style w:type="paragraph" w:styleId="ListBullet3">
    <w:name w:val="List Bullet 3"/>
    <w:basedOn w:val="Normal"/>
    <w:uiPriority w:val="98"/>
    <w:semiHidden/>
    <w:rsid w:val="002B5B43"/>
    <w:pPr>
      <w:numPr>
        <w:numId w:val="13"/>
      </w:numPr>
      <w:contextualSpacing/>
    </w:pPr>
  </w:style>
  <w:style w:type="character" w:customStyle="1" w:styleId="BodyText2Char">
    <w:name w:val="Body Text 2 Char"/>
    <w:basedOn w:val="DefaultParagraphFont"/>
    <w:link w:val="BodyText2"/>
    <w:uiPriority w:val="98"/>
    <w:semiHidden/>
    <w:rsid w:val="002B5B43"/>
    <w:rPr>
      <w:sz w:val="24"/>
      <w:szCs w:val="24"/>
      <w:lang w:val="ro-RO"/>
    </w:rPr>
  </w:style>
  <w:style w:type="paragraph" w:styleId="BodyText3">
    <w:name w:val="Body Text 3"/>
    <w:basedOn w:val="Normal"/>
    <w:link w:val="BodyText3Char"/>
    <w:uiPriority w:val="98"/>
    <w:semiHidden/>
    <w:rsid w:val="002B5B43"/>
    <w:pPr>
      <w:spacing w:after="120"/>
    </w:pPr>
    <w:rPr>
      <w:sz w:val="16"/>
      <w:szCs w:val="16"/>
    </w:rPr>
  </w:style>
  <w:style w:type="character" w:customStyle="1" w:styleId="BodyText3Char">
    <w:name w:val="Body Text 3 Char"/>
    <w:basedOn w:val="DefaultParagraphFont"/>
    <w:link w:val="BodyText3"/>
    <w:uiPriority w:val="98"/>
    <w:semiHidden/>
    <w:rsid w:val="002B5B43"/>
    <w:rPr>
      <w:sz w:val="16"/>
      <w:szCs w:val="16"/>
      <w:lang w:val="ro-RO"/>
    </w:rPr>
  </w:style>
  <w:style w:type="paragraph" w:styleId="BodyTextFirstIndent">
    <w:name w:val="Body Text First Indent"/>
    <w:basedOn w:val="BodyText"/>
    <w:link w:val="BodyTextFirstIndentChar"/>
    <w:uiPriority w:val="98"/>
    <w:semiHidden/>
    <w:rsid w:val="002B5B43"/>
    <w:pPr>
      <w:spacing w:after="0"/>
      <w:ind w:firstLine="360"/>
    </w:pPr>
  </w:style>
  <w:style w:type="character" w:customStyle="1" w:styleId="BodyTextFirstIndentChar">
    <w:name w:val="Body Text First Indent Char"/>
    <w:basedOn w:val="BodyTextChar"/>
    <w:link w:val="BodyTextFirstIndent"/>
    <w:uiPriority w:val="98"/>
    <w:semiHidden/>
    <w:rsid w:val="002B5B43"/>
    <w:rPr>
      <w:sz w:val="24"/>
      <w:szCs w:val="24"/>
      <w:lang w:val="ro-RO"/>
    </w:rPr>
  </w:style>
  <w:style w:type="paragraph" w:styleId="BodyTextIndent">
    <w:name w:val="Body Text Indent"/>
    <w:basedOn w:val="Normal"/>
    <w:link w:val="BodyTextIndentChar"/>
    <w:uiPriority w:val="98"/>
    <w:semiHidden/>
    <w:rsid w:val="002B5B43"/>
    <w:pPr>
      <w:spacing w:after="120"/>
      <w:ind w:left="283"/>
    </w:pPr>
  </w:style>
  <w:style w:type="character" w:customStyle="1" w:styleId="BodyTextIndentChar">
    <w:name w:val="Body Text Indent Char"/>
    <w:basedOn w:val="DefaultParagraphFont"/>
    <w:link w:val="BodyTextIndent"/>
    <w:uiPriority w:val="98"/>
    <w:semiHidden/>
    <w:rsid w:val="002B5B43"/>
    <w:rPr>
      <w:sz w:val="24"/>
      <w:szCs w:val="24"/>
      <w:lang w:val="ro-RO"/>
    </w:rPr>
  </w:style>
  <w:style w:type="paragraph" w:styleId="BodyTextFirstIndent2">
    <w:name w:val="Body Text First Indent 2"/>
    <w:basedOn w:val="BodyTextIndent"/>
    <w:link w:val="BodyTextFirstIndent2Char"/>
    <w:uiPriority w:val="98"/>
    <w:semiHidden/>
    <w:rsid w:val="002B5B43"/>
    <w:pPr>
      <w:spacing w:after="0"/>
      <w:ind w:left="360" w:firstLine="360"/>
    </w:pPr>
  </w:style>
  <w:style w:type="character" w:customStyle="1" w:styleId="BodyTextFirstIndent2Char">
    <w:name w:val="Body Text First Indent 2 Char"/>
    <w:basedOn w:val="BodyTextIndentChar"/>
    <w:link w:val="BodyTextFirstIndent2"/>
    <w:uiPriority w:val="98"/>
    <w:semiHidden/>
    <w:rsid w:val="002B5B43"/>
    <w:rPr>
      <w:sz w:val="24"/>
      <w:szCs w:val="24"/>
      <w:lang w:val="ro-RO"/>
    </w:rPr>
  </w:style>
  <w:style w:type="paragraph" w:styleId="BodyTextIndent2">
    <w:name w:val="Body Text Indent 2"/>
    <w:basedOn w:val="Normal"/>
    <w:link w:val="BodyTextIndent2Char"/>
    <w:uiPriority w:val="98"/>
    <w:semiHidden/>
    <w:rsid w:val="002B5B43"/>
    <w:pPr>
      <w:spacing w:after="120" w:line="480" w:lineRule="auto"/>
      <w:ind w:left="283"/>
    </w:pPr>
  </w:style>
  <w:style w:type="character" w:customStyle="1" w:styleId="BodyTextIndent2Char">
    <w:name w:val="Body Text Indent 2 Char"/>
    <w:basedOn w:val="DefaultParagraphFont"/>
    <w:link w:val="BodyTextIndent2"/>
    <w:uiPriority w:val="98"/>
    <w:semiHidden/>
    <w:rsid w:val="002B5B43"/>
    <w:rPr>
      <w:sz w:val="24"/>
      <w:szCs w:val="24"/>
      <w:lang w:val="ro-RO"/>
    </w:rPr>
  </w:style>
  <w:style w:type="paragraph" w:styleId="BodyTextIndent3">
    <w:name w:val="Body Text Indent 3"/>
    <w:basedOn w:val="Normal"/>
    <w:link w:val="BodyTextIndent3Char"/>
    <w:uiPriority w:val="98"/>
    <w:semiHidden/>
    <w:rsid w:val="002B5B43"/>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2B5B43"/>
    <w:rPr>
      <w:sz w:val="16"/>
      <w:szCs w:val="16"/>
      <w:lang w:val="ro-RO"/>
    </w:rPr>
  </w:style>
  <w:style w:type="paragraph" w:styleId="Caption">
    <w:name w:val="caption"/>
    <w:basedOn w:val="Normal"/>
    <w:next w:val="Normal"/>
    <w:uiPriority w:val="98"/>
    <w:semiHidden/>
    <w:qFormat/>
    <w:rsid w:val="002B5B43"/>
    <w:pPr>
      <w:spacing w:after="200"/>
    </w:pPr>
    <w:rPr>
      <w:b/>
      <w:bCs/>
      <w:color w:val="0072BC" w:themeColor="accent1"/>
      <w:sz w:val="18"/>
      <w:szCs w:val="18"/>
    </w:rPr>
  </w:style>
  <w:style w:type="paragraph" w:styleId="Closing">
    <w:name w:val="Closing"/>
    <w:basedOn w:val="Normal"/>
    <w:link w:val="ClosingChar"/>
    <w:uiPriority w:val="98"/>
    <w:semiHidden/>
    <w:rsid w:val="002B5B43"/>
    <w:pPr>
      <w:ind w:left="4252"/>
    </w:pPr>
  </w:style>
  <w:style w:type="character" w:customStyle="1" w:styleId="ClosingChar">
    <w:name w:val="Closing Char"/>
    <w:basedOn w:val="DefaultParagraphFont"/>
    <w:link w:val="Closing"/>
    <w:uiPriority w:val="98"/>
    <w:semiHidden/>
    <w:rsid w:val="002B5B43"/>
    <w:rPr>
      <w:sz w:val="24"/>
      <w:szCs w:val="24"/>
      <w:lang w:val="ro-RO"/>
    </w:rPr>
  </w:style>
  <w:style w:type="table" w:styleId="ColorfulGrid">
    <w:name w:val="Colorful Grid"/>
    <w:basedOn w:val="TableNormal"/>
    <w:uiPriority w:val="73"/>
    <w:semiHidden/>
    <w:rsid w:val="002B5B43"/>
    <w:rPr>
      <w:color w:val="000000" w:themeColor="text1"/>
      <w:sz w:val="24"/>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2B5B43"/>
    <w:rPr>
      <w:color w:val="000000" w:themeColor="text1"/>
      <w:sz w:val="24"/>
      <w:szCs w:val="24"/>
    </w:rPr>
    <w:tblPr>
      <w:tblStyleRowBandSize w:val="1"/>
      <w:tblStyleColBandSize w:val="1"/>
      <w:tblBorders>
        <w:insideH w:val="single" w:sz="4" w:space="0" w:color="FFFFFF"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FFFFFF" w:themeColor="background1"/>
      </w:rPr>
      <w:tblPr/>
      <w:tcPr>
        <w:shd w:val="clear" w:color="auto" w:fill="00548C" w:themeFill="accent1" w:themeFillShade="BF"/>
      </w:tcPr>
    </w:tblStylePr>
    <w:tblStylePr w:type="lastCol">
      <w:rPr>
        <w:color w:val="FFFFFF"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2B5B43"/>
    <w:rPr>
      <w:color w:val="000000" w:themeColor="text1"/>
      <w:sz w:val="24"/>
      <w:szCs w:val="24"/>
    </w:rPr>
    <w:tblPr>
      <w:tblStyleRowBandSize w:val="1"/>
      <w:tblStyleColBandSize w:val="1"/>
      <w:tblBorders>
        <w:insideH w:val="single" w:sz="4" w:space="0" w:color="FFFFFF"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FFFFFF" w:themeColor="background1"/>
      </w:rPr>
      <w:tblPr/>
      <w:tcPr>
        <w:shd w:val="clear" w:color="auto" w:fill="8F0000" w:themeFill="accent2" w:themeFillShade="BF"/>
      </w:tcPr>
    </w:tblStylePr>
    <w:tblStylePr w:type="lastCol">
      <w:rPr>
        <w:color w:val="FFFFFF"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2B5B43"/>
    <w:rPr>
      <w:color w:val="000000" w:themeColor="text1"/>
      <w:sz w:val="24"/>
      <w:szCs w:val="24"/>
    </w:rPr>
    <w:tblPr>
      <w:tblStyleRowBandSize w:val="1"/>
      <w:tblStyleColBandSize w:val="1"/>
      <w:tblBorders>
        <w:insideH w:val="single" w:sz="4" w:space="0" w:color="FFFFFF" w:themeColor="background1"/>
      </w:tblBorders>
    </w:tblPr>
    <w:tcPr>
      <w:shd w:val="clear" w:color="auto" w:fill="DDDDDD" w:themeFill="accent3" w:themeFillTint="33"/>
    </w:tcPr>
    <w:tblStylePr w:type="firstRow">
      <w:rPr>
        <w:b/>
        <w:bCs/>
      </w:rPr>
      <w:tblPr/>
      <w:tcPr>
        <w:shd w:val="clear" w:color="auto" w:fill="BCBCBC" w:themeFill="accent3" w:themeFillTint="66"/>
      </w:tcPr>
    </w:tblStylePr>
    <w:tblStylePr w:type="lastRow">
      <w:rPr>
        <w:b/>
        <w:bCs/>
        <w:color w:val="000000" w:themeColor="text1"/>
      </w:rPr>
      <w:tblPr/>
      <w:tcPr>
        <w:shd w:val="clear" w:color="auto" w:fill="BCBCBC" w:themeFill="accent3" w:themeFillTint="66"/>
      </w:tcPr>
    </w:tblStylePr>
    <w:tblStylePr w:type="firstCol">
      <w:rPr>
        <w:color w:val="FFFFFF" w:themeColor="background1"/>
      </w:rPr>
      <w:tblPr/>
      <w:tcPr>
        <w:shd w:val="clear" w:color="auto" w:fill="424242" w:themeFill="accent3" w:themeFillShade="BF"/>
      </w:tcPr>
    </w:tblStylePr>
    <w:tblStylePr w:type="lastCol">
      <w:rPr>
        <w:color w:val="FFFFFF" w:themeColor="background1"/>
      </w:rPr>
      <w:tblPr/>
      <w:tcPr>
        <w:shd w:val="clear" w:color="auto" w:fill="424242" w:themeFill="accent3" w:themeFillShade="BF"/>
      </w:tcPr>
    </w:tblStylePr>
    <w:tblStylePr w:type="band1Vert">
      <w:tblPr/>
      <w:tcPr>
        <w:shd w:val="clear" w:color="auto" w:fill="ACACAC" w:themeFill="accent3" w:themeFillTint="7F"/>
      </w:tcPr>
    </w:tblStylePr>
    <w:tblStylePr w:type="band1Horz">
      <w:tblPr/>
      <w:tcPr>
        <w:shd w:val="clear" w:color="auto" w:fill="ACACAC" w:themeFill="accent3" w:themeFillTint="7F"/>
      </w:tcPr>
    </w:tblStylePr>
  </w:style>
  <w:style w:type="table" w:styleId="ColorfulGrid-Accent4">
    <w:name w:val="Colorful Grid Accent 4"/>
    <w:basedOn w:val="TableNormal"/>
    <w:uiPriority w:val="73"/>
    <w:semiHidden/>
    <w:rsid w:val="002B5B43"/>
    <w:rPr>
      <w:color w:val="000000" w:themeColor="text1"/>
      <w:sz w:val="24"/>
      <w:szCs w:val="24"/>
    </w:rPr>
    <w:tblPr>
      <w:tblStyleRowBandSize w:val="1"/>
      <w:tblStyleColBandSize w:val="1"/>
      <w:tblBorders>
        <w:insideH w:val="single" w:sz="4" w:space="0" w:color="FFFFFF"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FFFFFF" w:themeColor="background1"/>
      </w:rPr>
      <w:tblPr/>
      <w:tcPr>
        <w:shd w:val="clear" w:color="auto" w:fill="707070" w:themeFill="accent4" w:themeFillShade="BF"/>
      </w:tcPr>
    </w:tblStylePr>
    <w:tblStylePr w:type="lastCol">
      <w:rPr>
        <w:color w:val="FFFFFF"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2B5B43"/>
    <w:rPr>
      <w:color w:val="000000" w:themeColor="text1"/>
      <w:sz w:val="24"/>
      <w:szCs w:val="24"/>
    </w:rPr>
    <w:tblPr>
      <w:tblStyleRowBandSize w:val="1"/>
      <w:tblStyleColBandSize w:val="1"/>
      <w:tblBorders>
        <w:insideH w:val="single" w:sz="4" w:space="0" w:color="FFFFFF"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FFFFFF" w:themeColor="background1"/>
      </w:rPr>
      <w:tblPr/>
      <w:tcPr>
        <w:shd w:val="clear" w:color="auto" w:fill="474747" w:themeFill="accent5" w:themeFillShade="BF"/>
      </w:tcPr>
    </w:tblStylePr>
    <w:tblStylePr w:type="lastCol">
      <w:rPr>
        <w:color w:val="FFFFFF"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2B5B43"/>
    <w:rPr>
      <w:color w:val="000000" w:themeColor="text1"/>
      <w:sz w:val="24"/>
      <w:szCs w:val="24"/>
    </w:rPr>
    <w:tblPr>
      <w:tblStyleRowBandSize w:val="1"/>
      <w:tblStyleColBandSize w:val="1"/>
      <w:tblBorders>
        <w:insideH w:val="single" w:sz="4" w:space="0" w:color="FFFFFF"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FFFFFF" w:themeColor="background1"/>
      </w:rPr>
      <w:tblPr/>
      <w:tcPr>
        <w:shd w:val="clear" w:color="auto" w:fill="393939" w:themeFill="accent6" w:themeFillShade="BF"/>
      </w:tcPr>
    </w:tblStylePr>
    <w:tblStylePr w:type="lastCol">
      <w:rPr>
        <w:color w:val="FFFFFF"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2B5B43"/>
    <w:rPr>
      <w:color w:val="000000" w:themeColor="text1"/>
      <w:sz w:val="24"/>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2B5B43"/>
    <w:rPr>
      <w:color w:val="000000" w:themeColor="text1"/>
      <w:sz w:val="24"/>
      <w:szCs w:val="24"/>
    </w:rPr>
    <w:tblPr>
      <w:tblStyleRowBandSize w:val="1"/>
      <w:tblStyleColBandSize w:val="1"/>
    </w:tblPr>
    <w:tcPr>
      <w:shd w:val="clear" w:color="auto" w:fill="DFF2FF" w:themeFill="accent1"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2B5B43"/>
    <w:rPr>
      <w:color w:val="000000" w:themeColor="text1"/>
      <w:sz w:val="24"/>
      <w:szCs w:val="24"/>
    </w:rPr>
    <w:tblPr>
      <w:tblStyleRowBandSize w:val="1"/>
      <w:tblStyleColBandSize w:val="1"/>
    </w:tblPr>
    <w:tcPr>
      <w:shd w:val="clear" w:color="auto" w:fill="FFDFDF" w:themeFill="accent2"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2B5B43"/>
    <w:rPr>
      <w:color w:val="000000" w:themeColor="text1"/>
      <w:sz w:val="24"/>
      <w:szCs w:val="24"/>
    </w:rPr>
    <w:tblPr>
      <w:tblStyleRowBandSize w:val="1"/>
      <w:tblStyleColBandSize w:val="1"/>
    </w:tblPr>
    <w:tcPr>
      <w:shd w:val="clear" w:color="auto" w:fill="EEEEEE" w:themeFill="accent3" w:themeFillTint="19"/>
    </w:tcPr>
    <w:tblStylePr w:type="firstRow">
      <w:rPr>
        <w:b/>
        <w:bCs/>
        <w:color w:val="FFFFFF" w:themeColor="background1"/>
      </w:rPr>
      <w:tblPr/>
      <w:tcPr>
        <w:tcBorders>
          <w:bottom w:val="single" w:sz="12" w:space="0" w:color="FFFFFF"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5D5" w:themeFill="accent3" w:themeFillTint="3F"/>
      </w:tcPr>
    </w:tblStylePr>
    <w:tblStylePr w:type="band1Horz">
      <w:tblPr/>
      <w:tcPr>
        <w:shd w:val="clear" w:color="auto" w:fill="DDDDDD" w:themeFill="accent3" w:themeFillTint="33"/>
      </w:tcPr>
    </w:tblStylePr>
  </w:style>
  <w:style w:type="table" w:styleId="ColorfulList-Accent4">
    <w:name w:val="Colorful List Accent 4"/>
    <w:basedOn w:val="TableNormal"/>
    <w:uiPriority w:val="72"/>
    <w:semiHidden/>
    <w:rsid w:val="002B5B43"/>
    <w:rPr>
      <w:color w:val="000000" w:themeColor="text1"/>
      <w:sz w:val="24"/>
      <w:szCs w:val="24"/>
    </w:rPr>
    <w:tblPr>
      <w:tblStyleRowBandSize w:val="1"/>
      <w:tblStyleColBandSize w:val="1"/>
    </w:tblPr>
    <w:tcPr>
      <w:shd w:val="clear" w:color="auto" w:fill="F4F4F4" w:themeFill="accent4" w:themeFillTint="19"/>
    </w:tcPr>
    <w:tblStylePr w:type="firstRow">
      <w:rPr>
        <w:b/>
        <w:bCs/>
        <w:color w:val="FFFFFF" w:themeColor="background1"/>
      </w:rPr>
      <w:tblPr/>
      <w:tcPr>
        <w:tcBorders>
          <w:bottom w:val="single" w:sz="12" w:space="0" w:color="FFFFFF" w:themeColor="background1"/>
        </w:tcBorders>
        <w:shd w:val="clear" w:color="auto" w:fill="474747" w:themeFill="accent3" w:themeFillShade="CC"/>
      </w:tcPr>
    </w:tblStylePr>
    <w:tblStylePr w:type="lastRow">
      <w:rPr>
        <w:b/>
        <w:bCs/>
        <w:color w:val="47474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2B5B43"/>
    <w:rPr>
      <w:color w:val="000000" w:themeColor="text1"/>
      <w:sz w:val="24"/>
      <w:szCs w:val="24"/>
    </w:rPr>
    <w:tblPr>
      <w:tblStyleRowBandSize w:val="1"/>
      <w:tblStyleColBandSize w:val="1"/>
    </w:tblPr>
    <w:tcPr>
      <w:shd w:val="clear" w:color="auto" w:fill="EFEFEF" w:themeFill="accent5" w:themeFillTint="19"/>
    </w:tcPr>
    <w:tblStylePr w:type="firstRow">
      <w:rPr>
        <w:b/>
        <w:bCs/>
        <w:color w:val="FFFFFF" w:themeColor="background1"/>
      </w:rPr>
      <w:tblPr/>
      <w:tcPr>
        <w:tcBorders>
          <w:bottom w:val="single" w:sz="12" w:space="0" w:color="FFFFFF"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2B5B43"/>
    <w:rPr>
      <w:color w:val="000000" w:themeColor="text1"/>
      <w:sz w:val="24"/>
      <w:szCs w:val="24"/>
    </w:rPr>
    <w:tblPr>
      <w:tblStyleRowBandSize w:val="1"/>
      <w:tblStyleColBandSize w:val="1"/>
    </w:tblPr>
    <w:tcPr>
      <w:shd w:val="clear" w:color="auto" w:fill="EDEDED" w:themeFill="accent6" w:themeFillTint="19"/>
    </w:tcPr>
    <w:tblStylePr w:type="firstRow">
      <w:rPr>
        <w:b/>
        <w:bCs/>
        <w:color w:val="FFFFFF" w:themeColor="background1"/>
      </w:rPr>
      <w:tblPr/>
      <w:tcPr>
        <w:tcBorders>
          <w:bottom w:val="single" w:sz="12" w:space="0" w:color="FFFFFF"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2B5B43"/>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2B5B43"/>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FFFFFF" w:themeColor="background1"/>
        <w:insideV w:val="single" w:sz="4" w:space="0" w:color="FFFFFF"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470" w:themeFill="accent1" w:themeFillShade="99"/>
      </w:tcPr>
    </w:tblStylePr>
    <w:tblStylePr w:type="firstCol">
      <w:rPr>
        <w:color w:val="FFFFFF"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2B5B43"/>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FFFFFF" w:themeColor="background1"/>
        <w:insideV w:val="single" w:sz="4" w:space="0" w:color="FFFFFF"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0000" w:themeFill="accent2" w:themeFillShade="99"/>
      </w:tcPr>
    </w:tblStylePr>
    <w:tblStylePr w:type="firstCol">
      <w:rPr>
        <w:color w:val="FFFFFF"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2B5B43"/>
    <w:rPr>
      <w:color w:val="000000" w:themeColor="text1"/>
      <w:sz w:val="24"/>
      <w:szCs w:val="24"/>
    </w:rPr>
    <w:tblPr>
      <w:tblStyleRowBandSize w:val="1"/>
      <w:tblStyleColBandSize w:val="1"/>
      <w:tblBorders>
        <w:top w:val="single" w:sz="24" w:space="0" w:color="969696" w:themeColor="accent4"/>
        <w:left w:val="single" w:sz="4" w:space="0" w:color="595959" w:themeColor="accent3"/>
        <w:bottom w:val="single" w:sz="4" w:space="0" w:color="595959" w:themeColor="accent3"/>
        <w:right w:val="single" w:sz="4" w:space="0" w:color="595959" w:themeColor="accent3"/>
        <w:insideH w:val="single" w:sz="4" w:space="0" w:color="FFFFFF" w:themeColor="background1"/>
        <w:insideV w:val="single" w:sz="4" w:space="0" w:color="FFFFFF" w:themeColor="background1"/>
      </w:tblBorders>
    </w:tblPr>
    <w:tcPr>
      <w:shd w:val="clear" w:color="auto" w:fill="EEEEEE"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3535" w:themeFill="accent3" w:themeFillShade="99"/>
      </w:tcPr>
    </w:tblStylePr>
    <w:tblStylePr w:type="firstCol">
      <w:rPr>
        <w:color w:val="FFFFFF" w:themeColor="background1"/>
      </w:rPr>
      <w:tblPr/>
      <w:tcPr>
        <w:tcBorders>
          <w:top w:val="nil"/>
          <w:left w:val="nil"/>
          <w:bottom w:val="nil"/>
          <w:right w:val="nil"/>
          <w:insideH w:val="single" w:sz="4" w:space="0" w:color="353535" w:themeColor="accent3" w:themeShade="99"/>
          <w:insideV w:val="nil"/>
        </w:tcBorders>
        <w:shd w:val="clear" w:color="auto" w:fill="35353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53535" w:themeFill="accent3" w:themeFillShade="99"/>
      </w:tcPr>
    </w:tblStylePr>
    <w:tblStylePr w:type="band1Vert">
      <w:tblPr/>
      <w:tcPr>
        <w:shd w:val="clear" w:color="auto" w:fill="BCBCBC" w:themeFill="accent3" w:themeFillTint="66"/>
      </w:tcPr>
    </w:tblStylePr>
    <w:tblStylePr w:type="band1Horz">
      <w:tblPr/>
      <w:tcPr>
        <w:shd w:val="clear" w:color="auto" w:fill="ACACAC" w:themeFill="accent3" w:themeFillTint="7F"/>
      </w:tcPr>
    </w:tblStylePr>
  </w:style>
  <w:style w:type="table" w:styleId="ColorfulShading-Accent4">
    <w:name w:val="Colorful Shading Accent 4"/>
    <w:basedOn w:val="TableNormal"/>
    <w:uiPriority w:val="71"/>
    <w:semiHidden/>
    <w:rsid w:val="002B5B43"/>
    <w:rPr>
      <w:color w:val="000000" w:themeColor="text1"/>
      <w:sz w:val="24"/>
      <w:szCs w:val="24"/>
    </w:rPr>
    <w:tblPr>
      <w:tblStyleRowBandSize w:val="1"/>
      <w:tblStyleColBandSize w:val="1"/>
      <w:tblBorders>
        <w:top w:val="single" w:sz="24" w:space="0" w:color="595959" w:themeColor="accent3"/>
        <w:left w:val="single" w:sz="4" w:space="0" w:color="969696" w:themeColor="accent4"/>
        <w:bottom w:val="single" w:sz="4" w:space="0" w:color="969696" w:themeColor="accent4"/>
        <w:right w:val="single" w:sz="4" w:space="0" w:color="969696" w:themeColor="accent4"/>
        <w:insideH w:val="single" w:sz="4" w:space="0" w:color="FFFFFF" w:themeColor="background1"/>
        <w:insideV w:val="single" w:sz="4" w:space="0" w:color="FFFFFF" w:themeColor="background1"/>
      </w:tblBorders>
    </w:tblPr>
    <w:tcPr>
      <w:shd w:val="clear" w:color="auto" w:fill="F4F4F4" w:themeFill="accent4" w:themeFillTint="19"/>
    </w:tcPr>
    <w:tblStylePr w:type="firstRow">
      <w:rPr>
        <w:b/>
        <w:bCs/>
      </w:rPr>
      <w:tblPr/>
      <w:tcPr>
        <w:tcBorders>
          <w:top w:val="nil"/>
          <w:left w:val="nil"/>
          <w:bottom w:val="single" w:sz="24" w:space="0" w:color="5959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5A5A" w:themeFill="accent4" w:themeFillShade="99"/>
      </w:tcPr>
    </w:tblStylePr>
    <w:tblStylePr w:type="firstCol">
      <w:rPr>
        <w:color w:val="FFFFFF"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2B5B43"/>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FFFFFF" w:themeColor="background1"/>
        <w:insideV w:val="single" w:sz="4" w:space="0" w:color="FFFFFF"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3939" w:themeFill="accent5" w:themeFillShade="99"/>
      </w:tcPr>
    </w:tblStylePr>
    <w:tblStylePr w:type="firstCol">
      <w:rPr>
        <w:color w:val="FFFFFF"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2B5B43"/>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FFFFFF" w:themeColor="background1"/>
        <w:insideV w:val="single" w:sz="4" w:space="0" w:color="FFFFFF"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2E2E" w:themeFill="accent6" w:themeFillShade="99"/>
      </w:tcPr>
    </w:tblStylePr>
    <w:tblStylePr w:type="firstCol">
      <w:rPr>
        <w:color w:val="FFFFFF"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2B5B43"/>
    <w:rPr>
      <w:sz w:val="16"/>
      <w:szCs w:val="16"/>
    </w:rPr>
  </w:style>
  <w:style w:type="paragraph" w:styleId="CommentText">
    <w:name w:val="annotation text"/>
    <w:basedOn w:val="Normal"/>
    <w:link w:val="CommentTextChar"/>
    <w:uiPriority w:val="98"/>
    <w:semiHidden/>
    <w:rsid w:val="002B5B43"/>
    <w:rPr>
      <w:sz w:val="20"/>
      <w:szCs w:val="20"/>
    </w:rPr>
  </w:style>
  <w:style w:type="character" w:customStyle="1" w:styleId="CommentTextChar">
    <w:name w:val="Comment Text Char"/>
    <w:basedOn w:val="DefaultParagraphFont"/>
    <w:link w:val="CommentText"/>
    <w:uiPriority w:val="98"/>
    <w:semiHidden/>
    <w:rsid w:val="002B5B43"/>
    <w:rPr>
      <w:sz w:val="20"/>
      <w:szCs w:val="20"/>
      <w:lang w:val="ro-RO"/>
    </w:rPr>
  </w:style>
  <w:style w:type="paragraph" w:styleId="CommentSubject">
    <w:name w:val="annotation subject"/>
    <w:basedOn w:val="CommentText"/>
    <w:next w:val="CommentText"/>
    <w:link w:val="CommentSubjectChar"/>
    <w:uiPriority w:val="98"/>
    <w:semiHidden/>
    <w:rsid w:val="002B5B43"/>
    <w:rPr>
      <w:b/>
      <w:bCs/>
    </w:rPr>
  </w:style>
  <w:style w:type="character" w:customStyle="1" w:styleId="CommentSubjectChar">
    <w:name w:val="Comment Subject Char"/>
    <w:basedOn w:val="CommentTextChar"/>
    <w:link w:val="CommentSubject"/>
    <w:uiPriority w:val="98"/>
    <w:semiHidden/>
    <w:rsid w:val="002B5B43"/>
    <w:rPr>
      <w:b/>
      <w:bCs/>
      <w:sz w:val="20"/>
      <w:szCs w:val="20"/>
      <w:lang w:val="ro-RO"/>
    </w:rPr>
  </w:style>
  <w:style w:type="table" w:styleId="DarkList">
    <w:name w:val="Dark List"/>
    <w:basedOn w:val="TableNormal"/>
    <w:uiPriority w:val="70"/>
    <w:semiHidden/>
    <w:rsid w:val="002B5B43"/>
    <w:rPr>
      <w:color w:val="FFFFFF"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2B5B43"/>
    <w:rPr>
      <w:color w:val="FFFFFF"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548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2B5B43"/>
    <w:rPr>
      <w:color w:val="FFFFFF"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F00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2B5B43"/>
    <w:rPr>
      <w:color w:val="FFFFFF" w:themeColor="background1"/>
      <w:sz w:val="24"/>
      <w:szCs w:val="24"/>
    </w:rPr>
    <w:tblPr>
      <w:tblStyleRowBandSize w:val="1"/>
      <w:tblStyleColBandSize w:val="1"/>
    </w:tblPr>
    <w:tcPr>
      <w:shd w:val="clear" w:color="auto" w:fill="5959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C2C2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2424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24242" w:themeFill="accent3" w:themeFillShade="BF"/>
      </w:tcPr>
    </w:tblStylePr>
    <w:tblStylePr w:type="band1Vert">
      <w:tblPr/>
      <w:tcPr>
        <w:tcBorders>
          <w:top w:val="nil"/>
          <w:left w:val="nil"/>
          <w:bottom w:val="nil"/>
          <w:right w:val="nil"/>
          <w:insideH w:val="nil"/>
          <w:insideV w:val="nil"/>
        </w:tcBorders>
        <w:shd w:val="clear" w:color="auto" w:fill="424242" w:themeFill="accent3" w:themeFillShade="BF"/>
      </w:tcPr>
    </w:tblStylePr>
    <w:tblStylePr w:type="band1Horz">
      <w:tblPr/>
      <w:tcPr>
        <w:tcBorders>
          <w:top w:val="nil"/>
          <w:left w:val="nil"/>
          <w:bottom w:val="nil"/>
          <w:right w:val="nil"/>
          <w:insideH w:val="nil"/>
          <w:insideV w:val="nil"/>
        </w:tcBorders>
        <w:shd w:val="clear" w:color="auto" w:fill="424242" w:themeFill="accent3" w:themeFillShade="BF"/>
      </w:tcPr>
    </w:tblStylePr>
  </w:style>
  <w:style w:type="table" w:styleId="DarkList-Accent4">
    <w:name w:val="Dark List Accent 4"/>
    <w:basedOn w:val="TableNormal"/>
    <w:uiPriority w:val="70"/>
    <w:semiHidden/>
    <w:rsid w:val="002B5B43"/>
    <w:rPr>
      <w:color w:val="FFFFFF"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0707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2B5B43"/>
    <w:rPr>
      <w:color w:val="FFFFFF"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747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2B5B43"/>
    <w:rPr>
      <w:color w:val="FFFFFF"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9393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2B5B43"/>
  </w:style>
  <w:style w:type="character" w:customStyle="1" w:styleId="DateChar">
    <w:name w:val="Date Char"/>
    <w:basedOn w:val="DefaultParagraphFont"/>
    <w:link w:val="Date"/>
    <w:uiPriority w:val="98"/>
    <w:semiHidden/>
    <w:rsid w:val="002B5B43"/>
    <w:rPr>
      <w:sz w:val="24"/>
      <w:szCs w:val="24"/>
      <w:lang w:val="ro-RO"/>
    </w:rPr>
  </w:style>
  <w:style w:type="paragraph" w:styleId="DocumentMap">
    <w:name w:val="Document Map"/>
    <w:basedOn w:val="Normal"/>
    <w:link w:val="DocumentMapChar"/>
    <w:uiPriority w:val="98"/>
    <w:semiHidden/>
    <w:rsid w:val="002B5B43"/>
    <w:rPr>
      <w:rFonts w:ascii="Tahoma" w:hAnsi="Tahoma" w:cs="Tahoma"/>
      <w:sz w:val="16"/>
      <w:szCs w:val="16"/>
    </w:rPr>
  </w:style>
  <w:style w:type="character" w:customStyle="1" w:styleId="DocumentMapChar">
    <w:name w:val="Document Map Char"/>
    <w:basedOn w:val="DefaultParagraphFont"/>
    <w:link w:val="DocumentMap"/>
    <w:uiPriority w:val="98"/>
    <w:semiHidden/>
    <w:rsid w:val="002B5B43"/>
    <w:rPr>
      <w:rFonts w:ascii="Tahoma" w:hAnsi="Tahoma" w:cs="Tahoma"/>
      <w:sz w:val="16"/>
      <w:szCs w:val="16"/>
      <w:lang w:val="ro-RO"/>
    </w:rPr>
  </w:style>
  <w:style w:type="paragraph" w:styleId="E-mailSignature">
    <w:name w:val="E-mail Signature"/>
    <w:basedOn w:val="Normal"/>
    <w:link w:val="E-mailSignatureChar"/>
    <w:uiPriority w:val="98"/>
    <w:semiHidden/>
    <w:rsid w:val="002B5B43"/>
  </w:style>
  <w:style w:type="character" w:customStyle="1" w:styleId="E-mailSignatureChar">
    <w:name w:val="E-mail Signature Char"/>
    <w:basedOn w:val="DefaultParagraphFont"/>
    <w:link w:val="E-mailSignature"/>
    <w:uiPriority w:val="98"/>
    <w:semiHidden/>
    <w:rsid w:val="002B5B43"/>
    <w:rPr>
      <w:sz w:val="24"/>
      <w:szCs w:val="24"/>
      <w:lang w:val="ro-RO"/>
    </w:rPr>
  </w:style>
  <w:style w:type="character" w:styleId="EndnoteReference">
    <w:name w:val="endnote reference"/>
    <w:basedOn w:val="DefaultParagraphFont"/>
    <w:uiPriority w:val="98"/>
    <w:semiHidden/>
    <w:rsid w:val="002B5B43"/>
    <w:rPr>
      <w:vertAlign w:val="superscript"/>
    </w:rPr>
  </w:style>
  <w:style w:type="paragraph" w:styleId="EndnoteText">
    <w:name w:val="endnote text"/>
    <w:basedOn w:val="Normal"/>
    <w:link w:val="EndnoteTextChar"/>
    <w:uiPriority w:val="98"/>
    <w:semiHidden/>
    <w:rsid w:val="002B5B43"/>
    <w:rPr>
      <w:sz w:val="20"/>
      <w:szCs w:val="20"/>
    </w:rPr>
  </w:style>
  <w:style w:type="character" w:customStyle="1" w:styleId="EndnoteTextChar">
    <w:name w:val="Endnote Text Char"/>
    <w:basedOn w:val="DefaultParagraphFont"/>
    <w:link w:val="EndnoteText"/>
    <w:uiPriority w:val="98"/>
    <w:semiHidden/>
    <w:rsid w:val="002B5B43"/>
    <w:rPr>
      <w:sz w:val="20"/>
      <w:szCs w:val="20"/>
      <w:lang w:val="ro-RO"/>
    </w:rPr>
  </w:style>
  <w:style w:type="paragraph" w:styleId="EnvelopeAddress">
    <w:name w:val="envelope address"/>
    <w:basedOn w:val="Normal"/>
    <w:uiPriority w:val="98"/>
    <w:semiHidden/>
    <w:rsid w:val="002B5B43"/>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2B5B43"/>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2B5B43"/>
    <w:rPr>
      <w:color w:val="7030A0" w:themeColor="followedHyperlink"/>
      <w:u w:val="single"/>
    </w:rPr>
  </w:style>
  <w:style w:type="character" w:styleId="HTMLAcronym">
    <w:name w:val="HTML Acronym"/>
    <w:basedOn w:val="DefaultParagraphFont"/>
    <w:uiPriority w:val="98"/>
    <w:semiHidden/>
    <w:rsid w:val="002B5B43"/>
  </w:style>
  <w:style w:type="paragraph" w:styleId="HTMLAddress">
    <w:name w:val="HTML Address"/>
    <w:basedOn w:val="Normal"/>
    <w:link w:val="HTMLAddressChar"/>
    <w:uiPriority w:val="98"/>
    <w:semiHidden/>
    <w:rsid w:val="002B5B43"/>
    <w:rPr>
      <w:i/>
      <w:iCs/>
    </w:rPr>
  </w:style>
  <w:style w:type="character" w:customStyle="1" w:styleId="HTMLAddressChar">
    <w:name w:val="HTML Address Char"/>
    <w:basedOn w:val="DefaultParagraphFont"/>
    <w:link w:val="HTMLAddress"/>
    <w:uiPriority w:val="98"/>
    <w:semiHidden/>
    <w:rsid w:val="002B5B43"/>
    <w:rPr>
      <w:i/>
      <w:iCs/>
      <w:sz w:val="24"/>
      <w:szCs w:val="24"/>
      <w:lang w:val="ro-RO"/>
    </w:rPr>
  </w:style>
  <w:style w:type="character" w:styleId="HTMLCite">
    <w:name w:val="HTML Cite"/>
    <w:basedOn w:val="DefaultParagraphFont"/>
    <w:uiPriority w:val="98"/>
    <w:semiHidden/>
    <w:rsid w:val="002B5B43"/>
    <w:rPr>
      <w:i/>
      <w:iCs/>
    </w:rPr>
  </w:style>
  <w:style w:type="character" w:styleId="HTMLCode">
    <w:name w:val="HTML Code"/>
    <w:basedOn w:val="DefaultParagraphFont"/>
    <w:uiPriority w:val="98"/>
    <w:semiHidden/>
    <w:rsid w:val="002B5B43"/>
    <w:rPr>
      <w:rFonts w:ascii="Consolas" w:hAnsi="Consolas" w:cs="Consolas"/>
      <w:sz w:val="20"/>
      <w:szCs w:val="20"/>
    </w:rPr>
  </w:style>
  <w:style w:type="character" w:styleId="HTMLDefinition">
    <w:name w:val="HTML Definition"/>
    <w:basedOn w:val="DefaultParagraphFont"/>
    <w:uiPriority w:val="98"/>
    <w:semiHidden/>
    <w:rsid w:val="002B5B43"/>
    <w:rPr>
      <w:i/>
      <w:iCs/>
    </w:rPr>
  </w:style>
  <w:style w:type="character" w:styleId="HTMLKeyboard">
    <w:name w:val="HTML Keyboard"/>
    <w:basedOn w:val="DefaultParagraphFont"/>
    <w:uiPriority w:val="98"/>
    <w:semiHidden/>
    <w:rsid w:val="002B5B43"/>
    <w:rPr>
      <w:rFonts w:ascii="Consolas" w:hAnsi="Consolas" w:cs="Consolas"/>
      <w:sz w:val="20"/>
      <w:szCs w:val="20"/>
    </w:rPr>
  </w:style>
  <w:style w:type="paragraph" w:styleId="HTMLPreformatted">
    <w:name w:val="HTML Preformatted"/>
    <w:basedOn w:val="Normal"/>
    <w:link w:val="HTMLPreformattedChar"/>
    <w:uiPriority w:val="98"/>
    <w:semiHidden/>
    <w:rsid w:val="002B5B43"/>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2B5B43"/>
    <w:rPr>
      <w:rFonts w:ascii="Consolas" w:hAnsi="Consolas" w:cs="Consolas"/>
      <w:sz w:val="20"/>
      <w:szCs w:val="20"/>
      <w:lang w:val="ro-RO"/>
    </w:rPr>
  </w:style>
  <w:style w:type="character" w:styleId="HTMLSample">
    <w:name w:val="HTML Sample"/>
    <w:basedOn w:val="DefaultParagraphFont"/>
    <w:uiPriority w:val="98"/>
    <w:semiHidden/>
    <w:rsid w:val="002B5B43"/>
    <w:rPr>
      <w:rFonts w:ascii="Consolas" w:hAnsi="Consolas" w:cs="Consolas"/>
      <w:sz w:val="24"/>
      <w:szCs w:val="24"/>
    </w:rPr>
  </w:style>
  <w:style w:type="character" w:styleId="HTMLTypewriter">
    <w:name w:val="HTML Typewriter"/>
    <w:basedOn w:val="DefaultParagraphFont"/>
    <w:uiPriority w:val="98"/>
    <w:semiHidden/>
    <w:rsid w:val="002B5B43"/>
    <w:rPr>
      <w:rFonts w:ascii="Consolas" w:hAnsi="Consolas" w:cs="Consolas"/>
      <w:sz w:val="20"/>
      <w:szCs w:val="20"/>
    </w:rPr>
  </w:style>
  <w:style w:type="character" w:styleId="HTMLVariable">
    <w:name w:val="HTML Variable"/>
    <w:basedOn w:val="DefaultParagraphFont"/>
    <w:uiPriority w:val="98"/>
    <w:semiHidden/>
    <w:rsid w:val="002B5B43"/>
    <w:rPr>
      <w:i/>
      <w:iCs/>
    </w:rPr>
  </w:style>
  <w:style w:type="paragraph" w:styleId="Index1">
    <w:name w:val="index 1"/>
    <w:basedOn w:val="Normal"/>
    <w:next w:val="Normal"/>
    <w:autoRedefine/>
    <w:uiPriority w:val="98"/>
    <w:semiHidden/>
    <w:rsid w:val="002B5B43"/>
    <w:pPr>
      <w:ind w:left="240" w:hanging="240"/>
    </w:pPr>
  </w:style>
  <w:style w:type="paragraph" w:styleId="Index2">
    <w:name w:val="index 2"/>
    <w:basedOn w:val="Normal"/>
    <w:next w:val="Normal"/>
    <w:autoRedefine/>
    <w:uiPriority w:val="98"/>
    <w:semiHidden/>
    <w:rsid w:val="002B5B43"/>
    <w:pPr>
      <w:ind w:left="480" w:hanging="240"/>
    </w:pPr>
  </w:style>
  <w:style w:type="paragraph" w:styleId="Index3">
    <w:name w:val="index 3"/>
    <w:basedOn w:val="Normal"/>
    <w:next w:val="Normal"/>
    <w:autoRedefine/>
    <w:uiPriority w:val="98"/>
    <w:semiHidden/>
    <w:rsid w:val="002B5B43"/>
    <w:pPr>
      <w:ind w:left="720" w:hanging="240"/>
    </w:pPr>
  </w:style>
  <w:style w:type="paragraph" w:styleId="Index4">
    <w:name w:val="index 4"/>
    <w:basedOn w:val="Normal"/>
    <w:next w:val="Normal"/>
    <w:autoRedefine/>
    <w:uiPriority w:val="98"/>
    <w:semiHidden/>
    <w:rsid w:val="002B5B43"/>
    <w:pPr>
      <w:ind w:left="960" w:hanging="240"/>
    </w:pPr>
  </w:style>
  <w:style w:type="paragraph" w:styleId="Index5">
    <w:name w:val="index 5"/>
    <w:basedOn w:val="Normal"/>
    <w:next w:val="Normal"/>
    <w:autoRedefine/>
    <w:uiPriority w:val="98"/>
    <w:semiHidden/>
    <w:rsid w:val="002B5B43"/>
    <w:pPr>
      <w:ind w:left="1200" w:hanging="240"/>
    </w:pPr>
  </w:style>
  <w:style w:type="paragraph" w:styleId="Index6">
    <w:name w:val="index 6"/>
    <w:basedOn w:val="Normal"/>
    <w:next w:val="Normal"/>
    <w:autoRedefine/>
    <w:uiPriority w:val="98"/>
    <w:semiHidden/>
    <w:rsid w:val="002B5B43"/>
    <w:pPr>
      <w:ind w:left="1440" w:hanging="240"/>
    </w:pPr>
  </w:style>
  <w:style w:type="paragraph" w:styleId="Index7">
    <w:name w:val="index 7"/>
    <w:basedOn w:val="Normal"/>
    <w:next w:val="Normal"/>
    <w:autoRedefine/>
    <w:uiPriority w:val="98"/>
    <w:semiHidden/>
    <w:rsid w:val="002B5B43"/>
    <w:pPr>
      <w:ind w:left="1680" w:hanging="240"/>
    </w:pPr>
  </w:style>
  <w:style w:type="paragraph" w:styleId="Index8">
    <w:name w:val="index 8"/>
    <w:basedOn w:val="Normal"/>
    <w:next w:val="Normal"/>
    <w:autoRedefine/>
    <w:uiPriority w:val="98"/>
    <w:semiHidden/>
    <w:rsid w:val="002B5B43"/>
    <w:pPr>
      <w:ind w:left="1920" w:hanging="240"/>
    </w:pPr>
  </w:style>
  <w:style w:type="paragraph" w:styleId="Index9">
    <w:name w:val="index 9"/>
    <w:basedOn w:val="Normal"/>
    <w:next w:val="Normal"/>
    <w:autoRedefine/>
    <w:uiPriority w:val="98"/>
    <w:semiHidden/>
    <w:rsid w:val="002B5B43"/>
    <w:pPr>
      <w:ind w:left="2160" w:hanging="240"/>
    </w:pPr>
  </w:style>
  <w:style w:type="paragraph" w:styleId="IndexHeading">
    <w:name w:val="index heading"/>
    <w:basedOn w:val="Normal"/>
    <w:next w:val="Index1"/>
    <w:uiPriority w:val="98"/>
    <w:semiHidden/>
    <w:rsid w:val="002B5B43"/>
    <w:rPr>
      <w:rFonts w:asciiTheme="majorHAnsi" w:eastAsiaTheme="majorEastAsia" w:hAnsiTheme="majorHAnsi" w:cstheme="majorBidi"/>
      <w:b/>
      <w:bCs/>
    </w:rPr>
  </w:style>
  <w:style w:type="table" w:styleId="LightGrid">
    <w:name w:val="Light Grid"/>
    <w:basedOn w:val="TableNormal"/>
    <w:uiPriority w:val="62"/>
    <w:semiHidden/>
    <w:rsid w:val="002B5B43"/>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2B5B43"/>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2B5B43"/>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2B5B43"/>
    <w:rPr>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insideH w:val="single" w:sz="8" w:space="0" w:color="595959" w:themeColor="accent3"/>
        <w:insideV w:val="single" w:sz="8" w:space="0" w:color="5959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95959" w:themeColor="accent3"/>
          <w:left w:val="single" w:sz="8" w:space="0" w:color="595959" w:themeColor="accent3"/>
          <w:bottom w:val="single" w:sz="18" w:space="0" w:color="595959" w:themeColor="accent3"/>
          <w:right w:val="single" w:sz="8" w:space="0" w:color="595959" w:themeColor="accent3"/>
          <w:insideH w:val="nil"/>
          <w:insideV w:val="single" w:sz="8" w:space="0" w:color="5959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95959" w:themeColor="accent3"/>
          <w:left w:val="single" w:sz="8" w:space="0" w:color="595959" w:themeColor="accent3"/>
          <w:bottom w:val="single" w:sz="8" w:space="0" w:color="595959" w:themeColor="accent3"/>
          <w:right w:val="single" w:sz="8" w:space="0" w:color="595959" w:themeColor="accent3"/>
          <w:insideH w:val="nil"/>
          <w:insideV w:val="single" w:sz="8" w:space="0" w:color="5959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tblStylePr w:type="band1Vert">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shd w:val="clear" w:color="auto" w:fill="D5D5D5" w:themeFill="accent3" w:themeFillTint="3F"/>
      </w:tcPr>
    </w:tblStylePr>
    <w:tblStylePr w:type="band1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insideV w:val="single" w:sz="8" w:space="0" w:color="595959" w:themeColor="accent3"/>
        </w:tcBorders>
        <w:shd w:val="clear" w:color="auto" w:fill="D5D5D5" w:themeFill="accent3" w:themeFillTint="3F"/>
      </w:tcPr>
    </w:tblStylePr>
    <w:tblStylePr w:type="band2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insideV w:val="single" w:sz="8" w:space="0" w:color="595959" w:themeColor="accent3"/>
        </w:tcBorders>
      </w:tcPr>
    </w:tblStylePr>
  </w:style>
  <w:style w:type="table" w:styleId="LightGrid-Accent4">
    <w:name w:val="Light Grid Accent 4"/>
    <w:basedOn w:val="TableNormal"/>
    <w:uiPriority w:val="62"/>
    <w:semiHidden/>
    <w:rsid w:val="002B5B43"/>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2B5B43"/>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2B5B43"/>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2B5B43"/>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2B5B43"/>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FFFFFF"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2B5B43"/>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FFFFFF"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2B5B43"/>
    <w:rPr>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tblBorders>
    </w:tblPr>
    <w:tblStylePr w:type="firstRow">
      <w:pPr>
        <w:spacing w:before="0" w:after="0" w:line="240" w:lineRule="auto"/>
      </w:pPr>
      <w:rPr>
        <w:b/>
        <w:bCs/>
        <w:color w:val="FFFFFF" w:themeColor="background1"/>
      </w:rPr>
      <w:tblPr/>
      <w:tcPr>
        <w:shd w:val="clear" w:color="auto" w:fill="595959" w:themeFill="accent3"/>
      </w:tcPr>
    </w:tblStylePr>
    <w:tblStylePr w:type="lastRow">
      <w:pPr>
        <w:spacing w:before="0" w:after="0" w:line="240" w:lineRule="auto"/>
      </w:pPr>
      <w:rPr>
        <w:b/>
        <w:bCs/>
      </w:rPr>
      <w:tblPr/>
      <w:tcPr>
        <w:tcBorders>
          <w:top w:val="double" w:sz="6" w:space="0" w:color="595959" w:themeColor="accent3"/>
          <w:left w:val="single" w:sz="8" w:space="0" w:color="595959" w:themeColor="accent3"/>
          <w:bottom w:val="single" w:sz="8" w:space="0" w:color="595959" w:themeColor="accent3"/>
          <w:right w:val="single" w:sz="8" w:space="0" w:color="595959" w:themeColor="accent3"/>
        </w:tcBorders>
      </w:tcPr>
    </w:tblStylePr>
    <w:tblStylePr w:type="firstCol">
      <w:rPr>
        <w:b/>
        <w:bCs/>
      </w:rPr>
    </w:tblStylePr>
    <w:tblStylePr w:type="lastCol">
      <w:rPr>
        <w:b/>
        <w:bCs/>
      </w:rPr>
    </w:tblStylePr>
    <w:tblStylePr w:type="band1Vert">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tblStylePr w:type="band1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style>
  <w:style w:type="table" w:styleId="LightList-Accent4">
    <w:name w:val="Light List Accent 4"/>
    <w:basedOn w:val="TableNormal"/>
    <w:uiPriority w:val="61"/>
    <w:semiHidden/>
    <w:rsid w:val="002B5B43"/>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FFFFFF"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2B5B43"/>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FFFFFF"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2B5B43"/>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FFFFFF"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2B5B43"/>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2B5B43"/>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2B5B43"/>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2B5B43"/>
    <w:rPr>
      <w:color w:val="424242" w:themeColor="accent3" w:themeShade="BF"/>
      <w:sz w:val="24"/>
      <w:szCs w:val="24"/>
    </w:rPr>
    <w:tblPr>
      <w:tblStyleRowBandSize w:val="1"/>
      <w:tblStyleColBandSize w:val="1"/>
      <w:tblBorders>
        <w:top w:val="single" w:sz="8" w:space="0" w:color="595959" w:themeColor="accent3"/>
        <w:bottom w:val="single" w:sz="8" w:space="0" w:color="595959" w:themeColor="accent3"/>
      </w:tblBorders>
    </w:tblPr>
    <w:tblStylePr w:type="firstRow">
      <w:pPr>
        <w:spacing w:before="0" w:after="0" w:line="240" w:lineRule="auto"/>
      </w:pPr>
      <w:rPr>
        <w:b/>
        <w:bCs/>
      </w:rPr>
      <w:tblPr/>
      <w:tcPr>
        <w:tcBorders>
          <w:top w:val="single" w:sz="8" w:space="0" w:color="595959" w:themeColor="accent3"/>
          <w:left w:val="nil"/>
          <w:bottom w:val="single" w:sz="8" w:space="0" w:color="595959" w:themeColor="accent3"/>
          <w:right w:val="nil"/>
          <w:insideH w:val="nil"/>
          <w:insideV w:val="nil"/>
        </w:tcBorders>
      </w:tcPr>
    </w:tblStylePr>
    <w:tblStylePr w:type="lastRow">
      <w:pPr>
        <w:spacing w:before="0" w:after="0" w:line="240" w:lineRule="auto"/>
      </w:pPr>
      <w:rPr>
        <w:b/>
        <w:bCs/>
      </w:rPr>
      <w:tblPr/>
      <w:tcPr>
        <w:tcBorders>
          <w:top w:val="single" w:sz="8" w:space="0" w:color="595959" w:themeColor="accent3"/>
          <w:left w:val="nil"/>
          <w:bottom w:val="single" w:sz="8" w:space="0" w:color="5959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5D5" w:themeFill="accent3" w:themeFillTint="3F"/>
      </w:tcPr>
    </w:tblStylePr>
    <w:tblStylePr w:type="band1Horz">
      <w:tblPr/>
      <w:tcPr>
        <w:tcBorders>
          <w:left w:val="nil"/>
          <w:right w:val="nil"/>
          <w:insideH w:val="nil"/>
          <w:insideV w:val="nil"/>
        </w:tcBorders>
        <w:shd w:val="clear" w:color="auto" w:fill="D5D5D5" w:themeFill="accent3" w:themeFillTint="3F"/>
      </w:tcPr>
    </w:tblStylePr>
  </w:style>
  <w:style w:type="table" w:styleId="LightShading-Accent4">
    <w:name w:val="Light Shading Accent 4"/>
    <w:basedOn w:val="TableNormal"/>
    <w:uiPriority w:val="60"/>
    <w:semiHidden/>
    <w:rsid w:val="002B5B43"/>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2B5B43"/>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2B5B43"/>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2B5B43"/>
  </w:style>
  <w:style w:type="paragraph" w:styleId="List">
    <w:name w:val="List"/>
    <w:basedOn w:val="Normal"/>
    <w:uiPriority w:val="98"/>
    <w:semiHidden/>
    <w:rsid w:val="002B5B43"/>
    <w:pPr>
      <w:ind w:left="283" w:hanging="283"/>
      <w:contextualSpacing/>
    </w:pPr>
  </w:style>
  <w:style w:type="paragraph" w:styleId="List2">
    <w:name w:val="List 2"/>
    <w:basedOn w:val="Normal"/>
    <w:uiPriority w:val="98"/>
    <w:semiHidden/>
    <w:rsid w:val="002B5B43"/>
    <w:pPr>
      <w:ind w:left="566" w:hanging="283"/>
      <w:contextualSpacing/>
    </w:pPr>
  </w:style>
  <w:style w:type="paragraph" w:styleId="List3">
    <w:name w:val="List 3"/>
    <w:basedOn w:val="Normal"/>
    <w:uiPriority w:val="98"/>
    <w:semiHidden/>
    <w:rsid w:val="002B5B43"/>
    <w:pPr>
      <w:ind w:left="849" w:hanging="283"/>
      <w:contextualSpacing/>
    </w:pPr>
  </w:style>
  <w:style w:type="paragraph" w:styleId="List4">
    <w:name w:val="List 4"/>
    <w:basedOn w:val="Normal"/>
    <w:uiPriority w:val="98"/>
    <w:semiHidden/>
    <w:rsid w:val="002B5B43"/>
    <w:pPr>
      <w:ind w:left="1132" w:hanging="283"/>
      <w:contextualSpacing/>
    </w:pPr>
  </w:style>
  <w:style w:type="paragraph" w:styleId="List5">
    <w:name w:val="List 5"/>
    <w:basedOn w:val="Normal"/>
    <w:uiPriority w:val="98"/>
    <w:semiHidden/>
    <w:rsid w:val="002B5B43"/>
    <w:pPr>
      <w:ind w:left="1415" w:hanging="283"/>
      <w:contextualSpacing/>
    </w:pPr>
  </w:style>
  <w:style w:type="paragraph" w:styleId="ListBullet2">
    <w:name w:val="List Bullet 2"/>
    <w:basedOn w:val="Normal"/>
    <w:uiPriority w:val="98"/>
    <w:semiHidden/>
    <w:rsid w:val="002B5B43"/>
    <w:pPr>
      <w:numPr>
        <w:numId w:val="12"/>
      </w:numPr>
      <w:contextualSpacing/>
    </w:pPr>
  </w:style>
  <w:style w:type="paragraph" w:styleId="ListBullet4">
    <w:name w:val="List Bullet 4"/>
    <w:basedOn w:val="Normal"/>
    <w:uiPriority w:val="98"/>
    <w:semiHidden/>
    <w:rsid w:val="002B5B43"/>
    <w:pPr>
      <w:numPr>
        <w:numId w:val="14"/>
      </w:numPr>
      <w:contextualSpacing/>
    </w:pPr>
  </w:style>
  <w:style w:type="paragraph" w:styleId="ListBullet5">
    <w:name w:val="List Bullet 5"/>
    <w:basedOn w:val="Normal"/>
    <w:uiPriority w:val="98"/>
    <w:semiHidden/>
    <w:rsid w:val="002B5B43"/>
    <w:pPr>
      <w:numPr>
        <w:numId w:val="15"/>
      </w:numPr>
      <w:contextualSpacing/>
    </w:pPr>
  </w:style>
  <w:style w:type="paragraph" w:styleId="ListContinue">
    <w:name w:val="List Continue"/>
    <w:basedOn w:val="Normal"/>
    <w:uiPriority w:val="98"/>
    <w:semiHidden/>
    <w:rsid w:val="002B5B43"/>
    <w:pPr>
      <w:spacing w:after="120"/>
      <w:ind w:left="283"/>
      <w:contextualSpacing/>
    </w:pPr>
  </w:style>
  <w:style w:type="paragraph" w:styleId="ListContinue2">
    <w:name w:val="List Continue 2"/>
    <w:basedOn w:val="Normal"/>
    <w:uiPriority w:val="98"/>
    <w:semiHidden/>
    <w:rsid w:val="002B5B43"/>
    <w:pPr>
      <w:spacing w:after="120"/>
      <w:ind w:left="566"/>
      <w:contextualSpacing/>
    </w:pPr>
  </w:style>
  <w:style w:type="paragraph" w:styleId="ListContinue3">
    <w:name w:val="List Continue 3"/>
    <w:basedOn w:val="Normal"/>
    <w:uiPriority w:val="98"/>
    <w:semiHidden/>
    <w:rsid w:val="002B5B43"/>
    <w:pPr>
      <w:spacing w:after="120"/>
      <w:ind w:left="849"/>
      <w:contextualSpacing/>
    </w:pPr>
  </w:style>
  <w:style w:type="paragraph" w:styleId="ListContinue4">
    <w:name w:val="List Continue 4"/>
    <w:basedOn w:val="Normal"/>
    <w:uiPriority w:val="98"/>
    <w:semiHidden/>
    <w:rsid w:val="002B5B43"/>
    <w:pPr>
      <w:spacing w:after="120"/>
      <w:ind w:left="1132"/>
      <w:contextualSpacing/>
    </w:pPr>
  </w:style>
  <w:style w:type="paragraph" w:styleId="ListContinue5">
    <w:name w:val="List Continue 5"/>
    <w:basedOn w:val="Normal"/>
    <w:uiPriority w:val="98"/>
    <w:semiHidden/>
    <w:rsid w:val="002B5B43"/>
    <w:pPr>
      <w:spacing w:after="120"/>
      <w:ind w:left="1415"/>
      <w:contextualSpacing/>
    </w:pPr>
  </w:style>
  <w:style w:type="paragraph" w:styleId="ListNumber">
    <w:name w:val="List Number"/>
    <w:basedOn w:val="Normal"/>
    <w:uiPriority w:val="98"/>
    <w:semiHidden/>
    <w:rsid w:val="002B5B43"/>
    <w:pPr>
      <w:numPr>
        <w:numId w:val="16"/>
      </w:numPr>
      <w:contextualSpacing/>
    </w:pPr>
  </w:style>
  <w:style w:type="paragraph" w:styleId="ListNumber2">
    <w:name w:val="List Number 2"/>
    <w:basedOn w:val="Normal"/>
    <w:uiPriority w:val="98"/>
    <w:semiHidden/>
    <w:rsid w:val="002B5B43"/>
    <w:pPr>
      <w:numPr>
        <w:numId w:val="17"/>
      </w:numPr>
      <w:contextualSpacing/>
    </w:pPr>
  </w:style>
  <w:style w:type="paragraph" w:styleId="ListNumber3">
    <w:name w:val="List Number 3"/>
    <w:basedOn w:val="Normal"/>
    <w:uiPriority w:val="98"/>
    <w:semiHidden/>
    <w:rsid w:val="002B5B43"/>
    <w:pPr>
      <w:numPr>
        <w:numId w:val="18"/>
      </w:numPr>
      <w:contextualSpacing/>
    </w:pPr>
  </w:style>
  <w:style w:type="paragraph" w:styleId="ListNumber4">
    <w:name w:val="List Number 4"/>
    <w:basedOn w:val="Normal"/>
    <w:uiPriority w:val="98"/>
    <w:semiHidden/>
    <w:rsid w:val="002B5B43"/>
    <w:pPr>
      <w:numPr>
        <w:numId w:val="19"/>
      </w:numPr>
      <w:contextualSpacing/>
    </w:pPr>
  </w:style>
  <w:style w:type="paragraph" w:styleId="ListNumber5">
    <w:name w:val="List Number 5"/>
    <w:basedOn w:val="Normal"/>
    <w:uiPriority w:val="98"/>
    <w:semiHidden/>
    <w:rsid w:val="002B5B43"/>
    <w:pPr>
      <w:numPr>
        <w:numId w:val="20"/>
      </w:numPr>
      <w:contextualSpacing/>
    </w:pPr>
  </w:style>
  <w:style w:type="paragraph" w:styleId="MacroText">
    <w:name w:val="macro"/>
    <w:link w:val="MacroTextChar"/>
    <w:uiPriority w:val="98"/>
    <w:semiHidden/>
    <w:rsid w:val="002B5B43"/>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2B5B43"/>
    <w:rPr>
      <w:rFonts w:ascii="Consolas" w:eastAsiaTheme="minorEastAsia" w:hAnsi="Consolas" w:cs="Consolas"/>
      <w:sz w:val="20"/>
      <w:szCs w:val="20"/>
    </w:rPr>
  </w:style>
  <w:style w:type="table" w:styleId="MediumGrid1">
    <w:name w:val="Medium Grid 1"/>
    <w:basedOn w:val="TableNormal"/>
    <w:uiPriority w:val="67"/>
    <w:semiHidden/>
    <w:rsid w:val="002B5B43"/>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2B5B43"/>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2B5B43"/>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2B5B43"/>
    <w:rPr>
      <w:sz w:val="24"/>
      <w:szCs w:val="24"/>
    </w:rPr>
    <w:tblPr>
      <w:tblStyleRowBandSize w:val="1"/>
      <w:tblStyleColBandSize w:val="1"/>
      <w:tbl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single" w:sz="8" w:space="0" w:color="828282" w:themeColor="accent3" w:themeTint="BF"/>
        <w:insideV w:val="single" w:sz="8" w:space="0" w:color="828282" w:themeColor="accent3" w:themeTint="BF"/>
      </w:tblBorders>
    </w:tblPr>
    <w:tcPr>
      <w:shd w:val="clear" w:color="auto" w:fill="D5D5D5" w:themeFill="accent3" w:themeFillTint="3F"/>
    </w:tcPr>
    <w:tblStylePr w:type="firstRow">
      <w:rPr>
        <w:b/>
        <w:bCs/>
      </w:rPr>
    </w:tblStylePr>
    <w:tblStylePr w:type="lastRow">
      <w:rPr>
        <w:b/>
        <w:bCs/>
      </w:rPr>
      <w:tblPr/>
      <w:tcPr>
        <w:tcBorders>
          <w:top w:val="single" w:sz="18" w:space="0" w:color="828282" w:themeColor="accent3" w:themeTint="BF"/>
        </w:tcBorders>
      </w:tcPr>
    </w:tblStylePr>
    <w:tblStylePr w:type="firstCol">
      <w:rPr>
        <w:b/>
        <w:bCs/>
      </w:rPr>
    </w:tblStylePr>
    <w:tblStylePr w:type="lastCol">
      <w:rPr>
        <w:b/>
        <w:bCs/>
      </w:rPr>
    </w:tblStylePr>
    <w:tblStylePr w:type="band1Vert">
      <w:tblPr/>
      <w:tcPr>
        <w:shd w:val="clear" w:color="auto" w:fill="ACACAC" w:themeFill="accent3" w:themeFillTint="7F"/>
      </w:tcPr>
    </w:tblStylePr>
    <w:tblStylePr w:type="band1Horz">
      <w:tblPr/>
      <w:tcPr>
        <w:shd w:val="clear" w:color="auto" w:fill="ACACAC" w:themeFill="accent3" w:themeFillTint="7F"/>
      </w:tcPr>
    </w:tblStylePr>
  </w:style>
  <w:style w:type="table" w:styleId="MediumGrid1-Accent4">
    <w:name w:val="Medium Grid 1 Accent 4"/>
    <w:basedOn w:val="TableNormal"/>
    <w:uiPriority w:val="67"/>
    <w:semiHidden/>
    <w:rsid w:val="002B5B43"/>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2B5B43"/>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2B5B43"/>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insideH w:val="single" w:sz="8" w:space="0" w:color="595959" w:themeColor="accent3"/>
        <w:insideV w:val="single" w:sz="8" w:space="0" w:color="595959" w:themeColor="accent3"/>
      </w:tblBorders>
    </w:tblPr>
    <w:tcPr>
      <w:shd w:val="clear" w:color="auto" w:fill="D5D5D5" w:themeFill="accent3" w:themeFillTint="3F"/>
    </w:tcPr>
    <w:tblStylePr w:type="firstRow">
      <w:rPr>
        <w:b/>
        <w:bCs/>
        <w:color w:val="000000" w:themeColor="text1"/>
      </w:rPr>
      <w:tblPr/>
      <w:tcPr>
        <w:shd w:val="clear" w:color="auto" w:fill="EEEE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DDDD" w:themeFill="accent3" w:themeFillTint="33"/>
      </w:tcPr>
    </w:tblStylePr>
    <w:tblStylePr w:type="band1Vert">
      <w:tblPr/>
      <w:tcPr>
        <w:shd w:val="clear" w:color="auto" w:fill="ACACAC" w:themeFill="accent3" w:themeFillTint="7F"/>
      </w:tcPr>
    </w:tblStylePr>
    <w:tblStylePr w:type="band1Horz">
      <w:tblPr/>
      <w:tcPr>
        <w:tcBorders>
          <w:insideH w:val="single" w:sz="6" w:space="0" w:color="595959" w:themeColor="accent3"/>
          <w:insideV w:val="single" w:sz="6" w:space="0" w:color="595959" w:themeColor="accent3"/>
        </w:tcBorders>
        <w:shd w:val="clear" w:color="auto" w:fill="ACAC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2B5B43"/>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2B5B43"/>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FDF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2B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2B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2B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2B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EBF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EBFFF" w:themeFill="accent1" w:themeFillTint="7F"/>
      </w:tcPr>
    </w:tblStylePr>
  </w:style>
  <w:style w:type="table" w:styleId="MediumGrid3-Accent2">
    <w:name w:val="Medium Grid 3 Accent 2"/>
    <w:basedOn w:val="TableNormal"/>
    <w:uiPriority w:val="69"/>
    <w:semiHidden/>
    <w:rsid w:val="002B5B43"/>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0B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00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00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00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00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06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060" w:themeFill="accent2" w:themeFillTint="7F"/>
      </w:tcPr>
    </w:tblStylePr>
  </w:style>
  <w:style w:type="table" w:styleId="MediumGrid3-Accent3">
    <w:name w:val="Medium Grid 3 Accent 3"/>
    <w:basedOn w:val="TableNormal"/>
    <w:uiPriority w:val="69"/>
    <w:semiHidden/>
    <w:rsid w:val="002B5B43"/>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5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959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959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959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959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CAC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CACAC" w:themeFill="accent3" w:themeFillTint="7F"/>
      </w:tcPr>
    </w:tblStylePr>
  </w:style>
  <w:style w:type="table" w:styleId="MediumGrid3-Accent4">
    <w:name w:val="Medium Grid 3 Accent 4"/>
    <w:basedOn w:val="TableNormal"/>
    <w:uiPriority w:val="69"/>
    <w:semiHidden/>
    <w:rsid w:val="002B5B43"/>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969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969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969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969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AC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ACA" w:themeFill="accent4" w:themeFillTint="7F"/>
      </w:tcPr>
    </w:tblStylePr>
  </w:style>
  <w:style w:type="table" w:styleId="MediumGrid3-Accent5">
    <w:name w:val="Medium Grid 3 Accent 5"/>
    <w:basedOn w:val="TableNormal"/>
    <w:uiPriority w:val="69"/>
    <w:semiHidden/>
    <w:rsid w:val="002B5B43"/>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D7D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F5F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F5F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AFA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AFAF" w:themeFill="accent5" w:themeFillTint="7F"/>
      </w:tcPr>
    </w:tblStylePr>
  </w:style>
  <w:style w:type="table" w:styleId="MediumGrid3-Accent6">
    <w:name w:val="Medium Grid 3 Accent 6"/>
    <w:basedOn w:val="TableNormal"/>
    <w:uiPriority w:val="69"/>
    <w:semiHidden/>
    <w:rsid w:val="002B5B43"/>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3D3"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4D4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4D4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A6A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A6A6" w:themeFill="accent6" w:themeFillTint="7F"/>
      </w:tcPr>
    </w:tblStylePr>
  </w:style>
  <w:style w:type="table" w:styleId="MediumList1">
    <w:name w:val="Medium List 1"/>
    <w:basedOn w:val="TableNormal"/>
    <w:uiPriority w:val="65"/>
    <w:semiHidden/>
    <w:rsid w:val="002B5B43"/>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0B0B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2B5B43"/>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B0B0B0"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2B5B43"/>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B0B0B0"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2B5B43"/>
    <w:rPr>
      <w:color w:val="000000" w:themeColor="text1"/>
      <w:sz w:val="24"/>
      <w:szCs w:val="24"/>
    </w:rPr>
    <w:tblPr>
      <w:tblStyleRowBandSize w:val="1"/>
      <w:tblStyleColBandSize w:val="1"/>
      <w:tblBorders>
        <w:top w:val="single" w:sz="8" w:space="0" w:color="595959" w:themeColor="accent3"/>
        <w:bottom w:val="single" w:sz="8" w:space="0" w:color="595959" w:themeColor="accent3"/>
      </w:tblBorders>
    </w:tblPr>
    <w:tblStylePr w:type="firstRow">
      <w:rPr>
        <w:rFonts w:asciiTheme="majorHAnsi" w:eastAsiaTheme="majorEastAsia" w:hAnsiTheme="majorHAnsi" w:cstheme="majorBidi"/>
      </w:rPr>
      <w:tblPr/>
      <w:tcPr>
        <w:tcBorders>
          <w:top w:val="nil"/>
          <w:bottom w:val="single" w:sz="8" w:space="0" w:color="595959" w:themeColor="accent3"/>
        </w:tcBorders>
      </w:tcPr>
    </w:tblStylePr>
    <w:tblStylePr w:type="lastRow">
      <w:rPr>
        <w:b/>
        <w:bCs/>
        <w:color w:val="B0B0B0" w:themeColor="text2"/>
      </w:rPr>
      <w:tblPr/>
      <w:tcPr>
        <w:tcBorders>
          <w:top w:val="single" w:sz="8" w:space="0" w:color="595959" w:themeColor="accent3"/>
          <w:bottom w:val="single" w:sz="8" w:space="0" w:color="595959" w:themeColor="accent3"/>
        </w:tcBorders>
      </w:tcPr>
    </w:tblStylePr>
    <w:tblStylePr w:type="firstCol">
      <w:rPr>
        <w:b/>
        <w:bCs/>
      </w:rPr>
    </w:tblStylePr>
    <w:tblStylePr w:type="lastCol">
      <w:rPr>
        <w:b/>
        <w:bCs/>
      </w:rPr>
      <w:tblPr/>
      <w:tcPr>
        <w:tcBorders>
          <w:top w:val="single" w:sz="8" w:space="0" w:color="595959" w:themeColor="accent3"/>
          <w:bottom w:val="single" w:sz="8" w:space="0" w:color="595959" w:themeColor="accent3"/>
        </w:tcBorders>
      </w:tcPr>
    </w:tblStylePr>
    <w:tblStylePr w:type="band1Vert">
      <w:tblPr/>
      <w:tcPr>
        <w:shd w:val="clear" w:color="auto" w:fill="D5D5D5" w:themeFill="accent3" w:themeFillTint="3F"/>
      </w:tcPr>
    </w:tblStylePr>
    <w:tblStylePr w:type="band1Horz">
      <w:tblPr/>
      <w:tcPr>
        <w:shd w:val="clear" w:color="auto" w:fill="D5D5D5" w:themeFill="accent3" w:themeFillTint="3F"/>
      </w:tcPr>
    </w:tblStylePr>
  </w:style>
  <w:style w:type="table" w:styleId="MediumList1-Accent4">
    <w:name w:val="Medium List 1 Accent 4"/>
    <w:basedOn w:val="TableNormal"/>
    <w:uiPriority w:val="65"/>
    <w:semiHidden/>
    <w:rsid w:val="002B5B43"/>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B0B0B0"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2B5B43"/>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B0B0B0"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2B5B43"/>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B0B0B0"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FFFFFF" w:themeFill="background1"/>
      </w:tcPr>
    </w:tblStylePr>
    <w:tblStylePr w:type="lastRow">
      <w:tblPr/>
      <w:tcPr>
        <w:tcBorders>
          <w:top w:val="single" w:sz="8" w:space="0" w:color="0072BC"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2BC" w:themeColor="accent1"/>
          <w:insideH w:val="nil"/>
          <w:insideV w:val="nil"/>
        </w:tcBorders>
        <w:shd w:val="clear" w:color="auto" w:fill="FFFFFF" w:themeFill="background1"/>
      </w:tcPr>
    </w:tblStylePr>
    <w:tblStylePr w:type="lastCol">
      <w:tblPr/>
      <w:tcPr>
        <w:tcBorders>
          <w:top w:val="nil"/>
          <w:left w:val="single" w:sz="8" w:space="0" w:color="0072B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tblPr/>
      <w:tcPr>
        <w:tcBorders>
          <w:top w:val="single" w:sz="8" w:space="0" w:color="C0000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0000" w:themeColor="accent2"/>
          <w:insideH w:val="nil"/>
          <w:insideV w:val="nil"/>
        </w:tcBorders>
        <w:shd w:val="clear" w:color="auto" w:fill="FFFFFF" w:themeFill="background1"/>
      </w:tcPr>
    </w:tblStylePr>
    <w:tblStylePr w:type="lastCol">
      <w:tblPr/>
      <w:tcPr>
        <w:tcBorders>
          <w:top w:val="nil"/>
          <w:left w:val="single" w:sz="8" w:space="0" w:color="C000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tblBorders>
    </w:tblPr>
    <w:tblStylePr w:type="firstRow">
      <w:rPr>
        <w:sz w:val="24"/>
        <w:szCs w:val="24"/>
      </w:rPr>
      <w:tblPr/>
      <w:tcPr>
        <w:tcBorders>
          <w:top w:val="nil"/>
          <w:left w:val="nil"/>
          <w:bottom w:val="single" w:sz="24" w:space="0" w:color="595959" w:themeColor="accent3"/>
          <w:right w:val="nil"/>
          <w:insideH w:val="nil"/>
          <w:insideV w:val="nil"/>
        </w:tcBorders>
        <w:shd w:val="clear" w:color="auto" w:fill="FFFFFF" w:themeFill="background1"/>
      </w:tcPr>
    </w:tblStylePr>
    <w:tblStylePr w:type="lastRow">
      <w:tblPr/>
      <w:tcPr>
        <w:tcBorders>
          <w:top w:val="single" w:sz="8" w:space="0" w:color="5959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95959" w:themeColor="accent3"/>
          <w:insideH w:val="nil"/>
          <w:insideV w:val="nil"/>
        </w:tcBorders>
        <w:shd w:val="clear" w:color="auto" w:fill="FFFFFF" w:themeFill="background1"/>
      </w:tcPr>
    </w:tblStylePr>
    <w:tblStylePr w:type="lastCol">
      <w:tblPr/>
      <w:tcPr>
        <w:tcBorders>
          <w:top w:val="nil"/>
          <w:left w:val="single" w:sz="8" w:space="0" w:color="5959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5D5" w:themeFill="accent3" w:themeFillTint="3F"/>
      </w:tcPr>
    </w:tblStylePr>
    <w:tblStylePr w:type="band1Horz">
      <w:tblPr/>
      <w:tcPr>
        <w:tcBorders>
          <w:top w:val="nil"/>
          <w:bottom w:val="nil"/>
          <w:insideH w:val="nil"/>
          <w:insideV w:val="nil"/>
        </w:tcBorders>
        <w:shd w:val="clear" w:color="auto" w:fill="D5D5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FFFFFF" w:themeFill="background1"/>
      </w:tcPr>
    </w:tblStylePr>
    <w:tblStylePr w:type="lastRow">
      <w:tblPr/>
      <w:tcPr>
        <w:tcBorders>
          <w:top w:val="single" w:sz="8" w:space="0" w:color="96969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9696" w:themeColor="accent4"/>
          <w:insideH w:val="nil"/>
          <w:insideV w:val="nil"/>
        </w:tcBorders>
        <w:shd w:val="clear" w:color="auto" w:fill="FFFFFF" w:themeFill="background1"/>
      </w:tcPr>
    </w:tblStylePr>
    <w:tblStylePr w:type="lastCol">
      <w:tblPr/>
      <w:tcPr>
        <w:tcBorders>
          <w:top w:val="nil"/>
          <w:left w:val="single" w:sz="8" w:space="0" w:color="96969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tblPr/>
      <w:tcPr>
        <w:tcBorders>
          <w:top w:val="single" w:sz="8" w:space="0" w:color="5F5F5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5F5F" w:themeColor="accent5"/>
          <w:insideH w:val="nil"/>
          <w:insideV w:val="nil"/>
        </w:tcBorders>
        <w:shd w:val="clear" w:color="auto" w:fill="FFFFFF" w:themeFill="background1"/>
      </w:tcPr>
    </w:tblStylePr>
    <w:tblStylePr w:type="lastCol">
      <w:tblPr/>
      <w:tcPr>
        <w:tcBorders>
          <w:top w:val="nil"/>
          <w:left w:val="single" w:sz="8" w:space="0" w:color="5F5F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tblPr/>
      <w:tcPr>
        <w:tcBorders>
          <w:top w:val="single" w:sz="8" w:space="0" w:color="4D4D4D"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4D4D" w:themeColor="accent6"/>
          <w:insideH w:val="nil"/>
          <w:insideV w:val="nil"/>
        </w:tcBorders>
        <w:shd w:val="clear" w:color="auto" w:fill="FFFFFF" w:themeFill="background1"/>
      </w:tcPr>
    </w:tblStylePr>
    <w:tblStylePr w:type="lastCol">
      <w:tblPr/>
      <w:tcPr>
        <w:tcBorders>
          <w:top w:val="nil"/>
          <w:left w:val="single" w:sz="8" w:space="0" w:color="4D4D4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2B5B43"/>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2B5B43"/>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FFFFFF"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2B5B43"/>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FFFFFF"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2B5B43"/>
    <w:rPr>
      <w:sz w:val="24"/>
      <w:szCs w:val="24"/>
    </w:rPr>
    <w:tblPr>
      <w:tblStyleRowBandSize w:val="1"/>
      <w:tblStyleColBandSize w:val="1"/>
      <w:tbl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single" w:sz="8" w:space="0" w:color="828282" w:themeColor="accent3" w:themeTint="BF"/>
      </w:tblBorders>
    </w:tblPr>
    <w:tblStylePr w:type="firstRow">
      <w:pPr>
        <w:spacing w:before="0" w:after="0" w:line="240" w:lineRule="auto"/>
      </w:pPr>
      <w:rPr>
        <w:b/>
        <w:bCs/>
        <w:color w:val="FFFFFF" w:themeColor="background1"/>
      </w:rPr>
      <w:tblPr/>
      <w:tcPr>
        <w:tc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nil"/>
          <w:insideV w:val="nil"/>
        </w:tcBorders>
        <w:shd w:val="clear" w:color="auto" w:fill="595959" w:themeFill="accent3"/>
      </w:tcPr>
    </w:tblStylePr>
    <w:tblStylePr w:type="lastRow">
      <w:pPr>
        <w:spacing w:before="0" w:after="0" w:line="240" w:lineRule="auto"/>
      </w:pPr>
      <w:rPr>
        <w:b/>
        <w:bCs/>
      </w:rPr>
      <w:tblPr/>
      <w:tcPr>
        <w:tcBorders>
          <w:top w:val="double" w:sz="6"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5D5" w:themeFill="accent3" w:themeFillTint="3F"/>
      </w:tcPr>
    </w:tblStylePr>
    <w:tblStylePr w:type="band1Horz">
      <w:tblPr/>
      <w:tcPr>
        <w:tcBorders>
          <w:insideH w:val="nil"/>
          <w:insideV w:val="nil"/>
        </w:tcBorders>
        <w:shd w:val="clear" w:color="auto" w:fill="D5D5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2B5B43"/>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FFFFFF"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2B5B43"/>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FFFFFF"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2B5B43"/>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FFFFFF"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2B5B4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2B5B4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FFFFFF"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2B5B4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FFFFFF"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2B5B4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959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95959" w:themeFill="accent3"/>
      </w:tcPr>
    </w:tblStylePr>
    <w:tblStylePr w:type="lastCol">
      <w:rPr>
        <w:b/>
        <w:bCs/>
        <w:color w:val="FFFFFF" w:themeColor="background1"/>
      </w:rPr>
      <w:tblPr/>
      <w:tcPr>
        <w:tcBorders>
          <w:left w:val="nil"/>
          <w:right w:val="nil"/>
          <w:insideH w:val="nil"/>
          <w:insideV w:val="nil"/>
        </w:tcBorders>
        <w:shd w:val="clear" w:color="auto" w:fill="5959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2B5B4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FFFFFF"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2B5B4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FFFFFF"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2B5B4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FFFFFF"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2B5B4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2B5B43"/>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2B5B43"/>
    <w:rPr>
      <w:rFonts w:ascii="Times New Roman" w:hAnsi="Times New Roman" w:cs="Times New Roman"/>
    </w:rPr>
  </w:style>
  <w:style w:type="paragraph" w:styleId="NormalIndent">
    <w:name w:val="Normal Indent"/>
    <w:basedOn w:val="Normal"/>
    <w:uiPriority w:val="98"/>
    <w:semiHidden/>
    <w:rsid w:val="002B5B43"/>
    <w:pPr>
      <w:ind w:left="720"/>
    </w:pPr>
  </w:style>
  <w:style w:type="paragraph" w:styleId="NoteHeading">
    <w:name w:val="Note Heading"/>
    <w:basedOn w:val="Normal"/>
    <w:next w:val="Normal"/>
    <w:link w:val="NoteHeadingChar"/>
    <w:uiPriority w:val="98"/>
    <w:semiHidden/>
    <w:rsid w:val="002B5B43"/>
  </w:style>
  <w:style w:type="character" w:customStyle="1" w:styleId="NoteHeadingChar">
    <w:name w:val="Note Heading Char"/>
    <w:basedOn w:val="DefaultParagraphFont"/>
    <w:link w:val="NoteHeading"/>
    <w:uiPriority w:val="98"/>
    <w:semiHidden/>
    <w:rsid w:val="002B5B43"/>
    <w:rPr>
      <w:sz w:val="24"/>
      <w:szCs w:val="24"/>
      <w:lang w:val="ro-RO"/>
    </w:rPr>
  </w:style>
  <w:style w:type="character" w:styleId="PlaceholderText">
    <w:name w:val="Placeholder Text"/>
    <w:basedOn w:val="DefaultParagraphFont"/>
    <w:uiPriority w:val="98"/>
    <w:semiHidden/>
    <w:rsid w:val="002B5B43"/>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2B5B43"/>
    <w:rPr>
      <w:rFonts w:ascii="Consolas" w:hAnsi="Consolas" w:cs="Consolas"/>
      <w:sz w:val="21"/>
      <w:szCs w:val="21"/>
    </w:rPr>
  </w:style>
  <w:style w:type="character" w:customStyle="1" w:styleId="PlainTextChar">
    <w:name w:val="Plain Text Char"/>
    <w:basedOn w:val="DefaultParagraphFont"/>
    <w:link w:val="PlainText"/>
    <w:uiPriority w:val="98"/>
    <w:semiHidden/>
    <w:rsid w:val="002B5B43"/>
    <w:rPr>
      <w:rFonts w:ascii="Consolas" w:hAnsi="Consolas" w:cs="Consolas"/>
      <w:sz w:val="21"/>
      <w:szCs w:val="21"/>
      <w:lang w:val="ro-RO"/>
    </w:rPr>
  </w:style>
  <w:style w:type="paragraph" w:styleId="Salutation">
    <w:name w:val="Salutation"/>
    <w:basedOn w:val="Normal"/>
    <w:next w:val="Normal"/>
    <w:link w:val="SalutationChar"/>
    <w:uiPriority w:val="98"/>
    <w:semiHidden/>
    <w:rsid w:val="002B5B43"/>
  </w:style>
  <w:style w:type="character" w:customStyle="1" w:styleId="SalutationChar">
    <w:name w:val="Salutation Char"/>
    <w:basedOn w:val="DefaultParagraphFont"/>
    <w:link w:val="Salutation"/>
    <w:uiPriority w:val="98"/>
    <w:semiHidden/>
    <w:rsid w:val="002B5B43"/>
    <w:rPr>
      <w:sz w:val="24"/>
      <w:szCs w:val="24"/>
      <w:lang w:val="ro-RO"/>
    </w:rPr>
  </w:style>
  <w:style w:type="paragraph" w:styleId="Signature">
    <w:name w:val="Signature"/>
    <w:basedOn w:val="Normal"/>
    <w:link w:val="SignatureChar"/>
    <w:uiPriority w:val="98"/>
    <w:semiHidden/>
    <w:rsid w:val="002B5B43"/>
    <w:pPr>
      <w:ind w:left="4252"/>
    </w:pPr>
  </w:style>
  <w:style w:type="character" w:customStyle="1" w:styleId="SignatureChar">
    <w:name w:val="Signature Char"/>
    <w:basedOn w:val="DefaultParagraphFont"/>
    <w:link w:val="Signature"/>
    <w:uiPriority w:val="98"/>
    <w:semiHidden/>
    <w:rsid w:val="002B5B43"/>
    <w:rPr>
      <w:sz w:val="24"/>
      <w:szCs w:val="24"/>
      <w:lang w:val="ro-RO"/>
    </w:rPr>
  </w:style>
  <w:style w:type="table" w:styleId="Table3Deffects1">
    <w:name w:val="Table 3D effects 1"/>
    <w:basedOn w:val="TableNormal"/>
    <w:uiPriority w:val="99"/>
    <w:semiHidden/>
    <w:unhideWhenUsed/>
    <w:rsid w:val="002B5B43"/>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B5B43"/>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B5B43"/>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B5B43"/>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B5B43"/>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B5B43"/>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B5B43"/>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B5B43"/>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B5B43"/>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B5B43"/>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B5B43"/>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B5B43"/>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B5B43"/>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B5B43"/>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B5B43"/>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B5B43"/>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B5B43"/>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B5B43"/>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B5B43"/>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B5B43"/>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B5B43"/>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B5B43"/>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B5B43"/>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B5B43"/>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B5B43"/>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B5B43"/>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B5B43"/>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B5B43"/>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B5B43"/>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B5B43"/>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B5B43"/>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B5B43"/>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B5B43"/>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2B5B43"/>
    <w:pPr>
      <w:ind w:left="240" w:hanging="240"/>
    </w:pPr>
  </w:style>
  <w:style w:type="paragraph" w:styleId="TableofFigures">
    <w:name w:val="table of figures"/>
    <w:basedOn w:val="Normal"/>
    <w:next w:val="Normal"/>
    <w:uiPriority w:val="98"/>
    <w:semiHidden/>
    <w:rsid w:val="002B5B43"/>
  </w:style>
  <w:style w:type="table" w:styleId="TableProfessional">
    <w:name w:val="Table Professional"/>
    <w:basedOn w:val="TableNormal"/>
    <w:uiPriority w:val="99"/>
    <w:semiHidden/>
    <w:unhideWhenUsed/>
    <w:rsid w:val="002B5B43"/>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B5B43"/>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B5B43"/>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B5B43"/>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B5B43"/>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B5B43"/>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B5B43"/>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B5B43"/>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B5B43"/>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B5B43"/>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2B5B43"/>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2B5B43"/>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2B5B43"/>
    <w:pPr>
      <w:spacing w:after="100"/>
      <w:ind w:left="1680"/>
    </w:pPr>
  </w:style>
  <w:style w:type="paragraph" w:styleId="TOC9">
    <w:name w:val="toc 9"/>
    <w:basedOn w:val="Normal"/>
    <w:next w:val="Normal"/>
    <w:autoRedefine/>
    <w:uiPriority w:val="98"/>
    <w:semiHidden/>
    <w:rsid w:val="002B5B43"/>
    <w:pPr>
      <w:spacing w:after="100"/>
      <w:ind w:left="1920"/>
    </w:pPr>
  </w:style>
  <w:style w:type="paragraph" w:customStyle="1" w:styleId="ECHRFooter">
    <w:name w:val="ECHR_Footer"/>
    <w:aliases w:val="Footer_ECHR"/>
    <w:basedOn w:val="Footer0"/>
    <w:uiPriority w:val="57"/>
    <w:semiHidden/>
    <w:rsid w:val="0064393B"/>
    <w:rPr>
      <w:sz w:val="8"/>
    </w:rPr>
  </w:style>
  <w:style w:type="paragraph" w:customStyle="1" w:styleId="ECHRFooterLine">
    <w:name w:val="ECHR_Footer_Line"/>
    <w:aliases w:val="_Footer_Line"/>
    <w:basedOn w:val="Normal"/>
    <w:next w:val="Normal"/>
    <w:uiPriority w:val="30"/>
    <w:semiHidden/>
    <w:rsid w:val="002B5B43"/>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2B5B43"/>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2B5B43"/>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rsid w:val="002B5B43"/>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2B5B43"/>
    <w:pPr>
      <w:numPr>
        <w:numId w:val="7"/>
      </w:numPr>
      <w:spacing w:before="60" w:after="60"/>
    </w:pPr>
  </w:style>
  <w:style w:type="paragraph" w:customStyle="1" w:styleId="ECHRBullet2">
    <w:name w:val="ECHR_Bullet_2"/>
    <w:aliases w:val="_Bul_2"/>
    <w:basedOn w:val="ECHRBullet1"/>
    <w:uiPriority w:val="23"/>
    <w:semiHidden/>
    <w:rsid w:val="002B5B43"/>
    <w:pPr>
      <w:numPr>
        <w:ilvl w:val="1"/>
      </w:numPr>
    </w:pPr>
  </w:style>
  <w:style w:type="paragraph" w:customStyle="1" w:styleId="ECHRBullet3">
    <w:name w:val="ECHR_Bullet_3"/>
    <w:aliases w:val="_Bul_3"/>
    <w:basedOn w:val="ECHRBullet2"/>
    <w:uiPriority w:val="23"/>
    <w:semiHidden/>
    <w:rsid w:val="002B5B43"/>
    <w:pPr>
      <w:numPr>
        <w:ilvl w:val="2"/>
      </w:numPr>
    </w:pPr>
  </w:style>
  <w:style w:type="paragraph" w:customStyle="1" w:styleId="ECHRBullet4">
    <w:name w:val="ECHR_Bullet_4"/>
    <w:aliases w:val="_Bul_4"/>
    <w:basedOn w:val="ECHRBullet3"/>
    <w:uiPriority w:val="23"/>
    <w:semiHidden/>
    <w:rsid w:val="002B5B43"/>
    <w:pPr>
      <w:numPr>
        <w:ilvl w:val="3"/>
      </w:numPr>
    </w:pPr>
  </w:style>
  <w:style w:type="paragraph" w:customStyle="1" w:styleId="ECHRConfidential">
    <w:name w:val="ECHR_Confidential"/>
    <w:aliases w:val="_Confidential"/>
    <w:basedOn w:val="Normal"/>
    <w:next w:val="Normal"/>
    <w:uiPriority w:val="42"/>
    <w:semiHidden/>
    <w:qFormat/>
    <w:rsid w:val="002B5B43"/>
    <w:pPr>
      <w:jc w:val="right"/>
    </w:pPr>
    <w:rPr>
      <w:color w:val="C00000"/>
      <w:sz w:val="20"/>
    </w:rPr>
  </w:style>
  <w:style w:type="paragraph" w:customStyle="1" w:styleId="ECHRDecisionBody">
    <w:name w:val="ECHR_Decision_Body"/>
    <w:aliases w:val="_Decision_Body"/>
    <w:basedOn w:val="NormalJustified"/>
    <w:uiPriority w:val="54"/>
    <w:semiHidden/>
    <w:rsid w:val="002B5B43"/>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2B5B43"/>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2B5B43"/>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30"/>
    <w:semiHidden/>
    <w:rsid w:val="002B5B43"/>
    <w:pPr>
      <w:pBdr>
        <w:top w:val="single" w:sz="8" w:space="1" w:color="7F7F7F" w:themeColor="text1" w:themeTint="80"/>
      </w:pBdr>
      <w:tabs>
        <w:tab w:val="center" w:pos="6146"/>
        <w:tab w:val="right" w:pos="12293"/>
      </w:tabs>
      <w:ind w:left="-1474" w:right="-1474"/>
    </w:pPr>
    <w:rPr>
      <w:color w:val="424242" w:themeColor="accent3" w:themeShade="BF"/>
      <w:sz w:val="22"/>
    </w:rPr>
  </w:style>
  <w:style w:type="paragraph" w:customStyle="1" w:styleId="ECHRHeaderDate">
    <w:name w:val="ECHR_Header_Date"/>
    <w:aliases w:val="_Ref_Date"/>
    <w:basedOn w:val="Normal"/>
    <w:uiPriority w:val="44"/>
    <w:semiHidden/>
    <w:qFormat/>
    <w:rsid w:val="002B5B43"/>
    <w:pPr>
      <w:jc w:val="right"/>
    </w:pPr>
    <w:rPr>
      <w:sz w:val="20"/>
    </w:rPr>
  </w:style>
  <w:style w:type="paragraph" w:customStyle="1" w:styleId="ECHRHeaderRefIt">
    <w:name w:val="ECHR_Header_Ref_It"/>
    <w:aliases w:val="_Ref_Ital"/>
    <w:basedOn w:val="Normal"/>
    <w:next w:val="ECHRHeaderDate"/>
    <w:uiPriority w:val="43"/>
    <w:qFormat/>
    <w:rsid w:val="002B5B43"/>
    <w:pPr>
      <w:jc w:val="right"/>
    </w:pPr>
    <w:rPr>
      <w:i/>
      <w:sz w:val="20"/>
    </w:rPr>
  </w:style>
  <w:style w:type="paragraph" w:customStyle="1" w:styleId="ECHRHeading9">
    <w:name w:val="ECHR_Heading_9"/>
    <w:aliases w:val="_Head_9"/>
    <w:basedOn w:val="Heading9"/>
    <w:uiPriority w:val="17"/>
    <w:semiHidden/>
    <w:rsid w:val="002B5B43"/>
    <w:pPr>
      <w:keepNext/>
      <w:keepLines/>
      <w:numPr>
        <w:ilvl w:val="8"/>
        <w:numId w:val="9"/>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2B5B43"/>
    <w:pPr>
      <w:pBdr>
        <w:bottom w:val="single" w:sz="12" w:space="1" w:color="838383"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2B5B43"/>
    <w:pPr>
      <w:numPr>
        <w:numId w:val="8"/>
      </w:numPr>
      <w:spacing w:before="60" w:after="60"/>
    </w:pPr>
  </w:style>
  <w:style w:type="paragraph" w:customStyle="1" w:styleId="ECHRNumberedList2">
    <w:name w:val="ECHR_Numbered_List_2"/>
    <w:aliases w:val="_Num_2"/>
    <w:basedOn w:val="ECHRNumberedList1"/>
    <w:uiPriority w:val="23"/>
    <w:semiHidden/>
    <w:rsid w:val="002B5B43"/>
    <w:pPr>
      <w:numPr>
        <w:ilvl w:val="1"/>
      </w:numPr>
    </w:pPr>
  </w:style>
  <w:style w:type="paragraph" w:customStyle="1" w:styleId="ECHRNumberedList3">
    <w:name w:val="ECHR_Numbered_List_3"/>
    <w:aliases w:val="_Num_3"/>
    <w:basedOn w:val="ECHRNumberedList2"/>
    <w:uiPriority w:val="23"/>
    <w:semiHidden/>
    <w:rsid w:val="002B5B43"/>
    <w:pPr>
      <w:numPr>
        <w:ilvl w:val="2"/>
      </w:numPr>
    </w:pPr>
  </w:style>
  <w:style w:type="paragraph" w:customStyle="1" w:styleId="ECHRParaHanging">
    <w:name w:val="ECHR_Para_Hanging"/>
    <w:aliases w:val="_Hanging"/>
    <w:basedOn w:val="NormalJustified"/>
    <w:uiPriority w:val="8"/>
    <w:semiHidden/>
    <w:qFormat/>
    <w:rsid w:val="002B5B43"/>
    <w:pPr>
      <w:ind w:left="567" w:hanging="567"/>
    </w:pPr>
  </w:style>
  <w:style w:type="paragraph" w:customStyle="1" w:styleId="ECHRParaIndent">
    <w:name w:val="ECHR_Para_Indent"/>
    <w:aliases w:val="_Indent"/>
    <w:basedOn w:val="NormalJustified"/>
    <w:uiPriority w:val="7"/>
    <w:semiHidden/>
    <w:qFormat/>
    <w:rsid w:val="002B5B43"/>
    <w:pPr>
      <w:spacing w:before="120" w:after="120"/>
      <w:ind w:left="284"/>
    </w:pPr>
  </w:style>
  <w:style w:type="character" w:customStyle="1" w:styleId="ECHRRed">
    <w:name w:val="ECHR_Red"/>
    <w:aliases w:val="_Red"/>
    <w:basedOn w:val="DefaultParagraphFont"/>
    <w:uiPriority w:val="15"/>
    <w:semiHidden/>
    <w:qFormat/>
    <w:rsid w:val="002B5B43"/>
    <w:rPr>
      <w:color w:val="C00000" w:themeColor="accent2"/>
    </w:rPr>
  </w:style>
  <w:style w:type="paragraph" w:customStyle="1" w:styleId="DecList">
    <w:name w:val="Dec_List"/>
    <w:aliases w:val="_List"/>
    <w:basedOn w:val="JuList"/>
    <w:uiPriority w:val="22"/>
    <w:rsid w:val="002B5B43"/>
    <w:pPr>
      <w:numPr>
        <w:numId w:val="0"/>
      </w:numPr>
      <w:ind w:left="284"/>
    </w:pPr>
  </w:style>
  <w:style w:type="table" w:customStyle="1" w:styleId="ECHRTable2">
    <w:name w:val="ECHR_Table_2"/>
    <w:basedOn w:val="TableNormal"/>
    <w:uiPriority w:val="99"/>
    <w:rsid w:val="002B5B43"/>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2B5B43"/>
    <w:rPr>
      <w:sz w:val="24"/>
      <w:szCs w:val="24"/>
    </w:rPr>
    <w:tblPr>
      <w:tblStyleRowBandSize w:val="1"/>
      <w:tblStyleColBandSize w:val="1"/>
      <w:jc w:val="center"/>
      <w:tbl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F8F8F8" w:themeColor="background2"/>
          <w:tl2br w:val="nil"/>
          <w:tr2bl w:val="nil"/>
        </w:tcBorders>
        <w:shd w:val="clear" w:color="auto" w:fill="595959" w:themeFill="accent3"/>
      </w:tcPr>
    </w:tblStylePr>
    <w:tblStylePr w:type="lastRow">
      <w:rPr>
        <w:b/>
        <w:i w:val="0"/>
      </w:rPr>
      <w:tblPr/>
      <w:tcPr>
        <w:tcBorders>
          <w:top w:val="single" w:sz="8" w:space="0" w:color="595959" w:themeColor="accent3"/>
          <w:left w:val="single" w:sz="4" w:space="0" w:color="595959" w:themeColor="accent3"/>
          <w:bottom w:val="single" w:sz="8" w:space="0" w:color="595959" w:themeColor="accent3"/>
          <w:right w:val="single" w:sz="4" w:space="0" w:color="595959" w:themeColor="accent3"/>
          <w:insideH w:val="nil"/>
          <w:insideV w:val="single" w:sz="4" w:space="0" w:color="595959"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DFDFDF" w:themeFill="text2" w:themeFillTint="66"/>
      </w:tcPr>
    </w:tblStylePr>
    <w:tblStylePr w:type="lastCol">
      <w:rPr>
        <w:b/>
        <w:i w:val="0"/>
      </w:rPr>
    </w:tblStylePr>
    <w:tblStylePr w:type="band2Vert">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DFDFDF"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DFDFDF" w:themeFill="text2" w:themeFillTint="66"/>
      </w:tcPr>
    </w:tblStylePr>
  </w:style>
  <w:style w:type="paragraph" w:customStyle="1" w:styleId="ECHRTitle1">
    <w:name w:val="ECHR_Title_1"/>
    <w:aliases w:val="_Title_L_1"/>
    <w:basedOn w:val="Normal"/>
    <w:next w:val="Normal"/>
    <w:uiPriority w:val="28"/>
    <w:semiHidden/>
    <w:qFormat/>
    <w:rsid w:val="002B5B43"/>
    <w:pPr>
      <w:keepNext/>
      <w:keepLines/>
      <w:spacing w:before="240"/>
      <w:contextualSpacing/>
    </w:pPr>
    <w:rPr>
      <w:rFonts w:asciiTheme="majorHAnsi" w:hAnsiTheme="majorHAnsi"/>
      <w:b/>
      <w:color w:val="2C2C2C" w:themeColor="accent3" w:themeShade="80"/>
      <w:sz w:val="32"/>
    </w:rPr>
  </w:style>
  <w:style w:type="paragraph" w:customStyle="1" w:styleId="ECHRTitle2">
    <w:name w:val="ECHR_Title_2"/>
    <w:aliases w:val="_Title_L_2"/>
    <w:basedOn w:val="Normal"/>
    <w:next w:val="Normal"/>
    <w:uiPriority w:val="28"/>
    <w:semiHidden/>
    <w:qFormat/>
    <w:rsid w:val="002B5B43"/>
    <w:pPr>
      <w:keepNext/>
      <w:keepLines/>
      <w:spacing w:before="240"/>
      <w:contextualSpacing/>
    </w:pPr>
    <w:rPr>
      <w:rFonts w:asciiTheme="majorHAnsi" w:hAnsiTheme="majorHAnsi"/>
      <w:b/>
      <w:color w:val="424242" w:themeColor="accent3" w:themeShade="BF"/>
      <w:sz w:val="28"/>
    </w:rPr>
  </w:style>
  <w:style w:type="paragraph" w:customStyle="1" w:styleId="ECHRTitle3">
    <w:name w:val="ECHR_Title_3"/>
    <w:aliases w:val="_Title_L_3"/>
    <w:basedOn w:val="Normal"/>
    <w:next w:val="Normal"/>
    <w:uiPriority w:val="28"/>
    <w:semiHidden/>
    <w:qFormat/>
    <w:rsid w:val="002B5B43"/>
    <w:pPr>
      <w:keepNext/>
      <w:keepLines/>
      <w:spacing w:before="240"/>
      <w:contextualSpacing/>
    </w:pPr>
    <w:rPr>
      <w:rFonts w:asciiTheme="majorHAnsi" w:hAnsiTheme="majorHAnsi"/>
      <w:b/>
      <w:color w:val="424242" w:themeColor="accent3" w:themeShade="BF"/>
    </w:rPr>
  </w:style>
  <w:style w:type="paragraph" w:customStyle="1" w:styleId="ECHRTitleCentre1">
    <w:name w:val="ECHR_Title_Centre_1"/>
    <w:aliases w:val="_Title_C_1"/>
    <w:basedOn w:val="Normal"/>
    <w:next w:val="Normal"/>
    <w:uiPriority w:val="26"/>
    <w:semiHidden/>
    <w:qFormat/>
    <w:rsid w:val="002B5B43"/>
    <w:pPr>
      <w:keepNext/>
      <w:keepLines/>
      <w:spacing w:before="240"/>
      <w:contextualSpacing/>
      <w:jc w:val="center"/>
    </w:pPr>
    <w:rPr>
      <w:rFonts w:asciiTheme="majorHAnsi" w:hAnsiTheme="majorHAnsi"/>
      <w:b/>
      <w:color w:val="2C2C2C" w:themeColor="accent3" w:themeShade="80"/>
      <w:sz w:val="32"/>
    </w:rPr>
  </w:style>
  <w:style w:type="paragraph" w:customStyle="1" w:styleId="ECHRTitleCentre2">
    <w:name w:val="ECHR_Title_Centre_2"/>
    <w:aliases w:val="_Title_C_2"/>
    <w:basedOn w:val="Normal"/>
    <w:next w:val="Normal"/>
    <w:uiPriority w:val="26"/>
    <w:semiHidden/>
    <w:qFormat/>
    <w:rsid w:val="002B5B43"/>
    <w:pPr>
      <w:keepNext/>
      <w:keepLines/>
      <w:spacing w:before="240"/>
      <w:contextualSpacing/>
      <w:jc w:val="center"/>
    </w:pPr>
    <w:rPr>
      <w:rFonts w:asciiTheme="majorHAnsi" w:hAnsiTheme="majorHAnsi"/>
      <w:b/>
      <w:color w:val="424242" w:themeColor="accent3" w:themeShade="BF"/>
      <w:sz w:val="28"/>
    </w:rPr>
  </w:style>
  <w:style w:type="paragraph" w:customStyle="1" w:styleId="ECHRTitleCentre3">
    <w:name w:val="ECHR_Title_Centre_3"/>
    <w:aliases w:val="_Title_C_3"/>
    <w:basedOn w:val="Normal"/>
    <w:next w:val="Normal"/>
    <w:uiPriority w:val="26"/>
    <w:qFormat/>
    <w:rsid w:val="002B5B43"/>
    <w:pPr>
      <w:keepNext/>
      <w:keepLines/>
      <w:spacing w:before="240"/>
      <w:contextualSpacing/>
      <w:jc w:val="center"/>
    </w:pPr>
    <w:rPr>
      <w:rFonts w:asciiTheme="majorHAnsi" w:hAnsiTheme="majorHAnsi"/>
      <w:b/>
      <w:color w:val="424242" w:themeColor="accent3" w:themeShade="BF"/>
    </w:rPr>
  </w:style>
  <w:style w:type="paragraph" w:customStyle="1" w:styleId="ECHRTitleCentreTOC1">
    <w:name w:val="ECHR_Title_Centre_TOC_1"/>
    <w:aliases w:val="_Title_C_TOC"/>
    <w:basedOn w:val="ECHRTitleCentre1"/>
    <w:next w:val="Normal"/>
    <w:uiPriority w:val="25"/>
    <w:semiHidden/>
    <w:qFormat/>
    <w:rsid w:val="002B5B43"/>
    <w:pPr>
      <w:outlineLvl w:val="0"/>
    </w:pPr>
  </w:style>
  <w:style w:type="paragraph" w:customStyle="1" w:styleId="ECHRTitleTOC1">
    <w:name w:val="ECHR_Title_TOC_1"/>
    <w:aliases w:val="_Title_L_TOC"/>
    <w:basedOn w:val="ECHRTitle1"/>
    <w:next w:val="Normal"/>
    <w:uiPriority w:val="27"/>
    <w:semiHidden/>
    <w:qFormat/>
    <w:rsid w:val="002B5B43"/>
    <w:pPr>
      <w:outlineLvl w:val="0"/>
    </w:pPr>
  </w:style>
  <w:style w:type="paragraph" w:customStyle="1" w:styleId="ECHRPlaceholder">
    <w:name w:val="ECHR_Placeholder"/>
    <w:aliases w:val="_Placeholder"/>
    <w:basedOn w:val="JuSigned"/>
    <w:uiPriority w:val="31"/>
    <w:rsid w:val="002B5B43"/>
    <w:rPr>
      <w:color w:val="FFFFFF"/>
    </w:rPr>
  </w:style>
  <w:style w:type="paragraph" w:customStyle="1" w:styleId="ECHRSpacer">
    <w:name w:val="ECHR_Spacer"/>
    <w:aliases w:val="_Spacer"/>
    <w:basedOn w:val="Normal"/>
    <w:uiPriority w:val="45"/>
    <w:semiHidden/>
    <w:rsid w:val="002B5B43"/>
    <w:rPr>
      <w:sz w:val="4"/>
    </w:rPr>
  </w:style>
  <w:style w:type="table" w:customStyle="1" w:styleId="ECHRTableGrey">
    <w:name w:val="ECHR_Table_Grey"/>
    <w:basedOn w:val="TableNormal"/>
    <w:uiPriority w:val="99"/>
    <w:rsid w:val="002B5B43"/>
    <w:pPr>
      <w:tabs>
        <w:tab w:val="left" w:pos="397"/>
      </w:tabs>
    </w:pPr>
    <w:tblPr>
      <w:jc w:val="center"/>
      <w:tblBorders>
        <w:top w:val="single" w:sz="4" w:space="0" w:color="585858" w:themeColor="text2" w:themeShade="80"/>
        <w:left w:val="single" w:sz="4" w:space="0" w:color="585858" w:themeColor="text2" w:themeShade="80"/>
        <w:bottom w:val="single" w:sz="4" w:space="0" w:color="585858" w:themeColor="text2" w:themeShade="80"/>
        <w:right w:val="single" w:sz="4" w:space="0" w:color="585858"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1">
    <w:name w:val="Unresolved Mention1"/>
    <w:basedOn w:val="DefaultParagraphFont"/>
    <w:uiPriority w:val="99"/>
    <w:semiHidden/>
    <w:unhideWhenUsed/>
    <w:rsid w:val="002B5B43"/>
    <w:rPr>
      <w:color w:val="605E5C"/>
      <w:shd w:val="clear" w:color="auto" w:fill="E1DFDD"/>
    </w:rPr>
  </w:style>
  <w:style w:type="character" w:customStyle="1" w:styleId="JuParaChar">
    <w:name w:val="Ju_Para Char"/>
    <w:aliases w:val="_Para Char"/>
    <w:link w:val="JuPara"/>
    <w:uiPriority w:val="4"/>
    <w:rsid w:val="0021702B"/>
    <w:rPr>
      <w:sz w:val="24"/>
      <w:szCs w:val="24"/>
      <w:lang w:val="ro-RO"/>
    </w:rPr>
  </w:style>
  <w:style w:type="table" w:styleId="GridTable1Light">
    <w:name w:val="Grid Table 1 Light"/>
    <w:basedOn w:val="TableNormal"/>
    <w:uiPriority w:val="46"/>
    <w:semiHidden/>
    <w:rsid w:val="0021702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JuList4">
    <w:name w:val="Ju_List_4"/>
    <w:aliases w:val="N_Bul_4"/>
    <w:basedOn w:val="JuListi"/>
    <w:uiPriority w:val="19"/>
    <w:rsid w:val="0021702B"/>
    <w:pPr>
      <w:numPr>
        <w:ilvl w:val="0"/>
        <w:numId w:val="0"/>
      </w:numPr>
      <w:tabs>
        <w:tab w:val="num" w:pos="1701"/>
      </w:tabs>
      <w:spacing w:before="60" w:after="60" w:line="240" w:lineRule="exact"/>
      <w:ind w:left="1703" w:hanging="284"/>
      <w:contextualSpacing/>
    </w:pPr>
    <w:rPr>
      <w:sz w:val="22"/>
      <w:lang w:eastAsia="fr-FR"/>
    </w:rPr>
  </w:style>
  <w:style w:type="table" w:styleId="GridTable1Light-Accent1">
    <w:name w:val="Grid Table 1 Light Accent 1"/>
    <w:basedOn w:val="TableNormal"/>
    <w:uiPriority w:val="46"/>
    <w:semiHidden/>
    <w:rsid w:val="0021702B"/>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21702B"/>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21702B"/>
    <w:tblPr>
      <w:tblStyleRowBandSize w:val="1"/>
      <w:tblStyleColBandSize w:val="1"/>
      <w:tblBorders>
        <w:top w:val="single" w:sz="4" w:space="0" w:color="BCBCBC" w:themeColor="accent3" w:themeTint="66"/>
        <w:left w:val="single" w:sz="4" w:space="0" w:color="BCBCBC" w:themeColor="accent3" w:themeTint="66"/>
        <w:bottom w:val="single" w:sz="4" w:space="0" w:color="BCBCBC" w:themeColor="accent3" w:themeTint="66"/>
        <w:right w:val="single" w:sz="4" w:space="0" w:color="BCBCBC" w:themeColor="accent3" w:themeTint="66"/>
        <w:insideH w:val="single" w:sz="4" w:space="0" w:color="BCBCBC" w:themeColor="accent3" w:themeTint="66"/>
        <w:insideV w:val="single" w:sz="4" w:space="0" w:color="BCBCBC" w:themeColor="accent3" w:themeTint="66"/>
      </w:tblBorders>
    </w:tblPr>
    <w:tblStylePr w:type="firstRow">
      <w:rPr>
        <w:b/>
        <w:bCs/>
      </w:rPr>
      <w:tblPr/>
      <w:tcPr>
        <w:tcBorders>
          <w:bottom w:val="single" w:sz="12" w:space="0" w:color="9B9B9B" w:themeColor="accent3" w:themeTint="99"/>
        </w:tcBorders>
      </w:tcPr>
    </w:tblStylePr>
    <w:tblStylePr w:type="lastRow">
      <w:rPr>
        <w:b/>
        <w:bCs/>
      </w:rPr>
      <w:tblPr/>
      <w:tcPr>
        <w:tcBorders>
          <w:top w:val="double" w:sz="2" w:space="0" w:color="9B9B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21702B"/>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21702B"/>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21702B"/>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21702B"/>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21702B"/>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FFFFFF" w:themeFill="background1"/>
      </w:tcPr>
    </w:tblStylePr>
    <w:tblStylePr w:type="lastRow">
      <w:rPr>
        <w:b/>
        <w:bCs/>
      </w:rPr>
      <w:tblPr/>
      <w:tcPr>
        <w:tcBorders>
          <w:top w:val="double" w:sz="2" w:space="0" w:color="3DB2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21702B"/>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FFFFFF" w:themeFill="background1"/>
      </w:tcPr>
    </w:tblStylePr>
    <w:tblStylePr w:type="lastRow">
      <w:rPr>
        <w:b/>
        <w:bCs/>
      </w:rPr>
      <w:tblPr/>
      <w:tcPr>
        <w:tcBorders>
          <w:top w:val="double" w:sz="2" w:space="0" w:color="FF404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21702B"/>
    <w:tblPr>
      <w:tblStyleRowBandSize w:val="1"/>
      <w:tblStyleColBandSize w:val="1"/>
      <w:tblBorders>
        <w:top w:val="single" w:sz="2" w:space="0" w:color="9B9B9B" w:themeColor="accent3" w:themeTint="99"/>
        <w:bottom w:val="single" w:sz="2" w:space="0" w:color="9B9B9B" w:themeColor="accent3" w:themeTint="99"/>
        <w:insideH w:val="single" w:sz="2" w:space="0" w:color="9B9B9B" w:themeColor="accent3" w:themeTint="99"/>
        <w:insideV w:val="single" w:sz="2" w:space="0" w:color="9B9B9B" w:themeColor="accent3" w:themeTint="99"/>
      </w:tblBorders>
    </w:tblPr>
    <w:tblStylePr w:type="firstRow">
      <w:rPr>
        <w:b/>
        <w:bCs/>
      </w:rPr>
      <w:tblPr/>
      <w:tcPr>
        <w:tcBorders>
          <w:top w:val="nil"/>
          <w:bottom w:val="single" w:sz="12" w:space="0" w:color="9B9B9B" w:themeColor="accent3" w:themeTint="99"/>
          <w:insideH w:val="nil"/>
          <w:insideV w:val="nil"/>
        </w:tcBorders>
        <w:shd w:val="clear" w:color="auto" w:fill="FFFFFF" w:themeFill="background1"/>
      </w:tcPr>
    </w:tblStylePr>
    <w:tblStylePr w:type="lastRow">
      <w:rPr>
        <w:b/>
        <w:bCs/>
      </w:rPr>
      <w:tblPr/>
      <w:tcPr>
        <w:tcBorders>
          <w:top w:val="double" w:sz="2" w:space="0" w:color="9B9B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2-Accent4">
    <w:name w:val="Grid Table 2 Accent 4"/>
    <w:basedOn w:val="TableNormal"/>
    <w:uiPriority w:val="47"/>
    <w:semiHidden/>
    <w:rsid w:val="0021702B"/>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FFFFFF" w:themeFill="background1"/>
      </w:tcPr>
    </w:tblStylePr>
    <w:tblStylePr w:type="lastRow">
      <w:rPr>
        <w:b/>
        <w:bCs/>
      </w:rPr>
      <w:tblPr/>
      <w:tcPr>
        <w:tcBorders>
          <w:top w:val="double" w:sz="2" w:space="0" w:color="C0C0C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21702B"/>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FFFFFF" w:themeFill="background1"/>
      </w:tcPr>
    </w:tblStylePr>
    <w:tblStylePr w:type="lastRow">
      <w:rPr>
        <w:b/>
        <w:bCs/>
      </w:rPr>
      <w:tblPr/>
      <w:tcPr>
        <w:tcBorders>
          <w:top w:val="double" w:sz="2" w:space="0" w:color="9F9F9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21702B"/>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FFFFFF" w:themeFill="background1"/>
      </w:tcPr>
    </w:tblStylePr>
    <w:tblStylePr w:type="lastRow">
      <w:rPr>
        <w:b/>
        <w:bCs/>
      </w:rPr>
      <w:tblPr/>
      <w:tcPr>
        <w:tcBorders>
          <w:top w:val="double" w:sz="2" w:space="0" w:color="94949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21702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21702B"/>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21702B"/>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21702B"/>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bottom w:val="single" w:sz="4" w:space="0" w:color="9B9B9B" w:themeColor="accent3" w:themeTint="99"/>
        </w:tcBorders>
      </w:tcPr>
    </w:tblStylePr>
    <w:tblStylePr w:type="nwCell">
      <w:tblPr/>
      <w:tcPr>
        <w:tcBorders>
          <w:bottom w:val="single" w:sz="4" w:space="0" w:color="9B9B9B" w:themeColor="accent3" w:themeTint="99"/>
        </w:tcBorders>
      </w:tcPr>
    </w:tblStylePr>
    <w:tblStylePr w:type="seCell">
      <w:tblPr/>
      <w:tcPr>
        <w:tcBorders>
          <w:top w:val="single" w:sz="4" w:space="0" w:color="9B9B9B" w:themeColor="accent3" w:themeTint="99"/>
        </w:tcBorders>
      </w:tcPr>
    </w:tblStylePr>
    <w:tblStylePr w:type="swCell">
      <w:tblPr/>
      <w:tcPr>
        <w:tcBorders>
          <w:top w:val="single" w:sz="4" w:space="0" w:color="9B9B9B" w:themeColor="accent3" w:themeTint="99"/>
        </w:tcBorders>
      </w:tcPr>
    </w:tblStylePr>
  </w:style>
  <w:style w:type="table" w:styleId="GridTable3-Accent4">
    <w:name w:val="Grid Table 3 Accent 4"/>
    <w:basedOn w:val="TableNormal"/>
    <w:uiPriority w:val="48"/>
    <w:semiHidden/>
    <w:rsid w:val="0021702B"/>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21702B"/>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21702B"/>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21702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21702B"/>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FFFFFF"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21702B"/>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FFFFFF"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21702B"/>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color w:val="FFFFFF" w:themeColor="background1"/>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cBorders>
        <w:shd w:val="clear" w:color="auto" w:fill="595959" w:themeFill="accent3"/>
      </w:tcPr>
    </w:tblStylePr>
    <w:tblStylePr w:type="lastRow">
      <w:rPr>
        <w:b/>
        <w:bCs/>
      </w:rPr>
      <w:tblPr/>
      <w:tcPr>
        <w:tcBorders>
          <w:top w:val="double" w:sz="4" w:space="0" w:color="595959" w:themeColor="accent3"/>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4-Accent4">
    <w:name w:val="Grid Table 4 Accent 4"/>
    <w:basedOn w:val="TableNormal"/>
    <w:uiPriority w:val="49"/>
    <w:semiHidden/>
    <w:rsid w:val="0021702B"/>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FFFFFF"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21702B"/>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21702B"/>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21702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21702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EE5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2B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2B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2B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21702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FB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00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00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00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21702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DD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959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959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959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95959" w:themeFill="accent3"/>
      </w:tcPr>
    </w:tblStylePr>
    <w:tblStylePr w:type="band1Vert">
      <w:tblPr/>
      <w:tcPr>
        <w:shd w:val="clear" w:color="auto" w:fill="BCBCBC" w:themeFill="accent3" w:themeFillTint="66"/>
      </w:tcPr>
    </w:tblStylePr>
    <w:tblStylePr w:type="band1Horz">
      <w:tblPr/>
      <w:tcPr>
        <w:shd w:val="clear" w:color="auto" w:fill="BCBCBC" w:themeFill="accent3" w:themeFillTint="66"/>
      </w:tcPr>
    </w:tblStylePr>
  </w:style>
  <w:style w:type="table" w:styleId="GridTable5Dark-Accent4">
    <w:name w:val="Grid Table 5 Dark Accent 4"/>
    <w:basedOn w:val="TableNormal"/>
    <w:uiPriority w:val="50"/>
    <w:semiHidden/>
    <w:rsid w:val="0021702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969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969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969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21702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DFD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F5F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F5F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F5F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21702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DBD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4D4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4D4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4D4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21702B"/>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21702B"/>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21702B"/>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21702B"/>
    <w:rPr>
      <w:color w:val="424242" w:themeColor="accent3" w:themeShade="BF"/>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bottom w:val="single" w:sz="12" w:space="0" w:color="9B9B9B" w:themeColor="accent3" w:themeTint="99"/>
        </w:tcBorders>
      </w:tcPr>
    </w:tblStylePr>
    <w:tblStylePr w:type="lastRow">
      <w:rPr>
        <w:b/>
        <w:bCs/>
      </w:rPr>
      <w:tblPr/>
      <w:tcPr>
        <w:tcBorders>
          <w:top w:val="doub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6Colorful-Accent4">
    <w:name w:val="Grid Table 6 Colorful Accent 4"/>
    <w:basedOn w:val="TableNormal"/>
    <w:uiPriority w:val="51"/>
    <w:semiHidden/>
    <w:rsid w:val="0021702B"/>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21702B"/>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21702B"/>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21702B"/>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21702B"/>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21702B"/>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21702B"/>
    <w:rPr>
      <w:color w:val="424242" w:themeColor="accent3" w:themeShade="BF"/>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bottom w:val="single" w:sz="4" w:space="0" w:color="9B9B9B" w:themeColor="accent3" w:themeTint="99"/>
        </w:tcBorders>
      </w:tcPr>
    </w:tblStylePr>
    <w:tblStylePr w:type="nwCell">
      <w:tblPr/>
      <w:tcPr>
        <w:tcBorders>
          <w:bottom w:val="single" w:sz="4" w:space="0" w:color="9B9B9B" w:themeColor="accent3" w:themeTint="99"/>
        </w:tcBorders>
      </w:tcPr>
    </w:tblStylePr>
    <w:tblStylePr w:type="seCell">
      <w:tblPr/>
      <w:tcPr>
        <w:tcBorders>
          <w:top w:val="single" w:sz="4" w:space="0" w:color="9B9B9B" w:themeColor="accent3" w:themeTint="99"/>
        </w:tcBorders>
      </w:tcPr>
    </w:tblStylePr>
    <w:tblStylePr w:type="swCell">
      <w:tblPr/>
      <w:tcPr>
        <w:tcBorders>
          <w:top w:val="single" w:sz="4" w:space="0" w:color="9B9B9B" w:themeColor="accent3" w:themeTint="99"/>
        </w:tcBorders>
      </w:tcPr>
    </w:tblStylePr>
  </w:style>
  <w:style w:type="table" w:styleId="GridTable7Colorful-Accent4">
    <w:name w:val="Grid Table 7 Colorful Accent 4"/>
    <w:basedOn w:val="TableNormal"/>
    <w:uiPriority w:val="52"/>
    <w:semiHidden/>
    <w:rsid w:val="0021702B"/>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21702B"/>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21702B"/>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21702B"/>
    <w:rPr>
      <w:color w:val="2B579A"/>
      <w:shd w:val="clear" w:color="auto" w:fill="E1DFDD"/>
    </w:rPr>
  </w:style>
  <w:style w:type="table" w:styleId="ListTable1Light">
    <w:name w:val="List Table 1 Light"/>
    <w:basedOn w:val="TableNormal"/>
    <w:uiPriority w:val="46"/>
    <w:semiHidden/>
    <w:rsid w:val="0021702B"/>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21702B"/>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21702B"/>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21702B"/>
    <w:tblPr>
      <w:tblStyleRowBandSize w:val="1"/>
      <w:tblStyleColBandSize w:val="1"/>
    </w:tblPr>
    <w:tblStylePr w:type="firstRow">
      <w:rPr>
        <w:b/>
        <w:bCs/>
      </w:rPr>
      <w:tblPr/>
      <w:tcPr>
        <w:tcBorders>
          <w:bottom w:val="single" w:sz="4" w:space="0" w:color="9B9B9B" w:themeColor="accent3" w:themeTint="99"/>
        </w:tcBorders>
      </w:tcPr>
    </w:tblStylePr>
    <w:tblStylePr w:type="lastRow">
      <w:rPr>
        <w:b/>
        <w:bCs/>
      </w:rPr>
      <w:tblPr/>
      <w:tcPr>
        <w:tcBorders>
          <w:top w:val="sing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1Light-Accent4">
    <w:name w:val="List Table 1 Light Accent 4"/>
    <w:basedOn w:val="TableNormal"/>
    <w:uiPriority w:val="46"/>
    <w:semiHidden/>
    <w:rsid w:val="0021702B"/>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21702B"/>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21702B"/>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21702B"/>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21702B"/>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21702B"/>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21702B"/>
    <w:tblPr>
      <w:tblStyleRowBandSize w:val="1"/>
      <w:tblStyleColBandSize w:val="1"/>
      <w:tblBorders>
        <w:top w:val="single" w:sz="4" w:space="0" w:color="9B9B9B" w:themeColor="accent3" w:themeTint="99"/>
        <w:bottom w:val="single" w:sz="4" w:space="0" w:color="9B9B9B" w:themeColor="accent3" w:themeTint="99"/>
        <w:insideH w:val="single" w:sz="4" w:space="0" w:color="9B9B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2-Accent4">
    <w:name w:val="List Table 2 Accent 4"/>
    <w:basedOn w:val="TableNormal"/>
    <w:uiPriority w:val="47"/>
    <w:semiHidden/>
    <w:rsid w:val="0021702B"/>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21702B"/>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21702B"/>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21702B"/>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21702B"/>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FFFFFF"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21702B"/>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FFFFFF"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21702B"/>
    <w:tblPr>
      <w:tblStyleRowBandSize w:val="1"/>
      <w:tblStyleColBandSize w:val="1"/>
      <w:tblBorders>
        <w:top w:val="single" w:sz="4" w:space="0" w:color="595959" w:themeColor="accent3"/>
        <w:left w:val="single" w:sz="4" w:space="0" w:color="595959" w:themeColor="accent3"/>
        <w:bottom w:val="single" w:sz="4" w:space="0" w:color="595959" w:themeColor="accent3"/>
        <w:right w:val="single" w:sz="4" w:space="0" w:color="595959" w:themeColor="accent3"/>
      </w:tblBorders>
    </w:tblPr>
    <w:tblStylePr w:type="firstRow">
      <w:rPr>
        <w:b/>
        <w:bCs/>
        <w:color w:val="FFFFFF" w:themeColor="background1"/>
      </w:rPr>
      <w:tblPr/>
      <w:tcPr>
        <w:shd w:val="clear" w:color="auto" w:fill="595959" w:themeFill="accent3"/>
      </w:tcPr>
    </w:tblStylePr>
    <w:tblStylePr w:type="lastRow">
      <w:rPr>
        <w:b/>
        <w:bCs/>
      </w:rPr>
      <w:tblPr/>
      <w:tcPr>
        <w:tcBorders>
          <w:top w:val="double" w:sz="4" w:space="0" w:color="5959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95959" w:themeColor="accent3"/>
          <w:right w:val="single" w:sz="4" w:space="0" w:color="595959" w:themeColor="accent3"/>
        </w:tcBorders>
      </w:tcPr>
    </w:tblStylePr>
    <w:tblStylePr w:type="band1Horz">
      <w:tblPr/>
      <w:tcPr>
        <w:tcBorders>
          <w:top w:val="single" w:sz="4" w:space="0" w:color="595959" w:themeColor="accent3"/>
          <w:bottom w:val="single" w:sz="4" w:space="0" w:color="5959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95959" w:themeColor="accent3"/>
          <w:left w:val="nil"/>
        </w:tcBorders>
      </w:tcPr>
    </w:tblStylePr>
    <w:tblStylePr w:type="swCell">
      <w:tblPr/>
      <w:tcPr>
        <w:tcBorders>
          <w:top w:val="double" w:sz="4" w:space="0" w:color="595959" w:themeColor="accent3"/>
          <w:right w:val="nil"/>
        </w:tcBorders>
      </w:tcPr>
    </w:tblStylePr>
  </w:style>
  <w:style w:type="table" w:styleId="ListTable3-Accent4">
    <w:name w:val="List Table 3 Accent 4"/>
    <w:basedOn w:val="TableNormal"/>
    <w:uiPriority w:val="48"/>
    <w:semiHidden/>
    <w:rsid w:val="0021702B"/>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FFFFFF"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21702B"/>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FFFFFF"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21702B"/>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FFFFFF"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21702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21702B"/>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FFFFFF"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21702B"/>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FFFFFF"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21702B"/>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tblBorders>
    </w:tblPr>
    <w:tblStylePr w:type="firstRow">
      <w:rPr>
        <w:b/>
        <w:bCs/>
        <w:color w:val="FFFFFF" w:themeColor="background1"/>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tcBorders>
        <w:shd w:val="clear" w:color="auto" w:fill="595959" w:themeFill="accent3"/>
      </w:tcPr>
    </w:tblStylePr>
    <w:tblStylePr w:type="lastRow">
      <w:rPr>
        <w:b/>
        <w:bCs/>
      </w:rPr>
      <w:tblPr/>
      <w:tcPr>
        <w:tcBorders>
          <w:top w:val="doub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4-Accent4">
    <w:name w:val="List Table 4 Accent 4"/>
    <w:basedOn w:val="TableNormal"/>
    <w:uiPriority w:val="49"/>
    <w:semiHidden/>
    <w:rsid w:val="0021702B"/>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FFFFFF"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21702B"/>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21702B"/>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21702B"/>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21702B"/>
    <w:rPr>
      <w:color w:val="FFFFFF"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21702B"/>
    <w:rPr>
      <w:color w:val="FFFFFF"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21702B"/>
    <w:rPr>
      <w:color w:val="FFFFFF" w:themeColor="background1"/>
    </w:rPr>
    <w:tblPr>
      <w:tblStyleRowBandSize w:val="1"/>
      <w:tblStyleColBandSize w:val="1"/>
      <w:tblBorders>
        <w:top w:val="single" w:sz="24" w:space="0" w:color="595959" w:themeColor="accent3"/>
        <w:left w:val="single" w:sz="24" w:space="0" w:color="595959" w:themeColor="accent3"/>
        <w:bottom w:val="single" w:sz="24" w:space="0" w:color="595959" w:themeColor="accent3"/>
        <w:right w:val="single" w:sz="24" w:space="0" w:color="595959" w:themeColor="accent3"/>
      </w:tblBorders>
    </w:tblPr>
    <w:tcPr>
      <w:shd w:val="clear" w:color="auto" w:fill="5959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21702B"/>
    <w:rPr>
      <w:color w:val="FFFFFF"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21702B"/>
    <w:rPr>
      <w:color w:val="FFFFFF"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21702B"/>
    <w:rPr>
      <w:color w:val="FFFFFF"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21702B"/>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21702B"/>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21702B"/>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21702B"/>
    <w:rPr>
      <w:color w:val="424242" w:themeColor="accent3" w:themeShade="BF"/>
    </w:rPr>
    <w:tblPr>
      <w:tblStyleRowBandSize w:val="1"/>
      <w:tblStyleColBandSize w:val="1"/>
      <w:tblBorders>
        <w:top w:val="single" w:sz="4" w:space="0" w:color="595959" w:themeColor="accent3"/>
        <w:bottom w:val="single" w:sz="4" w:space="0" w:color="595959" w:themeColor="accent3"/>
      </w:tblBorders>
    </w:tblPr>
    <w:tblStylePr w:type="firstRow">
      <w:rPr>
        <w:b/>
        <w:bCs/>
      </w:rPr>
      <w:tblPr/>
      <w:tcPr>
        <w:tcBorders>
          <w:bottom w:val="single" w:sz="4" w:space="0" w:color="595959" w:themeColor="accent3"/>
        </w:tcBorders>
      </w:tcPr>
    </w:tblStylePr>
    <w:tblStylePr w:type="lastRow">
      <w:rPr>
        <w:b/>
        <w:bCs/>
      </w:rPr>
      <w:tblPr/>
      <w:tcPr>
        <w:tcBorders>
          <w:top w:val="double" w:sz="4" w:space="0" w:color="595959" w:themeColor="accent3"/>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6Colorful-Accent4">
    <w:name w:val="List Table 6 Colorful Accent 4"/>
    <w:basedOn w:val="TableNormal"/>
    <w:uiPriority w:val="51"/>
    <w:semiHidden/>
    <w:rsid w:val="0021702B"/>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21702B"/>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21702B"/>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21702B"/>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21702B"/>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21702B"/>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21702B"/>
    <w:rPr>
      <w:color w:val="42424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959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959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959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95959" w:themeColor="accent3"/>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21702B"/>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21702B"/>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21702B"/>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21702B"/>
    <w:rPr>
      <w:color w:val="2B579A"/>
      <w:shd w:val="clear" w:color="auto" w:fill="E1DFDD"/>
    </w:rPr>
  </w:style>
  <w:style w:type="table" w:styleId="PlainTable1">
    <w:name w:val="Plain Table 1"/>
    <w:basedOn w:val="TableNormal"/>
    <w:uiPriority w:val="41"/>
    <w:semiHidden/>
    <w:rsid w:val="0021702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21702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21702B"/>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21702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21702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21702B"/>
    <w:rPr>
      <w:u w:val="dotted"/>
    </w:rPr>
  </w:style>
  <w:style w:type="character" w:customStyle="1" w:styleId="SmartLink">
    <w:name w:val="Smart Link"/>
    <w:basedOn w:val="DefaultParagraphFont"/>
    <w:uiPriority w:val="99"/>
    <w:semiHidden/>
    <w:unhideWhenUsed/>
    <w:rsid w:val="0021702B"/>
    <w:rPr>
      <w:color w:val="0000FF"/>
      <w:u w:val="single"/>
      <w:shd w:val="clear" w:color="auto" w:fill="F3F2F1"/>
    </w:rPr>
  </w:style>
  <w:style w:type="table" w:styleId="TableGridLight">
    <w:name w:val="Grid Table Light"/>
    <w:basedOn w:val="TableNormal"/>
    <w:uiPriority w:val="40"/>
    <w:semiHidden/>
    <w:rsid w:val="0021702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JuQuotChar">
    <w:name w:val="Ju_Quot Char"/>
    <w:basedOn w:val="DefaultParagraphFont"/>
    <w:link w:val="JuQuot"/>
    <w:rsid w:val="0021702B"/>
    <w:rPr>
      <w:sz w:val="20"/>
      <w:szCs w:val="24"/>
      <w:lang w:val="ro-RO"/>
    </w:rPr>
  </w:style>
  <w:style w:type="character" w:customStyle="1" w:styleId="JuParaCar">
    <w:name w:val="Ju_Para Car"/>
    <w:uiPriority w:val="12"/>
    <w:rsid w:val="0021702B"/>
    <w:rPr>
      <w:rFonts w:eastAsiaTheme="minorEastAsia"/>
      <w:sz w:val="24"/>
    </w:rPr>
  </w:style>
  <w:style w:type="paragraph" w:styleId="Revision">
    <w:name w:val="Revision"/>
    <w:hidden/>
    <w:uiPriority w:val="99"/>
    <w:semiHidden/>
    <w:rsid w:val="0021702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_New">
      <a:dk1>
        <a:sysClr val="windowText" lastClr="000000"/>
      </a:dk1>
      <a:lt1>
        <a:srgbClr val="FFFFFF"/>
      </a:lt1>
      <a:dk2>
        <a:srgbClr val="B0B0B0"/>
      </a:dk2>
      <a:lt2>
        <a:srgbClr val="F8F8F8"/>
      </a:lt2>
      <a:accent1>
        <a:srgbClr val="0072BC"/>
      </a:accent1>
      <a:accent2>
        <a:srgbClr val="C00000"/>
      </a:accent2>
      <a:accent3>
        <a:srgbClr val="595959"/>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3CF03B-0026-4935-99AE-FC69C3E11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17474</Words>
  <Characters>101352</Characters>
  <Application>Microsoft Office Word</Application>
  <DocSecurity>0</DocSecurity>
  <Lines>844</Lines>
  <Paragraphs>237</Paragraphs>
  <ScaleCrop>false</ScaleCrop>
  <HeadingPairs>
    <vt:vector size="2" baseType="variant">
      <vt:variant>
        <vt:lpstr>Title</vt:lpstr>
      </vt:variant>
      <vt:variant>
        <vt:i4>1</vt:i4>
      </vt:variant>
    </vt:vector>
  </HeadingPairs>
  <TitlesOfParts>
    <vt:vector size="1" baseType="lpstr">
      <vt:lpstr>ECHR</vt:lpstr>
    </vt:vector>
  </TitlesOfParts>
  <Company/>
  <LinksUpToDate>false</LinksUpToDate>
  <CharactersWithSpaces>118589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M.Ș.D. impotriva Romaniei</dc:title>
  <dc:subject>JUD</dc:subject>
  <dc:creator/>
  <cp:lastModifiedBy/>
  <cp:revision>1</cp:revision>
  <dcterms:created xsi:type="dcterms:W3CDTF">2025-03-06T09:55:00Z</dcterms:created>
  <dcterms:modified xsi:type="dcterms:W3CDTF">2025-04-28T06:43:00Z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SEID">
    <vt:lpwstr>1628442</vt:lpwstr>
  </property>
  <property fmtid="{D5CDD505-2E9C-101B-9397-08002B2CF9AE}" pid="3" name="cstLanguage">
    <vt:i4>2057</vt:i4>
  </property>
  <property fmtid="{D5CDD505-2E9C-101B-9397-08002B2CF9AE}" pid="4" name="RegisteredNo">
    <vt:lpwstr>28935/21</vt:lpwstr>
  </property>
</Properties>
</file>