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7C321"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Anexa Nr. 6</w:t>
      </w:r>
    </w:p>
    <w:p w14:paraId="41D57A11" w14:textId="1C75A62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i/>
          <w:iCs/>
          <w:color w:val="000000"/>
          <w:kern w:val="0"/>
          <w:sz w:val="26"/>
          <w:szCs w:val="26"/>
          <w:bdr w:val="none" w:sz="0" w:space="0" w:color="auto" w:frame="1"/>
          <w14:ligatures w14:val="none"/>
        </w:rPr>
        <w:t>    la Regulamentul privind evaluarea activităţii profesionale a judecătorilor, aprobat prin Hotărârea Secţiei pentru judecători nr. ... din ..... 202</w:t>
      </w:r>
      <w:r w:rsidR="004F4B98">
        <w:rPr>
          <w:rFonts w:eastAsia="Times New Roman" w:cstheme="minorHAnsi"/>
          <w:b/>
          <w:bCs/>
          <w:i/>
          <w:iCs/>
          <w:color w:val="000000"/>
          <w:kern w:val="0"/>
          <w:sz w:val="26"/>
          <w:szCs w:val="26"/>
          <w:bdr w:val="none" w:sz="0" w:space="0" w:color="auto" w:frame="1"/>
          <w14:ligatures w14:val="none"/>
        </w:rPr>
        <w:t>4</w:t>
      </w:r>
    </w:p>
    <w:p w14:paraId="35B8B70B"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0A52E4CF" w14:textId="77777777" w:rsidR="0040755F" w:rsidRPr="0040755F" w:rsidRDefault="0040755F" w:rsidP="0040755F">
      <w:pPr>
        <w:shd w:val="clear" w:color="auto" w:fill="FFFFFF"/>
        <w:spacing w:after="0" w:line="240" w:lineRule="auto"/>
        <w:jc w:val="center"/>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FIŞA DE EVALUARE A ACTIVITĂŢII PROFESIONALE A JUDECĂTORILOR DE SUPRAVEGHERE A PRIVĂRII DE LIBERTATE</w:t>
      </w:r>
      <w:r w:rsidRPr="0040755F">
        <w:rPr>
          <w:rFonts w:eastAsia="Times New Roman" w:cstheme="minorHAnsi"/>
          <w:b/>
          <w:bCs/>
          <w:color w:val="000000"/>
          <w:kern w:val="0"/>
          <w:sz w:val="26"/>
          <w:szCs w:val="26"/>
          <w:bdr w:val="none" w:sz="0" w:space="0" w:color="auto" w:frame="1"/>
          <w:vertAlign w:val="superscript"/>
          <w14:ligatures w14:val="none"/>
        </w:rPr>
        <w:t>1</w:t>
      </w:r>
      <w:r w:rsidRPr="0040755F">
        <w:rPr>
          <w:rFonts w:eastAsia="Times New Roman" w:cstheme="minorHAnsi"/>
          <w:b/>
          <w:bCs/>
          <w:color w:val="000000"/>
          <w:kern w:val="0"/>
          <w:sz w:val="26"/>
          <w:szCs w:val="26"/>
          <w:bdr w:val="none" w:sz="0" w:space="0" w:color="auto" w:frame="1"/>
          <w14:ligatures w14:val="none"/>
        </w:rPr>
        <w:t>)</w:t>
      </w:r>
    </w:p>
    <w:p w14:paraId="29209B70"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62F7E10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bdr w:val="none" w:sz="0" w:space="0" w:color="auto" w:frame="1"/>
          <w:vertAlign w:val="superscript"/>
          <w14:ligatures w14:val="none"/>
        </w:rPr>
        <w:t>1</w:t>
      </w:r>
      <w:r w:rsidRPr="0040755F">
        <w:rPr>
          <w:rFonts w:eastAsia="Times New Roman" w:cstheme="minorHAnsi"/>
          <w:color w:val="000000"/>
          <w:kern w:val="0"/>
          <w:sz w:val="26"/>
          <w:szCs w:val="26"/>
          <w:bdr w:val="none" w:sz="0" w:space="0" w:color="auto" w:frame="1"/>
          <w14:ligatures w14:val="none"/>
        </w:rPr>
        <w:t>) Fişa de evaluare cuprinde motivarea punctajelor acordate de comisia de evaluare doar în situaţia în care judecătorul evaluat este depunctat, motivarea limitându-se la indicatorul respectiv.</w:t>
      </w:r>
    </w:p>
    <w:p w14:paraId="5A81362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2A07DAED"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NUMELE ŞI PRENUMELE JUDECĂTORULUI EVALUAT</w:t>
      </w:r>
    </w:p>
    <w:p w14:paraId="0A667EA2"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INSTANŢA LA CARE FUNCŢIONEAZĂ</w:t>
      </w:r>
    </w:p>
    <w:p w14:paraId="1914B9BC"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4B263391"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I. EFICIENŢA ACTIVITĂŢII</w:t>
      </w:r>
    </w:p>
    <w:p w14:paraId="13952C74"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a) Respectarea termenelor de soluţionare a cauzelor</w:t>
      </w:r>
    </w:p>
    <w:p w14:paraId="5CD70B65"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40DD16CE"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7CC0B300"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07A002DC"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209A6F24"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b) Respectarea termenelor legale de redactare a încheierilor şi de efectuare a comunicărilor prevăzute de dispoziţiile legale</w:t>
      </w:r>
    </w:p>
    <w:p w14:paraId="5FA67AE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10C63DC0"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203BA0F4"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2A9A7EF1"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0404B647"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c) Desfăşurarea, în termenele legale sau, în lipsa lor, în mod constant şi cu regularitate, a activităţilor cu caracter administrativ prevăzute de lege</w:t>
      </w:r>
    </w:p>
    <w:p w14:paraId="43D16349"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52DAC8C7"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2E554B4B"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19363D49"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50D9E678"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526B7856"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Punctajul obţinut la criteriul "eficienţa activităţii":</w:t>
      </w:r>
    </w:p>
    <w:p w14:paraId="7FF466E9"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Observaţii:</w:t>
      </w:r>
    </w:p>
    <w:p w14:paraId="5E1CF985"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lastRenderedPageBreak/>
        <w:t>    Obiecţii:</w:t>
      </w:r>
    </w:p>
    <w:p w14:paraId="189D4D58"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65ACDD44"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II. CALITATEA ACTIVITĂŢII</w:t>
      </w:r>
    </w:p>
    <w:p w14:paraId="33B171A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a) Calitatea redactării încheierilor pronunţate</w:t>
      </w:r>
    </w:p>
    <w:p w14:paraId="3962592E"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0D040C10"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6F4F66D3"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5428A283"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35EF7127"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b) Numărul încheierilor desfiinţate din motive imputabile atunci când numărul încheierilor desfiinţate depăşeşte media pe ţară</w:t>
      </w:r>
    </w:p>
    <w:p w14:paraId="3DD4BEC8"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25A7E1C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348DC1C6"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3D4F9608"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313B873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c) Conduita în timpul desfăşurării procedurilor administrativ-jurisdicţionale şi a altor activităţi cu caracter administrativ</w:t>
      </w:r>
    </w:p>
    <w:p w14:paraId="53BF7923"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73970EF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05266FCE"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2E9BE35D"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2D6E4319"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d) Organizarea evidenţei activităţii judecătorului de supraveghere a privării de libertate</w:t>
      </w:r>
    </w:p>
    <w:p w14:paraId="7A10E787"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758F10E3"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0C87D592"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5218F451"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22619CB2"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15C52744"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Punctajul obţinut la criteriul "calitatea activităţii":</w:t>
      </w:r>
    </w:p>
    <w:p w14:paraId="478023EF"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Observaţii:</w:t>
      </w:r>
    </w:p>
    <w:p w14:paraId="19EF6590"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Obiecţii:</w:t>
      </w:r>
    </w:p>
    <w:p w14:paraId="101801B5"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04063FAB"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III. INTEGRITATEA</w:t>
      </w:r>
    </w:p>
    <w:p w14:paraId="7EC53E76"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xml:space="preserve">    Încălcări ale Codului deontologic al judecătorilor şi procurorilor, stabilite prin hotărâri definitive ale Secţiei pentru judecători; sancţiuni disciplinare care privesc aspecte de integritate, rămase definitive în perioada supusă evaluării; pronunţarea faţă de judecătorul evaluat a unor soluţii de renunţare la urmărirea penală, de renunţare la aplicarea pedepsei, de amânare a aplicării pedepsei ori de condamnare, </w:t>
      </w:r>
      <w:r w:rsidRPr="0040755F">
        <w:rPr>
          <w:rFonts w:eastAsia="Times New Roman" w:cstheme="minorHAnsi"/>
          <w:b/>
          <w:bCs/>
          <w:color w:val="000000"/>
          <w:kern w:val="0"/>
          <w:sz w:val="26"/>
          <w:szCs w:val="26"/>
          <w:bdr w:val="none" w:sz="0" w:space="0" w:color="auto" w:frame="1"/>
          <w14:ligatures w14:val="none"/>
        </w:rPr>
        <w:lastRenderedPageBreak/>
        <w:t>pentru care Secţia pentru judecători nu a propus eliberarea din funcţie, în condiţiile legii</w:t>
      </w:r>
    </w:p>
    <w:p w14:paraId="6FFA2FAC"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6C03CE98"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691999D3"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162F1031"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268CE7CB"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06A50EDF"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Punctajul obţinut la criteriul "integritate":</w:t>
      </w:r>
    </w:p>
    <w:p w14:paraId="0538365D"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Observaţii:</w:t>
      </w:r>
    </w:p>
    <w:p w14:paraId="588A4DD9"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Obiecţii:</w:t>
      </w:r>
    </w:p>
    <w:p w14:paraId="4CD96349"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4AC2BF1C"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IV.FORMAREA PROFESIONALĂ CONTINUĂ</w:t>
      </w:r>
    </w:p>
    <w:p w14:paraId="2C2A7BF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Disponibilitatea de a participa la programele de formare profesională continuă ori la alte forme de perfecţionare profesională, participarea la activităţile care au drept scop unificarea practicii judiciare şi la învăţământul profesional al judecătorilor, respectiv participarea la întâlnirile trimestriale ale judecătorilor de supraveghere a privării de libertate, precum şi preocuparea pentru dezvoltare profesională prin studiu individual</w:t>
      </w:r>
    </w:p>
    <w:p w14:paraId="74E2E163"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în urma autoevaluării:</w:t>
      </w:r>
    </w:p>
    <w:p w14:paraId="3EED7C50"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37C6F1E3"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Punctajul acordat de către comisia de evaluare:</w:t>
      </w:r>
    </w:p>
    <w:p w14:paraId="663A6FB9"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color w:val="000000"/>
          <w:kern w:val="0"/>
          <w:sz w:val="26"/>
          <w:szCs w:val="26"/>
          <w:bdr w:val="none" w:sz="0" w:space="0" w:color="auto" w:frame="1"/>
          <w14:ligatures w14:val="none"/>
        </w:rPr>
        <w:t>    </w:t>
      </w:r>
      <w:r w:rsidRPr="0040755F">
        <w:rPr>
          <w:rFonts w:eastAsia="Times New Roman" w:cstheme="minorHAnsi"/>
          <w:color w:val="000000"/>
          <w:kern w:val="0"/>
          <w:sz w:val="26"/>
          <w:szCs w:val="26"/>
          <w:u w:val="single"/>
          <w:bdr w:val="none" w:sz="0" w:space="0" w:color="auto" w:frame="1"/>
          <w14:ligatures w14:val="none"/>
        </w:rPr>
        <w:t>Observaţii şi motivare:</w:t>
      </w:r>
    </w:p>
    <w:p w14:paraId="6ADCF960"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3A57CAAA"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Punctajul obţinut la criteriul "formare profesională continuă":</w:t>
      </w:r>
    </w:p>
    <w:p w14:paraId="5506C016"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Observaţii:</w:t>
      </w:r>
    </w:p>
    <w:p w14:paraId="7F03EE25"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Obiecţii:</w:t>
      </w:r>
    </w:p>
    <w:p w14:paraId="54D3FFB2"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br/>
      </w:r>
    </w:p>
    <w:p w14:paraId="64052C0C"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PUNCTAJUL OBŢINUT LA EVALUAREA CELOR PATRU CRITERII:</w:t>
      </w:r>
    </w:p>
    <w:p w14:paraId="3577C724"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CALIFICATIVUL ACORDAT:</w:t>
      </w:r>
    </w:p>
    <w:p w14:paraId="4F1F7071"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Observaţii:</w:t>
      </w:r>
    </w:p>
    <w:p w14:paraId="04297A05" w14:textId="77777777" w:rsidR="0040755F" w:rsidRPr="0040755F" w:rsidRDefault="0040755F" w:rsidP="0040755F">
      <w:pPr>
        <w:shd w:val="clear" w:color="auto" w:fill="FFFFFF"/>
        <w:spacing w:after="0" w:line="240" w:lineRule="auto"/>
        <w:rPr>
          <w:rFonts w:eastAsia="Times New Roman" w:cstheme="minorHAnsi"/>
          <w:color w:val="000000"/>
          <w:kern w:val="0"/>
          <w:sz w:val="26"/>
          <w:szCs w:val="26"/>
          <w14:ligatures w14:val="none"/>
        </w:rPr>
      </w:pPr>
      <w:r w:rsidRPr="0040755F">
        <w:rPr>
          <w:rFonts w:eastAsia="Times New Roman" w:cstheme="minorHAnsi"/>
          <w:b/>
          <w:bCs/>
          <w:color w:val="000000"/>
          <w:kern w:val="0"/>
          <w:sz w:val="26"/>
          <w:szCs w:val="26"/>
          <w:bdr w:val="none" w:sz="0" w:space="0" w:color="auto" w:frame="1"/>
          <w14:ligatures w14:val="none"/>
        </w:rPr>
        <w:t>    Obiecţii:</w:t>
      </w:r>
    </w:p>
    <w:p w14:paraId="463AB28F" w14:textId="77777777" w:rsidR="0040755F" w:rsidRPr="0040755F" w:rsidRDefault="0040755F" w:rsidP="0040755F">
      <w:pPr>
        <w:rPr>
          <w:rFonts w:cstheme="minorHAnsi"/>
          <w:noProof/>
          <w:kern w:val="0"/>
          <w:sz w:val="26"/>
          <w:szCs w:val="26"/>
          <w14:ligatures w14:val="none"/>
        </w:rPr>
      </w:pPr>
    </w:p>
    <w:p w14:paraId="54E10040" w14:textId="77777777" w:rsidR="0040755F" w:rsidRPr="0040755F" w:rsidRDefault="0040755F" w:rsidP="0040755F"/>
    <w:p w14:paraId="3EC44134" w14:textId="77777777" w:rsidR="00374CB5" w:rsidRDefault="00374CB5"/>
    <w:sectPr w:rsidR="00374CB5" w:rsidSect="008B6AA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CFF04" w14:textId="77777777" w:rsidR="008B6AA2" w:rsidRDefault="008B6AA2">
      <w:pPr>
        <w:spacing w:after="0" w:line="240" w:lineRule="auto"/>
      </w:pPr>
      <w:r>
        <w:separator/>
      </w:r>
    </w:p>
  </w:endnote>
  <w:endnote w:type="continuationSeparator" w:id="0">
    <w:p w14:paraId="07CFF23A" w14:textId="77777777" w:rsidR="008B6AA2" w:rsidRDefault="008B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08147"/>
      <w:docPartObj>
        <w:docPartGallery w:val="Page Numbers (Bottom of Page)"/>
        <w:docPartUnique/>
      </w:docPartObj>
    </w:sdtPr>
    <w:sdtContent>
      <w:p w14:paraId="56D36B18" w14:textId="77777777" w:rsidR="00713399" w:rsidRDefault="00000000">
        <w:pPr>
          <w:pStyle w:val="Footer"/>
          <w:jc w:val="center"/>
        </w:pPr>
        <w:r>
          <w:fldChar w:fldCharType="begin"/>
        </w:r>
        <w:r>
          <w:instrText xml:space="preserve"> PAGE   \* MERGEFORMAT </w:instrText>
        </w:r>
        <w:r>
          <w:fldChar w:fldCharType="separate"/>
        </w:r>
        <w:r>
          <w:t>2</w:t>
        </w:r>
        <w:r>
          <w:fldChar w:fldCharType="end"/>
        </w:r>
      </w:p>
    </w:sdtContent>
  </w:sdt>
  <w:p w14:paraId="07C05B61" w14:textId="77777777" w:rsidR="00713399" w:rsidRDefault="007133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A85FF" w14:textId="77777777" w:rsidR="008B6AA2" w:rsidRDefault="008B6AA2">
      <w:pPr>
        <w:spacing w:after="0" w:line="240" w:lineRule="auto"/>
      </w:pPr>
      <w:r>
        <w:separator/>
      </w:r>
    </w:p>
  </w:footnote>
  <w:footnote w:type="continuationSeparator" w:id="0">
    <w:p w14:paraId="48F636C0" w14:textId="77777777" w:rsidR="008B6AA2" w:rsidRDefault="008B6A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55F"/>
    <w:rsid w:val="00374CB5"/>
    <w:rsid w:val="0040755F"/>
    <w:rsid w:val="004F4B98"/>
    <w:rsid w:val="0067432B"/>
    <w:rsid w:val="00713399"/>
    <w:rsid w:val="008B6AA2"/>
    <w:rsid w:val="00A123E6"/>
    <w:rsid w:val="00F32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ECA59"/>
  <w15:chartTrackingRefBased/>
  <w15:docId w15:val="{AE0355F0-6B69-42CB-8B65-A6109325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075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755F"/>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Maria, CEAUSESCU</cp:lastModifiedBy>
  <cp:revision>5</cp:revision>
  <cp:lastPrinted>2024-03-21T14:43:00Z</cp:lastPrinted>
  <dcterms:created xsi:type="dcterms:W3CDTF">2024-03-21T13:35:00Z</dcterms:created>
  <dcterms:modified xsi:type="dcterms:W3CDTF">2024-03-21T15:04:00Z</dcterms:modified>
</cp:coreProperties>
</file>