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4D1" w:rsidRPr="000720C3" w:rsidRDefault="008224D1" w:rsidP="000720C3">
      <w:pPr>
        <w:rPr>
          <w:rFonts w:ascii="Times New Roman" w:hAnsi="Times New Roman" w:cs="Times New Roman"/>
        </w:rPr>
      </w:pPr>
    </w:p>
    <w:p w:rsidR="00C74448" w:rsidRDefault="00C74448" w:rsidP="00D37FDD">
      <w:pPr>
        <w:jc w:val="center"/>
      </w:pPr>
    </w:p>
    <w:p w:rsidR="00C74448" w:rsidRDefault="00C74448" w:rsidP="00D37FDD">
      <w:pPr>
        <w:jc w:val="center"/>
      </w:pPr>
    </w:p>
    <w:p w:rsidR="00C74448" w:rsidRDefault="00C74448" w:rsidP="00D37FDD">
      <w:pPr>
        <w:jc w:val="center"/>
      </w:pPr>
    </w:p>
    <w:p w:rsidR="00C74448" w:rsidRDefault="00C74448" w:rsidP="00D37FDD">
      <w:pPr>
        <w:jc w:val="center"/>
      </w:pPr>
    </w:p>
    <w:p w:rsidR="00C74448" w:rsidRDefault="00C74448" w:rsidP="00D37FDD">
      <w:pPr>
        <w:jc w:val="center"/>
      </w:pPr>
    </w:p>
    <w:p w:rsidR="00C74448" w:rsidRDefault="00C74448" w:rsidP="00D37FDD">
      <w:pPr>
        <w:jc w:val="center"/>
      </w:pPr>
    </w:p>
    <w:p w:rsidR="00C74448" w:rsidRDefault="00C74448" w:rsidP="00D37FDD">
      <w:pPr>
        <w:jc w:val="center"/>
      </w:pPr>
    </w:p>
    <w:p w:rsidR="007A4070" w:rsidRPr="000720C3" w:rsidRDefault="00D37FDD" w:rsidP="00D37FDD">
      <w:pPr>
        <w:jc w:val="center"/>
      </w:pPr>
      <w:r>
        <w:t>CURTEA EUROPEANĂ A DREPTURILOR OMULUI</w:t>
      </w:r>
    </w:p>
    <w:p w:rsidR="00B92BA5" w:rsidRPr="000720C3" w:rsidRDefault="00B92BA5" w:rsidP="000720C3"/>
    <w:p w:rsidR="007A4070" w:rsidRPr="000720C3" w:rsidRDefault="008224D1" w:rsidP="000720C3">
      <w:pPr>
        <w:pStyle w:val="DecHCase"/>
      </w:pPr>
      <w:r>
        <w:t>SECȚIA A PATRA</w:t>
      </w:r>
    </w:p>
    <w:p w:rsidR="000720C3" w:rsidRPr="000720C3" w:rsidRDefault="000720C3" w:rsidP="000720C3">
      <w:pPr>
        <w:pStyle w:val="JuPara"/>
      </w:pPr>
    </w:p>
    <w:p w:rsidR="000720C3" w:rsidRPr="000720C3" w:rsidRDefault="000720C3" w:rsidP="000720C3">
      <w:pPr>
        <w:pStyle w:val="JuPara"/>
      </w:pPr>
    </w:p>
    <w:p w:rsidR="000720C3" w:rsidRPr="000720C3" w:rsidRDefault="000720C3" w:rsidP="000720C3">
      <w:pPr>
        <w:pStyle w:val="JuPara"/>
      </w:pPr>
    </w:p>
    <w:p w:rsidR="007A4070" w:rsidRPr="000720C3" w:rsidRDefault="007A4070" w:rsidP="000720C3">
      <w:pPr>
        <w:pStyle w:val="JuTitle"/>
      </w:pPr>
      <w:r>
        <w:t>CAUZA SCURTU ÎMPOTRIVA ROMÂNIEI</w:t>
      </w:r>
    </w:p>
    <w:p w:rsidR="007A4070" w:rsidRPr="000720C3" w:rsidRDefault="007A4070" w:rsidP="000720C3">
      <w:pPr>
        <w:pStyle w:val="ECHRCoverTitle4"/>
      </w:pPr>
      <w:r>
        <w:t>(Cererea nr. 7418/14)</w:t>
      </w:r>
    </w:p>
    <w:p w:rsidR="007A4070" w:rsidRPr="000720C3" w:rsidRDefault="007A4070" w:rsidP="000720C3">
      <w:pPr>
        <w:pStyle w:val="DecHCase"/>
      </w:pPr>
    </w:p>
    <w:p w:rsidR="007A4070" w:rsidRPr="000720C3" w:rsidRDefault="007A4070" w:rsidP="000720C3">
      <w:pPr>
        <w:pStyle w:val="DecHCase"/>
      </w:pPr>
    </w:p>
    <w:p w:rsidR="007A4070" w:rsidRPr="000720C3" w:rsidRDefault="007A4070" w:rsidP="000720C3">
      <w:pPr>
        <w:pStyle w:val="DecHCase"/>
      </w:pPr>
    </w:p>
    <w:p w:rsidR="007A4070" w:rsidRPr="000720C3" w:rsidRDefault="007A4070" w:rsidP="000720C3">
      <w:pPr>
        <w:pStyle w:val="DecHCase"/>
      </w:pPr>
      <w:bookmarkStart w:id="0" w:name="_GoBack"/>
      <w:bookmarkEnd w:id="0"/>
    </w:p>
    <w:p w:rsidR="007A4070" w:rsidRPr="000720C3" w:rsidRDefault="007A4070" w:rsidP="000720C3">
      <w:pPr>
        <w:pStyle w:val="DecHCase"/>
      </w:pPr>
    </w:p>
    <w:p w:rsidR="007A4070" w:rsidRPr="000720C3" w:rsidRDefault="007A4070" w:rsidP="000720C3">
      <w:pPr>
        <w:pStyle w:val="DecHCase"/>
      </w:pPr>
      <w:r>
        <w:t>HOTĂRÂRE</w:t>
      </w:r>
      <w:r>
        <w:br/>
      </w:r>
    </w:p>
    <w:p w:rsidR="00B92BA5" w:rsidRPr="000720C3" w:rsidRDefault="00B92BA5" w:rsidP="000720C3">
      <w:pPr>
        <w:pStyle w:val="JuPara"/>
      </w:pPr>
    </w:p>
    <w:p w:rsidR="007A4070" w:rsidRPr="000720C3" w:rsidRDefault="007A4070" w:rsidP="000720C3">
      <w:pPr>
        <w:pStyle w:val="DecHCase"/>
      </w:pPr>
      <w:r>
        <w:t>STRASBOURG</w:t>
      </w:r>
    </w:p>
    <w:p w:rsidR="007A4070" w:rsidRPr="000720C3" w:rsidRDefault="008224D1" w:rsidP="000720C3">
      <w:pPr>
        <w:pStyle w:val="DecHCase"/>
      </w:pPr>
      <w:r>
        <w:t>6 octombrie 2020</w:t>
      </w:r>
    </w:p>
    <w:p w:rsidR="00B92BA5" w:rsidRPr="000720C3" w:rsidRDefault="00B92BA5" w:rsidP="000720C3">
      <w:pPr>
        <w:rPr>
          <w:i/>
          <w:sz w:val="22"/>
        </w:rPr>
      </w:pPr>
    </w:p>
    <w:p w:rsidR="00516B59" w:rsidRPr="000720C3" w:rsidRDefault="007A4070" w:rsidP="000720C3">
      <w:pPr>
        <w:rPr>
          <w:rFonts w:ascii="Times New Roman" w:hAnsi="Times New Roman" w:cs="Times New Roman"/>
          <w:i/>
          <w:sz w:val="22"/>
        </w:rPr>
      </w:pPr>
      <w:r>
        <w:rPr>
          <w:i/>
          <w:sz w:val="22"/>
        </w:rPr>
        <w:t>Hotărârea este definitivă. Poate suferi modificări de formă.</w:t>
      </w:r>
    </w:p>
    <w:p w:rsidR="00516B59" w:rsidRPr="000720C3" w:rsidRDefault="00516B59" w:rsidP="000720C3">
      <w:pPr>
        <w:ind w:left="720"/>
        <w:rPr>
          <w:rFonts w:ascii="Times New Roman" w:hAnsi="Times New Roman" w:cs="Times New Roman"/>
          <w:sz w:val="22"/>
        </w:rPr>
        <w:sectPr w:rsidR="00516B59" w:rsidRPr="000720C3" w:rsidSect="00902601">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4344E6" w:rsidRPr="000720C3" w:rsidRDefault="004344E6" w:rsidP="000720C3">
      <w:pPr>
        <w:pStyle w:val="JuCase"/>
      </w:pPr>
      <w:r>
        <w:lastRenderedPageBreak/>
        <w:t>În cauza Scurtu împotriva României,</w:t>
      </w:r>
    </w:p>
    <w:p w:rsidR="004344E6" w:rsidRPr="000720C3" w:rsidRDefault="004344E6" w:rsidP="000720C3">
      <w:pPr>
        <w:pStyle w:val="JuPara"/>
      </w:pPr>
      <w:r>
        <w:t>Curtea Europeană a Drepturilor Omului (Secția a patra), reunită într-o cameră compusă din:</w:t>
      </w:r>
    </w:p>
    <w:p w:rsidR="004344E6" w:rsidRPr="000720C3" w:rsidRDefault="00B92BA5" w:rsidP="000720C3">
      <w:pPr>
        <w:pStyle w:val="JuJudges"/>
      </w:pPr>
      <w:r>
        <w:tab/>
        <w:t>Faris Vehabović,</w:t>
      </w:r>
      <w:r>
        <w:rPr>
          <w:i/>
        </w:rPr>
        <w:t xml:space="preserve"> președinte,</w:t>
      </w:r>
      <w:r>
        <w:rPr>
          <w:i/>
        </w:rPr>
        <w:br/>
      </w:r>
      <w:r>
        <w:tab/>
        <w:t>Iulia Antoanella Motoc,</w:t>
      </w:r>
      <w:r>
        <w:rPr>
          <w:i/>
        </w:rPr>
        <w:br/>
      </w:r>
      <w:r>
        <w:tab/>
        <w:t>Carlo Ranzoni,</w:t>
      </w:r>
      <w:r>
        <w:rPr>
          <w:i/>
        </w:rPr>
        <w:t xml:space="preserve"> judecători,</w:t>
      </w:r>
      <w:r>
        <w:br/>
        <w:t xml:space="preserve">și Ilse Freiwirth, </w:t>
      </w:r>
      <w:r>
        <w:rPr>
          <w:i/>
        </w:rPr>
        <w:t>gref</w:t>
      </w:r>
      <w:r>
        <w:rPr>
          <w:i/>
          <w:iCs/>
        </w:rPr>
        <w:t>ier adjunct de secție</w:t>
      </w:r>
      <w:r>
        <w:t>,</w:t>
      </w:r>
    </w:p>
    <w:p w:rsidR="008224D1" w:rsidRPr="000720C3" w:rsidRDefault="008224D1" w:rsidP="000720C3">
      <w:pPr>
        <w:pStyle w:val="JuPara"/>
      </w:pPr>
      <w:bookmarkStart w:id="1" w:name="ITMARKHavingStart"/>
      <w:bookmarkEnd w:id="1"/>
      <w:r>
        <w:t>Având în vedere:</w:t>
      </w:r>
    </w:p>
    <w:p w:rsidR="008224D1" w:rsidRPr="000720C3" w:rsidRDefault="008224D1" w:rsidP="000720C3">
      <w:pPr>
        <w:pStyle w:val="JuPara"/>
      </w:pPr>
      <w:r>
        <w:t xml:space="preserve">cererea (nr. 7418/14) îndreptată împotriva României, prin care un resortisant al acestui stat, dl Dan Valeriu Scurtu („reclamantul“) a </w:t>
      </w:r>
      <w:bookmarkStart w:id="2" w:name="_Hlk36124016"/>
      <w:r>
        <w:t>sesizat Curtea la 15 ianuarie 2014 în temeiul art. 34 din Convenția pentru apărarea drepturilor omului și a libertăților fundamentale („Convenția“)</w:t>
      </w:r>
      <w:bookmarkEnd w:id="2"/>
      <w:r>
        <w:t>,</w:t>
      </w:r>
    </w:p>
    <w:p w:rsidR="008224D1" w:rsidRPr="000720C3" w:rsidRDefault="008224D1" w:rsidP="000720C3">
      <w:pPr>
        <w:pStyle w:val="JuPara"/>
      </w:pPr>
      <w:r>
        <w:t>hotărârea de a aduce cererea la cunoștința Guvernului român (la 8 ianuarie 2015),</w:t>
      </w:r>
    </w:p>
    <w:p w:rsidR="008224D1" w:rsidRPr="000720C3" w:rsidRDefault="008224D1" w:rsidP="000720C3">
      <w:pPr>
        <w:pStyle w:val="JuPara"/>
      </w:pPr>
      <w:r>
        <w:t>observațiile părților,</w:t>
      </w:r>
    </w:p>
    <w:p w:rsidR="008224D1" w:rsidRPr="000720C3" w:rsidRDefault="008224D1" w:rsidP="000720C3">
      <w:pPr>
        <w:pStyle w:val="JuPara"/>
      </w:pPr>
      <w:r>
        <w:t>decizia prin care Curtea a respins obiecția Guvernului față de examinarea cererii de către un comitet,</w:t>
      </w:r>
    </w:p>
    <w:p w:rsidR="004344E6" w:rsidRPr="000720C3" w:rsidRDefault="004344E6" w:rsidP="000720C3">
      <w:pPr>
        <w:pStyle w:val="JuPara"/>
      </w:pPr>
      <w:r>
        <w:t>După ce a deliberat în camera de consiliu, la 15 septembrie 2020,</w:t>
      </w:r>
    </w:p>
    <w:p w:rsidR="00876F03" w:rsidRPr="000720C3" w:rsidRDefault="004344E6" w:rsidP="000720C3">
      <w:pPr>
        <w:pStyle w:val="JuPara"/>
      </w:pPr>
      <w:r>
        <w:t>pronunță prezenta hotărâre, adoptată la aceeași dată:</w:t>
      </w:r>
    </w:p>
    <w:p w:rsidR="008224D1" w:rsidRPr="000720C3" w:rsidRDefault="008224D1" w:rsidP="000720C3">
      <w:pPr>
        <w:pStyle w:val="JuHHead"/>
        <w:numPr>
          <w:ilvl w:val="0"/>
          <w:numId w:val="1"/>
        </w:numPr>
        <w:jc w:val="both"/>
      </w:pPr>
      <w:r>
        <w:t>INTRODUCERE</w:t>
      </w:r>
    </w:p>
    <w:p w:rsidR="008224D1" w:rsidRPr="000720C3" w:rsidRDefault="008224D1" w:rsidP="000720C3">
      <w:pPr>
        <w:pStyle w:val="JuPara"/>
      </w:pPr>
      <w:fldSimple w:instr=" SEQ level0 \*arabic ">
        <w:r w:rsidR="000720C3" w:rsidRPr="000720C3">
          <w:t>1</w:t>
        </w:r>
      </w:fldSimple>
      <w:r>
        <w:t>.  Cererea privește condamnarea reclamantului la o amendă contravențională pentru nerespectare normelor de protecție a mediului. Reclamantul invocă art. 6 § 1 din Convenție.</w:t>
      </w:r>
    </w:p>
    <w:p w:rsidR="008224D1" w:rsidRPr="000720C3" w:rsidRDefault="008224D1" w:rsidP="000720C3">
      <w:pPr>
        <w:pStyle w:val="JuHHead"/>
        <w:numPr>
          <w:ilvl w:val="0"/>
          <w:numId w:val="1"/>
        </w:numPr>
        <w:jc w:val="both"/>
      </w:pPr>
      <w:bookmarkStart w:id="3" w:name="_Hlk36126677"/>
      <w:r>
        <w:t>ÎN FAPT</w:t>
      </w:r>
    </w:p>
    <w:bookmarkEnd w:id="3"/>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2</w:t>
      </w:r>
      <w:r w:rsidRPr="000720C3">
        <w:fldChar w:fldCharType="end"/>
      </w:r>
      <w:r>
        <w:t>.  Reclamantul s-a născut în 1959 și locuiește în Tecuci. Acesta este reprezentat de A. Grigoriu, avocat în București.</w:t>
      </w:r>
    </w:p>
    <w:p w:rsidR="008224D1" w:rsidRPr="000720C3" w:rsidRDefault="008224D1" w:rsidP="000720C3">
      <w:pPr>
        <w:pStyle w:val="JuPara"/>
      </w:pPr>
      <w:fldSimple w:instr=" SEQ level0 \*arabic ">
        <w:r w:rsidR="000720C3" w:rsidRPr="000720C3">
          <w:t>3</w:t>
        </w:r>
      </w:fldSimple>
      <w:r>
        <w:t>.  </w:t>
      </w:r>
      <w:bookmarkStart w:id="4" w:name="_Hlk36127123"/>
      <w:bookmarkEnd w:id="4"/>
      <w:r>
        <w:t xml:space="preserve"> Guvernul român („Guvernul”) a fost reprezentat de agenții guvernamentali, cel mai recent de doamna O. F. Ezer, din cadrul Ministerului Afacerilor Externe.</w:t>
      </w:r>
    </w:p>
    <w:p w:rsidR="008224D1" w:rsidRPr="000720C3" w:rsidRDefault="008224D1" w:rsidP="000720C3">
      <w:pPr>
        <w:pStyle w:val="JuPara"/>
      </w:pPr>
      <w:fldSimple w:instr=" SEQ level0 \*arabic ">
        <w:r w:rsidR="000720C3" w:rsidRPr="000720C3">
          <w:t>4</w:t>
        </w:r>
      </w:fldSimple>
      <w:r>
        <w:t>.  La momentul faptelor, reclamantul era angajat de societatea Z., care gestiona centrul de colectare a deșeurilor din orașul Tecuci. Era responsabilul acestui centru de colectare a deșeurilor, inclusiv în ceea ce privea securitatea la incendiu.</w:t>
      </w:r>
    </w:p>
    <w:bookmarkStart w:id="5" w:name="p5"/>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5</w:t>
      </w:r>
      <w:r w:rsidRPr="000720C3">
        <w:fldChar w:fldCharType="end"/>
      </w:r>
      <w:bookmarkEnd w:id="5"/>
      <w:r>
        <w:t xml:space="preserve">.  La 27 martie 2012, Agenția pentru Protecția Mediului  Galați („agenția”) a întocmit un proces verbal în care se menționa că, la 26 martie 2012, doi inspectori ai agenției se deplasaseră din oficiu la centrul de colectare a deșeurilor unde apăruse un incendiu, că procedaseră la un control în prezența lui T.B., directoarea societății Z., și constataseră că deșeuri, în special din plastic, depozitate pe un teren de aproximativ un hectar, au luat foc provocând un incendiu care răspândea un fum nociv gros. Se preciza că, </w:t>
      </w:r>
      <w:r>
        <w:lastRenderedPageBreak/>
        <w:t>în conformitate cu declarațiile persoanelor care locuiesc în apropiere, incendiul se declanșase sâmbătă, 24 martie 2012, că focul continuase să ardă a doua zi și că, două zile mai târziu, pe 26 martie, focul s-a extins și a devenit incontrolabil din cauza vântului puternic. Pompierii au fost chemați la 26 martie la ora 15, dar intervenția lor a fost dificilă din cauza vântului violent și a fumului gros. Se menționa, de asemenea, că agenția urma să examineze ulterior oportunitatea de a impune eventuale sancțiuni.</w:t>
      </w:r>
    </w:p>
    <w:bookmarkStart w:id="6" w:name="p6"/>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6</w:t>
      </w:r>
      <w:r w:rsidRPr="000720C3">
        <w:fldChar w:fldCharType="end"/>
      </w:r>
      <w:bookmarkEnd w:id="6"/>
      <w:r>
        <w:t>.  La 3 aprilie 2012, T.B., directoarea societății Z., a semnat procesul-verbal fără a ridica obiecții.</w:t>
      </w:r>
    </w:p>
    <w:bookmarkStart w:id="7" w:name="p7"/>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7</w:t>
      </w:r>
      <w:r w:rsidRPr="000720C3">
        <w:fldChar w:fldCharType="end"/>
      </w:r>
      <w:bookmarkEnd w:id="7"/>
      <w:r>
        <w:t xml:space="preserve">.  Printr-un proces verbal întocmit la 19 aprilie 2012, agenția i-a aplicat reclamantului o amendă contravențională de 7 500 lei românești [(RON) – aproximativ 1 689 euro conform ratei de schimb a Băncii Naționale la momentul faptelor] în conformitate cu art. 94 lit. g) și art. 96 alin. (3) pct.9 din Ordonanța de Urgență a Guvernului nr. 195/2005 privind protecția mediului (OUG 195/2005, în continuare „ordonanța din 2005” – infra, pct. </w:t>
      </w:r>
      <w:r w:rsidRPr="000720C3">
        <w:fldChar w:fldCharType="begin"/>
      </w:r>
      <w:r w:rsidRPr="000720C3">
        <w:instrText xml:space="preserve"> REF p23 \h </w:instrText>
      </w:r>
      <w:r w:rsidRPr="000720C3">
        <w:fldChar w:fldCharType="separate"/>
      </w:r>
      <w:r w:rsidR="000720C3" w:rsidRPr="000720C3">
        <w:t>23</w:t>
      </w:r>
      <w:r w:rsidRPr="000720C3">
        <w:fldChar w:fldCharType="end"/>
      </w:r>
      <w:r>
        <w:t>).</w:t>
      </w:r>
    </w:p>
    <w:bookmarkStart w:id="8" w:name="p8"/>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8</w:t>
      </w:r>
      <w:r w:rsidRPr="000720C3">
        <w:fldChar w:fldCharType="end"/>
      </w:r>
      <w:bookmarkEnd w:id="8"/>
      <w:r>
        <w:t>.  În procesul-verbal se preciza că incendiul se declanșase la 24 martie 2012, iar reclamantul omisese să informeze autoritățile locale pentru protecția mediului. În această privință, se reamintea că la finalizarea controlului din 17 ianuarie 2012, agenția stabilise obligația ca societatea Z. să informeze autoritățile competente despre declanșarea oricărui incendiu care nu putea fi stins prin mijloacele proprii ale centrului de colectare a deșeurilor într-o oră de la izbucnirea focului.</w:t>
      </w:r>
    </w:p>
    <w:bookmarkStart w:id="9" w:name="p9"/>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9</w:t>
      </w:r>
      <w:r w:rsidRPr="000720C3">
        <w:fldChar w:fldCharType="end"/>
      </w:r>
      <w:bookmarkEnd w:id="9"/>
      <w:r>
        <w:t>.  Reclamantul a contestat procesul-verbal de contravenție. A susținut că incendiul nu s-ar fi produs la 24 martie, ci la 26 martie 2012.</w:t>
      </w:r>
    </w:p>
    <w:p w:rsidR="008224D1" w:rsidRPr="000720C3" w:rsidRDefault="008224D1" w:rsidP="000720C3">
      <w:pPr>
        <w:pStyle w:val="JuPara"/>
      </w:pPr>
      <w:fldSimple w:instr=" SEQ level0 \*arabic ">
        <w:r w:rsidR="000720C3" w:rsidRPr="000720C3">
          <w:t>10</w:t>
        </w:r>
      </w:fldSimple>
      <w:r>
        <w:t>.  La cererea reclamantului, Judecătoria Tecuci a audiat trei martori, între care T.B., directoarea societății Z., și doi angajați ai societății.</w:t>
      </w:r>
    </w:p>
    <w:bookmarkStart w:id="10" w:name="p11"/>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11</w:t>
      </w:r>
      <w:r w:rsidRPr="000720C3">
        <w:fldChar w:fldCharType="end"/>
      </w:r>
      <w:bookmarkEnd w:id="10"/>
      <w:r>
        <w:t>.  T.B., prezentă la fața locului pe 26 martie 2012, a afirmat că incendiul s-a declanșat probabil în cursul după-amiezii și că, dacă focul ar fi izbucnit anterior, societatea de pază și protecție a centrului de colectare a deșeurilor i-ar fi alertat pe responsabilii societății Z.</w:t>
      </w:r>
    </w:p>
    <w:bookmarkStart w:id="11" w:name="p12"/>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12</w:t>
      </w:r>
      <w:r w:rsidRPr="000720C3">
        <w:fldChar w:fldCharType="end"/>
      </w:r>
      <w:bookmarkEnd w:id="11"/>
      <w:r>
        <w:t>.  L.M., un angajat al societății Z., audiată în calitate de martor, a afirmat că lucrase la centrul de colectare a deșeurilor la 25 martie 2012, când nu exista incendiu. La 26 martie, a fost chemat de colegi și s-a deplasat la centrul de colectare a deșeurilor la sfârșitul dimineții pentru a stinge focul care, potrivit colegilor săi, s-a declanșat și s-a propagat din cauza vântului puternic. S.C., angajată a societății Z., audiată în calitate de martor, a declarat că, de asemenea, la 26 martie, când a venit pe amplasament de la începutul dimineții nu exista incendiu și că a zărit fum pentru prima dată la sfârșitul dimineții. A adăugat că inspectorii au venit la centrul de colectare a deșeurilor după ora 14.</w:t>
      </w:r>
    </w:p>
    <w:bookmarkStart w:id="12" w:name="p13"/>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13</w:t>
      </w:r>
      <w:r w:rsidRPr="000720C3">
        <w:fldChar w:fldCharType="end"/>
      </w:r>
      <w:bookmarkEnd w:id="12"/>
      <w:r>
        <w:t xml:space="preserve">.  Reclamantul a atașat la dosar copii ale înregistrărilor administrative ale centrului de colectare a deșeurilor cu privire la activitatea zilnică. Se </w:t>
      </w:r>
      <w:r>
        <w:lastRenderedPageBreak/>
        <w:t>menționa în acestea că focul izbucnise la 26 martie 2012 și că anterior activitatea a fost normală.</w:t>
      </w:r>
    </w:p>
    <w:p w:rsidR="008224D1" w:rsidRPr="000720C3" w:rsidRDefault="008224D1" w:rsidP="000720C3">
      <w:pPr>
        <w:pStyle w:val="JuPara"/>
      </w:pPr>
      <w:fldSimple w:instr=" SEQ level0 \*arabic ">
        <w:r w:rsidR="000720C3" w:rsidRPr="000720C3">
          <w:t>14</w:t>
        </w:r>
      </w:fldSimple>
      <w:r>
        <w:t>.  Printr-o sentință din 1 noiembrie 2012, instanța a admis contestația formulată de reclamant și a anulat amenda.</w:t>
      </w:r>
    </w:p>
    <w:bookmarkStart w:id="13" w:name="p15"/>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15</w:t>
      </w:r>
      <w:r w:rsidRPr="000720C3">
        <w:fldChar w:fldCharType="end"/>
      </w:r>
      <w:bookmarkEnd w:id="13"/>
      <w:r>
        <w:t>.  Instanța a examinat pe loc chestiunea dacă sancțiunea aplicată reclamantului avea caracter penal. În temeiul jurisprudenței Curții și ținând seama mai cu seamă de scopul disuasiv și punitiv al sancțiunii, instanța concluzionează că procedura privind contestația împotriva procesului-verbal de constatare a contravenției putea fi asimilată unei proceduri penale în sensul art. 6 § 1 din Convenție.</w:t>
      </w:r>
    </w:p>
    <w:bookmarkStart w:id="14" w:name="p16"/>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16</w:t>
      </w:r>
      <w:r w:rsidRPr="000720C3">
        <w:fldChar w:fldCharType="end"/>
      </w:r>
      <w:bookmarkEnd w:id="14"/>
      <w:r>
        <w:t xml:space="preserve">.  Pe fond, a hotărât că procesul-verbal întocmit la 19 aprilie 2012 (supra, pct. </w:t>
      </w:r>
      <w:r w:rsidRPr="000720C3">
        <w:fldChar w:fldCharType="begin"/>
      </w:r>
      <w:r w:rsidRPr="000720C3">
        <w:instrText xml:space="preserve"> REF p7 \h </w:instrText>
      </w:r>
      <w:r w:rsidRPr="000720C3">
        <w:fldChar w:fldCharType="separate"/>
      </w:r>
      <w:r w:rsidR="000720C3" w:rsidRPr="000720C3">
        <w:t>7</w:t>
      </w:r>
      <w:r w:rsidRPr="000720C3">
        <w:fldChar w:fldCharType="end"/>
      </w:r>
      <w:r>
        <w:t xml:space="preserve">) nu beneficia de prezumția că ar fi întemeiat deoarece data menționată pentru declanșarea incendiului, și anume 24 martie 2012, nu a fost constatată personal de inspectorii agenției, bazându-se în exclusivitate pe afirmațiile verbale ale unor persoane neidentificate. Or, instanța a apreciat că acest argument era infirmat de declarațiile martorilor (supra, pct. </w:t>
      </w:r>
      <w:r w:rsidRPr="000720C3">
        <w:fldChar w:fldCharType="begin"/>
      </w:r>
      <w:r w:rsidRPr="000720C3">
        <w:instrText xml:space="preserve"> REF p11 \h </w:instrText>
      </w:r>
      <w:r w:rsidRPr="000720C3">
        <w:fldChar w:fldCharType="separate"/>
      </w:r>
      <w:r w:rsidR="000720C3" w:rsidRPr="000720C3">
        <w:t>11</w:t>
      </w:r>
      <w:r w:rsidRPr="000720C3">
        <w:fldChar w:fldCharType="end"/>
      </w:r>
      <w:r>
        <w:t xml:space="preserve"> și </w:t>
      </w:r>
      <w:r w:rsidRPr="000720C3">
        <w:fldChar w:fldCharType="begin"/>
      </w:r>
      <w:r w:rsidRPr="000720C3">
        <w:instrText xml:space="preserve"> REF p12 \h </w:instrText>
      </w:r>
      <w:r w:rsidRPr="000720C3">
        <w:fldChar w:fldCharType="separate"/>
      </w:r>
      <w:r w:rsidR="000720C3" w:rsidRPr="000720C3">
        <w:t>12</w:t>
      </w:r>
      <w:r w:rsidRPr="000720C3">
        <w:fldChar w:fldCharType="end"/>
      </w:r>
      <w:r>
        <w:t xml:space="preserve">) și de copiile evidențelor administrative (supra, pct. </w:t>
      </w:r>
      <w:r w:rsidRPr="000720C3">
        <w:fldChar w:fldCharType="begin"/>
      </w:r>
      <w:r w:rsidRPr="000720C3">
        <w:instrText xml:space="preserve"> REF p13 \h </w:instrText>
      </w:r>
      <w:r w:rsidRPr="000720C3">
        <w:fldChar w:fldCharType="separate"/>
      </w:r>
      <w:r w:rsidR="000720C3" w:rsidRPr="000720C3">
        <w:t>13</w:t>
      </w:r>
      <w:r w:rsidRPr="000720C3">
        <w:fldChar w:fldCharType="end"/>
      </w:r>
      <w:r>
        <w:t>).</w:t>
      </w:r>
    </w:p>
    <w:p w:rsidR="008224D1" w:rsidRPr="000720C3" w:rsidRDefault="008224D1" w:rsidP="000720C3">
      <w:pPr>
        <w:pStyle w:val="JuPara"/>
      </w:pPr>
      <w:fldSimple w:instr=" SEQ level0 \*arabic ">
        <w:r w:rsidR="000720C3" w:rsidRPr="000720C3">
          <w:t>17</w:t>
        </w:r>
      </w:fldSimple>
      <w:r>
        <w:t>.  Prin urmare, instanța a hotărât că nu s-a demonstrat fără nicio îndoială rezonabilă că reclamantul se făcuse vinovat de contravenția în litigiu.</w:t>
      </w:r>
    </w:p>
    <w:p w:rsidR="008224D1" w:rsidRPr="000720C3" w:rsidRDefault="008224D1" w:rsidP="000720C3">
      <w:pPr>
        <w:pStyle w:val="JuPara"/>
      </w:pPr>
      <w:fldSimple w:instr=" SEQ level0 \*arabic ">
        <w:r w:rsidR="000720C3" w:rsidRPr="000720C3">
          <w:t>18</w:t>
        </w:r>
      </w:fldSimple>
      <w:r>
        <w:t xml:space="preserve">.  Agenția a formulat recurs în fața Tribunalului Galați, pretinzând că judecătoria comisese o eroare prin ignorarea semnării de către T.B. a procesului-verbal întocmit la 27 martie 2012 (supra, pct. </w:t>
      </w:r>
      <w:r w:rsidRPr="000720C3">
        <w:fldChar w:fldCharType="begin"/>
      </w:r>
      <w:r w:rsidRPr="000720C3">
        <w:instrText xml:space="preserve"> REF p5 \h </w:instrText>
      </w:r>
      <w:r w:rsidRPr="000720C3">
        <w:fldChar w:fldCharType="separate"/>
      </w:r>
      <w:r w:rsidR="000720C3" w:rsidRPr="000720C3">
        <w:t>5</w:t>
      </w:r>
      <w:r w:rsidRPr="000720C3">
        <w:fldChar w:fldCharType="end"/>
      </w:r>
      <w:r>
        <w:t xml:space="preserve"> și </w:t>
      </w:r>
      <w:r w:rsidRPr="000720C3">
        <w:fldChar w:fldCharType="begin"/>
      </w:r>
      <w:r w:rsidRPr="000720C3">
        <w:instrText xml:space="preserve"> REF p6 \h </w:instrText>
      </w:r>
      <w:r w:rsidRPr="000720C3">
        <w:fldChar w:fldCharType="separate"/>
      </w:r>
      <w:r w:rsidR="000720C3" w:rsidRPr="000720C3">
        <w:t>6</w:t>
      </w:r>
      <w:r w:rsidRPr="000720C3">
        <w:fldChar w:fldCharType="end"/>
      </w:r>
      <w:r>
        <w:t>). Nu a fost administrată nicio altă probă de către tribunal.</w:t>
      </w:r>
    </w:p>
    <w:bookmarkStart w:id="15" w:name="p19"/>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19</w:t>
      </w:r>
      <w:r w:rsidRPr="000720C3">
        <w:fldChar w:fldCharType="end"/>
      </w:r>
      <w:bookmarkEnd w:id="15"/>
      <w:r>
        <w:t xml:space="preserve">.  Prin hotărârea definitivă din 5 iulie 2013, tribunalul a admis recursul și a confirmat amenda. Fiind vorba de temeinicia procesului-verbal datat 19 aprilie 2012 (supra, pct. </w:t>
      </w:r>
      <w:r w:rsidRPr="000720C3">
        <w:fldChar w:fldCharType="begin"/>
      </w:r>
      <w:r w:rsidRPr="000720C3">
        <w:instrText xml:space="preserve"> REF p7 \h </w:instrText>
      </w:r>
      <w:r w:rsidRPr="000720C3">
        <w:fldChar w:fldCharType="separate"/>
      </w:r>
      <w:r w:rsidR="000720C3" w:rsidRPr="000720C3">
        <w:t>7</w:t>
      </w:r>
      <w:r w:rsidRPr="000720C3">
        <w:fldChar w:fldCharType="end"/>
      </w:r>
      <w:r>
        <w:t>), a considerat că stabilirea faptelor de către primii judecători pe baza interpretării documentelor din dosar era eronată.</w:t>
      </w:r>
    </w:p>
    <w:bookmarkStart w:id="16" w:name="p20"/>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20</w:t>
      </w:r>
      <w:r w:rsidRPr="000720C3">
        <w:fldChar w:fldCharType="end"/>
      </w:r>
      <w:bookmarkEnd w:id="16"/>
      <w:r>
        <w:t xml:space="preserve">.  Tribunalul a considerat că mărturia lui T.B. era ambiguă și că martora nu fusese sinceră când afirmase că incendiul s-ar fi declanșat în după-amiaza de 26 martie 2012 (supra, pct. </w:t>
      </w:r>
      <w:r w:rsidRPr="000720C3">
        <w:fldChar w:fldCharType="begin"/>
      </w:r>
      <w:r w:rsidRPr="000720C3">
        <w:instrText xml:space="preserve"> REF p11 \h </w:instrText>
      </w:r>
      <w:r w:rsidRPr="000720C3">
        <w:fldChar w:fldCharType="separate"/>
      </w:r>
      <w:r w:rsidR="000720C3" w:rsidRPr="000720C3">
        <w:t>11</w:t>
      </w:r>
      <w:r w:rsidRPr="000720C3">
        <w:fldChar w:fldCharType="end"/>
      </w:r>
      <w:r>
        <w:t xml:space="preserve">). În această privință, a hotărât că mărturia acesteia era contrazisă de semnătura sa de pe procesul-verbal cu data de 27 martie, în care se menționa că incendiul se declanșase la 24 martie (supra, pct. </w:t>
      </w:r>
      <w:r w:rsidRPr="000720C3">
        <w:fldChar w:fldCharType="begin"/>
      </w:r>
      <w:r w:rsidRPr="000720C3">
        <w:instrText xml:space="preserve"> REF p5 \h </w:instrText>
      </w:r>
      <w:r w:rsidRPr="000720C3">
        <w:fldChar w:fldCharType="separate"/>
      </w:r>
      <w:r w:rsidR="000720C3" w:rsidRPr="000720C3">
        <w:t>5</w:t>
      </w:r>
      <w:r w:rsidRPr="000720C3">
        <w:fldChar w:fldCharType="end"/>
      </w:r>
      <w:r>
        <w:t xml:space="preserve"> și </w:t>
      </w:r>
      <w:r w:rsidRPr="000720C3">
        <w:fldChar w:fldCharType="begin"/>
      </w:r>
      <w:r w:rsidRPr="000720C3">
        <w:instrText xml:space="preserve"> REF p6 \h </w:instrText>
      </w:r>
      <w:r w:rsidRPr="000720C3">
        <w:fldChar w:fldCharType="separate"/>
      </w:r>
      <w:r w:rsidR="000720C3" w:rsidRPr="000720C3">
        <w:t>6</w:t>
      </w:r>
      <w:r w:rsidRPr="000720C3">
        <w:fldChar w:fldCharType="end"/>
      </w:r>
      <w:r>
        <w:t>), și de amploarea incendiului, care făcea neplauzibilă izbucnirea focului în după-amiaza de 26 martie.</w:t>
      </w:r>
    </w:p>
    <w:bookmarkStart w:id="17" w:name="p21"/>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21</w:t>
      </w:r>
      <w:r w:rsidRPr="000720C3">
        <w:fldChar w:fldCharType="end"/>
      </w:r>
      <w:bookmarkEnd w:id="17"/>
      <w:r>
        <w:t xml:space="preserve">.  Instanța a respins și argumentul reclamantului bazat pe mențiunile din evidențele administrative (supra, pct. </w:t>
      </w:r>
      <w:r w:rsidRPr="000720C3">
        <w:fldChar w:fldCharType="begin"/>
      </w:r>
      <w:r w:rsidRPr="000720C3">
        <w:instrText xml:space="preserve"> REF p13 \h </w:instrText>
      </w:r>
      <w:r w:rsidRPr="000720C3">
        <w:fldChar w:fldCharType="separate"/>
      </w:r>
      <w:r w:rsidR="000720C3" w:rsidRPr="000720C3">
        <w:t>13</w:t>
      </w:r>
      <w:r w:rsidRPr="000720C3">
        <w:fldChar w:fldCharType="end"/>
      </w:r>
      <w:r>
        <w:t>) pe motiv că acestea conțineau „modificări evidente” cu privire la data izbucnirii incendiului.</w:t>
      </w:r>
    </w:p>
    <w:p w:rsidR="008224D1" w:rsidRPr="000720C3" w:rsidRDefault="008224D1" w:rsidP="000720C3">
      <w:pPr>
        <w:pStyle w:val="JuHHead"/>
        <w:numPr>
          <w:ilvl w:val="0"/>
          <w:numId w:val="1"/>
        </w:numPr>
        <w:jc w:val="both"/>
      </w:pPr>
      <w:bookmarkStart w:id="18" w:name="_Hlk36127227"/>
      <w:r>
        <w:rPr>
          <w:caps w:val="0"/>
        </w:rPr>
        <w:t>CADRUL JURIDIC INTERN RELEVANT</w:t>
      </w:r>
    </w:p>
    <w:bookmarkEnd w:id="18"/>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22</w:t>
      </w:r>
      <w:r w:rsidRPr="000720C3">
        <w:fldChar w:fldCharType="end"/>
      </w:r>
      <w:r>
        <w:t xml:space="preserve">.  Dreptul și practica interne relevante în materie de contravenții și evoluția acestora sunt prezentate la pct. 29-40 din hotărârea </w:t>
      </w:r>
      <w:r>
        <w:rPr>
          <w:i/>
        </w:rPr>
        <w:t>Anghel împotriva României</w:t>
      </w:r>
      <w:r>
        <w:t xml:space="preserve"> (nr. 28183/03, 4 octombrie 2007).</w:t>
      </w:r>
    </w:p>
    <w:bookmarkStart w:id="19" w:name="p23"/>
    <w:p w:rsidR="008224D1" w:rsidRPr="000720C3" w:rsidRDefault="008224D1" w:rsidP="000720C3">
      <w:pPr>
        <w:pStyle w:val="JuPara"/>
      </w:pPr>
      <w:r w:rsidRPr="000720C3">
        <w:lastRenderedPageBreak/>
        <w:fldChar w:fldCharType="begin"/>
      </w:r>
      <w:r w:rsidRPr="000720C3">
        <w:instrText xml:space="preserve"> SEQ level0 \*arabic </w:instrText>
      </w:r>
      <w:r w:rsidRPr="000720C3">
        <w:fldChar w:fldCharType="separate"/>
      </w:r>
      <w:r w:rsidR="000720C3" w:rsidRPr="000720C3">
        <w:t>23</w:t>
      </w:r>
      <w:r w:rsidRPr="000720C3">
        <w:fldChar w:fldCharType="end"/>
      </w:r>
      <w:bookmarkEnd w:id="19"/>
      <w:r>
        <w:t>.  Art. 94 lit. g) și art. 96 alin. (3) pct.9 din ordonanța din 2005 privind protecția mediului sunt redactate astfel:</w:t>
      </w:r>
    </w:p>
    <w:p w:rsidR="008224D1" w:rsidRPr="000720C3" w:rsidRDefault="008224D1" w:rsidP="000720C3">
      <w:pPr>
        <w:pStyle w:val="JuHArticle"/>
      </w:pPr>
      <w:r>
        <w:t>Articolul 94</w:t>
      </w:r>
    </w:p>
    <w:p w:rsidR="008224D1" w:rsidRPr="000720C3" w:rsidRDefault="008224D1" w:rsidP="000720C3">
      <w:pPr>
        <w:pStyle w:val="JuQuot"/>
      </w:pPr>
      <w:r>
        <w:t>„Protecția mediului constituie o obligație a tuturor persoanelor fizice și juridice, în care scop:</w:t>
      </w:r>
    </w:p>
    <w:p w:rsidR="008224D1" w:rsidRPr="000720C3" w:rsidRDefault="008224D1" w:rsidP="000720C3">
      <w:pPr>
        <w:pStyle w:val="JuQuot"/>
      </w:pPr>
      <w:r>
        <w:t>[...]</w:t>
      </w:r>
    </w:p>
    <w:p w:rsidR="008224D1" w:rsidRPr="000720C3" w:rsidRDefault="008224D1" w:rsidP="000720C3">
      <w:pPr>
        <w:pStyle w:val="JuQuot"/>
      </w:pPr>
      <w:r>
        <w:t>g) realizează, în totalitate și la termen, măsurile impuse prin actele de constatare încheiate de persoanele împuternicite cu activități de verificare, inspecție si control. ”</w:t>
      </w:r>
    </w:p>
    <w:p w:rsidR="008224D1" w:rsidRPr="000720C3" w:rsidRDefault="008224D1" w:rsidP="000720C3">
      <w:pPr>
        <w:pStyle w:val="JuHArticle"/>
      </w:pPr>
      <w:r>
        <w:t>Articolul 96</w:t>
      </w:r>
    </w:p>
    <w:p w:rsidR="008224D1" w:rsidRPr="000720C3" w:rsidRDefault="008224D1" w:rsidP="000720C3">
      <w:pPr>
        <w:pStyle w:val="JuQuot"/>
      </w:pPr>
      <w:r>
        <w:t>„ (3) Constituie contravenții și se sancționează cu amendă de la 7.500 lei (RON) la 15.000 lei (RON), pentru persoane fizice [...] încălcarea următoarelor prevederi legale:</w:t>
      </w:r>
    </w:p>
    <w:p w:rsidR="008224D1" w:rsidRPr="000720C3" w:rsidRDefault="008224D1" w:rsidP="000720C3">
      <w:pPr>
        <w:pStyle w:val="JuQuot"/>
      </w:pPr>
    </w:p>
    <w:p w:rsidR="008224D1" w:rsidRPr="000720C3" w:rsidRDefault="008224D1" w:rsidP="000720C3">
      <w:pPr>
        <w:pStyle w:val="JuQuot"/>
      </w:pPr>
      <w:r>
        <w:t>9.   obligațiile persoanelor fizice și juridice de a realiza în totalitate și la termen măsurile impuse, în conformitate cu actele de reglementare și prevederile legale, de persoanele împuternicite cu verificarea, inspecția și controlul în domeniul protecției mediului. ”</w:t>
      </w:r>
    </w:p>
    <w:p w:rsidR="008224D1" w:rsidRPr="000720C3" w:rsidRDefault="008224D1" w:rsidP="000720C3">
      <w:pPr>
        <w:pStyle w:val="JuHHead"/>
        <w:numPr>
          <w:ilvl w:val="0"/>
          <w:numId w:val="1"/>
        </w:numPr>
        <w:jc w:val="both"/>
      </w:pPr>
      <w:bookmarkStart w:id="20" w:name="_Hlk36127250"/>
      <w:r>
        <w:rPr>
          <w:caps w:val="0"/>
        </w:rPr>
        <w:t>ÎN DREPT</w:t>
      </w:r>
      <w:bookmarkEnd w:id="20"/>
    </w:p>
    <w:p w:rsidR="008224D1" w:rsidRPr="000720C3" w:rsidRDefault="008224D1" w:rsidP="000720C3">
      <w:pPr>
        <w:pStyle w:val="JuHIRoman"/>
        <w:numPr>
          <w:ilvl w:val="1"/>
          <w:numId w:val="1"/>
        </w:numPr>
        <w:ind w:left="238" w:hanging="238"/>
        <w:jc w:val="both"/>
      </w:pPr>
      <w:bookmarkStart w:id="21" w:name="_Hlk36127423"/>
      <w:bookmarkStart w:id="22" w:name="_Hlk34839031"/>
      <w:r>
        <w:t>CU PRIVIRE LA PRETINSA ÎNCĂLCARE A ART. 6 § 1 DIN CONVENȚIE</w:t>
      </w:r>
      <w:bookmarkEnd w:id="21"/>
    </w:p>
    <w:p w:rsidR="008224D1" w:rsidRPr="000720C3" w:rsidRDefault="008224D1" w:rsidP="000720C3">
      <w:pPr>
        <w:pStyle w:val="JuPara"/>
      </w:pPr>
      <w:fldSimple w:instr=" SEQ level0 \*arabic ">
        <w:r w:rsidR="000720C3" w:rsidRPr="000720C3">
          <w:t>24</w:t>
        </w:r>
      </w:fldSimple>
      <w:r>
        <w:t>.  Reclamantul se plânge de respingerea de către tribunal a contestației sale privind procesul-verbal de contravenție, apreciind că această instanță s-a întemeiat pe probele care au determinat judecătoria să admită aceeași contestație și, aceasta, fără administrarea unor noi probe. Acesta invocă art. 6 § 1 din Convenție, ale cărui dispoziții relevante sunt redactate după cum urmează:</w:t>
      </w:r>
    </w:p>
    <w:p w:rsidR="008224D1" w:rsidRPr="000720C3" w:rsidRDefault="008224D1" w:rsidP="000720C3">
      <w:pPr>
        <w:pStyle w:val="JuQuot"/>
      </w:pPr>
      <w:r>
        <w:t>„Orice persoană are dreptul la judecarea cauzei sale în mod echitabil [...] de către o instanță [...] care va hotărî fie asupra încălcării drepturilor și obligațiilor sale cu caracter civil, fie asupra temeiniciei oricărei acuzații în materie penală împotriva sa [...]. ”</w:t>
      </w:r>
    </w:p>
    <w:p w:rsidR="008224D1" w:rsidRPr="000720C3" w:rsidRDefault="008224D1" w:rsidP="000720C3">
      <w:pPr>
        <w:pStyle w:val="JuHA"/>
        <w:numPr>
          <w:ilvl w:val="2"/>
          <w:numId w:val="1"/>
        </w:numPr>
        <w:jc w:val="both"/>
      </w:pPr>
      <w:bookmarkStart w:id="23" w:name="_Hlk36127545"/>
      <w:r>
        <w:t>Cu privire la admisibilitate</w:t>
      </w:r>
      <w:bookmarkEnd w:id="23"/>
    </w:p>
    <w:p w:rsidR="008224D1" w:rsidRPr="000720C3" w:rsidRDefault="008224D1" w:rsidP="000720C3">
      <w:pPr>
        <w:pStyle w:val="JuPara"/>
      </w:pPr>
      <w:fldSimple w:instr=" SEQ level0 \*arabic ">
        <w:r w:rsidR="000720C3" w:rsidRPr="000720C3">
          <w:t>25</w:t>
        </w:r>
      </w:fldSimple>
      <w:r>
        <w:t>.  </w:t>
      </w:r>
      <w:bookmarkStart w:id="24" w:name="_Hlk36127558"/>
      <w:r>
        <w:t>Guvernul</w:t>
      </w:r>
      <w:bookmarkEnd w:id="24"/>
      <w:r>
        <w:t xml:space="preserve"> apreciază, în primul rând, că art. 6 § 1 din Convenție nu este aplicabil în speță din perspectiva laturii sale penale. Afirmă că dispozițiile încălcate de reclamant (supra, pct. 23) nu au un caracter general, ci se adresează doar unui grup determinat, adică celui al persoanelor răspunzătoare de punerea în aplicare a măsurilor impuse de autoritățile pentru protecția mediului.</w:t>
      </w:r>
    </w:p>
    <w:p w:rsidR="008224D1" w:rsidRPr="000720C3" w:rsidRDefault="008224D1" w:rsidP="000720C3">
      <w:pPr>
        <w:pStyle w:val="JuPara"/>
      </w:pPr>
      <w:fldSimple w:instr=" SEQ level0 \*arabic ">
        <w:r w:rsidR="000720C3" w:rsidRPr="000720C3">
          <w:t>26</w:t>
        </w:r>
      </w:fldSimple>
      <w:r>
        <w:t xml:space="preserve">.  Adaugă faptul că dispozițiile ordonanței din 2005 nu au un scop represiv, ci urmăresc un scop legitim, respectiv protejarea mediului de către </w:t>
      </w:r>
      <w:r>
        <w:lastRenderedPageBreak/>
        <w:t>autoritățile competente, care trebuie să fie informate cu privire la orice sursă de poluare importantă.</w:t>
      </w:r>
    </w:p>
    <w:bookmarkStart w:id="25" w:name="p27"/>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27</w:t>
      </w:r>
      <w:r w:rsidRPr="000720C3">
        <w:fldChar w:fldCharType="end"/>
      </w:r>
      <w:bookmarkEnd w:id="25"/>
      <w:r>
        <w:t>.  Precizează că amenda aplicată reclamantului reprezenta minimul prevăzut de ordonanța din 2005 și că nu putea fi înlocuită cu o pedeapsă privativă de libertate în caz de neplată.</w:t>
      </w:r>
    </w:p>
    <w:p w:rsidR="008224D1" w:rsidRPr="000720C3" w:rsidRDefault="008224D1" w:rsidP="000720C3">
      <w:pPr>
        <w:pStyle w:val="JuPara"/>
      </w:pPr>
      <w:fldSimple w:instr=" SEQ level0 \*arabic ">
        <w:r w:rsidR="000720C3" w:rsidRPr="000720C3">
          <w:t>28</w:t>
        </w:r>
      </w:fldSimple>
      <w:r>
        <w:t xml:space="preserve">.  Guvernul consideră că, în aceste condiții, principiile enunțate în cauza </w:t>
      </w:r>
      <w:r>
        <w:rPr>
          <w:i/>
        </w:rPr>
        <w:t>Găitănaru împotriva</w:t>
      </w:r>
      <w:r>
        <w:t> </w:t>
      </w:r>
      <w:r>
        <w:rPr>
          <w:i/>
          <w:iCs/>
        </w:rPr>
        <w:t>României</w:t>
      </w:r>
      <w:r>
        <w:t xml:space="preserve"> (nr. 26082/05, 26 iunie 2012), privind o acuzație în materie penală, nu sunt aplicabile în speța de față.</w:t>
      </w:r>
    </w:p>
    <w:p w:rsidR="008224D1" w:rsidRPr="000720C3" w:rsidRDefault="008224D1" w:rsidP="000720C3">
      <w:pPr>
        <w:pStyle w:val="JuPara"/>
      </w:pPr>
      <w:fldSimple w:instr=" SEQ level0 \*arabic ">
        <w:r w:rsidR="000720C3" w:rsidRPr="000720C3">
          <w:t>29</w:t>
        </w:r>
      </w:fldSimple>
      <w:r>
        <w:t>.  Reclamantul consideră că sancțiunea era severă. Subliniază că amenda aplicată reprezenta, la momentul faptelor, echivalentul a mai mult de zece salarii minime și că în caz de neplată putea fi înlocuită cu obligația de a presta o activitate în folosul comunității. Acesta adaugă că, în definirea contravenției care îi era reproșată, cuvintele folosite de legislator dau o „coloratură penală” litigiului cu agenția.</w:t>
      </w:r>
    </w:p>
    <w:p w:rsidR="008224D1" w:rsidRPr="000720C3" w:rsidRDefault="008224D1" w:rsidP="000720C3">
      <w:pPr>
        <w:pStyle w:val="JuPara"/>
      </w:pPr>
      <w:fldSimple w:instr=" SEQ level0 \*arabic ">
        <w:r w:rsidR="000720C3" w:rsidRPr="000720C3">
          <w:t>30</w:t>
        </w:r>
      </w:fldSimple>
      <w:r>
        <w:t xml:space="preserve">.  Curtea reamintește că, potrivit jurisprudenței sale constante, existența sau inexistența unei „acuzații în materie penală” trebuie să fie apreciată pe baza a trei criterii, denumite în mod curent „criteriile </w:t>
      </w:r>
      <w:r>
        <w:rPr>
          <w:i/>
          <w:iCs/>
        </w:rPr>
        <w:t>Engel</w:t>
      </w:r>
      <w:r>
        <w:t>” (</w:t>
      </w:r>
      <w:r>
        <w:rPr>
          <w:i/>
        </w:rPr>
        <w:t>Engel și alții împotriva Țărilor de Jos</w:t>
      </w:r>
      <w:r>
        <w:t>, 8 iunie 1976, seria A nr. 22), precum încadrarea juridică a infracțiunii în dreptul intern, însăși natura infracțiunii și gradul de severitate a sancțiunii pe care riscă să o primească persoana în cauză. Criteriile al doilea și al treilea sunt alternative și nu neapărat cumulative. Pentru ca art. 6 să fie aplicat, este suficient ca infracțiunea în cauză să fie penală, prin natura sa, sau să fi expus persoana în cauză la o sancțiune care, prin natura și gravitatea sa, face parte în general din materia penală.</w:t>
      </w:r>
      <w:r>
        <w:rPr>
          <w:rFonts w:ascii="Times New Roman" w:hAnsi="Times New Roman"/>
        </w:rPr>
        <w:t xml:space="preserve"> </w:t>
      </w:r>
      <w:r>
        <w:t xml:space="preserve">Acest lucru nu împiedică adoptarea </w:t>
      </w:r>
      <w:r>
        <w:rPr>
          <w:rFonts w:ascii="Times New Roman" w:hAnsi="Times New Roman"/>
        </w:rPr>
        <w:t>unei abordări cumulative dacă analiza separată a fiecărui criteriu nu permite să se ajungă la o concluzie clară cu privire la existența unei</w:t>
      </w:r>
      <w:r>
        <w:t xml:space="preserve"> acuzații în materie penală [</w:t>
      </w:r>
      <w:r>
        <w:rPr>
          <w:i/>
        </w:rPr>
        <w:t>Ezeh și Connors</w:t>
      </w:r>
      <w:r>
        <w:t xml:space="preserve"> </w:t>
      </w:r>
      <w:r>
        <w:rPr>
          <w:i/>
          <w:iCs/>
        </w:rPr>
        <w:t>împotriva Regatului Unit</w:t>
      </w:r>
      <w:r>
        <w:t xml:space="preserve"> (MC), nr. 39665/98 și 40086/98, pct. 86, CEDO 2003</w:t>
      </w:r>
      <w:r>
        <w:noBreakHyphen/>
        <w:t>X].</w:t>
      </w:r>
    </w:p>
    <w:p w:rsidR="008224D1" w:rsidRPr="000720C3" w:rsidRDefault="008224D1" w:rsidP="000720C3">
      <w:pPr>
        <w:pStyle w:val="JuPara"/>
      </w:pPr>
      <w:fldSimple w:instr=" SEQ level0 \*arabic ">
        <w:r w:rsidR="000720C3" w:rsidRPr="000720C3">
          <w:t>31</w:t>
        </w:r>
      </w:fldSimple>
      <w:r>
        <w:t xml:space="preserve">.  În speță, Curtea reține că judecătoria a concluzionat că garanțiile de la art. 6 din Convenție în materie penală erau aplicabile în procedura privind contestarea procesului-verbal din data de 19 aprilie 2012 dat fiind caracterul preventiv și punitiv al sancțiunii aplicate reclamantului (supra, pct. </w:t>
      </w:r>
      <w:r w:rsidRPr="000720C3">
        <w:fldChar w:fldCharType="begin"/>
      </w:r>
      <w:r w:rsidRPr="000720C3">
        <w:instrText xml:space="preserve"> REF p15 \h </w:instrText>
      </w:r>
      <w:r w:rsidRPr="000720C3">
        <w:fldChar w:fldCharType="separate"/>
      </w:r>
      <w:r w:rsidR="000720C3" w:rsidRPr="000720C3">
        <w:t>15</w:t>
      </w:r>
      <w:r w:rsidRPr="000720C3">
        <w:fldChar w:fldCharType="end"/>
      </w:r>
      <w:r>
        <w:t xml:space="preserve">). Tribunalul nu a infirmat hotărârea pronunțată în primă instanță pe această temă, ci numai în ceea ce privește stabilirea faptelor și interpretarea probelor (supra, pct. </w:t>
      </w:r>
      <w:r w:rsidRPr="000720C3">
        <w:fldChar w:fldCharType="begin"/>
      </w:r>
      <w:r w:rsidRPr="000720C3">
        <w:instrText xml:space="preserve"> REF p19 \h </w:instrText>
      </w:r>
      <w:r w:rsidRPr="000720C3">
        <w:fldChar w:fldCharType="separate"/>
      </w:r>
      <w:r w:rsidR="000720C3" w:rsidRPr="000720C3">
        <w:t>19</w:t>
      </w:r>
      <w:r w:rsidRPr="000720C3">
        <w:fldChar w:fldCharType="end"/>
      </w:r>
      <w:r>
        <w:t>).</w:t>
      </w:r>
    </w:p>
    <w:p w:rsidR="008224D1" w:rsidRPr="000720C3" w:rsidRDefault="008224D1" w:rsidP="000720C3">
      <w:pPr>
        <w:pStyle w:val="JuPara"/>
      </w:pPr>
      <w:fldSimple w:instr=" SEQ level0 \*arabic ">
        <w:r w:rsidR="000720C3" w:rsidRPr="000720C3">
          <w:t>32</w:t>
        </w:r>
      </w:fldSimple>
      <w:r>
        <w:t xml:space="preserve">.  Curtea menționează și că, deși în speță au fost aplicate dispozițiile Ordonanței din 2005 într-un context deosebit, art. 94 lit. g) are o aplicare generală și nu vizează în mod deosebit activitatea reclamantului (supra, pct. </w:t>
      </w:r>
      <w:r w:rsidRPr="000720C3">
        <w:fldChar w:fldCharType="begin"/>
      </w:r>
      <w:r w:rsidRPr="000720C3">
        <w:instrText xml:space="preserve"> REF p23 \h </w:instrText>
      </w:r>
      <w:r w:rsidRPr="000720C3">
        <w:fldChar w:fldCharType="separate"/>
      </w:r>
      <w:r w:rsidR="000720C3" w:rsidRPr="000720C3">
        <w:t>23</w:t>
      </w:r>
      <w:r w:rsidRPr="000720C3">
        <w:fldChar w:fldCharType="end"/>
      </w:r>
      <w:r>
        <w:t>).</w:t>
      </w:r>
    </w:p>
    <w:p w:rsidR="008224D1" w:rsidRPr="000720C3" w:rsidRDefault="008224D1" w:rsidP="000720C3">
      <w:pPr>
        <w:pStyle w:val="JuPara"/>
        <w:rPr>
          <w:iCs/>
        </w:rPr>
      </w:pPr>
      <w:fldSimple w:instr=" SEQ level0 \*arabic ">
        <w:r w:rsidR="000720C3" w:rsidRPr="000720C3">
          <w:t>33</w:t>
        </w:r>
      </w:fldSimple>
      <w:r>
        <w:t xml:space="preserve">.  Deși Guvernul susține că reclamantul nu risca o pedeapsă cu închisoarea (supra, pct. </w:t>
      </w:r>
      <w:r w:rsidRPr="000720C3">
        <w:fldChar w:fldCharType="begin"/>
      </w:r>
      <w:r w:rsidRPr="000720C3">
        <w:instrText xml:space="preserve"> REF p27 \h </w:instrText>
      </w:r>
      <w:r w:rsidRPr="000720C3">
        <w:fldChar w:fldCharType="separate"/>
      </w:r>
      <w:r w:rsidR="000720C3" w:rsidRPr="000720C3">
        <w:t>27</w:t>
      </w:r>
      <w:r w:rsidRPr="000720C3">
        <w:fldChar w:fldCharType="end"/>
      </w:r>
      <w:r>
        <w:t xml:space="preserve">), Curtea reamintește că acest lucru nu este totuși determinant, în sine, în sensul aplicabilității laturii penale a art. 6 din Convenție, întrucât, astfel cum aceasta a subliniat în repetate rânduri, caracterul relativ diminuat al mizei nu poate să anuleze caracterul penal </w:t>
      </w:r>
      <w:r>
        <w:lastRenderedPageBreak/>
        <w:t xml:space="preserve">intrinsec al unei infracțiuni (a se vedea, printre altele, </w:t>
      </w:r>
      <w:r>
        <w:rPr>
          <w:i/>
        </w:rPr>
        <w:t>Öztürk</w:t>
      </w:r>
      <w:r>
        <w:t xml:space="preserve"> </w:t>
      </w:r>
      <w:r>
        <w:rPr>
          <w:i/>
          <w:iCs/>
        </w:rPr>
        <w:t>împotriva Germaniei</w:t>
      </w:r>
      <w:r>
        <w:t>, 21 februarie 1984, pct. 54, seria A nr. 73, și</w:t>
      </w:r>
      <w:r>
        <w:rPr>
          <w:vertAlign w:val="superscript"/>
        </w:rPr>
        <w:t xml:space="preserve"> </w:t>
      </w:r>
      <w:r>
        <w:rPr>
          <w:i/>
          <w:iCs/>
        </w:rPr>
        <w:t>Lutz împotriva Germaniei</w:t>
      </w:r>
      <w:r>
        <w:t>,</w:t>
      </w:r>
      <w:r>
        <w:rPr>
          <w:i/>
        </w:rPr>
        <w:t xml:space="preserve"> </w:t>
      </w:r>
      <w:r>
        <w:t>25 august 1987, pct. 54, seria A nr. 123).</w:t>
      </w:r>
    </w:p>
    <w:p w:rsidR="008224D1" w:rsidRPr="000720C3" w:rsidRDefault="008224D1" w:rsidP="000720C3">
      <w:pPr>
        <w:pStyle w:val="JuPara"/>
        <w:rPr>
          <w:iCs/>
        </w:rPr>
      </w:pPr>
      <w:fldSimple w:instr=" SEQ level0 \*arabic ">
        <w:r w:rsidR="000720C3" w:rsidRPr="000720C3">
          <w:t>34</w:t>
        </w:r>
      </w:fldSimple>
      <w:r>
        <w:t>.  În lumina acestor elemente, Curtea nu vede niciun motiv care ar permite să se ajungă la o concluzie diferită de cea a instanțelor naționale. Prin urmare, Curtea consideră că respectiva contravenție pentru care a fost sancționat reclamantul avea caracter penal în sensul art. 6 din Convenție, care este așadar aplicabil sub aspect penal.</w:t>
      </w:r>
    </w:p>
    <w:bookmarkStart w:id="26" w:name="_Hlk36127606"/>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35</w:t>
      </w:r>
      <w:r w:rsidRPr="000720C3">
        <w:fldChar w:fldCharType="end"/>
      </w:r>
      <w:r>
        <w:t>.  Constatând că prezenta cerere nu este în mod vădit nefondată și că nu prezintă niciun alt motiv de inadmisibilitate în sensul art. 35 din Convenție, Curtea o declară admisibilă.</w:t>
      </w:r>
      <w:bookmarkEnd w:id="26"/>
    </w:p>
    <w:p w:rsidR="008224D1" w:rsidRPr="000720C3" w:rsidRDefault="008224D1" w:rsidP="000720C3">
      <w:pPr>
        <w:pStyle w:val="JuHA"/>
        <w:numPr>
          <w:ilvl w:val="2"/>
          <w:numId w:val="1"/>
        </w:numPr>
        <w:jc w:val="both"/>
      </w:pPr>
      <w:bookmarkStart w:id="27" w:name="_Hlk36127650"/>
      <w:r>
        <w:t>Cu privire la fond</w:t>
      </w:r>
      <w:bookmarkEnd w:id="27"/>
    </w:p>
    <w:p w:rsidR="008224D1" w:rsidRPr="000720C3" w:rsidRDefault="008224D1" w:rsidP="000720C3">
      <w:pPr>
        <w:pStyle w:val="JuPara"/>
      </w:pPr>
      <w:fldSimple w:instr=" SEQ level0 \*arabic ">
        <w:r w:rsidR="000720C3" w:rsidRPr="000720C3">
          <w:t>36</w:t>
        </w:r>
      </w:fldSimple>
      <w:r>
        <w:t xml:space="preserve">.  Reclamantul consideră că respingerea de către tribunal a contestației sale privind procesul-verbal din 19 aprilie 2012 (supra, pct. </w:t>
      </w:r>
      <w:r w:rsidRPr="000720C3">
        <w:fldChar w:fldCharType="begin"/>
      </w:r>
      <w:r w:rsidRPr="000720C3">
        <w:instrText xml:space="preserve"> REF p7 \h </w:instrText>
      </w:r>
      <w:r w:rsidRPr="000720C3">
        <w:fldChar w:fldCharType="separate"/>
      </w:r>
      <w:r w:rsidR="000720C3" w:rsidRPr="000720C3">
        <w:t>7</w:t>
      </w:r>
      <w:r w:rsidRPr="000720C3">
        <w:fldChar w:fldCharType="end"/>
      </w:r>
      <w:r>
        <w:t>), fără ca această instanță să audieze martorii și să administreze noi probe reprezintă o încălcare a dreptului său la un proces echitabil.</w:t>
      </w:r>
    </w:p>
    <w:p w:rsidR="008224D1" w:rsidRPr="000720C3" w:rsidRDefault="008224D1" w:rsidP="000720C3">
      <w:pPr>
        <w:pStyle w:val="JuPara"/>
      </w:pPr>
      <w:fldSimple w:instr=" SEQ level0 \*arabic ">
        <w:r w:rsidR="000720C3" w:rsidRPr="000720C3">
          <w:t>37</w:t>
        </w:r>
      </w:fldSimple>
      <w:r>
        <w:t xml:space="preserve">.  Afirmă că semnătura lui T.B. de pe procesul-verbal întocmit la 27 martie 2012 (supra, pct. </w:t>
      </w:r>
      <w:r w:rsidRPr="000720C3">
        <w:fldChar w:fldCharType="begin"/>
      </w:r>
      <w:r w:rsidRPr="000720C3">
        <w:instrText xml:space="preserve"> REF p5 \h </w:instrText>
      </w:r>
      <w:r w:rsidRPr="000720C3">
        <w:fldChar w:fldCharType="separate"/>
      </w:r>
      <w:r w:rsidR="000720C3" w:rsidRPr="000720C3">
        <w:t>5</w:t>
      </w:r>
      <w:r w:rsidRPr="000720C3">
        <w:fldChar w:fldCharType="end"/>
      </w:r>
      <w:r>
        <w:t xml:space="preserve"> și </w:t>
      </w:r>
      <w:r w:rsidRPr="000720C3">
        <w:fldChar w:fldCharType="begin"/>
      </w:r>
      <w:r w:rsidRPr="000720C3">
        <w:instrText xml:space="preserve"> REF p6 \h </w:instrText>
      </w:r>
      <w:r w:rsidRPr="000720C3">
        <w:fldChar w:fldCharType="separate"/>
      </w:r>
      <w:r w:rsidR="000720C3" w:rsidRPr="000720C3">
        <w:t>6</w:t>
      </w:r>
      <w:r w:rsidRPr="000720C3">
        <w:fldChar w:fldCharType="end"/>
      </w:r>
      <w:r>
        <w:t>) nu putea justifica condamnarea sa și că, potrivit lui, această semnătură nu însemna încuviințarea versiunii faptelor stabilite de agenție, ci doar proba remiterii procesului-verbal către T.B.</w:t>
      </w:r>
    </w:p>
    <w:bookmarkStart w:id="28" w:name="p38"/>
    <w:p w:rsidR="008224D1" w:rsidRPr="000720C3" w:rsidRDefault="008224D1" w:rsidP="000720C3">
      <w:pPr>
        <w:pStyle w:val="JuPara"/>
      </w:pPr>
      <w:r w:rsidRPr="000720C3">
        <w:fldChar w:fldCharType="begin"/>
      </w:r>
      <w:r w:rsidRPr="000720C3">
        <w:instrText xml:space="preserve"> SEQ level0 \*arabic </w:instrText>
      </w:r>
      <w:r w:rsidRPr="000720C3">
        <w:fldChar w:fldCharType="separate"/>
      </w:r>
      <w:r w:rsidR="000720C3" w:rsidRPr="000720C3">
        <w:t>38</w:t>
      </w:r>
      <w:r w:rsidRPr="000720C3">
        <w:fldChar w:fldCharType="end"/>
      </w:r>
      <w:bookmarkEnd w:id="28"/>
      <w:r>
        <w:t>.  Guvernul apreciază că garanțiile fundamentale ale unui proces echitabil au fost respectate în cadrul procedurii în litigiu. Subliniază că judecătoria a administrat probele cerute de reclamant și că tribunalul și-a întemeiat hotărârea pe înscrisurile din dosar, îndepărtând motivat mărturia lui T.B.</w:t>
      </w:r>
    </w:p>
    <w:p w:rsidR="008224D1" w:rsidRPr="000720C3" w:rsidRDefault="008224D1" w:rsidP="000720C3">
      <w:pPr>
        <w:pStyle w:val="JuPara"/>
      </w:pPr>
      <w:fldSimple w:instr=" SEQ level0 \*arabic ">
        <w:r w:rsidR="000720C3" w:rsidRPr="000720C3">
          <w:t>39</w:t>
        </w:r>
      </w:fldSimple>
      <w:r>
        <w:t>.  Guvernul susține că reclamantul a beneficiat de o procedură contradictorie și că a putut să-și prezinte apărarea și să conteste argumentul agenției.</w:t>
      </w:r>
    </w:p>
    <w:bookmarkStart w:id="29" w:name="_Hlk36127691"/>
    <w:p w:rsidR="008224D1" w:rsidRPr="000720C3" w:rsidRDefault="008224D1" w:rsidP="000720C3">
      <w:pPr>
        <w:pStyle w:val="JuPara"/>
        <w:rPr>
          <w:iCs/>
        </w:rPr>
      </w:pPr>
      <w:r w:rsidRPr="000720C3">
        <w:fldChar w:fldCharType="begin"/>
      </w:r>
      <w:r w:rsidRPr="000720C3">
        <w:instrText xml:space="preserve"> SEQ level0 \*arabic </w:instrText>
      </w:r>
      <w:r w:rsidRPr="000720C3">
        <w:fldChar w:fldCharType="separate"/>
      </w:r>
      <w:r w:rsidR="000720C3" w:rsidRPr="000720C3">
        <w:t>40</w:t>
      </w:r>
      <w:r w:rsidRPr="000720C3">
        <w:fldChar w:fldCharType="end"/>
      </w:r>
      <w:r>
        <w:t xml:space="preserve">.  Curtea face trimitere la principiile generale care reglementează modalitățile de aplicare a art. 6 din Convenție la procedurile în apel, pe care le-a reamintit în cauza </w:t>
      </w:r>
      <w:r>
        <w:rPr>
          <w:i/>
        </w:rPr>
        <w:t>Găitănaru</w:t>
      </w:r>
      <w:r>
        <w:t xml:space="preserve"> citată anterior, pct. 26- 27 ( a se vedea, de asemenea, </w:t>
      </w:r>
      <w:r>
        <w:rPr>
          <w:i/>
        </w:rPr>
        <w:t>Flueraş</w:t>
      </w:r>
      <w:r>
        <w:t xml:space="preserve"> </w:t>
      </w:r>
      <w:r>
        <w:rPr>
          <w:i/>
          <w:iCs/>
        </w:rPr>
        <w:t>împotriva României</w:t>
      </w:r>
      <w:r>
        <w:t xml:space="preserve">, nr. 17520/04, pct. 53-54, 9 aprilie 2013, și </w:t>
      </w:r>
      <w:r>
        <w:rPr>
          <w:i/>
        </w:rPr>
        <w:t>Moinescu</w:t>
      </w:r>
      <w:r>
        <w:t xml:space="preserve"> </w:t>
      </w:r>
      <w:r>
        <w:rPr>
          <w:i/>
          <w:iCs/>
        </w:rPr>
        <w:t>împotriva României</w:t>
      </w:r>
      <w:r>
        <w:t>, nr. 16903/12, pct. 33-34, 15 septembrie 2015).</w:t>
      </w:r>
    </w:p>
    <w:p w:rsidR="008224D1" w:rsidRPr="000720C3" w:rsidRDefault="008224D1" w:rsidP="000720C3">
      <w:pPr>
        <w:pStyle w:val="JuPara"/>
        <w:rPr>
          <w:rFonts w:cstheme="minorHAnsi"/>
          <w:iCs/>
        </w:rPr>
      </w:pPr>
      <w:r w:rsidRPr="000720C3">
        <w:rPr>
          <w:rFonts w:cstheme="minorHAnsi"/>
        </w:rPr>
        <w:fldChar w:fldCharType="begin"/>
      </w:r>
      <w:r w:rsidRPr="000720C3">
        <w:rPr>
          <w:rFonts w:cstheme="minorHAnsi"/>
        </w:rPr>
        <w:instrText xml:space="preserve"> SEQ level0 \*arabic </w:instrText>
      </w:r>
      <w:r w:rsidRPr="000720C3">
        <w:rPr>
          <w:rFonts w:cstheme="minorHAnsi"/>
        </w:rPr>
        <w:fldChar w:fldCharType="separate"/>
      </w:r>
      <w:r w:rsidR="000720C3" w:rsidRPr="000720C3">
        <w:rPr>
          <w:rFonts w:cstheme="minorHAnsi"/>
        </w:rPr>
        <w:t>41</w:t>
      </w:r>
      <w:r w:rsidRPr="000720C3">
        <w:rPr>
          <w:rFonts w:cstheme="minorHAnsi"/>
        </w:rPr>
        <w:fldChar w:fldCharType="end"/>
      </w:r>
      <w:r>
        <w:t xml:space="preserve">.  În speță, Curtea reține că, pentru a tranșa chestiunea </w:t>
      </w:r>
      <w:r>
        <w:rPr>
          <w:color w:val="000000"/>
        </w:rPr>
        <w:t xml:space="preserve">temeiniciei amenzii aplicate reclamantului de agenție, prevăzută în procesul-verbal din 19 aprilie 2012 </w:t>
      </w:r>
      <w:r>
        <w:t xml:space="preserve">(supra, pct. </w:t>
      </w:r>
      <w:r w:rsidRPr="000720C3">
        <w:fldChar w:fldCharType="begin"/>
      </w:r>
      <w:r w:rsidRPr="000720C3">
        <w:instrText xml:space="preserve"> REF p7 \h </w:instrText>
      </w:r>
      <w:r w:rsidRPr="000720C3">
        <w:fldChar w:fldCharType="separate"/>
      </w:r>
      <w:r w:rsidR="000720C3" w:rsidRPr="000720C3">
        <w:t>7</w:t>
      </w:r>
      <w:r w:rsidRPr="000720C3">
        <w:fldChar w:fldCharType="end"/>
      </w:r>
      <w:r>
        <w:t>)</w:t>
      </w:r>
      <w:r>
        <w:rPr>
          <w:color w:val="000000"/>
        </w:rPr>
        <w:t xml:space="preserve">, </w:t>
      </w:r>
      <w:r>
        <w:t>era hotărâtoare cunoașterea datei la care se declanșase incendiul survenit la centrul de colectare a deșeurilor din Tecuci.</w:t>
      </w:r>
    </w:p>
    <w:p w:rsidR="008224D1" w:rsidRPr="000720C3" w:rsidRDefault="008224D1" w:rsidP="000720C3">
      <w:pPr>
        <w:pStyle w:val="JuPara"/>
        <w:rPr>
          <w:iCs/>
        </w:rPr>
      </w:pPr>
      <w:fldSimple w:instr=" SEQ level0 \*arabic ">
        <w:r w:rsidR="000720C3" w:rsidRPr="000720C3">
          <w:t>42</w:t>
        </w:r>
      </w:fldSimple>
      <w:r>
        <w:t xml:space="preserve">.  Sub acest aspect, au fost prezentate două versiuni ale faptelor: conform primei, susținute de reclamant, directoarea și angajații societății Z., focul ar fi izbucnit la 26 martie 2012 (supra, pct. </w:t>
      </w:r>
      <w:r w:rsidRPr="000720C3">
        <w:fldChar w:fldCharType="begin"/>
      </w:r>
      <w:r w:rsidRPr="000720C3">
        <w:instrText xml:space="preserve"> REF p9 \h </w:instrText>
      </w:r>
      <w:r w:rsidRPr="000720C3">
        <w:fldChar w:fldCharType="separate"/>
      </w:r>
      <w:r w:rsidR="000720C3" w:rsidRPr="000720C3">
        <w:t>9</w:t>
      </w:r>
      <w:r w:rsidRPr="000720C3">
        <w:fldChar w:fldCharType="end"/>
      </w:r>
      <w:r>
        <w:t xml:space="preserve">, </w:t>
      </w:r>
      <w:r w:rsidRPr="000720C3">
        <w:fldChar w:fldCharType="begin"/>
      </w:r>
      <w:r w:rsidRPr="000720C3">
        <w:instrText xml:space="preserve"> REF p11 \h </w:instrText>
      </w:r>
      <w:r w:rsidRPr="000720C3">
        <w:fldChar w:fldCharType="separate"/>
      </w:r>
      <w:r w:rsidR="000720C3" w:rsidRPr="000720C3">
        <w:t>11</w:t>
      </w:r>
      <w:r w:rsidRPr="000720C3">
        <w:fldChar w:fldCharType="end"/>
      </w:r>
      <w:r>
        <w:t xml:space="preserve"> și </w:t>
      </w:r>
      <w:r w:rsidRPr="000720C3">
        <w:fldChar w:fldCharType="begin"/>
      </w:r>
      <w:r w:rsidRPr="000720C3">
        <w:instrText xml:space="preserve"> REF p12 \h </w:instrText>
      </w:r>
      <w:r w:rsidRPr="000720C3">
        <w:fldChar w:fldCharType="separate"/>
      </w:r>
      <w:r w:rsidR="000720C3" w:rsidRPr="000720C3">
        <w:t>12</w:t>
      </w:r>
      <w:r w:rsidRPr="000720C3">
        <w:fldChar w:fldCharType="end"/>
      </w:r>
      <w:r>
        <w:t xml:space="preserve">); conform celei </w:t>
      </w:r>
      <w:r>
        <w:lastRenderedPageBreak/>
        <w:t xml:space="preserve">de-a doua, susținute de agenție, care se baza pe declarațiile unor riverani neidentificați, focul s-ar fi văzut din 24 martie 2012 (supra, pct. </w:t>
      </w:r>
      <w:r w:rsidRPr="000720C3">
        <w:fldChar w:fldCharType="begin"/>
      </w:r>
      <w:r w:rsidRPr="000720C3">
        <w:instrText xml:space="preserve"> REF p5 \h </w:instrText>
      </w:r>
      <w:r w:rsidRPr="000720C3">
        <w:fldChar w:fldCharType="separate"/>
      </w:r>
      <w:r w:rsidR="000720C3" w:rsidRPr="000720C3">
        <w:t>5</w:t>
      </w:r>
      <w:r w:rsidRPr="000720C3">
        <w:fldChar w:fldCharType="end"/>
      </w:r>
      <w:r>
        <w:t xml:space="preserve"> și </w:t>
      </w:r>
      <w:r w:rsidRPr="000720C3">
        <w:fldChar w:fldCharType="begin"/>
      </w:r>
      <w:r w:rsidRPr="000720C3">
        <w:instrText xml:space="preserve"> REF p8 \h </w:instrText>
      </w:r>
      <w:r w:rsidRPr="000720C3">
        <w:fldChar w:fldCharType="separate"/>
      </w:r>
      <w:r w:rsidR="000720C3" w:rsidRPr="000720C3">
        <w:t>8</w:t>
      </w:r>
      <w:r w:rsidRPr="000720C3">
        <w:fldChar w:fldCharType="end"/>
      </w:r>
      <w:r>
        <w:t>).</w:t>
      </w:r>
    </w:p>
    <w:p w:rsidR="008224D1" w:rsidRPr="000720C3" w:rsidRDefault="008224D1" w:rsidP="000720C3">
      <w:pPr>
        <w:pStyle w:val="JuPara"/>
        <w:rPr>
          <w:iCs/>
        </w:rPr>
      </w:pPr>
      <w:fldSimple w:instr=" SEQ level0 \*arabic ">
        <w:r w:rsidR="000720C3" w:rsidRPr="000720C3">
          <w:t>43</w:t>
        </w:r>
      </w:fldSimple>
      <w:r>
        <w:t xml:space="preserve">.  Judecătoria a acceptat prima versiune a faptelor întemeindu-se pe declarațiile a trei martori coroborate cu înregistrările administrative ale societății (supra, pct. </w:t>
      </w:r>
      <w:r w:rsidRPr="000720C3">
        <w:fldChar w:fldCharType="begin"/>
      </w:r>
      <w:r w:rsidRPr="000720C3">
        <w:instrText xml:space="preserve"> REF p16 \h </w:instrText>
      </w:r>
      <w:r w:rsidRPr="000720C3">
        <w:fldChar w:fldCharType="separate"/>
      </w:r>
      <w:r w:rsidR="000720C3" w:rsidRPr="000720C3">
        <w:t>16</w:t>
      </w:r>
      <w:r w:rsidRPr="000720C3">
        <w:fldChar w:fldCharType="end"/>
      </w:r>
      <w:r>
        <w:t xml:space="preserve">). Tribunalul a infirmat hotărârea de achitare, înlocuind cu propria apreciere a faptelor pe cea a judecătoriei și întemeindu-se pe aceleași probe care au determinat judecătoria să se îndoiască de temeinicia amenzii (supra, pct. </w:t>
      </w:r>
      <w:r w:rsidRPr="000720C3">
        <w:fldChar w:fldCharType="begin"/>
      </w:r>
      <w:r w:rsidRPr="000720C3">
        <w:instrText xml:space="preserve"> REF p19 \h </w:instrText>
      </w:r>
      <w:r w:rsidRPr="000720C3">
        <w:fldChar w:fldCharType="separate"/>
      </w:r>
      <w:r w:rsidR="000720C3" w:rsidRPr="000720C3">
        <w:t>19</w:t>
      </w:r>
      <w:r w:rsidRPr="000720C3">
        <w:fldChar w:fldCharType="end"/>
      </w:r>
      <w:r>
        <w:t xml:space="preserve"> - </w:t>
      </w:r>
      <w:r w:rsidRPr="000720C3">
        <w:fldChar w:fldCharType="begin"/>
      </w:r>
      <w:r w:rsidRPr="000720C3">
        <w:instrText xml:space="preserve"> REF p21 \h </w:instrText>
      </w:r>
      <w:r w:rsidRPr="000720C3">
        <w:fldChar w:fldCharType="separate"/>
      </w:r>
      <w:r w:rsidR="000720C3" w:rsidRPr="000720C3">
        <w:t>21</w:t>
      </w:r>
      <w:r w:rsidRPr="000720C3">
        <w:fldChar w:fldCharType="end"/>
      </w:r>
      <w:r>
        <w:t>).</w:t>
      </w:r>
    </w:p>
    <w:p w:rsidR="008224D1" w:rsidRPr="000720C3" w:rsidRDefault="008224D1" w:rsidP="000720C3">
      <w:pPr>
        <w:pStyle w:val="JuPara"/>
        <w:rPr>
          <w:iCs/>
        </w:rPr>
      </w:pPr>
      <w:fldSimple w:instr=" SEQ level0 \*arabic ">
        <w:r w:rsidR="000720C3" w:rsidRPr="000720C3">
          <w:t>44</w:t>
        </w:r>
      </w:fldSimple>
      <w:r>
        <w:t xml:space="preserve">.  Cu toate că Guvernul afirmă că mai cu seamă înscrisurile au angajat convingerea tribunalului (supra, pct. </w:t>
      </w:r>
      <w:r w:rsidRPr="000720C3">
        <w:fldChar w:fldCharType="begin"/>
      </w:r>
      <w:r w:rsidRPr="000720C3">
        <w:instrText xml:space="preserve"> REF p38 \h </w:instrText>
      </w:r>
      <w:r w:rsidRPr="000720C3">
        <w:fldChar w:fldCharType="separate"/>
      </w:r>
      <w:r w:rsidR="000720C3" w:rsidRPr="000720C3">
        <w:t>38</w:t>
      </w:r>
      <w:r w:rsidRPr="000720C3">
        <w:fldChar w:fldCharType="end"/>
      </w:r>
      <w:r>
        <w:t>), Curtea nu își poate exprima punctul de vedere cu privire la ierarhia probelor sau la valoarea lor probatorie. Reamintește că, în principiu, le revine instanțelor naționale sarcina de a aprecia probele administrate de acestea [</w:t>
      </w:r>
      <w:r>
        <w:rPr>
          <w:i/>
        </w:rPr>
        <w:t>García Ruiz</w:t>
      </w:r>
      <w:r>
        <w:rPr>
          <w:i/>
          <w:iCs/>
        </w:rPr>
        <w:t xml:space="preserve"> împotriva Spaniei</w:t>
      </w:r>
      <w:r>
        <w:t xml:space="preserve"> (MC), nr. 30544/96, pct. 28, CEDO 1999</w:t>
      </w:r>
      <w:r>
        <w:noBreakHyphen/>
        <w:t>I].</w:t>
      </w:r>
    </w:p>
    <w:p w:rsidR="008224D1" w:rsidRPr="000720C3" w:rsidRDefault="008224D1" w:rsidP="000720C3">
      <w:pPr>
        <w:pStyle w:val="JuPara"/>
        <w:rPr>
          <w:iCs/>
        </w:rPr>
      </w:pPr>
      <w:fldSimple w:instr=" SEQ level0 \*arabic ">
        <w:r w:rsidR="000720C3" w:rsidRPr="000720C3">
          <w:t>45</w:t>
        </w:r>
      </w:fldSimple>
      <w:r>
        <w:t xml:space="preserve">.  În speță, este suficient să constate că tribunalul s-a prevalat de posibilitatea oferită de legea internă de a stabili din nou faptele pe baza documentelor de la dosar, între care declarațiile martorilor audiați în primă instanță, pentru a se pronunța cu privire la aspectul culpabilității reclamantului (supra, pct. </w:t>
      </w:r>
      <w:r w:rsidRPr="000720C3">
        <w:fldChar w:fldCharType="begin"/>
      </w:r>
      <w:r w:rsidRPr="000720C3">
        <w:instrText xml:space="preserve"> REF p19 \h </w:instrText>
      </w:r>
      <w:r w:rsidRPr="000720C3">
        <w:fldChar w:fldCharType="separate"/>
      </w:r>
      <w:r w:rsidR="000720C3" w:rsidRPr="000720C3">
        <w:t>19</w:t>
      </w:r>
      <w:r w:rsidRPr="000720C3">
        <w:fldChar w:fldCharType="end"/>
      </w:r>
      <w:r>
        <w:t xml:space="preserve"> – </w:t>
      </w:r>
      <w:r w:rsidRPr="000720C3">
        <w:fldChar w:fldCharType="begin"/>
      </w:r>
      <w:r w:rsidRPr="000720C3">
        <w:instrText xml:space="preserve"> REF p21 \h </w:instrText>
      </w:r>
      <w:r w:rsidRPr="000720C3">
        <w:fldChar w:fldCharType="separate"/>
      </w:r>
      <w:r w:rsidR="000720C3" w:rsidRPr="000720C3">
        <w:t>21</w:t>
      </w:r>
      <w:r w:rsidRPr="000720C3">
        <w:fldChar w:fldCharType="end"/>
      </w:r>
      <w:r>
        <w:t>).</w:t>
      </w:r>
    </w:p>
    <w:p w:rsidR="008224D1" w:rsidRPr="000720C3" w:rsidRDefault="008224D1" w:rsidP="000720C3">
      <w:pPr>
        <w:pStyle w:val="JuPara"/>
        <w:rPr>
          <w:iCs/>
        </w:rPr>
      </w:pPr>
      <w:fldSimple w:instr=" SEQ level0 \*arabic ">
        <w:r w:rsidR="000720C3" w:rsidRPr="000720C3">
          <w:t>46</w:t>
        </w:r>
      </w:fldSimple>
      <w:r>
        <w:t xml:space="preserve">.  Reiese astfel din motivația deciziei definitive din 5 iulie 2013 că mărturiile care au contribuit semnificativ la formarea convingerii judecătorilor din prima instanță au fost eliminate de tribunal, care a pus la îndoială credibilitatea lui T.B. și a făcut abstracție de celelalte mărturii (supra, pct. </w:t>
      </w:r>
      <w:r w:rsidRPr="000720C3">
        <w:fldChar w:fldCharType="begin"/>
      </w:r>
      <w:r w:rsidRPr="000720C3">
        <w:instrText xml:space="preserve"> REF p20 \h </w:instrText>
      </w:r>
      <w:r w:rsidRPr="000720C3">
        <w:fldChar w:fldCharType="separate"/>
      </w:r>
      <w:r w:rsidR="000720C3" w:rsidRPr="000720C3">
        <w:t>20</w:t>
      </w:r>
      <w:r w:rsidRPr="000720C3">
        <w:fldChar w:fldCharType="end"/>
      </w:r>
      <w:r>
        <w:t>).</w:t>
      </w:r>
    </w:p>
    <w:p w:rsidR="008224D1" w:rsidRPr="000720C3" w:rsidRDefault="008224D1" w:rsidP="000720C3">
      <w:pPr>
        <w:pStyle w:val="JuPara"/>
        <w:rPr>
          <w:iCs/>
        </w:rPr>
      </w:pPr>
      <w:fldSimple w:instr=" SEQ level0 \*arabic ">
        <w:r w:rsidR="000720C3" w:rsidRPr="000720C3">
          <w:t>47</w:t>
        </w:r>
      </w:fldSimple>
      <w:r>
        <w:t xml:space="preserve">.  Ținând seama de faptul că era vorba de singurele mărturii ale unor persoane care asistaseră direct la incendiu, Curtea consideră că, înainte de a le elimina, tribunalul ar fi trebuit să se întrebe despre necesitatea audierii acestor martori în persoană, și aceasta cu atât mai mult cu cât a pus la îndoială sinceritatea lui T.B. (supra, pct. </w:t>
      </w:r>
      <w:r w:rsidRPr="000720C3">
        <w:fldChar w:fldCharType="begin"/>
      </w:r>
      <w:r w:rsidRPr="000720C3">
        <w:instrText xml:space="preserve"> REF p20 \h </w:instrText>
      </w:r>
      <w:r w:rsidRPr="000720C3">
        <w:fldChar w:fldCharType="separate"/>
      </w:r>
      <w:r w:rsidR="000720C3" w:rsidRPr="000720C3">
        <w:t>20</w:t>
      </w:r>
      <w:r w:rsidRPr="000720C3">
        <w:fldChar w:fldCharType="end"/>
      </w:r>
      <w:r>
        <w:t>) și a respins celelalte două mărturii fără să indice motivele pentru care a considerat că acești martori nu erau credibili.</w:t>
      </w:r>
    </w:p>
    <w:p w:rsidR="008224D1" w:rsidRPr="000720C3" w:rsidRDefault="008224D1" w:rsidP="000720C3">
      <w:pPr>
        <w:pStyle w:val="JuPara"/>
        <w:rPr>
          <w:iCs/>
        </w:rPr>
      </w:pPr>
      <w:fldSimple w:instr=" SEQ level0 \*arabic ">
        <w:r w:rsidR="000720C3" w:rsidRPr="000720C3">
          <w:t>48</w:t>
        </w:r>
      </w:fldSimple>
      <w:r>
        <w:t>.  În acest context, Curtea reamintește că persoanele responsabile să decidă asupra vinovăției unui inculpat trebuie, în principiu, să fie în măsură să asculte martorii în persoană și să le evalueze credibilitatea. Evaluarea credibilității unui martor este o sarcină complexă care, în general, nu poate fi dusă la bun sfârșit prin simpla lectură a unor declarații scrise (</w:t>
      </w:r>
      <w:r>
        <w:rPr>
          <w:i/>
        </w:rPr>
        <w:t>Dan împotriva Moldovei</w:t>
      </w:r>
      <w:r>
        <w:t>, nr. 8999/07, pct. 33, 5 iulie 2011). Desigur, există cazuri în care este imposibilă ascultarea unui martor de către o instanță, de exemplu dacă persoana în cauză a decedat sau pentru a-i respecta dreptul de a nu se autoincrimina [</w:t>
      </w:r>
      <w:r>
        <w:rPr>
          <w:i/>
        </w:rPr>
        <w:t>Craxi împotriva Italiei (nr. 1)</w:t>
      </w:r>
      <w:r>
        <w:t xml:space="preserve">, nr. 34896/97, pct. 86, 5 decembrie 2002, și </w:t>
      </w:r>
      <w:r>
        <w:rPr>
          <w:i/>
        </w:rPr>
        <w:t>Dan</w:t>
      </w:r>
      <w:r>
        <w:t>, citată anterior, pct. 33]. Cu toate acestea, Curtea consideră că situația este diferită în speță.</w:t>
      </w:r>
    </w:p>
    <w:p w:rsidR="008224D1" w:rsidRPr="000720C3" w:rsidRDefault="008224D1" w:rsidP="000720C3">
      <w:pPr>
        <w:pStyle w:val="JuPara"/>
        <w:rPr>
          <w:iCs/>
        </w:rPr>
      </w:pPr>
      <w:fldSimple w:instr=" SEQ level0 \*arabic ">
        <w:r w:rsidR="000720C3" w:rsidRPr="000720C3">
          <w:t>49</w:t>
        </w:r>
      </w:fldSimple>
      <w:r>
        <w:t xml:space="preserve">.  Prin urmare, Curtea apreciază că faptul că tribunalul a omis să audieze martorii, înainte de a-l declara vinovat pe reclamant, a limitat semnificativ dreptul acestuia din urmă la apărare (a se vedea, </w:t>
      </w:r>
      <w:r>
        <w:rPr>
          <w:i/>
        </w:rPr>
        <w:t>mutatis mutandis</w:t>
      </w:r>
      <w:r>
        <w:t xml:space="preserve">, </w:t>
      </w:r>
      <w:r>
        <w:rPr>
          <w:i/>
          <w:iCs/>
        </w:rPr>
        <w:t xml:space="preserve">Destrehem </w:t>
      </w:r>
      <w:r>
        <w:rPr>
          <w:i/>
          <w:iCs/>
        </w:rPr>
        <w:lastRenderedPageBreak/>
        <w:t>împotriva Franței</w:t>
      </w:r>
      <w:r>
        <w:t xml:space="preserve">, nr. 56651/00, pct. 45, 18 mai 2004, </w:t>
      </w:r>
      <w:r>
        <w:rPr>
          <w:i/>
          <w:iCs/>
        </w:rPr>
        <w:t>Dan,</w:t>
      </w:r>
      <w:r>
        <w:t xml:space="preserve"> citată anterior, pct. 31</w:t>
      </w:r>
      <w:r>
        <w:noBreakHyphen/>
        <w:t xml:space="preserve">35, și </w:t>
      </w:r>
      <w:r>
        <w:rPr>
          <w:i/>
          <w:iCs/>
        </w:rPr>
        <w:t>Lazu împotriva Republicii Moldova</w:t>
      </w:r>
      <w:r>
        <w:t>, nr. 46182/08, pct. 36</w:t>
      </w:r>
      <w:r>
        <w:noBreakHyphen/>
        <w:t>44, 5 iulie 2016).</w:t>
      </w:r>
    </w:p>
    <w:p w:rsidR="008224D1" w:rsidRPr="000720C3" w:rsidRDefault="008224D1" w:rsidP="000720C3">
      <w:pPr>
        <w:pStyle w:val="JuPara"/>
        <w:rPr>
          <w:iCs/>
        </w:rPr>
      </w:pPr>
      <w:fldSimple w:instr=" SEQ level0 \*arabic ">
        <w:r w:rsidR="000720C3" w:rsidRPr="000720C3">
          <w:t>50</w:t>
        </w:r>
      </w:fldSimple>
      <w:r>
        <w:t>.  În consecință, a fost încălcat art. 6 § 1 din Convenție.</w:t>
      </w:r>
    </w:p>
    <w:bookmarkEnd w:id="22"/>
    <w:bookmarkEnd w:id="29"/>
    <w:p w:rsidR="008224D1" w:rsidRPr="000720C3" w:rsidRDefault="008224D1" w:rsidP="000720C3">
      <w:pPr>
        <w:pStyle w:val="JuHIRoman"/>
        <w:numPr>
          <w:ilvl w:val="1"/>
          <w:numId w:val="1"/>
        </w:numPr>
        <w:jc w:val="both"/>
      </w:pPr>
      <w:r>
        <w:rPr>
          <w:caps w:val="0"/>
        </w:rPr>
        <w:t>CU PRIVIRE LA APLICAREA ART. 41 DIN CONVENȚIE</w:t>
      </w:r>
    </w:p>
    <w:p w:rsidR="008224D1" w:rsidRPr="000720C3" w:rsidRDefault="008224D1" w:rsidP="000720C3">
      <w:pPr>
        <w:pStyle w:val="JuPara"/>
      </w:pPr>
      <w:fldSimple w:instr=" SEQ level0 \*arabic ">
        <w:r w:rsidR="000720C3" w:rsidRPr="000720C3">
          <w:t>51</w:t>
        </w:r>
      </w:fldSimple>
      <w:r>
        <w:t>.  </w:t>
      </w:r>
      <w:bookmarkStart w:id="30" w:name="_Hlk36128236"/>
      <w:r>
        <w:t>Art. 41 din Convenție prevede:</w:t>
      </w:r>
      <w:bookmarkEnd w:id="30"/>
    </w:p>
    <w:p w:rsidR="008224D1" w:rsidRPr="000720C3" w:rsidRDefault="008224D1" w:rsidP="000720C3">
      <w:pPr>
        <w:pStyle w:val="JuQuot"/>
      </w:pPr>
      <w:bookmarkStart w:id="31" w:name="_Hlk36128242"/>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bookmarkEnd w:id="31"/>
      <w:r>
        <w:t> ”</w:t>
      </w:r>
    </w:p>
    <w:p w:rsidR="008224D1" w:rsidRPr="000720C3" w:rsidRDefault="008224D1" w:rsidP="000720C3">
      <w:pPr>
        <w:pStyle w:val="JuHA"/>
        <w:numPr>
          <w:ilvl w:val="2"/>
          <w:numId w:val="1"/>
        </w:numPr>
        <w:jc w:val="both"/>
      </w:pPr>
      <w:r>
        <w:t>Prejudiciu</w:t>
      </w:r>
    </w:p>
    <w:p w:rsidR="008224D1" w:rsidRPr="000720C3" w:rsidRDefault="008224D1" w:rsidP="000720C3">
      <w:pPr>
        <w:pStyle w:val="JuPara"/>
      </w:pPr>
      <w:fldSimple w:instr=" SEQ level0 \*arabic ">
        <w:r w:rsidR="000720C3" w:rsidRPr="000720C3">
          <w:t>52</w:t>
        </w:r>
      </w:fldSimple>
      <w:r>
        <w:t>.  Reclamantul solicită suma de 1 689 euro (EUR) cu titlu de despăgubire pentru prejudiciul material pe care consideră că l-a suferit. El arată că această sumă corespunde amenzii care i-a fost aplicată și pe care a plătit-o. Acesta solicită, de asemenea, 5 000 EUR cu titlu de prejudiciu moral.</w:t>
      </w:r>
    </w:p>
    <w:p w:rsidR="008224D1" w:rsidRPr="000720C3" w:rsidRDefault="008224D1" w:rsidP="000720C3">
      <w:pPr>
        <w:pStyle w:val="JuPara"/>
      </w:pPr>
      <w:fldSimple w:instr=" SEQ level0 \*arabic ">
        <w:r w:rsidR="000720C3" w:rsidRPr="000720C3">
          <w:t>53</w:t>
        </w:r>
      </w:fldSimple>
      <w:r>
        <w:t>.  Guvernul consideră că nicio sumă nu poate fi acordată reclamantului cu titlu de despăgubire pentru prejudiciul material, cererea sa în această privință având un caracter speculativ. În ceea ce privește cererea referitoare la prejudiciul moral, acesta consideră că o eventuală constatare a încălcării art. 6 § 1 din Convenție reprezintă în sine o reparație echitabilă suficientă, cu atât mai mult cu cât constatarea încălcării permite în dreptul intern redeschiderea procesului.</w:t>
      </w:r>
    </w:p>
    <w:p w:rsidR="008224D1" w:rsidRPr="000720C3" w:rsidRDefault="008224D1" w:rsidP="000720C3">
      <w:pPr>
        <w:pStyle w:val="JuPara"/>
      </w:pPr>
      <w:fldSimple w:instr=" SEQ level0 \*arabic ">
        <w:r w:rsidR="000720C3" w:rsidRPr="000720C3">
          <w:t>54</w:t>
        </w:r>
      </w:fldSimple>
      <w:r>
        <w:t xml:space="preserve">.  Curtea constată că, în speță, singurul temei care trebuie reținut pentru acordarea unei reparații echitabile constă în faptul că reclamantul nu a beneficiat de garanțiile unui proces echitabil în sensul art. 6 § 1 din Convenție. În ceea ce privește pretinsul prejudiciul material, Curtea nu poate specula cu privire la rezultatul la care procedura ar fi ajuns dacă nu ar fi avut loc încălcarea Convenției (a se vedea, </w:t>
      </w:r>
      <w:r>
        <w:rPr>
          <w:i/>
        </w:rPr>
        <w:t>mutatis mutandis</w:t>
      </w:r>
      <w:r>
        <w:t xml:space="preserve">, </w:t>
      </w:r>
      <w:r>
        <w:rPr>
          <w:i/>
        </w:rPr>
        <w:t>Alexe împotriva</w:t>
      </w:r>
      <w:r>
        <w:t xml:space="preserve"> României, nr. 66522/09, pct. 48, 3 mai 2016). Prin urmare, nu este necesar să acorde reclamantului o sumă pentru prejudiciul material.</w:t>
      </w:r>
    </w:p>
    <w:p w:rsidR="008224D1" w:rsidRPr="000720C3" w:rsidRDefault="008224D1" w:rsidP="000720C3">
      <w:pPr>
        <w:pStyle w:val="JuPara"/>
      </w:pPr>
      <w:fldSimple w:instr=" SEQ level0 \*arabic ">
        <w:r w:rsidR="000720C3" w:rsidRPr="000720C3">
          <w:t>55</w:t>
        </w:r>
      </w:fldSimple>
      <w:r>
        <w:t>.  Pronunțându-se în echitate conform art. 41 din Convenție, acordă reclamantului suma de 1 500 EUR pentru prejudiciul moral.</w:t>
      </w:r>
    </w:p>
    <w:p w:rsidR="008224D1" w:rsidRPr="000720C3" w:rsidRDefault="008224D1" w:rsidP="000720C3">
      <w:pPr>
        <w:pStyle w:val="JuHA"/>
        <w:numPr>
          <w:ilvl w:val="2"/>
          <w:numId w:val="1"/>
        </w:numPr>
        <w:jc w:val="both"/>
      </w:pPr>
      <w:r>
        <w:t>Cheltuieli de judecată</w:t>
      </w:r>
    </w:p>
    <w:p w:rsidR="008224D1" w:rsidRPr="000720C3" w:rsidRDefault="008224D1" w:rsidP="000720C3">
      <w:pPr>
        <w:pStyle w:val="JuPara"/>
      </w:pPr>
      <w:fldSimple w:instr=" SEQ level0 \*arabic ">
        <w:r w:rsidR="000720C3" w:rsidRPr="000720C3">
          <w:t>56</w:t>
        </w:r>
      </w:fldSimple>
      <w:r>
        <w:t>.  De asemenea, reclamantul solicită 1 903 EUR pentru cheltuielile de judecată pe care pretinde că le-a suportat în cadrul procedurilor desfășurate în fața instanțelor interne și în fața Curții. În susținerea cererii sale, acesta prezintă chitanțe care atestă plata onorariului avocatului.</w:t>
      </w:r>
    </w:p>
    <w:p w:rsidR="008224D1" w:rsidRPr="000720C3" w:rsidRDefault="008224D1" w:rsidP="000720C3">
      <w:pPr>
        <w:pStyle w:val="JuPara"/>
      </w:pPr>
      <w:fldSimple w:instr=" SEQ level0 \*arabic ">
        <w:r w:rsidR="000720C3" w:rsidRPr="000720C3">
          <w:t>57</w:t>
        </w:r>
      </w:fldSimple>
      <w:r>
        <w:t>.  Guvernul consideră că această cerere nu este justificată de documente relevante.</w:t>
      </w:r>
    </w:p>
    <w:p w:rsidR="008224D1" w:rsidRPr="000720C3" w:rsidRDefault="008224D1" w:rsidP="000720C3">
      <w:pPr>
        <w:pStyle w:val="JuPara"/>
      </w:pPr>
      <w:fldSimple w:instr=" SEQ level0 \*arabic ">
        <w:r w:rsidR="000720C3" w:rsidRPr="000720C3">
          <w:t>58</w:t>
        </w:r>
      </w:fldSimple>
      <w:r>
        <w:t>.  Având în vedere documentele pe care le are la dispoziție și jurisprudența sa, Curtea estimează rezonabil să acorde reclamantului, pentru toate cheltuielile, suma de 1 600 EUR.</w:t>
      </w:r>
    </w:p>
    <w:p w:rsidR="008224D1" w:rsidRPr="000720C3" w:rsidRDefault="008224D1" w:rsidP="000720C3">
      <w:pPr>
        <w:pStyle w:val="JuHA"/>
        <w:numPr>
          <w:ilvl w:val="2"/>
          <w:numId w:val="1"/>
        </w:numPr>
        <w:jc w:val="both"/>
      </w:pPr>
      <w:r>
        <w:t>Dobânzi moratorii</w:t>
      </w:r>
    </w:p>
    <w:p w:rsidR="008224D1" w:rsidRPr="000720C3" w:rsidRDefault="008224D1" w:rsidP="000720C3">
      <w:pPr>
        <w:pStyle w:val="JuPara"/>
      </w:pPr>
      <w:fldSimple w:instr=" SEQ level0 \*arabic ">
        <w:r w:rsidR="000720C3" w:rsidRPr="000720C3">
          <w:t>59</w:t>
        </w:r>
      </w:fldSimple>
      <w:r>
        <w:t>.  Curtea consideră necesar ca rata dobânzilor moratorii să se întemeieze pe rata dobânzii facilității de împrumut marginal practicată de Banca Centrală Europeană, majorată cu trei puncte procentuale.</w:t>
      </w:r>
    </w:p>
    <w:p w:rsidR="008224D1" w:rsidRPr="000720C3" w:rsidRDefault="008224D1" w:rsidP="000720C3">
      <w:pPr>
        <w:pStyle w:val="JuHHead"/>
        <w:numPr>
          <w:ilvl w:val="0"/>
          <w:numId w:val="1"/>
        </w:numPr>
        <w:jc w:val="both"/>
      </w:pPr>
      <w:r>
        <w:t>PENTRU ACESTE MOTIVE, ÎN UNANIMITATE, CURTEA</w:t>
      </w:r>
    </w:p>
    <w:p w:rsidR="008224D1" w:rsidRPr="000720C3" w:rsidRDefault="008224D1" w:rsidP="000720C3">
      <w:pPr>
        <w:pStyle w:val="JuList"/>
        <w:keepNext/>
        <w:keepLines/>
        <w:numPr>
          <w:ilvl w:val="0"/>
          <w:numId w:val="2"/>
        </w:numPr>
        <w:ind w:left="0" w:firstLine="0"/>
      </w:pPr>
      <w:r>
        <w:rPr>
          <w:i/>
        </w:rPr>
        <w:t>Declară</w:t>
      </w:r>
      <w:r>
        <w:t xml:space="preserve"> cererea admisibilă;</w:t>
      </w:r>
    </w:p>
    <w:p w:rsidR="008224D1" w:rsidRPr="000720C3" w:rsidRDefault="008224D1" w:rsidP="000720C3">
      <w:pPr>
        <w:pStyle w:val="JuList"/>
        <w:keepNext/>
        <w:keepLines/>
        <w:numPr>
          <w:ilvl w:val="0"/>
          <w:numId w:val="2"/>
        </w:numPr>
      </w:pPr>
      <w:r>
        <w:rPr>
          <w:i/>
          <w:iCs/>
        </w:rPr>
        <w:t>Hotărăște</w:t>
      </w:r>
      <w:r>
        <w:rPr>
          <w:i/>
        </w:rPr>
        <w:t xml:space="preserve"> </w:t>
      </w:r>
      <w:r>
        <w:t>că a fost încălcat art. 6 § 1 din Convenție;</w:t>
      </w:r>
    </w:p>
    <w:p w:rsidR="008224D1" w:rsidRPr="000720C3" w:rsidRDefault="008224D1" w:rsidP="000720C3">
      <w:pPr>
        <w:pStyle w:val="JuList"/>
        <w:keepNext/>
        <w:keepLines/>
        <w:numPr>
          <w:ilvl w:val="0"/>
          <w:numId w:val="2"/>
        </w:numPr>
      </w:pPr>
      <w:r>
        <w:rPr>
          <w:i/>
          <w:iCs/>
        </w:rPr>
        <w:t>Hotărăște</w:t>
      </w:r>
    </w:p>
    <w:p w:rsidR="008224D1" w:rsidRPr="000720C3" w:rsidRDefault="008224D1" w:rsidP="000720C3">
      <w:pPr>
        <w:pStyle w:val="JuLista"/>
        <w:numPr>
          <w:ilvl w:val="1"/>
          <w:numId w:val="2"/>
        </w:numPr>
      </w:pPr>
      <w:r>
        <w:t>că statul pârât trebuie să plătească reclamantului, în termen de trei luni, următoarele sume, care trebuie convertite în moneda statului pârât la rata de schimb aplicabilă la data plății:</w:t>
      </w:r>
    </w:p>
    <w:p w:rsidR="008224D1" w:rsidRPr="000720C3" w:rsidRDefault="008224D1" w:rsidP="000720C3">
      <w:pPr>
        <w:pStyle w:val="JuListi"/>
        <w:numPr>
          <w:ilvl w:val="2"/>
          <w:numId w:val="2"/>
        </w:numPr>
      </w:pPr>
      <w:r>
        <w:t>1 500 EUR (una mie cinci sute de euro), plus orice sumă ce poate fi datorată cu titlu de impozit, pentru prejudiciul moral;</w:t>
      </w:r>
    </w:p>
    <w:p w:rsidR="008224D1" w:rsidRPr="000720C3" w:rsidRDefault="008224D1" w:rsidP="000720C3">
      <w:pPr>
        <w:pStyle w:val="JuListi"/>
        <w:numPr>
          <w:ilvl w:val="2"/>
          <w:numId w:val="2"/>
        </w:numPr>
      </w:pPr>
      <w:r>
        <w:t>1 600 EUR (una mie șase sute de euro), plus orice sumă ce poate fi datorată pentru acest cuantum de reclamanți cu titlu de impozit, pentru cheltuielile de judecată,</w:t>
      </w:r>
    </w:p>
    <w:p w:rsidR="008224D1" w:rsidRPr="000720C3" w:rsidRDefault="008224D1" w:rsidP="000720C3">
      <w:pPr>
        <w:pStyle w:val="JuLista"/>
        <w:numPr>
          <w:ilvl w:val="1"/>
          <w:numId w:val="2"/>
        </w:numPr>
      </w:pPr>
      <w:r>
        <w:t>că, de la expirarea termenului menționat și până la efectuarea plății, aceste sume trebuie majorate cu o dobândă simplă, la o rată egală cu rata dobânzii facilității de împrumut marginal practicată de Banca Centrală Europeană, aplicabilă pe parcursul acestei perioade și majorată cu trei puncte procentuale;</w:t>
      </w:r>
    </w:p>
    <w:p w:rsidR="00876F03" w:rsidRPr="000720C3" w:rsidRDefault="008224D1" w:rsidP="000720C3">
      <w:pPr>
        <w:pStyle w:val="JuList"/>
        <w:numPr>
          <w:ilvl w:val="0"/>
          <w:numId w:val="2"/>
        </w:numPr>
      </w:pPr>
      <w:r>
        <w:rPr>
          <w:i/>
          <w:iCs/>
        </w:rPr>
        <w:t>Respinge</w:t>
      </w:r>
      <w:r>
        <w:t xml:space="preserve"> cererea de acordare a unei reparații echitabile pentru celelalte capete de cerere.</w:t>
      </w:r>
    </w:p>
    <w:p w:rsidR="00893F30" w:rsidRPr="000720C3" w:rsidRDefault="00893F30" w:rsidP="000720C3">
      <w:pPr>
        <w:pStyle w:val="JuParaLast"/>
      </w:pPr>
      <w:r>
        <w:t>Redactată în limba franceză, apoi comunicată în scris, la 6 octombrie 2020, în temeiul art. 77 § 2 și art. 77 § 3 din Regulamentul Curții.</w:t>
      </w:r>
    </w:p>
    <w:p w:rsidR="00876F03" w:rsidRPr="000720C3" w:rsidRDefault="00B612BF" w:rsidP="000720C3">
      <w:pPr>
        <w:pStyle w:val="JuSigned"/>
        <w:ind w:firstLine="284"/>
      </w:pPr>
      <w:r>
        <w:t>Ilse Freiwirth</w:t>
      </w:r>
      <w:r>
        <w:tab/>
        <w:t xml:space="preserve">Faris Vehabović </w:t>
      </w:r>
      <w:r>
        <w:br/>
      </w:r>
      <w:r>
        <w:tab/>
        <w:t>Grefier adjunct</w:t>
      </w:r>
      <w:r>
        <w:tab/>
        <w:t>Președinte</w:t>
      </w:r>
    </w:p>
    <w:sectPr w:rsidR="00876F03" w:rsidRPr="000720C3">
      <w:headerReference w:type="even" r:id="rId16"/>
      <w:headerReference w:type="default" r:id="rId17"/>
      <w:footerReference w:type="default" r:id="rId18"/>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631" w:rsidRPr="000A20EB" w:rsidRDefault="00275631" w:rsidP="00516B59">
      <w:r w:rsidRPr="000A20EB">
        <w:separator/>
      </w:r>
    </w:p>
  </w:endnote>
  <w:endnote w:type="continuationSeparator" w:id="0">
    <w:p w:rsidR="00275631" w:rsidRPr="000A20EB" w:rsidRDefault="00275631" w:rsidP="00516B59">
      <w:r w:rsidRPr="000A20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Default="008224D1" w:rsidP="00954AD6">
    <w:pPr>
      <w:pStyle w:val="JuHeader"/>
    </w:pPr>
    <w:r>
      <w:fldChar w:fldCharType="begin"/>
    </w:r>
    <w:r>
      <w:instrText xml:space="preserve"> PAGE </w:instrText>
    </w:r>
    <w:r>
      <w:fldChar w:fldCharType="separate"/>
    </w:r>
    <w:r w:rsidR="00FD6ED8">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D1" w:rsidRPr="00150BFA" w:rsidRDefault="008224D1" w:rsidP="0020718E">
    <w:pPr>
      <w:jc w:val="center"/>
    </w:pPr>
    <w:r>
      <w:rPr>
        <w:noProof/>
        <w:lang w:val="en-US"/>
      </w:rPr>
      <w:drawing>
        <wp:inline distT="0" distB="0" distL="0" distR="0" wp14:anchorId="29691B3B" wp14:editId="40468212">
          <wp:extent cx="771525" cy="619125"/>
          <wp:effectExtent l="0" t="0" r="9525" b="9525"/>
          <wp:docPr id="115" name="Picture 115"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F22D5C" w:rsidRPr="000A20EB" w:rsidRDefault="00275631"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D1" w:rsidRPr="00150BFA" w:rsidRDefault="008224D1" w:rsidP="0020718E">
    <w:pPr>
      <w:jc w:val="center"/>
    </w:pPr>
    <w:r>
      <w:rPr>
        <w:noProof/>
        <w:lang w:val="en-US"/>
      </w:rPr>
      <w:drawing>
        <wp:inline distT="0" distB="0" distL="0" distR="0" wp14:anchorId="7C9DF1E8" wp14:editId="52564292">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902601" w:rsidRPr="000A20EB"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D01935" w:rsidRDefault="008224D1" w:rsidP="00662882">
    <w:pPr>
      <w:pStyle w:val="JuHeader"/>
    </w:pPr>
    <w:r>
      <w:fldChar w:fldCharType="begin"/>
    </w:r>
    <w:r>
      <w:instrText xml:space="preserve"> PAGE </w:instrText>
    </w:r>
    <w:r>
      <w:fldChar w:fldCharType="separate"/>
    </w:r>
    <w:r w:rsidR="00FD6ED8">
      <w:rPr>
        <w:noProof/>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631" w:rsidRPr="000A20EB" w:rsidRDefault="00275631" w:rsidP="00516B59">
      <w:r w:rsidRPr="000A20EB">
        <w:separator/>
      </w:r>
    </w:p>
  </w:footnote>
  <w:footnote w:type="continuationSeparator" w:id="0">
    <w:p w:rsidR="00275631" w:rsidRPr="000A20EB" w:rsidRDefault="00275631" w:rsidP="00516B59">
      <w:r w:rsidRPr="000A20EB">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D1" w:rsidRPr="00A45145" w:rsidRDefault="008224D1" w:rsidP="00A45145">
    <w:pPr>
      <w:jc w:val="center"/>
    </w:pPr>
    <w:r>
      <w:rPr>
        <w:noProof/>
        <w:lang w:val="en-US"/>
      </w:rPr>
      <w:drawing>
        <wp:inline distT="0" distB="0" distL="0" distR="0" wp14:anchorId="344D16AF" wp14:editId="0C6C14DD">
          <wp:extent cx="2962275" cy="1219200"/>
          <wp:effectExtent l="0" t="0" r="9525" b="0"/>
          <wp:docPr id="112" name="Picture 1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F22D5C" w:rsidRPr="000A20EB" w:rsidRDefault="00275631" w:rsidP="009840A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4D1" w:rsidRDefault="00C74448" w:rsidP="00C74448">
    <w:pPr>
      <w:jc w:val="right"/>
    </w:pPr>
    <w:r>
      <w:t>Tradus și revizuit de IER (</w:t>
    </w:r>
    <w:hyperlink r:id="rId1" w:history="1">
      <w:r w:rsidRPr="00206219">
        <w:rPr>
          <w:rStyle w:val="Hyperlink"/>
        </w:rPr>
        <w:t>http://ier.gov.ro/</w:t>
      </w:r>
    </w:hyperlink>
    <w:r>
      <w:t>)</w:t>
    </w:r>
  </w:p>
  <w:p w:rsidR="00C74448" w:rsidRPr="00A45145" w:rsidRDefault="00C74448" w:rsidP="00A45145">
    <w:pPr>
      <w:jc w:val="center"/>
    </w:pPr>
  </w:p>
  <w:p w:rsidR="00902601" w:rsidRPr="000A20EB" w:rsidRDefault="00C74448" w:rsidP="00902601">
    <w:pPr>
      <w:jc w:val="center"/>
      <w:rPr>
        <w:sz w:val="18"/>
      </w:rPr>
    </w:pPr>
    <w:r>
      <w:rPr>
        <w:noProof/>
        <w:lang w:val="en-US"/>
      </w:rPr>
      <w:drawing>
        <wp:anchor distT="0" distB="0" distL="114300" distR="114300" simplePos="0" relativeHeight="251658240" behindDoc="1" locked="0" layoutInCell="1" allowOverlap="1" wp14:anchorId="6C46EF5F" wp14:editId="785A0419">
          <wp:simplePos x="0" y="0"/>
          <wp:positionH relativeFrom="margin">
            <wp:posOffset>964565</wp:posOffset>
          </wp:positionH>
          <wp:positionV relativeFrom="paragraph">
            <wp:posOffset>17145</wp:posOffset>
          </wp:positionV>
          <wp:extent cx="2962275" cy="1219200"/>
          <wp:effectExtent l="0" t="0" r="9525" b="0"/>
          <wp:wrapTight wrapText="bothSides">
            <wp:wrapPolygon edited="0">
              <wp:start x="0" y="0"/>
              <wp:lineTo x="0" y="21263"/>
              <wp:lineTo x="21531" y="21263"/>
              <wp:lineTo x="21531" y="0"/>
              <wp:lineTo x="0" y="0"/>
            </wp:wrapPolygon>
          </wp:wrapTight>
          <wp:docPr id="102" name="Picture 10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592C8D" w:rsidRDefault="00A21624" w:rsidP="00A21624">
    <w:pPr>
      <w:pStyle w:val="JuHeader"/>
    </w:pPr>
    <w:r>
      <w:t xml:space="preserve">HOTĂRÂREA SCURTU ÎMPOTRIVA ROMÂNIEI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662882" w:rsidRDefault="00256F45" w:rsidP="00662882">
    <w:pPr>
      <w:pStyle w:val="JuHeader"/>
    </w:pPr>
    <w:r>
      <w:t xml:space="preserve">HOTĂRÂREA SCURTU ÎMPOTRIVA ROMÂNIEI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8B2457E6"/>
    <w:lvl w:ilvl="0">
      <w:start w:val="1"/>
      <w:numFmt w:val="none"/>
      <w:pStyle w:val="JuHHead"/>
      <w:suff w:val="nothing"/>
      <w:lvlText w:val="%1"/>
      <w:lvlJc w:val="left"/>
      <w:pPr>
        <w:ind w:left="0" w:firstLine="0"/>
      </w:pPr>
      <w:rPr>
        <w:rFonts w:hint="default"/>
      </w:rPr>
    </w:lvl>
    <w:lvl w:ilvl="1">
      <w:start w:val="1"/>
      <w:numFmt w:val="upperRoman"/>
      <w:pStyle w:val="JuHIRoman"/>
      <w:suff w:val="space"/>
      <w:lvlText w:val="%2."/>
      <w:lvlJc w:val="left"/>
      <w:pPr>
        <w:ind w:left="357" w:hanging="357"/>
      </w:pPr>
      <w:rPr>
        <w:rFonts w:hint="default"/>
      </w:rPr>
    </w:lvl>
    <w:lvl w:ilvl="2">
      <w:start w:val="1"/>
      <w:numFmt w:val="upperLetter"/>
      <w:pStyle w:val="JuHA"/>
      <w:lvlText w:val="%3."/>
      <w:lvlJc w:val="left"/>
      <w:pPr>
        <w:ind w:left="584" w:hanging="352"/>
      </w:pPr>
      <w:rPr>
        <w:rFonts w:hint="default"/>
      </w:rPr>
    </w:lvl>
    <w:lvl w:ilvl="3">
      <w:start w:val="1"/>
      <w:numFmt w:val="decimal"/>
      <w:pStyle w:val="JuH1"/>
      <w:lvlText w:val="%4."/>
      <w:lvlJc w:val="left"/>
      <w:pPr>
        <w:ind w:left="731" w:hanging="300"/>
      </w:pPr>
      <w:rPr>
        <w:rFonts w:hint="default"/>
      </w:rPr>
    </w:lvl>
    <w:lvl w:ilvl="4">
      <w:start w:val="1"/>
      <w:numFmt w:val="lowerLetter"/>
      <w:pStyle w:val="JuHa0"/>
      <w:lvlText w:val="%5)"/>
      <w:lvlJc w:val="left"/>
      <w:pPr>
        <w:ind w:left="975" w:hanging="340"/>
      </w:pPr>
      <w:rPr>
        <w:rFonts w:hint="default"/>
      </w:rPr>
    </w:lvl>
    <w:lvl w:ilvl="5">
      <w:start w:val="1"/>
      <w:numFmt w:val="lowerRoman"/>
      <w:pStyle w:val="JuHi"/>
      <w:suff w:val="space"/>
      <w:lvlText w:val="%6."/>
      <w:lvlJc w:val="left"/>
      <w:pPr>
        <w:ind w:left="1191" w:hanging="358"/>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372" w:hanging="334"/>
      </w:pPr>
      <w:rPr>
        <w:rFonts w:asciiTheme="minorHAnsi" w:hAnsiTheme="minorHAnsi" w:hint="default"/>
        <w:b w:val="0"/>
        <w:i w:val="0"/>
      </w:rPr>
    </w:lvl>
    <w:lvl w:ilvl="7">
      <w:start w:val="1"/>
      <w:numFmt w:val="bullet"/>
      <w:pStyle w:val="JuH"/>
      <w:lvlText w:val="‒"/>
      <w:lvlJc w:val="left"/>
      <w:pPr>
        <w:ind w:left="1418" w:hanging="182"/>
      </w:pPr>
      <w:rPr>
        <w:rFonts w:ascii="Times New Roman" w:hAnsi="Times New Roman" w:cs="Times New Roman" w:hint="default"/>
        <w:color w:val="auto"/>
      </w:rPr>
    </w:lvl>
    <w:lvl w:ilvl="8">
      <w:start w:val="1"/>
      <w:numFmt w:val="bullet"/>
      <w:pStyle w:val="ECHRHeading9"/>
      <w:lvlText w:val="▪"/>
      <w:lvlJc w:val="left"/>
      <w:pPr>
        <w:ind w:left="1644" w:hanging="221"/>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85E6A40"/>
    <w:multiLevelType w:val="multilevel"/>
    <w:tmpl w:val="3704F6F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134"/>
        </w:tabs>
        <w:ind w:left="113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
      <w:lvlJc w:val="left"/>
      <w:pPr>
        <w:ind w:left="2517" w:hanging="345"/>
      </w:pPr>
      <w:rPr>
        <w:rFonts w:ascii="Symbol" w:hAnsi="Symbol" w:hint="default"/>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4CD28D7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7"/>
  </w:num>
  <w:num w:numId="2">
    <w:abstractNumId w:val="13"/>
  </w:num>
  <w:num w:numId="3">
    <w:abstractNumId w:val="9"/>
  </w:num>
  <w:num w:numId="4">
    <w:abstractNumId w:val="14"/>
  </w:num>
  <w:num w:numId="5">
    <w:abstractNumId w:val="11"/>
  </w:num>
  <w:num w:numId="6">
    <w:abstractNumId w:val="10"/>
  </w:num>
  <w:num w:numId="7">
    <w:abstractNumId w:val="15"/>
  </w:num>
  <w:num w:numId="8">
    <w:abstractNumId w:val="12"/>
  </w:num>
  <w:num w:numId="9">
    <w:abstractNumId w:val="16"/>
  </w:num>
  <w:num w:numId="10">
    <w:abstractNumId w:val="18"/>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s>
  <w:rsids>
    <w:rsidRoot w:val="008224D1"/>
    <w:rsid w:val="000041F8"/>
    <w:rsid w:val="000042A8"/>
    <w:rsid w:val="00004308"/>
    <w:rsid w:val="00005BF0"/>
    <w:rsid w:val="00007154"/>
    <w:rsid w:val="000103AE"/>
    <w:rsid w:val="00011D69"/>
    <w:rsid w:val="00012AD3"/>
    <w:rsid w:val="00015C2D"/>
    <w:rsid w:val="00015F00"/>
    <w:rsid w:val="00022C1D"/>
    <w:rsid w:val="00034987"/>
    <w:rsid w:val="00051015"/>
    <w:rsid w:val="000602DF"/>
    <w:rsid w:val="00061B05"/>
    <w:rsid w:val="000632D5"/>
    <w:rsid w:val="000644EE"/>
    <w:rsid w:val="000720C3"/>
    <w:rsid w:val="00080ECE"/>
    <w:rsid w:val="0009057B"/>
    <w:rsid w:val="000925AD"/>
    <w:rsid w:val="000A20EB"/>
    <w:rsid w:val="000A24EB"/>
    <w:rsid w:val="000B5D17"/>
    <w:rsid w:val="000B6923"/>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674C"/>
    <w:rsid w:val="001B3B24"/>
    <w:rsid w:val="001C0F98"/>
    <w:rsid w:val="001C2A42"/>
    <w:rsid w:val="001C2B5C"/>
    <w:rsid w:val="001D63ED"/>
    <w:rsid w:val="001D7348"/>
    <w:rsid w:val="001E035B"/>
    <w:rsid w:val="001E0961"/>
    <w:rsid w:val="001E3EAE"/>
    <w:rsid w:val="001E6F32"/>
    <w:rsid w:val="001F2145"/>
    <w:rsid w:val="001F39F4"/>
    <w:rsid w:val="001F6262"/>
    <w:rsid w:val="001F67B0"/>
    <w:rsid w:val="001F7B3D"/>
    <w:rsid w:val="00204F24"/>
    <w:rsid w:val="00205F9F"/>
    <w:rsid w:val="00210338"/>
    <w:rsid w:val="002115FC"/>
    <w:rsid w:val="00212184"/>
    <w:rsid w:val="0021423C"/>
    <w:rsid w:val="00214ACA"/>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75631"/>
    <w:rsid w:val="00282240"/>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506B1"/>
    <w:rsid w:val="00356AC7"/>
    <w:rsid w:val="003609FA"/>
    <w:rsid w:val="00361D45"/>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6791"/>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A3F"/>
    <w:rsid w:val="004C1F56"/>
    <w:rsid w:val="004C27BC"/>
    <w:rsid w:val="004D15F3"/>
    <w:rsid w:val="004D5311"/>
    <w:rsid w:val="004D5DCC"/>
    <w:rsid w:val="004E22F1"/>
    <w:rsid w:val="004E3A68"/>
    <w:rsid w:val="004F10AF"/>
    <w:rsid w:val="004F11A4"/>
    <w:rsid w:val="004F2389"/>
    <w:rsid w:val="004F304D"/>
    <w:rsid w:val="004F61BE"/>
    <w:rsid w:val="004F66B1"/>
    <w:rsid w:val="00511C07"/>
    <w:rsid w:val="00516B59"/>
    <w:rsid w:val="005173A6"/>
    <w:rsid w:val="00520BAA"/>
    <w:rsid w:val="00522ABA"/>
    <w:rsid w:val="00525208"/>
    <w:rsid w:val="005257A5"/>
    <w:rsid w:val="005264C0"/>
    <w:rsid w:val="00526A8A"/>
    <w:rsid w:val="00531DF2"/>
    <w:rsid w:val="00531FAA"/>
    <w:rsid w:val="005442EE"/>
    <w:rsid w:val="00547353"/>
    <w:rsid w:val="005474E7"/>
    <w:rsid w:val="005512A3"/>
    <w:rsid w:val="005578CE"/>
    <w:rsid w:val="00562781"/>
    <w:rsid w:val="00566E2B"/>
    <w:rsid w:val="0057271C"/>
    <w:rsid w:val="00572845"/>
    <w:rsid w:val="00576986"/>
    <w:rsid w:val="00592772"/>
    <w:rsid w:val="00592C8D"/>
    <w:rsid w:val="0059574A"/>
    <w:rsid w:val="005A1B9B"/>
    <w:rsid w:val="005A6751"/>
    <w:rsid w:val="005B092E"/>
    <w:rsid w:val="005B152C"/>
    <w:rsid w:val="005B1EE0"/>
    <w:rsid w:val="005B2B24"/>
    <w:rsid w:val="005B4425"/>
    <w:rsid w:val="005B4B94"/>
    <w:rsid w:val="005C353F"/>
    <w:rsid w:val="005C3EE8"/>
    <w:rsid w:val="005D34F9"/>
    <w:rsid w:val="005D4190"/>
    <w:rsid w:val="005D67A3"/>
    <w:rsid w:val="005E2988"/>
    <w:rsid w:val="005E3085"/>
    <w:rsid w:val="005F51E1"/>
    <w:rsid w:val="00611C80"/>
    <w:rsid w:val="00613B21"/>
    <w:rsid w:val="00620692"/>
    <w:rsid w:val="006242CA"/>
    <w:rsid w:val="00627507"/>
    <w:rsid w:val="00633717"/>
    <w:rsid w:val="006344E1"/>
    <w:rsid w:val="006361FD"/>
    <w:rsid w:val="006545C4"/>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16F9"/>
    <w:rsid w:val="006D3237"/>
    <w:rsid w:val="006E2E37"/>
    <w:rsid w:val="006E3CF1"/>
    <w:rsid w:val="006E7E80"/>
    <w:rsid w:val="006F48CA"/>
    <w:rsid w:val="006F64DD"/>
    <w:rsid w:val="00715127"/>
    <w:rsid w:val="00715E8E"/>
    <w:rsid w:val="007172B0"/>
    <w:rsid w:val="00723580"/>
    <w:rsid w:val="00723755"/>
    <w:rsid w:val="00724AE2"/>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90AAD"/>
    <w:rsid w:val="00790E96"/>
    <w:rsid w:val="00793366"/>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24D1"/>
    <w:rsid w:val="00823602"/>
    <w:rsid w:val="008255F5"/>
    <w:rsid w:val="0083014E"/>
    <w:rsid w:val="0083214A"/>
    <w:rsid w:val="00834220"/>
    <w:rsid w:val="00845723"/>
    <w:rsid w:val="00851EF9"/>
    <w:rsid w:val="008577FD"/>
    <w:rsid w:val="00860B03"/>
    <w:rsid w:val="0086497A"/>
    <w:rsid w:val="008713A1"/>
    <w:rsid w:val="00873D9C"/>
    <w:rsid w:val="008748BE"/>
    <w:rsid w:val="008754AB"/>
    <w:rsid w:val="00876A02"/>
    <w:rsid w:val="00876F03"/>
    <w:rsid w:val="0088060C"/>
    <w:rsid w:val="00891107"/>
    <w:rsid w:val="00893576"/>
    <w:rsid w:val="00893E73"/>
    <w:rsid w:val="00893F30"/>
    <w:rsid w:val="00895F5B"/>
    <w:rsid w:val="008B02DC"/>
    <w:rsid w:val="008B2698"/>
    <w:rsid w:val="008B57CE"/>
    <w:rsid w:val="008C26DE"/>
    <w:rsid w:val="008D2225"/>
    <w:rsid w:val="008D4752"/>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5BAB"/>
    <w:rsid w:val="009B1B5F"/>
    <w:rsid w:val="009B6673"/>
    <w:rsid w:val="009C191B"/>
    <w:rsid w:val="009C2BD6"/>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6035E"/>
    <w:rsid w:val="00A6144C"/>
    <w:rsid w:val="00A66617"/>
    <w:rsid w:val="00A671F8"/>
    <w:rsid w:val="00A673A4"/>
    <w:rsid w:val="00A724AE"/>
    <w:rsid w:val="00A73329"/>
    <w:rsid w:val="00A75785"/>
    <w:rsid w:val="00A82359"/>
    <w:rsid w:val="00A865D2"/>
    <w:rsid w:val="00A94C20"/>
    <w:rsid w:val="00AA227F"/>
    <w:rsid w:val="00AA3BC7"/>
    <w:rsid w:val="00AA754A"/>
    <w:rsid w:val="00AB099E"/>
    <w:rsid w:val="00AB4328"/>
    <w:rsid w:val="00AB5628"/>
    <w:rsid w:val="00AC00C2"/>
    <w:rsid w:val="00AC5872"/>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612BF"/>
    <w:rsid w:val="00B701ED"/>
    <w:rsid w:val="00B751F4"/>
    <w:rsid w:val="00B8086C"/>
    <w:rsid w:val="00B840F7"/>
    <w:rsid w:val="00B861B4"/>
    <w:rsid w:val="00B86DFE"/>
    <w:rsid w:val="00B90990"/>
    <w:rsid w:val="00B922FF"/>
    <w:rsid w:val="00B9281E"/>
    <w:rsid w:val="00B92BA5"/>
    <w:rsid w:val="00B93925"/>
    <w:rsid w:val="00B95187"/>
    <w:rsid w:val="00BA2D55"/>
    <w:rsid w:val="00BA71B1"/>
    <w:rsid w:val="00BB0637"/>
    <w:rsid w:val="00BB345F"/>
    <w:rsid w:val="00BB68EA"/>
    <w:rsid w:val="00BC1C27"/>
    <w:rsid w:val="00BC1F03"/>
    <w:rsid w:val="00BC6BBF"/>
    <w:rsid w:val="00BD1572"/>
    <w:rsid w:val="00BE14E3"/>
    <w:rsid w:val="00BE3774"/>
    <w:rsid w:val="00BE41E5"/>
    <w:rsid w:val="00BF4109"/>
    <w:rsid w:val="00BF4CC3"/>
    <w:rsid w:val="00C00E59"/>
    <w:rsid w:val="00C054C7"/>
    <w:rsid w:val="00C057B5"/>
    <w:rsid w:val="00C149F0"/>
    <w:rsid w:val="00C22687"/>
    <w:rsid w:val="00C25983"/>
    <w:rsid w:val="00C32E4D"/>
    <w:rsid w:val="00C333A0"/>
    <w:rsid w:val="00C36408"/>
    <w:rsid w:val="00C36A81"/>
    <w:rsid w:val="00C41974"/>
    <w:rsid w:val="00C45616"/>
    <w:rsid w:val="00C53F4A"/>
    <w:rsid w:val="00C54125"/>
    <w:rsid w:val="00C55B54"/>
    <w:rsid w:val="00C6098E"/>
    <w:rsid w:val="00C6152C"/>
    <w:rsid w:val="00C74448"/>
    <w:rsid w:val="00C74810"/>
    <w:rsid w:val="00C81ACF"/>
    <w:rsid w:val="00C90D68"/>
    <w:rsid w:val="00C939FE"/>
    <w:rsid w:val="00CA4BDA"/>
    <w:rsid w:val="00CA7C61"/>
    <w:rsid w:val="00CB1F66"/>
    <w:rsid w:val="00CB2951"/>
    <w:rsid w:val="00CD282B"/>
    <w:rsid w:val="00CD4C35"/>
    <w:rsid w:val="00CD7369"/>
    <w:rsid w:val="00CE0B0E"/>
    <w:rsid w:val="00CE3831"/>
    <w:rsid w:val="00CE56EB"/>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37FDD"/>
    <w:rsid w:val="00D44C2E"/>
    <w:rsid w:val="00D45414"/>
    <w:rsid w:val="00D54FF1"/>
    <w:rsid w:val="00D55E2C"/>
    <w:rsid w:val="00D566BD"/>
    <w:rsid w:val="00D57A4D"/>
    <w:rsid w:val="00D60AA7"/>
    <w:rsid w:val="00D62A67"/>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5382"/>
    <w:rsid w:val="00DD6EE5"/>
    <w:rsid w:val="00DE0BB8"/>
    <w:rsid w:val="00DE2362"/>
    <w:rsid w:val="00DE386C"/>
    <w:rsid w:val="00DE4D35"/>
    <w:rsid w:val="00DF098B"/>
    <w:rsid w:val="00DF11C4"/>
    <w:rsid w:val="00DF210C"/>
    <w:rsid w:val="00DF4B6A"/>
    <w:rsid w:val="00E02C09"/>
    <w:rsid w:val="00E04D59"/>
    <w:rsid w:val="00E07DA1"/>
    <w:rsid w:val="00E123CB"/>
    <w:rsid w:val="00E20E13"/>
    <w:rsid w:val="00E21DBC"/>
    <w:rsid w:val="00E275D7"/>
    <w:rsid w:val="00E27DBE"/>
    <w:rsid w:val="00E32AB1"/>
    <w:rsid w:val="00E36C71"/>
    <w:rsid w:val="00E40404"/>
    <w:rsid w:val="00E459C6"/>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E0277"/>
    <w:rsid w:val="00EE3E00"/>
    <w:rsid w:val="00EE5DD2"/>
    <w:rsid w:val="00F00A79"/>
    <w:rsid w:val="00F00E86"/>
    <w:rsid w:val="00F07C1E"/>
    <w:rsid w:val="00F105DB"/>
    <w:rsid w:val="00F132BC"/>
    <w:rsid w:val="00F13D80"/>
    <w:rsid w:val="00F16AAA"/>
    <w:rsid w:val="00F21161"/>
    <w:rsid w:val="00F218EF"/>
    <w:rsid w:val="00F21BC7"/>
    <w:rsid w:val="00F266A2"/>
    <w:rsid w:val="00F27D13"/>
    <w:rsid w:val="00F32269"/>
    <w:rsid w:val="00F56A6F"/>
    <w:rsid w:val="00F5709C"/>
    <w:rsid w:val="00F626DA"/>
    <w:rsid w:val="00F64EF1"/>
    <w:rsid w:val="00F659F3"/>
    <w:rsid w:val="00F83589"/>
    <w:rsid w:val="00F8765F"/>
    <w:rsid w:val="00F90767"/>
    <w:rsid w:val="00F912E4"/>
    <w:rsid w:val="00F94531"/>
    <w:rsid w:val="00F9588E"/>
    <w:rsid w:val="00FA685B"/>
    <w:rsid w:val="00FB0C01"/>
    <w:rsid w:val="00FC18F2"/>
    <w:rsid w:val="00FC39E5"/>
    <w:rsid w:val="00FC3A78"/>
    <w:rsid w:val="00FD1005"/>
    <w:rsid w:val="00FD61AA"/>
    <w:rsid w:val="00FD6C75"/>
    <w:rsid w:val="00FD6ED8"/>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D9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0720C3"/>
    <w:rPr>
      <w:sz w:val="24"/>
      <w:szCs w:val="24"/>
    </w:rPr>
  </w:style>
  <w:style w:type="paragraph" w:styleId="Heading1">
    <w:name w:val="heading 1"/>
    <w:basedOn w:val="Normal"/>
    <w:next w:val="Normal"/>
    <w:link w:val="Heading1Char"/>
    <w:uiPriority w:val="98"/>
    <w:semiHidden/>
    <w:rsid w:val="000720C3"/>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0720C3"/>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0720C3"/>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0720C3"/>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0720C3"/>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0720C3"/>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0720C3"/>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0720C3"/>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0720C3"/>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0720C3"/>
    <w:rPr>
      <w:rFonts w:ascii="Tahoma" w:hAnsi="Tahoma" w:cs="Tahoma"/>
      <w:sz w:val="16"/>
      <w:szCs w:val="16"/>
    </w:rPr>
  </w:style>
  <w:style w:type="character" w:customStyle="1" w:styleId="BalloonTextChar">
    <w:name w:val="Balloon Text Char"/>
    <w:basedOn w:val="DefaultParagraphFont"/>
    <w:link w:val="BalloonText"/>
    <w:uiPriority w:val="98"/>
    <w:semiHidden/>
    <w:rsid w:val="000720C3"/>
    <w:rPr>
      <w:rFonts w:ascii="Tahoma" w:hAnsi="Tahoma" w:cs="Tahoma"/>
      <w:sz w:val="16"/>
      <w:szCs w:val="16"/>
      <w:lang w:val="ro-RO"/>
    </w:rPr>
  </w:style>
  <w:style w:type="character" w:styleId="BookTitle">
    <w:name w:val="Book Title"/>
    <w:uiPriority w:val="98"/>
    <w:semiHidden/>
    <w:qFormat/>
    <w:rsid w:val="000720C3"/>
    <w:rPr>
      <w:i/>
      <w:iCs/>
      <w:smallCaps/>
      <w:spacing w:val="5"/>
    </w:rPr>
  </w:style>
  <w:style w:type="paragraph" w:customStyle="1" w:styleId="JuHeader">
    <w:name w:val="Ju_Header"/>
    <w:aliases w:val="_Header"/>
    <w:basedOn w:val="Header"/>
    <w:uiPriority w:val="29"/>
    <w:qFormat/>
    <w:rsid w:val="000720C3"/>
    <w:pPr>
      <w:tabs>
        <w:tab w:val="clear" w:pos="4536"/>
        <w:tab w:val="clear" w:pos="9072"/>
      </w:tabs>
      <w:jc w:val="center"/>
    </w:pPr>
    <w:rPr>
      <w:sz w:val="18"/>
    </w:rPr>
  </w:style>
  <w:style w:type="paragraph" w:customStyle="1" w:styleId="DecList">
    <w:name w:val="Dec_List"/>
    <w:aliases w:val="_List"/>
    <w:basedOn w:val="JuList"/>
    <w:uiPriority w:val="22"/>
    <w:rsid w:val="000720C3"/>
    <w:pPr>
      <w:numPr>
        <w:numId w:val="0"/>
      </w:numPr>
      <w:ind w:left="284"/>
    </w:pPr>
  </w:style>
  <w:style w:type="character" w:styleId="Strong">
    <w:name w:val="Strong"/>
    <w:uiPriority w:val="98"/>
    <w:semiHidden/>
    <w:qFormat/>
    <w:rsid w:val="000720C3"/>
    <w:rPr>
      <w:b/>
      <w:bCs/>
    </w:rPr>
  </w:style>
  <w:style w:type="paragraph" w:styleId="NoSpacing">
    <w:name w:val="No Spacing"/>
    <w:basedOn w:val="Normal"/>
    <w:link w:val="NoSpacingChar"/>
    <w:uiPriority w:val="98"/>
    <w:semiHidden/>
    <w:qFormat/>
    <w:rsid w:val="000720C3"/>
  </w:style>
  <w:style w:type="character" w:customStyle="1" w:styleId="NoSpacingChar">
    <w:name w:val="No Spacing Char"/>
    <w:basedOn w:val="DefaultParagraphFont"/>
    <w:link w:val="NoSpacing"/>
    <w:uiPriority w:val="98"/>
    <w:semiHidden/>
    <w:rsid w:val="000720C3"/>
    <w:rPr>
      <w:sz w:val="24"/>
      <w:szCs w:val="24"/>
      <w:lang w:val="ro-RO"/>
    </w:rPr>
  </w:style>
  <w:style w:type="paragraph" w:customStyle="1" w:styleId="JuQuot">
    <w:name w:val="Ju_Quot"/>
    <w:aliases w:val="_Quote"/>
    <w:basedOn w:val="NormalJustified"/>
    <w:uiPriority w:val="20"/>
    <w:qFormat/>
    <w:rsid w:val="000720C3"/>
    <w:pPr>
      <w:spacing w:before="120" w:after="120"/>
      <w:ind w:left="425" w:firstLine="142"/>
    </w:pPr>
    <w:rPr>
      <w:sz w:val="20"/>
    </w:rPr>
  </w:style>
  <w:style w:type="paragraph" w:customStyle="1" w:styleId="JuList">
    <w:name w:val="Ju_List"/>
    <w:aliases w:val="_List_1"/>
    <w:basedOn w:val="NormalJustified"/>
    <w:uiPriority w:val="23"/>
    <w:qFormat/>
    <w:rsid w:val="000720C3"/>
    <w:pPr>
      <w:numPr>
        <w:numId w:val="8"/>
      </w:numPr>
      <w:spacing w:before="280" w:after="60"/>
    </w:pPr>
  </w:style>
  <w:style w:type="paragraph" w:customStyle="1" w:styleId="JuLista">
    <w:name w:val="Ju_List_a"/>
    <w:aliases w:val="_List_2"/>
    <w:basedOn w:val="NormalJustified"/>
    <w:uiPriority w:val="23"/>
    <w:rsid w:val="000720C3"/>
    <w:pPr>
      <w:numPr>
        <w:ilvl w:val="1"/>
        <w:numId w:val="8"/>
      </w:numPr>
    </w:pPr>
  </w:style>
  <w:style w:type="paragraph" w:customStyle="1" w:styleId="JuListi">
    <w:name w:val="Ju_List_i"/>
    <w:aliases w:val="_List_3"/>
    <w:basedOn w:val="NormalJustified"/>
    <w:uiPriority w:val="23"/>
    <w:rsid w:val="000720C3"/>
    <w:pPr>
      <w:numPr>
        <w:ilvl w:val="2"/>
        <w:numId w:val="8"/>
      </w:numPr>
    </w:pPr>
  </w:style>
  <w:style w:type="paragraph" w:customStyle="1" w:styleId="DecHTitle">
    <w:name w:val="Dec_H_Title"/>
    <w:aliases w:val="_Title_1"/>
    <w:basedOn w:val="JuPara"/>
    <w:next w:val="JuPara"/>
    <w:uiPriority w:val="38"/>
    <w:qFormat/>
    <w:rsid w:val="000720C3"/>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0720C3"/>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0720C3"/>
    <w:pPr>
      <w:keepNext/>
      <w:keepLines/>
      <w:tabs>
        <w:tab w:val="right" w:pos="7938"/>
      </w:tabs>
      <w:ind w:firstLine="0"/>
      <w:jc w:val="center"/>
    </w:pPr>
    <w:rPr>
      <w:i/>
    </w:rPr>
  </w:style>
  <w:style w:type="numbering" w:customStyle="1" w:styleId="ECHRA1StyleBulletedSquare">
    <w:name w:val="ECHR_A1_Style_Bulleted_Square"/>
    <w:basedOn w:val="NoList"/>
    <w:rsid w:val="000720C3"/>
    <w:pPr>
      <w:numPr>
        <w:numId w:val="7"/>
      </w:numPr>
    </w:pPr>
  </w:style>
  <w:style w:type="paragraph" w:customStyle="1" w:styleId="JuHHead">
    <w:name w:val="Ju_H_Head"/>
    <w:aliases w:val="_Head_1"/>
    <w:basedOn w:val="Heading1"/>
    <w:next w:val="JuPara"/>
    <w:uiPriority w:val="17"/>
    <w:qFormat/>
    <w:rsid w:val="000720C3"/>
    <w:pPr>
      <w:keepNext/>
      <w:keepLines/>
      <w:numPr>
        <w:numId w:val="3"/>
      </w:numPr>
      <w:spacing w:before="100" w:beforeAutospacing="1" w:after="240"/>
      <w:contextualSpacing w:val="0"/>
    </w:pPr>
    <w:rPr>
      <w:b w:val="0"/>
      <w:caps/>
      <w:color w:val="auto"/>
    </w:rPr>
  </w:style>
  <w:style w:type="numbering" w:customStyle="1" w:styleId="ECHRA1StyleList">
    <w:name w:val="ECHR_A1_Style_List"/>
    <w:basedOn w:val="NoList"/>
    <w:uiPriority w:val="99"/>
    <w:rsid w:val="000720C3"/>
    <w:pPr>
      <w:numPr>
        <w:numId w:val="8"/>
      </w:numPr>
    </w:pPr>
  </w:style>
  <w:style w:type="paragraph" w:customStyle="1" w:styleId="JuSigned">
    <w:name w:val="Ju_Signed"/>
    <w:aliases w:val="_Signature"/>
    <w:basedOn w:val="Normal"/>
    <w:next w:val="JuPara"/>
    <w:uiPriority w:val="31"/>
    <w:qFormat/>
    <w:rsid w:val="000720C3"/>
    <w:pPr>
      <w:tabs>
        <w:tab w:val="center" w:pos="851"/>
        <w:tab w:val="center" w:pos="6407"/>
      </w:tabs>
      <w:spacing w:before="720"/>
    </w:pPr>
  </w:style>
  <w:style w:type="paragraph" w:styleId="Title">
    <w:name w:val="Title"/>
    <w:basedOn w:val="Normal"/>
    <w:next w:val="Normal"/>
    <w:link w:val="TitleChar"/>
    <w:uiPriority w:val="98"/>
    <w:semiHidden/>
    <w:qFormat/>
    <w:rsid w:val="000720C3"/>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0720C3"/>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0720C3"/>
    <w:pPr>
      <w:numPr>
        <w:numId w:val="9"/>
      </w:numPr>
    </w:pPr>
  </w:style>
  <w:style w:type="table" w:customStyle="1" w:styleId="ECHRTable2019">
    <w:name w:val="ECHR_Table_2019"/>
    <w:basedOn w:val="TableNormal"/>
    <w:uiPriority w:val="99"/>
    <w:rsid w:val="000720C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0720C3"/>
    <w:rPr>
      <w:sz w:val="8"/>
    </w:rPr>
  </w:style>
  <w:style w:type="paragraph" w:customStyle="1" w:styleId="JuCourt">
    <w:name w:val="Ju_Court"/>
    <w:aliases w:val="_Court_Names"/>
    <w:basedOn w:val="Normal"/>
    <w:next w:val="Normal"/>
    <w:uiPriority w:val="32"/>
    <w:qFormat/>
    <w:rsid w:val="000720C3"/>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1"/>
    <w:qFormat/>
    <w:rsid w:val="000720C3"/>
    <w:pPr>
      <w:tabs>
        <w:tab w:val="center" w:pos="6407"/>
      </w:tabs>
      <w:spacing w:before="720"/>
      <w:jc w:val="right"/>
    </w:pPr>
  </w:style>
  <w:style w:type="paragraph" w:customStyle="1" w:styleId="JuHIRoman">
    <w:name w:val="Ju_H_I_Roman"/>
    <w:aliases w:val="_Head_2"/>
    <w:basedOn w:val="Heading2"/>
    <w:next w:val="JuPara"/>
    <w:uiPriority w:val="17"/>
    <w:qFormat/>
    <w:rsid w:val="000720C3"/>
    <w:pPr>
      <w:keepNext/>
      <w:keepLines/>
      <w:numPr>
        <w:ilvl w:val="1"/>
        <w:numId w:val="3"/>
      </w:numPr>
      <w:spacing w:before="100" w:beforeAutospacing="1" w:after="240"/>
    </w:pPr>
    <w:rPr>
      <w:b w:val="0"/>
      <w:caps/>
      <w:color w:val="auto"/>
      <w:sz w:val="24"/>
    </w:rPr>
  </w:style>
  <w:style w:type="paragraph" w:customStyle="1" w:styleId="JuHA">
    <w:name w:val="Ju_H_A"/>
    <w:aliases w:val="_Head_3"/>
    <w:basedOn w:val="Heading3"/>
    <w:next w:val="JuPara"/>
    <w:uiPriority w:val="17"/>
    <w:qFormat/>
    <w:rsid w:val="000720C3"/>
    <w:pPr>
      <w:keepNext/>
      <w:keepLines/>
      <w:numPr>
        <w:ilvl w:val="2"/>
        <w:numId w:val="3"/>
      </w:numPr>
      <w:spacing w:before="100" w:beforeAutospacing="1" w:after="240" w:line="240" w:lineRule="auto"/>
    </w:pPr>
    <w:rPr>
      <w:color w:val="auto"/>
      <w:sz w:val="24"/>
    </w:rPr>
  </w:style>
  <w:style w:type="paragraph" w:customStyle="1" w:styleId="JuH1">
    <w:name w:val="Ju_H_1."/>
    <w:aliases w:val="_Head_4"/>
    <w:basedOn w:val="Heading4"/>
    <w:next w:val="JuPara"/>
    <w:uiPriority w:val="17"/>
    <w:rsid w:val="000720C3"/>
    <w:pPr>
      <w:keepNext/>
      <w:keepLines/>
      <w:numPr>
        <w:ilvl w:val="3"/>
        <w:numId w:val="3"/>
      </w:numPr>
      <w:spacing w:before="100" w:beforeAutospacing="1" w:after="120"/>
    </w:pPr>
    <w:rPr>
      <w:b w:val="0"/>
      <w:color w:val="auto"/>
      <w:sz w:val="24"/>
    </w:rPr>
  </w:style>
  <w:style w:type="paragraph" w:styleId="Header">
    <w:name w:val="header"/>
    <w:basedOn w:val="Normal"/>
    <w:link w:val="HeaderChar"/>
    <w:uiPriority w:val="98"/>
    <w:semiHidden/>
    <w:rsid w:val="000720C3"/>
    <w:pPr>
      <w:tabs>
        <w:tab w:val="center" w:pos="4536"/>
        <w:tab w:val="right" w:pos="9072"/>
      </w:tabs>
    </w:pPr>
  </w:style>
  <w:style w:type="character" w:customStyle="1" w:styleId="HeaderChar">
    <w:name w:val="Header Char"/>
    <w:basedOn w:val="DefaultParagraphFont"/>
    <w:link w:val="Header"/>
    <w:uiPriority w:val="98"/>
    <w:semiHidden/>
    <w:rsid w:val="000720C3"/>
    <w:rPr>
      <w:sz w:val="24"/>
      <w:szCs w:val="24"/>
      <w:lang w:val="ro-RO"/>
    </w:rPr>
  </w:style>
  <w:style w:type="character" w:customStyle="1" w:styleId="Heading1Char">
    <w:name w:val="Heading 1 Char"/>
    <w:basedOn w:val="DefaultParagraphFont"/>
    <w:link w:val="Heading1"/>
    <w:uiPriority w:val="98"/>
    <w:semiHidden/>
    <w:rsid w:val="000720C3"/>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0720C3"/>
    <w:pPr>
      <w:keepNext/>
      <w:keepLines/>
      <w:numPr>
        <w:ilvl w:val="4"/>
        <w:numId w:val="3"/>
      </w:numPr>
      <w:spacing w:before="100" w:beforeAutospacing="1" w:after="120"/>
    </w:pPr>
    <w:rPr>
      <w:color w:val="auto"/>
      <w:sz w:val="20"/>
    </w:rPr>
  </w:style>
  <w:style w:type="paragraph" w:customStyle="1" w:styleId="JuHi">
    <w:name w:val="Ju_H_i"/>
    <w:aliases w:val="_Head_6"/>
    <w:basedOn w:val="Heading6"/>
    <w:next w:val="JuPara"/>
    <w:uiPriority w:val="17"/>
    <w:rsid w:val="000720C3"/>
    <w:pPr>
      <w:keepNext/>
      <w:keepLines/>
      <w:numPr>
        <w:ilvl w:val="5"/>
        <w:numId w:val="3"/>
      </w:numPr>
      <w:spacing w:before="100" w:beforeAutospacing="1" w:after="120"/>
    </w:pPr>
    <w:rPr>
      <w:b w:val="0"/>
      <w:color w:val="auto"/>
      <w:sz w:val="20"/>
    </w:rPr>
  </w:style>
  <w:style w:type="character" w:customStyle="1" w:styleId="Heading2Char">
    <w:name w:val="Heading 2 Char"/>
    <w:basedOn w:val="DefaultParagraphFont"/>
    <w:link w:val="Heading2"/>
    <w:uiPriority w:val="98"/>
    <w:semiHidden/>
    <w:rsid w:val="000720C3"/>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0720C3"/>
    <w:pPr>
      <w:keepNext/>
      <w:keepLines/>
      <w:numPr>
        <w:ilvl w:val="6"/>
        <w:numId w:val="3"/>
      </w:numPr>
      <w:spacing w:before="100" w:beforeAutospacing="1" w:after="120"/>
    </w:pPr>
    <w:rPr>
      <w:i w:val="0"/>
      <w:sz w:val="20"/>
    </w:rPr>
  </w:style>
  <w:style w:type="paragraph" w:customStyle="1" w:styleId="JuH">
    <w:name w:val="Ju_H_–"/>
    <w:aliases w:val="_Head_8"/>
    <w:basedOn w:val="Heading8"/>
    <w:next w:val="JuPara"/>
    <w:uiPriority w:val="17"/>
    <w:rsid w:val="000720C3"/>
    <w:pPr>
      <w:keepNext/>
      <w:keepLines/>
      <w:numPr>
        <w:ilvl w:val="7"/>
        <w:numId w:val="3"/>
      </w:numPr>
      <w:spacing w:before="100" w:beforeAutospacing="1" w:after="120"/>
    </w:pPr>
    <w:rPr>
      <w:i/>
    </w:rPr>
  </w:style>
  <w:style w:type="character" w:customStyle="1" w:styleId="Heading3Char">
    <w:name w:val="Heading 3 Char"/>
    <w:basedOn w:val="DefaultParagraphFont"/>
    <w:link w:val="Heading3"/>
    <w:uiPriority w:val="98"/>
    <w:semiHidden/>
    <w:rsid w:val="000720C3"/>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0720C3"/>
    <w:pPr>
      <w:keepNext/>
      <w:keepLines/>
      <w:spacing w:before="240" w:after="240"/>
      <w:ind w:firstLine="284"/>
    </w:pPr>
  </w:style>
  <w:style w:type="paragraph" w:customStyle="1" w:styleId="JuJudges">
    <w:name w:val="Ju_Judges"/>
    <w:aliases w:val="_Judges"/>
    <w:basedOn w:val="Normal"/>
    <w:uiPriority w:val="32"/>
    <w:qFormat/>
    <w:rsid w:val="000720C3"/>
    <w:pPr>
      <w:tabs>
        <w:tab w:val="left" w:pos="567"/>
        <w:tab w:val="left" w:pos="1134"/>
      </w:tabs>
    </w:pPr>
  </w:style>
  <w:style w:type="character" w:customStyle="1" w:styleId="Heading4Char">
    <w:name w:val="Heading 4 Char"/>
    <w:basedOn w:val="DefaultParagraphFont"/>
    <w:link w:val="Heading4"/>
    <w:uiPriority w:val="98"/>
    <w:semiHidden/>
    <w:rsid w:val="000720C3"/>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43"/>
    <w:qFormat/>
    <w:rsid w:val="000720C3"/>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0720C3"/>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0720C3"/>
    <w:rPr>
      <w:caps w:val="0"/>
      <w:smallCaps/>
    </w:rPr>
  </w:style>
  <w:style w:type="paragraph" w:customStyle="1" w:styleId="NormalJustified">
    <w:name w:val="Normal_Justified"/>
    <w:basedOn w:val="Normal"/>
    <w:semiHidden/>
    <w:rsid w:val="000720C3"/>
    <w:pPr>
      <w:jc w:val="both"/>
    </w:pPr>
  </w:style>
  <w:style w:type="character" w:styleId="SubtleEmphasis">
    <w:name w:val="Subtle Emphasis"/>
    <w:uiPriority w:val="98"/>
    <w:semiHidden/>
    <w:qFormat/>
    <w:rsid w:val="000720C3"/>
    <w:rPr>
      <w:i/>
      <w:iCs/>
    </w:rPr>
  </w:style>
  <w:style w:type="table" w:customStyle="1" w:styleId="ECHRTable">
    <w:name w:val="ECHR_Table"/>
    <w:basedOn w:val="TableNormal"/>
    <w:rsid w:val="000720C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0720C3"/>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0720C3"/>
    <w:rPr>
      <w:b/>
      <w:bCs/>
      <w:i/>
      <w:iCs/>
      <w:spacing w:val="10"/>
      <w:bdr w:val="none" w:sz="0" w:space="0" w:color="auto"/>
      <w:shd w:val="clear" w:color="auto" w:fill="auto"/>
    </w:rPr>
  </w:style>
  <w:style w:type="paragraph" w:styleId="Footer0">
    <w:name w:val="footer"/>
    <w:basedOn w:val="Normal"/>
    <w:link w:val="FooterChar"/>
    <w:uiPriority w:val="98"/>
    <w:semiHidden/>
    <w:rsid w:val="000720C3"/>
    <w:pPr>
      <w:tabs>
        <w:tab w:val="center" w:pos="3686"/>
        <w:tab w:val="right" w:pos="7371"/>
      </w:tabs>
    </w:pPr>
  </w:style>
  <w:style w:type="character" w:customStyle="1" w:styleId="FooterChar">
    <w:name w:val="Footer Char"/>
    <w:basedOn w:val="DefaultParagraphFont"/>
    <w:link w:val="Footer0"/>
    <w:uiPriority w:val="98"/>
    <w:semiHidden/>
    <w:rsid w:val="000720C3"/>
    <w:rPr>
      <w:sz w:val="24"/>
      <w:szCs w:val="24"/>
      <w:lang w:val="ro-RO"/>
    </w:rPr>
  </w:style>
  <w:style w:type="character" w:styleId="FootnoteReference">
    <w:name w:val="footnote reference"/>
    <w:basedOn w:val="DefaultParagraphFont"/>
    <w:uiPriority w:val="98"/>
    <w:semiHidden/>
    <w:rsid w:val="000720C3"/>
    <w:rPr>
      <w:vertAlign w:val="superscript"/>
    </w:rPr>
  </w:style>
  <w:style w:type="paragraph" w:styleId="FootnoteText">
    <w:name w:val="footnote text"/>
    <w:basedOn w:val="Normal"/>
    <w:link w:val="FootnoteTextChar"/>
    <w:uiPriority w:val="98"/>
    <w:semiHidden/>
    <w:rsid w:val="000720C3"/>
    <w:rPr>
      <w:sz w:val="20"/>
      <w:szCs w:val="20"/>
    </w:rPr>
  </w:style>
  <w:style w:type="character" w:customStyle="1" w:styleId="FootnoteTextChar">
    <w:name w:val="Footnote Text Char"/>
    <w:basedOn w:val="DefaultParagraphFont"/>
    <w:link w:val="FootnoteText"/>
    <w:uiPriority w:val="98"/>
    <w:semiHidden/>
    <w:rsid w:val="000720C3"/>
    <w:rPr>
      <w:sz w:val="20"/>
      <w:szCs w:val="20"/>
      <w:lang w:val="ro-RO"/>
    </w:rPr>
  </w:style>
  <w:style w:type="character" w:customStyle="1" w:styleId="Heading6Char">
    <w:name w:val="Heading 6 Char"/>
    <w:basedOn w:val="DefaultParagraphFont"/>
    <w:link w:val="Heading6"/>
    <w:uiPriority w:val="98"/>
    <w:semiHidden/>
    <w:rsid w:val="000720C3"/>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0720C3"/>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0720C3"/>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0720C3"/>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0720C3"/>
    <w:rPr>
      <w:color w:val="0072BC" w:themeColor="hyperlink"/>
      <w:u w:val="single"/>
    </w:rPr>
  </w:style>
  <w:style w:type="character" w:styleId="IntenseEmphasis">
    <w:name w:val="Intense Emphasis"/>
    <w:uiPriority w:val="98"/>
    <w:semiHidden/>
    <w:qFormat/>
    <w:rsid w:val="000720C3"/>
    <w:rPr>
      <w:b/>
      <w:bCs/>
    </w:rPr>
  </w:style>
  <w:style w:type="paragraph" w:styleId="IntenseQuote">
    <w:name w:val="Intense Quote"/>
    <w:basedOn w:val="Normal"/>
    <w:next w:val="Normal"/>
    <w:link w:val="IntenseQuoteChar"/>
    <w:uiPriority w:val="98"/>
    <w:semiHidden/>
    <w:qFormat/>
    <w:rsid w:val="000720C3"/>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0720C3"/>
    <w:rPr>
      <w:b/>
      <w:bCs/>
      <w:i/>
      <w:iCs/>
      <w:sz w:val="24"/>
      <w:szCs w:val="24"/>
      <w:lang w:val="ro-RO" w:bidi="en-US"/>
    </w:rPr>
  </w:style>
  <w:style w:type="character" w:styleId="IntenseReference">
    <w:name w:val="Intense Reference"/>
    <w:uiPriority w:val="98"/>
    <w:semiHidden/>
    <w:qFormat/>
    <w:rsid w:val="000720C3"/>
    <w:rPr>
      <w:smallCaps/>
      <w:spacing w:val="5"/>
      <w:u w:val="single"/>
    </w:rPr>
  </w:style>
  <w:style w:type="paragraph" w:styleId="ListParagraph">
    <w:name w:val="List Paragraph"/>
    <w:basedOn w:val="Normal"/>
    <w:uiPriority w:val="98"/>
    <w:semiHidden/>
    <w:qFormat/>
    <w:rsid w:val="000720C3"/>
    <w:pPr>
      <w:ind w:left="720"/>
      <w:contextualSpacing/>
    </w:pPr>
  </w:style>
  <w:style w:type="table" w:customStyle="1" w:styleId="LtrTableAddress">
    <w:name w:val="Ltr_Table_Address"/>
    <w:aliases w:val="ECHR_Ltr_Table_Address"/>
    <w:basedOn w:val="TableNormal"/>
    <w:uiPriority w:val="99"/>
    <w:rsid w:val="000720C3"/>
    <w:rPr>
      <w:sz w:val="24"/>
      <w:szCs w:val="24"/>
    </w:rPr>
    <w:tblPr>
      <w:tblInd w:w="5103" w:type="dxa"/>
    </w:tblPr>
  </w:style>
  <w:style w:type="paragraph" w:styleId="Quote">
    <w:name w:val="Quote"/>
    <w:basedOn w:val="Normal"/>
    <w:next w:val="Normal"/>
    <w:link w:val="QuoteChar"/>
    <w:uiPriority w:val="98"/>
    <w:semiHidden/>
    <w:qFormat/>
    <w:rsid w:val="000720C3"/>
    <w:pPr>
      <w:spacing w:before="200"/>
      <w:ind w:left="360" w:right="360"/>
    </w:pPr>
    <w:rPr>
      <w:i/>
      <w:iCs/>
      <w:lang w:bidi="en-US"/>
    </w:rPr>
  </w:style>
  <w:style w:type="character" w:customStyle="1" w:styleId="QuoteChar">
    <w:name w:val="Quote Char"/>
    <w:basedOn w:val="DefaultParagraphFont"/>
    <w:link w:val="Quote"/>
    <w:uiPriority w:val="98"/>
    <w:semiHidden/>
    <w:rsid w:val="000720C3"/>
    <w:rPr>
      <w:i/>
      <w:iCs/>
      <w:sz w:val="24"/>
      <w:szCs w:val="24"/>
      <w:lang w:val="ro-RO" w:bidi="en-US"/>
    </w:rPr>
  </w:style>
  <w:style w:type="character" w:styleId="SubtleReference">
    <w:name w:val="Subtle Reference"/>
    <w:uiPriority w:val="98"/>
    <w:semiHidden/>
    <w:qFormat/>
    <w:rsid w:val="000720C3"/>
    <w:rPr>
      <w:smallCaps/>
    </w:rPr>
  </w:style>
  <w:style w:type="table" w:styleId="TableGrid">
    <w:name w:val="Table Grid"/>
    <w:basedOn w:val="TableNormal"/>
    <w:uiPriority w:val="59"/>
    <w:semiHidden/>
    <w:rsid w:val="000720C3"/>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0720C3"/>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0720C3"/>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0720C3"/>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0720C3"/>
    <w:pPr>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0720C3"/>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0720C3"/>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0720C3"/>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0720C3"/>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0720C3"/>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0720C3"/>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0720C3"/>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0720C3"/>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0720C3"/>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0720C3"/>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0720C3"/>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0720C3"/>
    <w:pPr>
      <w:numPr>
        <w:numId w:val="4"/>
      </w:numPr>
    </w:pPr>
  </w:style>
  <w:style w:type="paragraph" w:customStyle="1" w:styleId="JuPara">
    <w:name w:val="Ju_Para"/>
    <w:aliases w:val="_Para"/>
    <w:basedOn w:val="NormalJustified"/>
    <w:link w:val="JuParaChar"/>
    <w:uiPriority w:val="4"/>
    <w:qFormat/>
    <w:rsid w:val="000720C3"/>
    <w:pPr>
      <w:ind w:firstLine="284"/>
    </w:pPr>
  </w:style>
  <w:style w:type="numbering" w:styleId="1ai">
    <w:name w:val="Outline List 1"/>
    <w:basedOn w:val="NoList"/>
    <w:uiPriority w:val="99"/>
    <w:semiHidden/>
    <w:unhideWhenUsed/>
    <w:rsid w:val="000720C3"/>
    <w:pPr>
      <w:numPr>
        <w:numId w:val="5"/>
      </w:numPr>
    </w:pPr>
  </w:style>
  <w:style w:type="table" w:customStyle="1" w:styleId="ECHRTableSimpleBox">
    <w:name w:val="ECHR_Table_Simple_Box"/>
    <w:basedOn w:val="TableNormal"/>
    <w:uiPriority w:val="99"/>
    <w:rsid w:val="000720C3"/>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0720C3"/>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0720C3"/>
    <w:pPr>
      <w:numPr>
        <w:numId w:val="6"/>
      </w:numPr>
    </w:pPr>
  </w:style>
  <w:style w:type="table" w:customStyle="1" w:styleId="ECHRTableForInternalUse">
    <w:name w:val="ECHR_Table_For_Internal_Use"/>
    <w:basedOn w:val="TableNormal"/>
    <w:uiPriority w:val="99"/>
    <w:rsid w:val="000720C3"/>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0720C3"/>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0720C3"/>
  </w:style>
  <w:style w:type="paragraph" w:styleId="BlockText">
    <w:name w:val="Block Text"/>
    <w:basedOn w:val="Normal"/>
    <w:uiPriority w:val="98"/>
    <w:semiHidden/>
    <w:rsid w:val="000720C3"/>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0720C3"/>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0720C3"/>
    <w:pPr>
      <w:spacing w:after="120"/>
    </w:pPr>
  </w:style>
  <w:style w:type="character" w:customStyle="1" w:styleId="BodyTextChar">
    <w:name w:val="Body Text Char"/>
    <w:basedOn w:val="DefaultParagraphFont"/>
    <w:link w:val="BodyText"/>
    <w:uiPriority w:val="98"/>
    <w:semiHidden/>
    <w:rsid w:val="000720C3"/>
    <w:rPr>
      <w:sz w:val="24"/>
      <w:szCs w:val="24"/>
      <w:lang w:val="ro-RO"/>
    </w:r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0720C3"/>
    <w:pPr>
      <w:spacing w:after="120" w:line="480" w:lineRule="auto"/>
    </w:pPr>
  </w:style>
  <w:style w:type="table" w:customStyle="1" w:styleId="ECHRHeaderTableReduced">
    <w:name w:val="ECHR_Header_Table_Reduced"/>
    <w:basedOn w:val="TableNormal"/>
    <w:uiPriority w:val="99"/>
    <w:rsid w:val="000720C3"/>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0720C3"/>
    <w:pPr>
      <w:ind w:firstLine="284"/>
    </w:pPr>
    <w:rPr>
      <w:b/>
    </w:rPr>
  </w:style>
  <w:style w:type="character" w:styleId="PageNumber">
    <w:name w:val="page number"/>
    <w:uiPriority w:val="98"/>
    <w:semiHidden/>
    <w:rsid w:val="000720C3"/>
    <w:rPr>
      <w:sz w:val="18"/>
    </w:rPr>
  </w:style>
  <w:style w:type="paragraph" w:styleId="ListBullet2">
    <w:name w:val="List Bullet 2"/>
    <w:basedOn w:val="Normal"/>
    <w:uiPriority w:val="98"/>
    <w:semiHidden/>
    <w:rsid w:val="000720C3"/>
    <w:pPr>
      <w:numPr>
        <w:numId w:val="11"/>
      </w:numPr>
      <w:contextualSpacing/>
    </w:pPr>
  </w:style>
  <w:style w:type="character" w:customStyle="1" w:styleId="BodyText2Char">
    <w:name w:val="Body Text 2 Char"/>
    <w:basedOn w:val="DefaultParagraphFont"/>
    <w:link w:val="BodyText2"/>
    <w:uiPriority w:val="98"/>
    <w:semiHidden/>
    <w:rsid w:val="000720C3"/>
    <w:rPr>
      <w:sz w:val="24"/>
      <w:szCs w:val="24"/>
      <w:lang w:val="ro-RO"/>
    </w:rPr>
  </w:style>
  <w:style w:type="paragraph" w:styleId="BodyText3">
    <w:name w:val="Body Text 3"/>
    <w:basedOn w:val="Normal"/>
    <w:link w:val="BodyText3Char"/>
    <w:uiPriority w:val="98"/>
    <w:semiHidden/>
    <w:rsid w:val="000720C3"/>
    <w:pPr>
      <w:spacing w:after="120"/>
    </w:pPr>
    <w:rPr>
      <w:sz w:val="16"/>
      <w:szCs w:val="16"/>
    </w:rPr>
  </w:style>
  <w:style w:type="character" w:customStyle="1" w:styleId="BodyText3Char">
    <w:name w:val="Body Text 3 Char"/>
    <w:basedOn w:val="DefaultParagraphFont"/>
    <w:link w:val="BodyText3"/>
    <w:uiPriority w:val="98"/>
    <w:semiHidden/>
    <w:rsid w:val="000720C3"/>
    <w:rPr>
      <w:sz w:val="16"/>
      <w:szCs w:val="16"/>
      <w:lang w:val="ro-RO"/>
    </w:rPr>
  </w:style>
  <w:style w:type="paragraph" w:styleId="BodyTextFirstIndent">
    <w:name w:val="Body Text First Indent"/>
    <w:basedOn w:val="BodyText"/>
    <w:link w:val="BodyTextFirstIndentChar"/>
    <w:uiPriority w:val="98"/>
    <w:semiHidden/>
    <w:rsid w:val="000720C3"/>
    <w:pPr>
      <w:spacing w:after="0"/>
      <w:ind w:firstLine="360"/>
    </w:pPr>
  </w:style>
  <w:style w:type="character" w:customStyle="1" w:styleId="BodyTextFirstIndentChar">
    <w:name w:val="Body Text First Indent Char"/>
    <w:basedOn w:val="BodyTextChar"/>
    <w:link w:val="BodyTextFirstIndent"/>
    <w:uiPriority w:val="98"/>
    <w:semiHidden/>
    <w:rsid w:val="000720C3"/>
    <w:rPr>
      <w:sz w:val="24"/>
      <w:szCs w:val="24"/>
      <w:lang w:val="ro-RO"/>
    </w:rPr>
  </w:style>
  <w:style w:type="paragraph" w:styleId="BodyTextIndent">
    <w:name w:val="Body Text Indent"/>
    <w:basedOn w:val="Normal"/>
    <w:link w:val="BodyTextIndentChar"/>
    <w:uiPriority w:val="98"/>
    <w:semiHidden/>
    <w:rsid w:val="000720C3"/>
    <w:pPr>
      <w:spacing w:after="120"/>
      <w:ind w:left="283"/>
    </w:pPr>
  </w:style>
  <w:style w:type="character" w:customStyle="1" w:styleId="BodyTextIndentChar">
    <w:name w:val="Body Text Indent Char"/>
    <w:basedOn w:val="DefaultParagraphFont"/>
    <w:link w:val="BodyTextIndent"/>
    <w:uiPriority w:val="98"/>
    <w:semiHidden/>
    <w:rsid w:val="000720C3"/>
    <w:rPr>
      <w:sz w:val="24"/>
      <w:szCs w:val="24"/>
      <w:lang w:val="ro-RO"/>
    </w:rPr>
  </w:style>
  <w:style w:type="paragraph" w:styleId="BodyTextFirstIndent2">
    <w:name w:val="Body Text First Indent 2"/>
    <w:basedOn w:val="BodyTextIndent"/>
    <w:link w:val="BodyTextFirstIndent2Char"/>
    <w:uiPriority w:val="98"/>
    <w:semiHidden/>
    <w:rsid w:val="000720C3"/>
    <w:pPr>
      <w:spacing w:after="0"/>
      <w:ind w:left="360" w:firstLine="360"/>
    </w:pPr>
  </w:style>
  <w:style w:type="character" w:customStyle="1" w:styleId="BodyTextFirstIndent2Char">
    <w:name w:val="Body Text First Indent 2 Char"/>
    <w:basedOn w:val="BodyTextIndentChar"/>
    <w:link w:val="BodyTextFirstIndent2"/>
    <w:uiPriority w:val="98"/>
    <w:semiHidden/>
    <w:rsid w:val="000720C3"/>
    <w:rPr>
      <w:sz w:val="24"/>
      <w:szCs w:val="24"/>
      <w:lang w:val="ro-RO"/>
    </w:rPr>
  </w:style>
  <w:style w:type="paragraph" w:styleId="BodyTextIndent2">
    <w:name w:val="Body Text Indent 2"/>
    <w:basedOn w:val="Normal"/>
    <w:link w:val="BodyTextIndent2Char"/>
    <w:uiPriority w:val="98"/>
    <w:semiHidden/>
    <w:rsid w:val="000720C3"/>
    <w:pPr>
      <w:spacing w:after="120" w:line="480" w:lineRule="auto"/>
      <w:ind w:left="283"/>
    </w:pPr>
  </w:style>
  <w:style w:type="character" w:customStyle="1" w:styleId="BodyTextIndent2Char">
    <w:name w:val="Body Text Indent 2 Char"/>
    <w:basedOn w:val="DefaultParagraphFont"/>
    <w:link w:val="BodyTextIndent2"/>
    <w:uiPriority w:val="98"/>
    <w:semiHidden/>
    <w:rsid w:val="000720C3"/>
    <w:rPr>
      <w:sz w:val="24"/>
      <w:szCs w:val="24"/>
      <w:lang w:val="ro-RO"/>
    </w:rPr>
  </w:style>
  <w:style w:type="paragraph" w:styleId="BodyTextIndent3">
    <w:name w:val="Body Text Indent 3"/>
    <w:basedOn w:val="Normal"/>
    <w:link w:val="BodyTextIndent3Char"/>
    <w:uiPriority w:val="98"/>
    <w:semiHidden/>
    <w:rsid w:val="000720C3"/>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0720C3"/>
    <w:rPr>
      <w:sz w:val="16"/>
      <w:szCs w:val="16"/>
      <w:lang w:val="ro-RO"/>
    </w:rPr>
  </w:style>
  <w:style w:type="paragraph" w:styleId="Caption">
    <w:name w:val="caption"/>
    <w:basedOn w:val="Normal"/>
    <w:next w:val="Normal"/>
    <w:uiPriority w:val="98"/>
    <w:semiHidden/>
    <w:qFormat/>
    <w:rsid w:val="000720C3"/>
    <w:pPr>
      <w:spacing w:after="200"/>
    </w:pPr>
    <w:rPr>
      <w:b/>
      <w:bCs/>
      <w:color w:val="0072BC" w:themeColor="accent1"/>
      <w:sz w:val="18"/>
      <w:szCs w:val="18"/>
    </w:rPr>
  </w:style>
  <w:style w:type="paragraph" w:styleId="Closing">
    <w:name w:val="Closing"/>
    <w:basedOn w:val="Normal"/>
    <w:link w:val="ClosingChar"/>
    <w:uiPriority w:val="98"/>
    <w:semiHidden/>
    <w:rsid w:val="000720C3"/>
    <w:pPr>
      <w:ind w:left="4252"/>
    </w:pPr>
  </w:style>
  <w:style w:type="character" w:customStyle="1" w:styleId="ClosingChar">
    <w:name w:val="Closing Char"/>
    <w:basedOn w:val="DefaultParagraphFont"/>
    <w:link w:val="Closing"/>
    <w:uiPriority w:val="98"/>
    <w:semiHidden/>
    <w:rsid w:val="000720C3"/>
    <w:rPr>
      <w:sz w:val="24"/>
      <w:szCs w:val="24"/>
      <w:lang w:val="ro-RO"/>
    </w:rPr>
  </w:style>
  <w:style w:type="table" w:styleId="ColorfulGrid">
    <w:name w:val="Colorful Grid"/>
    <w:basedOn w:val="TableNormal"/>
    <w:uiPriority w:val="73"/>
    <w:semiHidden/>
    <w:rsid w:val="000720C3"/>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0720C3"/>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0720C3"/>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0720C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0720C3"/>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0720C3"/>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0720C3"/>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0720C3"/>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0720C3"/>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0720C3"/>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0720C3"/>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0720C3"/>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0720C3"/>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0720C3"/>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0720C3"/>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0720C3"/>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0720C3"/>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0720C3"/>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0720C3"/>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0720C3"/>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0720C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0720C3"/>
    <w:rPr>
      <w:sz w:val="16"/>
      <w:szCs w:val="16"/>
    </w:rPr>
  </w:style>
  <w:style w:type="paragraph" w:styleId="CommentText">
    <w:name w:val="annotation text"/>
    <w:basedOn w:val="Normal"/>
    <w:link w:val="CommentTextChar"/>
    <w:uiPriority w:val="98"/>
    <w:semiHidden/>
    <w:rsid w:val="000720C3"/>
    <w:rPr>
      <w:sz w:val="20"/>
      <w:szCs w:val="20"/>
    </w:rPr>
  </w:style>
  <w:style w:type="character" w:customStyle="1" w:styleId="CommentTextChar">
    <w:name w:val="Comment Text Char"/>
    <w:basedOn w:val="DefaultParagraphFont"/>
    <w:link w:val="CommentText"/>
    <w:uiPriority w:val="98"/>
    <w:semiHidden/>
    <w:rsid w:val="000720C3"/>
    <w:rPr>
      <w:sz w:val="20"/>
      <w:szCs w:val="20"/>
      <w:lang w:val="ro-RO"/>
    </w:rPr>
  </w:style>
  <w:style w:type="paragraph" w:styleId="CommentSubject">
    <w:name w:val="annotation subject"/>
    <w:basedOn w:val="CommentText"/>
    <w:next w:val="CommentText"/>
    <w:link w:val="CommentSubjectChar"/>
    <w:uiPriority w:val="98"/>
    <w:semiHidden/>
    <w:rsid w:val="000720C3"/>
    <w:rPr>
      <w:b/>
      <w:bCs/>
    </w:rPr>
  </w:style>
  <w:style w:type="character" w:customStyle="1" w:styleId="CommentSubjectChar">
    <w:name w:val="Comment Subject Char"/>
    <w:basedOn w:val="CommentTextChar"/>
    <w:link w:val="CommentSubject"/>
    <w:uiPriority w:val="98"/>
    <w:semiHidden/>
    <w:rsid w:val="000720C3"/>
    <w:rPr>
      <w:b/>
      <w:bCs/>
      <w:sz w:val="20"/>
      <w:szCs w:val="20"/>
      <w:lang w:val="ro-RO"/>
    </w:rPr>
  </w:style>
  <w:style w:type="table" w:styleId="DarkList">
    <w:name w:val="Dark List"/>
    <w:basedOn w:val="TableNormal"/>
    <w:uiPriority w:val="70"/>
    <w:semiHidden/>
    <w:rsid w:val="000720C3"/>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0720C3"/>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0720C3"/>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0720C3"/>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0720C3"/>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0720C3"/>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0720C3"/>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0720C3"/>
  </w:style>
  <w:style w:type="character" w:customStyle="1" w:styleId="DateChar">
    <w:name w:val="Date Char"/>
    <w:basedOn w:val="DefaultParagraphFont"/>
    <w:link w:val="Date"/>
    <w:uiPriority w:val="98"/>
    <w:semiHidden/>
    <w:rsid w:val="000720C3"/>
    <w:rPr>
      <w:sz w:val="24"/>
      <w:szCs w:val="24"/>
      <w:lang w:val="ro-RO"/>
    </w:rPr>
  </w:style>
  <w:style w:type="paragraph" w:styleId="DocumentMap">
    <w:name w:val="Document Map"/>
    <w:basedOn w:val="Normal"/>
    <w:link w:val="DocumentMapChar"/>
    <w:uiPriority w:val="98"/>
    <w:semiHidden/>
    <w:rsid w:val="000720C3"/>
    <w:rPr>
      <w:rFonts w:ascii="Tahoma" w:hAnsi="Tahoma" w:cs="Tahoma"/>
      <w:sz w:val="16"/>
      <w:szCs w:val="16"/>
    </w:rPr>
  </w:style>
  <w:style w:type="character" w:customStyle="1" w:styleId="DocumentMapChar">
    <w:name w:val="Document Map Char"/>
    <w:basedOn w:val="DefaultParagraphFont"/>
    <w:link w:val="DocumentMap"/>
    <w:uiPriority w:val="98"/>
    <w:semiHidden/>
    <w:rsid w:val="000720C3"/>
    <w:rPr>
      <w:rFonts w:ascii="Tahoma" w:hAnsi="Tahoma" w:cs="Tahoma"/>
      <w:sz w:val="16"/>
      <w:szCs w:val="16"/>
      <w:lang w:val="ro-RO"/>
    </w:rPr>
  </w:style>
  <w:style w:type="paragraph" w:styleId="E-mailSignature">
    <w:name w:val="E-mail Signature"/>
    <w:basedOn w:val="Normal"/>
    <w:link w:val="E-mailSignatureChar"/>
    <w:uiPriority w:val="98"/>
    <w:semiHidden/>
    <w:rsid w:val="000720C3"/>
  </w:style>
  <w:style w:type="character" w:customStyle="1" w:styleId="E-mailSignatureChar">
    <w:name w:val="E-mail Signature Char"/>
    <w:basedOn w:val="DefaultParagraphFont"/>
    <w:link w:val="E-mailSignature"/>
    <w:uiPriority w:val="98"/>
    <w:semiHidden/>
    <w:rsid w:val="000720C3"/>
    <w:rPr>
      <w:sz w:val="24"/>
      <w:szCs w:val="24"/>
      <w:lang w:val="ro-RO"/>
    </w:rPr>
  </w:style>
  <w:style w:type="character" w:styleId="EndnoteReference">
    <w:name w:val="endnote reference"/>
    <w:basedOn w:val="DefaultParagraphFont"/>
    <w:uiPriority w:val="98"/>
    <w:semiHidden/>
    <w:rsid w:val="000720C3"/>
    <w:rPr>
      <w:vertAlign w:val="superscript"/>
    </w:rPr>
  </w:style>
  <w:style w:type="paragraph" w:styleId="EndnoteText">
    <w:name w:val="endnote text"/>
    <w:basedOn w:val="Normal"/>
    <w:link w:val="EndnoteTextChar"/>
    <w:uiPriority w:val="98"/>
    <w:semiHidden/>
    <w:rsid w:val="000720C3"/>
    <w:rPr>
      <w:sz w:val="20"/>
      <w:szCs w:val="20"/>
    </w:rPr>
  </w:style>
  <w:style w:type="character" w:customStyle="1" w:styleId="EndnoteTextChar">
    <w:name w:val="Endnote Text Char"/>
    <w:basedOn w:val="DefaultParagraphFont"/>
    <w:link w:val="EndnoteText"/>
    <w:uiPriority w:val="98"/>
    <w:semiHidden/>
    <w:rsid w:val="000720C3"/>
    <w:rPr>
      <w:sz w:val="20"/>
      <w:szCs w:val="20"/>
      <w:lang w:val="ro-RO"/>
    </w:rPr>
  </w:style>
  <w:style w:type="paragraph" w:styleId="EnvelopeAddress">
    <w:name w:val="envelope address"/>
    <w:basedOn w:val="Normal"/>
    <w:uiPriority w:val="98"/>
    <w:semiHidden/>
    <w:rsid w:val="000720C3"/>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0720C3"/>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0720C3"/>
    <w:rPr>
      <w:color w:val="7030A0" w:themeColor="followedHyperlink"/>
      <w:u w:val="single"/>
    </w:rPr>
  </w:style>
  <w:style w:type="character" w:styleId="HTMLAcronym">
    <w:name w:val="HTML Acronym"/>
    <w:basedOn w:val="DefaultParagraphFont"/>
    <w:uiPriority w:val="98"/>
    <w:semiHidden/>
    <w:rsid w:val="000720C3"/>
  </w:style>
  <w:style w:type="paragraph" w:styleId="HTMLAddress">
    <w:name w:val="HTML Address"/>
    <w:basedOn w:val="Normal"/>
    <w:link w:val="HTMLAddressChar"/>
    <w:uiPriority w:val="98"/>
    <w:semiHidden/>
    <w:rsid w:val="000720C3"/>
    <w:rPr>
      <w:i/>
      <w:iCs/>
    </w:rPr>
  </w:style>
  <w:style w:type="character" w:customStyle="1" w:styleId="HTMLAddressChar">
    <w:name w:val="HTML Address Char"/>
    <w:basedOn w:val="DefaultParagraphFont"/>
    <w:link w:val="HTMLAddress"/>
    <w:uiPriority w:val="98"/>
    <w:semiHidden/>
    <w:rsid w:val="000720C3"/>
    <w:rPr>
      <w:i/>
      <w:iCs/>
      <w:sz w:val="24"/>
      <w:szCs w:val="24"/>
      <w:lang w:val="ro-RO"/>
    </w:rPr>
  </w:style>
  <w:style w:type="character" w:styleId="HTMLCite">
    <w:name w:val="HTML Cite"/>
    <w:basedOn w:val="DefaultParagraphFont"/>
    <w:uiPriority w:val="98"/>
    <w:semiHidden/>
    <w:rsid w:val="000720C3"/>
    <w:rPr>
      <w:i/>
      <w:iCs/>
    </w:rPr>
  </w:style>
  <w:style w:type="character" w:styleId="HTMLCode">
    <w:name w:val="HTML Code"/>
    <w:basedOn w:val="DefaultParagraphFont"/>
    <w:uiPriority w:val="98"/>
    <w:semiHidden/>
    <w:rsid w:val="000720C3"/>
    <w:rPr>
      <w:rFonts w:ascii="Consolas" w:hAnsi="Consolas" w:cs="Consolas"/>
      <w:sz w:val="20"/>
      <w:szCs w:val="20"/>
    </w:rPr>
  </w:style>
  <w:style w:type="character" w:styleId="HTMLDefinition">
    <w:name w:val="HTML Definition"/>
    <w:basedOn w:val="DefaultParagraphFont"/>
    <w:uiPriority w:val="98"/>
    <w:semiHidden/>
    <w:rsid w:val="000720C3"/>
    <w:rPr>
      <w:i/>
      <w:iCs/>
    </w:rPr>
  </w:style>
  <w:style w:type="character" w:styleId="HTMLKeyboard">
    <w:name w:val="HTML Keyboard"/>
    <w:basedOn w:val="DefaultParagraphFont"/>
    <w:uiPriority w:val="98"/>
    <w:semiHidden/>
    <w:rsid w:val="000720C3"/>
    <w:rPr>
      <w:rFonts w:ascii="Consolas" w:hAnsi="Consolas" w:cs="Consolas"/>
      <w:sz w:val="20"/>
      <w:szCs w:val="20"/>
    </w:rPr>
  </w:style>
  <w:style w:type="paragraph" w:styleId="HTMLPreformatted">
    <w:name w:val="HTML Preformatted"/>
    <w:basedOn w:val="Normal"/>
    <w:link w:val="HTMLPreformattedChar"/>
    <w:uiPriority w:val="98"/>
    <w:semiHidden/>
    <w:rsid w:val="000720C3"/>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0720C3"/>
    <w:rPr>
      <w:rFonts w:ascii="Consolas" w:hAnsi="Consolas" w:cs="Consolas"/>
      <w:sz w:val="20"/>
      <w:szCs w:val="20"/>
      <w:lang w:val="ro-RO"/>
    </w:rPr>
  </w:style>
  <w:style w:type="character" w:styleId="HTMLSample">
    <w:name w:val="HTML Sample"/>
    <w:basedOn w:val="DefaultParagraphFont"/>
    <w:uiPriority w:val="98"/>
    <w:semiHidden/>
    <w:rsid w:val="000720C3"/>
    <w:rPr>
      <w:rFonts w:ascii="Consolas" w:hAnsi="Consolas" w:cs="Consolas"/>
      <w:sz w:val="24"/>
      <w:szCs w:val="24"/>
    </w:rPr>
  </w:style>
  <w:style w:type="character" w:styleId="HTMLTypewriter">
    <w:name w:val="HTML Typewriter"/>
    <w:basedOn w:val="DefaultParagraphFont"/>
    <w:uiPriority w:val="98"/>
    <w:semiHidden/>
    <w:rsid w:val="000720C3"/>
    <w:rPr>
      <w:rFonts w:ascii="Consolas" w:hAnsi="Consolas" w:cs="Consolas"/>
      <w:sz w:val="20"/>
      <w:szCs w:val="20"/>
    </w:rPr>
  </w:style>
  <w:style w:type="character" w:styleId="HTMLVariable">
    <w:name w:val="HTML Variable"/>
    <w:basedOn w:val="DefaultParagraphFont"/>
    <w:uiPriority w:val="98"/>
    <w:semiHidden/>
    <w:rsid w:val="000720C3"/>
    <w:rPr>
      <w:i/>
      <w:iCs/>
    </w:rPr>
  </w:style>
  <w:style w:type="paragraph" w:styleId="Index1">
    <w:name w:val="index 1"/>
    <w:basedOn w:val="Normal"/>
    <w:next w:val="Normal"/>
    <w:autoRedefine/>
    <w:uiPriority w:val="98"/>
    <w:semiHidden/>
    <w:rsid w:val="000720C3"/>
    <w:pPr>
      <w:ind w:left="240" w:hanging="240"/>
    </w:pPr>
  </w:style>
  <w:style w:type="paragraph" w:styleId="Index2">
    <w:name w:val="index 2"/>
    <w:basedOn w:val="Normal"/>
    <w:next w:val="Normal"/>
    <w:autoRedefine/>
    <w:uiPriority w:val="98"/>
    <w:semiHidden/>
    <w:rsid w:val="000720C3"/>
    <w:pPr>
      <w:ind w:left="480" w:hanging="240"/>
    </w:pPr>
  </w:style>
  <w:style w:type="paragraph" w:styleId="Index3">
    <w:name w:val="index 3"/>
    <w:basedOn w:val="Normal"/>
    <w:next w:val="Normal"/>
    <w:autoRedefine/>
    <w:uiPriority w:val="98"/>
    <w:semiHidden/>
    <w:rsid w:val="000720C3"/>
    <w:pPr>
      <w:ind w:left="720" w:hanging="240"/>
    </w:pPr>
  </w:style>
  <w:style w:type="paragraph" w:styleId="Index4">
    <w:name w:val="index 4"/>
    <w:basedOn w:val="Normal"/>
    <w:next w:val="Normal"/>
    <w:autoRedefine/>
    <w:uiPriority w:val="98"/>
    <w:semiHidden/>
    <w:rsid w:val="000720C3"/>
    <w:pPr>
      <w:ind w:left="960" w:hanging="240"/>
    </w:pPr>
  </w:style>
  <w:style w:type="paragraph" w:styleId="Index5">
    <w:name w:val="index 5"/>
    <w:basedOn w:val="Normal"/>
    <w:next w:val="Normal"/>
    <w:autoRedefine/>
    <w:uiPriority w:val="98"/>
    <w:semiHidden/>
    <w:rsid w:val="000720C3"/>
    <w:pPr>
      <w:ind w:left="1200" w:hanging="240"/>
    </w:pPr>
  </w:style>
  <w:style w:type="paragraph" w:styleId="Index6">
    <w:name w:val="index 6"/>
    <w:basedOn w:val="Normal"/>
    <w:next w:val="Normal"/>
    <w:autoRedefine/>
    <w:uiPriority w:val="98"/>
    <w:semiHidden/>
    <w:rsid w:val="000720C3"/>
    <w:pPr>
      <w:ind w:left="1440" w:hanging="240"/>
    </w:pPr>
  </w:style>
  <w:style w:type="paragraph" w:styleId="Index7">
    <w:name w:val="index 7"/>
    <w:basedOn w:val="Normal"/>
    <w:next w:val="Normal"/>
    <w:autoRedefine/>
    <w:uiPriority w:val="98"/>
    <w:semiHidden/>
    <w:rsid w:val="000720C3"/>
    <w:pPr>
      <w:ind w:left="1680" w:hanging="240"/>
    </w:pPr>
  </w:style>
  <w:style w:type="paragraph" w:styleId="Index8">
    <w:name w:val="index 8"/>
    <w:basedOn w:val="Normal"/>
    <w:next w:val="Normal"/>
    <w:autoRedefine/>
    <w:uiPriority w:val="98"/>
    <w:semiHidden/>
    <w:rsid w:val="000720C3"/>
    <w:pPr>
      <w:ind w:left="1920" w:hanging="240"/>
    </w:pPr>
  </w:style>
  <w:style w:type="paragraph" w:styleId="Index9">
    <w:name w:val="index 9"/>
    <w:basedOn w:val="Normal"/>
    <w:next w:val="Normal"/>
    <w:autoRedefine/>
    <w:uiPriority w:val="98"/>
    <w:semiHidden/>
    <w:rsid w:val="000720C3"/>
    <w:pPr>
      <w:ind w:left="2160" w:hanging="240"/>
    </w:pPr>
  </w:style>
  <w:style w:type="paragraph" w:styleId="IndexHeading">
    <w:name w:val="index heading"/>
    <w:basedOn w:val="Normal"/>
    <w:next w:val="Index1"/>
    <w:uiPriority w:val="98"/>
    <w:semiHidden/>
    <w:rsid w:val="000720C3"/>
    <w:rPr>
      <w:rFonts w:asciiTheme="majorHAnsi" w:eastAsiaTheme="majorEastAsia" w:hAnsiTheme="majorHAnsi" w:cstheme="majorBidi"/>
      <w:b/>
      <w:bCs/>
    </w:rPr>
  </w:style>
  <w:style w:type="table" w:styleId="LightGrid">
    <w:name w:val="Light Grid"/>
    <w:basedOn w:val="TableNormal"/>
    <w:uiPriority w:val="62"/>
    <w:semiHidden/>
    <w:rsid w:val="000720C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0720C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0720C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0720C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0720C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0720C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0720C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0720C3"/>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0720C3"/>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0720C3"/>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0720C3"/>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0720C3"/>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0720C3"/>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0720C3"/>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0720C3"/>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0720C3"/>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0720C3"/>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0720C3"/>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0720C3"/>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0720C3"/>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0720C3"/>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0720C3"/>
  </w:style>
  <w:style w:type="paragraph" w:styleId="List">
    <w:name w:val="List"/>
    <w:basedOn w:val="Normal"/>
    <w:uiPriority w:val="98"/>
    <w:semiHidden/>
    <w:rsid w:val="000720C3"/>
    <w:pPr>
      <w:ind w:left="283" w:hanging="283"/>
      <w:contextualSpacing/>
    </w:pPr>
  </w:style>
  <w:style w:type="paragraph" w:styleId="List2">
    <w:name w:val="List 2"/>
    <w:basedOn w:val="Normal"/>
    <w:uiPriority w:val="98"/>
    <w:semiHidden/>
    <w:rsid w:val="000720C3"/>
    <w:pPr>
      <w:ind w:left="566" w:hanging="283"/>
      <w:contextualSpacing/>
    </w:pPr>
  </w:style>
  <w:style w:type="paragraph" w:styleId="List3">
    <w:name w:val="List 3"/>
    <w:basedOn w:val="Normal"/>
    <w:uiPriority w:val="98"/>
    <w:semiHidden/>
    <w:rsid w:val="000720C3"/>
    <w:pPr>
      <w:ind w:left="849" w:hanging="283"/>
      <w:contextualSpacing/>
    </w:pPr>
  </w:style>
  <w:style w:type="paragraph" w:styleId="List4">
    <w:name w:val="List 4"/>
    <w:basedOn w:val="Normal"/>
    <w:uiPriority w:val="98"/>
    <w:semiHidden/>
    <w:rsid w:val="000720C3"/>
    <w:pPr>
      <w:ind w:left="1132" w:hanging="283"/>
      <w:contextualSpacing/>
    </w:pPr>
  </w:style>
  <w:style w:type="paragraph" w:styleId="List5">
    <w:name w:val="List 5"/>
    <w:basedOn w:val="Normal"/>
    <w:uiPriority w:val="98"/>
    <w:semiHidden/>
    <w:rsid w:val="000720C3"/>
    <w:pPr>
      <w:ind w:left="1415" w:hanging="283"/>
      <w:contextualSpacing/>
    </w:pPr>
  </w:style>
  <w:style w:type="paragraph" w:styleId="ListBullet">
    <w:name w:val="List Bullet"/>
    <w:basedOn w:val="Normal"/>
    <w:uiPriority w:val="98"/>
    <w:semiHidden/>
    <w:rsid w:val="000720C3"/>
    <w:pPr>
      <w:numPr>
        <w:numId w:val="10"/>
      </w:numPr>
    </w:pPr>
  </w:style>
  <w:style w:type="paragraph" w:styleId="ListBullet3">
    <w:name w:val="List Bullet 3"/>
    <w:basedOn w:val="Normal"/>
    <w:uiPriority w:val="98"/>
    <w:semiHidden/>
    <w:rsid w:val="000720C3"/>
    <w:pPr>
      <w:numPr>
        <w:numId w:val="12"/>
      </w:numPr>
      <w:contextualSpacing/>
    </w:pPr>
  </w:style>
  <w:style w:type="paragraph" w:styleId="ListBullet4">
    <w:name w:val="List Bullet 4"/>
    <w:basedOn w:val="Normal"/>
    <w:uiPriority w:val="98"/>
    <w:semiHidden/>
    <w:rsid w:val="000720C3"/>
    <w:pPr>
      <w:numPr>
        <w:numId w:val="13"/>
      </w:numPr>
      <w:contextualSpacing/>
    </w:pPr>
  </w:style>
  <w:style w:type="paragraph" w:styleId="ListBullet5">
    <w:name w:val="List Bullet 5"/>
    <w:basedOn w:val="Normal"/>
    <w:uiPriority w:val="98"/>
    <w:semiHidden/>
    <w:rsid w:val="000720C3"/>
    <w:pPr>
      <w:numPr>
        <w:numId w:val="14"/>
      </w:numPr>
      <w:contextualSpacing/>
    </w:pPr>
  </w:style>
  <w:style w:type="paragraph" w:styleId="ListContinue">
    <w:name w:val="List Continue"/>
    <w:basedOn w:val="Normal"/>
    <w:uiPriority w:val="98"/>
    <w:semiHidden/>
    <w:rsid w:val="000720C3"/>
    <w:pPr>
      <w:spacing w:after="120"/>
      <w:ind w:left="283"/>
      <w:contextualSpacing/>
    </w:pPr>
  </w:style>
  <w:style w:type="paragraph" w:styleId="ListContinue2">
    <w:name w:val="List Continue 2"/>
    <w:basedOn w:val="Normal"/>
    <w:uiPriority w:val="98"/>
    <w:semiHidden/>
    <w:rsid w:val="000720C3"/>
    <w:pPr>
      <w:spacing w:after="120"/>
      <w:ind w:left="566"/>
      <w:contextualSpacing/>
    </w:pPr>
  </w:style>
  <w:style w:type="paragraph" w:styleId="ListContinue3">
    <w:name w:val="List Continue 3"/>
    <w:basedOn w:val="Normal"/>
    <w:uiPriority w:val="98"/>
    <w:semiHidden/>
    <w:rsid w:val="000720C3"/>
    <w:pPr>
      <w:spacing w:after="120"/>
      <w:ind w:left="849"/>
      <w:contextualSpacing/>
    </w:pPr>
  </w:style>
  <w:style w:type="paragraph" w:styleId="ListContinue4">
    <w:name w:val="List Continue 4"/>
    <w:basedOn w:val="Normal"/>
    <w:uiPriority w:val="98"/>
    <w:semiHidden/>
    <w:rsid w:val="000720C3"/>
    <w:pPr>
      <w:spacing w:after="120"/>
      <w:ind w:left="1132"/>
      <w:contextualSpacing/>
    </w:pPr>
  </w:style>
  <w:style w:type="paragraph" w:styleId="ListContinue5">
    <w:name w:val="List Continue 5"/>
    <w:basedOn w:val="Normal"/>
    <w:uiPriority w:val="98"/>
    <w:semiHidden/>
    <w:rsid w:val="000720C3"/>
    <w:pPr>
      <w:spacing w:after="120"/>
      <w:ind w:left="1415"/>
      <w:contextualSpacing/>
    </w:pPr>
  </w:style>
  <w:style w:type="paragraph" w:styleId="ListNumber">
    <w:name w:val="List Number"/>
    <w:basedOn w:val="Normal"/>
    <w:uiPriority w:val="98"/>
    <w:semiHidden/>
    <w:rsid w:val="000720C3"/>
    <w:pPr>
      <w:numPr>
        <w:numId w:val="15"/>
      </w:numPr>
      <w:contextualSpacing/>
    </w:pPr>
  </w:style>
  <w:style w:type="paragraph" w:styleId="ListNumber2">
    <w:name w:val="List Number 2"/>
    <w:basedOn w:val="Normal"/>
    <w:uiPriority w:val="98"/>
    <w:semiHidden/>
    <w:rsid w:val="000720C3"/>
    <w:pPr>
      <w:numPr>
        <w:numId w:val="16"/>
      </w:numPr>
      <w:contextualSpacing/>
    </w:pPr>
  </w:style>
  <w:style w:type="paragraph" w:styleId="ListNumber3">
    <w:name w:val="List Number 3"/>
    <w:basedOn w:val="Normal"/>
    <w:uiPriority w:val="98"/>
    <w:semiHidden/>
    <w:rsid w:val="000720C3"/>
    <w:pPr>
      <w:numPr>
        <w:numId w:val="17"/>
      </w:numPr>
      <w:contextualSpacing/>
    </w:pPr>
  </w:style>
  <w:style w:type="paragraph" w:styleId="ListNumber4">
    <w:name w:val="List Number 4"/>
    <w:basedOn w:val="Normal"/>
    <w:uiPriority w:val="98"/>
    <w:semiHidden/>
    <w:rsid w:val="000720C3"/>
    <w:pPr>
      <w:numPr>
        <w:numId w:val="18"/>
      </w:numPr>
      <w:contextualSpacing/>
    </w:pPr>
  </w:style>
  <w:style w:type="paragraph" w:styleId="ListNumber5">
    <w:name w:val="List Number 5"/>
    <w:basedOn w:val="Normal"/>
    <w:uiPriority w:val="98"/>
    <w:semiHidden/>
    <w:rsid w:val="000720C3"/>
    <w:pPr>
      <w:numPr>
        <w:numId w:val="19"/>
      </w:numPr>
      <w:contextualSpacing/>
    </w:pPr>
  </w:style>
  <w:style w:type="paragraph" w:styleId="MacroText">
    <w:name w:val="macro"/>
    <w:link w:val="MacroTextChar"/>
    <w:uiPriority w:val="98"/>
    <w:semiHidden/>
    <w:rsid w:val="000720C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0720C3"/>
    <w:rPr>
      <w:rFonts w:ascii="Consolas" w:eastAsiaTheme="minorEastAsia" w:hAnsi="Consolas" w:cs="Consolas"/>
      <w:sz w:val="20"/>
      <w:szCs w:val="20"/>
    </w:rPr>
  </w:style>
  <w:style w:type="table" w:styleId="MediumGrid1">
    <w:name w:val="Medium Grid 1"/>
    <w:basedOn w:val="TableNormal"/>
    <w:uiPriority w:val="67"/>
    <w:semiHidden/>
    <w:rsid w:val="000720C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0720C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0720C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0720C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0720C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0720C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0720C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0720C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0720C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0720C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0720C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0720C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0720C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0720C3"/>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0720C3"/>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0720C3"/>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0720C3"/>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0720C3"/>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0720C3"/>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0720C3"/>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0720C3"/>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0720C3"/>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0720C3"/>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0720C3"/>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0720C3"/>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0720C3"/>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0720C3"/>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0720C3"/>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0720C3"/>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0720C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0720C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0720C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0720C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0720C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0720C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0720C3"/>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0720C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0720C3"/>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0720C3"/>
    <w:rPr>
      <w:rFonts w:ascii="Times New Roman" w:hAnsi="Times New Roman" w:cs="Times New Roman"/>
    </w:rPr>
  </w:style>
  <w:style w:type="paragraph" w:styleId="NormalIndent">
    <w:name w:val="Normal Indent"/>
    <w:basedOn w:val="Normal"/>
    <w:uiPriority w:val="98"/>
    <w:semiHidden/>
    <w:rsid w:val="000720C3"/>
    <w:pPr>
      <w:ind w:left="720"/>
    </w:pPr>
  </w:style>
  <w:style w:type="paragraph" w:styleId="NoteHeading">
    <w:name w:val="Note Heading"/>
    <w:basedOn w:val="Normal"/>
    <w:next w:val="Normal"/>
    <w:link w:val="NoteHeadingChar"/>
    <w:uiPriority w:val="98"/>
    <w:semiHidden/>
    <w:rsid w:val="000720C3"/>
  </w:style>
  <w:style w:type="character" w:customStyle="1" w:styleId="NoteHeadingChar">
    <w:name w:val="Note Heading Char"/>
    <w:basedOn w:val="DefaultParagraphFont"/>
    <w:link w:val="NoteHeading"/>
    <w:uiPriority w:val="98"/>
    <w:semiHidden/>
    <w:rsid w:val="000720C3"/>
    <w:rPr>
      <w:sz w:val="24"/>
      <w:szCs w:val="24"/>
      <w:lang w:val="ro-RO"/>
    </w:rPr>
  </w:style>
  <w:style w:type="character" w:styleId="PlaceholderText">
    <w:name w:val="Placeholder Text"/>
    <w:basedOn w:val="DefaultParagraphFont"/>
    <w:uiPriority w:val="98"/>
    <w:semiHidden/>
    <w:rsid w:val="000720C3"/>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0720C3"/>
    <w:rPr>
      <w:rFonts w:ascii="Consolas" w:hAnsi="Consolas" w:cs="Consolas"/>
      <w:sz w:val="21"/>
      <w:szCs w:val="21"/>
    </w:rPr>
  </w:style>
  <w:style w:type="character" w:customStyle="1" w:styleId="PlainTextChar">
    <w:name w:val="Plain Text Char"/>
    <w:basedOn w:val="DefaultParagraphFont"/>
    <w:link w:val="PlainText"/>
    <w:uiPriority w:val="98"/>
    <w:semiHidden/>
    <w:rsid w:val="000720C3"/>
    <w:rPr>
      <w:rFonts w:ascii="Consolas" w:hAnsi="Consolas" w:cs="Consolas"/>
      <w:sz w:val="21"/>
      <w:szCs w:val="21"/>
      <w:lang w:val="ro-RO"/>
    </w:rPr>
  </w:style>
  <w:style w:type="paragraph" w:styleId="Salutation">
    <w:name w:val="Salutation"/>
    <w:basedOn w:val="Normal"/>
    <w:next w:val="Normal"/>
    <w:link w:val="SalutationChar"/>
    <w:uiPriority w:val="98"/>
    <w:semiHidden/>
    <w:rsid w:val="000720C3"/>
  </w:style>
  <w:style w:type="character" w:customStyle="1" w:styleId="SalutationChar">
    <w:name w:val="Salutation Char"/>
    <w:basedOn w:val="DefaultParagraphFont"/>
    <w:link w:val="Salutation"/>
    <w:uiPriority w:val="98"/>
    <w:semiHidden/>
    <w:rsid w:val="000720C3"/>
    <w:rPr>
      <w:sz w:val="24"/>
      <w:szCs w:val="24"/>
      <w:lang w:val="ro-RO"/>
    </w:rPr>
  </w:style>
  <w:style w:type="paragraph" w:styleId="Signature">
    <w:name w:val="Signature"/>
    <w:basedOn w:val="Normal"/>
    <w:link w:val="SignatureChar"/>
    <w:uiPriority w:val="98"/>
    <w:semiHidden/>
    <w:rsid w:val="000720C3"/>
    <w:pPr>
      <w:ind w:left="4252"/>
    </w:pPr>
  </w:style>
  <w:style w:type="character" w:customStyle="1" w:styleId="SignatureChar">
    <w:name w:val="Signature Char"/>
    <w:basedOn w:val="DefaultParagraphFont"/>
    <w:link w:val="Signature"/>
    <w:uiPriority w:val="98"/>
    <w:semiHidden/>
    <w:rsid w:val="000720C3"/>
    <w:rPr>
      <w:sz w:val="24"/>
      <w:szCs w:val="24"/>
      <w:lang w:val="ro-RO"/>
    </w:rPr>
  </w:style>
  <w:style w:type="table" w:styleId="Table3Deffects1">
    <w:name w:val="Table 3D effects 1"/>
    <w:basedOn w:val="TableNormal"/>
    <w:uiPriority w:val="99"/>
    <w:semiHidden/>
    <w:unhideWhenUsed/>
    <w:rsid w:val="000720C3"/>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0720C3"/>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0720C3"/>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0720C3"/>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0720C3"/>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0720C3"/>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0720C3"/>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0720C3"/>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0720C3"/>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0720C3"/>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0720C3"/>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0720C3"/>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0720C3"/>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0720C3"/>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0720C3"/>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0720C3"/>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0720C3"/>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0720C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0720C3"/>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0720C3"/>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0720C3"/>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0720C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0720C3"/>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0720C3"/>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0720C3"/>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0720C3"/>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0720C3"/>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0720C3"/>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0720C3"/>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0720C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0720C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0720C3"/>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0720C3"/>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0720C3"/>
    <w:pPr>
      <w:ind w:left="240" w:hanging="240"/>
    </w:pPr>
  </w:style>
  <w:style w:type="paragraph" w:styleId="TableofFigures">
    <w:name w:val="table of figures"/>
    <w:basedOn w:val="Normal"/>
    <w:next w:val="Normal"/>
    <w:uiPriority w:val="98"/>
    <w:semiHidden/>
    <w:rsid w:val="000720C3"/>
  </w:style>
  <w:style w:type="table" w:styleId="TableProfessional">
    <w:name w:val="Table Professional"/>
    <w:basedOn w:val="TableNormal"/>
    <w:uiPriority w:val="99"/>
    <w:semiHidden/>
    <w:unhideWhenUsed/>
    <w:rsid w:val="000720C3"/>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0720C3"/>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0720C3"/>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0720C3"/>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0720C3"/>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0720C3"/>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0720C3"/>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0720C3"/>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0720C3"/>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0720C3"/>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0720C3"/>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0720C3"/>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0720C3"/>
    <w:pPr>
      <w:spacing w:after="100"/>
      <w:ind w:left="1680"/>
    </w:pPr>
  </w:style>
  <w:style w:type="paragraph" w:styleId="TOC9">
    <w:name w:val="toc 9"/>
    <w:basedOn w:val="Normal"/>
    <w:next w:val="Normal"/>
    <w:autoRedefine/>
    <w:uiPriority w:val="98"/>
    <w:semiHidden/>
    <w:rsid w:val="000720C3"/>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FooterLine">
    <w:name w:val="_Footer_Line"/>
    <w:aliases w:val="Footer_Line"/>
    <w:basedOn w:val="Normal"/>
    <w:next w:val="Footer"/>
    <w:uiPriority w:val="57"/>
    <w:semiHidden/>
    <w:rsid w:val="000720C3"/>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0720C3"/>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0720C3"/>
    <w:pPr>
      <w:keepNext/>
      <w:keepLines/>
      <w:spacing w:before="1320" w:after="280"/>
      <w:contextualSpacing/>
      <w:jc w:val="center"/>
    </w:pPr>
    <w:rPr>
      <w:b/>
    </w:rPr>
  </w:style>
  <w:style w:type="paragraph" w:customStyle="1" w:styleId="DummyStyle">
    <w:name w:val="Dummy_Style"/>
    <w:aliases w:val="_Dummy"/>
    <w:basedOn w:val="Normal"/>
    <w:semiHidden/>
    <w:qFormat/>
    <w:rsid w:val="000720C3"/>
    <w:rPr>
      <w:color w:val="00B050"/>
      <w:sz w:val="22"/>
    </w:rPr>
  </w:style>
  <w:style w:type="paragraph" w:customStyle="1" w:styleId="ECHRBullet1">
    <w:name w:val="ECHR_Bullet_1"/>
    <w:aliases w:val="_Bul_1"/>
    <w:basedOn w:val="NormalJustified"/>
    <w:uiPriority w:val="23"/>
    <w:semiHidden/>
    <w:qFormat/>
    <w:rsid w:val="000720C3"/>
    <w:pPr>
      <w:numPr>
        <w:numId w:val="7"/>
      </w:numPr>
      <w:spacing w:before="60" w:after="60"/>
    </w:pPr>
  </w:style>
  <w:style w:type="paragraph" w:customStyle="1" w:styleId="ECHRBullet2">
    <w:name w:val="ECHR_Bullet_2"/>
    <w:aliases w:val="_Bul_2"/>
    <w:basedOn w:val="ECHRBullet1"/>
    <w:uiPriority w:val="23"/>
    <w:semiHidden/>
    <w:rsid w:val="000720C3"/>
    <w:pPr>
      <w:numPr>
        <w:ilvl w:val="1"/>
      </w:numPr>
    </w:pPr>
  </w:style>
  <w:style w:type="paragraph" w:customStyle="1" w:styleId="ECHRBullet3">
    <w:name w:val="ECHR_Bullet_3"/>
    <w:aliases w:val="_Bul_3"/>
    <w:basedOn w:val="ECHRBullet2"/>
    <w:uiPriority w:val="23"/>
    <w:semiHidden/>
    <w:rsid w:val="000720C3"/>
    <w:pPr>
      <w:numPr>
        <w:ilvl w:val="2"/>
      </w:numPr>
    </w:pPr>
  </w:style>
  <w:style w:type="paragraph" w:customStyle="1" w:styleId="ECHRBullet4">
    <w:name w:val="ECHR_Bullet_4"/>
    <w:aliases w:val="_Bul_4"/>
    <w:basedOn w:val="ECHRBullet3"/>
    <w:uiPriority w:val="23"/>
    <w:semiHidden/>
    <w:rsid w:val="000720C3"/>
    <w:pPr>
      <w:numPr>
        <w:ilvl w:val="3"/>
      </w:numPr>
    </w:pPr>
  </w:style>
  <w:style w:type="paragraph" w:customStyle="1" w:styleId="ECHRConfidential">
    <w:name w:val="ECHR_Confidential"/>
    <w:aliases w:val="_Confidential"/>
    <w:basedOn w:val="Normal"/>
    <w:next w:val="Normal"/>
    <w:uiPriority w:val="42"/>
    <w:semiHidden/>
    <w:qFormat/>
    <w:rsid w:val="000720C3"/>
    <w:pPr>
      <w:jc w:val="right"/>
    </w:pPr>
    <w:rPr>
      <w:color w:val="C00000"/>
      <w:sz w:val="20"/>
    </w:rPr>
  </w:style>
  <w:style w:type="paragraph" w:customStyle="1" w:styleId="ECHRDecisionBody">
    <w:name w:val="ECHR_Decision_Body"/>
    <w:aliases w:val="_Decision_Body"/>
    <w:basedOn w:val="NormalJustified"/>
    <w:uiPriority w:val="54"/>
    <w:semiHidden/>
    <w:rsid w:val="000720C3"/>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0720C3"/>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0720C3"/>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0720C3"/>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0720C3"/>
    <w:pPr>
      <w:jc w:val="right"/>
    </w:pPr>
    <w:rPr>
      <w:sz w:val="20"/>
    </w:rPr>
  </w:style>
  <w:style w:type="paragraph" w:customStyle="1" w:styleId="ECHRHeaderRefIt">
    <w:name w:val="ECHR_Header_Ref_It"/>
    <w:aliases w:val="_Ref_Ital"/>
    <w:basedOn w:val="Normal"/>
    <w:next w:val="ECHRHeaderDate"/>
    <w:uiPriority w:val="43"/>
    <w:qFormat/>
    <w:rsid w:val="000720C3"/>
    <w:pPr>
      <w:jc w:val="right"/>
    </w:pPr>
    <w:rPr>
      <w:i/>
      <w:sz w:val="20"/>
    </w:rPr>
  </w:style>
  <w:style w:type="paragraph" w:customStyle="1" w:styleId="ECHRHeading9">
    <w:name w:val="ECHR_Heading_9"/>
    <w:aliases w:val="_Head_9"/>
    <w:basedOn w:val="Heading9"/>
    <w:uiPriority w:val="17"/>
    <w:semiHidden/>
    <w:rsid w:val="000720C3"/>
    <w:pPr>
      <w:keepNext/>
      <w:keepLines/>
      <w:numPr>
        <w:ilvl w:val="8"/>
        <w:numId w:val="3"/>
      </w:numPr>
      <w:spacing w:before="100" w:beforeAutospacing="1"/>
      <w:contextualSpacing/>
    </w:pPr>
    <w:rPr>
      <w:i w:val="0"/>
      <w:sz w:val="18"/>
    </w:rPr>
  </w:style>
  <w:style w:type="paragraph" w:customStyle="1" w:styleId="ECHRLine">
    <w:name w:val="ECHR_Line"/>
    <w:aliases w:val="_Line"/>
    <w:basedOn w:val="NormalJustified"/>
    <w:next w:val="Normal"/>
    <w:uiPriority w:val="46"/>
    <w:semiHidden/>
    <w:rsid w:val="000720C3"/>
    <w:pPr>
      <w:pBdr>
        <w:bottom w:val="single" w:sz="12" w:space="1" w:color="949494" w:themeColor="text2" w:themeShade="BF"/>
      </w:pBdr>
      <w:spacing w:after="120"/>
    </w:pPr>
    <w:rPr>
      <w:sz w:val="12"/>
    </w:rPr>
  </w:style>
  <w:style w:type="paragraph" w:customStyle="1" w:styleId="ECHRNumberedList1">
    <w:name w:val="ECHR_Numbered_List_1"/>
    <w:aliases w:val="_Num_1"/>
    <w:basedOn w:val="Normal"/>
    <w:uiPriority w:val="23"/>
    <w:semiHidden/>
    <w:qFormat/>
    <w:rsid w:val="000720C3"/>
    <w:pPr>
      <w:numPr>
        <w:numId w:val="9"/>
      </w:numPr>
      <w:spacing w:before="60" w:after="60"/>
    </w:pPr>
  </w:style>
  <w:style w:type="paragraph" w:customStyle="1" w:styleId="ECHRNumberedList2">
    <w:name w:val="ECHR_Numbered_List_2"/>
    <w:aliases w:val="_Num_2"/>
    <w:basedOn w:val="ECHRNumberedList1"/>
    <w:uiPriority w:val="23"/>
    <w:semiHidden/>
    <w:rsid w:val="000720C3"/>
    <w:pPr>
      <w:numPr>
        <w:ilvl w:val="1"/>
      </w:numPr>
    </w:pPr>
  </w:style>
  <w:style w:type="paragraph" w:customStyle="1" w:styleId="ECHRNumberedList3">
    <w:name w:val="ECHR_Numbered_List_3"/>
    <w:aliases w:val="_Num_3"/>
    <w:basedOn w:val="ECHRNumberedList2"/>
    <w:uiPriority w:val="23"/>
    <w:semiHidden/>
    <w:rsid w:val="000720C3"/>
    <w:pPr>
      <w:numPr>
        <w:ilvl w:val="2"/>
      </w:numPr>
    </w:pPr>
  </w:style>
  <w:style w:type="paragraph" w:customStyle="1" w:styleId="ECHRParaHanging">
    <w:name w:val="ECHR_Para_Hanging"/>
    <w:aliases w:val="_Hanging"/>
    <w:basedOn w:val="Normal"/>
    <w:uiPriority w:val="8"/>
    <w:semiHidden/>
    <w:qFormat/>
    <w:rsid w:val="000720C3"/>
    <w:pPr>
      <w:ind w:left="567" w:hanging="567"/>
      <w:jc w:val="both"/>
    </w:pPr>
  </w:style>
  <w:style w:type="paragraph" w:customStyle="1" w:styleId="ECHRParaIndent">
    <w:name w:val="ECHR_Para_Indent"/>
    <w:aliases w:val="_Indent"/>
    <w:basedOn w:val="Normal"/>
    <w:uiPriority w:val="7"/>
    <w:semiHidden/>
    <w:qFormat/>
    <w:rsid w:val="000720C3"/>
    <w:pPr>
      <w:spacing w:before="120" w:after="120"/>
      <w:ind w:left="567"/>
      <w:jc w:val="both"/>
    </w:pPr>
  </w:style>
  <w:style w:type="character" w:customStyle="1" w:styleId="ECHRRed">
    <w:name w:val="ECHR_Red"/>
    <w:aliases w:val="_Red"/>
    <w:basedOn w:val="DefaultParagraphFont"/>
    <w:uiPriority w:val="15"/>
    <w:semiHidden/>
    <w:qFormat/>
    <w:rsid w:val="000720C3"/>
    <w:rPr>
      <w:color w:val="C00000" w:themeColor="accent2"/>
    </w:rPr>
  </w:style>
  <w:style w:type="paragraph" w:customStyle="1" w:styleId="ECHRSpacer">
    <w:name w:val="ECHR_Spacer"/>
    <w:aliases w:val="_Spacer"/>
    <w:basedOn w:val="Normal"/>
    <w:uiPriority w:val="45"/>
    <w:semiHidden/>
    <w:rsid w:val="000720C3"/>
    <w:rPr>
      <w:sz w:val="4"/>
    </w:rPr>
  </w:style>
  <w:style w:type="table" w:customStyle="1" w:styleId="ECHRTable2">
    <w:name w:val="ECHR_Table_2"/>
    <w:basedOn w:val="TableNormal"/>
    <w:uiPriority w:val="99"/>
    <w:rsid w:val="000720C3"/>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0720C3"/>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0720C3"/>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0720C3"/>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0720C3"/>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0720C3"/>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0720C3"/>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0720C3"/>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0720C3"/>
    <w:pPr>
      <w:outlineLvl w:val="0"/>
    </w:pPr>
  </w:style>
  <w:style w:type="paragraph" w:customStyle="1" w:styleId="ECHRTitleTOC1">
    <w:name w:val="ECHR_Title_TOC_1"/>
    <w:aliases w:val="_Title_L_TOC"/>
    <w:basedOn w:val="ECHRTitle1"/>
    <w:next w:val="Normal"/>
    <w:uiPriority w:val="27"/>
    <w:semiHidden/>
    <w:qFormat/>
    <w:rsid w:val="000720C3"/>
    <w:pPr>
      <w:outlineLvl w:val="0"/>
    </w:pPr>
  </w:style>
  <w:style w:type="character" w:customStyle="1" w:styleId="JuParaChar">
    <w:name w:val="Ju_Para Char"/>
    <w:aliases w:val="_Para Char"/>
    <w:link w:val="JuPara"/>
    <w:uiPriority w:val="4"/>
    <w:rsid w:val="008224D1"/>
    <w:rPr>
      <w:sz w:val="24"/>
      <w:szCs w:val="24"/>
      <w:lang w:val="ro-RO"/>
    </w:rPr>
  </w:style>
  <w:style w:type="character" w:customStyle="1" w:styleId="JuNames0">
    <w:name w:val="Ju_Names"/>
    <w:rsid w:val="008224D1"/>
    <w:rPr>
      <w:smallCaps/>
    </w:rPr>
  </w:style>
  <w:style w:type="paragraph" w:customStyle="1" w:styleId="JuList4">
    <w:name w:val="Ju_List_4"/>
    <w:aliases w:val="N_Bul_4"/>
    <w:basedOn w:val="JuListi"/>
    <w:uiPriority w:val="19"/>
    <w:rsid w:val="008224D1"/>
    <w:pPr>
      <w:numPr>
        <w:ilvl w:val="0"/>
        <w:numId w:val="0"/>
      </w:numPr>
      <w:tabs>
        <w:tab w:val="num" w:pos="1701"/>
      </w:tabs>
      <w:spacing w:before="60" w:after="60" w:line="240" w:lineRule="exact"/>
      <w:ind w:left="1703" w:hanging="284"/>
      <w:contextualSpacing/>
    </w:pPr>
    <w:rPr>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884556">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F865F-A304-4060-8A18-4DE9E33C3B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A313D3-423C-4EBC-AE41-75CB0AC24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41DF1F7-AF01-402F-B685-129F3DF9CD9E}">
  <ds:schemaRefs>
    <ds:schemaRef ds:uri="http://schemas.microsoft.com/sharepoint/v3/contenttype/forms"/>
  </ds:schemaRefs>
</ds:datastoreItem>
</file>

<file path=customXml/itemProps4.xml><?xml version="1.0" encoding="utf-8"?>
<ds:datastoreItem xmlns:ds="http://schemas.openxmlformats.org/officeDocument/2006/customXml" ds:itemID="{56328117-187B-408F-8277-CCAA0716B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3779</Words>
  <Characters>21541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25270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AFFAIRE SCURTU c. ROUMANIE</dc:title>
  <dc:subject>JUDF</dc:subject>
  <dc:creator/>
  <cp:keywords/>
  <cp:lastModifiedBy/>
  <cp:revision>1</cp:revision>
  <dcterms:created xsi:type="dcterms:W3CDTF">2024-06-06T07:37:00Z</dcterms:created>
  <dcterms:modified xsi:type="dcterms:W3CDTF">2024-08-01T16:23:00Z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7418/14</vt:lpwstr>
  </property>
  <property fmtid="{D5CDD505-2E9C-101B-9397-08002B2CF9AE}" pid="4" name="CASEID">
    <vt:lpwstr>969153</vt:lpwstr>
  </property>
  <property fmtid="{D5CDD505-2E9C-101B-9397-08002B2CF9AE}" pid="5" name="ContentTypeId">
    <vt:lpwstr>0x010100558EB02BDB9E204AB350EDD385B68E10</vt:lpwstr>
  </property>
</Properties>
</file>