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129" w:rsidRDefault="004A4129" w:rsidP="008E6B2D">
      <w:pPr>
        <w:jc w:val="center"/>
        <w:rPr>
          <w:rFonts w:asciiTheme="majorHAnsi" w:hAnsiTheme="majorHAnsi"/>
          <w:sz w:val="28"/>
        </w:rPr>
      </w:pPr>
      <w:bookmarkStart w:id="0" w:name="_GoBack"/>
      <w:bookmarkEnd w:id="0"/>
    </w:p>
    <w:p w:rsidR="004A4129" w:rsidRDefault="004A4129" w:rsidP="008E6B2D">
      <w:pPr>
        <w:jc w:val="center"/>
        <w:rPr>
          <w:rFonts w:asciiTheme="majorHAnsi" w:hAnsiTheme="majorHAnsi"/>
          <w:sz w:val="28"/>
        </w:rPr>
      </w:pPr>
    </w:p>
    <w:p w:rsidR="004A4129" w:rsidRDefault="004A4129" w:rsidP="008E6B2D">
      <w:pPr>
        <w:jc w:val="center"/>
        <w:rPr>
          <w:rFonts w:asciiTheme="majorHAnsi" w:hAnsiTheme="majorHAnsi"/>
          <w:sz w:val="28"/>
        </w:rPr>
      </w:pPr>
    </w:p>
    <w:p w:rsidR="004A4129" w:rsidRDefault="004A4129" w:rsidP="008E6B2D">
      <w:pPr>
        <w:jc w:val="center"/>
        <w:rPr>
          <w:rFonts w:asciiTheme="majorHAnsi" w:hAnsiTheme="majorHAnsi"/>
          <w:sz w:val="28"/>
        </w:rPr>
      </w:pPr>
    </w:p>
    <w:p w:rsidR="004A4129" w:rsidRDefault="004A4129" w:rsidP="008E6B2D">
      <w:pPr>
        <w:jc w:val="center"/>
        <w:rPr>
          <w:rFonts w:asciiTheme="majorHAnsi" w:hAnsiTheme="majorHAnsi"/>
          <w:sz w:val="28"/>
        </w:rPr>
      </w:pPr>
    </w:p>
    <w:p w:rsidR="004A4129" w:rsidRDefault="004A4129" w:rsidP="008E6B2D">
      <w:pPr>
        <w:jc w:val="center"/>
        <w:rPr>
          <w:rFonts w:asciiTheme="majorHAnsi" w:hAnsiTheme="majorHAnsi"/>
          <w:sz w:val="28"/>
        </w:rPr>
      </w:pPr>
    </w:p>
    <w:p w:rsidR="004A4129" w:rsidRDefault="004A4129" w:rsidP="008E6B2D">
      <w:pPr>
        <w:jc w:val="center"/>
        <w:rPr>
          <w:rFonts w:asciiTheme="majorHAnsi" w:hAnsiTheme="majorHAnsi"/>
          <w:sz w:val="28"/>
        </w:rPr>
      </w:pPr>
    </w:p>
    <w:p w:rsidR="0098410D" w:rsidRPr="008E6B2D" w:rsidRDefault="008E6B2D" w:rsidP="008E6B2D">
      <w:pPr>
        <w:jc w:val="center"/>
        <w:rPr>
          <w:rFonts w:asciiTheme="majorHAnsi" w:hAnsiTheme="majorHAnsi"/>
          <w:sz w:val="28"/>
        </w:rPr>
      </w:pPr>
      <w:r>
        <w:rPr>
          <w:rFonts w:asciiTheme="majorHAnsi" w:hAnsiTheme="majorHAnsi"/>
          <w:sz w:val="28"/>
        </w:rPr>
        <w:t>CURTEA EUROPEANĂ A DREPTURILOR OMULUI</w:t>
      </w:r>
    </w:p>
    <w:p w:rsidR="0098410D" w:rsidRPr="00857E57" w:rsidRDefault="008E6B2D" w:rsidP="00857E57">
      <w:pPr>
        <w:pStyle w:val="DecHTitle"/>
      </w:pPr>
      <w:r>
        <w:t>SECȚIA A PATRA</w:t>
      </w:r>
    </w:p>
    <w:p w:rsidR="008E6217" w:rsidRPr="00857E57" w:rsidRDefault="008E6B2D" w:rsidP="00FE6746">
      <w:pPr>
        <w:pStyle w:val="JuTitle"/>
        <w:spacing w:before="960"/>
      </w:pPr>
      <w:r>
        <w:t>CAUZA MATTHEWS ȘI JOHNSON ÎMPOTRIVA ROMÂNIEI</w:t>
      </w:r>
    </w:p>
    <w:p w:rsidR="00D74888" w:rsidRPr="00857E57" w:rsidRDefault="008E6B2D" w:rsidP="00857E57">
      <w:pPr>
        <w:pStyle w:val="ECHRCoverTitle4"/>
      </w:pPr>
      <w:r>
        <w:t>(cererile nr. 19124/21 și 20085/21)</w:t>
      </w:r>
    </w:p>
    <w:p w:rsidR="0098410D" w:rsidRPr="00857E57" w:rsidRDefault="0098410D" w:rsidP="00857E57">
      <w:pPr>
        <w:pStyle w:val="DecHCase"/>
      </w:pPr>
    </w:p>
    <w:p w:rsidR="0098410D" w:rsidRPr="00857E57" w:rsidRDefault="0098410D" w:rsidP="00807BFB">
      <w:pPr>
        <w:pStyle w:val="DecHCase"/>
        <w:spacing w:after="120"/>
      </w:pPr>
    </w:p>
    <w:p w:rsidR="0098410D" w:rsidRDefault="008E6B2D" w:rsidP="00857E57">
      <w:pPr>
        <w:pStyle w:val="DecHCase"/>
      </w:pPr>
      <w:r>
        <w:t>HOTĂRÂRE</w:t>
      </w:r>
      <w:r>
        <w:br/>
      </w:r>
    </w:p>
    <w:p w:rsidR="00FE6746" w:rsidRDefault="008E6B2D" w:rsidP="00FE6746">
      <w:pPr>
        <w:pStyle w:val="JuParaLast"/>
        <w:pBdr>
          <w:top w:val="single" w:sz="4" w:space="1" w:color="auto"/>
          <w:left w:val="single" w:sz="4" w:space="4" w:color="auto"/>
          <w:bottom w:val="single" w:sz="4" w:space="1" w:color="auto"/>
          <w:right w:val="single" w:sz="4" w:space="4" w:color="auto"/>
        </w:pBdr>
        <w:spacing w:before="0" w:after="0"/>
        <w:ind w:firstLine="0"/>
      </w:pPr>
      <w:bookmarkStart w:id="1" w:name="_Hlk163548079"/>
      <w:r>
        <w:t xml:space="preserve">Art. 5 § 1 lit. f) • Extrădarea • Legalitatea arestării provizorii a reclamanților în vederea extrădării și predării lor • Niciun indiciu de rea-credință sau de arbitrariu • Perioada de arest prevăzută de o dispoziție internă referitoare la cazurile de forță majoră, în cursul aplicării măsurii provizorii indicate de Curte, în conformitate cu art. 39, care a împiedicat predarea reclamanților, însoțită de garanții procedurale • Nici arestarea pe parcursul acestei perioade, nici arestarea în ansamblul său nu a fost nerezonabil de lungă sau nejustificată, având în vedere diligența autorităților și interesul acestora în ceea ce privește continuarea procedurii de extrădare </w:t>
      </w:r>
    </w:p>
    <w:p w:rsidR="00FE6746" w:rsidRDefault="008E6B2D" w:rsidP="00FE6746">
      <w:pPr>
        <w:pStyle w:val="JuPara"/>
        <w:pBdr>
          <w:top w:val="single" w:sz="4" w:space="1" w:color="auto"/>
          <w:left w:val="single" w:sz="4" w:space="4" w:color="auto"/>
          <w:bottom w:val="single" w:sz="4" w:space="1" w:color="auto"/>
          <w:right w:val="single" w:sz="4" w:space="4" w:color="auto"/>
        </w:pBdr>
        <w:ind w:firstLine="0"/>
      </w:pPr>
      <w:r>
        <w:t xml:space="preserve">Art. 3 • Extrădarea • Nicio probă privind existența unui risc real de condamnare la pedeapsa detențiunii pe viață fără posibilitatea acordării liberării condiționate, în cazul extrădării și condamnării reclamanților în SUA • </w:t>
      </w:r>
      <w:r>
        <w:rPr>
          <w:rStyle w:val="sbb9ee52a"/>
          <w:color w:val="000000"/>
          <w:shd w:val="clear" w:color="auto" w:fill="FFFFFF"/>
        </w:rPr>
        <w:t xml:space="preserve">Prima etapă a abordării stabilite în hotărârea </w:t>
      </w:r>
      <w:r>
        <w:rPr>
          <w:rStyle w:val="sa36b60a1"/>
          <w:i/>
          <w:color w:val="000000"/>
          <w:shd w:val="clear" w:color="auto" w:fill="FFFFFF"/>
        </w:rPr>
        <w:t>Sanchez-Sanchez împotriva</w:t>
      </w:r>
      <w:r>
        <w:rPr>
          <w:rStyle w:val="sbb9ee52a"/>
          <w:color w:val="000000"/>
          <w:shd w:val="clear" w:color="auto" w:fill="FFFFFF"/>
        </w:rPr>
        <w:t> </w:t>
      </w:r>
      <w:r>
        <w:rPr>
          <w:rStyle w:val="sa36b60a1"/>
          <w:i/>
          <w:color w:val="000000"/>
          <w:shd w:val="clear" w:color="auto" w:fill="FFFFFF"/>
        </w:rPr>
        <w:t>Regatului Unit </w:t>
      </w:r>
      <w:r>
        <w:rPr>
          <w:rStyle w:val="sbb9ee52a"/>
          <w:color w:val="000000"/>
          <w:shd w:val="clear" w:color="auto" w:fill="FFFFFF"/>
        </w:rPr>
        <w:t>(MC) nu a fost respectată</w:t>
      </w:r>
      <w:r>
        <w:t xml:space="preserve"> • Vădit nefondată</w:t>
      </w:r>
      <w:bookmarkEnd w:id="1"/>
    </w:p>
    <w:p w:rsidR="00807BFB" w:rsidRDefault="00807BFB" w:rsidP="00FE6746">
      <w:pPr>
        <w:pStyle w:val="JuPara"/>
        <w:pBdr>
          <w:top w:val="single" w:sz="4" w:space="1" w:color="auto"/>
          <w:left w:val="single" w:sz="4" w:space="4" w:color="auto"/>
          <w:bottom w:val="single" w:sz="4" w:space="1" w:color="auto"/>
          <w:right w:val="single" w:sz="4" w:space="4" w:color="auto"/>
        </w:pBdr>
        <w:ind w:firstLine="0"/>
      </w:pPr>
    </w:p>
    <w:p w:rsidR="00807BFB" w:rsidRPr="0029242E" w:rsidRDefault="008E6B2D" w:rsidP="00807BFB">
      <w:pPr>
        <w:pStyle w:val="JuPara"/>
        <w:pBdr>
          <w:top w:val="single" w:sz="4" w:space="1" w:color="auto"/>
          <w:left w:val="single" w:sz="4" w:space="4" w:color="auto"/>
          <w:bottom w:val="single" w:sz="4" w:space="1" w:color="auto"/>
          <w:right w:val="single" w:sz="4" w:space="4" w:color="auto"/>
        </w:pBdr>
        <w:jc w:val="center"/>
        <w:rPr>
          <w:sz w:val="20"/>
          <w:szCs w:val="20"/>
        </w:rPr>
      </w:pPr>
      <w:bookmarkStart w:id="2" w:name="_Hlk158113039"/>
      <w:r>
        <w:rPr>
          <w:sz w:val="20"/>
        </w:rPr>
        <w:t>Întocmit de Grefă. Nu obligă Curtea.</w:t>
      </w:r>
      <w:bookmarkEnd w:id="2"/>
    </w:p>
    <w:p w:rsidR="00FE6746" w:rsidRPr="00FE6746" w:rsidRDefault="00FE6746" w:rsidP="00FE6746">
      <w:pPr>
        <w:pStyle w:val="JuPara"/>
        <w:spacing w:after="120"/>
      </w:pPr>
    </w:p>
    <w:p w:rsidR="0098410D" w:rsidRPr="00857E57" w:rsidRDefault="008E6B2D" w:rsidP="00857E57">
      <w:pPr>
        <w:pStyle w:val="DecHCase"/>
      </w:pPr>
      <w:r>
        <w:t>STRASBOURG</w:t>
      </w:r>
    </w:p>
    <w:p w:rsidR="0098410D" w:rsidRPr="00857E57" w:rsidRDefault="008E6B2D" w:rsidP="00857E57">
      <w:pPr>
        <w:pStyle w:val="DecHCase"/>
      </w:pPr>
      <w:r>
        <w:rPr>
          <w:rFonts w:ascii="Times New Roman" w:hAnsi="Times New Roman"/>
        </w:rPr>
        <w:t>9 aprilie 2024</w:t>
      </w:r>
    </w:p>
    <w:p w:rsidR="00AC4CD4" w:rsidRPr="00857E57" w:rsidRDefault="00AC4CD4" w:rsidP="00857E57">
      <w:pPr>
        <w:pStyle w:val="JuPara"/>
        <w:ind w:firstLine="0"/>
      </w:pPr>
    </w:p>
    <w:p w:rsidR="005C3FE7" w:rsidRPr="00857E57" w:rsidRDefault="005C3FE7" w:rsidP="00857E57">
      <w:pPr>
        <w:pStyle w:val="JuPara"/>
        <w:ind w:firstLine="0"/>
      </w:pPr>
    </w:p>
    <w:p w:rsidR="002422B6" w:rsidRPr="00857E57" w:rsidRDefault="008E6B2D" w:rsidP="00857E57">
      <w:pPr>
        <w:rPr>
          <w:i/>
          <w:sz w:val="22"/>
        </w:rPr>
      </w:pPr>
      <w:r>
        <w:rPr>
          <w:i/>
          <w:sz w:val="22"/>
        </w:rPr>
        <w:t>Hotărârea va rămâne definitivă în condițiile prevăzute la art. 44 § 2 din Convenție. Poate suferi modificări de formă.</w:t>
      </w:r>
    </w:p>
    <w:p w:rsidR="00FE6746" w:rsidRPr="00857E57" w:rsidRDefault="00FE6746" w:rsidP="00857E57">
      <w:pPr>
        <w:sectPr w:rsidR="00FE6746" w:rsidRPr="00857E57" w:rsidSect="00FE70B5">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1134" w:right="1134" w:bottom="1134" w:left="1701" w:header="1701" w:footer="720" w:gutter="0"/>
          <w:pgNumType w:start="1"/>
          <w:cols w:space="720"/>
          <w:noEndnote/>
          <w:titlePg/>
          <w:docGrid w:linePitch="326"/>
        </w:sectPr>
      </w:pPr>
    </w:p>
    <w:p w:rsidR="0098410D" w:rsidRPr="00857E57" w:rsidRDefault="008E6B2D" w:rsidP="007B59FB">
      <w:pPr>
        <w:pStyle w:val="JuCase"/>
        <w:ind w:firstLine="0"/>
      </w:pPr>
      <w:r>
        <w:lastRenderedPageBreak/>
        <w:t>În cauza Matthews și Johnson împotriva României,</w:t>
      </w:r>
    </w:p>
    <w:p w:rsidR="009F4C8F" w:rsidRPr="00857E57" w:rsidRDefault="008E6B2D" w:rsidP="00857E57">
      <w:pPr>
        <w:pStyle w:val="JuPara"/>
      </w:pPr>
      <w:r>
        <w:t>Curtea Europeană a Drepturilor Omului (Secția a patra), reunită într-o cameră compusă din:</w:t>
      </w:r>
    </w:p>
    <w:p w:rsidR="00A92625" w:rsidRPr="00857E57" w:rsidRDefault="008E6B2D" w:rsidP="00857E57">
      <w:pPr>
        <w:pStyle w:val="JuJudges"/>
      </w:pPr>
      <w:r>
        <w:tab/>
        <w:t>Gabriele Kucsko-Stadlmayer</w:t>
      </w:r>
      <w:r>
        <w:rPr>
          <w:i/>
        </w:rPr>
        <w:t>, președinte</w:t>
      </w:r>
      <w:r>
        <w:t>,</w:t>
      </w:r>
      <w:r>
        <w:br/>
      </w:r>
      <w:r>
        <w:tab/>
        <w:t>Tim Eicke,</w:t>
      </w:r>
      <w:r>
        <w:br/>
      </w:r>
      <w:r>
        <w:tab/>
        <w:t>Faris Vehabović,</w:t>
      </w:r>
      <w:r>
        <w:br/>
      </w:r>
      <w:r>
        <w:tab/>
        <w:t>Armen Harutyunyan,</w:t>
      </w:r>
      <w:r>
        <w:br/>
      </w:r>
      <w:r>
        <w:tab/>
        <w:t>Anja Seibert-Fohr,</w:t>
      </w:r>
      <w:r>
        <w:br/>
      </w:r>
      <w:r>
        <w:tab/>
        <w:t>Ana Maria Guerra Martins,</w:t>
      </w:r>
      <w:r>
        <w:br/>
      </w:r>
      <w:r>
        <w:tab/>
        <w:t>Sebastian Răduleţu</w:t>
      </w:r>
      <w:r>
        <w:rPr>
          <w:i/>
        </w:rPr>
        <w:t>, judecători</w:t>
      </w:r>
      <w:r>
        <w:t>,</w:t>
      </w:r>
      <w:r>
        <w:br/>
        <w:t xml:space="preserve">și Andrea Tamietti, </w:t>
      </w:r>
      <w:r>
        <w:rPr>
          <w:i/>
        </w:rPr>
        <w:t>grefier de secție,</w:t>
      </w:r>
    </w:p>
    <w:p w:rsidR="0055665C" w:rsidRPr="00857E57" w:rsidRDefault="008E6B2D" w:rsidP="00857E57">
      <w:pPr>
        <w:pStyle w:val="JuPara"/>
      </w:pPr>
      <w:r>
        <w:t>având în vedere:</w:t>
      </w:r>
    </w:p>
    <w:p w:rsidR="0055665C" w:rsidRPr="00857E57" w:rsidRDefault="008E6B2D" w:rsidP="00857E57">
      <w:pPr>
        <w:pStyle w:val="JuPara"/>
      </w:pPr>
      <w:r>
        <w:t xml:space="preserve">cererile (nr. 19124/21 și </w:t>
      </w:r>
      <w:r>
        <w:rPr>
          <w:color w:val="000000"/>
        </w:rPr>
        <w:t>20085/21</w:t>
      </w:r>
      <w:r>
        <w:t>) îndreptate împotriva României, prin care un resortisant neozeelandez, domnul Murray Michael Matthews („primul reclamant”) și un resortisant neozeelandez și britanic, domnul Marc Patrick Johnson („al doilea reclamant”), au sesizat Curtea la 14 aprilie și, respectiv, 19 aprilie 2021, în temeiul art. 34 din Convenția pentru apărarea drepturilor omului și a libertăților fundamentale („Convenția”);</w:t>
      </w:r>
    </w:p>
    <w:p w:rsidR="0055665C" w:rsidRPr="00857E57" w:rsidRDefault="008E6B2D" w:rsidP="00857E57">
      <w:pPr>
        <w:pStyle w:val="JuPara"/>
      </w:pPr>
      <w:r>
        <w:t>decizia de a comunica Guvernului României („Guvernul”) capetele de cerere expuse mai jos (infra, pct. </w:t>
      </w:r>
      <w:r w:rsidR="003636C8" w:rsidRPr="00857E57">
        <w:fldChar w:fldCharType="begin"/>
      </w:r>
      <w:r w:rsidR="003636C8" w:rsidRPr="00857E57">
        <w:instrText xml:space="preserve"> REF paragraph00001 \h  \* CharFormat </w:instrText>
      </w:r>
      <w:r w:rsidR="003636C8" w:rsidRPr="00857E57">
        <w:fldChar w:fldCharType="separate"/>
      </w:r>
      <w:r w:rsidR="00495766" w:rsidRPr="00857E57">
        <w:t>1</w:t>
      </w:r>
      <w:r w:rsidR="003636C8" w:rsidRPr="00857E57">
        <w:fldChar w:fldCharType="end"/>
      </w:r>
      <w:r>
        <w:t>) și de a declara celelalte capete de cerere inadmisibile;</w:t>
      </w:r>
    </w:p>
    <w:p w:rsidR="0055665C" w:rsidRPr="00857E57" w:rsidRDefault="008E6B2D" w:rsidP="00857E57">
      <w:pPr>
        <w:pStyle w:val="JuPara"/>
      </w:pPr>
      <w:r>
        <w:t>decizia de a acorda examinarea cu prioritate a cererilor (art. 41 din Regulamentul Curții);</w:t>
      </w:r>
    </w:p>
    <w:p w:rsidR="0055665C" w:rsidRPr="00857E57" w:rsidRDefault="008E6B2D" w:rsidP="00857E57">
      <w:pPr>
        <w:pStyle w:val="JuPara"/>
      </w:pPr>
      <w:r>
        <w:t>deciziile din 15 aprilie și 5 mai 2021, prin care Guvernului pârât i-a fost indicată o măsură provizorie (art. 39 din Regulamentul Curții), și decizia din 12 decembrie 2022 de încetare a măsurii provizorii indicate;</w:t>
      </w:r>
    </w:p>
    <w:p w:rsidR="0055665C" w:rsidRPr="00857E57" w:rsidRDefault="008E6B2D" w:rsidP="00857E57">
      <w:pPr>
        <w:pStyle w:val="JuPara"/>
      </w:pPr>
      <w:r>
        <w:t>observațiile părților;</w:t>
      </w:r>
    </w:p>
    <w:p w:rsidR="0055665C" w:rsidRPr="00857E57" w:rsidRDefault="008E6B2D" w:rsidP="00857E57">
      <w:pPr>
        <w:pStyle w:val="JuPara"/>
      </w:pPr>
      <w:r>
        <w:t>observațiile prezentate de Guvernul Regatului Unit și de două organizații neguvernamentale, Centrul AIRE (Advice on Individual Rights in Europe) și Hands Off Cain, a căror cerere de intervenție a fost admisă de președintele secției (art. 36 § 2 din Convenție și art. 44 § 3 din Regulamentul Curții);</w:t>
      </w:r>
    </w:p>
    <w:p w:rsidR="0055665C" w:rsidRPr="00857E57" w:rsidRDefault="008E6B2D" w:rsidP="00857E57">
      <w:pPr>
        <w:pStyle w:val="JuPara"/>
      </w:pPr>
      <w:r>
        <w:t>decizia de respingere a solicitării celui de-al doilea reclamant privind desesizarea din cererea sa în favoarea Marii Camere (art. 72 din Regulamentul Curții);</w:t>
      </w:r>
    </w:p>
    <w:p w:rsidR="009F4C8F" w:rsidRPr="00857E57" w:rsidRDefault="008E6B2D" w:rsidP="00857E57">
      <w:pPr>
        <w:pStyle w:val="JuPara"/>
      </w:pPr>
      <w:r>
        <w:t>după ce a deliberat în camera de consiliu, la 19 martie 2024,</w:t>
      </w:r>
    </w:p>
    <w:p w:rsidR="009F4C8F" w:rsidRPr="00857E57" w:rsidRDefault="008E6B2D" w:rsidP="00857E57">
      <w:pPr>
        <w:pStyle w:val="JuPara"/>
      </w:pPr>
      <w:r>
        <w:t>pronunță prezenta hotărâre, adoptată la aceeași dată:</w:t>
      </w:r>
    </w:p>
    <w:p w:rsidR="0055665C" w:rsidRPr="00857E57" w:rsidRDefault="008E6B2D" w:rsidP="00857E57">
      <w:pPr>
        <w:pStyle w:val="JuHHead"/>
        <w:numPr>
          <w:ilvl w:val="0"/>
          <w:numId w:val="0"/>
        </w:numPr>
      </w:pPr>
      <w:r>
        <w:t>INTRODUCERE</w:t>
      </w:r>
    </w:p>
    <w:p w:rsidR="0055665C" w:rsidRPr="00857E57" w:rsidRDefault="00495766" w:rsidP="00857E57">
      <w:pPr>
        <w:pStyle w:val="JuPara"/>
      </w:pPr>
      <w:r>
        <w:fldChar w:fldCharType="begin"/>
      </w:r>
      <w:r>
        <w:instrText xml:space="preserve"> SEQ level0 \*arabic </w:instrText>
      </w:r>
      <w:r>
        <w:fldChar w:fldCharType="separate"/>
      </w:r>
      <w:bookmarkStart w:id="3" w:name="paragraph00001"/>
      <w:r>
        <w:rPr>
          <w:noProof/>
        </w:rPr>
        <w:t>1</w:t>
      </w:r>
      <w:bookmarkEnd w:id="3"/>
      <w:r>
        <w:fldChar w:fldCharType="end"/>
      </w:r>
      <w:r w:rsidR="008E6B2D">
        <w:t>. Cauza privește extrădarea reclamanților în Statele Unite ale Americii („SUA”), unde aceștia susțin că ar fi expuși riscului de a fi condamnați la pedeapsa închisorii pe viață fără posibilitatea liberării condiționate, cu încălcarea art. 3 din Convenție, precum și arestarea lor provizorie în vederea extrădării, în privința căreia aceștia au susținut că nu a fost conformă cu art. 5.</w:t>
      </w:r>
    </w:p>
    <w:p w:rsidR="0055665C" w:rsidRPr="00857E57" w:rsidRDefault="008E6B2D" w:rsidP="00857E57">
      <w:pPr>
        <w:pStyle w:val="JuHHead"/>
      </w:pPr>
      <w:r>
        <w:lastRenderedPageBreak/>
        <w:t>ÎN FAPT</w:t>
      </w:r>
    </w:p>
    <w:p w:rsidR="0055665C" w:rsidRPr="00857E57" w:rsidRDefault="00495766" w:rsidP="00857E57">
      <w:pPr>
        <w:pStyle w:val="JuPara"/>
      </w:pPr>
      <w:r>
        <w:fldChar w:fldCharType="begin"/>
      </w:r>
      <w:r>
        <w:instrText xml:space="preserve"> SEQ level0 \*arabic </w:instrText>
      </w:r>
      <w:r>
        <w:fldChar w:fldCharType="separate"/>
      </w:r>
      <w:r>
        <w:rPr>
          <w:noProof/>
        </w:rPr>
        <w:t>2</w:t>
      </w:r>
      <w:r>
        <w:fldChar w:fldCharType="end"/>
      </w:r>
      <w:r w:rsidR="008E6B2D">
        <w:t>. Reclamanții s-au născut în 1989 și, respectiv, 1966. Aceștia au fost reprezentați de domnul B. Cooper și de domnul A. Enache, avocați în Londra și, respectiv, în București.</w:t>
      </w:r>
    </w:p>
    <w:p w:rsidR="0055665C" w:rsidRPr="00857E57" w:rsidRDefault="000E6C59" w:rsidP="00857E57">
      <w:pPr>
        <w:pStyle w:val="JuPara"/>
      </w:pPr>
      <w:fldSimple w:instr=" SEQ level0 \*arabic \* MERGEFORMAT ">
        <w:r w:rsidR="00495766">
          <w:rPr>
            <w:noProof/>
          </w:rPr>
          <w:t>3</w:t>
        </w:r>
      </w:fldSimple>
      <w:r w:rsidR="008E6B2D">
        <w:t>. Guvernul a fost reprezentat de agentul guvernamental, doamna O. Ezer, din cadrul Ministerului Afacerilor Externe.</w:t>
      </w:r>
    </w:p>
    <w:p w:rsidR="0055665C" w:rsidRPr="00857E57" w:rsidRDefault="000E6C59" w:rsidP="00857E57">
      <w:pPr>
        <w:pStyle w:val="JuPara"/>
      </w:pPr>
      <w:fldSimple w:instr=" SEQ level0 \*arabic \* MERGEFORMAT ">
        <w:r w:rsidR="00495766">
          <w:rPr>
            <w:noProof/>
          </w:rPr>
          <w:t>4</w:t>
        </w:r>
      </w:fldSimple>
      <w:r w:rsidR="008E6B2D">
        <w:t>. Faptele din prezenta cauză pot fi rezumate după cum urmează.</w:t>
      </w:r>
    </w:p>
    <w:p w:rsidR="0055665C" w:rsidRPr="00857E57" w:rsidRDefault="008E6B2D" w:rsidP="00857E57">
      <w:pPr>
        <w:pStyle w:val="JuHIRoman"/>
      </w:pPr>
      <w:r>
        <w:t>CEREREA DE EXTRĂDARE A RECLAMANȚILOR</w:t>
      </w:r>
    </w:p>
    <w:p w:rsidR="0055665C" w:rsidRPr="00857E57" w:rsidRDefault="000E6C59" w:rsidP="00857E57">
      <w:pPr>
        <w:pStyle w:val="JuPara"/>
      </w:pPr>
      <w:fldSimple w:instr=" SEQ level0 \*arabic \* MERGEFORMAT ">
        <w:bookmarkStart w:id="4" w:name="paragraph00005"/>
        <w:r w:rsidR="00495766">
          <w:rPr>
            <w:noProof/>
          </w:rPr>
          <w:t>5</w:t>
        </w:r>
        <w:bookmarkEnd w:id="4"/>
      </w:fldSimple>
      <w:r w:rsidR="008E6B2D">
        <w:t>. Se susține că reclamanții sunt membri și/sau asociați ai grupării transnaționale de motocicliști Hells Angels.</w:t>
      </w:r>
    </w:p>
    <w:p w:rsidR="0055665C" w:rsidRPr="00857E57" w:rsidRDefault="000E6C59" w:rsidP="00857E57">
      <w:pPr>
        <w:pStyle w:val="JuPara"/>
      </w:pPr>
      <w:fldSimple w:instr=" SEQ level0 \*arabic \* MERGEFORMAT ">
        <w:bookmarkStart w:id="5" w:name="paragraph00006"/>
        <w:r w:rsidR="00495766">
          <w:rPr>
            <w:noProof/>
          </w:rPr>
          <w:t>6</w:t>
        </w:r>
        <w:bookmarkEnd w:id="5"/>
      </w:fldSimple>
      <w:r w:rsidR="008E6B2D">
        <w:t>. Aceștia au fost arestați la 19 noiembrie 2020. La 14 ianuarie 2021, în conformitate cu Tratatul din 10 septembrie 2007 de extrădare („Tratatul de extrădare”) dintre România și SUA, autoritățile americane au formulat o cerere de extrădare a acestora.</w:t>
      </w:r>
    </w:p>
    <w:p w:rsidR="0055665C" w:rsidRPr="00857E57" w:rsidRDefault="000E6C59" w:rsidP="00857E57">
      <w:pPr>
        <w:pStyle w:val="JuPara"/>
      </w:pPr>
      <w:fldSimple w:instr=" SEQ level0 \*arabic \* MERGEFORMAT ">
        <w:bookmarkStart w:id="6" w:name="paragraph00007"/>
        <w:r w:rsidR="00495766">
          <w:rPr>
            <w:noProof/>
          </w:rPr>
          <w:t>7</w:t>
        </w:r>
        <w:bookmarkEnd w:id="6"/>
      </w:fldSimple>
      <w:r w:rsidR="008E6B2D">
        <w:t>. Cererea de extrădare are ca obiect următoarele trei infracțiuni:</w:t>
      </w:r>
    </w:p>
    <w:p w:rsidR="0055665C" w:rsidRPr="00857E57" w:rsidRDefault="008E6B2D" w:rsidP="00857E57">
      <w:pPr>
        <w:pStyle w:val="JuParaLast"/>
        <w:keepNext w:val="0"/>
        <w:keepLines w:val="0"/>
        <w:numPr>
          <w:ilvl w:val="0"/>
          <w:numId w:val="3"/>
        </w:numPr>
        <w:spacing w:before="0" w:after="0"/>
      </w:pPr>
      <w:r>
        <w:t>Conspirație la săvârșirea infracțiunii de racket, care implică: (i) fapte referitoare la spălarea de bani cu utilizarea de instrumente monetare; (ii) fapte care implică săvârșirea unui omor; și (iii) fapte care implică traficul cu substanțe aflate sub control național (pentru care pedeapsa maximă este detențiunea pe viață);</w:t>
      </w:r>
    </w:p>
    <w:p w:rsidR="0055665C" w:rsidRPr="00857E57" w:rsidRDefault="008E6B2D" w:rsidP="00857E57">
      <w:pPr>
        <w:pStyle w:val="JuParaLast"/>
        <w:keepNext w:val="0"/>
        <w:keepLines w:val="0"/>
        <w:numPr>
          <w:ilvl w:val="0"/>
          <w:numId w:val="3"/>
        </w:numPr>
        <w:spacing w:before="0" w:after="0"/>
      </w:pPr>
      <w:r>
        <w:t>conspirație la săvârșirea infracțiunii de import și export de cocaină în și din SUA (pentru care pedeapsa maximă este detențiunea pe viață, iar pedeapsa minimă obligatorie este de zece ani de închisoare);</w:t>
      </w:r>
    </w:p>
    <w:p w:rsidR="0055665C" w:rsidRPr="00857E57" w:rsidRDefault="008E6B2D" w:rsidP="00857E57">
      <w:pPr>
        <w:pStyle w:val="JuPara"/>
        <w:numPr>
          <w:ilvl w:val="0"/>
          <w:numId w:val="3"/>
        </w:numPr>
      </w:pPr>
      <w:r>
        <w:t>conspirație la săvârșirea infracțiunii de spălare de bani (pentru care pedeapsa maximă este de douăzeci de ani de închisoare, însoțită de o amendă minimă obligatorie).</w:t>
      </w:r>
    </w:p>
    <w:p w:rsidR="0055665C" w:rsidRPr="00857E57" w:rsidRDefault="000E6C59" w:rsidP="00857E57">
      <w:pPr>
        <w:pStyle w:val="JuPara"/>
      </w:pPr>
      <w:fldSimple w:instr=" SEQ level0 \*arabic \* MERGEFORMAT ">
        <w:r w:rsidR="00495766">
          <w:rPr>
            <w:noProof/>
          </w:rPr>
          <w:t>8</w:t>
        </w:r>
      </w:fldSimple>
      <w:r w:rsidR="008E6B2D">
        <w:t xml:space="preserve">. Acuzațiile au fost formulate în urma unei operațiuni sub acoperire, care s-a desfășurat din mai până în noiembrie 2020, în SUA și România, în timpul căreia reclamanții au încercat să cumpere 400 kg de cocaină de la un agent american din cadrul </w:t>
      </w:r>
      <w:r w:rsidR="008E6B2D">
        <w:rPr>
          <w:i/>
          <w:iCs/>
        </w:rPr>
        <w:t>Drug Enforcement Administration</w:t>
      </w:r>
      <w:r w:rsidR="008E6B2D">
        <w:t xml:space="preserve"> (Agenția americană antidrog - responsabilă cu aplicarea legislației aferente circulației drogurilor și a altor substanțe psihotrope) care s-a dat drept traficant de droguri. Cocaina urma să fie introdusă ilegal din Peru în SUA și apoi transportată din Texas, în containere, pe o navă tip cargo, în România și Noua Zeelandă.</w:t>
      </w:r>
    </w:p>
    <w:p w:rsidR="0055665C" w:rsidRPr="00857E57" w:rsidRDefault="000E6C59" w:rsidP="00857E57">
      <w:pPr>
        <w:pStyle w:val="JuPara"/>
      </w:pPr>
      <w:fldSimple w:instr=" SEQ level0 \*arabic \* MERGEFORMAT ">
        <w:r w:rsidR="00495766">
          <w:rPr>
            <w:noProof/>
          </w:rPr>
          <w:t>9</w:t>
        </w:r>
      </w:fldSimple>
      <w:r w:rsidR="008E6B2D">
        <w:t>. Prima acuzație din rechizitoriu era legată de faptul că primul reclamant, împreună cu co-inculpatul său, i-a cerut agentului sub acoperire să ucidă doi membri ai unui club rival de motocicliști din România și a făcut demersuri în acest scop.</w:t>
      </w:r>
    </w:p>
    <w:p w:rsidR="0055665C" w:rsidRPr="00857E57" w:rsidRDefault="008E6B2D" w:rsidP="00857E57">
      <w:pPr>
        <w:pStyle w:val="JuHIRoman"/>
      </w:pPr>
      <w:r>
        <w:lastRenderedPageBreak/>
        <w:t>PROCEDURA DE EXTRĂDARE</w:t>
      </w:r>
    </w:p>
    <w:p w:rsidR="0055665C" w:rsidRPr="00857E57" w:rsidRDefault="008E6B2D" w:rsidP="00857E57">
      <w:pPr>
        <w:pStyle w:val="JuHA"/>
      </w:pPr>
      <w:r>
        <w:t>Măsura arestării provizorii dispusă față de reclamanți anterior pronunțării hotărârilor de extrădare a acestora</w:t>
      </w:r>
    </w:p>
    <w:p w:rsidR="0055665C" w:rsidRPr="00857E57" w:rsidRDefault="000E6C59" w:rsidP="00857E57">
      <w:pPr>
        <w:pStyle w:val="JuPara"/>
      </w:pPr>
      <w:fldSimple w:instr=" SEQ level0 \*arabic \* MERGEFORMAT ">
        <w:r w:rsidR="00495766">
          <w:rPr>
            <w:noProof/>
          </w:rPr>
          <w:t>10</w:t>
        </w:r>
      </w:fldSimple>
      <w:r w:rsidR="008E6B2D">
        <w:t>. La 19 noiembrie 2020, reclamanții au fost reținuți timp de douăzeci și patru de ore în temeiul unei ordonanțe a procurorului. În aceeași zi, Curtea de Apel București („curtea de apel”) a dispus reținerea și arestarea provizorie a acestora pentru treizeci de zile, în conformitate cu art. 44 din Legea nr. 302/2004 privind cooperarea judiciară internațională în materie penală („Legea nr. 302/2004”), care prevede arestarea provizorie în caz de urgență, anterior primirii cererii de extrădare din partea statului solicitant.</w:t>
      </w:r>
    </w:p>
    <w:p w:rsidR="0055665C" w:rsidRPr="00857E57" w:rsidRDefault="000E6C59" w:rsidP="00857E57">
      <w:pPr>
        <w:pStyle w:val="JuPara"/>
      </w:pPr>
      <w:fldSimple w:instr=" SEQ level0 \*arabic \* MERGEFORMAT ">
        <w:r w:rsidR="00495766">
          <w:rPr>
            <w:noProof/>
          </w:rPr>
          <w:t>11</w:t>
        </w:r>
      </w:fldSimple>
      <w:r w:rsidR="008E6B2D">
        <w:t>. Între 19 noiembrie 2020 și 14 ianuarie 2021, când cererea de extrădare a fost formulată de autoritățile americane (a se vedea supra, pct. </w:t>
      </w:r>
      <w:r w:rsidR="008E6B2D" w:rsidRPr="00857E57">
        <w:fldChar w:fldCharType="begin"/>
      </w:r>
      <w:r w:rsidR="008E6B2D" w:rsidRPr="00857E57">
        <w:instrText xml:space="preserve"> REF paragraph00006 \h  \* CharFormat </w:instrText>
      </w:r>
      <w:r w:rsidR="008E6B2D" w:rsidRPr="00857E57">
        <w:fldChar w:fldCharType="separate"/>
      </w:r>
      <w:r w:rsidR="00495766">
        <w:t>6</w:t>
      </w:r>
      <w:r w:rsidR="008E6B2D" w:rsidRPr="00857E57">
        <w:fldChar w:fldCharType="end"/>
      </w:r>
      <w:r w:rsidR="008E6B2D">
        <w:t>), necesitatea menținerii arestării provizorii a reclamanților a fost verificată periodic și s-a dispus menținerea acesteia în temeiul art. 43 și 44 din Legea nr. 302/2004, art. 43 prevăzând măsura arestării provizorii în cursul procedurii de extrădare de către instanțele interne.</w:t>
      </w:r>
    </w:p>
    <w:p w:rsidR="0055665C" w:rsidRPr="00857E57" w:rsidRDefault="000E6C59" w:rsidP="00857E57">
      <w:pPr>
        <w:pStyle w:val="JuPara"/>
      </w:pPr>
      <w:fldSimple w:instr=" SEQ level0 \*arabic \* MERGEFORMAT ">
        <w:r w:rsidR="00495766">
          <w:rPr>
            <w:noProof/>
          </w:rPr>
          <w:t>12</w:t>
        </w:r>
      </w:fldSimple>
      <w:r w:rsidR="008E6B2D">
        <w:t xml:space="preserve">. Între 15 ianuarie 2021 și 1 martie și, respectiv, 5 martie 2021, când extrădarea reclamanților a fost dispusă în primă instanță (a se vedea infra, pct. </w:t>
      </w:r>
      <w:r w:rsidR="008E6B2D" w:rsidRPr="00857E57">
        <w:fldChar w:fldCharType="begin"/>
      </w:r>
      <w:r w:rsidR="008E6B2D" w:rsidRPr="00857E57">
        <w:instrText xml:space="preserve"> REF paragraph00017 \h  \* CharFormat </w:instrText>
      </w:r>
      <w:r w:rsidR="008E6B2D" w:rsidRPr="00857E57">
        <w:fldChar w:fldCharType="separate"/>
      </w:r>
      <w:r w:rsidR="00495766" w:rsidRPr="00857E57">
        <w:t>17</w:t>
      </w:r>
      <w:r w:rsidR="008E6B2D" w:rsidRPr="00857E57">
        <w:fldChar w:fldCharType="end"/>
      </w:r>
      <w:r w:rsidR="008E6B2D">
        <w:t>), Curtea a dispus arestarea provizorie a reclamanților în temeiul art. 43 din Legea nr. 302/2004.</w:t>
      </w:r>
    </w:p>
    <w:p w:rsidR="0055665C" w:rsidRPr="00857E57" w:rsidRDefault="008E6B2D" w:rsidP="00857E57">
      <w:pPr>
        <w:pStyle w:val="JuHA"/>
      </w:pPr>
      <w:r>
        <w:t>Hotărârile de extrădare</w:t>
      </w:r>
    </w:p>
    <w:p w:rsidR="0055665C" w:rsidRPr="00857E57" w:rsidRDefault="000E6C59" w:rsidP="00857E57">
      <w:pPr>
        <w:pStyle w:val="JuPara"/>
      </w:pPr>
      <w:fldSimple w:instr=" SEQ level0 \*arabic \* MERGEFORMAT ">
        <w:r w:rsidR="00495766">
          <w:rPr>
            <w:noProof/>
          </w:rPr>
          <w:t>13</w:t>
        </w:r>
      </w:fldSimple>
      <w:r w:rsidR="008E6B2D">
        <w:t>. La 14 ianuarie 2021, parchetul de pe lângă curtea de apel a depus cereri separate pentru a obține încuviințarea extrădării reclamanților în temeiul cererii de extrădare sus-menționate (a se vedea supra, pct. </w:t>
      </w:r>
      <w:r w:rsidR="008E6B2D" w:rsidRPr="00857E57">
        <w:fldChar w:fldCharType="begin"/>
      </w:r>
      <w:r w:rsidR="008E6B2D" w:rsidRPr="00857E57">
        <w:instrText xml:space="preserve"> REF paragraph00006 \h  \* CharFormat </w:instrText>
      </w:r>
      <w:r w:rsidR="008E6B2D" w:rsidRPr="00857E57">
        <w:fldChar w:fldCharType="separate"/>
      </w:r>
      <w:r w:rsidR="00495766">
        <w:t>6</w:t>
      </w:r>
      <w:r w:rsidR="008E6B2D" w:rsidRPr="00857E57">
        <w:fldChar w:fldCharType="end"/>
      </w:r>
      <w:r w:rsidR="008E6B2D">
        <w:t>).</w:t>
      </w:r>
    </w:p>
    <w:p w:rsidR="0055665C" w:rsidRPr="00857E57" w:rsidRDefault="000E6C59" w:rsidP="00857E57">
      <w:pPr>
        <w:pStyle w:val="JuPara"/>
      </w:pPr>
      <w:fldSimple w:instr=" SEQ level0 \*arabic \* MERGEFORMAT ">
        <w:r w:rsidR="00495766">
          <w:rPr>
            <w:noProof/>
          </w:rPr>
          <w:t>14</w:t>
        </w:r>
      </w:fldSimple>
      <w:r w:rsidR="008E6B2D">
        <w:t>. Cererile de extrădare a reclamanților au fost soluționate separat de curtea de apel (a se vedea infra, pct. </w:t>
      </w:r>
      <w:r w:rsidR="008E6B2D" w:rsidRPr="00857E57">
        <w:fldChar w:fldCharType="begin"/>
      </w:r>
      <w:r w:rsidR="008E6B2D" w:rsidRPr="00857E57">
        <w:instrText xml:space="preserve"> REF paragraph00017 \h  \* CharFormat </w:instrText>
      </w:r>
      <w:r w:rsidR="008E6B2D" w:rsidRPr="00857E57">
        <w:fldChar w:fldCharType="separate"/>
      </w:r>
      <w:r w:rsidR="00495766" w:rsidRPr="00857E57">
        <w:t>17</w:t>
      </w:r>
      <w:r w:rsidR="008E6B2D" w:rsidRPr="00857E57">
        <w:fldChar w:fldCharType="end"/>
      </w:r>
      <w:r w:rsidR="008E6B2D">
        <w:t>-</w:t>
      </w:r>
      <w:r w:rsidR="008E6B2D" w:rsidRPr="00857E57">
        <w:fldChar w:fldCharType="begin"/>
      </w:r>
      <w:r w:rsidR="008E6B2D" w:rsidRPr="00857E57">
        <w:instrText xml:space="preserve"> REF paragraph00019 \h  \* CharFormat </w:instrText>
      </w:r>
      <w:r w:rsidR="008E6B2D" w:rsidRPr="00857E57">
        <w:fldChar w:fldCharType="separate"/>
      </w:r>
      <w:r w:rsidR="00495766" w:rsidRPr="00857E57">
        <w:t>19</w:t>
      </w:r>
      <w:r w:rsidR="008E6B2D" w:rsidRPr="00857E57">
        <w:fldChar w:fldCharType="end"/>
      </w:r>
      <w:r w:rsidR="008E6B2D">
        <w:t>) și de Înalta Curte de Casație și Justiție („Înalta Curte”, a se vedea infra, pct. </w:t>
      </w:r>
      <w:r w:rsidR="008E6B2D" w:rsidRPr="00857E57">
        <w:fldChar w:fldCharType="begin"/>
      </w:r>
      <w:r w:rsidR="008E6B2D" w:rsidRPr="00857E57">
        <w:instrText xml:space="preserve"> REF paragraph00020 \h  \* CharFormat </w:instrText>
      </w:r>
      <w:r w:rsidR="008E6B2D" w:rsidRPr="00857E57">
        <w:fldChar w:fldCharType="separate"/>
      </w:r>
      <w:r w:rsidR="00495766" w:rsidRPr="00857E57">
        <w:t>20</w:t>
      </w:r>
      <w:r w:rsidR="008E6B2D" w:rsidRPr="00857E57">
        <w:fldChar w:fldCharType="end"/>
      </w:r>
      <w:r w:rsidR="008E6B2D">
        <w:noBreakHyphen/>
      </w:r>
      <w:r w:rsidR="008E6B2D" w:rsidRPr="00857E57">
        <w:fldChar w:fldCharType="begin"/>
      </w:r>
      <w:r w:rsidR="008E6B2D" w:rsidRPr="00857E57">
        <w:instrText xml:space="preserve"> REF paragraph00023 \h  \* CharFormat </w:instrText>
      </w:r>
      <w:r w:rsidR="008E6B2D" w:rsidRPr="00857E57">
        <w:fldChar w:fldCharType="separate"/>
      </w:r>
      <w:r w:rsidR="00495766" w:rsidRPr="00857E57">
        <w:t>23</w:t>
      </w:r>
      <w:r w:rsidR="008E6B2D" w:rsidRPr="00857E57">
        <w:fldChar w:fldCharType="end"/>
      </w:r>
      <w:r w:rsidR="008E6B2D">
        <w:t>).</w:t>
      </w:r>
    </w:p>
    <w:p w:rsidR="0055665C" w:rsidRPr="00857E57" w:rsidRDefault="000E6C59" w:rsidP="00857E57">
      <w:pPr>
        <w:pStyle w:val="JuPara"/>
      </w:pPr>
      <w:fldSimple w:instr=" SEQ level0 \*arabic \* MERGEFORMAT ">
        <w:r w:rsidR="00495766">
          <w:rPr>
            <w:noProof/>
          </w:rPr>
          <w:t>15</w:t>
        </w:r>
      </w:fldSimple>
      <w:r w:rsidR="008E6B2D">
        <w:t xml:space="preserve">. Reclamanții au argumentat în fața instanțelor interne că existau mai multe motive obligatorii de refuz al extrădării lor, în temeiul art. 21 din Legea nr. 302/2004, inclusiv, printre altele, faptul că aceștia nu vor beneficia de un proces echitabil în SUA din cauza pretinsei apartenențe a acestora la o grupare. Aceștia au susținut, de asemenea, că extrădarea lor în SUA va determina o încălcare a drepturilor acestora prevăzute la art. 3 din Convenție, întrucât exista un risc real ca aceștia să fie condamnați la pedeapsa detențiunii pe viață fără posibilitatea de a beneficia de liberare condiționată. Aceștia au invocat cauza </w:t>
      </w:r>
      <w:r w:rsidR="008E6B2D">
        <w:rPr>
          <w:i/>
        </w:rPr>
        <w:t>Trabelsi împotriva Belgiei</w:t>
      </w:r>
      <w:r w:rsidR="008E6B2D">
        <w:t xml:space="preserve"> (nr. 140/10, CEDO 2014) și au prezentat rapoarte de expertiză întocmite de un avocat american.</w:t>
      </w:r>
    </w:p>
    <w:p w:rsidR="0055665C" w:rsidRPr="00857E57" w:rsidRDefault="000E6C59" w:rsidP="00857E57">
      <w:pPr>
        <w:pStyle w:val="JuPara"/>
      </w:pPr>
      <w:fldSimple w:instr=" SEQ level0 \*arabic \* MERGEFORMAT ">
        <w:bookmarkStart w:id="7" w:name="paragraph00016"/>
        <w:r w:rsidR="00495766">
          <w:rPr>
            <w:noProof/>
          </w:rPr>
          <w:t>16</w:t>
        </w:r>
        <w:bookmarkEnd w:id="7"/>
      </w:fldSimple>
      <w:r w:rsidR="008E6B2D">
        <w:t xml:space="preserve">. În cursul procedurii, autoritățile americane au furnizat curții de apel informații cu privire la riscul ca reclamanții să fie condamnați la pedeapsa detențiunii pe viață fără posibilitatea liberării condiționate, dacă aceștia vor fi </w:t>
      </w:r>
      <w:r w:rsidR="008E6B2D">
        <w:lastRenderedPageBreak/>
        <w:t>găsiți vinovați, și cu privire la posibilitatea reducerii sau comutării unei astfel de pedepse.</w:t>
      </w:r>
    </w:p>
    <w:p w:rsidR="0055665C" w:rsidRPr="00857E57" w:rsidRDefault="000E6C59" w:rsidP="00857E57">
      <w:pPr>
        <w:pStyle w:val="JuPara"/>
      </w:pPr>
      <w:fldSimple w:instr=" SEQ level0 \*arabic \* MERGEFORMAT ">
        <w:bookmarkStart w:id="8" w:name="paragraph00017"/>
        <w:r w:rsidR="00495766">
          <w:rPr>
            <w:noProof/>
          </w:rPr>
          <w:t>17</w:t>
        </w:r>
        <w:bookmarkEnd w:id="8"/>
      </w:fldSimple>
      <w:r w:rsidR="008E6B2D">
        <w:t>. În cadrul ședințelor din 1 martie și, respectiv, 5 martie 2021, curtea de apel s‑a asigurat că au fost respectate cerințele Tratatului de extrădare și ale Legii nr. 302/2004 și că nu era incident niciunul dintre motivele obligatorii sau opționale de refuz al cererii de extrădare, și a autorizat extrădarea primului și celui de-al doilea reclamant („hotărârile de extrădare”).</w:t>
      </w:r>
    </w:p>
    <w:p w:rsidR="0055665C" w:rsidRPr="00857E57" w:rsidRDefault="000E6C59" w:rsidP="00857E57">
      <w:pPr>
        <w:pStyle w:val="JuPara"/>
      </w:pPr>
      <w:fldSimple w:instr=" SEQ level0 \*arabic \* MERGEFORMAT ">
        <w:r w:rsidR="00495766">
          <w:rPr>
            <w:noProof/>
          </w:rPr>
          <w:t>18</w:t>
        </w:r>
      </w:fldSimple>
      <w:r w:rsidR="008E6B2D">
        <w:t>. În ceea ce privește capătul de cerere formulat de primul reclamant cu privire la riscul de a i se aplica pedeapsa detențiunii pe viață fără posibilitatea liberării condiționate, curtea de apel a subliniat, pe baza informațiilor furnizate de autoritățile americane, că pedeapsa detențiunii pe viață pentru primele două capete de acuzare formulate în rechizitoriu (a se vedea supra, pct. </w:t>
      </w:r>
      <w:r w:rsidR="008E6B2D" w:rsidRPr="00857E57">
        <w:fldChar w:fldCharType="begin"/>
      </w:r>
      <w:r w:rsidR="008E6B2D" w:rsidRPr="00857E57">
        <w:instrText xml:space="preserve"> REF paragraph00007 \h  \* CharFormat  \* MERGEFORMAT </w:instrText>
      </w:r>
      <w:r w:rsidR="008E6B2D" w:rsidRPr="00857E57">
        <w:fldChar w:fldCharType="separate"/>
      </w:r>
      <w:r w:rsidR="00495766">
        <w:t>7</w:t>
      </w:r>
      <w:r w:rsidR="008E6B2D" w:rsidRPr="00857E57">
        <w:fldChar w:fldCharType="end"/>
      </w:r>
      <w:r w:rsidR="008E6B2D">
        <w:t xml:space="preserve">) era „discreționară” și că putea fi impusă o pedeapsă cu durată determinată. Curtea de apel a constatat, de asemenea, că, spre deosebire de cauza </w:t>
      </w:r>
      <w:r w:rsidR="008E6B2D">
        <w:rPr>
          <w:i/>
        </w:rPr>
        <w:t>Trabelsi</w:t>
      </w:r>
      <w:r w:rsidR="008E6B2D">
        <w:t xml:space="preserve">, pedeapsa detențiunii pe viață care ar putea fi aplicată primului reclamant ar fi </w:t>
      </w:r>
      <w:r w:rsidR="008E6B2D">
        <w:rPr>
          <w:i/>
        </w:rPr>
        <w:t>de jure</w:t>
      </w:r>
      <w:r w:rsidR="008E6B2D">
        <w:t xml:space="preserve"> și </w:t>
      </w:r>
      <w:r w:rsidR="008E6B2D">
        <w:rPr>
          <w:i/>
          <w:iCs/>
        </w:rPr>
        <w:t xml:space="preserve">de </w:t>
      </w:r>
      <w:r w:rsidR="008E6B2D">
        <w:rPr>
          <w:i/>
        </w:rPr>
        <w:t>facto</w:t>
      </w:r>
      <w:r w:rsidR="008E6B2D">
        <w:t xml:space="preserve"> reductibilă. Instanța a hotărât de asemenea că, pe baza faptelor cauzei, pedeapsa detențiunii pe viață nu părea să fie extrem de disproporționată.</w:t>
      </w:r>
    </w:p>
    <w:p w:rsidR="0055665C" w:rsidRPr="00857E57" w:rsidRDefault="000E6C59" w:rsidP="00857E57">
      <w:pPr>
        <w:pStyle w:val="JuPara"/>
        <w:rPr>
          <w:rFonts w:ascii="Times New Roman" w:eastAsia="Times New Roman" w:hAnsi="Times New Roman" w:cs="Times New Roman"/>
        </w:rPr>
      </w:pPr>
      <w:fldSimple w:instr=" SEQ level0 \*arabic \* MERGEFORMAT ">
        <w:bookmarkStart w:id="9" w:name="paragraph00019"/>
        <w:r w:rsidR="00495766">
          <w:rPr>
            <w:noProof/>
          </w:rPr>
          <w:t>19</w:t>
        </w:r>
        <w:bookmarkEnd w:id="9"/>
      </w:fldSimple>
      <w:r w:rsidR="008E6B2D">
        <w:t xml:space="preserve">. În ceea ce îl privește pe cel de-al doilea reclamant, curtea de apel a reținut că era necesar să se facă distincție între cauza acestuia și cauza </w:t>
      </w:r>
      <w:r w:rsidR="008E6B2D">
        <w:rPr>
          <w:i/>
        </w:rPr>
        <w:t>Trabelsi</w:t>
      </w:r>
      <w:r w:rsidR="008E6B2D">
        <w:t xml:space="preserve">, având în vedere că, în cauza respectivă, Curtea a constatat o încălcare ca urmare a faptului că instanțele belgiene nu au ținut seama de o măsură provizorie indicată de Curte. Făcând referire la hotărârea în cauza </w:t>
      </w:r>
      <w:r w:rsidR="008E6B2D">
        <w:rPr>
          <w:i/>
        </w:rPr>
        <w:t>Harkins și Edwards împotriva Regatului Unit</w:t>
      </w:r>
      <w:r w:rsidR="008E6B2D">
        <w:t xml:space="preserve"> (nr. 9146/07 și 32650/07, 17 ianuarie 2012)</w:t>
      </w:r>
      <w:r w:rsidR="008E6B2D">
        <w:rPr>
          <w:rFonts w:ascii="Times New Roman" w:hAnsi="Times New Roman"/>
        </w:rPr>
        <w:t>, instanța a constatat că, având în vedere faptele din cauză, pedeapsa detențiunii pe viață era pe deplin justificată și că statul solicitat nu are obligația de a solicita garanții referitoare la comutarea unei astfel de pedepse.</w:t>
      </w:r>
    </w:p>
    <w:p w:rsidR="0055665C" w:rsidRPr="00857E57" w:rsidRDefault="000E6C59" w:rsidP="00857E57">
      <w:pPr>
        <w:pStyle w:val="JuPara"/>
      </w:pPr>
      <w:fldSimple w:instr=" SEQ level0 \*arabic \* MERGEFORMAT ">
        <w:bookmarkStart w:id="10" w:name="paragraph00020"/>
        <w:r w:rsidR="00495766">
          <w:rPr>
            <w:noProof/>
          </w:rPr>
          <w:t>20</w:t>
        </w:r>
        <w:bookmarkEnd w:id="10"/>
      </w:fldSimple>
      <w:r w:rsidR="008E6B2D">
        <w:t>. La 25 și, respectiv, 26 martie 2021, Înalta Curte a respins contestațiile formulate de cel de-al doilea reclamant și, respectiv, de primul reclamant.</w:t>
      </w:r>
    </w:p>
    <w:p w:rsidR="0055665C" w:rsidRPr="00857E57" w:rsidRDefault="000E6C59" w:rsidP="00857E57">
      <w:pPr>
        <w:pStyle w:val="JuPara"/>
      </w:pPr>
      <w:fldSimple w:instr=" SEQ level0 \*arabic \* MERGEFORMAT ">
        <w:r w:rsidR="00495766">
          <w:rPr>
            <w:noProof/>
          </w:rPr>
          <w:t>21</w:t>
        </w:r>
      </w:fldSimple>
      <w:r w:rsidR="008E6B2D">
        <w:t>. În ceea ce privește motivele contestației formulate de primul reclamant în temeiul art. 3, Înalta Curte a hotărât că nu era cert dacă acesta va fi găsit sau nu vinovat în cadrul procesului și că, în orice caz, acesta nu a dovedit că, în cazul în care va fi condamnat, va fi supus pedepsei detențiunii pe viață fără posibilitatea liberării condiționate. După ce a citat pe larg informațiile furnizate de autoritățile americane cu privire la riscul impunerii pedepsei detențiunii pe viață (a se vedea supra, pct. </w:t>
      </w:r>
      <w:r w:rsidR="008E6B2D" w:rsidRPr="00857E57">
        <w:fldChar w:fldCharType="begin"/>
      </w:r>
      <w:r w:rsidR="008E6B2D" w:rsidRPr="00857E57">
        <w:instrText xml:space="preserve"> REF paragraph00016 \h  \* CharFormat </w:instrText>
      </w:r>
      <w:r w:rsidR="008E6B2D" w:rsidRPr="00857E57">
        <w:fldChar w:fldCharType="separate"/>
      </w:r>
      <w:r w:rsidR="00495766">
        <w:t>16</w:t>
      </w:r>
      <w:r w:rsidR="008E6B2D" w:rsidRPr="00857E57">
        <w:fldChar w:fldCharType="end"/>
      </w:r>
      <w:r w:rsidR="008E6B2D">
        <w:t xml:space="preserve">), instanța a concluzionat că autoritățile respective au oferit suficiente garanții că pedeapsa detențiunii pe viață potențial aplicabilă va fi </w:t>
      </w:r>
      <w:r w:rsidR="008E6B2D">
        <w:rPr>
          <w:i/>
        </w:rPr>
        <w:t>de jure</w:t>
      </w:r>
      <w:r w:rsidR="008E6B2D">
        <w:t xml:space="preserve"> și </w:t>
      </w:r>
      <w:r w:rsidR="008E6B2D">
        <w:rPr>
          <w:i/>
        </w:rPr>
        <w:t>de facto</w:t>
      </w:r>
      <w:r w:rsidR="008E6B2D">
        <w:t xml:space="preserve"> reductibilă. În ceea ce privește rapoartele de expertiză prezentate în numele reclamanților (a se vedea infra, pct. </w:t>
      </w:r>
      <w:r w:rsidR="008E6B2D" w:rsidRPr="00857E57">
        <w:fldChar w:fldCharType="begin"/>
      </w:r>
      <w:r w:rsidR="008E6B2D" w:rsidRPr="00857E57">
        <w:instrText xml:space="preserve"> REF paragraph00058 \h  \* CharFormat </w:instrText>
      </w:r>
      <w:r w:rsidR="008E6B2D" w:rsidRPr="00857E57">
        <w:fldChar w:fldCharType="separate"/>
      </w:r>
      <w:r w:rsidR="00495766" w:rsidRPr="00857E57">
        <w:t>79</w:t>
      </w:r>
      <w:r w:rsidR="008E6B2D" w:rsidRPr="00857E57">
        <w:fldChar w:fldCharType="end"/>
      </w:r>
      <w:r w:rsidR="008E6B2D">
        <w:t xml:space="preserve">), Înalta Curte a constatat că acestea nu contraziceau informațiile furnizate de autoritățile americane. În această privință, instanța a subliniat că jurisprudența Curții referitoare la chestiunea pedepsei detențiunii pe viață fără posibilitatea de a beneficia de liberare condiționată a abordat </w:t>
      </w:r>
      <w:r w:rsidR="008E6B2D">
        <w:lastRenderedPageBreak/>
        <w:t>„imposibilitatea” punerii în libertate, în timp ce rapoartele de expertiză s-au limitat să precizeze că șansele ca reclamantul să fie pus în libertate erau reduse.</w:t>
      </w:r>
    </w:p>
    <w:p w:rsidR="0055665C" w:rsidRPr="00857E57" w:rsidRDefault="000E6C59" w:rsidP="00857E57">
      <w:pPr>
        <w:pStyle w:val="JuPara"/>
        <w:rPr>
          <w:rFonts w:ascii="Times New Roman" w:eastAsia="Times New Roman" w:hAnsi="Times New Roman" w:cs="Times New Roman"/>
        </w:rPr>
      </w:pPr>
      <w:fldSimple w:instr=" SEQ level0 \*arabic \* MERGEFORMAT ">
        <w:r w:rsidR="00495766">
          <w:rPr>
            <w:noProof/>
          </w:rPr>
          <w:t>22</w:t>
        </w:r>
      </w:fldSimple>
      <w:r w:rsidR="008E6B2D">
        <w:t xml:space="preserve">. În ceea ce privește contestația formulată de cel de-al doilea reclamant, </w:t>
      </w:r>
      <w:r w:rsidR="008E6B2D">
        <w:rPr>
          <w:rFonts w:ascii="Times New Roman" w:hAnsi="Times New Roman"/>
        </w:rPr>
        <w:t>Înalta Curte a hotărât că, întrucât infracțiunile de care fusese acuzat acesta existau în dreptul american, nu se putea considera că procedura penală îndreptată împotriva lui, împreună cu o potențială condamnare, îl expunea pe reclamant unui risc de a fi supus la tratamente inumane ori degradante, contrar art. 3.</w:t>
      </w:r>
    </w:p>
    <w:p w:rsidR="0055665C" w:rsidRPr="00857E57" w:rsidRDefault="000E6C59" w:rsidP="00857E57">
      <w:pPr>
        <w:pStyle w:val="JuPara"/>
      </w:pPr>
      <w:fldSimple w:instr=" SEQ level0 \*arabic \* MERGEFORMAT ">
        <w:bookmarkStart w:id="11" w:name="paragraph00023"/>
        <w:r w:rsidR="00495766">
          <w:rPr>
            <w:noProof/>
          </w:rPr>
          <w:t>23</w:t>
        </w:r>
        <w:bookmarkEnd w:id="11"/>
      </w:fldSimple>
      <w:r w:rsidR="008E6B2D">
        <w:t>. În urma unor schimburi cu autoritățile americane, data finală de predare a reclamanților a fost convenită pentru 12 mai 2021.</w:t>
      </w:r>
    </w:p>
    <w:p w:rsidR="0055665C" w:rsidRPr="00857E57" w:rsidRDefault="008E6B2D" w:rsidP="00857E57">
      <w:pPr>
        <w:pStyle w:val="JuHA"/>
      </w:pPr>
      <w:r>
        <w:t>Măsura provizorie indicată de Curte cu privire la reclamanți</w:t>
      </w:r>
    </w:p>
    <w:p w:rsidR="0055665C" w:rsidRPr="00857E57" w:rsidRDefault="000E6C59" w:rsidP="00857E57">
      <w:pPr>
        <w:pStyle w:val="JuPara"/>
      </w:pPr>
      <w:fldSimple w:instr=" SEQ level0 \*arabic \* MERGEFORMAT ">
        <w:r w:rsidR="00495766">
          <w:rPr>
            <w:noProof/>
          </w:rPr>
          <w:t>24</w:t>
        </w:r>
      </w:fldSimple>
      <w:r w:rsidR="008E6B2D">
        <w:t>. La 14 și 19 aprilie 2021, reclamanții au solicitat Curții, în temeiul art. 39 din Regulamentul Curții, să împiedice extrădarea acestora în SUA.</w:t>
      </w:r>
    </w:p>
    <w:p w:rsidR="0055665C" w:rsidRPr="00857E57" w:rsidRDefault="000E6C59" w:rsidP="00857E57">
      <w:pPr>
        <w:pStyle w:val="JuPara"/>
      </w:pPr>
      <w:fldSimple w:instr=" SEQ level0 \*arabic \* MERGEFORMAT ">
        <w:bookmarkStart w:id="12" w:name="paragraph00026"/>
        <w:r w:rsidR="00495766">
          <w:rPr>
            <w:noProof/>
          </w:rPr>
          <w:t>25</w:t>
        </w:r>
        <w:bookmarkEnd w:id="12"/>
      </w:fldSimple>
      <w:r w:rsidR="008E6B2D">
        <w:t>. La 15 aprilie 2021 (cerere admisă până la 6 mai 2021 în privința primului reclamant) și la 5 mai 2021 (cerere admisă în privința ambilor reclamanți), Curtea a decis, în interesul părților și al bunei desfășurări a procedurii în fața sa, să indice Guvernului, ca măsură provizorie, să nu îi extrădeze pe reclamanți pe durata procedurii desfășurate în fața sa.</w:t>
      </w:r>
    </w:p>
    <w:p w:rsidR="0055665C" w:rsidRPr="00857E57" w:rsidRDefault="000E6C59" w:rsidP="00857E57">
      <w:pPr>
        <w:pStyle w:val="JuPara"/>
      </w:pPr>
      <w:fldSimple w:instr=" SEQ level0 \*arabic \* MERGEFORMAT ">
        <w:bookmarkStart w:id="13" w:name="paragraph00024"/>
        <w:r w:rsidR="00495766">
          <w:rPr>
            <w:noProof/>
          </w:rPr>
          <w:t>26</w:t>
        </w:r>
        <w:bookmarkEnd w:id="13"/>
      </w:fldSimple>
      <w:r w:rsidR="008E6B2D">
        <w:t xml:space="preserve">. La 12 decembrie 2022, în urma unei cereri formulate de Guvern, care a făcut referire la adoptarea de către Curte a hotărârii în </w:t>
      </w:r>
      <w:bookmarkStart w:id="14" w:name="_cl42079"/>
      <w:r w:rsidR="008E6B2D">
        <w:t xml:space="preserve">cauza </w:t>
      </w:r>
      <w:r w:rsidR="008E6B2D">
        <w:rPr>
          <w:i/>
        </w:rPr>
        <w:t>Sanchez</w:t>
      </w:r>
      <w:r w:rsidR="008E6B2D">
        <w:rPr>
          <w:i/>
        </w:rPr>
        <w:noBreakHyphen/>
        <w:t>Sanchez împotriva Regatului Unit</w:t>
      </w:r>
      <w:bookmarkEnd w:id="14"/>
      <w:r w:rsidR="008E6B2D">
        <w:t xml:space="preserve"> (MC) (nr. 22854/20, 3 noiembrie 2022), Curtea a dispus ridicarea măsurii provizorii indicate la 5 mai 2021 în privința ambilor reclamanți.</w:t>
      </w:r>
    </w:p>
    <w:p w:rsidR="0055665C" w:rsidRPr="00857E57" w:rsidRDefault="008E6B2D" w:rsidP="00857E57">
      <w:pPr>
        <w:pStyle w:val="JuHA"/>
      </w:pPr>
      <w:r>
        <w:t>Arestarea reclamanților în vederea predării</w:t>
      </w:r>
    </w:p>
    <w:p w:rsidR="0055665C" w:rsidRPr="00857E57" w:rsidRDefault="000E6C59" w:rsidP="00857E57">
      <w:pPr>
        <w:pStyle w:val="JuPara"/>
      </w:pPr>
      <w:fldSimple w:instr=" SEQ level0 \*arabic \* MERGEFORMAT ">
        <w:bookmarkStart w:id="15" w:name="paragraph00027"/>
        <w:r w:rsidR="00495766">
          <w:rPr>
            <w:noProof/>
          </w:rPr>
          <w:t>27</w:t>
        </w:r>
        <w:bookmarkEnd w:id="15"/>
      </w:fldSimple>
      <w:r w:rsidR="008E6B2D">
        <w:t>. În hotărârile de extrădare din 1 și 5 martie 2021 (a se vedea supra, pct. </w:t>
      </w:r>
      <w:r w:rsidR="008E6B2D" w:rsidRPr="00857E57">
        <w:fldChar w:fldCharType="begin"/>
      </w:r>
      <w:r w:rsidR="008E6B2D" w:rsidRPr="00857E57">
        <w:instrText xml:space="preserve"> REF paragraph00017 \h  \* CharFormat </w:instrText>
      </w:r>
      <w:r w:rsidR="008E6B2D" w:rsidRPr="00857E57">
        <w:fldChar w:fldCharType="separate"/>
      </w:r>
      <w:r w:rsidR="00495766">
        <w:t>17</w:t>
      </w:r>
      <w:r w:rsidR="008E6B2D" w:rsidRPr="00857E57">
        <w:fldChar w:fldCharType="end"/>
      </w:r>
      <w:r w:rsidR="008E6B2D">
        <w:t>), curtea de apel, în temeiul art. 52 alin. (3) și art. 57 din Legea nr. 302/2004, a menținut față de reclamanți măsura arestării până la predarea lor către autoritățile americane.</w:t>
      </w:r>
    </w:p>
    <w:p w:rsidR="0055665C" w:rsidRPr="00857E57" w:rsidRDefault="008E6B2D" w:rsidP="00857E57">
      <w:pPr>
        <w:pStyle w:val="JuH1"/>
      </w:pPr>
      <w:r>
        <w:t>Arestarea domnului Matthews</w:t>
      </w:r>
    </w:p>
    <w:p w:rsidR="0055665C" w:rsidRPr="00857E57" w:rsidRDefault="000E6C59" w:rsidP="00857E57">
      <w:pPr>
        <w:pStyle w:val="JuPara"/>
      </w:pPr>
      <w:fldSimple w:instr=" SEQ level0 \*arabic \* MERGEFORMAT ">
        <w:bookmarkStart w:id="16" w:name="paragraph00029"/>
        <w:r w:rsidR="00495766">
          <w:rPr>
            <w:noProof/>
          </w:rPr>
          <w:t>28</w:t>
        </w:r>
        <w:bookmarkEnd w:id="16"/>
      </w:fldSimple>
      <w:r w:rsidR="008E6B2D">
        <w:t>. La 7 mai 2021, în urma unei cereri (denumită „contestație la executare” în dreptul intern) formulate de biroul executări penale (al curții de apel), curtea de apel, care a făcut referire la art. 598 alin. (1) lit. c) din Codul de procedură penală („C. proc. pen.”, a se vedea infra, pct. </w:t>
      </w:r>
      <w:r w:rsidR="008E6B2D" w:rsidRPr="00857E57">
        <w:fldChar w:fldCharType="begin"/>
      </w:r>
      <w:r w:rsidR="008E6B2D" w:rsidRPr="00857E57">
        <w:instrText xml:space="preserve"> REF paragraph00049 \h  \* CharFormat </w:instrText>
      </w:r>
      <w:r w:rsidR="008E6B2D" w:rsidRPr="00857E57">
        <w:fldChar w:fldCharType="separate"/>
      </w:r>
      <w:r w:rsidR="00495766" w:rsidRPr="00857E57">
        <w:t>59</w:t>
      </w:r>
      <w:r w:rsidR="008E6B2D" w:rsidRPr="00857E57">
        <w:fldChar w:fldCharType="end"/>
      </w:r>
      <w:r w:rsidR="008E6B2D">
        <w:t xml:space="preserve">), a reținut că măsura provizorie dispusă de Curte la 5 mai 2021 constituia o cauză de împiedicare temporară a predării reclamantului către autoritățile americane, convenită a se realiza la data de 12 mai 2021. În aceeași decizie, aceasta a menținut față de reclamant măsura arestării provizorii și a dispus ca autoritățile naționale să urmeze procedura prevăzută la art. 57 alin. (5) din </w:t>
      </w:r>
      <w:r w:rsidR="008E6B2D">
        <w:lastRenderedPageBreak/>
        <w:t>Legea nr. 302/2004 (a se vedea infra, pct. </w:t>
      </w:r>
      <w:r w:rsidR="008E6B2D" w:rsidRPr="00857E57">
        <w:fldChar w:fldCharType="begin"/>
      </w:r>
      <w:r w:rsidR="008E6B2D" w:rsidRPr="00857E57">
        <w:instrText xml:space="preserve"> REF paragraph00040 \h  \* CharFormat </w:instrText>
      </w:r>
      <w:r w:rsidR="008E6B2D" w:rsidRPr="00857E57">
        <w:fldChar w:fldCharType="separate"/>
      </w:r>
      <w:r w:rsidR="00495766" w:rsidRPr="00857E57">
        <w:t>58</w:t>
      </w:r>
      <w:r w:rsidR="008E6B2D" w:rsidRPr="00857E57">
        <w:fldChar w:fldCharType="end"/>
      </w:r>
      <w:r w:rsidR="008E6B2D">
        <w:t>) pentru a asigura punerea în executare a hotărârii de extrădare și convenirea unei noi date de predare.</w:t>
      </w:r>
    </w:p>
    <w:bookmarkStart w:id="17" w:name="MatthewsHC200521"/>
    <w:p w:rsidR="0055665C" w:rsidRPr="00857E57" w:rsidRDefault="008E6B2D" w:rsidP="00857E57">
      <w:pPr>
        <w:pStyle w:val="JuPara"/>
      </w:pPr>
      <w:r w:rsidRPr="00857E57">
        <w:fldChar w:fldCharType="begin"/>
      </w:r>
      <w:r w:rsidRPr="00857E57">
        <w:instrText xml:space="preserve"> SEQ level0 \*arabic \* MERGEFORMAT </w:instrText>
      </w:r>
      <w:r w:rsidRPr="00857E57">
        <w:fldChar w:fldCharType="separate"/>
      </w:r>
      <w:r w:rsidR="00495766">
        <w:rPr>
          <w:noProof/>
        </w:rPr>
        <w:t>29</w:t>
      </w:r>
      <w:r w:rsidRPr="00857E57">
        <w:fldChar w:fldCharType="end"/>
      </w:r>
      <w:bookmarkEnd w:id="17"/>
      <w:r>
        <w:t>. La 20 mai 2021, în urma unei contestații formulate de reclamant, Înalta Curte a menținut decizia din 7 mai. Ca răspuns la afirmațiile reclamantului, potrivit cărora arestarea lui depășise durata maximă prevăzută la art. 43 alin. (3) din Legea nr. 302/2004, Înalta Curte a reținut că durata arestării prevăzută de această dispoziție nu se aplica în cazul arestării provizorii în vederea predării, scop în care era ținut în arest reclamantul.</w:t>
      </w:r>
    </w:p>
    <w:bookmarkStart w:id="18" w:name="paragraph00032"/>
    <w:p w:rsidR="0055665C" w:rsidRPr="00857E57" w:rsidRDefault="008E6B2D" w:rsidP="00857E57">
      <w:pPr>
        <w:pStyle w:val="JuPara"/>
      </w:pPr>
      <w:r w:rsidRPr="00857E57">
        <w:fldChar w:fldCharType="begin"/>
      </w:r>
      <w:r w:rsidRPr="00857E57">
        <w:instrText xml:space="preserve"> SEQ level0 \*arabic \* MERGEFORMAT </w:instrText>
      </w:r>
      <w:r w:rsidRPr="00857E57">
        <w:fldChar w:fldCharType="separate"/>
      </w:r>
      <w:r w:rsidR="00495766">
        <w:rPr>
          <w:noProof/>
        </w:rPr>
        <w:t>30</w:t>
      </w:r>
      <w:r w:rsidRPr="00857E57">
        <w:fldChar w:fldCharType="end"/>
      </w:r>
      <w:bookmarkEnd w:id="18"/>
      <w:r>
        <w:t>. La 3 iunie 2021, în urma unei contestații formulate de reclamant la 27 mai 2021 împotriva măsurii arestării, curtea de apel a constatat că art. 57 alin. (5) din Legea nr. 302/2004 prevedea numai posibilitatea punerii în libertate la expirarea unui termen de 15 zile de la data convenită pentru predare și că, având în vedere faptele cauzei, punerea în libertate a reclamantului nu era oportună. În plus, aceasta a reținut că măsura arestării nu putea fi înlocuită cu o altă măsură preventivă mai puțin restrictivă, întrucât această posibilitate nu era prevăzută de Legea nr. 302/2004. La 10 iunie 2021, reiterând raționamentul curții de apel, Înalta Curte a respins contestația reclamantului.</w:t>
      </w:r>
    </w:p>
    <w:bookmarkStart w:id="19" w:name="Matthewsarrestexpires100621"/>
    <w:p w:rsidR="0055665C" w:rsidRPr="00857E57" w:rsidRDefault="008E6B2D" w:rsidP="00857E57">
      <w:pPr>
        <w:pStyle w:val="JuPara"/>
      </w:pPr>
      <w:r w:rsidRPr="00857E57">
        <w:fldChar w:fldCharType="begin"/>
      </w:r>
      <w:r w:rsidRPr="00857E57">
        <w:instrText xml:space="preserve"> SEQ level0 \*arabic \* MERGEFORMAT </w:instrText>
      </w:r>
      <w:r w:rsidRPr="00857E57">
        <w:fldChar w:fldCharType="separate"/>
      </w:r>
      <w:r w:rsidR="00495766">
        <w:rPr>
          <w:noProof/>
        </w:rPr>
        <w:t>31</w:t>
      </w:r>
      <w:r w:rsidRPr="00857E57">
        <w:fldChar w:fldCharType="end"/>
      </w:r>
      <w:bookmarkEnd w:id="19"/>
      <w:r>
        <w:t>. La 7 iunie 2021, biroul executări penale, observând că termenul pentru predarea reclamantului către autoritățile americane urma să expire la 10 iunie 2021, a formulat în fața curții de apel o nouă „contestație” împotriva măsurii arestării dispuse față de acesta, solicitându‑i să aprecieze dacă măsura provizorie indicată de Curte reprezenta un caz de forță majoră, în sensul prevăzut la art. 57 alin. (6) din Legea nr. 302/2004/ Legea nr. 304/2022, care permitea menținerea arestării reclamantului.</w:t>
      </w:r>
    </w:p>
    <w:bookmarkStart w:id="20" w:name="MatthewsCAB100621"/>
    <w:p w:rsidR="0055665C" w:rsidRPr="00857E57" w:rsidRDefault="008E6B2D" w:rsidP="00857E57">
      <w:pPr>
        <w:pStyle w:val="JuPara"/>
      </w:pPr>
      <w:r w:rsidRPr="00857E57">
        <w:fldChar w:fldCharType="begin"/>
      </w:r>
      <w:r w:rsidRPr="00857E57">
        <w:instrText xml:space="preserve"> SEQ level0 \*arabic \* MERGEFORMAT </w:instrText>
      </w:r>
      <w:r w:rsidRPr="00857E57">
        <w:fldChar w:fldCharType="separate"/>
      </w:r>
      <w:r w:rsidR="00495766">
        <w:rPr>
          <w:noProof/>
        </w:rPr>
        <w:t>32</w:t>
      </w:r>
      <w:r w:rsidRPr="00857E57">
        <w:fldChar w:fldCharType="end"/>
      </w:r>
      <w:bookmarkEnd w:id="20"/>
      <w:r>
        <w:t>. La 10 iunie 2021, ținând seama de deciziile pronunțate de instanțele interne în cauza reclamantului, curtea de apel a reiterat faptul că măsura provizorie dispusă la 5 mai 2021 constituia o cauză de împiedicare a predării reclamantului către autoritățile americane și a constatat că existența unui astfel de impediment putea fi stabilită doar de instanțele interne, din perspectiva art. 57 alin. (6) din Legea nr. 302/2004, în care era recunoscută noțiunea de forță majoră. Prin urmare, astfel cum au stabilit anterior instanțele, dat fiind că exista în continuare un impediment care constituia un caz de forță majoră, era necesar să se mențină față de reclamant măsura arestării.</w:t>
      </w:r>
    </w:p>
    <w:p w:rsidR="0055665C" w:rsidRPr="00857E57" w:rsidRDefault="000E6C59" w:rsidP="00857E57">
      <w:pPr>
        <w:pStyle w:val="JuPara"/>
      </w:pPr>
      <w:fldSimple w:instr=" SEQ level0 \*arabic \* MERGEFORMAT ">
        <w:bookmarkStart w:id="21" w:name="paragraph00033"/>
        <w:r w:rsidR="00495766">
          <w:rPr>
            <w:noProof/>
          </w:rPr>
          <w:t>33</w:t>
        </w:r>
        <w:bookmarkEnd w:id="21"/>
      </w:fldSimple>
      <w:r w:rsidR="008E6B2D">
        <w:t>. Recursul declarat de reclamant împotriva sentinței a fost examinat de Înalta Curte la 29 iunie 2021. Acesta a susținut că forța majoră, astfel cum este definită de dreptul civil intern și jurisprudența internațională, este un eveniment imprevizibil și inevitabil, independent de controlul unei părți. Întrucât România și-a asumat de bunăvoie obligațiile de membru al Consiliului Europei și de stat parte la Convenția europeană a drepturilor omului, autoritățile naționale nu puteau aprecia că o măsură provizorie constituia un eveniment imprevizibil.</w:t>
      </w:r>
    </w:p>
    <w:p w:rsidR="0055665C" w:rsidRPr="00857E57" w:rsidRDefault="000E6C59" w:rsidP="00857E57">
      <w:pPr>
        <w:pStyle w:val="JuPara"/>
      </w:pPr>
      <w:fldSimple w:instr=" SEQ level0 \*arabic \* MERGEFORMAT ">
        <w:r w:rsidR="00495766">
          <w:rPr>
            <w:noProof/>
          </w:rPr>
          <w:t>34</w:t>
        </w:r>
      </w:fldSimple>
      <w:r w:rsidR="008E6B2D">
        <w:t>. Reclamantul a susținut că art. 57 alin. (5) din Legea nr. 302/2004 prevedea un termen de 30 de zile pentru arestarea provizorie în vederea predării, calculat de la data stabilită pentru predarea persoanei în cauză către autoritățile americane, termen care fusese depășit în cazul său. Acesta a mai afirmat că, deși arestarea sa ar putea fi considerată o măsură preventivă în sensul C. proc. pen., acesta fusese ținut în arest timp de 220 de zile, fiind depășită perioada maximă de 180 de zile permisă de dreptul intern. În consecință, și ținând seama totodată de faptul că, în Legea nr. 302/2004, nu existau dispoziții care să prevadă „o perioadă determinată” a arestării provizorii în vederea predării și un control judiciar periodic al măsurii arestării, arestarea lui a încălcat dreptul intern și art. 5 din Convenție, care impuneau punerea sa în libertate.</w:t>
      </w:r>
    </w:p>
    <w:p w:rsidR="0055665C" w:rsidRPr="00857E57" w:rsidRDefault="000E6C59" w:rsidP="00857E57">
      <w:pPr>
        <w:pStyle w:val="JuPara"/>
      </w:pPr>
      <w:fldSimple w:instr=" SEQ level0 \*arabic \* MERGEFORMAT ">
        <w:bookmarkStart w:id="22" w:name="paragraph00035"/>
        <w:r w:rsidR="00495766">
          <w:rPr>
            <w:noProof/>
          </w:rPr>
          <w:t>35</w:t>
        </w:r>
        <w:bookmarkEnd w:id="22"/>
      </w:fldSimple>
      <w:r w:rsidR="008E6B2D">
        <w:t>. Înalta Curte a confirmat că instanțele interne au stabilit anterior existența unei cauze de împiedicare temporară a predării reclamantului, ceea ce, în lipsa oricărei modificări, avea autoritate de lucru judecat (a se vedea supra, pct. </w:t>
      </w:r>
      <w:r w:rsidR="008E6B2D" w:rsidRPr="00857E57">
        <w:fldChar w:fldCharType="begin"/>
      </w:r>
      <w:r w:rsidR="008E6B2D" w:rsidRPr="00857E57">
        <w:instrText xml:space="preserve"> REF paragraph00029 \h  \* CharFormat  \* MERGEFORMAT </w:instrText>
      </w:r>
      <w:r w:rsidR="008E6B2D" w:rsidRPr="00857E57">
        <w:fldChar w:fldCharType="separate"/>
      </w:r>
      <w:r w:rsidR="00495766">
        <w:t>28</w:t>
      </w:r>
      <w:r w:rsidR="008E6B2D" w:rsidRPr="00857E57">
        <w:fldChar w:fldCharType="end"/>
      </w:r>
      <w:r w:rsidR="008E6B2D">
        <w:t>-</w:t>
      </w:r>
      <w:r w:rsidR="008E6B2D" w:rsidRPr="00857E57">
        <w:fldChar w:fldCharType="begin"/>
      </w:r>
      <w:r w:rsidR="008E6B2D" w:rsidRPr="00857E57">
        <w:instrText xml:space="preserve"> REF paragraph00032 \h  \* CharFormat  \* MERGEFORMAT </w:instrText>
      </w:r>
      <w:r w:rsidR="008E6B2D" w:rsidRPr="00857E57">
        <w:fldChar w:fldCharType="separate"/>
      </w:r>
      <w:r w:rsidR="00495766">
        <w:t>30</w:t>
      </w:r>
      <w:r w:rsidR="008E6B2D" w:rsidRPr="00857E57">
        <w:fldChar w:fldCharType="end"/>
      </w:r>
      <w:r w:rsidR="008E6B2D">
        <w:t>). Deși deciziile anterioare nu au menționat în mod explicit aplicabilitatea art. 57 alin. (6) din Legea nr. 302/2004 în cauza reclamantului, acestea au indicat „concret” măsurile procedurale prevăzute de această dispoziție, care erau relevante având în vedere existența unui astfel de impediment.</w:t>
      </w:r>
    </w:p>
    <w:p w:rsidR="0055665C" w:rsidRPr="00857E57" w:rsidRDefault="000E6C59" w:rsidP="00857E57">
      <w:pPr>
        <w:pStyle w:val="JuPara"/>
      </w:pPr>
      <w:fldSimple w:instr=" SEQ level0 \*arabic \* MERGEFORMAT ">
        <w:bookmarkStart w:id="23" w:name="paragraph00036"/>
        <w:r w:rsidR="00495766">
          <w:rPr>
            <w:noProof/>
          </w:rPr>
          <w:t>36</w:t>
        </w:r>
        <w:bookmarkEnd w:id="23"/>
      </w:fldSimple>
      <w:r w:rsidR="008E6B2D">
        <w:t>. În ceea ce privește pretinsa absență a forței majore, după efectuarea unei analize detaliate a Legii nr. 302/2004 și a mai multor instrumente internaționale și europene, Înalta Curte a reținut că semnificația noțiunii de forță majoră era specifică domeniului cooperării judiciare internaționale în materie penală, astfel cum este consacrată în instrumentele internaționale, transpuse în legislația internă prin Legea nr. 302/2004. Astfel, contrar celor susținute de reclamant, noțiunea de forță majoră în contextul extrădării – descrisă de aceste instrumente, în versiunea lor în limba engleză, ca fiind o situație în care predarea este împiedicată de circumstanțe independente de controlul statului membru – era autonomă și distinctă de noțiunea prevăzută de Codul civil al României.</w:t>
      </w:r>
    </w:p>
    <w:p w:rsidR="0055665C" w:rsidRPr="00857E57" w:rsidRDefault="000E6C59" w:rsidP="00857E57">
      <w:pPr>
        <w:pStyle w:val="JuPara"/>
      </w:pPr>
      <w:fldSimple w:instr=" SEQ level0 \*arabic \* MERGEFORMAT ">
        <w:r w:rsidR="00495766">
          <w:rPr>
            <w:noProof/>
          </w:rPr>
          <w:t>37</w:t>
        </w:r>
      </w:fldSimple>
      <w:r w:rsidR="008E6B2D">
        <w:t>. Instanța a subliniat că, în cauza C-640/15-</w:t>
      </w:r>
      <w:r w:rsidR="008E6B2D">
        <w:rPr>
          <w:i/>
        </w:rPr>
        <w:t>Tomas Vilkas</w:t>
      </w:r>
      <w:r w:rsidR="008E6B2D">
        <w:t>, Curtea Europeană de Justiție (CJUE) a interpretat noțiunea de forță majoră atunci când i s‑a solicitat să se pronunțe asupra unei cereri de decizie preliminară privind interpretarea articolului 23 din Decizia-cadru 2002/584/JAI a Consiliului din 13 iunie 2002 privind mandatul european de arestare și procedurile de predare între statele membre, astfel cum a fost modificată prin Decizia-cadru 2009/299/JAI a Consiliului din 26 februarie 2009.</w:t>
      </w:r>
    </w:p>
    <w:p w:rsidR="0055665C" w:rsidRPr="00857E57" w:rsidRDefault="000E6C59" w:rsidP="00857E57">
      <w:pPr>
        <w:pStyle w:val="JuPara"/>
      </w:pPr>
      <w:fldSimple w:instr=" SEQ level0 \*arabic \* MERGEFORMAT ">
        <w:bookmarkStart w:id="24" w:name="paragraph00038"/>
        <w:r w:rsidR="00495766">
          <w:rPr>
            <w:noProof/>
          </w:rPr>
          <w:t>38</w:t>
        </w:r>
        <w:bookmarkEnd w:id="24"/>
      </w:fldSimple>
      <w:r w:rsidR="008E6B2D">
        <w:t xml:space="preserve">. Reiterând raționamentul CJUE din cauza </w:t>
      </w:r>
      <w:r w:rsidR="008E6B2D">
        <w:rPr>
          <w:i/>
        </w:rPr>
        <w:t>Vilkas</w:t>
      </w:r>
      <w:r w:rsidR="008E6B2D">
        <w:t xml:space="preserve"> (a se vedea infra, pct. </w:t>
      </w:r>
      <w:r w:rsidR="008E6B2D" w:rsidRPr="00857E57">
        <w:fldChar w:fldCharType="begin"/>
      </w:r>
      <w:r w:rsidR="008E6B2D" w:rsidRPr="00857E57">
        <w:instrText xml:space="preserve"> REF paragraph00062 \h  \* CharFormat  \* MERGEFORMAT </w:instrText>
      </w:r>
      <w:r w:rsidR="008E6B2D" w:rsidRPr="00857E57">
        <w:fldChar w:fldCharType="separate"/>
      </w:r>
      <w:r w:rsidR="00495766" w:rsidRPr="00857E57">
        <w:t>63</w:t>
      </w:r>
      <w:r w:rsidR="008E6B2D" w:rsidRPr="00857E57">
        <w:fldChar w:fldCharType="end"/>
      </w:r>
      <w:r w:rsidR="008E6B2D">
        <w:t xml:space="preserve">) și constatând că este obligată să respecte interpretarea dată de CJUE noțiunii de forță majoră, chiar și în cazul în care statul solicitant nu este stat membru al Uniunii, Înalta Curte a concluzionat că o măsură provizorie care obliga statul român să nu predea o persoană extrădată constituia o „împrejurare imprevizibilă și inevitabilă”. Faptul că o astfel de împrejurare a </w:t>
      </w:r>
      <w:r w:rsidR="008E6B2D">
        <w:lastRenderedPageBreak/>
        <w:t xml:space="preserve">fost generată de aplicarea Convenției nu însemna că aceasta era, </w:t>
      </w:r>
      <w:r w:rsidR="008E6B2D">
        <w:rPr>
          <w:i/>
        </w:rPr>
        <w:t>eo ipso</w:t>
      </w:r>
      <w:r w:rsidR="008E6B2D">
        <w:t>, previzibilă, întrucât, deși sunt prevăzute de Regulamentul Curții, măsurile provizorii sunt indicate de Curte doar în cazuri excepționale. În plus, nu exista nici o cerință ca împrejurarea să fie „total imprevizibilă”, atât timp cât, precum în speță, aceasta era independentă de controlul autorităților și externă statelor părți. În consecință, contrar celor susținute de reclamant, interpretarea art. 57 alin. (6) era clară și previzibilă.</w:t>
      </w:r>
    </w:p>
    <w:p w:rsidR="0055665C" w:rsidRPr="00857E57" w:rsidRDefault="000E6C59" w:rsidP="00857E57">
      <w:pPr>
        <w:pStyle w:val="JuPara"/>
      </w:pPr>
      <w:fldSimple w:instr=" SEQ level0 \*arabic \* MERGEFORMAT ">
        <w:r w:rsidR="00495766">
          <w:rPr>
            <w:noProof/>
          </w:rPr>
          <w:t>39</w:t>
        </w:r>
      </w:fldSimple>
      <w:r w:rsidR="008E6B2D">
        <w:t>. În sfârșit, Înalta Curte a statuat că termenul de 180 de zile pentru arestarea preventivă (prevăzut de C. proc. pen.) nu era aplicabil în cazul arestării provizorii în vederea predării și, făcând referire la jurisprudența Curții privind art. 5 din Convenție, a declarat că absența unor dispoziții interne referitoare la termenul maxim al unei astfel de arestări și la controlul judiciar periodic al acesteia nu fac lipsirea de libertate a reclamantului nelegală sau arbitrară, în cursul procedurii de extrădare, iar durata detenției era justificată și rezonabilă, existând posibilitatea efectivă de a obține controlul judiciar al acesteia.</w:t>
      </w:r>
    </w:p>
    <w:bookmarkStart w:id="25" w:name="Matthewslessrestricitvemeasures"/>
    <w:p w:rsidR="0055665C" w:rsidRPr="00857E57" w:rsidRDefault="008E6B2D" w:rsidP="00857E57">
      <w:pPr>
        <w:pStyle w:val="JuPara"/>
      </w:pPr>
      <w:r w:rsidRPr="00857E57">
        <w:fldChar w:fldCharType="begin"/>
      </w:r>
      <w:r w:rsidRPr="00857E57">
        <w:instrText xml:space="preserve"> SEQ level0 \*arabic \* MERGEFORMAT </w:instrText>
      </w:r>
      <w:r w:rsidRPr="00857E57">
        <w:fldChar w:fldCharType="separate"/>
      </w:r>
      <w:r w:rsidR="00495766">
        <w:rPr>
          <w:noProof/>
        </w:rPr>
        <w:t>40</w:t>
      </w:r>
      <w:r w:rsidRPr="00857E57">
        <w:fldChar w:fldCharType="end"/>
      </w:r>
      <w:bookmarkEnd w:id="25"/>
      <w:r>
        <w:t xml:space="preserve">. </w:t>
      </w:r>
      <w:r>
        <w:rPr>
          <w:rFonts w:ascii="Times New Roman" w:hAnsi="Times New Roman"/>
        </w:rPr>
        <w:t xml:space="preserve">La diferite date, pe parcursul perioadei mai - septembrie 2021, reclamantul a inițiat mai multe seturi de proceduri prin care a contestat legalitatea arestării sale, ridicând inclusiv o excepție de neconstituționalitate (a se vedea infra, pct.  </w:t>
      </w:r>
      <w:r w:rsidR="00982D45" w:rsidRPr="00857E57">
        <w:rPr>
          <w:rFonts w:ascii="Times New Roman" w:hAnsi="Times New Roman" w:cs="Times New Roman"/>
        </w:rPr>
        <w:fldChar w:fldCharType="begin"/>
      </w:r>
      <w:r w:rsidR="00982D45" w:rsidRPr="00857E57">
        <w:rPr>
          <w:rFonts w:ascii="Times New Roman" w:hAnsi="Times New Roman" w:cs="Times New Roman"/>
        </w:rPr>
        <w:instrText xml:space="preserve"> REF paragraph00047 \h  \* CharFormat </w:instrText>
      </w:r>
      <w:r w:rsidR="00982D45" w:rsidRPr="00857E57">
        <w:rPr>
          <w:rFonts w:ascii="Times New Roman" w:hAnsi="Times New Roman" w:cs="Times New Roman"/>
        </w:rPr>
      </w:r>
      <w:r w:rsidR="00982D45" w:rsidRPr="00857E57">
        <w:rPr>
          <w:rFonts w:ascii="Times New Roman" w:hAnsi="Times New Roman" w:cs="Times New Roman"/>
        </w:rPr>
        <w:fldChar w:fldCharType="separate"/>
      </w:r>
      <w:r w:rsidR="00495766" w:rsidRPr="00495766">
        <w:rPr>
          <w:rFonts w:ascii="Times New Roman" w:hAnsi="Times New Roman" w:cs="Times New Roman"/>
        </w:rPr>
        <w:t>55</w:t>
      </w:r>
      <w:r w:rsidR="00982D45" w:rsidRPr="00857E57">
        <w:rPr>
          <w:rFonts w:ascii="Times New Roman" w:hAnsi="Times New Roman" w:cs="Times New Roman"/>
        </w:rPr>
        <w:fldChar w:fldCharType="end"/>
      </w:r>
      <w:r>
        <w:rPr>
          <w:rFonts w:ascii="Times New Roman" w:hAnsi="Times New Roman"/>
        </w:rPr>
        <w:t>–</w:t>
      </w:r>
      <w:r w:rsidR="00982D45" w:rsidRPr="00857E57">
        <w:rPr>
          <w:rFonts w:ascii="Times New Roman" w:hAnsi="Times New Roman" w:cs="Times New Roman"/>
        </w:rPr>
        <w:fldChar w:fldCharType="begin"/>
      </w:r>
      <w:r w:rsidR="00982D45" w:rsidRPr="00857E57">
        <w:rPr>
          <w:rFonts w:ascii="Times New Roman" w:hAnsi="Times New Roman" w:cs="Times New Roman"/>
        </w:rPr>
        <w:instrText xml:space="preserve"> REF paragraph00044 \h  \* CharFormat </w:instrText>
      </w:r>
      <w:r w:rsidR="00982D45" w:rsidRPr="00857E57">
        <w:rPr>
          <w:rFonts w:ascii="Times New Roman" w:hAnsi="Times New Roman" w:cs="Times New Roman"/>
        </w:rPr>
      </w:r>
      <w:r w:rsidR="00982D45" w:rsidRPr="00857E57">
        <w:rPr>
          <w:rFonts w:ascii="Times New Roman" w:hAnsi="Times New Roman" w:cs="Times New Roman"/>
        </w:rPr>
        <w:fldChar w:fldCharType="separate"/>
      </w:r>
      <w:r w:rsidR="00495766" w:rsidRPr="00495766">
        <w:rPr>
          <w:rFonts w:ascii="Times New Roman" w:hAnsi="Times New Roman" w:cs="Times New Roman"/>
        </w:rPr>
        <w:t>56</w:t>
      </w:r>
      <w:r w:rsidR="00982D45" w:rsidRPr="00857E57">
        <w:rPr>
          <w:rFonts w:ascii="Times New Roman" w:hAnsi="Times New Roman" w:cs="Times New Roman"/>
        </w:rPr>
        <w:fldChar w:fldCharType="end"/>
      </w:r>
      <w:r>
        <w:rPr>
          <w:rFonts w:ascii="Times New Roman" w:hAnsi="Times New Roman"/>
        </w:rPr>
        <w:t>)</w:t>
      </w:r>
      <w:r>
        <w:t xml:space="preserve"> și solicitând dispunerea unor măsuri privative de libertate mai puțin restrictive (măsură preventivă mai ușoară), în temeiul art. 242 C. proc. pen. La 14 septembrie 2021, în urma unei astfel de cereri, Înalta Curte a confirmat legalitatea măsurii privării de libertate a acestuia, dar a înlocuit-o cu arestul la domiciliu, inițial pentru o perioadă de treizeci de zile, cu posibilitatea prelungirii. Procedând astfel, Înalta Curte a statuat că, deși nu a fost respectat un termen limită de arest, privarea de libertate a reclamantului nu mai era necesară și că măsura arestului la domiciliu era suficientă pentru a asigura respectarea măsurii provizorii dispuse de Curte și pentru a împiedica sustragerea reclamantului.</w:t>
      </w:r>
    </w:p>
    <w:p w:rsidR="0055665C" w:rsidRPr="00857E57" w:rsidRDefault="000E6C59" w:rsidP="00857E57">
      <w:pPr>
        <w:pStyle w:val="JuPara"/>
      </w:pPr>
      <w:fldSimple w:instr=" SEQ level0 \*arabic \* MERGEFORMAT ">
        <w:bookmarkStart w:id="26" w:name="paragraph00041"/>
        <w:r w:rsidR="00495766">
          <w:rPr>
            <w:noProof/>
          </w:rPr>
          <w:t>41</w:t>
        </w:r>
        <w:bookmarkEnd w:id="26"/>
      </w:fldSimple>
      <w:r w:rsidR="008E6B2D">
        <w:t>. După încă o contestație formulată la 9 octombrie 2021, fără succes, la 19 noiembrie 2021, făcând referire la măsura provizorie dispusă de Curte, care era încă în vigoare, și la jurisprudența acesteia referitoare la art. 5 § 1, în special în ceea ce privește caracterul rezonabil al duratei arestării, Curtea de Apel București a dispus liberarea sub control judiciar a reclamantului.</w:t>
      </w:r>
    </w:p>
    <w:p w:rsidR="0055665C" w:rsidRPr="00857E57" w:rsidRDefault="008E6B2D" w:rsidP="00857E57">
      <w:pPr>
        <w:pStyle w:val="JuH1"/>
      </w:pPr>
      <w:r>
        <w:t>Arestarea domnului Johnson</w:t>
      </w:r>
    </w:p>
    <w:p w:rsidR="0055665C" w:rsidRPr="00857E57" w:rsidRDefault="000E6C59" w:rsidP="00857E57">
      <w:pPr>
        <w:pStyle w:val="JuPara"/>
        <w:rPr>
          <w:i/>
          <w:iCs/>
        </w:rPr>
      </w:pPr>
      <w:fldSimple w:instr=" SEQ level0 \*arabic \* MERGEFORMAT ">
        <w:bookmarkStart w:id="27" w:name="paragraph00046"/>
        <w:r w:rsidR="00495766">
          <w:rPr>
            <w:noProof/>
          </w:rPr>
          <w:t>42</w:t>
        </w:r>
        <w:bookmarkEnd w:id="27"/>
      </w:fldSimple>
      <w:r w:rsidR="008E6B2D">
        <w:t>. La 7 mai 2021, în urma unei cereri formulate de Biroul executări penale, curtea de apel, care a făcut referire la art. 598 alin. (1) lit. c) C. proc. pen. (a se vedea infra, pct. </w:t>
      </w:r>
      <w:r w:rsidR="008E6B2D" w:rsidRPr="00857E57">
        <w:fldChar w:fldCharType="begin"/>
      </w:r>
      <w:r w:rsidR="008E6B2D" w:rsidRPr="00857E57">
        <w:instrText xml:space="preserve"> REF paragraph00049 \h  \* CharFormat </w:instrText>
      </w:r>
      <w:r w:rsidR="008E6B2D" w:rsidRPr="00857E57">
        <w:fldChar w:fldCharType="separate"/>
      </w:r>
      <w:r w:rsidR="00495766" w:rsidRPr="00857E57">
        <w:t>59</w:t>
      </w:r>
      <w:r w:rsidR="008E6B2D" w:rsidRPr="00857E57">
        <w:fldChar w:fldCharType="end"/>
      </w:r>
      <w:r w:rsidR="008E6B2D">
        <w:t>), a reținut că măsura provizorie dispusă de Curte la 5 mai 2021 constituia o cauză de împiedicare a predării reclamantului către autoritățile americane. Prin aceeași decizie, făcând referire la art. 57 alin. (5) și (6) din Legea nr. 302/2004 (a se vedea infra, pct. </w:t>
      </w:r>
      <w:r w:rsidR="008E6B2D" w:rsidRPr="00857E57">
        <w:fldChar w:fldCharType="begin"/>
      </w:r>
      <w:r w:rsidR="008E6B2D" w:rsidRPr="00857E57">
        <w:instrText xml:space="preserve"> REF paragraph00040 \h  \* CharFormat </w:instrText>
      </w:r>
      <w:r w:rsidR="008E6B2D" w:rsidRPr="00857E57">
        <w:fldChar w:fldCharType="separate"/>
      </w:r>
      <w:r w:rsidR="00495766" w:rsidRPr="00857E57">
        <w:t>58</w:t>
      </w:r>
      <w:r w:rsidR="008E6B2D" w:rsidRPr="00857E57">
        <w:fldChar w:fldCharType="end"/>
      </w:r>
      <w:r w:rsidR="008E6B2D">
        <w:t xml:space="preserve">) ca fiind aplicabil măsurii arestării în vederea predării, s-a menținut față de reclamant măsura arestării, menționând că măsura provizorie nu influența în niciun fel, la acea </w:t>
      </w:r>
      <w:r w:rsidR="008E6B2D">
        <w:lastRenderedPageBreak/>
        <w:t>dată, dispoziția dispusă față de reclamant de menținere a măsurii arestării, care avea autoritate de lucru judecat, întrucât fusese dispusă în cadrul hotărârii de extrădare din 5 martie 2021 (a se vedea supra, pct. </w:t>
      </w:r>
      <w:r w:rsidR="008E6B2D" w:rsidRPr="00857E57">
        <w:rPr>
          <w:i/>
        </w:rPr>
        <w:fldChar w:fldCharType="begin"/>
      </w:r>
      <w:r w:rsidR="008E6B2D" w:rsidRPr="00857E57">
        <w:instrText xml:space="preserve"> REF paragraph00017 \h  \* CharFormat </w:instrText>
      </w:r>
      <w:r w:rsidR="008E6B2D" w:rsidRPr="00857E57">
        <w:rPr>
          <w:i/>
        </w:rPr>
        <w:instrText xml:space="preserve"> \* MERGEFORMAT </w:instrText>
      </w:r>
      <w:r w:rsidR="008E6B2D" w:rsidRPr="00857E57">
        <w:rPr>
          <w:i/>
        </w:rPr>
      </w:r>
      <w:r w:rsidR="008E6B2D" w:rsidRPr="00857E57">
        <w:rPr>
          <w:i/>
        </w:rPr>
        <w:fldChar w:fldCharType="separate"/>
      </w:r>
      <w:r w:rsidR="00495766">
        <w:t>17</w:t>
      </w:r>
      <w:r w:rsidR="008E6B2D" w:rsidRPr="00857E57">
        <w:rPr>
          <w:i/>
        </w:rPr>
        <w:fldChar w:fldCharType="end"/>
      </w:r>
      <w:r w:rsidR="008E6B2D">
        <w:t>), și caracter obligatoriu în conformitate cu art. 52 alin. (3) din Legea nr. 302/2004.</w:t>
      </w:r>
    </w:p>
    <w:p w:rsidR="0055665C" w:rsidRPr="00857E57" w:rsidRDefault="000E6C59" w:rsidP="00857E57">
      <w:pPr>
        <w:pStyle w:val="JuPara"/>
      </w:pPr>
      <w:fldSimple w:instr=" SEQ level0 \*arabic \* MERGEFORMAT ">
        <w:bookmarkStart w:id="28" w:name="paragraph00043"/>
        <w:r w:rsidR="00495766">
          <w:rPr>
            <w:noProof/>
          </w:rPr>
          <w:t>43</w:t>
        </w:r>
        <w:bookmarkEnd w:id="28"/>
      </w:fldSimple>
      <w:r w:rsidR="008E6B2D">
        <w:t>. Curtea de apel a statuat că Legea nr. 302/2004 făcea distincție între măsura arestării în vederea extrădării în cursul procedurii judiciare de soluționare a cererii de extrădare de către instanțele interne și măsura arestării în vederea predării către statul solicitant (art. 43 și, respectiv, art. 57), fiecare dintre aceste măsuri fiind guvernate de propriul regim juridic. În ceea ce privește durata maximă de 180 de zile a arestării, prevăzută la art. 43 alin. (3) din Legea nr. 302/2004, aceasta era valabilă doar în cazul arestării în vederea extrădării în cursul procedurii judiciare de soluționare a cererii de extrădare de către instanțele interne, aceasta nefiind situația reclamantului ulterior pronunțării hotărârii de extrădare din 5 martie 2021.</w:t>
      </w:r>
    </w:p>
    <w:p w:rsidR="0055665C" w:rsidRPr="00857E57" w:rsidRDefault="000E6C59" w:rsidP="00857E57">
      <w:pPr>
        <w:pStyle w:val="JuPara"/>
      </w:pPr>
      <w:fldSimple w:instr=" SEQ level0 \*arabic \* MERGEFORMAT ">
        <w:bookmarkStart w:id="29" w:name="paragraph00048"/>
        <w:r w:rsidR="00495766">
          <w:rPr>
            <w:noProof/>
          </w:rPr>
          <w:t>44</w:t>
        </w:r>
        <w:bookmarkEnd w:id="29"/>
      </w:fldSimple>
      <w:r w:rsidR="008E6B2D">
        <w:t>. Contestația formulată de reclamant împotriva deciziei sus-menționate, prin care acesta a solicitat punerea sa în libertate sau măsuri privative de libertate mai puțin restrictive, a fost respinsă la 17 mai 2021 de Înalta Curte, care a confirmat raționamentul curții de apel.</w:t>
      </w:r>
    </w:p>
    <w:p w:rsidR="0055665C" w:rsidRPr="00857E57" w:rsidRDefault="000E6C59" w:rsidP="00857E57">
      <w:pPr>
        <w:pStyle w:val="JuPara"/>
      </w:pPr>
      <w:fldSimple w:instr=" SEQ level0 \*arabic \* MERGEFORMAT ">
        <w:r w:rsidR="00495766">
          <w:rPr>
            <w:noProof/>
          </w:rPr>
          <w:t>45</w:t>
        </w:r>
      </w:fldSimple>
      <w:r w:rsidR="008E6B2D">
        <w:t>. La 7 iunie 2021, observând că măsura arestării reclamantului în vederea predării către autoritățile americane urma să înceteze la 10 iunie 2021, Biroul executări penale a formulat în fața curții de apel o nouă „contestație” împotriva măsurii arestării solicitându-i să aprecieze dacă măsura provizorie indicată de Curte la 5 mai 2021 reprezenta un caz de forță majoră, în sensul prevăzut la art. 57 alin. (6) din Legea nr. 302/2004, care permitea menținerea în arest a reclamantului.</w:t>
      </w:r>
    </w:p>
    <w:p w:rsidR="0055665C" w:rsidRPr="00857E57" w:rsidRDefault="000E6C59" w:rsidP="00857E57">
      <w:pPr>
        <w:pStyle w:val="JuPara"/>
      </w:pPr>
      <w:fldSimple w:instr=" SEQ level0 \*arabic \* MERGEFORMAT ">
        <w:r w:rsidR="00495766">
          <w:rPr>
            <w:noProof/>
          </w:rPr>
          <w:t>46</w:t>
        </w:r>
      </w:fldSimple>
      <w:r w:rsidR="008E6B2D">
        <w:t>. La 8 iunie 2021, curtea de apel a decis că măsura provizorie dispusă de Curte nu reprezenta un caz de forță majoră și că măsura arestării dispusă față de reclamant urma să înceteze la 10 iunie 2021, la orele 12 noaptea.</w:t>
      </w:r>
    </w:p>
    <w:bookmarkStart w:id="30" w:name="MatthewsJohnsonHC100621"/>
    <w:p w:rsidR="0055665C" w:rsidRPr="00857E57" w:rsidRDefault="008E6B2D" w:rsidP="00857E57">
      <w:pPr>
        <w:pStyle w:val="JuPara"/>
      </w:pPr>
      <w:r w:rsidRPr="00857E57">
        <w:fldChar w:fldCharType="begin"/>
      </w:r>
      <w:r w:rsidRPr="00857E57">
        <w:instrText xml:space="preserve"> SEQ level0 \*arabic \* MERGEFORMAT </w:instrText>
      </w:r>
      <w:r w:rsidRPr="00857E57">
        <w:fldChar w:fldCharType="separate"/>
      </w:r>
      <w:r w:rsidR="00495766">
        <w:rPr>
          <w:noProof/>
        </w:rPr>
        <w:t>47</w:t>
      </w:r>
      <w:r w:rsidRPr="00857E57">
        <w:fldChar w:fldCharType="end"/>
      </w:r>
      <w:bookmarkEnd w:id="30"/>
      <w:r>
        <w:t>. La 10 iunie 2021, Înalta Curte a desființat sentința sus-menționată a curții de apel și a constatat că măsura arestării în vederea predării dispusă față de reclamant nu înceta de drept la data respectivă. În ceea ce privește aspectul legat de forță majoră, instanța a constatat că, prin hotărârile din 7 și 17 mai 2021, s-a stabilit, cu titlu definitiv, că situația reclamantului constituia un caz de forță majoră (a se vedea supra, pct. </w:t>
      </w:r>
      <w:r w:rsidRPr="00857E57">
        <w:fldChar w:fldCharType="begin"/>
      </w:r>
      <w:r w:rsidRPr="00857E57">
        <w:instrText xml:space="preserve"> REF paragraph00046 \h  \* CharFormat  \* MERGEFORMAT </w:instrText>
      </w:r>
      <w:r w:rsidRPr="00857E57">
        <w:fldChar w:fldCharType="separate"/>
      </w:r>
      <w:r w:rsidR="00495766">
        <w:t>42</w:t>
      </w:r>
      <w:r w:rsidRPr="00857E57">
        <w:fldChar w:fldCharType="end"/>
      </w:r>
      <w:r>
        <w:noBreakHyphen/>
      </w:r>
      <w:r w:rsidRPr="00857E57">
        <w:fldChar w:fldCharType="begin"/>
      </w:r>
      <w:r w:rsidRPr="00857E57">
        <w:instrText xml:space="preserve"> REF paragraph00048 \h  \* CharFormat  \* MERGEFORMAT </w:instrText>
      </w:r>
      <w:r w:rsidRPr="00857E57">
        <w:fldChar w:fldCharType="separate"/>
      </w:r>
      <w:r w:rsidR="00495766">
        <w:t>44</w:t>
      </w:r>
      <w:r w:rsidRPr="00857E57">
        <w:fldChar w:fldCharType="end"/>
      </w:r>
      <w:r>
        <w:t>), întrucât procedurile respective au fost inițiate în temeiul art. 57 alin. (6) din Legea nr. 302/2004, în care era consacrată noțiunea de forță majoră. În ceea ce privește arestul reclamantului, hotărârile din 7 mai și 17 mai 2021 au stabilit de asemenea, cu titlu definitiv, faptul că, în temeiul art. 52 alin. (3) din Legea nr. 302/2004, măsura provizorie dispusă de Curte nu influența în niciun fel dispoziția de menținere a măsurii arestării în vederea predării, incidentă față de reclamant.</w:t>
      </w:r>
    </w:p>
    <w:p w:rsidR="0055665C" w:rsidRPr="00857E57" w:rsidRDefault="000E6C59" w:rsidP="00857E57">
      <w:pPr>
        <w:pStyle w:val="JuPara"/>
      </w:pPr>
      <w:fldSimple w:instr=" SEQ level0 \*arabic \* MERGEFORMAT ">
        <w:bookmarkStart w:id="31" w:name="paragraph00053"/>
        <w:r w:rsidR="00495766">
          <w:rPr>
            <w:noProof/>
          </w:rPr>
          <w:t>48</w:t>
        </w:r>
        <w:bookmarkEnd w:id="31"/>
      </w:fldSimple>
      <w:r w:rsidR="008E6B2D">
        <w:t>. La diferite date, pe parcursul perioadei mai - septembrie 2021, reclamantul a inițiat mai multe seturi de proceduri prin care a contestat legalitatea arestării sale, ridicând inclusiv o excepție de neconstituționalitate (a se vedea infra, pct. </w:t>
      </w:r>
      <w:r w:rsidR="004324A5" w:rsidRPr="00857E57">
        <w:rPr>
          <w:rFonts w:ascii="Times New Roman" w:hAnsi="Times New Roman" w:cs="Times New Roman"/>
        </w:rPr>
        <w:fldChar w:fldCharType="begin"/>
      </w:r>
      <w:r w:rsidR="004324A5" w:rsidRPr="00857E57">
        <w:rPr>
          <w:rFonts w:ascii="Times New Roman" w:hAnsi="Times New Roman" w:cs="Times New Roman"/>
        </w:rPr>
        <w:instrText xml:space="preserve"> REF paragraph00047 \h  \* CharFormat </w:instrText>
      </w:r>
      <w:r w:rsidR="004324A5" w:rsidRPr="00857E57">
        <w:rPr>
          <w:rFonts w:ascii="Times New Roman" w:hAnsi="Times New Roman" w:cs="Times New Roman"/>
        </w:rPr>
      </w:r>
      <w:r w:rsidR="004324A5" w:rsidRPr="00857E57">
        <w:rPr>
          <w:rFonts w:ascii="Times New Roman" w:hAnsi="Times New Roman" w:cs="Times New Roman"/>
        </w:rPr>
        <w:fldChar w:fldCharType="separate"/>
      </w:r>
      <w:r w:rsidR="00495766" w:rsidRPr="00495766">
        <w:rPr>
          <w:rFonts w:ascii="Times New Roman" w:hAnsi="Times New Roman" w:cs="Times New Roman"/>
        </w:rPr>
        <w:t>55</w:t>
      </w:r>
      <w:r w:rsidR="004324A5" w:rsidRPr="00857E57">
        <w:rPr>
          <w:rFonts w:ascii="Times New Roman" w:hAnsi="Times New Roman" w:cs="Times New Roman"/>
        </w:rPr>
        <w:fldChar w:fldCharType="end"/>
      </w:r>
      <w:r w:rsidR="008E6B2D">
        <w:rPr>
          <w:rFonts w:ascii="Times New Roman" w:hAnsi="Times New Roman"/>
        </w:rPr>
        <w:t>–</w:t>
      </w:r>
      <w:r w:rsidR="004324A5" w:rsidRPr="00857E57">
        <w:rPr>
          <w:rFonts w:ascii="Times New Roman" w:hAnsi="Times New Roman" w:cs="Times New Roman"/>
        </w:rPr>
        <w:fldChar w:fldCharType="begin"/>
      </w:r>
      <w:r w:rsidR="004324A5" w:rsidRPr="00857E57">
        <w:rPr>
          <w:rFonts w:ascii="Times New Roman" w:hAnsi="Times New Roman" w:cs="Times New Roman"/>
        </w:rPr>
        <w:instrText xml:space="preserve"> REF paragraph00044 \h  \* CharFormat </w:instrText>
      </w:r>
      <w:r w:rsidR="004324A5" w:rsidRPr="00857E57">
        <w:rPr>
          <w:rFonts w:ascii="Times New Roman" w:hAnsi="Times New Roman" w:cs="Times New Roman"/>
        </w:rPr>
      </w:r>
      <w:r w:rsidR="004324A5" w:rsidRPr="00857E57">
        <w:rPr>
          <w:rFonts w:ascii="Times New Roman" w:hAnsi="Times New Roman" w:cs="Times New Roman"/>
        </w:rPr>
        <w:fldChar w:fldCharType="separate"/>
      </w:r>
      <w:r w:rsidR="00495766" w:rsidRPr="00495766">
        <w:rPr>
          <w:rFonts w:ascii="Times New Roman" w:hAnsi="Times New Roman" w:cs="Times New Roman"/>
        </w:rPr>
        <w:t>56</w:t>
      </w:r>
      <w:r w:rsidR="004324A5" w:rsidRPr="00857E57">
        <w:rPr>
          <w:rFonts w:ascii="Times New Roman" w:hAnsi="Times New Roman" w:cs="Times New Roman"/>
        </w:rPr>
        <w:fldChar w:fldCharType="end"/>
      </w:r>
      <w:r w:rsidR="008E6B2D">
        <w:t xml:space="preserve">) și solicitând dispunerea unor măsuri privative </w:t>
      </w:r>
      <w:r w:rsidR="008E6B2D">
        <w:lastRenderedPageBreak/>
        <w:t>de libertate mai puțin restrictive, în temeiul art. 242 C. proc. pen. La 14 septembrie 2021, în urma unei alte cereri introduse de reclamant, Înalta Curte a confirmat legalitatea detenției acestuia, dar a înlocuit-o cu arestul la domiciliu pentru o perioadă de treizeci de zile, măsură care, ulterior, a fost verificată periodic și prelungită, în conformitate cu dispozițiile relevante ale C. proc. pen.</w:t>
      </w:r>
    </w:p>
    <w:bookmarkStart w:id="32" w:name="MatthewsJohnsonlessrestricitvemeasures"/>
    <w:p w:rsidR="0055665C" w:rsidRPr="00857E57" w:rsidRDefault="008E6B2D" w:rsidP="00857E57">
      <w:pPr>
        <w:pStyle w:val="JuPara"/>
      </w:pPr>
      <w:r w:rsidRPr="00857E57">
        <w:fldChar w:fldCharType="begin"/>
      </w:r>
      <w:r w:rsidRPr="00857E57">
        <w:instrText xml:space="preserve"> SEQ level0 \*arabic \* MERGEFORMAT </w:instrText>
      </w:r>
      <w:r w:rsidRPr="00857E57">
        <w:fldChar w:fldCharType="separate"/>
      </w:r>
      <w:r w:rsidR="00495766">
        <w:rPr>
          <w:noProof/>
        </w:rPr>
        <w:t>49</w:t>
      </w:r>
      <w:r w:rsidRPr="00857E57">
        <w:fldChar w:fldCharType="end"/>
      </w:r>
      <w:bookmarkEnd w:id="32"/>
      <w:r>
        <w:t>. La 9 decembrie 2021, făcând referire la măsura provizorie dispusă de Curte, care era încă în vigoare, și la jurisprudența acesteia referitoare la art. 5 § 1, în special în ceea ce privește caracterul rezonabil al duratei arestului, curtea de apel a dispus liberarea sub control judiciar a reclamantului pentru o perioadă de șaizeci de zile, măsură prelungită ulterior în mod regulat.</w:t>
      </w:r>
    </w:p>
    <w:p w:rsidR="0055665C" w:rsidRPr="00857E57" w:rsidRDefault="008E6B2D" w:rsidP="00857E57">
      <w:pPr>
        <w:pStyle w:val="JuHA"/>
      </w:pPr>
      <w:r>
        <w:t>Evenimentele ulterioare notificării Guvernului României cu privire la cauză</w:t>
      </w:r>
    </w:p>
    <w:p w:rsidR="0055665C" w:rsidRPr="00857E57" w:rsidRDefault="000E6C59" w:rsidP="00857E57">
      <w:pPr>
        <w:pStyle w:val="JuPara"/>
      </w:pPr>
      <w:fldSimple w:instr=" SEQ level0 \*arabic \* MERGEFORMAT ">
        <w:bookmarkStart w:id="33" w:name="paragraph00031"/>
        <w:r w:rsidR="00495766">
          <w:rPr>
            <w:noProof/>
          </w:rPr>
          <w:t>50</w:t>
        </w:r>
        <w:bookmarkEnd w:id="33"/>
      </w:fldSimple>
      <w:r w:rsidR="008E6B2D">
        <w:t>. La 14 decembrie 2022, după ridicarea măsurii provizorii de către Curte la 12 decembrie 2022 (a se vedea supra, pct. </w:t>
      </w:r>
      <w:r w:rsidR="008E6B2D" w:rsidRPr="00857E57">
        <w:fldChar w:fldCharType="begin"/>
      </w:r>
      <w:r w:rsidR="008E6B2D" w:rsidRPr="00857E57">
        <w:instrText xml:space="preserve"> REF paragraph00024 \h  \* CharFormat </w:instrText>
      </w:r>
      <w:r w:rsidR="008E6B2D" w:rsidRPr="00857E57">
        <w:fldChar w:fldCharType="separate"/>
      </w:r>
      <w:r w:rsidR="00495766">
        <w:t>26</w:t>
      </w:r>
      <w:r w:rsidR="008E6B2D" w:rsidRPr="00857E57">
        <w:fldChar w:fldCharType="end"/>
      </w:r>
      <w:r w:rsidR="008E6B2D">
        <w:t xml:space="preserve">), Biroul executări penale, în temeiul art. 598 alin. (1) lit. c) </w:t>
      </w:r>
      <w:r w:rsidR="008E6B2D">
        <w:rPr>
          <w:i/>
        </w:rPr>
        <w:t>in fine</w:t>
      </w:r>
      <w:r w:rsidR="008E6B2D">
        <w:t xml:space="preserve"> C. proc. pen. și al art. 43 alin. (6) din Legea nr. 302/2004, a formulat o contestație la executarea hotărârilor de extrădare a reclamanților (a se vedea supra, pct. </w:t>
      </w:r>
      <w:r w:rsidR="008E6B2D" w:rsidRPr="00857E57">
        <w:fldChar w:fldCharType="begin"/>
      </w:r>
      <w:r w:rsidR="008E6B2D" w:rsidRPr="00857E57">
        <w:instrText xml:space="preserve"> REF paragraph00017 \h  \* CharFormat  \* MERGEFORMAT </w:instrText>
      </w:r>
      <w:r w:rsidR="008E6B2D" w:rsidRPr="00857E57">
        <w:fldChar w:fldCharType="separate"/>
      </w:r>
      <w:r w:rsidR="00495766">
        <w:t>17</w:t>
      </w:r>
      <w:r w:rsidR="008E6B2D" w:rsidRPr="00857E57">
        <w:fldChar w:fldCharType="end"/>
      </w:r>
      <w:r w:rsidR="008E6B2D">
        <w:t>). Biroul executări penale a solicitat curții de apel să dispună arestarea reclamanților, în lipsa căreia hotărârile definitive de extrădare nu puteau fi puse în executare, întrucât art. 57 alin. (4) din Legea nr. 302/2004 prevedea că predarea către statul solicitant putea să fie realizată doar sub escortă.</w:t>
      </w:r>
    </w:p>
    <w:bookmarkStart w:id="34" w:name="Matthews2ndarrestwarrant"/>
    <w:p w:rsidR="0055665C" w:rsidRPr="00857E57" w:rsidRDefault="008E6B2D" w:rsidP="00857E57">
      <w:pPr>
        <w:pStyle w:val="JuPara"/>
      </w:pPr>
      <w:r w:rsidRPr="00857E57">
        <w:fldChar w:fldCharType="begin"/>
      </w:r>
      <w:r w:rsidRPr="00857E57">
        <w:instrText xml:space="preserve"> SEQ level0 \*arabic \* MERGEFORMAT </w:instrText>
      </w:r>
      <w:r w:rsidRPr="00857E57">
        <w:fldChar w:fldCharType="separate"/>
      </w:r>
      <w:r w:rsidR="00495766">
        <w:rPr>
          <w:noProof/>
        </w:rPr>
        <w:t>51</w:t>
      </w:r>
      <w:r w:rsidRPr="00857E57">
        <w:fldChar w:fldCharType="end"/>
      </w:r>
      <w:bookmarkEnd w:id="34"/>
      <w:r>
        <w:t xml:space="preserve">. La 15 decembrie 2022, observând că măsura provizorie indicată de Curte - care constituia o cauză de împiedicare a punerii în executare a hotărârii de extrădare  - încetase, curtea de apel a reținut că absența unui mandat de arestare, care să garanteze predarea reclamanților, în sensul art. 598 alin. (1) lit. c) </w:t>
      </w:r>
      <w:r>
        <w:rPr>
          <w:i/>
        </w:rPr>
        <w:t>in fine</w:t>
      </w:r>
      <w:r>
        <w:t xml:space="preserve"> C. proc. pen., împiedica punerea în executare a hotărârilor de extrădare. În consecință, în temeiul art. 43 alin. (6) din Legea nr. 302/2004, curtea de apel a dispus reținerea și arestarea provizorie a reclamanților pentru treizeci de zile, în vederea predării acestora către autoritățile americane</w:t>
      </w:r>
    </w:p>
    <w:p w:rsidR="0055665C" w:rsidRPr="00857E57" w:rsidRDefault="000E6C59" w:rsidP="00857E57">
      <w:pPr>
        <w:pStyle w:val="JuPara"/>
      </w:pPr>
      <w:fldSimple w:instr=" SEQ level0 \*arabic \* MERGEFORMAT ">
        <w:r w:rsidR="00495766">
          <w:rPr>
            <w:noProof/>
          </w:rPr>
          <w:t>52</w:t>
        </w:r>
      </w:fldSimple>
      <w:r w:rsidR="008E6B2D">
        <w:t>. Sentințele din 15 decembrie 2022 puteau fi atacate cu contestație. Se pare că reclamanții nu au formulat o contestație împotriva acestora.</w:t>
      </w:r>
    </w:p>
    <w:bookmarkStart w:id="35" w:name="Matthewsappsfled15122022"/>
    <w:p w:rsidR="0055665C" w:rsidRPr="00857E57" w:rsidRDefault="008E6B2D" w:rsidP="00857E57">
      <w:pPr>
        <w:pStyle w:val="JuPara"/>
      </w:pPr>
      <w:r w:rsidRPr="00857E57">
        <w:rPr>
          <w:rFonts w:cstheme="minorHAnsi"/>
        </w:rPr>
        <w:fldChar w:fldCharType="begin"/>
      </w:r>
      <w:r w:rsidRPr="00857E57">
        <w:rPr>
          <w:rFonts w:cstheme="minorHAnsi"/>
        </w:rPr>
        <w:instrText xml:space="preserve"> SEQ level0 \*arabic \* MERGEFORMAT </w:instrText>
      </w:r>
      <w:r w:rsidRPr="00857E57">
        <w:rPr>
          <w:rFonts w:cstheme="minorHAnsi"/>
        </w:rPr>
        <w:fldChar w:fldCharType="separate"/>
      </w:r>
      <w:r w:rsidR="00495766">
        <w:rPr>
          <w:rFonts w:cstheme="minorHAnsi"/>
          <w:noProof/>
        </w:rPr>
        <w:t>53</w:t>
      </w:r>
      <w:r w:rsidRPr="00857E57">
        <w:rPr>
          <w:rFonts w:cstheme="minorHAnsi"/>
        </w:rPr>
        <w:fldChar w:fldCharType="end"/>
      </w:r>
      <w:bookmarkEnd w:id="35"/>
      <w:r>
        <w:t>. Potrivit Guvernului, începând cu 3 martie 2023, mandatele de arestare emise (de curtea de apel) nu au fost executate, iar reclamanții sunt incluși în lista cu persoane urmărite, publicată pe pagina de internet a Poliției Române.</w:t>
      </w:r>
    </w:p>
    <w:p w:rsidR="0055665C" w:rsidRPr="00857E57" w:rsidRDefault="008E6B2D" w:rsidP="00857E57">
      <w:pPr>
        <w:pStyle w:val="JuHHead"/>
      </w:pPr>
      <w:r>
        <w:lastRenderedPageBreak/>
        <w:t>CADRUL JURIDIC ȘI PRACTICA RELEVANTE</w:t>
      </w:r>
    </w:p>
    <w:p w:rsidR="0055665C" w:rsidRPr="00857E57" w:rsidRDefault="008E6B2D" w:rsidP="00857E57">
      <w:pPr>
        <w:pStyle w:val="JuHIRoman"/>
      </w:pPr>
      <w:r>
        <w:t>ROMÂNIA</w:t>
      </w:r>
    </w:p>
    <w:p w:rsidR="0055665C" w:rsidRPr="00857E57" w:rsidRDefault="008E6B2D" w:rsidP="00857E57">
      <w:pPr>
        <w:pStyle w:val="JuHA"/>
      </w:pPr>
      <w:r>
        <w:t>Legea nr. 302/2004 privind cooperarea judiciară internațională în materie penală</w:t>
      </w:r>
    </w:p>
    <w:p w:rsidR="0055665C" w:rsidRPr="00857E57" w:rsidRDefault="008E6B2D" w:rsidP="00857E57">
      <w:pPr>
        <w:pStyle w:val="JuPara"/>
      </w:pPr>
      <w:r w:rsidRPr="00857E57">
        <w:rPr>
          <w:rFonts w:cstheme="minorHAnsi"/>
        </w:rPr>
        <w:fldChar w:fldCharType="begin"/>
      </w:r>
      <w:r w:rsidRPr="00857E57">
        <w:rPr>
          <w:rFonts w:cstheme="minorHAnsi"/>
        </w:rPr>
        <w:instrText xml:space="preserve"> SEQ level0 \*arabic \* MERGEFORMAT </w:instrText>
      </w:r>
      <w:r w:rsidRPr="00857E57">
        <w:rPr>
          <w:rFonts w:cstheme="minorHAnsi"/>
        </w:rPr>
        <w:fldChar w:fldCharType="separate"/>
      </w:r>
      <w:bookmarkStart w:id="36" w:name="paragraph00054"/>
      <w:r w:rsidR="00495766">
        <w:rPr>
          <w:rFonts w:cstheme="minorHAnsi"/>
          <w:noProof/>
        </w:rPr>
        <w:t>54</w:t>
      </w:r>
      <w:bookmarkEnd w:id="36"/>
      <w:r w:rsidRPr="00857E57">
        <w:rPr>
          <w:rFonts w:cstheme="minorHAnsi"/>
        </w:rPr>
        <w:fldChar w:fldCharType="end"/>
      </w:r>
      <w:r>
        <w:t>. În temeiul legislației române, procedura de extrădare este reglementată de Legea nr. 302/2004 privind cooperarea judiciară internațională în materie penală. Dispozițiile relevante, care completează Tratatul de extrădare, în vigoare înainte de modificarea lor din 20 noiembrie 2022 (a se vedea infra, pct. </w:t>
      </w:r>
      <w:r w:rsidRPr="00857E57">
        <w:fldChar w:fldCharType="begin"/>
      </w:r>
      <w:r w:rsidRPr="00857E57">
        <w:instrText xml:space="preserve"> REF paragraph00039 \h  \* CharFormat </w:instrText>
      </w:r>
      <w:r w:rsidRPr="00857E57">
        <w:fldChar w:fldCharType="separate"/>
      </w:r>
      <w:r w:rsidR="00495766" w:rsidRPr="00857E57">
        <w:t>57</w:t>
      </w:r>
      <w:r w:rsidRPr="00857E57">
        <w:fldChar w:fldCharType="end"/>
      </w:r>
      <w:r>
        <w:noBreakHyphen/>
      </w:r>
      <w:r w:rsidRPr="00857E57">
        <w:fldChar w:fldCharType="begin"/>
      </w:r>
      <w:r w:rsidRPr="00857E57">
        <w:instrText xml:space="preserve"> REF paragraph00040 \h  \* CharFormat </w:instrText>
      </w:r>
      <w:r w:rsidRPr="00857E57">
        <w:fldChar w:fldCharType="separate"/>
      </w:r>
      <w:r w:rsidR="00495766" w:rsidRPr="00857E57">
        <w:t>58</w:t>
      </w:r>
      <w:r w:rsidRPr="00857E57">
        <w:fldChar w:fldCharType="end"/>
      </w:r>
      <w:r>
        <w:t>), se citesc după cum urmează:</w:t>
      </w:r>
    </w:p>
    <w:p w:rsidR="0055665C" w:rsidRPr="00857E57" w:rsidRDefault="008E6B2D" w:rsidP="00857E57">
      <w:pPr>
        <w:pStyle w:val="JuHArticle"/>
      </w:pPr>
      <w:r>
        <w:t>Articolul 43</w:t>
      </w:r>
    </w:p>
    <w:p w:rsidR="0055665C" w:rsidRPr="00857E57" w:rsidRDefault="008E6B2D" w:rsidP="00857E57">
      <w:pPr>
        <w:pStyle w:val="JuHArticle"/>
      </w:pPr>
      <w:r>
        <w:t>Arestarea provizorie și sesizarea instanței</w:t>
      </w:r>
    </w:p>
    <w:p w:rsidR="0055665C" w:rsidRPr="00857E57" w:rsidRDefault="008E6B2D" w:rsidP="00857E57">
      <w:pPr>
        <w:pStyle w:val="JuQuot"/>
      </w:pPr>
      <w:r>
        <w:t>„[...]</w:t>
      </w:r>
    </w:p>
    <w:p w:rsidR="0055665C" w:rsidRPr="00857E57" w:rsidRDefault="008E6B2D" w:rsidP="00857E57">
      <w:pPr>
        <w:pStyle w:val="JuQuot"/>
      </w:pPr>
      <w:r>
        <w:t>(3) Arestarea provizorie în vederea extrădării se dispune și este prelungită de același complet învestit cu soluționarea cererii de extrădare, prin încheiere, fără ca durata totală a arestării provizorii să poată depăși 180 de zile. După întocmirea hotărârii prin care s-a dispus arestarea, judecătorul emite de îndată mandat de arestare provizorie în vederea extrădării. Prevederile Codului de procedură penală cu privire la conținutul și executarea mandatului de arestare se aplică în mod corespunzător.</w:t>
      </w:r>
    </w:p>
    <w:p w:rsidR="0055665C" w:rsidRPr="00857E57" w:rsidRDefault="008E6B2D" w:rsidP="00857E57">
      <w:pPr>
        <w:pStyle w:val="JuQuot"/>
      </w:pPr>
      <w:r>
        <w:t>[...]</w:t>
      </w:r>
    </w:p>
    <w:p w:rsidR="0055665C" w:rsidRPr="00857E57" w:rsidRDefault="008E6B2D" w:rsidP="00857E57">
      <w:pPr>
        <w:pStyle w:val="JuQuot"/>
      </w:pPr>
      <w:r>
        <w:t>(5) În cursul soluționării cererii de extrădare, instanța verifică periodic, dar nu mai târziu de 30 de zile, necesitatea menținerii arestării provizorii, putând dispune, după caz, menținerea arestării provizorii sau înlocuirea acesteia cu măsura arestului la domiciliu, controlului judiciar sau pe cauțiune. Măsura arestării provizorii se înlocuiește cu arestul la domiciliu, controlul judiciar sau pe cauțiune numai în cazuri bine justificate și numai dacă instanța apreciază că persoana extrădabilă nu va încerca să se sustragă de la judecarea cererii de extrădare.</w:t>
      </w:r>
    </w:p>
    <w:p w:rsidR="0055665C" w:rsidRPr="00857E57" w:rsidRDefault="008E6B2D" w:rsidP="00857E57">
      <w:pPr>
        <w:pStyle w:val="JuQuot"/>
      </w:pPr>
      <w:r>
        <w:t>(6) Odată cu admiterea cererii de extrădare, prin sentință, instanța dispune și arestarea persoanei extrădate în vederea predării.</w:t>
      </w:r>
    </w:p>
    <w:p w:rsidR="0055665C" w:rsidRPr="00857E57" w:rsidRDefault="008E6B2D" w:rsidP="00857E57">
      <w:pPr>
        <w:pStyle w:val="JuQuot"/>
      </w:pPr>
      <w:r>
        <w:t>(7) Măsura arestării în vederea predării încetează de drept dacă persoana extrădată nu este preluată de autoritățile competente ale statului solicitat, în termen de 30 de zile de la data convenită pentru predare, cu excepția cazului prevăzut la art. 57 alin. (6). În acest caz, instanța dispune punerea de îndată în libertate a persoanei extrădate și informează despre aceasta Ministerul Justiției și Centrul de Cooperare Polițienească Internațională din cadrul Inspectoratului General al Poliției Române.</w:t>
      </w:r>
    </w:p>
    <w:p w:rsidR="0055665C" w:rsidRPr="00857E57" w:rsidRDefault="008E6B2D" w:rsidP="00857E57">
      <w:pPr>
        <w:pStyle w:val="JuQuot"/>
      </w:pPr>
      <w:r>
        <w:t>[...]”</w:t>
      </w:r>
    </w:p>
    <w:p w:rsidR="0055665C" w:rsidRPr="00857E57" w:rsidRDefault="008E6B2D" w:rsidP="00857E57">
      <w:pPr>
        <w:pStyle w:val="JuHArticle"/>
      </w:pPr>
      <w:r>
        <w:t>Articolul 52</w:t>
      </w:r>
    </w:p>
    <w:p w:rsidR="0055665C" w:rsidRPr="00857E57" w:rsidRDefault="008E6B2D" w:rsidP="00857E57">
      <w:pPr>
        <w:pStyle w:val="JuHArticle"/>
      </w:pPr>
      <w:r>
        <w:t>Soluționarea cauzei</w:t>
      </w:r>
    </w:p>
    <w:p w:rsidR="0055665C" w:rsidRPr="00857E57" w:rsidRDefault="008E6B2D" w:rsidP="00857E57">
      <w:pPr>
        <w:pStyle w:val="JuQuot"/>
      </w:pPr>
      <w:r>
        <w:t>„(1) După examinarea cererii de extrădare, a materialului probator și a concluziilor prezentate de partea extrădabilă și de procuror, curtea de apel poate:</w:t>
      </w:r>
    </w:p>
    <w:p w:rsidR="0055665C" w:rsidRPr="00857E57" w:rsidRDefault="008E6B2D" w:rsidP="00857E57">
      <w:pPr>
        <w:pStyle w:val="JuQuot"/>
      </w:pPr>
      <w:r>
        <w:t>[...]</w:t>
      </w:r>
    </w:p>
    <w:p w:rsidR="0055665C" w:rsidRPr="00857E57" w:rsidRDefault="008E6B2D" w:rsidP="00857E57">
      <w:pPr>
        <w:pStyle w:val="JuQuot"/>
      </w:pPr>
      <w:r>
        <w:lastRenderedPageBreak/>
        <w:t>c) să constate, prin sentință, dacă sunt sau nu sunt întrunite condițiile extrădării.</w:t>
      </w:r>
    </w:p>
    <w:p w:rsidR="0055665C" w:rsidRPr="00857E57" w:rsidRDefault="008E6B2D" w:rsidP="00857E57">
      <w:pPr>
        <w:pStyle w:val="JuQuot"/>
      </w:pPr>
      <w:r>
        <w:t>[...]</w:t>
      </w:r>
    </w:p>
    <w:p w:rsidR="0055665C" w:rsidRPr="00857E57" w:rsidRDefault="008E6B2D" w:rsidP="00857E57">
      <w:pPr>
        <w:pStyle w:val="JuQuot"/>
      </w:pPr>
      <w:r>
        <w:t>(3) În cazul în care curtea de apel constată că sunt îndeplinite condițiile de extrădare, hotărăște admiterea cererii de extrădare, dispunând totodată menținerea stării de arest provizoriu în vederea extrădării, până la predarea persoanei extrădate, conform art. 57.</w:t>
      </w:r>
    </w:p>
    <w:p w:rsidR="0055665C" w:rsidRPr="00857E57" w:rsidRDefault="008E6B2D" w:rsidP="00857E57">
      <w:pPr>
        <w:pStyle w:val="JuQuot"/>
      </w:pPr>
      <w:r>
        <w:t>[...]”</w:t>
      </w:r>
    </w:p>
    <w:p w:rsidR="0055665C" w:rsidRPr="00857E57" w:rsidRDefault="008E6B2D" w:rsidP="00857E57">
      <w:pPr>
        <w:pStyle w:val="JuHArticle"/>
      </w:pPr>
      <w:r>
        <w:t>Articolul 56</w:t>
      </w:r>
    </w:p>
    <w:p w:rsidR="0055665C" w:rsidRPr="00857E57" w:rsidRDefault="008E6B2D" w:rsidP="00857E57">
      <w:pPr>
        <w:pStyle w:val="JuHArticle"/>
      </w:pPr>
      <w:r>
        <w:t>Predarea extrădatului</w:t>
      </w:r>
    </w:p>
    <w:p w:rsidR="0055665C" w:rsidRPr="00857E57" w:rsidRDefault="008E6B2D" w:rsidP="00857E57">
      <w:pPr>
        <w:pStyle w:val="JuQuot"/>
      </w:pPr>
      <w:r>
        <w:t>„(1) Este considerat bază legală necesară și suficientă pentru predarea extrădatului un extras al hotărârii judecătorești rămase definitive, prin care se dispune extrădarea.</w:t>
      </w:r>
    </w:p>
    <w:p w:rsidR="0055665C" w:rsidRPr="00857E57" w:rsidRDefault="008E6B2D" w:rsidP="00857E57">
      <w:pPr>
        <w:pStyle w:val="JuQuot"/>
      </w:pPr>
      <w:r>
        <w:t>[...]</w:t>
      </w:r>
    </w:p>
    <w:p w:rsidR="0055665C" w:rsidRPr="00857E57" w:rsidRDefault="008E6B2D" w:rsidP="00857E57">
      <w:pPr>
        <w:pStyle w:val="JuQuot"/>
      </w:pPr>
      <w:r>
        <w:t>(3) Data predării va fi comunicată Ministerului Justiției și curții de apel competente în termen de 15 zile de la data transmiterii hotărârii judecătorești prevăzute la alin. (1). În cazul în care data predării nu a fost fixată în intervalul de 15 zile, Centrul de Cooperare Polițienească Internațională din cadrul Inspectoratului General al Poliției Române informează asupra demersurilor luate și motivelor pentru care data predării nu a putut fi stabilită în acest interval.”</w:t>
      </w:r>
    </w:p>
    <w:p w:rsidR="0055665C" w:rsidRPr="00857E57" w:rsidRDefault="008E6B2D" w:rsidP="00857E57">
      <w:pPr>
        <w:pStyle w:val="JuHArticle"/>
      </w:pPr>
      <w:r>
        <w:t>Articolul 57</w:t>
      </w:r>
    </w:p>
    <w:p w:rsidR="0055665C" w:rsidRPr="00857E57" w:rsidRDefault="008E6B2D" w:rsidP="00857E57">
      <w:pPr>
        <w:pStyle w:val="JuHArticle"/>
      </w:pPr>
      <w:r>
        <w:t>Termene pentru predarea extrădatului</w:t>
      </w:r>
    </w:p>
    <w:p w:rsidR="0055665C" w:rsidRPr="00857E57" w:rsidRDefault="008E6B2D" w:rsidP="00857E57">
      <w:pPr>
        <w:pStyle w:val="JuQuot"/>
      </w:pPr>
      <w:r>
        <w:t>„[...]</w:t>
      </w:r>
    </w:p>
    <w:p w:rsidR="0055665C" w:rsidRPr="00857E57" w:rsidRDefault="008E6B2D" w:rsidP="00857E57">
      <w:pPr>
        <w:pStyle w:val="JuQuot"/>
      </w:pPr>
      <w:r>
        <w:t>(3) În caz de acordare a extrădării, statul solicitant va fi informat despre locul și data predării, precum și asupra duratei arestului în vederea extrădării, executat de persoana extrădabilă.</w:t>
      </w:r>
    </w:p>
    <w:p w:rsidR="0055665C" w:rsidRPr="00857E57" w:rsidRDefault="008E6B2D" w:rsidP="00857E57">
      <w:pPr>
        <w:pStyle w:val="JuQuot"/>
      </w:pPr>
      <w:r>
        <w:t>(4) [...] Persoana extrădată este predată și preluată sub escortă.</w:t>
      </w:r>
    </w:p>
    <w:p w:rsidR="0055665C" w:rsidRPr="00857E57" w:rsidRDefault="008E6B2D" w:rsidP="00857E57">
      <w:pPr>
        <w:pStyle w:val="JuQuot"/>
      </w:pPr>
      <w:r>
        <w:t>(5) Sub rezerva cazului prevăzut la alin. (6), dacă persoana extrădată nu va fi preluată la data stabilită, ea va putea fi pusă în libertate la expirarea unui termen de 15 zile, socotit de la această dată; acest termen nu va putea fi prelungit decât cel mult cu încă 15 zile.</w:t>
      </w:r>
    </w:p>
    <w:p w:rsidR="0055665C" w:rsidRPr="00857E57" w:rsidRDefault="008E6B2D" w:rsidP="00857E57">
      <w:pPr>
        <w:pStyle w:val="JuQuot"/>
      </w:pPr>
      <w:r>
        <w:t>(6) În caz de forță majoră, care împiedică predarea sau primirea persoanei extrădate, autoritățile române și cele ale statului solicitant se vor pune de acord asupra unei noi date de predare, dispozițiile art. 56 alin. (3) fiind aplicabile.”</w:t>
      </w:r>
    </w:p>
    <w:p w:rsidR="0055665C" w:rsidRPr="00857E57" w:rsidRDefault="008E6B2D" w:rsidP="00857E57">
      <w:pPr>
        <w:pStyle w:val="JuHA"/>
      </w:pPr>
      <w:r>
        <w:t>Decizia Curții Constituționale nr. 359/2022 din 26 mai 2022</w:t>
      </w:r>
    </w:p>
    <w:p w:rsidR="0055665C" w:rsidRPr="00857E57" w:rsidRDefault="008E6B2D" w:rsidP="00857E57">
      <w:pPr>
        <w:pStyle w:val="JuPara"/>
        <w:rPr>
          <w:rFonts w:cstheme="minorHAnsi"/>
        </w:rPr>
      </w:pPr>
      <w:r w:rsidRPr="00857E57">
        <w:rPr>
          <w:rFonts w:cstheme="minorHAnsi"/>
        </w:rPr>
        <w:fldChar w:fldCharType="begin"/>
      </w:r>
      <w:r w:rsidRPr="00857E57">
        <w:rPr>
          <w:rFonts w:cstheme="minorHAnsi"/>
        </w:rPr>
        <w:instrText xml:space="preserve"> SEQ level0 \*arabic \* MERGEFORMAT </w:instrText>
      </w:r>
      <w:r w:rsidRPr="00857E57">
        <w:rPr>
          <w:rFonts w:cstheme="minorHAnsi"/>
        </w:rPr>
        <w:fldChar w:fldCharType="separate"/>
      </w:r>
      <w:bookmarkStart w:id="37" w:name="paragraph00047"/>
      <w:r w:rsidR="00495766">
        <w:rPr>
          <w:rFonts w:cstheme="minorHAnsi"/>
          <w:noProof/>
        </w:rPr>
        <w:t>55</w:t>
      </w:r>
      <w:bookmarkEnd w:id="37"/>
      <w:r w:rsidRPr="00857E57">
        <w:rPr>
          <w:rFonts w:cstheme="minorHAnsi"/>
        </w:rPr>
        <w:fldChar w:fldCharType="end"/>
      </w:r>
      <w:r>
        <w:t xml:space="preserve">. La 26 mai 2022, Curtea Constituțională a respins excepția de neconstituționalitate a dispozițiilor art. 52 alin. (3) din Legea nr. 302/2004, ridicată de primul reclamant (Matthews), pentru următoarele motive: arestarea preventivă „în vederea extrădării” nu poate fi considerată o măsură preventivă care ar trebui să se regăsească în categoria celor prevăzute de Codul de procedură penală în capitolul referitor la măsurile preventive; opțiunea legiuitorului de a nu reglementa o obligație de verificare periodică a măsurii arestării provizorii „în vederea predării”, dispusă ulterior pronunțării deciziei de extrădare precum și imposibilitatea de a înlocui măsura arestării </w:t>
      </w:r>
      <w:r>
        <w:lastRenderedPageBreak/>
        <w:t>provizorii cu o altă măsură erau conforme cu Constituția și cu art. 5 § 1 din Convenție, având în vedere că sunt stipulate termene clare care să determine predarea într-un timp cât mai scurt.</w:t>
      </w:r>
    </w:p>
    <w:p w:rsidR="0055665C" w:rsidRPr="00857E57" w:rsidRDefault="008E6B2D" w:rsidP="00857E57">
      <w:pPr>
        <w:pStyle w:val="JuPara"/>
        <w:rPr>
          <w:rFonts w:cstheme="minorHAnsi"/>
        </w:rPr>
      </w:pPr>
      <w:r w:rsidRPr="00857E57">
        <w:rPr>
          <w:rFonts w:cstheme="minorHAnsi"/>
        </w:rPr>
        <w:fldChar w:fldCharType="begin"/>
      </w:r>
      <w:r w:rsidRPr="00857E57">
        <w:rPr>
          <w:rFonts w:cstheme="minorHAnsi"/>
        </w:rPr>
        <w:instrText xml:space="preserve"> SEQ level0 \*arabic \* MERGEFORMAT </w:instrText>
      </w:r>
      <w:r w:rsidRPr="00857E57">
        <w:rPr>
          <w:rFonts w:cstheme="minorHAnsi"/>
        </w:rPr>
        <w:fldChar w:fldCharType="separate"/>
      </w:r>
      <w:bookmarkStart w:id="38" w:name="paragraph00044"/>
      <w:r w:rsidR="00495766">
        <w:rPr>
          <w:rFonts w:cstheme="minorHAnsi"/>
          <w:noProof/>
        </w:rPr>
        <w:t>56</w:t>
      </w:r>
      <w:bookmarkEnd w:id="38"/>
      <w:r w:rsidRPr="00857E57">
        <w:rPr>
          <w:rFonts w:cstheme="minorHAnsi"/>
        </w:rPr>
        <w:fldChar w:fldCharType="end"/>
      </w:r>
      <w:r>
        <w:t>. În ceea ce privește art. 57 alin. (5) și (6) din Legea nr. 302/2004, Curtea Constituțională a admis excepția de neconstituționalitate ridicată de primul reclamant și a constatat că articolul în cauză, în măsura în care privea sintagma „sub rezerva cazului prevăzut la alin. (6)” (forță majoră), era neconstituțional întrucât permitea menținerea unei privări de libertate pe o durată nedeterminată, în lipsa unui cadru legislativ clar și previzibil. Pe această bază, aceasta a concluzionat că legiuitorul avea obligația să reglementeze un astfel de cadru legislativ.</w:t>
      </w:r>
    </w:p>
    <w:p w:rsidR="0055665C" w:rsidRPr="00857E57" w:rsidRDefault="000E6C59" w:rsidP="00857E57">
      <w:pPr>
        <w:pStyle w:val="JuPara"/>
      </w:pPr>
      <w:fldSimple w:instr=" SEQ level0 \*arabic \* MERGEFORMAT ">
        <w:bookmarkStart w:id="39" w:name="paragraph00039"/>
        <w:r w:rsidR="00495766">
          <w:rPr>
            <w:noProof/>
          </w:rPr>
          <w:t>57</w:t>
        </w:r>
        <w:bookmarkEnd w:id="39"/>
      </w:fldSimple>
      <w:r w:rsidR="008E6B2D">
        <w:t>. În urma deciziei Curții Constituționale, Legea nr. 302/2004 a fost modificată, iar noile dispoziții au intrat în vigoare la 20 noiembrie 2022. Conform notei explicative referitoare la legislația de modificare, art. 43 a fost modificat în scopul clarificării confuziei existente la nivel național în ceea ce privește noțiunile de „arestare provizorie în vederea extrădării” și „arestare în vederea predării”, precum și în ceea ce privește durata acestor măsuri. Modificările respective au fost adoptate pentru a reflecta faptul că arestarea în contextul procedurii de extrădare este o noțiune cu un caracter unic (special), care permite privarea de libertate a unei persoane pentru (o perioadă de) maximum 180 de zile, până la predarea efectivă a acesteia.</w:t>
      </w:r>
    </w:p>
    <w:p w:rsidR="0055665C" w:rsidRPr="00857E57" w:rsidRDefault="000E6C59" w:rsidP="00857E57">
      <w:pPr>
        <w:pStyle w:val="JuPara"/>
      </w:pPr>
      <w:fldSimple w:instr=" SEQ level0 \*arabic \* MERGEFORMAT ">
        <w:bookmarkStart w:id="40" w:name="paragraph00040"/>
        <w:r w:rsidR="00495766">
          <w:rPr>
            <w:noProof/>
          </w:rPr>
          <w:t>58</w:t>
        </w:r>
        <w:bookmarkEnd w:id="40"/>
      </w:fldSimple>
      <w:r w:rsidR="008E6B2D">
        <w:t>. Dispozițiile modificate relevante se citesc astfel:</w:t>
      </w:r>
    </w:p>
    <w:p w:rsidR="0055665C" w:rsidRPr="00857E57" w:rsidRDefault="008E6B2D" w:rsidP="00857E57">
      <w:pPr>
        <w:pStyle w:val="JuHArticle"/>
      </w:pPr>
      <w:r>
        <w:t>Articolul 43</w:t>
      </w:r>
    </w:p>
    <w:p w:rsidR="0055665C" w:rsidRPr="00857E57" w:rsidRDefault="008E6B2D" w:rsidP="00857E57">
      <w:pPr>
        <w:pStyle w:val="JuHArticle"/>
      </w:pPr>
      <w:r>
        <w:t>Arestarea provizorie și sesizarea instanței</w:t>
      </w:r>
    </w:p>
    <w:p w:rsidR="0055665C" w:rsidRPr="00857E57" w:rsidRDefault="008E6B2D" w:rsidP="00857E57">
      <w:pPr>
        <w:pStyle w:val="JuQuot"/>
      </w:pPr>
      <w:r>
        <w:t>„[...]</w:t>
      </w:r>
    </w:p>
    <w:p w:rsidR="0055665C" w:rsidRPr="00857E57" w:rsidRDefault="008E6B2D" w:rsidP="00857E57">
      <w:pPr>
        <w:pStyle w:val="JuQuot"/>
      </w:pPr>
      <w:r>
        <w:t>(3) Arestarea provizorie în vederea extrădării se dispune și este prelungită de același complet învestit cu soluționarea cererii de extrădare, prin încheiere, fără ca durata totală a arestării provizorii, până la predarea efectivă către statul solicitant, să poată depăși 180 de zile.</w:t>
      </w:r>
    </w:p>
    <w:p w:rsidR="0055665C" w:rsidRPr="00857E57" w:rsidRDefault="008E6B2D" w:rsidP="00857E57">
      <w:pPr>
        <w:pStyle w:val="JuQuot"/>
      </w:pPr>
      <w:r>
        <w:t>[...]”</w:t>
      </w:r>
    </w:p>
    <w:p w:rsidR="0055665C" w:rsidRPr="00857E57" w:rsidRDefault="008E6B2D" w:rsidP="00857E57">
      <w:pPr>
        <w:pStyle w:val="JuHArticle"/>
      </w:pPr>
      <w:r>
        <w:t>Articolul 57</w:t>
      </w:r>
    </w:p>
    <w:p w:rsidR="0055665C" w:rsidRPr="00857E57" w:rsidRDefault="008E6B2D" w:rsidP="00857E57">
      <w:pPr>
        <w:pStyle w:val="JuHArticle"/>
      </w:pPr>
      <w:r>
        <w:t>Termene pentru predarea extrădatului</w:t>
      </w:r>
    </w:p>
    <w:p w:rsidR="0055665C" w:rsidRPr="00857E57" w:rsidRDefault="008E6B2D" w:rsidP="00857E57">
      <w:pPr>
        <w:pStyle w:val="JuQuot"/>
      </w:pPr>
      <w:r>
        <w:t>„[...]</w:t>
      </w:r>
    </w:p>
    <w:p w:rsidR="0055665C" w:rsidRPr="00857E57" w:rsidRDefault="008E6B2D" w:rsidP="00857E57">
      <w:pPr>
        <w:pStyle w:val="JuQuot"/>
      </w:pPr>
      <w:r>
        <w:t>(6) Prin excepție de la prevederile alin. (5), în caz de forță majoră, care împiedică predarea sau primirea persoanei extrădate, autoritățile române și cele ale statului solicitant se vor pune de acord asupra unei noi date de predare, fără ca durata arestării provizorii totale, până la data predării, să poată depăși 180 de zile.</w:t>
      </w:r>
    </w:p>
    <w:p w:rsidR="0055665C" w:rsidRPr="00857E57" w:rsidRDefault="008E6B2D" w:rsidP="00857E57">
      <w:pPr>
        <w:pStyle w:val="JuQuot"/>
      </w:pPr>
      <w:r>
        <w:t>[...]”</w:t>
      </w:r>
    </w:p>
    <w:p w:rsidR="0055665C" w:rsidRPr="00857E57" w:rsidRDefault="008E6B2D" w:rsidP="00857E57">
      <w:pPr>
        <w:pStyle w:val="JuHA"/>
      </w:pPr>
      <w:r>
        <w:lastRenderedPageBreak/>
        <w:t>Codul de procedură penală</w:t>
      </w:r>
    </w:p>
    <w:p w:rsidR="0055665C" w:rsidRPr="00857E57" w:rsidRDefault="000E6C59" w:rsidP="00857E57">
      <w:pPr>
        <w:pStyle w:val="JuPara"/>
        <w:rPr>
          <w:rFonts w:cstheme="minorHAnsi"/>
          <w:szCs w:val="32"/>
        </w:rPr>
      </w:pPr>
      <w:fldSimple w:instr=" SEQ level0 \*arabic \* MERGEFORMAT ">
        <w:bookmarkStart w:id="41" w:name="paragraph00049"/>
        <w:r w:rsidR="00495766">
          <w:rPr>
            <w:noProof/>
          </w:rPr>
          <w:t>59</w:t>
        </w:r>
        <w:bookmarkEnd w:id="41"/>
      </w:fldSimple>
      <w:r w:rsidR="008E6B2D">
        <w:t>. Dispozițiile relevante din Codul de procedură penală („C. proc. pen.”), astfel cum erau în vigoare la momentul faptelor, se citesc după cum urmează:</w:t>
      </w:r>
    </w:p>
    <w:p w:rsidR="0055665C" w:rsidRPr="00857E57" w:rsidRDefault="008E6B2D" w:rsidP="00857E57">
      <w:pPr>
        <w:pStyle w:val="JuHArticle"/>
      </w:pPr>
      <w:r>
        <w:t>Articolul 236</w:t>
      </w:r>
    </w:p>
    <w:p w:rsidR="0055665C" w:rsidRPr="00857E57" w:rsidRDefault="008E6B2D" w:rsidP="00857E57">
      <w:pPr>
        <w:pStyle w:val="JuHArticle"/>
      </w:pPr>
      <w:r>
        <w:t>Admiterea propunerii de prelungire a arestării preventive în cursul urmăririi penale</w:t>
      </w:r>
    </w:p>
    <w:p w:rsidR="0055665C" w:rsidRPr="00857E57" w:rsidRDefault="008E6B2D" w:rsidP="00857E57">
      <w:pPr>
        <w:pStyle w:val="JuQuot"/>
      </w:pPr>
      <w:r>
        <w:t>„[...]</w:t>
      </w:r>
    </w:p>
    <w:p w:rsidR="0055665C" w:rsidRPr="00857E57" w:rsidRDefault="008E6B2D" w:rsidP="00857E57">
      <w:pPr>
        <w:pStyle w:val="JuQuot"/>
      </w:pPr>
      <w:r>
        <w:t>(4) Durata totală a arestării preventive a inculpatului în cursul urmăririi penale nu poate depăși un termen rezonabil și nu poate fi mai mare de 180 de zile.</w:t>
      </w:r>
    </w:p>
    <w:p w:rsidR="0055665C" w:rsidRPr="00857E57" w:rsidRDefault="008E6B2D" w:rsidP="00857E57">
      <w:pPr>
        <w:pStyle w:val="JuQuot"/>
      </w:pPr>
      <w:r>
        <w:t>[...]”</w:t>
      </w:r>
    </w:p>
    <w:p w:rsidR="0055665C" w:rsidRPr="00857E57" w:rsidRDefault="008E6B2D" w:rsidP="00857E57">
      <w:pPr>
        <w:pStyle w:val="JuHArticle"/>
      </w:pPr>
      <w:r>
        <w:t>Articolul 598</w:t>
      </w:r>
    </w:p>
    <w:p w:rsidR="0055665C" w:rsidRPr="00857E57" w:rsidRDefault="008E6B2D" w:rsidP="00857E57">
      <w:pPr>
        <w:pStyle w:val="JuHArticle"/>
        <w:rPr>
          <w:rFonts w:eastAsia="Times New Roman"/>
        </w:rPr>
      </w:pPr>
      <w:r>
        <w:t>Contestația la executare</w:t>
      </w:r>
    </w:p>
    <w:p w:rsidR="0055665C" w:rsidRPr="00857E57" w:rsidRDefault="008E6B2D" w:rsidP="00857E57">
      <w:pPr>
        <w:pStyle w:val="JuQuot"/>
        <w:ind w:firstLine="0"/>
      </w:pPr>
      <w:r>
        <w:t>„(1) Contestația împotriva executării hotărârii penale se poate face în următoarele cazuri:</w:t>
      </w:r>
    </w:p>
    <w:p w:rsidR="0055665C" w:rsidRPr="00857E57" w:rsidRDefault="008E6B2D" w:rsidP="00857E57">
      <w:pPr>
        <w:pStyle w:val="JuQuot"/>
      </w:pPr>
      <w:r>
        <w:t>[...]</w:t>
      </w:r>
    </w:p>
    <w:p w:rsidR="0055665C" w:rsidRPr="00857E57" w:rsidRDefault="008E6B2D" w:rsidP="00857E57">
      <w:pPr>
        <w:pStyle w:val="JuQuot"/>
      </w:pPr>
      <w:r>
        <w:t>(c) când se ivește vreo nelămurire cu privire la hotărârea care se execută sau vreo împiedicare la executare;</w:t>
      </w:r>
    </w:p>
    <w:p w:rsidR="0055665C" w:rsidRPr="00857E57" w:rsidRDefault="008E6B2D" w:rsidP="00857E57">
      <w:pPr>
        <w:pStyle w:val="JuQuot"/>
        <w:ind w:left="0" w:firstLine="425"/>
      </w:pPr>
      <w:r>
        <w:t>[...]”</w:t>
      </w:r>
    </w:p>
    <w:p w:rsidR="0055665C" w:rsidRPr="00857E57" w:rsidRDefault="008E6B2D" w:rsidP="00857E57">
      <w:pPr>
        <w:pStyle w:val="JuHA"/>
      </w:pPr>
      <w:r>
        <w:t>Alte dispoziții legale relevante din Legea nr. 302/2004, referitoare la executarea mandatului european și măsura arestării în vederea predării</w:t>
      </w:r>
    </w:p>
    <w:p w:rsidR="0055665C" w:rsidRPr="00857E57" w:rsidRDefault="000E6C59" w:rsidP="00857E57">
      <w:pPr>
        <w:pStyle w:val="JuPara"/>
      </w:pPr>
      <w:fldSimple w:instr=" SEQ level0 \*arabic \* MERGEFORMAT ">
        <w:bookmarkStart w:id="42" w:name="paragraph00050"/>
        <w:r w:rsidR="00495766">
          <w:rPr>
            <w:noProof/>
          </w:rPr>
          <w:t>60</w:t>
        </w:r>
        <w:bookmarkEnd w:id="42"/>
      </w:fldSimple>
      <w:r w:rsidR="008E6B2D">
        <w:t>. Art. 104, care privește procedura de executare a mandatului european de arestare, prevede că durata arestării în vederea predării persoanei extrădate, până la predarea efectivă către statul membru emitent, nu poate depăși 180 de zile.</w:t>
      </w:r>
    </w:p>
    <w:p w:rsidR="0055665C" w:rsidRPr="00857E57" w:rsidRDefault="000E6C59" w:rsidP="00857E57">
      <w:pPr>
        <w:pStyle w:val="JuPara"/>
      </w:pPr>
      <w:fldSimple w:instr=" SEQ level0 \*arabic \* MERGEFORMAT ">
        <w:bookmarkStart w:id="43" w:name="paragraph00051"/>
        <w:r w:rsidR="00495766">
          <w:rPr>
            <w:noProof/>
          </w:rPr>
          <w:t>61</w:t>
        </w:r>
        <w:bookmarkEnd w:id="43"/>
      </w:fldSimple>
      <w:r w:rsidR="008E6B2D">
        <w:t>. Art. 113 prevede că, în cazul în care persoana extrădată nu este predată în termenul stabilit, se va proceda la punerea sa în libertate, fără ca acest lucru să constituie un motiv de refuz al executării unui mandat european de arestare, bazat pe aceleași fapte.</w:t>
      </w:r>
    </w:p>
    <w:p w:rsidR="0055665C" w:rsidRPr="00857E57" w:rsidRDefault="008E6B2D" w:rsidP="00857E57">
      <w:pPr>
        <w:pStyle w:val="JuHIRoman"/>
      </w:pPr>
      <w:r>
        <w:t>UNIUNEA EUROPEANĂ</w:t>
      </w:r>
    </w:p>
    <w:p w:rsidR="0055665C" w:rsidRPr="00857E57" w:rsidRDefault="008E6B2D" w:rsidP="00857E57">
      <w:pPr>
        <w:pStyle w:val="JuHA"/>
      </w:pPr>
      <w:r>
        <w:t>Decizia-cadru 2002/584/JAI a Consiliului din 13 iunie 2002 privind mandatul european de arestare și procedurile de predare între statele membre</w:t>
      </w:r>
    </w:p>
    <w:p w:rsidR="0055665C" w:rsidRPr="00857E57" w:rsidRDefault="000E6C59" w:rsidP="00857E57">
      <w:pPr>
        <w:pStyle w:val="JuPara"/>
      </w:pPr>
      <w:fldSimple w:instr=" SEQ level0 \*arabic \* MERGEFORMAT ">
        <w:r w:rsidR="00495766">
          <w:rPr>
            <w:noProof/>
          </w:rPr>
          <w:t>62</w:t>
        </w:r>
      </w:fldSimple>
      <w:r w:rsidR="008E6B2D">
        <w:t>. Dispozițiile relevante ale deciziei-cadru se citesc după cum urmează:</w:t>
      </w:r>
    </w:p>
    <w:p w:rsidR="0055665C" w:rsidRPr="00857E57" w:rsidRDefault="008E6B2D" w:rsidP="00857E57">
      <w:pPr>
        <w:pStyle w:val="JuHArticle"/>
      </w:pPr>
      <w:r>
        <w:lastRenderedPageBreak/>
        <w:t>Articolul 23</w:t>
      </w:r>
    </w:p>
    <w:p w:rsidR="0055665C" w:rsidRPr="00857E57" w:rsidRDefault="008E6B2D" w:rsidP="00857E57">
      <w:pPr>
        <w:pStyle w:val="JuHArticle"/>
      </w:pPr>
      <w:r>
        <w:t>Termenul pentru predarea persoanei</w:t>
      </w:r>
    </w:p>
    <w:p w:rsidR="0055665C" w:rsidRPr="00857E57" w:rsidRDefault="008E6B2D" w:rsidP="00857E57">
      <w:pPr>
        <w:pStyle w:val="JuQuot"/>
        <w:ind w:firstLine="0"/>
      </w:pPr>
      <w:r>
        <w:t>„(1) Persoana căutată este predată în cel mai scurt timp, la o dată convenită între autoritățile implicate.</w:t>
      </w:r>
    </w:p>
    <w:p w:rsidR="0055665C" w:rsidRPr="00857E57" w:rsidRDefault="008E6B2D" w:rsidP="00857E57">
      <w:pPr>
        <w:pStyle w:val="JuQuot"/>
      </w:pPr>
      <w:r>
        <w:t>(2) Aceasta este predată în termen de cel mult 10 zile de la data deciziei finale privind executarea mandatului european de arestare.</w:t>
      </w:r>
    </w:p>
    <w:p w:rsidR="0055665C" w:rsidRPr="00857E57" w:rsidRDefault="008E6B2D" w:rsidP="00857E57">
      <w:pPr>
        <w:pStyle w:val="JuQuot"/>
      </w:pPr>
      <w:r>
        <w:t>(3) În cazul în care predarea persoanei căutate în termenul prevăzut la alineatul (2) este împiedicată de un caz de forță majoră în oricare dintre statele membre, autoritatea judiciară de executare și autoritatea judiciară emitentă iau imediat legătura una cu cealaltă și convin asupra unei noi date a predării. În acest caz, predarea are loc în termen de zece zile de la noua dată convenită.</w:t>
      </w:r>
    </w:p>
    <w:p w:rsidR="0055665C" w:rsidRPr="00857E57" w:rsidRDefault="008E6B2D" w:rsidP="00857E57">
      <w:pPr>
        <w:pStyle w:val="JuQuot"/>
      </w:pPr>
      <w:r>
        <w:t>(4) În mod excepțional, predarea poate fi suspendată temporar din motive umanitare serioase, cum ar fi existența unor motive valabile pentru a crede că aceasta ar pune în mod evident în pericol viața sau sănătatea persoanei căutate. Executarea mandatului european de arestare are loc de îndată ce aceste motive au încetat să existe. Autoritatea judiciară de executare informează de îndată autoritatea judiciară emitentă despre acest aspect și convine cu aceasta asupra unei noi date a predării. În acest caz, predarea are loc în termen de zece zile de la noua dată convenită.</w:t>
      </w:r>
    </w:p>
    <w:p w:rsidR="0055665C" w:rsidRPr="00857E57" w:rsidRDefault="008E6B2D" w:rsidP="00857E57">
      <w:pPr>
        <w:pStyle w:val="JuQuot"/>
      </w:pPr>
      <w:r>
        <w:t>(5) La expirarea termenelor prevăzute la alineatele (2) – (4), în cazul în care persoana se mai află în detenție, ea este pusă în libertate.”</w:t>
      </w:r>
    </w:p>
    <w:p w:rsidR="0055665C" w:rsidRPr="00857E57" w:rsidRDefault="008E6B2D" w:rsidP="00857E57">
      <w:pPr>
        <w:pStyle w:val="JuHA"/>
      </w:pPr>
      <w:r>
        <w:t>Vilkas (C‑640/15, EU:C:2017:39)</w:t>
      </w:r>
    </w:p>
    <w:p w:rsidR="0055665C" w:rsidRPr="00857E57" w:rsidRDefault="000E6C59" w:rsidP="00857E57">
      <w:pPr>
        <w:pStyle w:val="JuPara"/>
      </w:pPr>
      <w:fldSimple w:instr=" SEQ level0 \*arabic \* MERGEFORMAT ">
        <w:bookmarkStart w:id="44" w:name="paragraph00062"/>
        <w:r w:rsidR="00495766">
          <w:rPr>
            <w:noProof/>
          </w:rPr>
          <w:t>63</w:t>
        </w:r>
        <w:bookmarkEnd w:id="44"/>
      </w:fldSimple>
      <w:r w:rsidR="008E6B2D">
        <w:t xml:space="preserve">. Punctele relevante din hotărârea pronunțată de CJUE la 25 ianuarie 2017 în cauza </w:t>
      </w:r>
      <w:r w:rsidR="008E6B2D">
        <w:rPr>
          <w:i/>
        </w:rPr>
        <w:t>Vilkas</w:t>
      </w:r>
      <w:r w:rsidR="008E6B2D">
        <w:t xml:space="preserve"> sunt următoarele:</w:t>
      </w:r>
    </w:p>
    <w:p w:rsidR="0055665C" w:rsidRPr="00857E57" w:rsidRDefault="008E6B2D" w:rsidP="00857E57">
      <w:pPr>
        <w:pStyle w:val="JuQuot"/>
        <w:rPr>
          <w:rFonts w:cstheme="minorHAnsi"/>
        </w:rPr>
      </w:pPr>
      <w:r>
        <w:t xml:space="preserve">„Or, rezultă dintr‑o jurisprudență constantă, stabilită în diferite domenii ale dreptului Uniunii, că noțiunea de forță majoră trebuie să fie înțeleasă în sensul de împrejurări străine celui care le invocă, neobișnuite și imprevizibile, ale căror consecințe nu ar fi putut să fie evitate, în pofida diligenței manifestate (a se vedea în acest sens Hotărârea din 18 decembrie 2007, </w:t>
      </w:r>
      <w:r>
        <w:rPr>
          <w:u w:val="single"/>
        </w:rPr>
        <w:t>Société Pipeline Méditerranée et Rhône</w:t>
      </w:r>
      <w:r>
        <w:t xml:space="preserve">, C‑314/06, EU:C:2007:817, punctul 23, Hotărârea din 18 martie 2010, </w:t>
      </w:r>
      <w:r>
        <w:rPr>
          <w:u w:val="single"/>
        </w:rPr>
        <w:t>SGS Belgium și alții</w:t>
      </w:r>
      <w:r>
        <w:t xml:space="preserve">, C‑218/09, EU:C:2010:152, punctul 44, și Hotărârea din 18 iulie 2013, </w:t>
      </w:r>
      <w:r>
        <w:rPr>
          <w:u w:val="single"/>
        </w:rPr>
        <w:t>Eurofit</w:t>
      </w:r>
      <w:r>
        <w:t>, C‑99/12, EU:C:2013:487, punctul 31).</w:t>
      </w:r>
    </w:p>
    <w:p w:rsidR="0055665C" w:rsidRPr="00857E57" w:rsidRDefault="008E6B2D" w:rsidP="00857E57">
      <w:pPr>
        <w:pStyle w:val="JuQuot"/>
      </w:pPr>
      <w:r>
        <w:t>[...]</w:t>
      </w:r>
    </w:p>
    <w:p w:rsidR="0055665C" w:rsidRPr="00857E57" w:rsidRDefault="008E6B2D" w:rsidP="00857E57">
      <w:pPr>
        <w:pStyle w:val="JuQuot"/>
      </w:pPr>
      <w:r>
        <w:t xml:space="preserve">Cu toate acestea, potrivit de asemenea unei jurisprudențe constante, întrucât noțiunea de forță majoră nu are un conținut identic în diversele domenii de aplicare ale dreptului Uniunii, semnificația acesteia trebuie să fie determinată în funcție de cadrul legal în care este destinată să își producă efectele (Hotărârea din 18 decembrie 2007, </w:t>
      </w:r>
      <w:r>
        <w:rPr>
          <w:u w:val="single"/>
        </w:rPr>
        <w:t>Société Pipeline Méditerranée et Rhône</w:t>
      </w:r>
      <w:r>
        <w:t xml:space="preserve">, C‑314/06, EU:C:2007:817, punctul 25, Hotărârea din 18 martie 2010, </w:t>
      </w:r>
      <w:r>
        <w:rPr>
          <w:u w:val="single"/>
        </w:rPr>
        <w:t>SGS Belgium și alții</w:t>
      </w:r>
      <w:r>
        <w:t xml:space="preserve">, C‑218/09, EU:C:2010:152, punctul 45, și Hotărârea din 18 iulie 2013, </w:t>
      </w:r>
      <w:r>
        <w:rPr>
          <w:u w:val="single"/>
        </w:rPr>
        <w:t>Eurofit</w:t>
      </w:r>
      <w:r>
        <w:t>, C‑99/12, EU:C:2013:487, punctul 32).</w:t>
      </w:r>
    </w:p>
    <w:p w:rsidR="0055665C" w:rsidRPr="00857E57" w:rsidRDefault="008E6B2D" w:rsidP="00857E57">
      <w:pPr>
        <w:pStyle w:val="JuQuot"/>
      </w:pPr>
      <w:r>
        <w:t>[...]</w:t>
      </w:r>
    </w:p>
    <w:p w:rsidR="0055665C" w:rsidRPr="00857E57" w:rsidRDefault="008E6B2D" w:rsidP="00857E57">
      <w:pPr>
        <w:pStyle w:val="JuQuot"/>
      </w:pPr>
      <w:r>
        <w:t xml:space="preserve">Articolul 23 alineatul (3) din decizia‑cadru trebuie interpretat în sensul că, într‑o situație precum cea în discuție în litigiul principal, autoritatea judiciară de executare și autoritatea judiciară emitentă convin asupra unei noi date a predării, în temeiul acestei dispoziții, în cazul în care predarea persoanei căutate, în termen de 10 zile de la prima nouă dată a predării convenită în temeiul dispoziției menționate, este împiedicată ca </w:t>
      </w:r>
      <w:r>
        <w:lastRenderedPageBreak/>
        <w:t>urmare a rezistenței opuse în mod repetat de această persoană, cu condiția ca, din cauza unor împrejurări excepționale, această rezistență să nu fi putut fi prevăzută de respectivele autorități, iar consecințele acesteia asupra predării să nu fi putut fi evitate, în pofida diligenței manifestate de autoritățile amintite, aspect a cărui verificare este de competența instanței de trimitere.”</w:t>
      </w:r>
    </w:p>
    <w:p w:rsidR="0055665C" w:rsidRPr="00857E57" w:rsidRDefault="008E6B2D" w:rsidP="00857E57">
      <w:pPr>
        <w:pStyle w:val="JuHIRoman"/>
      </w:pPr>
      <w:r>
        <w:t>STATELE UNITE ALE AMERICII</w:t>
      </w:r>
    </w:p>
    <w:bookmarkStart w:id="45" w:name="MatthewsUSSentencingGuidelines"/>
    <w:p w:rsidR="0055665C" w:rsidRPr="00857E57" w:rsidRDefault="008E6B2D" w:rsidP="00857E57">
      <w:pPr>
        <w:pStyle w:val="JuPara"/>
      </w:pPr>
      <w:r w:rsidRPr="00857E57">
        <w:fldChar w:fldCharType="begin"/>
      </w:r>
      <w:r w:rsidRPr="00857E57">
        <w:instrText xml:space="preserve"> SEQ level0 \*arabic \* MERGEFORMAT </w:instrText>
      </w:r>
      <w:r w:rsidRPr="00857E57">
        <w:fldChar w:fldCharType="separate"/>
      </w:r>
      <w:r w:rsidR="00495766">
        <w:rPr>
          <w:noProof/>
        </w:rPr>
        <w:t>64</w:t>
      </w:r>
      <w:r w:rsidRPr="00857E57">
        <w:fldChar w:fldCharType="end"/>
      </w:r>
      <w:bookmarkEnd w:id="45"/>
      <w:r>
        <w:t xml:space="preserve">. Orientările relevante privind stabilirea pedepselor în SUA, mecanismele pentru solicitarea grațierii sau a reducerii pedepsei, precum și informațiile statistice privind aplicarea pedepsei detențiunii pe viață în sistemul federal sunt prezentate în hotărârea în cauza </w:t>
      </w:r>
      <w:r>
        <w:rPr>
          <w:i/>
        </w:rPr>
        <w:t>Sanchez-Sanchez împotriva Regatului Unit</w:t>
      </w:r>
      <w:r>
        <w:t xml:space="preserve"> [(MC), nr. 22854/20, pct. 57-63, 3 noiembrie 2022].</w:t>
      </w:r>
    </w:p>
    <w:p w:rsidR="0055665C" w:rsidRPr="00857E57" w:rsidRDefault="008E6B2D" w:rsidP="00857E57">
      <w:pPr>
        <w:pStyle w:val="JuHHead"/>
      </w:pPr>
      <w:r>
        <w:t>ÎN DREPT</w:t>
      </w:r>
    </w:p>
    <w:p w:rsidR="0055665C" w:rsidRPr="00857E57" w:rsidRDefault="008E6B2D" w:rsidP="00857E57">
      <w:pPr>
        <w:pStyle w:val="JuHIRoman"/>
      </w:pPr>
      <w:r>
        <w:t>CU PRIVIRE LA CONEXAREA CERERILOR</w:t>
      </w:r>
    </w:p>
    <w:p w:rsidR="0055665C" w:rsidRPr="00857E57" w:rsidRDefault="00495766" w:rsidP="00857E57">
      <w:pPr>
        <w:pStyle w:val="JuPara"/>
      </w:pPr>
      <w:r>
        <w:fldChar w:fldCharType="begin"/>
      </w:r>
      <w:r>
        <w:instrText xml:space="preserve"> SEQ level0 \*arabic </w:instrText>
      </w:r>
      <w:r>
        <w:fldChar w:fldCharType="separate"/>
      </w:r>
      <w:r>
        <w:rPr>
          <w:noProof/>
        </w:rPr>
        <w:t>65</w:t>
      </w:r>
      <w:r>
        <w:fldChar w:fldCharType="end"/>
      </w:r>
      <w:r w:rsidR="008E6B2D">
        <w:t>. Având în vedere obiectul similar al cererilor, Curtea consideră că este necesar să dispună conexarea acestora (art. 42 § 1 din Regulamentul Curții) și să procedeze la examinarea lor simultană, în vederea pronunțării unei singure hotărâri.</w:t>
      </w:r>
    </w:p>
    <w:p w:rsidR="0055665C" w:rsidRPr="00857E57" w:rsidRDefault="008E6B2D" w:rsidP="00857E57">
      <w:pPr>
        <w:pStyle w:val="JuHIRoman"/>
      </w:pPr>
      <w:r>
        <w:t>Domeniul de aplicare al cauzei</w:t>
      </w:r>
    </w:p>
    <w:p w:rsidR="0055665C" w:rsidRPr="00857E57" w:rsidRDefault="000E6C59" w:rsidP="00857E57">
      <w:pPr>
        <w:pStyle w:val="JuPara"/>
      </w:pPr>
      <w:fldSimple w:instr=" SEQ level0 \*arabic \* MERGEFORMAT ">
        <w:bookmarkStart w:id="46" w:name="paragraph00066"/>
        <w:r w:rsidR="00495766">
          <w:rPr>
            <w:noProof/>
          </w:rPr>
          <w:t>66</w:t>
        </w:r>
        <w:bookmarkEnd w:id="46"/>
      </w:fldSimple>
      <w:r w:rsidR="008E6B2D">
        <w:t>. Curtea observă că, după informarea Guvernului cu privire la cerere, cel de-al doilea reclamant a formulat noi capete de cerere, în esență în temeiul art. 3 și art. 5 din Convenție, cu privire la riscul de a i se aplica o pedeapsă extrem de disproporționată în SUA și la legalitatea celui de-al doilea mandat de arestare, emis la 15 decembrie 2022 (a se vedea supra, pct. </w:t>
      </w:r>
      <w:r w:rsidR="008E6B2D" w:rsidRPr="00857E57">
        <w:rPr>
          <w:rFonts w:eastAsia="Times New Roman"/>
        </w:rPr>
        <w:fldChar w:fldCharType="begin"/>
      </w:r>
      <w:r w:rsidR="008E6B2D" w:rsidRPr="00857E57">
        <w:rPr>
          <w:rFonts w:eastAsia="Times New Roman"/>
        </w:rPr>
        <w:instrText xml:space="preserve"> REF Matthews2ndarrestwarrant \h </w:instrText>
      </w:r>
      <w:r w:rsidR="008E6B2D" w:rsidRPr="00857E57">
        <w:rPr>
          <w:rFonts w:eastAsia="Times New Roman"/>
        </w:rPr>
      </w:r>
      <w:r w:rsidR="008E6B2D" w:rsidRPr="00857E57">
        <w:rPr>
          <w:rFonts w:eastAsia="Times New Roman"/>
        </w:rPr>
        <w:fldChar w:fldCharType="separate"/>
      </w:r>
      <w:r w:rsidR="00495766">
        <w:rPr>
          <w:noProof/>
        </w:rPr>
        <w:t>51</w:t>
      </w:r>
      <w:r w:rsidR="008E6B2D" w:rsidRPr="00857E57">
        <w:rPr>
          <w:rFonts w:eastAsia="Times New Roman"/>
        </w:rPr>
        <w:fldChar w:fldCharType="end"/>
      </w:r>
      <w:r w:rsidR="008E6B2D">
        <w:t xml:space="preserve">). În opinia Curții, aceste capete de cerere noi sunt strâns legate de capetele de cerere formulate de acesta inițial sau constituie o dezvoltare a acestora din urmă, pe baza evoluției faptelor din cauză [a se vedea </w:t>
      </w:r>
      <w:bookmarkStart w:id="47" w:name="_cl34743"/>
      <w:r w:rsidR="008E6B2D">
        <w:rPr>
          <w:i/>
        </w:rPr>
        <w:t>Radomilja și alții împotriva Croației</w:t>
      </w:r>
      <w:bookmarkEnd w:id="47"/>
      <w:r w:rsidR="008E6B2D">
        <w:t xml:space="preserve"> (MC), nr. 37685/10 și 22768/12, pct. 121-122, 20 martie 2018]. Pentru aceste motive, Curtea consideră că acestea intră în domeniul de aplicare al prezentei cauze și le va examina în continuare.</w:t>
      </w:r>
    </w:p>
    <w:p w:rsidR="0055665C" w:rsidRPr="00857E57" w:rsidRDefault="000E6C59" w:rsidP="00857E57">
      <w:pPr>
        <w:pStyle w:val="JuPara"/>
      </w:pPr>
      <w:fldSimple w:instr=" SEQ level0 \*arabic \* MERGEFORMAT ">
        <w:bookmarkStart w:id="48" w:name="paragraph00067"/>
        <w:r w:rsidR="00495766">
          <w:rPr>
            <w:noProof/>
          </w:rPr>
          <w:t>67</w:t>
        </w:r>
        <w:bookmarkEnd w:id="48"/>
      </w:fldSimple>
      <w:r w:rsidR="008E6B2D">
        <w:t xml:space="preserve">. Cu toate acestea, în ceea ce privește capetele de cerere suplimentare formulate de cel de-al doilea reclamant, printre altele, cu privire la deficiențele operațiunii sub acoperire care a condus la arestarea acestuia și la imposibilitatea de a contesta probele relevante (art. 6 din Convenție), care, având în vedere obiectul lor și data la care au fost depuse, au fost înregistrate separat și li s-a atribuit un număr de referință diferit (nr. 12870/23), Curtea observă că acestea nu constituie o dezvoltare a capetelor de cerere formulate în speță și consideră că nu este oportun să le examineze în contextul prezentei </w:t>
      </w:r>
      <w:r w:rsidR="008E6B2D">
        <w:lastRenderedPageBreak/>
        <w:t xml:space="preserve">cauze. Întrucât cererii formulate ulterior de primul reclamant (nr. 37211/22) i se aplică motive similare, Curtea respinge, în conformitate cu art. 42 § 1 din Regulamentul Curții, cererile reclamanților de conexare a prezentei cauze cu cererile sus-menționate, formulate de aceștia ulterior (a se vedea, </w:t>
      </w:r>
      <w:r w:rsidR="008E6B2D">
        <w:rPr>
          <w:i/>
        </w:rPr>
        <w:t>mutatis mutandis</w:t>
      </w:r>
      <w:r w:rsidR="008E6B2D">
        <w:t xml:space="preserve">, </w:t>
      </w:r>
      <w:r w:rsidR="008E6B2D">
        <w:rPr>
          <w:i/>
        </w:rPr>
        <w:t>Vadim Melnik împotriva Ucrainei</w:t>
      </w:r>
      <w:r w:rsidR="008E6B2D">
        <w:t xml:space="preserve">, nr. 62209/17 și 50933/18, pct. 64, 15 septembrie 2022, și </w:t>
      </w:r>
      <w:r w:rsidR="008E6B2D">
        <w:rPr>
          <w:i/>
        </w:rPr>
        <w:t>Ali Rıza și alții împotriva Turciei</w:t>
      </w:r>
      <w:r w:rsidR="008E6B2D">
        <w:t>, nr. 30226/10 și alte 4 cereri, pct. 142, 28 ianuarie 2020).</w:t>
      </w:r>
    </w:p>
    <w:p w:rsidR="0055665C" w:rsidRPr="00857E57" w:rsidRDefault="008E6B2D" w:rsidP="00857E57">
      <w:pPr>
        <w:pStyle w:val="JuHIRoman"/>
      </w:pPr>
      <w:r>
        <w:t>EXCEPȚIA PRELIMINARĂ RIDICATĂ DE GUVERN</w:t>
      </w:r>
    </w:p>
    <w:bookmarkStart w:id="49" w:name="MatthewsGvtpreliminaryexception"/>
    <w:p w:rsidR="0055665C" w:rsidRPr="00857E57" w:rsidRDefault="008E6B2D" w:rsidP="00857E57">
      <w:pPr>
        <w:pStyle w:val="JuPara"/>
      </w:pPr>
      <w:r w:rsidRPr="00857E57">
        <w:fldChar w:fldCharType="begin"/>
      </w:r>
      <w:r w:rsidRPr="00857E57">
        <w:instrText xml:space="preserve"> SEQ level0 \*arabic \* MERGEFORMAT </w:instrText>
      </w:r>
      <w:r w:rsidRPr="00857E57">
        <w:fldChar w:fldCharType="separate"/>
      </w:r>
      <w:r w:rsidR="00495766">
        <w:rPr>
          <w:noProof/>
        </w:rPr>
        <w:t>68</w:t>
      </w:r>
      <w:r w:rsidRPr="00857E57">
        <w:fldChar w:fldCharType="end"/>
      </w:r>
      <w:bookmarkEnd w:id="49"/>
      <w:r>
        <w:t>. Guvernul a criticat faptul că, la scurt timp după încetarea indicării de către Curte, la 12 decembrie 2022, a măsurii provizorii în privința reclamanților, aceștia s-au sustras de la executarea hotărârilor din 15 decembrie 2022 ale curții de apel, prin care s-a dispus din nou arestarea lor în vederea predării către autoritățile americane (a se vedea supra, pct. </w:t>
      </w:r>
      <w:r w:rsidRPr="00857E57">
        <w:fldChar w:fldCharType="begin"/>
      </w:r>
      <w:r w:rsidRPr="00857E57">
        <w:instrText xml:space="preserve"> REF Matthewsappsfled15122022 \h </w:instrText>
      </w:r>
      <w:r w:rsidRPr="00857E57">
        <w:fldChar w:fldCharType="separate"/>
      </w:r>
      <w:r w:rsidR="00495766">
        <w:rPr>
          <w:rFonts w:cstheme="minorHAnsi"/>
          <w:noProof/>
        </w:rPr>
        <w:t>53</w:t>
      </w:r>
      <w:r w:rsidRPr="00857E57">
        <w:fldChar w:fldCharType="end"/>
      </w:r>
      <w:r>
        <w:t>).</w:t>
      </w:r>
    </w:p>
    <w:bookmarkStart w:id="50" w:name="MatthewsGvtabusive"/>
    <w:p w:rsidR="0055665C" w:rsidRPr="00857E57" w:rsidRDefault="008E6B2D" w:rsidP="00857E57">
      <w:pPr>
        <w:pStyle w:val="JuPara"/>
      </w:pPr>
      <w:r w:rsidRPr="00857E57">
        <w:fldChar w:fldCharType="begin"/>
      </w:r>
      <w:r w:rsidRPr="00857E57">
        <w:instrText xml:space="preserve"> SEQ level0 \*arabic \* MERGEFORMAT </w:instrText>
      </w:r>
      <w:r w:rsidRPr="00857E57">
        <w:fldChar w:fldCharType="separate"/>
      </w:r>
      <w:r w:rsidR="00495766">
        <w:rPr>
          <w:noProof/>
        </w:rPr>
        <w:t>69</w:t>
      </w:r>
      <w:r w:rsidRPr="00857E57">
        <w:fldChar w:fldCharType="end"/>
      </w:r>
      <w:bookmarkEnd w:id="50"/>
      <w:r>
        <w:t>. În ceea ce îl privește pe primul reclamant, subliniind că un astfel de „comportament lipsit de scrupule”, care a avut ca rezultat întreruperea oricărei legături cu acesta, indica lipsa disponibilității sale de a coopera cu autoritățile naționale și Curtea și de a participa efectiv la procedură (art. 44A și 44C § 1 din Regulamentul Curții), Guvernul a solicitat Curții să examineze acest comportament din perspectiva exercitării abuzive a dreptului de a introduce o cerere individuală [art. 35 § 3 lit. a) din Convenție]. În ceea ce îl privește pe cel de-al doilea reclamant, având în vedere că avocatul acestuia a trimis o scrisoare „dificil de citit și înțeles”, în care afirma că persoana în cauză fusese arestată la 16 ianuarie 2023, o informație inexactă, Guvernul a solicitat Curții să examineze aceste „informații înșelătoare” din perspectiva art. 36 § 4 lit. b) din Regulamentul Curții și ca fiind o exercitare abuzivă a dreptului de a introduce o cerere individuală [art. 35 § 3 lit. a) din Convenție].</w:t>
      </w:r>
    </w:p>
    <w:p w:rsidR="0055665C" w:rsidRPr="00857E57" w:rsidRDefault="000E6C59" w:rsidP="00857E57">
      <w:pPr>
        <w:pStyle w:val="JuPara"/>
      </w:pPr>
      <w:fldSimple w:instr=" SEQ level0 \*arabic \* MERGEFORMAT ">
        <w:r w:rsidR="00495766">
          <w:rPr>
            <w:noProof/>
          </w:rPr>
          <w:t>70</w:t>
        </w:r>
      </w:fldSimple>
      <w:r w:rsidR="008E6B2D">
        <w:t xml:space="preserve">. Avocatul primului reclamant a precizat că, deși s-a întâlnit ultima dată cu clientul său la 14 decembrie 2022, acesta din urmă i-a confirmat, la 5 aprilie 2023, unui alt reprezentant numit în mod corespunzător că dorește să își mențină cererea în fața Curții și să fie reprezentat de același avocat ca înainte. În plus, făcând referire la </w:t>
      </w:r>
      <w:bookmarkStart w:id="51" w:name="_cl35380"/>
      <w:r w:rsidR="008E6B2D">
        <w:rPr>
          <w:i/>
        </w:rPr>
        <w:t>S.A.S. împotriva Franței</w:t>
      </w:r>
      <w:bookmarkEnd w:id="51"/>
      <w:r w:rsidR="008E6B2D">
        <w:t xml:space="preserve"> [(MC), nr. 43835/11, pct. 67, CEDO 2014 (extrase)], avocatul primului reclamant a susținut că faptul că nu s-a predat autorităților naționale nu se încadrează în cele patru categorii identificate în cauza respectivă ca fiind situații în care Curtea aplică art. 35 § 3 lit. a) din Convenție și a adăugat că acesta a respectat cererile Curții și termenele stabilite de aceasta. Avocatul celui de-al doilea reclamant - care, de asemenea, a prezentat recent o procură în favoarea sa, datată 7 decembrie 2022, prin care a fost împuternicit să confirme dorința clientului său de a menține cererea sa în fața Curții - a considerat că Guvernul nu avea niciun motiv să interpreteze astfel scrisoarea lui din 16 ianuarie 2023, în care acesta furnizase informații exacte cu privire la arestarea celui de-al doilea reclamant, dispusă la 15 decembrie 2022.</w:t>
      </w:r>
    </w:p>
    <w:p w:rsidR="0055665C" w:rsidRPr="00857E57" w:rsidRDefault="000E6C59" w:rsidP="00857E57">
      <w:pPr>
        <w:pStyle w:val="JuPara"/>
      </w:pPr>
      <w:fldSimple w:instr=" SEQ level0 \*arabic \* MERGEFORMAT ">
        <w:r w:rsidR="00495766">
          <w:rPr>
            <w:noProof/>
          </w:rPr>
          <w:t>71</w:t>
        </w:r>
      </w:fldSimple>
      <w:r w:rsidR="008E6B2D">
        <w:t xml:space="preserve">. Luând act de informațiile furnizate de Guvern, Curtea constată, în primul rând, pe baza informațiilor furnizate de reclamanți, că, deși aceștia s-au sustras de la executarea hotărârilor curții de apel din 15 decembrie 2022, prin care s-a dispus din nou arestarea lor, aceștia și-au demonstrat în mod clar dorința de a-și menține cererea în fața Curții [a se vedea, a contrario, </w:t>
      </w:r>
      <w:bookmarkStart w:id="52" w:name="_cl38469"/>
      <w:r w:rsidR="008E6B2D">
        <w:rPr>
          <w:i/>
        </w:rPr>
        <w:t>V.M. și alții împotriva Belgiei</w:t>
      </w:r>
      <w:bookmarkEnd w:id="52"/>
      <w:r w:rsidR="008E6B2D">
        <w:t xml:space="preserve"> (radiere) (MC), nr. 60125/11, pct. 36, 17 noiembrie 2016]. În al doilea rând, în ceea ce privește excepția preliminară ridicată de Guvern, Curtea reiterează faptul că punerea în aplicare a art. 35 § 3 lit. a) din Convenție este o „măsură procedurală excepțională” și că, pentru a se stabili o astfel de exercitare „abuzivă” de către reclamant, aceasta impune nu numai existența unei vădite incompatibilități cu scopul dreptului de a introduce o cerere, ci și a unui obstacol în calea bunei funcționări a Curții sau a bunei desfășurări a procedurii în fața sa (a se vedea </w:t>
      </w:r>
      <w:r w:rsidR="008E6B2D">
        <w:rPr>
          <w:i/>
        </w:rPr>
        <w:t>S.A.S. împotriva Franței,</w:t>
      </w:r>
      <w:r w:rsidR="008E6B2D">
        <w:t xml:space="preserve"> citată anterior, pct. 66).</w:t>
      </w:r>
    </w:p>
    <w:p w:rsidR="0055665C" w:rsidRPr="00857E57" w:rsidRDefault="000E6C59" w:rsidP="00857E57">
      <w:pPr>
        <w:pStyle w:val="JuPara"/>
      </w:pPr>
      <w:fldSimple w:instr=" SEQ level0 \*arabic \* MERGEFORMAT ">
        <w:r w:rsidR="00495766">
          <w:rPr>
            <w:noProof/>
          </w:rPr>
          <w:t>72</w:t>
        </w:r>
      </w:fldSimple>
      <w:r w:rsidR="008E6B2D">
        <w:t xml:space="preserve">. </w:t>
      </w:r>
      <w:r w:rsidR="008E6B2D">
        <w:rPr>
          <w:rFonts w:ascii="Times New Roman" w:hAnsi="Times New Roman"/>
        </w:rPr>
        <w:t>Curtea constată cu deosebită îngrijorare că, după ce au fost puși în libertate sub control judiciar, de către instanțele naționale, pentru a permite respectarea măsurilor provizorii indicate de Curte în temeiul art. 39 din Regulamentul Curții și în temeiul jurisprudenței Curții referitoare la art. 5 § 1, reclamanții – care sunt urmăriți de autoritățile americane pentru a fi judecați pentru acuzații foarte grave – au fugit pentru a se sustrage de la executarea hotărârii de extrădare. Totuși, un astfel de „comportament lipsit de scrupule”, la care a făcut referire Guvernul, nu intră sub incidența niciuneia dintre cele patru tipuri de situații rezumate de Curte în cauza sus-menționată (ibid., pct. 67). În special, conduita primului reclamant, în aceste circumstanțe, nu pare să indice o lipsă de cooperare cu Curtea, și, într-o măsură și mai mică, o exercitare abuzivă a dreptului de a introduce o cerere individuală, în sensul art. 35 § 3 lit. a) din Convenție. Informațiile prezentate de avocatul celui de-al doilea reclamant la 16 ianuarie 2023, în special în forma recunoscută chiar de Guvern (</w:t>
      </w:r>
      <w:r w:rsidR="008E6B2D">
        <w:t>a se vedea supra, pct. </w:t>
      </w:r>
      <w:r w:rsidR="008E6B2D" w:rsidRPr="00857E57">
        <w:fldChar w:fldCharType="begin"/>
      </w:r>
      <w:r w:rsidR="008E6B2D" w:rsidRPr="00857E57">
        <w:instrText xml:space="preserve"> REF MatthewsGvtabusive \h  \* MERGEFORMAT </w:instrText>
      </w:r>
      <w:r w:rsidR="008E6B2D" w:rsidRPr="00857E57">
        <w:fldChar w:fldCharType="separate"/>
      </w:r>
      <w:r w:rsidR="00495766">
        <w:t>69</w:t>
      </w:r>
      <w:r w:rsidR="008E6B2D" w:rsidRPr="00857E57">
        <w:fldChar w:fldCharType="end"/>
      </w:r>
      <w:r w:rsidR="008E6B2D">
        <w:t>)</w:t>
      </w:r>
      <w:r w:rsidR="008E6B2D">
        <w:rPr>
          <w:rFonts w:ascii="Times New Roman" w:hAnsi="Times New Roman"/>
        </w:rPr>
        <w:t>, nu pot fi interpretate fără echivoc drept informații relevante înșelătoare.</w:t>
      </w:r>
    </w:p>
    <w:p w:rsidR="0055665C" w:rsidRPr="00857E57" w:rsidRDefault="000E6C59" w:rsidP="00857E57">
      <w:pPr>
        <w:pStyle w:val="JuPara"/>
      </w:pPr>
      <w:fldSimple w:instr=" SEQ level0 \*arabic \* MERGEFORMAT ">
        <w:bookmarkStart w:id="53" w:name="paragraph00073"/>
        <w:r w:rsidR="00495766">
          <w:rPr>
            <w:noProof/>
          </w:rPr>
          <w:t>73</w:t>
        </w:r>
        <w:bookmarkEnd w:id="53"/>
      </w:fldSimple>
      <w:r w:rsidR="008E6B2D">
        <w:t>. În consecință, Curtea respinge excepția ridicată de Guvern.</w:t>
      </w:r>
    </w:p>
    <w:p w:rsidR="0055665C" w:rsidRPr="00857E57" w:rsidRDefault="008E6B2D" w:rsidP="00857E57">
      <w:pPr>
        <w:pStyle w:val="JuHIRoman"/>
      </w:pPr>
      <w:r>
        <w:t>CU PRIVIRE LA PRETINSA ÎNCĂLCARE A ART. 3 DIN CONVENȚIE</w:t>
      </w:r>
    </w:p>
    <w:p w:rsidR="0055665C" w:rsidRPr="00857E57" w:rsidRDefault="00495766" w:rsidP="00857E57">
      <w:pPr>
        <w:pStyle w:val="JuPara"/>
      </w:pPr>
      <w:r>
        <w:fldChar w:fldCharType="begin"/>
      </w:r>
      <w:r>
        <w:instrText xml:space="preserve"> SEQ level0 \*arabic </w:instrText>
      </w:r>
      <w:r>
        <w:fldChar w:fldCharType="separate"/>
      </w:r>
      <w:r>
        <w:rPr>
          <w:noProof/>
        </w:rPr>
        <w:t>74</w:t>
      </w:r>
      <w:r>
        <w:fldChar w:fldCharType="end"/>
      </w:r>
      <w:r w:rsidR="008E6B2D">
        <w:t>. Reclamanții s-au plâns că, din cauza riscului ca aceștia să fie condamnați la pedeapsa detențiunii pe viață fără posibilitatea liberării condiționate, extrădarea lor în SUA le-ar încălca drepturile prevăzute la art. 3 din Convenție, care se citește astfel:</w:t>
      </w:r>
    </w:p>
    <w:p w:rsidR="0055665C" w:rsidRPr="00857E57" w:rsidRDefault="008E6B2D" w:rsidP="00857E57">
      <w:pPr>
        <w:pStyle w:val="JuQuot"/>
      </w:pPr>
      <w:r>
        <w:t>„Nimeni nu poate fi supus torturii, nici pedepselor sau tratamentelor inumane ori degradante.”</w:t>
      </w:r>
    </w:p>
    <w:p w:rsidR="0055665C" w:rsidRPr="00857E57" w:rsidRDefault="000E6C59" w:rsidP="00857E57">
      <w:pPr>
        <w:pStyle w:val="JuPara"/>
      </w:pPr>
      <w:fldSimple w:instr=" SEQ level0 \*arabic \* MERGEFORMAT ">
        <w:r w:rsidR="00495766">
          <w:rPr>
            <w:noProof/>
          </w:rPr>
          <w:t>75</w:t>
        </w:r>
      </w:fldSimple>
      <w:r w:rsidR="008E6B2D">
        <w:t xml:space="preserve">. Pentru început, Curtea observă că măsura arestării reclamanților, în vederea predării lor, dispusă de curtea de apel la 15 decembrie 2022, nu a fost pusă în executare și că aceștia figurează pe lista cu persoane urmărite de </w:t>
      </w:r>
      <w:r w:rsidR="008E6B2D">
        <w:lastRenderedPageBreak/>
        <w:t>autorități (a se vedea supra, pct. </w:t>
      </w:r>
      <w:r w:rsidR="008E6B2D" w:rsidRPr="00857E57">
        <w:fldChar w:fldCharType="begin"/>
      </w:r>
      <w:r w:rsidR="008E6B2D" w:rsidRPr="00857E57">
        <w:instrText xml:space="preserve"> REF Matthews2ndarrestwarrant \h  \* CharFormat </w:instrText>
      </w:r>
      <w:r w:rsidR="008E6B2D" w:rsidRPr="00857E57">
        <w:fldChar w:fldCharType="separate"/>
      </w:r>
      <w:r w:rsidR="00495766">
        <w:t>51</w:t>
      </w:r>
      <w:r w:rsidR="008E6B2D" w:rsidRPr="00857E57">
        <w:fldChar w:fldCharType="end"/>
      </w:r>
      <w:r w:rsidR="008E6B2D">
        <w:t>-</w:t>
      </w:r>
      <w:r w:rsidR="008E6B2D" w:rsidRPr="00857E57">
        <w:fldChar w:fldCharType="begin"/>
      </w:r>
      <w:r w:rsidR="008E6B2D" w:rsidRPr="00857E57">
        <w:instrText xml:space="preserve"> REF Matthewsappsfled15122022 \h  \* CharFormat </w:instrText>
      </w:r>
      <w:r w:rsidR="008E6B2D" w:rsidRPr="00857E57">
        <w:fldChar w:fldCharType="separate"/>
      </w:r>
      <w:r w:rsidR="00495766" w:rsidRPr="00495766">
        <w:t>53</w:t>
      </w:r>
      <w:r w:rsidR="008E6B2D" w:rsidRPr="00857E57">
        <w:fldChar w:fldCharType="end"/>
      </w:r>
      <w:r w:rsidR="008E6B2D">
        <w:t>). Nu s-a afirmat că, dacă ar fi arestați, reclamanții nu ar putea fi reținuți în vederea predării lor, în temeiul acestor hotărâri judecătorești. Guvernul nu a prezentat niciun argument contrar. Curtea consideră că reclamanții încă pot pretinde că sunt victime în ceea ce privește capătul de cerere formulat.</w:t>
      </w:r>
    </w:p>
    <w:p w:rsidR="0055665C" w:rsidRPr="00857E57" w:rsidRDefault="008E6B2D" w:rsidP="00857E57">
      <w:pPr>
        <w:pStyle w:val="JuHA"/>
      </w:pPr>
      <w:r>
        <w:t>Argumentele părților</w:t>
      </w:r>
    </w:p>
    <w:p w:rsidR="0055665C" w:rsidRPr="00857E57" w:rsidRDefault="008E6B2D" w:rsidP="00857E57">
      <w:pPr>
        <w:pStyle w:val="JuH1"/>
      </w:pPr>
      <w:r>
        <w:t>Reclamanții</w:t>
      </w:r>
    </w:p>
    <w:p w:rsidR="0055665C" w:rsidRPr="00857E57" w:rsidRDefault="000E6C59" w:rsidP="00857E57">
      <w:pPr>
        <w:pStyle w:val="JuPara"/>
      </w:pPr>
      <w:fldSimple w:instr=" SEQ level0 \*arabic \* MERGEFORMAT ">
        <w:r w:rsidR="00495766">
          <w:rPr>
            <w:noProof/>
          </w:rPr>
          <w:t>76</w:t>
        </w:r>
      </w:fldSimple>
      <w:r w:rsidR="008E6B2D">
        <w:t xml:space="preserve">. </w:t>
      </w:r>
      <w:r w:rsidR="008E6B2D">
        <w:rPr>
          <w:rFonts w:ascii="Times New Roman" w:hAnsi="Times New Roman"/>
        </w:rPr>
        <w:t>Reclamanții au susținut că, din toate probele prezentate în fața Curții, reieșea clar faptul că aceștia erau expuși unui risc real de a li se aplica o pedeapsă cu detențiunea pe viață ireductibilă, în privința căreia nu exista niciun mecanism care să permită revizuirea acesteia și, în viitor, reducerea sa. Reclamanții au solicitat Curții să urmeze abordarea sa din</w:t>
      </w:r>
      <w:r w:rsidR="008E6B2D">
        <w:rPr>
          <w:rFonts w:ascii="Times New Roman" w:hAnsi="Times New Roman"/>
          <w:i/>
        </w:rPr>
        <w:t xml:space="preserve"> </w:t>
      </w:r>
      <w:r w:rsidR="008E6B2D">
        <w:t>cauza</w:t>
      </w:r>
      <w:r w:rsidR="008E6B2D">
        <w:rPr>
          <w:rFonts w:ascii="Times New Roman" w:hAnsi="Times New Roman"/>
          <w:i/>
        </w:rPr>
        <w:t xml:space="preserve"> Trabelsi </w:t>
      </w:r>
      <w:r w:rsidR="008E6B2D">
        <w:rPr>
          <w:rFonts w:ascii="Times New Roman" w:hAnsi="Times New Roman"/>
        </w:rPr>
        <w:t>[</w:t>
      </w:r>
      <w:r w:rsidR="008E6B2D">
        <w:t>nr. 140/10, CEDO 2014 (extrase)</w:t>
      </w:r>
      <w:r w:rsidR="008E6B2D">
        <w:rPr>
          <w:rFonts w:ascii="Times New Roman" w:hAnsi="Times New Roman"/>
        </w:rPr>
        <w:t xml:space="preserve">], cu privire la care au susținut că era conformă cu jurisprudența sa anterioară, inclusiv cu hotărârea în cauza </w:t>
      </w:r>
      <w:r w:rsidR="008E6B2D">
        <w:rPr>
          <w:rFonts w:ascii="Times New Roman" w:hAnsi="Times New Roman"/>
          <w:i/>
        </w:rPr>
        <w:t>Harkins și Edwards împotriva Regatului Unit</w:t>
      </w:r>
      <w:r w:rsidR="008E6B2D">
        <w:rPr>
          <w:rFonts w:ascii="Times New Roman" w:hAnsi="Times New Roman"/>
        </w:rPr>
        <w:t xml:space="preserve"> (nr. 9146/07 și 32650/07, 17 ianuarie 2012), și care fusese confirmată într-o serie de hotărâri ulterioare ale Curții.</w:t>
      </w:r>
    </w:p>
    <w:p w:rsidR="0055665C" w:rsidRPr="00857E57" w:rsidRDefault="000E6C59" w:rsidP="00857E57">
      <w:pPr>
        <w:pStyle w:val="JuPara"/>
        <w:rPr>
          <w:rFonts w:ascii="Times New Roman" w:hAnsi="Times New Roman" w:cs="Times New Roman"/>
        </w:rPr>
      </w:pPr>
      <w:fldSimple w:instr=" SEQ level0 \*arabic \* MERGEFORMAT ">
        <w:r w:rsidR="00495766">
          <w:rPr>
            <w:noProof/>
          </w:rPr>
          <w:t>77</w:t>
        </w:r>
      </w:fldSimple>
      <w:r w:rsidR="008E6B2D">
        <w:t xml:space="preserve">. </w:t>
      </w:r>
      <w:r w:rsidR="008E6B2D">
        <w:rPr>
          <w:rFonts w:ascii="Times New Roman" w:hAnsi="Times New Roman"/>
        </w:rPr>
        <w:t xml:space="preserve">În urma adoptării de către Curte a hotărârii în cauza </w:t>
      </w:r>
      <w:r w:rsidR="008E6B2D">
        <w:rPr>
          <w:rFonts w:ascii="Times New Roman" w:hAnsi="Times New Roman"/>
          <w:i/>
        </w:rPr>
        <w:t>Sanchez-Sanchez</w:t>
      </w:r>
      <w:r w:rsidR="008E6B2D">
        <w:rPr>
          <w:rFonts w:ascii="Times New Roman" w:hAnsi="Times New Roman"/>
        </w:rPr>
        <w:t xml:space="preserve"> [(</w:t>
      </w:r>
      <w:r w:rsidR="008E6B2D">
        <w:t>MC) nr. 22854/20, 3 noiembrie 202]</w:t>
      </w:r>
      <w:r w:rsidR="008E6B2D">
        <w:rPr>
          <w:rFonts w:ascii="Times New Roman" w:hAnsi="Times New Roman"/>
        </w:rPr>
        <w:t xml:space="preserve">), reclamanții au argumentat că au prezentat suficiente probe, sub forma unor rapoarte de expertiză, pentru a îndeplini sarcina probatorie impusă de primul aspect al abordării stabilite în cauza respectivă. În consecință, Curtea ar trebui să examineze conformitatea cu cel de-al doilea aspect al abordării. În continuare, reclamanții au susținut că speța lor era diferită din punct de vedere material de cauza </w:t>
      </w:r>
      <w:r w:rsidR="008E6B2D">
        <w:rPr>
          <w:rFonts w:ascii="Times New Roman" w:hAnsi="Times New Roman"/>
          <w:i/>
        </w:rPr>
        <w:t>Sanchez-Sanchez</w:t>
      </w:r>
      <w:r w:rsidR="008E6B2D">
        <w:rPr>
          <w:rFonts w:ascii="Times New Roman" w:hAnsi="Times New Roman"/>
        </w:rPr>
        <w:t>, inclusiv având în vedere că: i) erau expuși riscului de a fi judecați pentru acuzații mult mai grave; ii) niciunul dintre co-conspiratorii nu fusese condamnat; și iii) aceștia nu ar „scăpa nepedepsiți”, deoarece statul român ar putea să deschidă propria anchetă cu privire la pretinsa activitate infracțională.</w:t>
      </w:r>
    </w:p>
    <w:p w:rsidR="0055665C" w:rsidRPr="00857E57" w:rsidRDefault="000E6C59" w:rsidP="00857E57">
      <w:pPr>
        <w:pStyle w:val="JuPara"/>
        <w:rPr>
          <w:rFonts w:eastAsiaTheme="minorEastAsia"/>
        </w:rPr>
      </w:pPr>
      <w:fldSimple w:instr=" SEQ level0 \*arabic \* MERGEFORMAT ">
        <w:bookmarkStart w:id="54" w:name="paragraph00057"/>
        <w:r w:rsidR="00495766">
          <w:rPr>
            <w:noProof/>
          </w:rPr>
          <w:t>78</w:t>
        </w:r>
        <w:bookmarkEnd w:id="54"/>
      </w:fldSimple>
      <w:r w:rsidR="008E6B2D">
        <w:t>. Reclamanții au prezentat rapoarte de expertiză din data de 12 martie, 3 mai, 16 mai, 23 octombrie și 6 decembrie 2021, întocmite de către un avocat american (A.C.), care a susținut că este expert în legislația și procedura de stabilire a pedepselor.</w:t>
      </w:r>
    </w:p>
    <w:p w:rsidR="0055665C" w:rsidRPr="00857E57" w:rsidRDefault="000E6C59" w:rsidP="00857E57">
      <w:pPr>
        <w:pStyle w:val="JuPara"/>
      </w:pPr>
      <w:fldSimple w:instr=" SEQ level0 \*arabic \* MERGEFORMAT ">
        <w:bookmarkStart w:id="55" w:name="paragraph00058"/>
        <w:r w:rsidR="00495766">
          <w:rPr>
            <w:noProof/>
          </w:rPr>
          <w:t>79</w:t>
        </w:r>
        <w:bookmarkEnd w:id="55"/>
      </w:fldSimple>
      <w:r w:rsidR="008E6B2D">
        <w:t xml:space="preserve">. În raportul său din 3 mai 2021, A.C. a afirmat că, pe baza acuzațiilor formulate împotriva reclamanților și a rechizitoriului, considera că amploarea operațiunii și cantitatea (mare) de droguri implicată ar impune stabilirea nivelului 36 al infracțiunii de bază. În plus, Orientările privind stabilirea pedepselor impuneau aplicarea unei serii de dispoziții pentru majorarea pedepsei, ceea ce ar determina stabilirea nivelului 44 al infracțiunii și ar necesita impunerea pedepsei detențiunii pe viață, după cum urmează: (i) deținerea unei arme periculoase (creșterea cu 2 puncte a nivelului infracțiunii); (ii) inculpatul a recurs la violență, a proferat amenințări credibile </w:t>
      </w:r>
      <w:r w:rsidR="008E6B2D">
        <w:lastRenderedPageBreak/>
        <w:t>privind recurgerea la violență sau a condus săvârșirea unor acte de violență (creșterea cu 2 puncte a nivelului infracțiunii); (iii) rolul jucat de inculpat în calitatea sa de lider constituie un element agravant al infracțiunii (creșterea cu 4 puncte a nivelului infracțiunii). A.C. a mai afirmat că judecătorul care va stabili pedeapsa ar putea aplica o nouă dispoziție pentru majorarea cu 2 puncte a pedepsei, din cauza contestării de către reclamanți a extrădării lor, ceea ce ar crește nivelul infracțiunii la 46.</w:t>
      </w:r>
    </w:p>
    <w:p w:rsidR="0055665C" w:rsidRPr="00857E57" w:rsidRDefault="000E6C59" w:rsidP="00857E57">
      <w:pPr>
        <w:pStyle w:val="JuPara"/>
      </w:pPr>
      <w:fldSimple w:instr=" SEQ level0 \*arabic \* MERGEFORMAT ">
        <w:r w:rsidR="00495766">
          <w:rPr>
            <w:noProof/>
          </w:rPr>
          <w:t>80</w:t>
        </w:r>
      </w:fldSimple>
      <w:r w:rsidR="008E6B2D">
        <w:t>. În raportul din 16 mai 2021, A.C. și-a revizuit calculele anterioare și a argumentat că judecătorul care va stabili pedeapsa ar putea să aplice încă o dispoziție pentru majorarea cu 2 puncte a pedepsei, ca urmare a folosirii de către reclamanți a unei aeronave pentru a transporta substanțe aflate sub control național, determinând o creștere a nivelului infracțiunii de la 46 la 48. Acesta a concluzionat că, pe baza acestui calcul, chiar dacă nu ar fi aplicată ultima dispoziție de majorare a pedepsei și reclamanții ar beneficia de o reducere cu 3 puncte a nivelului infracțiunii, dacă și-ar recunoaște vinovăția, nivelul infracțiunii ar rămâne 43 sau mai mult, pentru care Orientările privind stabilirea pedepselor recomandau aplicarea pedepsei detențiunii pe viață.</w:t>
      </w:r>
    </w:p>
    <w:p w:rsidR="0055665C" w:rsidRPr="00857E57" w:rsidRDefault="000E6C59" w:rsidP="00857E57">
      <w:pPr>
        <w:pStyle w:val="JuPara"/>
      </w:pPr>
      <w:fldSimple w:instr=" SEQ level0 \*arabic \* MERGEFORMAT ">
        <w:bookmarkStart w:id="56" w:name="paragraph00060"/>
        <w:r w:rsidR="00495766">
          <w:rPr>
            <w:noProof/>
          </w:rPr>
          <w:t>81</w:t>
        </w:r>
        <w:bookmarkEnd w:id="56"/>
      </w:fldSimple>
      <w:r w:rsidR="008E6B2D">
        <w:t>. În ceea ce privește statisticile referitoare la stabilirea (și aplicarea) pedepselor, A.C. a susținut că cifrele relevante nu erau mediile naționale invocate de autoritățile americane (a se vedea infra, pct. </w:t>
      </w:r>
      <w:r w:rsidR="003636C8" w:rsidRPr="00857E57">
        <w:fldChar w:fldCharType="begin"/>
      </w:r>
      <w:r w:rsidR="003636C8" w:rsidRPr="00857E57">
        <w:instrText xml:space="preserve"> REF paragraph00065 \h  \* CharFormat </w:instrText>
      </w:r>
      <w:r w:rsidR="003636C8" w:rsidRPr="00857E57">
        <w:fldChar w:fldCharType="separate"/>
      </w:r>
      <w:r w:rsidR="00495766" w:rsidRPr="00857E57">
        <w:t>86</w:t>
      </w:r>
      <w:r w:rsidR="003636C8" w:rsidRPr="00857E57">
        <w:fldChar w:fldCharType="end"/>
      </w:r>
      <w:r w:rsidR="008E6B2D">
        <w:t>), ci acelea referitoare la Districtul de Est al statului Texas, unde se afla în curs de judecată cauza reclamanților. Conform acestor din urmă statistici, între 2018 și 2020, aproximativ 70% din pedepsele aplicate s-au încadrat în limitele recomandate de Orientările privind stabilirea pedepselor, în timp ce media națională pentru aceeași perioadă de referință a fost de aproximativ 50%. În ceea ce privește statisticile furnizate de Departamentul de Justiție al SUA (a se vedea infra, pct. </w:t>
      </w:r>
      <w:r w:rsidR="008E6B2D" w:rsidRPr="00857E57">
        <w:fldChar w:fldCharType="begin"/>
      </w:r>
      <w:r w:rsidR="008E6B2D" w:rsidRPr="00857E57">
        <w:instrText xml:space="preserve"> REF paragraph00086 \h  \* CharFormat </w:instrText>
      </w:r>
      <w:r w:rsidR="008E6B2D" w:rsidRPr="00857E57">
        <w:fldChar w:fldCharType="separate"/>
      </w:r>
      <w:r w:rsidR="00495766" w:rsidRPr="00857E57">
        <w:t>87</w:t>
      </w:r>
      <w:r w:rsidR="008E6B2D" w:rsidRPr="00857E57">
        <w:fldChar w:fldCharType="end"/>
      </w:r>
      <w:r w:rsidR="008E6B2D">
        <w:t>), întrucât „principalul capăt de acuzare” reținut împotriva reclamanților era acela de conspirație la activități de racket, era „greșit” să se țină seama de statisticile privind stabilirea pedepselor pentru trafic de droguri.</w:t>
      </w:r>
    </w:p>
    <w:p w:rsidR="0055665C" w:rsidRPr="00857E57" w:rsidRDefault="000E6C59" w:rsidP="00857E57">
      <w:pPr>
        <w:pStyle w:val="JuPara"/>
      </w:pPr>
      <w:fldSimple w:instr=" SEQ level0 \*arabic \* MERGEFORMAT ">
        <w:bookmarkStart w:id="57" w:name="paragraph00052"/>
        <w:r w:rsidR="00495766">
          <w:rPr>
            <w:noProof/>
          </w:rPr>
          <w:t>82</w:t>
        </w:r>
        <w:bookmarkEnd w:id="57"/>
      </w:fldSimple>
      <w:r w:rsidR="008E6B2D">
        <w:t>. În sfârșit, A.C. a afirmat că solicitarea autorităților americane de a primi exemple de stabilire a pedepselor în cazuri în care a existat un comportament similar era „nesinceră” întrucât s-ar impune realizarea unei comparații cu o cauză judecată în Districtul de Est al statului Texas, care prezintă aceleași particularități precum prezenta speță (trafic internațional de droguri, plănuirea unui omor, trafic de arme și apartenența la un club în afara legii).</w:t>
      </w:r>
    </w:p>
    <w:p w:rsidR="0055665C" w:rsidRPr="00857E57" w:rsidRDefault="008E6B2D" w:rsidP="00857E57">
      <w:pPr>
        <w:pStyle w:val="JuH1"/>
      </w:pPr>
      <w:r>
        <w:t>Guvernul</w:t>
      </w:r>
    </w:p>
    <w:p w:rsidR="0055665C" w:rsidRPr="00857E57" w:rsidRDefault="000E6C59" w:rsidP="00857E57">
      <w:pPr>
        <w:pStyle w:val="JuPara"/>
      </w:pPr>
      <w:fldSimple w:instr=" SEQ level0 \*arabic \* MERGEFORMAT ">
        <w:r w:rsidR="00495766">
          <w:rPr>
            <w:noProof/>
          </w:rPr>
          <w:t>83</w:t>
        </w:r>
      </w:fldSimple>
      <w:r w:rsidR="008E6B2D">
        <w:t xml:space="preserve">. Guvernul a susținut că, la fel ca în cauza </w:t>
      </w:r>
      <w:r w:rsidR="008E6B2D">
        <w:rPr>
          <w:i/>
        </w:rPr>
        <w:t>Findikoglu împotriva Germaniei</w:t>
      </w:r>
      <w:r w:rsidR="008E6B2D">
        <w:t xml:space="preserve"> [(dec.), nr. 20672/15, 7 iunie 2016], reclamanții nu au demonstrat că exista un risc real de încălcare a drepturilor lor prevăzute la art. 3 din cauza pedepsei pe care era probabil ca aceștia să o primească în cazul condamnării lor. Contrar celor susținute de reclamanți, informațiile </w:t>
      </w:r>
      <w:r w:rsidR="008E6B2D">
        <w:lastRenderedPageBreak/>
        <w:t>furnizate de Departamentul de Justiție al SUA (a se vedea infra, pct. </w:t>
      </w:r>
      <w:r w:rsidR="008E6B2D" w:rsidRPr="00857E57">
        <w:fldChar w:fldCharType="begin"/>
      </w:r>
      <w:r w:rsidR="008E6B2D" w:rsidRPr="00857E57">
        <w:instrText xml:space="preserve"> REF paragraph00064 \h  \* CharFormat </w:instrText>
      </w:r>
      <w:r w:rsidR="008E6B2D" w:rsidRPr="00857E57">
        <w:fldChar w:fldCharType="separate"/>
      </w:r>
      <w:r w:rsidR="00495766" w:rsidRPr="00857E57">
        <w:t>85</w:t>
      </w:r>
      <w:r w:rsidR="008E6B2D" w:rsidRPr="00857E57">
        <w:fldChar w:fldCharType="end"/>
      </w:r>
      <w:r w:rsidR="008E6B2D">
        <w:t>-</w:t>
      </w:r>
      <w:r w:rsidR="008E6B2D" w:rsidRPr="00857E57">
        <w:fldChar w:fldCharType="begin"/>
      </w:r>
      <w:r w:rsidR="008E6B2D" w:rsidRPr="00857E57">
        <w:instrText xml:space="preserve"> REF paragraph00086 \h  \* CharFormat </w:instrText>
      </w:r>
      <w:r w:rsidR="008E6B2D" w:rsidRPr="00857E57">
        <w:fldChar w:fldCharType="separate"/>
      </w:r>
      <w:r w:rsidR="00495766" w:rsidRPr="00857E57">
        <w:t>87</w:t>
      </w:r>
      <w:r w:rsidR="008E6B2D" w:rsidRPr="00857E57">
        <w:fldChar w:fldCharType="end"/>
      </w:r>
      <w:r w:rsidR="008E6B2D">
        <w:t>), care fuseseră examinate în mod corespunzător de instanțele naționale, indicau că era „extrem de improbabil [ca reclamanților] să li se aplice pedeapsa detențiunii pe viață sau echivalentul funcțional al acesteia, dacă aceștia ar fi condamnați”. În orice caz, întrucât reclamanții nu fuseseră încă judecați, astfel cum au subliniat instanțele naționale, nu exista nicio certitudine că aceștia urmau să fie condamnați.</w:t>
      </w:r>
    </w:p>
    <w:p w:rsidR="0055665C" w:rsidRPr="00857E57" w:rsidRDefault="000E6C59" w:rsidP="00857E57">
      <w:pPr>
        <w:pStyle w:val="JuPara"/>
      </w:pPr>
      <w:fldSimple w:instr=" SEQ level0 \*arabic \* MERGEFORMAT ">
        <w:bookmarkStart w:id="58" w:name="paragraph00063"/>
        <w:r w:rsidR="00495766">
          <w:rPr>
            <w:noProof/>
          </w:rPr>
          <w:t>84</w:t>
        </w:r>
        <w:bookmarkEnd w:id="58"/>
      </w:fldSimple>
      <w:r w:rsidR="008E6B2D">
        <w:t>. Guvernul a trimis scrisori din partea Departamentului de Justiție al SUA din 9 februarie, 26 aprilie, 12 iulie și 24 septembrie 2021.</w:t>
      </w:r>
    </w:p>
    <w:p w:rsidR="0055665C" w:rsidRPr="00857E57" w:rsidRDefault="000E6C59" w:rsidP="00857E57">
      <w:pPr>
        <w:pStyle w:val="JuPara"/>
      </w:pPr>
      <w:fldSimple w:instr=" SEQ level0 \*arabic \* MERGEFORMAT ">
        <w:bookmarkStart w:id="59" w:name="paragraph00064"/>
        <w:r w:rsidR="00495766">
          <w:rPr>
            <w:noProof/>
          </w:rPr>
          <w:t>85</w:t>
        </w:r>
        <w:bookmarkEnd w:id="59"/>
      </w:fldSimple>
      <w:r w:rsidR="008E6B2D">
        <w:t>. Pe baza unui raport întocmit în februarie 2015 de Comisia SUA pentru stabilirea pedepselor, intitulat „Pedepsele cu detențiune pe viață în sistemul federal”, Departamentul de Justiție a declarat că detențiunea pe viață se aplică rar în sistemul federal și că, în cazul reclamanților, aceasta constituia o pedeapsă discreționară aplicată pentru primele două capete de acuzare din rechizitoriu (a se vedea raportul menționat supra, pct. </w:t>
      </w:r>
      <w:r w:rsidR="008E6B2D" w:rsidRPr="00857E57">
        <w:fldChar w:fldCharType="begin"/>
      </w:r>
      <w:r w:rsidR="008E6B2D" w:rsidRPr="00857E57">
        <w:instrText xml:space="preserve"> REF MatthewsUSSentencingGuidelines \h  \* MERGEFORMAT </w:instrText>
      </w:r>
      <w:r w:rsidR="008E6B2D" w:rsidRPr="00857E57">
        <w:fldChar w:fldCharType="separate"/>
      </w:r>
      <w:r w:rsidR="00495766">
        <w:t>64</w:t>
      </w:r>
      <w:r w:rsidR="008E6B2D" w:rsidRPr="00857E57">
        <w:fldChar w:fldCharType="end"/>
      </w:r>
      <w:r w:rsidR="008E6B2D">
        <w:t>).</w:t>
      </w:r>
    </w:p>
    <w:p w:rsidR="0055665C" w:rsidRPr="00857E57" w:rsidRDefault="000E6C59" w:rsidP="00857E57">
      <w:pPr>
        <w:pStyle w:val="JuPara"/>
      </w:pPr>
      <w:fldSimple w:instr=" SEQ level0 \*arabic \* MERGEFORMAT ">
        <w:bookmarkStart w:id="60" w:name="paragraph00065"/>
        <w:r w:rsidR="00495766">
          <w:rPr>
            <w:noProof/>
          </w:rPr>
          <w:t>86</w:t>
        </w:r>
        <w:bookmarkEnd w:id="60"/>
      </w:fldSimple>
      <w:r w:rsidR="008E6B2D">
        <w:t>. Potrivit calculului pus la dispoziție de Departamentul de Justiție al SUA, în cadrul căruia acuzațiile au fost abordate ca fiind în principal infracțiuni legate de traficul de droguri - dată fiind cantitatea de droguri implicată -, nivelul infracțiunii de bază pentru primul capăt de acuzare (conspirație la săvârșirea infracțiunii de racket) ar fi 36, la care s-ar adăuga două dispoziții de majorare a pedepsei: (i) deținerea unei arme periculoase (creșterea cu 2 puncte a nivelului infracțiunii); (ii) inculpatul a recurs la violență, a proferat amenințări credibile privind recurgerea la violență sau a condus săvârșirea unor acte de violență (creșterea cu 2 puncte a nivelului infracțiunii). Conform calculului prevăzut în Orientările privind stabilirea pedepselor în cazul „contopirii” celor trei infracțiuni imputate și înglobării lor în infracțiunea de conspirație la săvârșirea activității de racket, nivelul final al infracțiunii ar fi 42, care presupunea aplicarea unei pedepse ce putea ajunge de la treizeci de ani de închisoare până la detențiune pe viață.</w:t>
      </w:r>
    </w:p>
    <w:p w:rsidR="0055665C" w:rsidRPr="00857E57" w:rsidRDefault="000E6C59" w:rsidP="00857E57">
      <w:pPr>
        <w:pStyle w:val="JuPara"/>
      </w:pPr>
      <w:fldSimple w:instr=" SEQ level0 \*arabic \* MERGEFORMAT ">
        <w:bookmarkStart w:id="61" w:name="paragraph00086"/>
        <w:r w:rsidR="00495766">
          <w:rPr>
            <w:noProof/>
          </w:rPr>
          <w:t>87</w:t>
        </w:r>
        <w:bookmarkEnd w:id="61"/>
      </w:fldSimple>
      <w:r w:rsidR="008E6B2D">
        <w:t xml:space="preserve">. Departamentul de Justiție a furnizat un studiu cu privire la pedepsele aplicate în cei zece ani anteriori pentru infracțiuni legate de droguri comise în Districtul de Est al statului Texas (unde reclamanții fuseseră puși sub acuzare), în care se arăta că din 353 de cazuri de trafic de droguri care au implicat o potențială condamnare la pedeapsa detențiunii pe viață, doar șase au avut ca rezultat aplicarea acestei pedepse. În consecință, în perioada anterioară de zece ani, mai puțin de 2% din cauzele având ca obiect drogurile, în care exista posibilitatea aplicării pedepsei detențiunii pe viață, au avut ca rezultat impunerea acestei pedepse. În plus, potrivit surselor interactive ale Comisiei SUA pentru stabilirea pedepselor, instanțele din SUA au impus rareori pedepse peste limita recomandată de Orientările privind stabilirea pedepselor, impunând adesea pedepse sub limita recomandată. În anii fiscali 2015-2020, instanțele de pe întreg teritoriul SUA au impus pedepse peste limita recomandată de Orientările privind stabilirea pedepselor numai în 1,55% din cazurile de trafic de droguri (în scopul stabilirii pedepselor, cauza </w:t>
      </w:r>
      <w:r w:rsidR="008E6B2D">
        <w:lastRenderedPageBreak/>
        <w:t>reclamanților ar putea fi tratată ca implicând în principal o infracțiune de trafic de droguri). În aceeași perioadă de referință, instanțele americane au impus pedepse sub limita recomandată în aproximativ 63% din cazurile de trafic de droguri.</w:t>
      </w:r>
    </w:p>
    <w:p w:rsidR="0055665C" w:rsidRPr="00857E57" w:rsidRDefault="000E6C59" w:rsidP="00857E57">
      <w:pPr>
        <w:pStyle w:val="JuPara"/>
      </w:pPr>
      <w:fldSimple w:instr=" SEQ level0 \*arabic \* MERGEFORMAT ">
        <w:bookmarkStart w:id="62" w:name="paragraph00068"/>
        <w:r w:rsidR="00495766">
          <w:rPr>
            <w:noProof/>
          </w:rPr>
          <w:t>88</w:t>
        </w:r>
        <w:bookmarkEnd w:id="62"/>
      </w:fldSimple>
      <w:r w:rsidR="008E6B2D">
        <w:t>. De asemenea, Departamentul de Justiție a susținut că, în cazul în care ar fi aplicată pedeapsa detențiunii pe viață, reclamanții ar avea mai multe posibilități de a solicita grațierea sau reducerea pedepsei, de exemplu cooperarea cu parchetul, dreptul de recurs prevăzut de lege, cererea de grațiere și cererea de eliberare din motive umanitare. În cazul în care reclamanții și-ar recunoaște vinovăția sau ar fi condamnați în timpul procesului, judecătorul ar dispune de o largă putere discreționară pentru a stabili pedeapsa corespunzătoare, în urma unui proces de stabilire a faptelor, în cadrul căruia aceștia ar avea posibilitatea de a prezenta probe. Un consilier de probațiune angajat de instanțele americane va efectua o anchetă independentă și va întocmi un raport cu informații despre infracțiunile comise de reclamanți, antecedentele penale și informațiile privind cadrul general, precum și un calcul al limitelor generale recomandate ale pedepsei, în conformitate cu Orientările privind stabilirea pedepselor în SUA, iar reclamanții și avocații acestora vor putea participa la acest proces și vor avea dreptul să conteste informațiile și concluziile din raport. După finalizarea raportului de către consilierul de probațiune, reclamanții vor fi în măsură să prezinte judecătorului probe cu privire la orice circumstanțe atenuante care ar putea justifica impunerea unei pedepse sub limita recomandată în Orientările privind stabilirea pedepselor.</w:t>
      </w:r>
    </w:p>
    <w:p w:rsidR="0055665C" w:rsidRPr="00857E57" w:rsidRDefault="000E6C59" w:rsidP="00857E57">
      <w:pPr>
        <w:pStyle w:val="JuPara"/>
      </w:pPr>
      <w:fldSimple w:instr=" SEQ level0 \*arabic \* MERGEFORMAT ">
        <w:bookmarkStart w:id="63" w:name="paragraph00069"/>
        <w:r w:rsidR="00495766">
          <w:rPr>
            <w:noProof/>
          </w:rPr>
          <w:t>89</w:t>
        </w:r>
        <w:bookmarkEnd w:id="63"/>
      </w:fldSimple>
      <w:r w:rsidR="008E6B2D">
        <w:t>. În sfârșit, Departamentul de Justiție a declarat că, pe baza informațiilor de care dispunea, reclamanții nu aveau condamnări anterioare și că, în cazul în care ar fi condamnați și instanța ar solicita părților o recomandare privind stabilirea pedepselor, parchetul responsabil cu urmărirea penală nu ar recomanda aplicarea pedepsei detențiunii pe viață pentru niciuna dintre infracțiunile imputate.</w:t>
      </w:r>
    </w:p>
    <w:p w:rsidR="0055665C" w:rsidRPr="00857E57" w:rsidRDefault="008E6B2D" w:rsidP="00857E57">
      <w:pPr>
        <w:pStyle w:val="JuH1"/>
      </w:pPr>
      <w:r>
        <w:t>Terții intervenienți</w:t>
      </w:r>
    </w:p>
    <w:p w:rsidR="0055665C" w:rsidRPr="00857E57" w:rsidRDefault="008E6B2D" w:rsidP="00857E57">
      <w:pPr>
        <w:pStyle w:val="JuHa0"/>
      </w:pPr>
      <w:r>
        <w:t>Guvernul Regatului Unit</w:t>
      </w:r>
    </w:p>
    <w:p w:rsidR="0055665C" w:rsidRPr="00857E57" w:rsidRDefault="000E6C59" w:rsidP="00857E57">
      <w:pPr>
        <w:pStyle w:val="JuPara"/>
      </w:pPr>
      <w:fldSimple w:instr=" SEQ level0 \*arabic \* MERGEFORMAT ">
        <w:r w:rsidR="00495766">
          <w:rPr>
            <w:noProof/>
          </w:rPr>
          <w:t>90</w:t>
        </w:r>
      </w:fldSimple>
      <w:r w:rsidR="008E6B2D">
        <w:t>. Guvernul Regatului Unit a susținut că nu revine Curții sarcina de a efectua o analiză detaliată a mecanismului existent în SUA prin care se urmărește scutirea de pedeapsa detențiunii pe viață. În orice caz, probele prezentate Curții demonstrau că sistemul federal al SUA dispunea într-adevăr de un mecanism de revizuire, care permitea să se stabilească dacă un deținut s‑a schimbat și a făcut asemenea progrese încât menținerea sa în detenție nu mai poate fi justificată din motive penologice.</w:t>
      </w:r>
    </w:p>
    <w:p w:rsidR="0055665C" w:rsidRPr="00857E57" w:rsidRDefault="008E6B2D" w:rsidP="00857E57">
      <w:pPr>
        <w:pStyle w:val="JuHa0"/>
      </w:pPr>
      <w:r>
        <w:lastRenderedPageBreak/>
        <w:t>Centrul AIRE și Hands Off Cain</w:t>
      </w:r>
    </w:p>
    <w:p w:rsidR="0055665C" w:rsidRPr="00857E57" w:rsidRDefault="000E6C59" w:rsidP="00857E57">
      <w:pPr>
        <w:pStyle w:val="JuPara"/>
      </w:pPr>
      <w:fldSimple w:instr=" SEQ level0 \*arabic \* MERGEFORMAT ">
        <w:r w:rsidR="00495766">
          <w:rPr>
            <w:noProof/>
          </w:rPr>
          <w:t>91</w:t>
        </w:r>
      </w:fldSimple>
      <w:r w:rsidR="008E6B2D">
        <w:t>. Atât Centrul AIRE cât și Hands Off Cain au furnizat informații cu privire la modalitățile de a obține reducerea sau comutarea pedepsei în SUA.</w:t>
      </w:r>
    </w:p>
    <w:p w:rsidR="0055665C" w:rsidRPr="00857E57" w:rsidRDefault="008E6B2D" w:rsidP="00857E57">
      <w:pPr>
        <w:pStyle w:val="JuHA"/>
      </w:pPr>
      <w:r>
        <w:t>Motivarea Curții</w:t>
      </w:r>
    </w:p>
    <w:p w:rsidR="0055665C" w:rsidRPr="00857E57" w:rsidRDefault="008E6B2D" w:rsidP="00857E57">
      <w:pPr>
        <w:pStyle w:val="JuH1"/>
      </w:pPr>
      <w:r>
        <w:t>Principii generale</w:t>
      </w:r>
    </w:p>
    <w:p w:rsidR="0055665C" w:rsidRPr="00857E57" w:rsidRDefault="000E6C59" w:rsidP="00857E57">
      <w:pPr>
        <w:pStyle w:val="JuPara"/>
      </w:pPr>
      <w:fldSimple w:instr=" SEQ level0 \*arabic \* MERGEFORMAT ">
        <w:bookmarkStart w:id="64" w:name="paragraph00072"/>
        <w:r w:rsidR="00495766">
          <w:rPr>
            <w:noProof/>
          </w:rPr>
          <w:t>92</w:t>
        </w:r>
        <w:bookmarkEnd w:id="64"/>
      </w:fldSimple>
      <w:r w:rsidR="008E6B2D">
        <w:t xml:space="preserve">. În cauza </w:t>
      </w:r>
      <w:r w:rsidR="008E6B2D">
        <w:rPr>
          <w:i/>
        </w:rPr>
        <w:t>Sanchez-Sanchez</w:t>
      </w:r>
      <w:r w:rsidR="008E6B2D">
        <w:t xml:space="preserve"> (citată anterior, pct. 95-97 și 100), Curtea a indicat că era necesară o abordare în două etape pentru aprecierea existenței riscului ca, în urma extrădării, să fie încălcat art. 3 din Convenție, prin impunerea unei pedepse ireductibile cu detențiunea pe viață. În primul rând, trebuie pusă o întrebare preliminară: și anume dacă reclamantul a prezentat probe de natură să demonstreze că există motive întemeiate pentru a crede că, în caz de condamnare, există un risc real de a i se aplica o pedeapsă cu detențiunea pe viață fără posibilitatea acordării liberării condiționate. Reclamantului îi revine sarcina de a demonstra că o astfel de pedeapsă ar fi aplicată fără să se țină seama în mod corespunzător de toate circumstanțele atenuante și agravante relevante și un astfel de risc va fi mai ușor de stabilit dacă reclamantul este pasibil de pedeapsa obligatorie a detențiunii pe viață, și nu de pedeapsa discreționară a detențiunii pe viață. Cea de-a doua etapă a analizei intervine doar în cazul în care reclamantul stabilește existența unui astfel de risc, fiind necesar să se examineze dacă, din momentul condamnării, există un mecanism de revizuire care permite autorităților naționale să ia în considerare progresele făcute de un deținut în direcția îndreptării sau orice alt motiv de punere în libertate pe baza comportamentului său sau a altor circumstanțe personale relevante.</w:t>
      </w:r>
    </w:p>
    <w:p w:rsidR="0055665C" w:rsidRPr="00857E57" w:rsidRDefault="008E6B2D" w:rsidP="00857E57">
      <w:pPr>
        <w:pStyle w:val="JuH1"/>
      </w:pPr>
      <w:r>
        <w:t>Aplicarea principiilor sus-menționate în prezenta cauză</w:t>
      </w:r>
    </w:p>
    <w:p w:rsidR="0055665C" w:rsidRPr="00857E57" w:rsidRDefault="000E6C59" w:rsidP="00857E57">
      <w:pPr>
        <w:pStyle w:val="JuPara"/>
      </w:pPr>
      <w:fldSimple w:instr=" SEQ level0 \*arabic \* MERGEFORMAT ">
        <w:bookmarkStart w:id="65" w:name="paragraph00092"/>
        <w:r w:rsidR="00495766">
          <w:rPr>
            <w:noProof/>
          </w:rPr>
          <w:t>93</w:t>
        </w:r>
        <w:bookmarkEnd w:id="65"/>
      </w:fldSimple>
      <w:r w:rsidR="008E6B2D">
        <w:t>. Întrucât reclamanții nu au fost condamnați încă, aceștia trebuie să demonstreze mai întâi că, în cazul condamnării lor, există un risc real să li se aplice pedeapsa detențiunii pe viață fără posibilitatea liberării condiționate, fără a se lua în considerare în mod corespunzător toți factorii atenuanți și agravanți relevanți (ibid., pct. 100).</w:t>
      </w:r>
    </w:p>
    <w:p w:rsidR="0055665C" w:rsidRPr="00857E57" w:rsidRDefault="000E6C59" w:rsidP="00857E57">
      <w:pPr>
        <w:pStyle w:val="JuPara"/>
      </w:pPr>
      <w:fldSimple w:instr=" SEQ level0 \*arabic \* MERGEFORMAT ">
        <w:r w:rsidR="00495766">
          <w:rPr>
            <w:noProof/>
          </w:rPr>
          <w:t>94</w:t>
        </w:r>
      </w:fldSimple>
      <w:r w:rsidR="008E6B2D">
        <w:t xml:space="preserve">. În mod normal, în cadrul realizării acestui exercițiu de apreciere, care este </w:t>
      </w:r>
      <w:r w:rsidR="008E6B2D">
        <w:rPr>
          <w:i/>
        </w:rPr>
        <w:t>ex nunc</w:t>
      </w:r>
      <w:r w:rsidR="008E6B2D">
        <w:t xml:space="preserve">, având în vedere că nu a avut încă loc extrădarea, Curtea pornește de la aprecierea efectuată de instanțele naționale (ibid., pct. 101). Curtea observă că, în principal, constatările instanțelor naționale în scopul evaluării existenței unui „risc real” s-au axat pe motivele pentru care trebuie să se facă distincție între cauza </w:t>
      </w:r>
      <w:r w:rsidR="008E6B2D">
        <w:rPr>
          <w:i/>
        </w:rPr>
        <w:t>Trabelsi</w:t>
      </w:r>
      <w:r w:rsidR="008E6B2D">
        <w:t xml:space="preserve"> (citată anterior) și cauzele în discuție. Întrucât abordarea din cauza </w:t>
      </w:r>
      <w:r w:rsidR="008E6B2D">
        <w:rPr>
          <w:i/>
        </w:rPr>
        <w:t>Trabelsi</w:t>
      </w:r>
      <w:r w:rsidR="008E6B2D">
        <w:t>, invocată de reclamanți, a fost respinsă în mod explicit în hotărârea</w:t>
      </w:r>
      <w:r w:rsidR="008E6B2D">
        <w:rPr>
          <w:i/>
        </w:rPr>
        <w:t xml:space="preserve"> Sanchez-Sanchez</w:t>
      </w:r>
      <w:r w:rsidR="008E6B2D">
        <w:t xml:space="preserve"> (citată anterior, pct. 98 </w:t>
      </w:r>
      <w:r w:rsidR="008E6B2D">
        <w:rPr>
          <w:i/>
        </w:rPr>
        <w:t>în fine</w:t>
      </w:r>
      <w:r w:rsidR="008E6B2D">
        <w:t>), iar probele prezentate de părți cu privire la problema existenței unui „risc real” (a se vedea supra, pct. </w:t>
      </w:r>
      <w:r w:rsidR="008E6B2D" w:rsidRPr="00857E57">
        <w:fldChar w:fldCharType="begin"/>
      </w:r>
      <w:r w:rsidR="008E6B2D" w:rsidRPr="00857E57">
        <w:instrText xml:space="preserve"> REF paragraph00057 \h  \* CharFormat </w:instrText>
      </w:r>
      <w:r w:rsidR="008E6B2D" w:rsidRPr="00857E57">
        <w:fldChar w:fldCharType="separate"/>
      </w:r>
      <w:r w:rsidR="00495766">
        <w:t>78</w:t>
      </w:r>
      <w:r w:rsidR="008E6B2D" w:rsidRPr="00857E57">
        <w:fldChar w:fldCharType="end"/>
      </w:r>
      <w:r w:rsidR="008E6B2D">
        <w:t xml:space="preserve"> și </w:t>
      </w:r>
      <w:r w:rsidR="008E6B2D" w:rsidRPr="00857E57">
        <w:fldChar w:fldCharType="begin"/>
      </w:r>
      <w:r w:rsidR="008E6B2D" w:rsidRPr="00857E57">
        <w:instrText xml:space="preserve"> REF paragraph00063 \h  \* CharFormat </w:instrText>
      </w:r>
      <w:r w:rsidR="008E6B2D" w:rsidRPr="00857E57">
        <w:fldChar w:fldCharType="separate"/>
      </w:r>
      <w:r w:rsidR="00495766">
        <w:t>84</w:t>
      </w:r>
      <w:r w:rsidR="008E6B2D" w:rsidRPr="00857E57">
        <w:fldChar w:fldCharType="end"/>
      </w:r>
      <w:r w:rsidR="008E6B2D">
        <w:t xml:space="preserve">) nu fuseseră prezentate instanțelor naționale </w:t>
      </w:r>
      <w:r w:rsidR="008E6B2D">
        <w:lastRenderedPageBreak/>
        <w:t>la momentul acordării extrădării reclamanților, Curtea trebuie să examineze probele prezentate în fața sa.</w:t>
      </w:r>
    </w:p>
    <w:p w:rsidR="0055665C" w:rsidRPr="00857E57" w:rsidRDefault="000E6C59" w:rsidP="00857E57">
      <w:pPr>
        <w:pStyle w:val="JuPara"/>
      </w:pPr>
      <w:fldSimple w:instr=" SEQ level0 \*arabic \* MERGEFORMAT ">
        <w:r w:rsidR="00495766">
          <w:rPr>
            <w:noProof/>
          </w:rPr>
          <w:t>95</w:t>
        </w:r>
      </w:fldSimple>
      <w:r w:rsidR="008E6B2D">
        <w:t>. Curtea observă că reclamanții au fost acuzați, în Districtul de Est al statului Texas, de infracțiunile de racket, trafic de droguri și spălare de bani, pentru primele două existând o pedeapsă discreționară maximă cu detențiune pe viață (a se vedea supra, pct. </w:t>
      </w:r>
      <w:r w:rsidR="008E6B2D" w:rsidRPr="00857E57">
        <w:fldChar w:fldCharType="begin"/>
      </w:r>
      <w:r w:rsidR="008E6B2D" w:rsidRPr="00857E57">
        <w:instrText xml:space="preserve"> REF paragraph00007 \h  \* CharFormat </w:instrText>
      </w:r>
      <w:r w:rsidR="008E6B2D" w:rsidRPr="00857E57">
        <w:fldChar w:fldCharType="separate"/>
      </w:r>
      <w:r w:rsidR="00495766">
        <w:t>7</w:t>
      </w:r>
      <w:r w:rsidR="008E6B2D" w:rsidRPr="00857E57">
        <w:fldChar w:fldCharType="end"/>
      </w:r>
      <w:r w:rsidR="008E6B2D">
        <w:t>). În pofida susținerilor ulterioare ale A.C. în sens contrar (a se vedea supra, pct. </w:t>
      </w:r>
      <w:r w:rsidR="008E6B2D" w:rsidRPr="00857E57">
        <w:fldChar w:fldCharType="begin"/>
      </w:r>
      <w:r w:rsidR="008E6B2D" w:rsidRPr="00857E57">
        <w:instrText xml:space="preserve"> REF paragraph00060 \h  \* CharFormat </w:instrText>
      </w:r>
      <w:r w:rsidR="008E6B2D" w:rsidRPr="00857E57">
        <w:fldChar w:fldCharType="separate"/>
      </w:r>
      <w:r w:rsidR="00495766">
        <w:t>81</w:t>
      </w:r>
      <w:r w:rsidR="008E6B2D" w:rsidRPr="00857E57">
        <w:fldChar w:fldCharType="end"/>
      </w:r>
      <w:r w:rsidR="008E6B2D">
        <w:t xml:space="preserve"> </w:t>
      </w:r>
      <w:r w:rsidR="008E6B2D">
        <w:rPr>
          <w:i/>
          <w:iCs/>
        </w:rPr>
        <w:t>in fine</w:t>
      </w:r>
      <w:r w:rsidR="008E6B2D">
        <w:t>), din multiplele probe prezentate de părți rezultă că activitatea infracțională a reclamanților va fi tratată, în scopul stabilirii unor pedepse, ca fiind în principal un caz de trafic de droguri (a se vedea supra, pct. </w:t>
      </w:r>
      <w:r w:rsidR="008E6B2D" w:rsidRPr="00857E57">
        <w:fldChar w:fldCharType="begin"/>
      </w:r>
      <w:r w:rsidR="008E6B2D" w:rsidRPr="00857E57">
        <w:instrText xml:space="preserve"> REF paragraph00065 \h  \* CharFormat </w:instrText>
      </w:r>
      <w:r w:rsidR="008E6B2D" w:rsidRPr="00857E57">
        <w:fldChar w:fldCharType="separate"/>
      </w:r>
      <w:r w:rsidR="00495766">
        <w:t>86</w:t>
      </w:r>
      <w:r w:rsidR="008E6B2D" w:rsidRPr="00857E57">
        <w:fldChar w:fldCharType="end"/>
      </w:r>
      <w:r w:rsidR="008E6B2D">
        <w:t>).</w:t>
      </w:r>
    </w:p>
    <w:p w:rsidR="0055665C" w:rsidRPr="00857E57" w:rsidRDefault="000E6C59" w:rsidP="00857E57">
      <w:pPr>
        <w:pStyle w:val="JuPara"/>
      </w:pPr>
      <w:fldSimple w:instr=" SEQ level0 \*arabic \* MERGEFORMAT ">
        <w:r w:rsidR="00495766">
          <w:rPr>
            <w:noProof/>
          </w:rPr>
          <w:t>96</w:t>
        </w:r>
      </w:fldSimple>
      <w:r w:rsidR="008E6B2D">
        <w:t xml:space="preserve">. Curtea ia act de susținerea Departamentului de Justiție al SUA (a se vedea supra, pct. </w:t>
      </w:r>
      <w:r w:rsidR="008E6B2D" w:rsidRPr="00857E57">
        <w:fldChar w:fldCharType="begin"/>
      </w:r>
      <w:r w:rsidR="008E6B2D" w:rsidRPr="00857E57">
        <w:instrText xml:space="preserve"> REF paragraph00064 \h  \* CharFormat </w:instrText>
      </w:r>
      <w:r w:rsidR="008E6B2D" w:rsidRPr="00857E57">
        <w:fldChar w:fldCharType="separate"/>
      </w:r>
      <w:r w:rsidR="00495766">
        <w:t>85</w:t>
      </w:r>
      <w:r w:rsidR="008E6B2D" w:rsidRPr="00857E57">
        <w:fldChar w:fldCharType="end"/>
      </w:r>
      <w:r w:rsidR="008E6B2D">
        <w:t xml:space="preserve">) potrivit căreia pedepsele cu detențiune pe viață sunt rare în sistemul federal și că probele prezentate arată că, în ultimii zece ani, mai puțin de 2% din toate cauzele având ca obiect drogurile, în care putea fi aplicată pedeapsa detențiunii pe viață și care au fost judecate în Districtul de Est al statului Texas, au avut ca rezultat aplicarea unei astfel de pedepse (a se vedea supra, </w:t>
      </w:r>
      <w:r w:rsidR="008E6B2D" w:rsidRPr="00857E57">
        <w:fldChar w:fldCharType="begin"/>
      </w:r>
      <w:r w:rsidR="008E6B2D" w:rsidRPr="00857E57">
        <w:instrText xml:space="preserve"> REF paragraph00086 \h  \* CharFormat </w:instrText>
      </w:r>
      <w:r w:rsidR="008E6B2D" w:rsidRPr="00857E57">
        <w:fldChar w:fldCharType="separate"/>
      </w:r>
      <w:r w:rsidR="00495766">
        <w:t>87</w:t>
      </w:r>
      <w:r w:rsidR="008E6B2D" w:rsidRPr="00857E57">
        <w:fldChar w:fldCharType="end"/>
      </w:r>
      <w:r w:rsidR="008E6B2D">
        <w:t>).</w:t>
      </w:r>
    </w:p>
    <w:p w:rsidR="0055665C" w:rsidRPr="00857E57" w:rsidRDefault="000E6C59" w:rsidP="00857E57">
      <w:pPr>
        <w:pStyle w:val="JuPara"/>
      </w:pPr>
      <w:fldSimple w:instr=" SEQ level0 \*arabic \* MERGEFORMAT ">
        <w:r w:rsidR="00495766">
          <w:rPr>
            <w:noProof/>
          </w:rPr>
          <w:t>97</w:t>
        </w:r>
      </w:fldSimple>
      <w:r w:rsidR="008E6B2D">
        <w:t xml:space="preserve">. În cauza </w:t>
      </w:r>
      <w:r w:rsidR="008E6B2D">
        <w:rPr>
          <w:i/>
        </w:rPr>
        <w:t>Sanchez-Sanchez</w:t>
      </w:r>
      <w:r w:rsidR="008E6B2D">
        <w:t>, după examinarea aceluiași raport menționat de Departamentul de Justiție al SUA (a se vedea supra, pct. </w:t>
      </w:r>
      <w:r w:rsidR="008E6B2D" w:rsidRPr="00857E57">
        <w:fldChar w:fldCharType="begin"/>
      </w:r>
      <w:r w:rsidR="008E6B2D" w:rsidRPr="00857E57">
        <w:instrText xml:space="preserve"> REF paragraph00064 \h  \* CharFormat </w:instrText>
      </w:r>
      <w:r w:rsidR="008E6B2D" w:rsidRPr="00857E57">
        <w:fldChar w:fldCharType="separate"/>
      </w:r>
      <w:r w:rsidR="00495766">
        <w:t>85</w:t>
      </w:r>
      <w:r w:rsidR="008E6B2D" w:rsidRPr="00857E57">
        <w:fldChar w:fldCharType="end"/>
      </w:r>
      <w:r w:rsidR="008E6B2D">
        <w:t xml:space="preserve">), Curtea a recunoscut că – deși este rară – pedeapsa cu detențiunea pe viață putea fi impusă în cazurile de trafic de droguri care au implicat cantități mari de droguri sau atunci când instanța a aplicat alte dispoziții de majorare a pedepselor referitoare la traficul de droguri (a se vedea </w:t>
      </w:r>
      <w:r w:rsidR="008E6B2D">
        <w:rPr>
          <w:i/>
        </w:rPr>
        <w:t>Sanchez-Sanchez</w:t>
      </w:r>
      <w:r w:rsidR="008E6B2D">
        <w:t xml:space="preserve">, citată anterior, pct. 63 și 104-106). Potrivit raportului sus-menționat, Orientările privind traficul de droguri prevăd în mod specific o pedeapsă cu detențiune pe viață pentru infracțiuni legate de traficul de droguri în cazurile în care a survenit decesul sau vătămarea corporală gravă ca urmare a utilizării drogului, iar inculpatul a mai fost condamnat anterior pentru o infracțiune de trafic de droguri (ibid., pct. 105). În speță, deși acuzațiile formulate împotriva reclamanților sunt fără îndoială grave, niciun element din rechizitoriu nu sugerează că aceștia erau șefii unei organizații de trafic de droguri sau că au avut un comportament ilegal, care a condus la decesul sau vătămarea cuiva (a se compara cu hotărârea în cauza </w:t>
      </w:r>
      <w:r w:rsidR="008E6B2D">
        <w:rPr>
          <w:i/>
        </w:rPr>
        <w:t>Sanchez-Sanchez</w:t>
      </w:r>
      <w:r w:rsidR="008E6B2D">
        <w:t>, citată anterior, pct. 106). În plus, probele prezentate Curții sugerează că reclamanții nu au condamnări anterioare (a se vedea supra</w:t>
      </w:r>
      <w:r w:rsidR="008E6B2D" w:rsidRPr="00857E57">
        <w:fldChar w:fldCharType="begin"/>
      </w:r>
      <w:r w:rsidR="008E6B2D" w:rsidRPr="00857E57">
        <w:instrText xml:space="preserve"> REF paragraph00069 \h  \* CharFormat  \* MERGEFORMAT </w:instrText>
      </w:r>
      <w:r w:rsidR="008E6B2D" w:rsidRPr="00857E57">
        <w:fldChar w:fldCharType="separate"/>
      </w:r>
      <w:r w:rsidR="00495766">
        <w:t>89</w:t>
      </w:r>
      <w:r w:rsidR="008E6B2D" w:rsidRPr="00857E57">
        <w:fldChar w:fldCharType="end"/>
      </w:r>
      <w:r w:rsidR="008E6B2D">
        <w:t xml:space="preserve"> ).</w:t>
      </w:r>
    </w:p>
    <w:p w:rsidR="0055665C" w:rsidRPr="00857E57" w:rsidRDefault="000E6C59" w:rsidP="00857E57">
      <w:pPr>
        <w:pStyle w:val="JuPara"/>
      </w:pPr>
      <w:fldSimple w:instr=" SEQ level0 \*arabic \* MERGEFORMAT ">
        <w:r w:rsidR="00495766">
          <w:rPr>
            <w:noProof/>
          </w:rPr>
          <w:t>98</w:t>
        </w:r>
      </w:fldSimple>
      <w:r w:rsidR="008E6B2D">
        <w:t xml:space="preserve">. Curtea observă, de asemenea, divergențele de opinie semnificative dintre Departamentul de Justiție al SUA și expertul angajat de reclamanți cu privire la nivelul relevant al infracțiunii în cazul condamnării reclamanților pentru acuzațiile care le sunt aduse (a se vedea supra, pct. </w:t>
      </w:r>
      <w:r w:rsidR="008E6B2D" w:rsidRPr="00857E57">
        <w:fldChar w:fldCharType="begin"/>
      </w:r>
      <w:r w:rsidR="008E6B2D" w:rsidRPr="00857E57">
        <w:instrText xml:space="preserve"> REF paragraph00058 \h  \* CharFormat </w:instrText>
      </w:r>
      <w:r w:rsidR="008E6B2D" w:rsidRPr="00857E57">
        <w:fldChar w:fldCharType="separate"/>
      </w:r>
      <w:r w:rsidR="00495766">
        <w:t>79</w:t>
      </w:r>
      <w:r w:rsidR="008E6B2D" w:rsidRPr="00857E57">
        <w:fldChar w:fldCharType="end"/>
      </w:r>
      <w:r w:rsidR="008E6B2D">
        <w:t xml:space="preserve"> și </w:t>
      </w:r>
      <w:r w:rsidR="008E6B2D" w:rsidRPr="00857E57">
        <w:fldChar w:fldCharType="begin"/>
      </w:r>
      <w:r w:rsidR="008E6B2D" w:rsidRPr="00857E57">
        <w:instrText xml:space="preserve"> REF paragraph00065 \h  \* CharFormat </w:instrText>
      </w:r>
      <w:r w:rsidR="008E6B2D" w:rsidRPr="00857E57">
        <w:fldChar w:fldCharType="separate"/>
      </w:r>
      <w:r w:rsidR="00495766">
        <w:t>86</w:t>
      </w:r>
      <w:r w:rsidR="008E6B2D" w:rsidRPr="00857E57">
        <w:fldChar w:fldCharType="end"/>
      </w:r>
      <w:r w:rsidR="008E6B2D">
        <w:t xml:space="preserve">). Acestea fiind spuse, nu este rolul Curții să încerce să abordeze orice permutare imaginabilă care ar putea apărea sau orice scenariu posibil care ar putea surveni în procesul de stabilire a pedepsei (a se vedea </w:t>
      </w:r>
      <w:r w:rsidR="008E6B2D">
        <w:rPr>
          <w:i/>
        </w:rPr>
        <w:t xml:space="preserve">López Elorza împotriva Spaniei, </w:t>
      </w:r>
      <w:r w:rsidR="008E6B2D">
        <w:t xml:space="preserve">nr. 30614/15, pct. 118, 12 decembrie 2017; a se vedea și </w:t>
      </w:r>
      <w:r w:rsidR="008E6B2D">
        <w:rPr>
          <w:i/>
        </w:rPr>
        <w:t xml:space="preserve">Sanchez </w:t>
      </w:r>
      <w:proofErr w:type="spellStart"/>
      <w:r w:rsidR="008E6B2D">
        <w:rPr>
          <w:i/>
        </w:rPr>
        <w:lastRenderedPageBreak/>
        <w:t>Sanchez</w:t>
      </w:r>
      <w:proofErr w:type="spellEnd"/>
      <w:r w:rsidR="008E6B2D">
        <w:rPr>
          <w:i/>
        </w:rPr>
        <w:t xml:space="preserve">, </w:t>
      </w:r>
      <w:r w:rsidR="008E6B2D">
        <w:t xml:space="preserve">citată anterior, pct. 108 </w:t>
      </w:r>
      <w:r w:rsidR="008E6B2D">
        <w:rPr>
          <w:i/>
        </w:rPr>
        <w:t>in fine</w:t>
      </w:r>
      <w:r w:rsidR="008E6B2D">
        <w:t>), cu atât mai mult cu cât, în speță, concluziile părților sunt atât de diferite.</w:t>
      </w:r>
    </w:p>
    <w:p w:rsidR="0055665C" w:rsidRPr="00857E57" w:rsidRDefault="000E6C59" w:rsidP="00857E57">
      <w:pPr>
        <w:pStyle w:val="JuPara"/>
      </w:pPr>
      <w:fldSimple w:instr=" SEQ level0 \*arabic \* MERGEFORMAT ">
        <w:r w:rsidR="00495766">
          <w:rPr>
            <w:noProof/>
          </w:rPr>
          <w:t>99</w:t>
        </w:r>
      </w:fldSimple>
      <w:r w:rsidR="008E6B2D">
        <w:t xml:space="preserve">. Așa cum a constatat Curtea în cauza </w:t>
      </w:r>
      <w:r w:rsidR="008E6B2D">
        <w:rPr>
          <w:i/>
        </w:rPr>
        <w:t>Findikoglu</w:t>
      </w:r>
      <w:r w:rsidR="008E6B2D">
        <w:t xml:space="preserve"> (citată anterior, pct. 39), durata pedepsei cu închisoarea aplicată reclamanților ar putea fi afectată de factori premergători procesului, precum acordul de cooperare cu Guvernul SUA. În plus, în cazul în care reclamanții și-ar recunoaște vinovăția sau ar fi condamnați în urma judecării lor, judecătorul ar dispune de o largă putere discreționară pentru a stabili pedeapsa corespunzătoare, în urma unui proces de stabilire a faptelor, în care reclamanții ar avea posibilitatea de a prezenta probe privind orice circumstanțe atenuante care ar putea justifica aplicarea unei pedepse sub limita recomandată în documentul Orientări privind stabilirea pedepselor. În sfârșit, reclamanții ar avea dreptul de a introduce o cale de atac împotriva oricărei pedepse aplicate (a se vedea supra, pct. </w:t>
      </w:r>
      <w:r w:rsidR="008E6B2D" w:rsidRPr="00857E57">
        <w:fldChar w:fldCharType="begin"/>
      </w:r>
      <w:r w:rsidR="008E6B2D" w:rsidRPr="00857E57">
        <w:instrText xml:space="preserve"> REF paragraph00068 \h  \* CharFormat </w:instrText>
      </w:r>
      <w:r w:rsidR="008E6B2D" w:rsidRPr="00857E57">
        <w:fldChar w:fldCharType="separate"/>
      </w:r>
      <w:r w:rsidR="00495766">
        <w:t>88</w:t>
      </w:r>
      <w:r w:rsidR="008E6B2D" w:rsidRPr="00857E57">
        <w:fldChar w:fldCharType="end"/>
      </w:r>
      <w:r w:rsidR="008E6B2D">
        <w:t xml:space="preserve">) și ar beneficia de aceleași garanții procedurale menționate de Curte în cauza </w:t>
      </w:r>
      <w:r w:rsidR="008E6B2D">
        <w:rPr>
          <w:i/>
        </w:rPr>
        <w:t>Sanchez</w:t>
      </w:r>
      <w:r w:rsidR="008E6B2D">
        <w:rPr>
          <w:i/>
        </w:rPr>
        <w:noBreakHyphen/>
        <w:t>Sanchez</w:t>
      </w:r>
      <w:r w:rsidR="008E6B2D">
        <w:t>.</w:t>
      </w:r>
    </w:p>
    <w:p w:rsidR="0055665C" w:rsidRPr="00857E57" w:rsidRDefault="000E6C59" w:rsidP="00857E57">
      <w:pPr>
        <w:pStyle w:val="JuPara"/>
      </w:pPr>
      <w:fldSimple w:instr=" SEQ level0 \*arabic \* MERGEFORMAT ">
        <w:r w:rsidR="00495766">
          <w:rPr>
            <w:noProof/>
          </w:rPr>
          <w:t>100</w:t>
        </w:r>
      </w:fldSimple>
      <w:r w:rsidR="008E6B2D">
        <w:t xml:space="preserve">. În cele din urmă, Curtea consideră că este esențial să sublinieze că, la momentul la care Guvernul pârât a fost informat cu privire la prezenta cauză, reclamanților li s a solicitat să prezinte exemple de practici ale instanțelor de fond din SUA de stabilire a pedepselor, în cadrul unor proceduri similare. Cu toate acestea, reclamanții nu au prezentat nicio probă care să arate că inculpați cu antecedente similare cu ale lor au fost declarați vinovați de un comportament similar și au fost condamnați la detențiune pe viață fără posibilitatea acordării liberării condiționate (a se vedea </w:t>
      </w:r>
      <w:r w:rsidR="008E6B2D">
        <w:rPr>
          <w:i/>
        </w:rPr>
        <w:t>Sanchez-Sanchez</w:t>
      </w:r>
      <w:r w:rsidR="008E6B2D">
        <w:t>, citată anterior, pct. 108).</w:t>
      </w:r>
    </w:p>
    <w:p w:rsidR="0055665C" w:rsidRPr="00857E57" w:rsidRDefault="000E6C59" w:rsidP="00857E57">
      <w:pPr>
        <w:pStyle w:val="JuPara"/>
      </w:pPr>
      <w:fldSimple w:instr=" SEQ level0 \*arabic \* MERGEFORMAT ">
        <w:r w:rsidR="00495766">
          <w:rPr>
            <w:noProof/>
          </w:rPr>
          <w:t>101</w:t>
        </w:r>
      </w:fldSimple>
      <w:r w:rsidR="008E6B2D">
        <w:t xml:space="preserve">. Având în vedere cele de mai sus, nu se poate afirma că reclamanții au prezentat probe care să demonstreze că extrădarea lor în SUA i-ar expune unui risc real de a fi supuși unui tratament care atinge pragul prevăzut la art. 3, din cauza riscului ca aceștia să fie condamnați la detențiune pe viață fără posibilitatea liberării condiționate [a se compara cu </w:t>
      </w:r>
      <w:proofErr w:type="spellStart"/>
      <w:r w:rsidR="008E6B2D">
        <w:rPr>
          <w:i/>
          <w:iCs/>
        </w:rPr>
        <w:t>McCallum</w:t>
      </w:r>
      <w:proofErr w:type="spellEnd"/>
      <w:r w:rsidR="008E6B2D">
        <w:rPr>
          <w:i/>
          <w:iCs/>
        </w:rPr>
        <w:t xml:space="preserve"> împotriva Italiei</w:t>
      </w:r>
      <w:r w:rsidR="008E6B2D">
        <w:t xml:space="preserve"> (MC) (dec.), nr. 20863/21, pct. 55, 21 septembrie 2022]. În aceste condiții, nu este necesar ca, în prezenta cauză, Curtea să procedeze la a doua etapă a analizei [a se vedea supra, pct. </w:t>
      </w:r>
      <w:r w:rsidR="008E6B2D" w:rsidRPr="00857E57">
        <w:fldChar w:fldCharType="begin"/>
      </w:r>
      <w:r w:rsidR="008E6B2D" w:rsidRPr="00857E57">
        <w:instrText xml:space="preserve"> REF paragraph00072 \h  \* CharFormat </w:instrText>
      </w:r>
      <w:r w:rsidR="008E6B2D" w:rsidRPr="00857E57">
        <w:fldChar w:fldCharType="separate"/>
      </w:r>
      <w:r w:rsidR="00495766">
        <w:t>92</w:t>
      </w:r>
      <w:r w:rsidR="008E6B2D" w:rsidRPr="00857E57">
        <w:fldChar w:fldCharType="end"/>
      </w:r>
      <w:r w:rsidR="008E6B2D">
        <w:t xml:space="preserve">; a se vedea, de asemenea, </w:t>
      </w:r>
      <w:r w:rsidR="008E6B2D">
        <w:rPr>
          <w:i/>
          <w:iCs/>
        </w:rPr>
        <w:t>Sanchez-Sanchez</w:t>
      </w:r>
      <w:r w:rsidR="008E6B2D">
        <w:t xml:space="preserve">, citată anterior, pct. 109, </w:t>
      </w:r>
      <w:proofErr w:type="spellStart"/>
      <w:r w:rsidR="008E6B2D">
        <w:rPr>
          <w:i/>
        </w:rPr>
        <w:t>Hafeez</w:t>
      </w:r>
      <w:proofErr w:type="spellEnd"/>
      <w:r w:rsidR="008E6B2D">
        <w:rPr>
          <w:i/>
        </w:rPr>
        <w:t xml:space="preserve"> împotriva Regatului Unit</w:t>
      </w:r>
      <w:r w:rsidR="008E6B2D">
        <w:t xml:space="preserve"> (dec.) nr. 14198/20, pct. 55, 28 martie 2023, și </w:t>
      </w:r>
      <w:proofErr w:type="spellStart"/>
      <w:r w:rsidR="008E6B2D">
        <w:rPr>
          <w:i/>
        </w:rPr>
        <w:t>Carvajal</w:t>
      </w:r>
      <w:proofErr w:type="spellEnd"/>
      <w:r w:rsidR="008E6B2D">
        <w:rPr>
          <w:i/>
        </w:rPr>
        <w:t xml:space="preserve"> Barrios împotriva Spaniei</w:t>
      </w:r>
      <w:r w:rsidR="008E6B2D">
        <w:t xml:space="preserve"> (dec.), nr. 13869/22, pct. 96-97, 4 iulie 2023].</w:t>
      </w:r>
    </w:p>
    <w:p w:rsidR="0055665C" w:rsidRPr="00857E57" w:rsidRDefault="00495766" w:rsidP="00857E57">
      <w:pPr>
        <w:pStyle w:val="JuPara"/>
      </w:pPr>
      <w:r>
        <w:fldChar w:fldCharType="begin"/>
      </w:r>
      <w:r>
        <w:instrText xml:space="preserve"> SEQ level0 \*arabic </w:instrText>
      </w:r>
      <w:r>
        <w:fldChar w:fldCharType="separate"/>
      </w:r>
      <w:r>
        <w:rPr>
          <w:noProof/>
        </w:rPr>
        <w:t>102</w:t>
      </w:r>
      <w:r>
        <w:fldChar w:fldCharType="end"/>
      </w:r>
      <w:r w:rsidR="008E6B2D">
        <w:t>. Prin urmare, capătul de cerere formulat de reclamanți în temeiul art. 3 din Convenție este în mod vădit nefondat și trebuie respins în conformitate cu art. 35 § 3 și § 4 din Convenție.</w:t>
      </w:r>
    </w:p>
    <w:p w:rsidR="0055665C" w:rsidRPr="00857E57" w:rsidRDefault="008E6B2D" w:rsidP="00857E57">
      <w:pPr>
        <w:pStyle w:val="JuHIRoman"/>
      </w:pPr>
      <w:r>
        <w:t>CU PRIVIRE LA PRETINSA ÎNCĂLCARE A ART. 5 § 1 DIN CONVENȚIE</w:t>
      </w:r>
    </w:p>
    <w:p w:rsidR="0055665C" w:rsidRPr="00857E57" w:rsidRDefault="00495766" w:rsidP="00857E57">
      <w:pPr>
        <w:pStyle w:val="JuPara"/>
      </w:pPr>
      <w:r>
        <w:fldChar w:fldCharType="begin"/>
      </w:r>
      <w:r>
        <w:instrText xml:space="preserve"> SEQ level0 \*arabic </w:instrText>
      </w:r>
      <w:r>
        <w:fldChar w:fldCharType="separate"/>
      </w:r>
      <w:r>
        <w:rPr>
          <w:noProof/>
        </w:rPr>
        <w:t>103</w:t>
      </w:r>
      <w:r>
        <w:fldChar w:fldCharType="end"/>
      </w:r>
      <w:r w:rsidR="008E6B2D">
        <w:t xml:space="preserve">. Reclamanții s-au plâns, în temeiul art. 5 din Convenție, că detenția lor în vederea extrădării a fost nelegală. Curtea consideră că acest capăt de </w:t>
      </w:r>
      <w:r w:rsidR="008E6B2D">
        <w:lastRenderedPageBreak/>
        <w:t>cerere trebuie să fie examinat în temeiul art. 5 § 1 lit. f) din Convenție, care se citește după cum urmează:</w:t>
      </w:r>
    </w:p>
    <w:p w:rsidR="0055665C" w:rsidRPr="00857E57" w:rsidRDefault="008E6B2D" w:rsidP="00857E57">
      <w:pPr>
        <w:pStyle w:val="JuQuot"/>
      </w:pPr>
      <w:r>
        <w:t>„1. Orice persoană are dreptul la libertate și la siguranță. Nimeni nu poate fi lipsit de libertatea sa, cu excepția următoarelor cazuri și potrivit căilor legale:</w:t>
      </w:r>
    </w:p>
    <w:p w:rsidR="0055665C" w:rsidRPr="00857E57" w:rsidRDefault="008E6B2D" w:rsidP="00857E57">
      <w:pPr>
        <w:pStyle w:val="JuQuot"/>
      </w:pPr>
      <w:r>
        <w:t>[...]</w:t>
      </w:r>
    </w:p>
    <w:p w:rsidR="0055665C" w:rsidRPr="00857E57" w:rsidRDefault="008E6B2D" w:rsidP="00857E57">
      <w:pPr>
        <w:pStyle w:val="JuQuot"/>
      </w:pPr>
      <w:r>
        <w:t>f) dacă este vorba despre arestarea sau detenția legală a unei persoane pentru a o împiedica să pătrundă în mod ilegal pe teritoriu sau împotriva căreia se află în curs o procedură de expulzare ori de extrădare.”</w:t>
      </w:r>
    </w:p>
    <w:p w:rsidR="0081399E" w:rsidRPr="00857E57" w:rsidRDefault="008E6B2D" w:rsidP="00857E57">
      <w:pPr>
        <w:pStyle w:val="JuHA"/>
      </w:pPr>
      <w:r>
        <w:t>Cu privire la admisibilitate</w:t>
      </w:r>
    </w:p>
    <w:p w:rsidR="0081399E" w:rsidRPr="00857E57" w:rsidRDefault="00495766" w:rsidP="00857E57">
      <w:pPr>
        <w:pStyle w:val="JuPara"/>
      </w:pPr>
      <w:r>
        <w:fldChar w:fldCharType="begin"/>
      </w:r>
      <w:r>
        <w:instrText xml:space="preserve"> SEQ level0 \*arabic </w:instrText>
      </w:r>
      <w:r>
        <w:fldChar w:fldCharType="separate"/>
      </w:r>
      <w:r>
        <w:rPr>
          <w:noProof/>
        </w:rPr>
        <w:t>104</w:t>
      </w:r>
      <w:r>
        <w:fldChar w:fldCharType="end"/>
      </w:r>
      <w:r w:rsidR="008E6B2D">
        <w:t>. Curtea constată că acest capăt de cerere nu este în mod vădit nefondat în sensul art. 35 § 3 lit. a) din Convenție. Constată, de asemenea, că nu prezintă niciun alt motiv de inadmisibilitate. Trebuie așadar să fie declarat admisibil.</w:t>
      </w:r>
    </w:p>
    <w:p w:rsidR="0081399E" w:rsidRPr="00857E57" w:rsidRDefault="008E6B2D" w:rsidP="00857E57">
      <w:pPr>
        <w:pStyle w:val="JuHA"/>
      </w:pPr>
      <w:r>
        <w:t>Cu privire la fond</w:t>
      </w:r>
    </w:p>
    <w:p w:rsidR="0055665C" w:rsidRPr="00857E57" w:rsidRDefault="008E6B2D" w:rsidP="00857E57">
      <w:pPr>
        <w:pStyle w:val="JuH1"/>
      </w:pPr>
      <w:r>
        <w:t>Pretențiile părților</w:t>
      </w:r>
    </w:p>
    <w:p w:rsidR="0055665C" w:rsidRPr="00857E57" w:rsidRDefault="008E6B2D" w:rsidP="00857E57">
      <w:pPr>
        <w:pStyle w:val="JuHa0"/>
        <w:numPr>
          <w:ilvl w:val="4"/>
          <w:numId w:val="4"/>
        </w:numPr>
      </w:pPr>
      <w:r>
        <w:t>Reclamanții</w:t>
      </w:r>
    </w:p>
    <w:p w:rsidR="0055665C" w:rsidRPr="00857E57" w:rsidRDefault="000E6C59" w:rsidP="00857E57">
      <w:pPr>
        <w:pStyle w:val="JuPara"/>
      </w:pPr>
      <w:fldSimple w:instr=" SEQ level0 \*arabic \* MERGEFORMAT ">
        <w:bookmarkStart w:id="66" w:name="paragraph00104"/>
        <w:r w:rsidR="00495766">
          <w:rPr>
            <w:noProof/>
          </w:rPr>
          <w:t>105</w:t>
        </w:r>
        <w:bookmarkEnd w:id="66"/>
      </w:fldSimple>
      <w:r w:rsidR="008E6B2D">
        <w:t xml:space="preserve">. Primul reclamant a susținut că detenția sa după data de 10 iunie 2021 a fost nelegală întrucât nu exista niciun temei juridic în dreptul național care să permită menținerea în detenție după expirarea perioadei de detenție relevante [art. 57 alin. (5) din Legea nr. 302/2004; a se vedea supra, pct. </w:t>
      </w:r>
      <w:r w:rsidR="008E6B2D" w:rsidRPr="00857E57">
        <w:fldChar w:fldCharType="begin"/>
      </w:r>
      <w:r w:rsidR="008E6B2D" w:rsidRPr="00857E57">
        <w:instrText xml:space="preserve"> REF paragraph00054 \h  \* CharFormat </w:instrText>
      </w:r>
      <w:r w:rsidR="008E6B2D" w:rsidRPr="00857E57">
        <w:fldChar w:fldCharType="separate"/>
      </w:r>
      <w:r w:rsidR="00495766" w:rsidRPr="00495766">
        <w:t>54</w:t>
      </w:r>
      <w:r w:rsidR="008E6B2D" w:rsidRPr="00857E57">
        <w:fldChar w:fldCharType="end"/>
      </w:r>
      <w:r w:rsidR="008E6B2D">
        <w:t>]. El a susținut că instanțele române au fost inconsecvente în ceea ce privește aplicabilitatea dispozițiilor relevante din C. proc. pen. pentru completarea Legii nr. 302/2004, în special în ceea ce privește măsurile mai puțin invazive decât lipsirea de libertate, ceea ce a făcut ca detenția lui să fie arbitrară. În plus, acesta a susținut că impunerea unei măsuri provizorii de către Curte nu era un caz de forță majoră și că, în orice caz, Înalta Curte s-a pronunțat asupra chestiunii forței majore abia la 29 iunie 2021, adică la nouăsprezece zile după expirarea, la 10 iunie 2021, a termenului de treizeci de zile (a se vedea supra, pct. </w:t>
      </w:r>
      <w:r w:rsidR="008E6B2D" w:rsidRPr="00857E57">
        <w:fldChar w:fldCharType="begin"/>
      </w:r>
      <w:r w:rsidR="008E6B2D" w:rsidRPr="00857E57">
        <w:instrText xml:space="preserve"> REF Matthewsarrestexpires100621 \h  \* MERGEFORMAT </w:instrText>
      </w:r>
      <w:r w:rsidR="008E6B2D" w:rsidRPr="00857E57">
        <w:fldChar w:fldCharType="separate"/>
      </w:r>
      <w:r w:rsidR="00495766">
        <w:t>31</w:t>
      </w:r>
      <w:r w:rsidR="008E6B2D" w:rsidRPr="00857E57">
        <w:fldChar w:fldCharType="end"/>
      </w:r>
      <w:r w:rsidR="008E6B2D">
        <w:t xml:space="preserve"> și urm.). Acest lucru, în sine, însemna că detenția reclamantului fusese nelegală, cel puțin pentru nouăsprezece zile.</w:t>
      </w:r>
    </w:p>
    <w:p w:rsidR="0055665C" w:rsidRPr="00857E57" w:rsidRDefault="000E6C59" w:rsidP="00857E57">
      <w:pPr>
        <w:pStyle w:val="JuPara"/>
      </w:pPr>
      <w:fldSimple w:instr=" SEQ level0 \*arabic \* MERGEFORMAT ">
        <w:r w:rsidR="00495766">
          <w:rPr>
            <w:noProof/>
          </w:rPr>
          <w:t>106</w:t>
        </w:r>
      </w:fldSimple>
      <w:r w:rsidR="008E6B2D">
        <w:t>. Primul reclamant a susținut de asemenea că legislația națională privind cazurile de forță majoră nu avea certitudine juridică, întrucât noțiunea de forță majoră nu era definită în mod expres de dispozițiile Legii nr. 302/2004, și nu prevedea nici o durată clară pentru măsura arestării dispusă ulterior rămânerii definitive a hotărârii de extrădare, nici o verificare periodică a măsurii. Acesta a făcut referire de asemenea la relevanța examinării de către Curtea Constituțională a plângerii reclamanților, care se afla în curs de judecată la acea dată și care a dus la pronunțarea Deciziei nr. 359/2022 (a se vedea supra, pct. </w:t>
      </w:r>
      <w:r w:rsidR="008E6B2D" w:rsidRPr="00857E57">
        <w:fldChar w:fldCharType="begin"/>
      </w:r>
      <w:r w:rsidR="008E6B2D" w:rsidRPr="00857E57">
        <w:instrText xml:space="preserve"> REF paragraph00047 \h  \* CharFormat </w:instrText>
      </w:r>
      <w:r w:rsidR="008E6B2D" w:rsidRPr="00857E57">
        <w:fldChar w:fldCharType="separate"/>
      </w:r>
      <w:r w:rsidR="00495766" w:rsidRPr="00495766">
        <w:t>55</w:t>
      </w:r>
      <w:r w:rsidR="008E6B2D" w:rsidRPr="00857E57">
        <w:fldChar w:fldCharType="end"/>
      </w:r>
      <w:r w:rsidR="008E6B2D">
        <w:t>-</w:t>
      </w:r>
      <w:r w:rsidR="008E6B2D" w:rsidRPr="00857E57">
        <w:fldChar w:fldCharType="begin"/>
      </w:r>
      <w:r w:rsidR="008E6B2D" w:rsidRPr="00857E57">
        <w:instrText xml:space="preserve"> REF paragraph00044 \h  \* CharFormat </w:instrText>
      </w:r>
      <w:r w:rsidR="008E6B2D" w:rsidRPr="00857E57">
        <w:fldChar w:fldCharType="separate"/>
      </w:r>
      <w:r w:rsidR="00495766" w:rsidRPr="00495766">
        <w:t>56</w:t>
      </w:r>
      <w:r w:rsidR="008E6B2D" w:rsidRPr="00857E57">
        <w:fldChar w:fldCharType="end"/>
      </w:r>
      <w:r w:rsidR="008E6B2D">
        <w:t>).</w:t>
      </w:r>
    </w:p>
    <w:p w:rsidR="0055665C" w:rsidRPr="00857E57" w:rsidRDefault="000E6C59" w:rsidP="00857E57">
      <w:pPr>
        <w:pStyle w:val="JuPara"/>
      </w:pPr>
      <w:fldSimple w:instr=" SEQ level0 \*arabic \* MERGEFORMAT ">
        <w:r w:rsidR="00495766">
          <w:rPr>
            <w:noProof/>
          </w:rPr>
          <w:t>107</w:t>
        </w:r>
      </w:fldSimple>
      <w:r w:rsidR="008E6B2D">
        <w:t xml:space="preserve">. Cel de-al doilea reclamant a reiterat argumentele prezentate de primul reclamant și a subliniat că detenția sa, în special după ce a fost pronunțată hotărârea privind extrădarea sa (a se vedea supra, pct. </w:t>
      </w:r>
      <w:r w:rsidR="008E6B2D" w:rsidRPr="00857E57">
        <w:fldChar w:fldCharType="begin"/>
      </w:r>
      <w:r w:rsidR="008E6B2D" w:rsidRPr="00857E57">
        <w:instrText xml:space="preserve"> REF paragraph00017 \h  \* CharFormat </w:instrText>
      </w:r>
      <w:r w:rsidR="008E6B2D" w:rsidRPr="00857E57">
        <w:fldChar w:fldCharType="separate"/>
      </w:r>
      <w:r w:rsidR="00495766">
        <w:t>17</w:t>
      </w:r>
      <w:r w:rsidR="008E6B2D" w:rsidRPr="00857E57">
        <w:fldChar w:fldCharType="end"/>
      </w:r>
      <w:r w:rsidR="008E6B2D">
        <w:t xml:space="preserve"> și </w:t>
      </w:r>
      <w:r w:rsidR="008E6B2D" w:rsidRPr="00857E57">
        <w:fldChar w:fldCharType="begin"/>
      </w:r>
      <w:r w:rsidR="008E6B2D" w:rsidRPr="00857E57">
        <w:instrText xml:space="preserve"> REF paragraph00020 \h  \* CharFormat </w:instrText>
      </w:r>
      <w:r w:rsidR="008E6B2D" w:rsidRPr="00857E57">
        <w:fldChar w:fldCharType="separate"/>
      </w:r>
      <w:r w:rsidR="00495766">
        <w:t>20</w:t>
      </w:r>
      <w:r w:rsidR="008E6B2D" w:rsidRPr="00857E57">
        <w:fldChar w:fldCharType="end"/>
      </w:r>
      <w:r w:rsidR="008E6B2D">
        <w:t>), a fost arbitrară întrucât Legea nr. 302/2004 nu conținea dispoziții legale precise pentru dispunerea și prelungirea măsurii arestării în vederea predării și pentru stabilirea unor perioade de detenție „stabilite în totalitate” în asemenea circumstanțe. De asemenea, a argumentat că arestarea lui în vederea predării a încălcat Constituția și C. proc. pen., care prevedea o perioadă maximă de detenție de 180 de zile, și că ar trebui ca Legea nr. 302/2004 să fie corelată cu acestea.</w:t>
      </w:r>
    </w:p>
    <w:p w:rsidR="0055665C" w:rsidRPr="00857E57" w:rsidRDefault="008E6B2D" w:rsidP="00857E57">
      <w:pPr>
        <w:pStyle w:val="JuHa0"/>
        <w:numPr>
          <w:ilvl w:val="4"/>
          <w:numId w:val="4"/>
        </w:numPr>
      </w:pPr>
      <w:r>
        <w:t>Guvernul</w:t>
      </w:r>
    </w:p>
    <w:p w:rsidR="0055665C" w:rsidRPr="00857E57" w:rsidRDefault="000E6C59" w:rsidP="00857E57">
      <w:pPr>
        <w:pStyle w:val="JuPara"/>
        <w:rPr>
          <w:rFonts w:cstheme="minorHAnsi"/>
        </w:rPr>
      </w:pPr>
      <w:fldSimple w:instr=" SEQ level0 \*arabic \* MERGEFORMAT ">
        <w:r w:rsidR="00495766">
          <w:rPr>
            <w:noProof/>
          </w:rPr>
          <w:t>108</w:t>
        </w:r>
      </w:fldSimple>
      <w:r w:rsidR="008E6B2D">
        <w:t>. Guvernul a argumentat că Legea nr. 302/2004 respecta criteriile privind „calitatea legii” impuse la art. 5 din Convenție, întrucât dispozițiile sale relevante erau clare, accesibile și previzibile în mod rezonabil, chiar dacă, în contextul particular al reclamanților, se justifica o examinare complexă a cadrului legal, care ar fi putut necesita asistență din partea unui avocat. Dispozițiile legale în litigiu prevedeau în mod clar că, în cursul examinării unei cereri de extrădare, durata maximă a arestării provizorii „în vederea extrădării” era de 180 de zile [art. 43 alin. (3) din Legea nr. 302/2004]. În cursul detenției ulterioare, cu excepția cazurilor de forță majoră, măsura arestării în vederea predării înceta în cazul în care persoana extrădată nu fusese preluată de către statul solicitant în termenul de 30 de zile stabilit de la data convenită pentru predare [art. 57 alin. (6) și art. 43 alin. (7) din această lege; a se vedea supra, pct. </w:t>
      </w:r>
      <w:r w:rsidR="008E6B2D" w:rsidRPr="00857E57">
        <w:rPr>
          <w:rFonts w:cstheme="minorHAnsi"/>
        </w:rPr>
        <w:fldChar w:fldCharType="begin"/>
      </w:r>
      <w:r w:rsidR="008E6B2D" w:rsidRPr="00857E57">
        <w:rPr>
          <w:rFonts w:cstheme="minorHAnsi"/>
        </w:rPr>
        <w:instrText xml:space="preserve"> REF paragraph00054 \h  \* CharFormat </w:instrText>
      </w:r>
      <w:r w:rsidR="008E6B2D" w:rsidRPr="00857E57">
        <w:rPr>
          <w:rFonts w:cstheme="minorHAnsi"/>
        </w:rPr>
      </w:r>
      <w:r w:rsidR="008E6B2D" w:rsidRPr="00857E57">
        <w:rPr>
          <w:rFonts w:cstheme="minorHAnsi"/>
        </w:rPr>
        <w:fldChar w:fldCharType="separate"/>
      </w:r>
      <w:r w:rsidR="00495766">
        <w:rPr>
          <w:rFonts w:cstheme="minorHAnsi"/>
        </w:rPr>
        <w:t>54</w:t>
      </w:r>
      <w:r w:rsidR="008E6B2D" w:rsidRPr="00857E57">
        <w:rPr>
          <w:rFonts w:cstheme="minorHAnsi"/>
        </w:rPr>
        <w:fldChar w:fldCharType="end"/>
      </w:r>
      <w:r w:rsidR="008E6B2D">
        <w:t>].</w:t>
      </w:r>
    </w:p>
    <w:p w:rsidR="0055665C" w:rsidRPr="00857E57" w:rsidRDefault="008E6B2D" w:rsidP="00857E57">
      <w:pPr>
        <w:pStyle w:val="JuPara"/>
        <w:rPr>
          <w:rFonts w:cstheme="minorHAnsi"/>
        </w:rPr>
      </w:pPr>
      <w:r w:rsidRPr="00857E57">
        <w:rPr>
          <w:rFonts w:cstheme="minorHAnsi"/>
        </w:rPr>
        <w:fldChar w:fldCharType="begin"/>
      </w:r>
      <w:r w:rsidRPr="00857E57">
        <w:rPr>
          <w:rFonts w:cstheme="minorHAnsi"/>
        </w:rPr>
        <w:instrText xml:space="preserve"> SEQ level0 \*arabic \* MERGEFORMAT </w:instrText>
      </w:r>
      <w:r w:rsidRPr="00857E57">
        <w:rPr>
          <w:rFonts w:cstheme="minorHAnsi"/>
        </w:rPr>
        <w:fldChar w:fldCharType="separate"/>
      </w:r>
      <w:r w:rsidR="00495766">
        <w:rPr>
          <w:rFonts w:cstheme="minorHAnsi"/>
          <w:noProof/>
        </w:rPr>
        <w:t>109</w:t>
      </w:r>
      <w:r w:rsidRPr="00857E57">
        <w:rPr>
          <w:rFonts w:cstheme="minorHAnsi"/>
        </w:rPr>
        <w:fldChar w:fldCharType="end"/>
      </w:r>
      <w:r>
        <w:t>. Făcând referire la deciziile instanțelor naționale, inclusiv deciziile de înlocuire a măsurii arestării provizorii cu arestul la domiciliu și, ulterior, cu punerea în libertate sub control judiciar, bazate pe o interpretare globală a legislației relevante, Guvernul a susținut că arestarea reclamanților fusese efectuată cu bună-credință, în strânsă legătură cu scopul legitim al punerii în executare a hotărârilor definitive de extrădare și cu respectarea strictă a principiului necesității și proporționalității.</w:t>
      </w:r>
    </w:p>
    <w:p w:rsidR="0055665C" w:rsidRPr="00857E57" w:rsidRDefault="008E6B2D" w:rsidP="00857E57">
      <w:pPr>
        <w:pStyle w:val="JuH1"/>
      </w:pPr>
      <w:r>
        <w:t>Motivarea Curții</w:t>
      </w:r>
    </w:p>
    <w:p w:rsidR="0055665C" w:rsidRPr="00857E57" w:rsidRDefault="008E6B2D" w:rsidP="00857E57">
      <w:pPr>
        <w:pStyle w:val="JuHa0"/>
        <w:numPr>
          <w:ilvl w:val="4"/>
          <w:numId w:val="1"/>
        </w:numPr>
      </w:pPr>
      <w:r>
        <w:t>Principii generale</w:t>
      </w:r>
    </w:p>
    <w:p w:rsidR="0055665C" w:rsidRPr="00857E57" w:rsidRDefault="000E6C59" w:rsidP="00857E57">
      <w:pPr>
        <w:pStyle w:val="JuPara"/>
      </w:pPr>
      <w:fldSimple w:instr=" SEQ level0 \*arabic \* MERGEFORMAT ">
        <w:r w:rsidR="00495766">
          <w:rPr>
            <w:noProof/>
          </w:rPr>
          <w:t>110</w:t>
        </w:r>
      </w:fldSimple>
      <w:r w:rsidR="008E6B2D">
        <w:t xml:space="preserve">. Principiile generale cu privire la arestarea în vederea expulzării sau extrădării, în temeiul art. 5 § 1 lit. f) din Convenție, sunt stabilite în hotărârile în cauza </w:t>
      </w:r>
      <w:proofErr w:type="spellStart"/>
      <w:r w:rsidR="008E6B2D">
        <w:rPr>
          <w:i/>
          <w:iCs/>
        </w:rPr>
        <w:t>Khlaifia</w:t>
      </w:r>
      <w:proofErr w:type="spellEnd"/>
      <w:r w:rsidR="008E6B2D">
        <w:rPr>
          <w:i/>
          <w:iCs/>
        </w:rPr>
        <w:t xml:space="preserve"> și alții împotriva Italiei</w:t>
      </w:r>
      <w:r w:rsidR="008E6B2D">
        <w:t xml:space="preserve"> (MC), nr. 16483/12, pct. 88-92, 15 decembrie 2016) și în cauza </w:t>
      </w:r>
      <w:proofErr w:type="spellStart"/>
      <w:r w:rsidR="008E6B2D">
        <w:rPr>
          <w:i/>
        </w:rPr>
        <w:t>Shiksaitov</w:t>
      </w:r>
      <w:proofErr w:type="spellEnd"/>
      <w:r w:rsidR="008E6B2D">
        <w:t xml:space="preserve"> </w:t>
      </w:r>
      <w:r w:rsidR="008E6B2D">
        <w:rPr>
          <w:i/>
          <w:iCs/>
        </w:rPr>
        <w:t xml:space="preserve">împotriva Slovaciei </w:t>
      </w:r>
      <w:r w:rsidR="008E6B2D">
        <w:t>(nr. 56751/16 și 33762/17, pct. 53-56, 10 decembrie 2020).</w:t>
      </w:r>
    </w:p>
    <w:p w:rsidR="0055665C" w:rsidRPr="00857E57" w:rsidRDefault="000E6C59" w:rsidP="00857E57">
      <w:pPr>
        <w:pStyle w:val="JuPara"/>
      </w:pPr>
      <w:fldSimple w:instr=" SEQ level0 \*arabic \* MERGEFORMAT ">
        <w:r w:rsidR="00495766">
          <w:rPr>
            <w:noProof/>
          </w:rPr>
          <w:t>111</w:t>
        </w:r>
      </w:fldSimple>
      <w:r w:rsidR="008E6B2D">
        <w:t xml:space="preserve">. Curtea reiterează faptul că expresia „potrivit căilor legale” de la art. 5 § 1 se referă, în principal, la legislația națională și stabilește obligația de a respecta normele de fond și de procedură prevăzute de aceasta. Deși, în </w:t>
      </w:r>
      <w:r w:rsidR="008E6B2D">
        <w:lastRenderedPageBreak/>
        <w:t xml:space="preserve">mod obișnuit, în primul rând autorităților naționale, și în special instanțelor, le revine obligația de a interpreta și de a aplica dreptul intern, situația este diferită în privința cazurilor în care nerespectarea legii implică o încălcare a Convenției. Acest lucru se aplică, în special, cazurilor în care este în discuție art. 5 § 1 din Convenție, iar Curtea trebuie să exercite atunci o anumită putere pentru a verifica dacă a fost respectată legislația internă [a se vedea </w:t>
      </w:r>
      <w:r w:rsidR="008E6B2D">
        <w:rPr>
          <w:i/>
        </w:rPr>
        <w:t xml:space="preserve">Denis și Irvine </w:t>
      </w:r>
      <w:r w:rsidR="008E6B2D">
        <w:rPr>
          <w:i/>
          <w:iCs/>
        </w:rPr>
        <w:t xml:space="preserve">împotriva Belgiei </w:t>
      </w:r>
      <w:r w:rsidR="008E6B2D">
        <w:t xml:space="preserve">(MC), nr. 62819/17 și 63921/17, pct. 126, 1 iunie 2021, și </w:t>
      </w:r>
      <w:r w:rsidR="008E6B2D">
        <w:rPr>
          <w:i/>
        </w:rPr>
        <w:t>I.E. împotriva Republicii Moldova</w:t>
      </w:r>
      <w:r w:rsidR="008E6B2D">
        <w:t xml:space="preserve">, nr. 45422/13, pct. 60 </w:t>
      </w:r>
      <w:r w:rsidR="008E6B2D">
        <w:rPr>
          <w:i/>
        </w:rPr>
        <w:t>in fine</w:t>
      </w:r>
      <w:r w:rsidR="008E6B2D">
        <w:t xml:space="preserve">, 26 mai 2020]. </w:t>
      </w:r>
      <w:r w:rsidR="008E6B2D">
        <w:rPr>
          <w:rFonts w:ascii="Times New Roman" w:hAnsi="Times New Roman"/>
        </w:rPr>
        <w:t>În ceea ce privește verificarea respectării obligației sus-menționate, în esență, Curtea își va limita examinarea la problema dacă interpretarea dispozițiilor legale invocate de autoritățile naționale a fost arbitrară sau nerezonabilă (</w:t>
      </w:r>
      <w:bookmarkStart w:id="67" w:name="_cl35325"/>
      <w:r w:rsidR="008E6B2D">
        <w:rPr>
          <w:rFonts w:ascii="Times New Roman" w:hAnsi="Times New Roman"/>
        </w:rPr>
        <w:t xml:space="preserve">a se vedea </w:t>
      </w:r>
      <w:r w:rsidR="008E6B2D">
        <w:rPr>
          <w:rFonts w:ascii="Times New Roman" w:hAnsi="Times New Roman"/>
          <w:i/>
        </w:rPr>
        <w:t>Rusu împotriva Austriei</w:t>
      </w:r>
      <w:bookmarkEnd w:id="67"/>
      <w:r w:rsidR="008E6B2D">
        <w:rPr>
          <w:rFonts w:ascii="Times New Roman" w:hAnsi="Times New Roman"/>
        </w:rPr>
        <w:t xml:space="preserve">, nr. 34082/02, pct. 55 </w:t>
      </w:r>
      <w:r w:rsidR="008E6B2D">
        <w:rPr>
          <w:rFonts w:ascii="Times New Roman" w:hAnsi="Times New Roman"/>
          <w:i/>
        </w:rPr>
        <w:t>in fine</w:t>
      </w:r>
      <w:r w:rsidR="008E6B2D">
        <w:rPr>
          <w:rFonts w:ascii="Times New Roman" w:hAnsi="Times New Roman"/>
        </w:rPr>
        <w:t>, 2 octombrie 2008)</w:t>
      </w:r>
      <w:r w:rsidR="008E6B2D">
        <w:t xml:space="preserve">. Cu toate acestea, nu este suficientă respectarea legislației naționale: art. 5 § 1 prevede, de asemenea, că orice lipsire de libertate trebuie să fie conformă cu scopul de a proteja persoana în cauză împotriva arbitrariului. Nicio detenție arbitrară nu poate fi compatibilă cu art. 5 § 1, și, în acest context, noțiunea de „arbitrariu” se extinde dincolo de nerespectarea legislației interne: lipsirea de libertate poate fi legală din punctul de vedere al dreptului intern, dar totuși arbitrară, și, prin urmare, contrară Convenției (a se vedea </w:t>
      </w:r>
      <w:proofErr w:type="spellStart"/>
      <w:r w:rsidR="008E6B2D">
        <w:rPr>
          <w:i/>
        </w:rPr>
        <w:t>Shiksaitov</w:t>
      </w:r>
      <w:proofErr w:type="spellEnd"/>
      <w:r w:rsidR="008E6B2D">
        <w:t xml:space="preserve">, citată anterior, pct. 54-55, și </w:t>
      </w:r>
      <w:r w:rsidR="008E6B2D">
        <w:rPr>
          <w:i/>
          <w:iCs/>
        </w:rPr>
        <w:t>Nabil și alții împotriva Ungariei</w:t>
      </w:r>
      <w:r w:rsidR="008E6B2D">
        <w:t>, nr. 62116/12, pct. 31-32, 22 septembrie 2015, cu trimiterile suplimentare).</w:t>
      </w:r>
    </w:p>
    <w:p w:rsidR="0055665C" w:rsidRPr="00857E57" w:rsidRDefault="008E6B2D" w:rsidP="00857E57">
      <w:pPr>
        <w:pStyle w:val="JuPara"/>
      </w:pPr>
      <w:r w:rsidRPr="00857E57">
        <w:rPr>
          <w:rFonts w:cstheme="minorHAnsi"/>
        </w:rPr>
        <w:fldChar w:fldCharType="begin"/>
      </w:r>
      <w:r w:rsidRPr="00857E57">
        <w:rPr>
          <w:rFonts w:cstheme="minorHAnsi"/>
        </w:rPr>
        <w:instrText xml:space="preserve"> SEQ level0 \*arabic \* MERGEFORMAT </w:instrText>
      </w:r>
      <w:r w:rsidRPr="00857E57">
        <w:rPr>
          <w:rFonts w:cstheme="minorHAnsi"/>
        </w:rPr>
        <w:fldChar w:fldCharType="separate"/>
      </w:r>
      <w:r w:rsidR="00495766">
        <w:rPr>
          <w:rFonts w:cstheme="minorHAnsi"/>
          <w:noProof/>
        </w:rPr>
        <w:t>112</w:t>
      </w:r>
      <w:r w:rsidRPr="00857E57">
        <w:rPr>
          <w:rFonts w:cstheme="minorHAnsi"/>
        </w:rPr>
        <w:fldChar w:fldCharType="end"/>
      </w:r>
      <w:r>
        <w:t xml:space="preserve">. În plus, într-o serie de cauze, Curtea a stabilit fără echivoc faptul că art. 5 § 1 lit. f) nu prevede o cerință privind stabilirea unor termene fixe și că va aborda fiecare plângere de la caz la caz, pentru a decide dacă lipsirea de libertate a devenit nelegală (a se vedea </w:t>
      </w:r>
      <w:proofErr w:type="spellStart"/>
      <w:r>
        <w:rPr>
          <w:i/>
        </w:rPr>
        <w:t>Amie</w:t>
      </w:r>
      <w:proofErr w:type="spellEnd"/>
      <w:r>
        <w:rPr>
          <w:i/>
        </w:rPr>
        <w:t xml:space="preserve"> și alții împotriva Bulgariei</w:t>
      </w:r>
      <w:r>
        <w:t xml:space="preserve">, nr. 58149/08, pct. 72, 12 februarie 2013, </w:t>
      </w:r>
      <w:r>
        <w:rPr>
          <w:i/>
        </w:rPr>
        <w:t>și A.H. și J.K.</w:t>
      </w:r>
      <w:r>
        <w:t xml:space="preserve"> </w:t>
      </w:r>
      <w:r>
        <w:rPr>
          <w:i/>
          <w:iCs/>
        </w:rPr>
        <w:t>împotriva Ciprului</w:t>
      </w:r>
      <w:r>
        <w:t>, nr. 41903/10 și 41911/10,pct. 190, 21 iulie 2015)</w:t>
      </w:r>
      <w:r>
        <w:rPr>
          <w:rStyle w:val="JuParaChar"/>
        </w:rPr>
        <w:t xml:space="preserve">. </w:t>
      </w:r>
      <w:r>
        <w:t xml:space="preserve">Curtea a considerat că factorii relevanți pentru aprecierea „calității legii” – la care se face referire, în anumite cauze, ca fiind „garanții împotriva arbitrariului” – includ existența unor dispoziții legale clare pentru dispunerea măsurii arestării, prelungirea arestului și stabilirea unor termene maxime pentru arest și existența unei căi de atac efective, prin care reclamantul poate să conteste „legalitatea” și „durata” menținerii sale în arest (a se vedea </w:t>
      </w:r>
      <w:r>
        <w:rPr>
          <w:i/>
          <w:iCs/>
        </w:rPr>
        <w:t>J.N.</w:t>
      </w:r>
      <w:r>
        <w:t xml:space="preserve"> </w:t>
      </w:r>
      <w:r>
        <w:rPr>
          <w:i/>
          <w:iCs/>
        </w:rPr>
        <w:t>împotriva Regatului Unit</w:t>
      </w:r>
      <w:r>
        <w:t xml:space="preserve">, nr. 37289/12, pct. 77 </w:t>
      </w:r>
      <w:r>
        <w:rPr>
          <w:i/>
        </w:rPr>
        <w:t>in fine</w:t>
      </w:r>
      <w:r>
        <w:t xml:space="preserve">, 19 mai 2016, și </w:t>
      </w:r>
      <w:proofErr w:type="spellStart"/>
      <w:r>
        <w:rPr>
          <w:i/>
        </w:rPr>
        <w:t>Komissarov</w:t>
      </w:r>
      <w:proofErr w:type="spellEnd"/>
      <w:r>
        <w:t xml:space="preserve"> </w:t>
      </w:r>
      <w:r>
        <w:rPr>
          <w:i/>
          <w:iCs/>
        </w:rPr>
        <w:t>împotriva Republicii Cehe</w:t>
      </w:r>
      <w:r>
        <w:t>, nr. 2061</w:t>
      </w:r>
      <w:r w:rsidR="007D7190">
        <w:t>1/17, pct. 47, 3 februarie 2022</w:t>
      </w:r>
      <w:r>
        <w:rPr>
          <w:rStyle w:val="JuParaChar"/>
        </w:rPr>
        <w:t>)</w:t>
      </w:r>
      <w:r>
        <w:t>.</w:t>
      </w:r>
    </w:p>
    <w:p w:rsidR="0055665C" w:rsidRPr="00857E57" w:rsidRDefault="008E6B2D" w:rsidP="00857E57">
      <w:pPr>
        <w:pStyle w:val="JuPara"/>
      </w:pPr>
      <w:r w:rsidRPr="00857E57">
        <w:rPr>
          <w:rFonts w:cstheme="minorHAnsi"/>
        </w:rPr>
        <w:fldChar w:fldCharType="begin"/>
      </w:r>
      <w:r w:rsidRPr="00857E57">
        <w:rPr>
          <w:rFonts w:cstheme="minorHAnsi"/>
        </w:rPr>
        <w:instrText xml:space="preserve"> SEQ level0 \*arabic \* MERGEFORMAT </w:instrText>
      </w:r>
      <w:r w:rsidRPr="00857E57">
        <w:rPr>
          <w:rFonts w:cstheme="minorHAnsi"/>
        </w:rPr>
        <w:fldChar w:fldCharType="separate"/>
      </w:r>
      <w:r w:rsidR="00495766">
        <w:rPr>
          <w:rFonts w:cstheme="minorHAnsi"/>
          <w:noProof/>
        </w:rPr>
        <w:t>113</w:t>
      </w:r>
      <w:r w:rsidRPr="00857E57">
        <w:rPr>
          <w:rFonts w:cstheme="minorHAnsi"/>
        </w:rPr>
        <w:fldChar w:fldCharType="end"/>
      </w:r>
      <w:r>
        <w:t xml:space="preserve">. Deși Curtea nu a formulat anterior o definiție a tipurilor de conduită din partea autorităților care ar putea constitui „arbitrariu” în sensul art. 5 § 1, au fost elaborate anumite principii fundamentale de la caz la caz. Un astfel de principiu general consacrat în jurisprudență este acela că lipsirea de libertate este „arbitrară” în cazul în care, în pofida respectării literei legii interne, a existat un element de rea-credință sau inducere în eroare din partea autorităților [a se vedea, de exemplu, </w:t>
      </w:r>
      <w:proofErr w:type="spellStart"/>
      <w:r>
        <w:rPr>
          <w:i/>
        </w:rPr>
        <w:t>Bozano</w:t>
      </w:r>
      <w:proofErr w:type="spellEnd"/>
      <w:r>
        <w:rPr>
          <w:i/>
        </w:rPr>
        <w:t xml:space="preserve"> împotriva Franței</w:t>
      </w:r>
      <w:r>
        <w:t xml:space="preserve">, 18 decembrie 1986, seria A nr. 111; </w:t>
      </w:r>
      <w:proofErr w:type="spellStart"/>
      <w:r>
        <w:rPr>
          <w:i/>
        </w:rPr>
        <w:t>Čonka</w:t>
      </w:r>
      <w:proofErr w:type="spellEnd"/>
      <w:r>
        <w:rPr>
          <w:i/>
        </w:rPr>
        <w:t xml:space="preserve"> împotriva Belgiei</w:t>
      </w:r>
      <w:r>
        <w:t xml:space="preserve">, nr. 51564/99, </w:t>
      </w:r>
      <w:r>
        <w:lastRenderedPageBreak/>
        <w:t xml:space="preserve">CEDO 2002-I; </w:t>
      </w:r>
      <w:bookmarkStart w:id="68" w:name="_cl35463"/>
      <w:r>
        <w:rPr>
          <w:i/>
        </w:rPr>
        <w:t>Saadi împotriva Regatului Unit</w:t>
      </w:r>
      <w:bookmarkEnd w:id="68"/>
      <w:r>
        <w:t xml:space="preserve"> (MC), nr. 13229/03, pct. 68 și 69, CEDO 2008; și </w:t>
      </w:r>
      <w:r>
        <w:rPr>
          <w:i/>
        </w:rPr>
        <w:t>S., V. și A. împotriva Danemarcei</w:t>
      </w:r>
      <w:r>
        <w:t xml:space="preserve"> (MC), nr. 35553/12 și alte 2 cereri, pct. 76, 22 octombrie 2018].</w:t>
      </w:r>
    </w:p>
    <w:p w:rsidR="0055665C" w:rsidRPr="00857E57" w:rsidRDefault="008E6B2D" w:rsidP="00857E57">
      <w:pPr>
        <w:pStyle w:val="JuHa0"/>
        <w:numPr>
          <w:ilvl w:val="4"/>
          <w:numId w:val="1"/>
        </w:numPr>
      </w:pPr>
      <w:r>
        <w:t>Aplicarea principiilor generale în cazul faptelor din prezenta cauză</w:t>
      </w:r>
    </w:p>
    <w:p w:rsidR="0055665C" w:rsidRPr="00857E57" w:rsidRDefault="008E6B2D" w:rsidP="00857E57">
      <w:pPr>
        <w:pStyle w:val="JuPara"/>
        <w:rPr>
          <w:rFonts w:cstheme="minorHAnsi"/>
        </w:rPr>
      </w:pPr>
      <w:r w:rsidRPr="00857E57">
        <w:rPr>
          <w:rFonts w:cstheme="minorHAnsi"/>
        </w:rPr>
        <w:fldChar w:fldCharType="begin"/>
      </w:r>
      <w:r w:rsidRPr="00857E57">
        <w:rPr>
          <w:rFonts w:cstheme="minorHAnsi"/>
        </w:rPr>
        <w:instrText xml:space="preserve"> SEQ level0 \*arabic \* MERGEFORMAT </w:instrText>
      </w:r>
      <w:r w:rsidRPr="00857E57">
        <w:rPr>
          <w:rFonts w:cstheme="minorHAnsi"/>
        </w:rPr>
        <w:fldChar w:fldCharType="separate"/>
      </w:r>
      <w:r w:rsidR="00495766">
        <w:rPr>
          <w:rFonts w:cstheme="minorHAnsi"/>
          <w:noProof/>
        </w:rPr>
        <w:t>114</w:t>
      </w:r>
      <w:r w:rsidRPr="00857E57">
        <w:rPr>
          <w:rFonts w:cstheme="minorHAnsi"/>
        </w:rPr>
        <w:fldChar w:fldCharType="end"/>
      </w:r>
      <w:r>
        <w:t>. Încă de la început, Curtea subliniază că menținerea în arest a reclamanților poate fi împărțită în două perioade distincte:</w:t>
      </w:r>
    </w:p>
    <w:p w:rsidR="0055665C" w:rsidRPr="00857E57" w:rsidRDefault="008E6B2D" w:rsidP="00857E57">
      <w:pPr>
        <w:pStyle w:val="JuPara"/>
      </w:pPr>
      <w:r>
        <w:t>(a) perioada începând cu 19 noiembrie 2020 (arestarea inițială a reclamanților) până la 1 martie 2021 și, respectiv, 5 martie 2021 (hotărârile de extrădare a primului reclamant și a celui de-al doilea reclamant); și</w:t>
      </w:r>
    </w:p>
    <w:p w:rsidR="0055665C" w:rsidRPr="00857E57" w:rsidRDefault="008E6B2D" w:rsidP="00857E57">
      <w:pPr>
        <w:pStyle w:val="JuPara"/>
      </w:pPr>
      <w:r>
        <w:t>(b) perioada cuprinsă între 1 martie și 19 noiembrie 2021 (punerea în libertate sub control judiciar a primului reclamant) și, respectiv, între 5 martie și 9 decembrie 2021 (punerea în libertate sub control judiciar a celui de-al doilea reclamant).</w:t>
      </w:r>
    </w:p>
    <w:p w:rsidR="0055665C" w:rsidRPr="00857E57" w:rsidRDefault="008E6B2D" w:rsidP="00857E57">
      <w:pPr>
        <w:pStyle w:val="JuPara"/>
        <w:rPr>
          <w:rFonts w:cstheme="minorHAnsi"/>
        </w:rPr>
      </w:pPr>
      <w:r>
        <w:rPr>
          <w:rStyle w:val="JuParaChar"/>
        </w:rPr>
        <w:t>Potrivit jurisprudenței Curții, se consideră că măsura arestului la domiciliu constituie o lipsire de libertate în sensul art. 5 § 1 [</w:t>
      </w:r>
      <w:r>
        <w:rPr>
          <w:rStyle w:val="JuParaChar"/>
          <w:i/>
        </w:rPr>
        <w:t>Buzadji împotriva Republicii Moldova</w:t>
      </w:r>
      <w:r>
        <w:rPr>
          <w:rStyle w:val="JuParaChar"/>
        </w:rPr>
        <w:t xml:space="preserve"> (MC), nr. 23755/07, pct. 104, 5 iulie 2016]. Prin urmare, perioadele în care reclamanții s-au aflat în arest la domiciliu, înainte de a se dispune punerea lor în libertate sub control judiciar, au fost incluse în durata totală a detenției.</w:t>
      </w:r>
    </w:p>
    <w:p w:rsidR="0055665C" w:rsidRPr="00857E57" w:rsidRDefault="000E6C59" w:rsidP="00857E57">
      <w:pPr>
        <w:pStyle w:val="JuPara"/>
      </w:pPr>
      <w:fldSimple w:instr=" SEQ level0 \*arabic \* MERGEFORMAT ">
        <w:r w:rsidR="00495766">
          <w:rPr>
            <w:noProof/>
          </w:rPr>
          <w:t>115</w:t>
        </w:r>
      </w:fldSimple>
      <w:r w:rsidR="008E6B2D">
        <w:t>. Deși plângerea lor inițială se referea, în esență, la întreaga perioadă a detenției și la lipsa unei corelații între Legea nr 302/2004, pe de o parte, și Constituție și C. proc. pen., pe de altă parte, în observațiile lor, argumentele reclamanților s‑au axat pe contestarea legalității detenției lor ulterioare hotărârilor de extrădare a acestora. Prin urmare, în cadrul examinării problemei dacă detenția a fost „legală”, s-a realizat cu „bună-credință” de către autoritățile interne și a fost „justificată” în interesul continuării procedurii de extrădare, Curtea va aborda pe scurt prima perioadă de detenție sus-menționată și, apoi, va examina mai detaliat cea de-a doua perioadă.</w:t>
      </w:r>
    </w:p>
    <w:p w:rsidR="0055665C" w:rsidRPr="00857E57" w:rsidRDefault="008E6B2D" w:rsidP="00857E57">
      <w:pPr>
        <w:pStyle w:val="JuHi"/>
      </w:pPr>
      <w:r>
        <w:t xml:space="preserve"> Perioada începând cu 19 noiembrie 2020 (arestarea inițială a reclamanților) până la 1 martie 2021 și, respectiv, 5 martie 2021 (hotărârile de extrădare a primului reclamant și a celui de-al doilea reclamant)</w:t>
      </w:r>
    </w:p>
    <w:p w:rsidR="0055665C" w:rsidRPr="00857E57" w:rsidRDefault="000E6C59" w:rsidP="00857E57">
      <w:pPr>
        <w:pStyle w:val="JuPara"/>
      </w:pPr>
      <w:fldSimple w:instr=" SEQ level0 \*arabic \* MERGEFORMAT ">
        <w:r w:rsidR="00495766">
          <w:rPr>
            <w:noProof/>
          </w:rPr>
          <w:t>116</w:t>
        </w:r>
      </w:fldSimple>
      <w:r w:rsidR="008E6B2D">
        <w:t xml:space="preserve">. Curtea observă că reclamanții au fost arestați „în vederea extrădării” în temeiul art. 43 și 44 din Legea nr. 302/2004, și că, la momentul faptelor, art. 43 prevedea că măsura arestării în acest scop putea fi dispusă pentru o durată maximă de 180 de zile. În continuare, aceasta observă că detenția reclamanților „în vederea extrădării” până la 1 martie și, respectiv, 5 martie 2021 a durat mai puțin decât durata maximă de 180 de zile prevăzută la art. 43 alin. (3) din Legea nr. 302/2004 și a fost verificată de instanțele interne la fiecare treizeci de zile, în conformitate cu art. 43 alin. (5) din legea respectivă. Aceste dispoziții ale Legii nr. 302/2004, în temeiul cărora reclamanții au fost ținuți în detenție în cursul acestei perioade, par să îndeplinească cerințele </w:t>
      </w:r>
      <w:r w:rsidR="008E6B2D">
        <w:lastRenderedPageBreak/>
        <w:t>privind „calitatea legii”, atât din punctul de vedere al clarității, cât și al previzibilității. În plus, având în vedere textul acestor dispoziții, Curtea nu a identificat niciun indiciu care să arate că interpretarea și aplicarea dispozițiilor relevante de către instanțele naționale au fost contrare Legii nr. 302/2004, nerezonabile sau arbitrare din orice alt motiv. Subliniază că, în plus, detenția reclamanților s-a desfășurat cu bună-credință și a fost justificată, pe parcursul acestor trei luni și jumătate, de acțiunile întreprinse în vederea extrădării lor, astfel cum se prevede la art. 5 § 1 lit. f) din Convenție.</w:t>
      </w:r>
    </w:p>
    <w:p w:rsidR="0055665C" w:rsidRPr="00857E57" w:rsidRDefault="008E6B2D" w:rsidP="00857E57">
      <w:pPr>
        <w:pStyle w:val="JuPara"/>
      </w:pPr>
      <w:r>
        <w:t>În concluzie, detenția reclamanților începând de la arestarea lor din 19 noiembrie 2020 și până la pronunțarea hotărârii prin care s-a dispus extrădarea acestora, la 1 martie și, respectiv, la 5 martie 2021, a fost legală.</w:t>
      </w:r>
    </w:p>
    <w:p w:rsidR="0055665C" w:rsidRPr="00857E57" w:rsidRDefault="008E6B2D" w:rsidP="00857E57">
      <w:pPr>
        <w:pStyle w:val="JuHi"/>
        <w:rPr>
          <w:rFonts w:cstheme="minorHAnsi"/>
        </w:rPr>
      </w:pPr>
      <w:r>
        <w:t>Perioada cuprinsă între 1 martie și 19 noiembrie 2021 (primul reclamant) și, respectiv, între 5 martie și 9 decembrie 2021 (cel de-al doilea reclamant)</w:t>
      </w:r>
    </w:p>
    <w:p w:rsidR="0055665C" w:rsidRPr="00857E57" w:rsidRDefault="008E6B2D" w:rsidP="00857E57">
      <w:pPr>
        <w:pStyle w:val="JuPara"/>
        <w:rPr>
          <w:rFonts w:cstheme="minorHAnsi"/>
        </w:rPr>
      </w:pPr>
      <w:r w:rsidRPr="00857E57">
        <w:rPr>
          <w:rFonts w:cstheme="minorHAnsi"/>
        </w:rPr>
        <w:fldChar w:fldCharType="begin"/>
      </w:r>
      <w:r w:rsidRPr="00857E57">
        <w:rPr>
          <w:rFonts w:cstheme="minorHAnsi"/>
        </w:rPr>
        <w:instrText xml:space="preserve"> SEQ level0 \*arabic \* MERGEFORMAT </w:instrText>
      </w:r>
      <w:r w:rsidRPr="00857E57">
        <w:rPr>
          <w:rFonts w:cstheme="minorHAnsi"/>
        </w:rPr>
        <w:fldChar w:fldCharType="separate"/>
      </w:r>
      <w:r w:rsidR="00495766">
        <w:rPr>
          <w:rFonts w:cstheme="minorHAnsi"/>
          <w:noProof/>
        </w:rPr>
        <w:t>117</w:t>
      </w:r>
      <w:r w:rsidRPr="00857E57">
        <w:rPr>
          <w:rFonts w:cstheme="minorHAnsi"/>
        </w:rPr>
        <w:fldChar w:fldCharType="end"/>
      </w:r>
      <w:r>
        <w:t>. Curtea constată, în conformitate cu formularea folosită în Legea nr. 302/2004, care se regăsește în deciziile instanțelor interne și în observațiile părților, că perioada în discuție poate fi împărțită, la rândul ei, în două subperioade:</w:t>
      </w:r>
    </w:p>
    <w:p w:rsidR="0055665C" w:rsidRPr="00857E57" w:rsidRDefault="008E6B2D" w:rsidP="00857E57">
      <w:pPr>
        <w:pStyle w:val="JuPara"/>
      </w:pPr>
      <w:r>
        <w:t>(a) perioada începând cu 1 martie și, respectiv, 5 martie până la 10 iunie 2021, pentru primul reclamant și, respectiv, cel de-al doilea reclamant; și</w:t>
      </w:r>
    </w:p>
    <w:p w:rsidR="0055665C" w:rsidRPr="00857E57" w:rsidRDefault="008E6B2D" w:rsidP="00857E57">
      <w:pPr>
        <w:pStyle w:val="JuPara"/>
      </w:pPr>
      <w:r>
        <w:t>(b) perioada începând cu 10 iunie 2021 până la punerea lor în libertate sub control judiciar, la 19 noiembrie (primul reclamant) și 9 decembrie 2021 (cel de-al doilea reclamant – a se vedea infra, pct. </w:t>
      </w:r>
      <w:r w:rsidRPr="00857E57">
        <w:fldChar w:fldCharType="begin"/>
      </w:r>
      <w:r w:rsidRPr="00857E57">
        <w:instrText xml:space="preserve"> REF paragraph00121 \h  \* CharFormat </w:instrText>
      </w:r>
      <w:r w:rsidRPr="00857E57">
        <w:fldChar w:fldCharType="separate"/>
      </w:r>
      <w:r w:rsidR="00495766" w:rsidRPr="00857E57">
        <w:t>121</w:t>
      </w:r>
      <w:r w:rsidRPr="00857E57">
        <w:fldChar w:fldCharType="end"/>
      </w:r>
      <w:r>
        <w:t>).</w:t>
      </w:r>
    </w:p>
    <w:p w:rsidR="0055665C" w:rsidRPr="00857E57" w:rsidRDefault="008E6B2D" w:rsidP="00857E57">
      <w:pPr>
        <w:pStyle w:val="JuHalpha"/>
        <w:rPr>
          <w:rFonts w:cstheme="minorHAnsi"/>
        </w:rPr>
      </w:pPr>
      <w:r>
        <w:t>Perioada începând cu 1 martie și, respectiv, 5 martie până la 10 iunie 2021, pentru primul reclamant și, respectiv, cel de-al doilea reclamant</w:t>
      </w:r>
    </w:p>
    <w:p w:rsidR="0055665C" w:rsidRPr="00857E57" w:rsidRDefault="000E6C59" w:rsidP="00857E57">
      <w:pPr>
        <w:pStyle w:val="JuPara"/>
      </w:pPr>
      <w:fldSimple w:instr=" SEQ level0 \*arabic \* MERGEFORMAT ">
        <w:r w:rsidR="00495766">
          <w:rPr>
            <w:noProof/>
          </w:rPr>
          <w:t>118</w:t>
        </w:r>
      </w:fldSimple>
      <w:r w:rsidR="008E6B2D">
        <w:t>. În ceea ce privește prima subperioadă, Curtea constată, din deciziile interne relevante, că reclamanții au fost arestați „în vederea predării” în temeiul art. 52 alin. (3) și art. 57 din Legea nr. 302/2004. Aceste dispoziții, împreună cu art. 43 alin. (7) din legea respectivă, stabilesc regula privind durata de 15 zile a detenției (care poate fi prelungită o singură dată), începând cu data de predare convenită cu statul solicitant, în cazul în care extrădarea nu a avut loc la acea dată (a se vedea supra, pct. </w:t>
      </w:r>
      <w:r w:rsidR="008E6B2D" w:rsidRPr="00857E57">
        <w:fldChar w:fldCharType="begin"/>
      </w:r>
      <w:r w:rsidR="008E6B2D" w:rsidRPr="00857E57">
        <w:instrText xml:space="preserve"> REF paragraph00027 \h  \* CharFormat </w:instrText>
      </w:r>
      <w:r w:rsidR="008E6B2D" w:rsidRPr="00857E57">
        <w:fldChar w:fldCharType="separate"/>
      </w:r>
      <w:r w:rsidR="00495766">
        <w:t>27</w:t>
      </w:r>
      <w:r w:rsidR="008E6B2D" w:rsidRPr="00857E57">
        <w:fldChar w:fldCharType="end"/>
      </w:r>
      <w:r w:rsidR="008E6B2D">
        <w:t xml:space="preserve"> și </w:t>
      </w:r>
      <w:r w:rsidR="008E6B2D" w:rsidRPr="00857E57">
        <w:fldChar w:fldCharType="begin"/>
      </w:r>
      <w:r w:rsidR="008E6B2D" w:rsidRPr="00857E57">
        <w:instrText xml:space="preserve"> REF paragraph00054 \h  \* CharFormat </w:instrText>
      </w:r>
      <w:r w:rsidR="008E6B2D" w:rsidRPr="00857E57">
        <w:fldChar w:fldCharType="separate"/>
      </w:r>
      <w:r w:rsidR="00495766" w:rsidRPr="00495766">
        <w:t>54</w:t>
      </w:r>
      <w:r w:rsidR="008E6B2D" w:rsidRPr="00857E57">
        <w:fldChar w:fldCharType="end"/>
      </w:r>
      <w:r w:rsidR="008E6B2D">
        <w:t>). Curtea observă că, deși art. 56 alin. (3) din Legea nr. 302/2004 prevedea o formă de supraveghere din partea instanțelor interne, această lege nu prevedea termene fixe pentru acordul propriu-zis cu privire la o dată de predare.</w:t>
      </w:r>
    </w:p>
    <w:p w:rsidR="0055665C" w:rsidRPr="00857E57" w:rsidRDefault="000E6C59" w:rsidP="00857E57">
      <w:pPr>
        <w:pStyle w:val="JuPara"/>
      </w:pPr>
      <w:fldSimple w:instr=" SEQ level0 \*arabic \* MERGEFORMAT ">
        <w:r w:rsidR="00495766">
          <w:rPr>
            <w:noProof/>
          </w:rPr>
          <w:t>119</w:t>
        </w:r>
      </w:fldSimple>
      <w:r w:rsidR="008E6B2D">
        <w:t>. În speță, extrădarea reclamanților a fost dispusă la 1 martie și, respectiv, la 5 martie 2021. Ulterior, data de 12 mai 2021 a fost stabilită ca dată a predării lor (a se vedea supra, pct. </w:t>
      </w:r>
      <w:r w:rsidR="008E6B2D" w:rsidRPr="00857E57">
        <w:fldChar w:fldCharType="begin"/>
      </w:r>
      <w:r w:rsidR="008E6B2D" w:rsidRPr="00857E57">
        <w:instrText xml:space="preserve"> REF paragraph00023 \h  \* CharFormat </w:instrText>
      </w:r>
      <w:r w:rsidR="008E6B2D" w:rsidRPr="00857E57">
        <w:fldChar w:fldCharType="separate"/>
      </w:r>
      <w:r w:rsidR="00495766">
        <w:t>23</w:t>
      </w:r>
      <w:r w:rsidR="008E6B2D" w:rsidRPr="00857E57">
        <w:fldChar w:fldCharType="end"/>
      </w:r>
      <w:r w:rsidR="008E6B2D">
        <w:t>). Instanțele naționale au hotărât că măsura provizorie indicată de Curte (a se vedea supra, pct. </w:t>
      </w:r>
      <w:r w:rsidR="008E6B2D" w:rsidRPr="00857E57">
        <w:fldChar w:fldCharType="begin"/>
      </w:r>
      <w:r w:rsidR="008E6B2D" w:rsidRPr="00857E57">
        <w:instrText xml:space="preserve"> REF paragraph00026 \h  \* CharFormat </w:instrText>
      </w:r>
      <w:r w:rsidR="008E6B2D" w:rsidRPr="00857E57">
        <w:fldChar w:fldCharType="separate"/>
      </w:r>
      <w:r w:rsidR="00495766">
        <w:t>25</w:t>
      </w:r>
      <w:r w:rsidR="008E6B2D" w:rsidRPr="00857E57">
        <w:fldChar w:fldCharType="end"/>
      </w:r>
      <w:r w:rsidR="008E6B2D">
        <w:t xml:space="preserve">) cu privire la reclamanți constituia doar o cauză de împiedicare temporară a predării lor, programată inițial pentru 12 mai 2021, și au făcut referire la procedura sus-menționată, care permitea menținerea lor în detenție până la 10 iunie 2021 </w:t>
      </w:r>
      <w:r w:rsidR="008E6B2D">
        <w:lastRenderedPageBreak/>
        <w:t>(supra, pct. </w:t>
      </w:r>
      <w:r w:rsidR="008E6B2D" w:rsidRPr="00857E57">
        <w:fldChar w:fldCharType="begin"/>
      </w:r>
      <w:r w:rsidR="008E6B2D" w:rsidRPr="00857E57">
        <w:instrText xml:space="preserve"> REF paragraph00029 \h  \* CharFormat </w:instrText>
      </w:r>
      <w:r w:rsidR="008E6B2D" w:rsidRPr="00857E57">
        <w:fldChar w:fldCharType="separate"/>
      </w:r>
      <w:r w:rsidR="00495766">
        <w:t>28</w:t>
      </w:r>
      <w:r w:rsidR="008E6B2D" w:rsidRPr="00857E57">
        <w:fldChar w:fldCharType="end"/>
      </w:r>
      <w:r w:rsidR="008E6B2D">
        <w:t xml:space="preserve">, </w:t>
      </w:r>
      <w:r w:rsidR="008E6B2D" w:rsidRPr="00857E57">
        <w:fldChar w:fldCharType="begin"/>
      </w:r>
      <w:r w:rsidR="008E6B2D" w:rsidRPr="00857E57">
        <w:instrText xml:space="preserve"> REF paragraph00032 \h  \* CharFormat </w:instrText>
      </w:r>
      <w:r w:rsidR="008E6B2D" w:rsidRPr="00857E57">
        <w:fldChar w:fldCharType="separate"/>
      </w:r>
      <w:r w:rsidR="00495766">
        <w:t>30</w:t>
      </w:r>
      <w:r w:rsidR="008E6B2D" w:rsidRPr="00857E57">
        <w:fldChar w:fldCharType="end"/>
      </w:r>
      <w:r w:rsidR="008E6B2D">
        <w:t xml:space="preserve"> și </w:t>
      </w:r>
      <w:r w:rsidR="008E6B2D" w:rsidRPr="00857E57">
        <w:fldChar w:fldCharType="begin"/>
      </w:r>
      <w:r w:rsidR="008E6B2D" w:rsidRPr="00857E57">
        <w:instrText xml:space="preserve"> REF paragraph00046 \h  \* CharFormat </w:instrText>
      </w:r>
      <w:r w:rsidR="008E6B2D" w:rsidRPr="00857E57">
        <w:fldChar w:fldCharType="separate"/>
      </w:r>
      <w:r w:rsidR="00495766">
        <w:t>42</w:t>
      </w:r>
      <w:r w:rsidR="008E6B2D" w:rsidRPr="00857E57">
        <w:fldChar w:fldCharType="end"/>
      </w:r>
      <w:r w:rsidR="008E6B2D">
        <w:t>). În cadrul examinării legalității arestării reclamanților în vederea predării, instanțele naționale au răspuns, de asemenea, argumentelor acestora și, de exemplu, au evidențiat regimul specific al Legii nr. 302/2004, deosebit de clar în ceea ce privește arestarea în vederea predării, în comparație cu regimul general prevăzut de C. proc. pen. pentru arestarea preventivă, interpretare confirmată ulterior de Curtea Constituțională în Decizia nr. 359/2002 (a se vedea supra, pct. </w:t>
      </w:r>
      <w:r w:rsidR="008E6B2D" w:rsidRPr="00857E57">
        <w:fldChar w:fldCharType="begin"/>
      </w:r>
      <w:r w:rsidR="008E6B2D" w:rsidRPr="00857E57">
        <w:instrText xml:space="preserve"> REF MatthewsHC200521 \h </w:instrText>
      </w:r>
      <w:r w:rsidR="008E6B2D" w:rsidRPr="00857E57">
        <w:fldChar w:fldCharType="separate"/>
      </w:r>
      <w:r w:rsidR="00495766">
        <w:rPr>
          <w:noProof/>
        </w:rPr>
        <w:t>29</w:t>
      </w:r>
      <w:r w:rsidR="008E6B2D" w:rsidRPr="00857E57">
        <w:fldChar w:fldCharType="end"/>
      </w:r>
      <w:r w:rsidR="008E6B2D">
        <w:t xml:space="preserve">, </w:t>
      </w:r>
      <w:r w:rsidR="008E6B2D" w:rsidRPr="00857E57">
        <w:fldChar w:fldCharType="begin"/>
      </w:r>
      <w:r w:rsidR="008E6B2D" w:rsidRPr="00857E57">
        <w:instrText xml:space="preserve"> REF paragraph00043 \h  \* CharFormat </w:instrText>
      </w:r>
      <w:r w:rsidR="008E6B2D" w:rsidRPr="00857E57">
        <w:fldChar w:fldCharType="separate"/>
      </w:r>
      <w:r w:rsidR="00495766">
        <w:t>43</w:t>
      </w:r>
      <w:r w:rsidR="008E6B2D" w:rsidRPr="00857E57">
        <w:fldChar w:fldCharType="end"/>
      </w:r>
      <w:r w:rsidR="008E6B2D">
        <w:t xml:space="preserve"> și </w:t>
      </w:r>
      <w:r w:rsidR="008E6B2D" w:rsidRPr="00857E57">
        <w:fldChar w:fldCharType="begin"/>
      </w:r>
      <w:r w:rsidR="008E6B2D" w:rsidRPr="00857E57">
        <w:instrText xml:space="preserve"> REF paragraph00047 \h  \* CharFormat </w:instrText>
      </w:r>
      <w:r w:rsidR="008E6B2D" w:rsidRPr="00857E57">
        <w:fldChar w:fldCharType="separate"/>
      </w:r>
      <w:r w:rsidR="00495766" w:rsidRPr="00495766">
        <w:t>55</w:t>
      </w:r>
      <w:r w:rsidR="008E6B2D" w:rsidRPr="00857E57">
        <w:fldChar w:fldCharType="end"/>
      </w:r>
      <w:r w:rsidR="008E6B2D">
        <w:t>).</w:t>
      </w:r>
    </w:p>
    <w:p w:rsidR="0055665C" w:rsidRPr="00857E57" w:rsidRDefault="000E6C59" w:rsidP="00857E57">
      <w:pPr>
        <w:pStyle w:val="JuPara"/>
      </w:pPr>
      <w:fldSimple w:instr=" SEQ level0 \*arabic \* MERGEFORMAT ">
        <w:r w:rsidR="00495766">
          <w:rPr>
            <w:noProof/>
          </w:rPr>
          <w:t>120</w:t>
        </w:r>
      </w:fldSimple>
      <w:r w:rsidR="008E6B2D">
        <w:t>. Prin urmare, Curtea consideră că, în cursul primei subperioade în discuție, și anume de la 1 martie și, respectiv, 5 martie 2021 până la 10 iunie 2021, detenția reclamanților nu a fost nelegală sau arbitrară, s-a realizat cu „bună-credință” de către autoritățile naționale și a fost „justificată” în interesul continuării procedurii de extrădare.</w:t>
      </w:r>
    </w:p>
    <w:p w:rsidR="0055665C" w:rsidRPr="00857E57" w:rsidRDefault="008E6B2D" w:rsidP="00857E57">
      <w:pPr>
        <w:pStyle w:val="JuHalpha"/>
      </w:pPr>
      <w:r>
        <w:t>Perioada începând cu 10 iunie 2021 până la punerea lor în libertate sub control judiciar, la 19 noiembrie (primul reclamant) și 9 decembrie 2021 (cel de-al doilea reclamant)</w:t>
      </w:r>
    </w:p>
    <w:p w:rsidR="0055665C" w:rsidRPr="00857E57" w:rsidRDefault="000E6C59" w:rsidP="00857E57">
      <w:pPr>
        <w:pStyle w:val="JuPara"/>
      </w:pPr>
      <w:fldSimple w:instr=" SEQ level0 \*arabic \* MERGEFORMAT ">
        <w:bookmarkStart w:id="69" w:name="paragraph00121"/>
        <w:r w:rsidR="00495766">
          <w:rPr>
            <w:noProof/>
          </w:rPr>
          <w:t>121</w:t>
        </w:r>
        <w:bookmarkEnd w:id="69"/>
      </w:fldSimple>
      <w:r w:rsidR="008E6B2D">
        <w:t>. În ceea ce privește cea de-a doua subperioadă a detenției, Curtea observă că instanțele naționale au apreciat că aceasta s-a întemeiat pe excepția prevăzută la art. 57 alin. (6) din Legea nr. 302/2004 (a se vedea supra, pct. </w:t>
      </w:r>
      <w:r w:rsidR="008E6B2D" w:rsidRPr="00857E57">
        <w:fldChar w:fldCharType="begin"/>
      </w:r>
      <w:r w:rsidR="008E6B2D" w:rsidRPr="00857E57">
        <w:instrText xml:space="preserve"> REF MatthewsCAB100621 \h  \* CharFormat </w:instrText>
      </w:r>
      <w:r w:rsidR="008E6B2D" w:rsidRPr="00857E57">
        <w:fldChar w:fldCharType="separate"/>
      </w:r>
      <w:r w:rsidR="00495766">
        <w:t>32</w:t>
      </w:r>
      <w:r w:rsidR="008E6B2D" w:rsidRPr="00857E57">
        <w:fldChar w:fldCharType="end"/>
      </w:r>
      <w:r w:rsidR="008E6B2D">
        <w:t xml:space="preserve">, </w:t>
      </w:r>
      <w:r w:rsidR="008E6B2D" w:rsidRPr="00857E57">
        <w:fldChar w:fldCharType="begin"/>
      </w:r>
      <w:r w:rsidR="008E6B2D" w:rsidRPr="00857E57">
        <w:instrText xml:space="preserve"> REF MatthewsJohnsonHC100621 \h  \* CharFormat </w:instrText>
      </w:r>
      <w:r w:rsidR="008E6B2D" w:rsidRPr="00857E57">
        <w:fldChar w:fldCharType="separate"/>
      </w:r>
      <w:r w:rsidR="00495766">
        <w:t>47</w:t>
      </w:r>
      <w:r w:rsidR="008E6B2D" w:rsidRPr="00857E57">
        <w:fldChar w:fldCharType="end"/>
      </w:r>
      <w:r w:rsidR="008E6B2D">
        <w:t xml:space="preserve"> și </w:t>
      </w:r>
      <w:r w:rsidR="008E6B2D" w:rsidRPr="00857E57">
        <w:fldChar w:fldCharType="begin"/>
      </w:r>
      <w:r w:rsidR="008E6B2D" w:rsidRPr="00857E57">
        <w:instrText xml:space="preserve"> REF paragraph00054 \h  \* CharFormat </w:instrText>
      </w:r>
      <w:r w:rsidR="008E6B2D" w:rsidRPr="00857E57">
        <w:fldChar w:fldCharType="separate"/>
      </w:r>
      <w:r w:rsidR="00495766" w:rsidRPr="00495766">
        <w:t>54</w:t>
      </w:r>
      <w:r w:rsidR="008E6B2D" w:rsidRPr="00857E57">
        <w:fldChar w:fldCharType="end"/>
      </w:r>
      <w:r w:rsidR="008E6B2D">
        <w:t xml:space="preserve"> </w:t>
      </w:r>
      <w:r w:rsidR="008E6B2D">
        <w:rPr>
          <w:i/>
        </w:rPr>
        <w:t>in fine</w:t>
      </w:r>
      <w:r w:rsidR="008E6B2D">
        <w:t>) și pe existența unui caz de forță majoră, care împiedica predarea reclamanților către autoritățile solicitante.</w:t>
      </w:r>
    </w:p>
    <w:p w:rsidR="0055665C" w:rsidRPr="00857E57" w:rsidRDefault="000E6C59" w:rsidP="00857E57">
      <w:pPr>
        <w:pStyle w:val="JuPara"/>
      </w:pPr>
      <w:fldSimple w:instr=" SEQ level0 \*arabic \* MERGEFORMAT ">
        <w:bookmarkStart w:id="70" w:name="paragraph00120"/>
        <w:r w:rsidR="00495766">
          <w:rPr>
            <w:noProof/>
          </w:rPr>
          <w:t>122</w:t>
        </w:r>
        <w:bookmarkEnd w:id="70"/>
      </w:fldSimple>
      <w:r w:rsidR="008E6B2D">
        <w:t>. Ținând seama de modificările aduse dispozițiilor interne relevante referitoare la arestarea în caz de forță majoră, ca urmare a Deciziei nr. 359/2022 a Curții Constituționale (a se vedea supra, pct. </w:t>
      </w:r>
      <w:r w:rsidR="008E6B2D" w:rsidRPr="00857E57">
        <w:fldChar w:fldCharType="begin"/>
      </w:r>
      <w:r w:rsidR="008E6B2D" w:rsidRPr="00857E57">
        <w:instrText xml:space="preserve"> REF paragraph00044 \h  \* CharFormat </w:instrText>
      </w:r>
      <w:r w:rsidR="008E6B2D" w:rsidRPr="00857E57">
        <w:fldChar w:fldCharType="separate"/>
      </w:r>
      <w:r w:rsidR="00495766" w:rsidRPr="00495766">
        <w:t>56</w:t>
      </w:r>
      <w:r w:rsidR="008E6B2D" w:rsidRPr="00857E57">
        <w:fldChar w:fldCharType="end"/>
      </w:r>
      <w:r w:rsidR="008E6B2D">
        <w:t>-</w:t>
      </w:r>
      <w:r w:rsidR="008E6B2D" w:rsidRPr="00857E57">
        <w:fldChar w:fldCharType="begin"/>
      </w:r>
      <w:r w:rsidR="008E6B2D" w:rsidRPr="00857E57">
        <w:instrText xml:space="preserve"> REF paragraph00040 \h  \* CharFormat </w:instrText>
      </w:r>
      <w:r w:rsidR="008E6B2D" w:rsidRPr="00857E57">
        <w:fldChar w:fldCharType="separate"/>
      </w:r>
      <w:r w:rsidR="00495766">
        <w:t>58</w:t>
      </w:r>
      <w:r w:rsidR="008E6B2D" w:rsidRPr="00857E57">
        <w:fldChar w:fldCharType="end"/>
      </w:r>
      <w:r w:rsidR="008E6B2D">
        <w:t xml:space="preserve">), Curtea reiterează faptul că, în cauze referitoare la art. 5 § 1 din Convenție, a hotărât că nu îi revine sarcina de a se pronunța </w:t>
      </w:r>
      <w:r w:rsidR="008E6B2D">
        <w:rPr>
          <w:i/>
        </w:rPr>
        <w:t>in abstracto</w:t>
      </w:r>
      <w:r w:rsidR="008E6B2D">
        <w:t xml:space="preserve"> cu privire la compatibilitatea cu dispozițiile Convenției a legislației naționale, astfel cum era în vigoare la momentul faptelor. În cauzele la originea cărora se află o cerere individuală, Curtea are sarcina de a verifica dacă modul în care dispozițiile interne relevante au fost aplicate în cazul reclamanților a încălcat Convenția (a se vedea </w:t>
      </w:r>
      <w:bookmarkStart w:id="71" w:name="_cl40841"/>
      <w:r w:rsidR="008E6B2D">
        <w:rPr>
          <w:i/>
        </w:rPr>
        <w:t>Tercan împotriva Turciei</w:t>
      </w:r>
      <w:bookmarkEnd w:id="71"/>
      <w:r w:rsidR="008E6B2D">
        <w:t xml:space="preserve">, nr. 6158/18, pct. 131, 29 iunie 2021). În plus, o dispoziție legală nu contravine cerinței „previzibilității”, în sensul Convenției, doar pentru că se pretează mai multor interpretări. Funcția decizională încredințată instanțelor este menită să înlăture orice îndoieli cu privire la interpretarea normelor juridice, ținând seama de evoluția practicilor curente [ibid. și </w:t>
      </w:r>
      <w:r w:rsidR="008E6B2D">
        <w:rPr>
          <w:i/>
        </w:rPr>
        <w:t>Magyar Kétfarkú Kutya Párt împotriva Ungariei</w:t>
      </w:r>
      <w:r w:rsidR="008E6B2D">
        <w:t xml:space="preserve"> (MC), nr. 201/17, pct. 96-97, 20 ianuarie 2020]. Pe de altă parte, Curtea trebuie să aprecieze, </w:t>
      </w:r>
      <w:r w:rsidR="008E6B2D">
        <w:rPr>
          <w:i/>
        </w:rPr>
        <w:t>in concreto</w:t>
      </w:r>
      <w:r w:rsidR="008E6B2D">
        <w:t xml:space="preserve">, impactul pe care îl are aplicarea acestei legislații și a jurisprudenței relevante asupra dreptului la libertate al reclamantului, astfel cum este garantat la art. 5 din Convenție [a se vedea </w:t>
      </w:r>
      <w:r w:rsidR="008E6B2D">
        <w:rPr>
          <w:i/>
        </w:rPr>
        <w:t>Tercan</w:t>
      </w:r>
      <w:r w:rsidR="008E6B2D">
        <w:t xml:space="preserve">, citată anterior, pct. 131, și, </w:t>
      </w:r>
      <w:r w:rsidR="008E6B2D">
        <w:rPr>
          <w:i/>
        </w:rPr>
        <w:t>mutatis mutandis</w:t>
      </w:r>
      <w:r w:rsidR="008E6B2D">
        <w:t xml:space="preserve">, </w:t>
      </w:r>
      <w:r w:rsidR="008E6B2D">
        <w:rPr>
          <w:i/>
        </w:rPr>
        <w:t>Nikolova împotriva Bulgariei</w:t>
      </w:r>
      <w:r w:rsidR="008E6B2D">
        <w:t xml:space="preserve"> (MC), nr. 31195/96, pct. 60, CEDO 1999‑II].</w:t>
      </w:r>
    </w:p>
    <w:p w:rsidR="0055665C" w:rsidRPr="00857E57" w:rsidRDefault="000E6C59" w:rsidP="00857E57">
      <w:pPr>
        <w:pStyle w:val="JuPara"/>
      </w:pPr>
      <w:fldSimple w:instr=" SEQ level0 \*arabic \* MERGEFORMAT ">
        <w:r w:rsidR="00495766">
          <w:rPr>
            <w:noProof/>
          </w:rPr>
          <w:t>123</w:t>
        </w:r>
      </w:fldSimple>
      <w:r w:rsidR="008E6B2D">
        <w:t xml:space="preserve">. Curtea observă, în primul rând, că, în cadrul unor decizii separate adoptate la 10 iunie 2021,curtea de apel și Înalta Curte au hotărât, în privința </w:t>
      </w:r>
      <w:r w:rsidR="008E6B2D">
        <w:lastRenderedPageBreak/>
        <w:t>primului reclamant și, respectiv, în privința celui de-al doilea reclamant, că arestarea reclamanților în vederea predării - care fusese deja examinată de instanțele naționale în contextul existenței unei cauze de împiedicare a extrădării, reprezentată de măsura provizorie indicată de Curte -, era încă necesară și avea drept bază juridică art. 57 alin. (6) din Legea nr. 302/2004 (a se vedea supra, pct. </w:t>
      </w:r>
      <w:r w:rsidR="008E6B2D" w:rsidRPr="00857E57">
        <w:fldChar w:fldCharType="begin"/>
      </w:r>
      <w:r w:rsidR="008E6B2D" w:rsidRPr="00857E57">
        <w:instrText xml:space="preserve"> REF MatthewsCAB100621 \h </w:instrText>
      </w:r>
      <w:r w:rsidR="008E6B2D" w:rsidRPr="00857E57">
        <w:fldChar w:fldCharType="separate"/>
      </w:r>
      <w:r w:rsidR="00495766">
        <w:rPr>
          <w:noProof/>
        </w:rPr>
        <w:t>32</w:t>
      </w:r>
      <w:r w:rsidR="008E6B2D" w:rsidRPr="00857E57">
        <w:fldChar w:fldCharType="end"/>
      </w:r>
      <w:r w:rsidR="008E6B2D">
        <w:t xml:space="preserve"> și </w:t>
      </w:r>
      <w:r w:rsidR="008E6B2D" w:rsidRPr="00857E57">
        <w:fldChar w:fldCharType="begin"/>
      </w:r>
      <w:r w:rsidR="008E6B2D" w:rsidRPr="00857E57">
        <w:instrText xml:space="preserve"> REF MatthewsJohnsonHC100621 \h </w:instrText>
      </w:r>
      <w:r w:rsidR="008E6B2D" w:rsidRPr="00857E57">
        <w:fldChar w:fldCharType="separate"/>
      </w:r>
      <w:r w:rsidR="00495766">
        <w:rPr>
          <w:noProof/>
        </w:rPr>
        <w:t>47</w:t>
      </w:r>
      <w:r w:rsidR="008E6B2D" w:rsidRPr="00857E57">
        <w:fldChar w:fldCharType="end"/>
      </w:r>
      <w:r w:rsidR="008E6B2D">
        <w:t>). Prin urmare, Curtea nu poate admite argumentul primului reclamant conform căruia detenția sa din perioada cuprinsă între 10 și 29 iunie 2021 nu avea un temei juridic (a se vedea supra, pct. </w:t>
      </w:r>
      <w:r w:rsidR="008E6B2D" w:rsidRPr="00857E57">
        <w:fldChar w:fldCharType="begin"/>
      </w:r>
      <w:r w:rsidR="008E6B2D" w:rsidRPr="00857E57">
        <w:instrText xml:space="preserve"> REF paragraph00104 \h  \* CharFormat </w:instrText>
      </w:r>
      <w:r w:rsidR="008E6B2D" w:rsidRPr="00857E57">
        <w:fldChar w:fldCharType="separate"/>
      </w:r>
      <w:r w:rsidR="00495766">
        <w:t>105</w:t>
      </w:r>
      <w:r w:rsidR="008E6B2D" w:rsidRPr="00857E57">
        <w:fldChar w:fldCharType="end"/>
      </w:r>
      <w:r w:rsidR="008E6B2D">
        <w:t>), având în vedere că respectiva curte de apel invocase deja existența unui caz de forță majoră, în sensul art. 57 alin. (6) din Legea nr. 302/2004, constatare pe care Înalta Curte a confirmat-o și a expus-o detaliat în decizia acesteia din 29 iunie 2021 (a se vedea supra, pct. </w:t>
      </w:r>
      <w:r w:rsidR="008E6B2D" w:rsidRPr="00857E57">
        <w:fldChar w:fldCharType="begin"/>
      </w:r>
      <w:r w:rsidR="008E6B2D" w:rsidRPr="00857E57">
        <w:instrText xml:space="preserve"> REF paragraph00033 \h  \* CharFormat </w:instrText>
      </w:r>
      <w:r w:rsidR="008E6B2D" w:rsidRPr="00857E57">
        <w:fldChar w:fldCharType="separate"/>
      </w:r>
      <w:r w:rsidR="00495766">
        <w:t>33</w:t>
      </w:r>
      <w:r w:rsidR="008E6B2D" w:rsidRPr="00857E57">
        <w:fldChar w:fldCharType="end"/>
      </w:r>
      <w:r w:rsidR="008E6B2D">
        <w:t xml:space="preserve"> și </w:t>
      </w:r>
      <w:r w:rsidR="008E6B2D" w:rsidRPr="00857E57">
        <w:fldChar w:fldCharType="begin"/>
      </w:r>
      <w:r w:rsidR="008E6B2D" w:rsidRPr="00857E57">
        <w:instrText xml:space="preserve"> REF paragraph00035 \h  \* CharFormat </w:instrText>
      </w:r>
      <w:r w:rsidR="008E6B2D" w:rsidRPr="00857E57">
        <w:fldChar w:fldCharType="separate"/>
      </w:r>
      <w:r w:rsidR="00495766">
        <w:t>35</w:t>
      </w:r>
      <w:r w:rsidR="008E6B2D" w:rsidRPr="00857E57">
        <w:fldChar w:fldCharType="end"/>
      </w:r>
      <w:r w:rsidR="008E6B2D">
        <w:t>-</w:t>
      </w:r>
      <w:r w:rsidR="008E6B2D" w:rsidRPr="00857E57">
        <w:fldChar w:fldCharType="begin"/>
      </w:r>
      <w:r w:rsidR="008E6B2D" w:rsidRPr="00857E57">
        <w:instrText xml:space="preserve"> REF paragraph00038 \h  \* CharFormat </w:instrText>
      </w:r>
      <w:r w:rsidR="008E6B2D" w:rsidRPr="00857E57">
        <w:fldChar w:fldCharType="separate"/>
      </w:r>
      <w:r w:rsidR="00495766">
        <w:t>38</w:t>
      </w:r>
      <w:r w:rsidR="008E6B2D" w:rsidRPr="00857E57">
        <w:fldChar w:fldCharType="end"/>
      </w:r>
      <w:r w:rsidR="008E6B2D">
        <w:t>).</w:t>
      </w:r>
    </w:p>
    <w:p w:rsidR="0055665C" w:rsidRPr="00857E57" w:rsidRDefault="000E6C59" w:rsidP="00857E57">
      <w:pPr>
        <w:pStyle w:val="JuPara"/>
      </w:pPr>
      <w:fldSimple w:instr=" SEQ level0 \*arabic \* MERGEFORMAT ">
        <w:r w:rsidR="00495766">
          <w:rPr>
            <w:noProof/>
          </w:rPr>
          <w:t>124</w:t>
        </w:r>
      </w:fldSimple>
      <w:r w:rsidR="008E6B2D">
        <w:t>. În ceea ce privește „calitatea legii”, reclamanții s‑au plâns în special de lipsa securității juridice, subliniind că Legea nr. 302/2004 nu definea noțiunea de forță majoră și nu prevedea nici perioade de detenție „stabilite în totalitate” și nici o revizuire periodică a detenției. Curtea reiterează că, în special atunci când există un termen juridic aplicabil unor situații excepționale diverse și în lipsa unei jurisprudențe interne relevante, rolul jucat de instanțele naționale în eliminarea oricărei îndoieli care ar putea exista în ceea ce privește interpretarea unei astfel de norme într‑un context specific nu este, în sine, un indiciu al lipsei securității juridice a normei în cauză (a se vedea supra, pct. </w:t>
      </w:r>
      <w:r w:rsidR="008E6B2D" w:rsidRPr="00857E57">
        <w:fldChar w:fldCharType="begin"/>
      </w:r>
      <w:r w:rsidR="008E6B2D" w:rsidRPr="00857E57">
        <w:instrText xml:space="preserve"> REF paragraph00120 \h  \* CharFormat </w:instrText>
      </w:r>
      <w:r w:rsidR="008E6B2D" w:rsidRPr="00857E57">
        <w:fldChar w:fldCharType="separate"/>
      </w:r>
      <w:r w:rsidR="00495766">
        <w:t>122</w:t>
      </w:r>
      <w:r w:rsidR="008E6B2D" w:rsidRPr="00857E57">
        <w:fldChar w:fldCharType="end"/>
      </w:r>
      <w:r w:rsidR="008E6B2D">
        <w:t xml:space="preserve"> și jurisprudența citată acolo). Pentru a respinge argumentele primului reclamant, în decizia sa din 29 iunie 2021, Înalta Curte a prezentat un raționament detaliat privind interpretarea noțiunii de forță majoră prevăzută la art. 57 alin. (6) din Legea nr. 302/2004, în contextul specific al cooperării judiciare internaționale (extrădare) și cu referire la jurisprudența și convențiile internaționale relevante (a se vedea supra, pct. </w:t>
      </w:r>
      <w:r w:rsidR="008E6B2D" w:rsidRPr="00857E57">
        <w:fldChar w:fldCharType="begin"/>
      </w:r>
      <w:r w:rsidR="008E6B2D" w:rsidRPr="00857E57">
        <w:instrText xml:space="preserve"> REF paragraph00036 \h  \* CharFormat </w:instrText>
      </w:r>
      <w:r w:rsidR="008E6B2D" w:rsidRPr="00857E57">
        <w:fldChar w:fldCharType="separate"/>
      </w:r>
      <w:r w:rsidR="00495766">
        <w:t>36</w:t>
      </w:r>
      <w:r w:rsidR="008E6B2D" w:rsidRPr="00857E57">
        <w:fldChar w:fldCharType="end"/>
      </w:r>
      <w:r w:rsidR="008E6B2D">
        <w:t>-</w:t>
      </w:r>
      <w:r w:rsidR="008E6B2D" w:rsidRPr="00857E57">
        <w:fldChar w:fldCharType="begin"/>
      </w:r>
      <w:r w:rsidR="008E6B2D" w:rsidRPr="00857E57">
        <w:instrText xml:space="preserve"> REF paragraph00038 \h  \* CharFormat </w:instrText>
      </w:r>
      <w:r w:rsidR="008E6B2D" w:rsidRPr="00857E57">
        <w:fldChar w:fldCharType="separate"/>
      </w:r>
      <w:r w:rsidR="00495766">
        <w:t>38</w:t>
      </w:r>
      <w:r w:rsidR="008E6B2D" w:rsidRPr="00857E57">
        <w:fldChar w:fldCharType="end"/>
      </w:r>
      <w:r w:rsidR="008E6B2D">
        <w:t>). Aceasta a concluzionat că situația în care Curtea a indicat o măsură provizorie - considerată ca fiind o împrejurare imprevizibilă și inevitabilă, independentă de controlul autorităților - constituie un caz de forță majoră.</w:t>
      </w:r>
    </w:p>
    <w:p w:rsidR="0055665C" w:rsidRPr="00857E57" w:rsidRDefault="000E6C59" w:rsidP="00857E57">
      <w:pPr>
        <w:pStyle w:val="JuPara"/>
      </w:pPr>
      <w:fldSimple w:instr=" SEQ level0 \*arabic \* MERGEFORMAT ">
        <w:r w:rsidR="00495766">
          <w:rPr>
            <w:noProof/>
          </w:rPr>
          <w:t>125</w:t>
        </w:r>
      </w:fldSimple>
      <w:r w:rsidR="008E6B2D">
        <w:t>. Curtea este conștientă de faptul că, ulterior arestării reclamanților, în Decizia nr. 359/2022, Curtea Constituțională a solicitat legiuitorului să modifice cadrul juridic privind forța majoră, pentru a evita riscul menținerii unei stări de privare de libertate față de o persoană pe o perioadă nedeterminată, în vederea predării sale, solicitare în urma căreia au fost aduse modificări dispozițiilor relevante ale Legii nr. 302/2004 (</w:t>
      </w:r>
      <w:r w:rsidR="008E6B2D">
        <w:rPr>
          <w:rFonts w:ascii="Times New Roman" w:hAnsi="Times New Roman"/>
        </w:rPr>
        <w:t>a se vedea supra, pct. </w:t>
      </w:r>
      <w:r w:rsidR="008E6B2D" w:rsidRPr="00857E57">
        <w:rPr>
          <w:rFonts w:ascii="Times New Roman" w:hAnsi="Times New Roman" w:cs="Times New Roman"/>
        </w:rPr>
        <w:fldChar w:fldCharType="begin"/>
      </w:r>
      <w:r w:rsidR="008E6B2D" w:rsidRPr="00857E57">
        <w:rPr>
          <w:rFonts w:ascii="Times New Roman" w:hAnsi="Times New Roman" w:cs="Times New Roman"/>
        </w:rPr>
        <w:instrText xml:space="preserve"> REF paragraph00044 \h  \* CharFormat </w:instrText>
      </w:r>
      <w:r w:rsidR="008E6B2D" w:rsidRPr="00857E57">
        <w:rPr>
          <w:rFonts w:ascii="Times New Roman" w:hAnsi="Times New Roman" w:cs="Times New Roman"/>
        </w:rPr>
      </w:r>
      <w:r w:rsidR="008E6B2D" w:rsidRPr="00857E57">
        <w:rPr>
          <w:rFonts w:ascii="Times New Roman" w:hAnsi="Times New Roman" w:cs="Times New Roman"/>
        </w:rPr>
        <w:fldChar w:fldCharType="separate"/>
      </w:r>
      <w:r w:rsidR="00495766" w:rsidRPr="00495766">
        <w:rPr>
          <w:rFonts w:ascii="Times New Roman" w:hAnsi="Times New Roman" w:cs="Times New Roman"/>
        </w:rPr>
        <w:t>56</w:t>
      </w:r>
      <w:r w:rsidR="008E6B2D" w:rsidRPr="00857E57">
        <w:rPr>
          <w:rFonts w:ascii="Times New Roman" w:hAnsi="Times New Roman" w:cs="Times New Roman"/>
        </w:rPr>
        <w:fldChar w:fldCharType="end"/>
      </w:r>
      <w:r w:rsidR="008E6B2D">
        <w:rPr>
          <w:rFonts w:ascii="Times New Roman" w:hAnsi="Times New Roman"/>
        </w:rPr>
        <w:t>-</w:t>
      </w:r>
      <w:r w:rsidR="008E6B2D" w:rsidRPr="00857E57">
        <w:rPr>
          <w:rFonts w:ascii="Times New Roman" w:hAnsi="Times New Roman" w:cs="Times New Roman"/>
        </w:rPr>
        <w:fldChar w:fldCharType="begin"/>
      </w:r>
      <w:r w:rsidR="008E6B2D" w:rsidRPr="00857E57">
        <w:rPr>
          <w:rFonts w:ascii="Times New Roman" w:hAnsi="Times New Roman" w:cs="Times New Roman"/>
        </w:rPr>
        <w:instrText xml:space="preserve"> REF paragraph00040 \h  \* CharFormat </w:instrText>
      </w:r>
      <w:r w:rsidR="008E6B2D" w:rsidRPr="00857E57">
        <w:rPr>
          <w:rFonts w:ascii="Times New Roman" w:hAnsi="Times New Roman" w:cs="Times New Roman"/>
        </w:rPr>
      </w:r>
      <w:r w:rsidR="008E6B2D" w:rsidRPr="00857E57">
        <w:rPr>
          <w:rFonts w:ascii="Times New Roman" w:hAnsi="Times New Roman" w:cs="Times New Roman"/>
        </w:rPr>
        <w:fldChar w:fldCharType="separate"/>
      </w:r>
      <w:r w:rsidR="00495766" w:rsidRPr="00495766">
        <w:rPr>
          <w:rFonts w:ascii="Times New Roman" w:hAnsi="Times New Roman" w:cs="Times New Roman"/>
        </w:rPr>
        <w:t>58</w:t>
      </w:r>
      <w:r w:rsidR="008E6B2D" w:rsidRPr="00857E57">
        <w:rPr>
          <w:rFonts w:ascii="Times New Roman" w:hAnsi="Times New Roman" w:cs="Times New Roman"/>
        </w:rPr>
        <w:fldChar w:fldCharType="end"/>
      </w:r>
      <w:r w:rsidR="008E6B2D">
        <w:t xml:space="preserve">). Cu toate acestea, întrucât aceste evenimente au avut loc abia după încetarea măsurii arestării dispuse față de reclamanți, ele nu au anulat retroactiv procedura desfășurată în cauza lor și nici măsura în cauză, și, mai general, nu justifică în sine concluzia potrivit căreia detenția anterioară a reclamanților a fost contrară Convenției (a se vedea, </w:t>
      </w:r>
      <w:r w:rsidR="008E6B2D">
        <w:rPr>
          <w:i/>
        </w:rPr>
        <w:t>mutatis mutandis</w:t>
      </w:r>
      <w:r w:rsidR="008E6B2D">
        <w:t xml:space="preserve">, </w:t>
      </w:r>
      <w:r w:rsidR="008E6B2D">
        <w:rPr>
          <w:i/>
        </w:rPr>
        <w:t>Porowski împotriva Poloniei</w:t>
      </w:r>
      <w:r w:rsidR="008E6B2D">
        <w:t xml:space="preserve">, nr. 34458/03, pct. 122, 21 martie 2017). În plus, Curtea reafirmă că, în cadrul examinării sale a legalității detenției de la caz la caz, aceasta nu se concentrează doar asupra problemei existenței unor </w:t>
      </w:r>
      <w:r w:rsidR="008E6B2D">
        <w:lastRenderedPageBreak/>
        <w:t xml:space="preserve">termene fixe, care nu constituie, ca atare, o cerință prevăzută la art. 5 § 1 lit. f) din Convenție (a se vedea </w:t>
      </w:r>
      <w:r w:rsidR="008E6B2D">
        <w:rPr>
          <w:i/>
        </w:rPr>
        <w:t>J. N</w:t>
      </w:r>
      <w:r w:rsidR="008E6B2D">
        <w:t xml:space="preserve">. </w:t>
      </w:r>
      <w:r w:rsidR="008E6B2D">
        <w:rPr>
          <w:i/>
        </w:rPr>
        <w:t>împotriva Regatului Unit</w:t>
      </w:r>
      <w:r w:rsidR="008E6B2D">
        <w:t xml:space="preserve">, citată anterior, pct. 83), ci și asupra aspectului dacă au existat sau nu „garanții împotriva arbitrariului”, care le-au permis reclamanților să obțină examinarea </w:t>
      </w:r>
      <w:r w:rsidR="008E6B2D">
        <w:rPr>
          <w:i/>
        </w:rPr>
        <w:t>in concreto</w:t>
      </w:r>
      <w:r w:rsidR="008E6B2D">
        <w:t>, de către instanțele naționale, a legalității și a caracterului rezonabil al detenției lor.</w:t>
      </w:r>
    </w:p>
    <w:p w:rsidR="0055665C" w:rsidRPr="00857E57" w:rsidRDefault="000E6C59" w:rsidP="00857E57">
      <w:pPr>
        <w:pStyle w:val="JuPara"/>
      </w:pPr>
      <w:fldSimple w:instr=" SEQ level0 \*arabic \* MERGEFORMAT ">
        <w:r w:rsidR="00495766">
          <w:rPr>
            <w:noProof/>
          </w:rPr>
          <w:t>126</w:t>
        </w:r>
      </w:fldSimple>
      <w:r w:rsidR="008E6B2D">
        <w:t xml:space="preserve">. Curtea observă că, într‑o cauză recentă, a contestat decizia autorităților interne de a suspenda procedura de extrădare a reclamantului până la noi dispoziții, în temeiul unei dispoziții din Convenția europeană de extrădare din 1957, referitoare la cazurile de „forță majoră”, întrucât, în lipsa unei date convenite pentru predare, decizia în cauză l-a privat pe reclamant de garanțiile procedurale (a se vedea </w:t>
      </w:r>
      <w:r w:rsidR="008E6B2D">
        <w:rPr>
          <w:i/>
        </w:rPr>
        <w:t>Khokhlov împotriva Ciprului</w:t>
      </w:r>
      <w:r w:rsidR="008E6B2D">
        <w:t xml:space="preserve">, nr. 53114/20, pct. 58, 70 </w:t>
      </w:r>
      <w:r w:rsidR="008E6B2D">
        <w:rPr>
          <w:i/>
        </w:rPr>
        <w:t>in fine</w:t>
      </w:r>
      <w:r w:rsidR="008E6B2D">
        <w:t xml:space="preserve"> și 101 </w:t>
      </w:r>
      <w:r w:rsidR="008E6B2D">
        <w:rPr>
          <w:i/>
        </w:rPr>
        <w:t>in fine</w:t>
      </w:r>
      <w:r w:rsidR="008E6B2D">
        <w:t xml:space="preserve">, 13 iunie 2023). Aceasta a subliniat de asemenea că, în astfel de împrejurări, necesitatea unor garanții procedurale devine decisivă și a evidențiat absența unor astfel de garanții în cauza respectivă (ibid.), fapt care a întărit concluzia sa cu privire la întârzierile procedurale anterioare care afectaseră detenția în vederea extrădării timp de peste doi ani (ibid., pct. 95 și 98-99). Cu toate acestea, ar trebui să se facă distincție între prezenta cauză și </w:t>
      </w:r>
      <w:r w:rsidR="008E6B2D">
        <w:rPr>
          <w:i/>
        </w:rPr>
        <w:t>Khokhlov</w:t>
      </w:r>
      <w:r w:rsidR="008E6B2D">
        <w:t>, întrucât reclamanții nu s-au plâns de întârzieri specifice și au beneficiat de garanții procedurale.</w:t>
      </w:r>
    </w:p>
    <w:p w:rsidR="0055665C" w:rsidRPr="00857E57" w:rsidRDefault="000E6C59" w:rsidP="00857E57">
      <w:pPr>
        <w:pStyle w:val="JuPara"/>
        <w:rPr>
          <w:rFonts w:cstheme="minorHAnsi"/>
        </w:rPr>
      </w:pPr>
      <w:fldSimple w:instr=" SEQ level0 \*arabic \* MERGEFORMAT ">
        <w:r w:rsidR="00495766">
          <w:rPr>
            <w:noProof/>
          </w:rPr>
          <w:t>127</w:t>
        </w:r>
      </w:fldSimple>
      <w:r w:rsidR="008E6B2D">
        <w:t>. În această privință, Curtea observă că, pe tot parcursul acestei perioade și în pofida faptului că Legea nr. 302/2004 nu conținea dispoziții legale specifice, autoritățile și instanțele naționale au reexaminat legalitatea detenției reclamanților, fie din oficiu, fie la cererea reclamanților. Făcând referire, de asemenea, la cerințele Convenției, instanțele interne au aplicat măsuri preventive mai puțin restrictive, în temeiul C. proc. pen., și anume arestul la domiciliu și, ulterior, la 19 noiembrie și, respectiv, 9 decembrie 2021, au dispus punerea în libertate sub control judiciar a reclamanților, hotărând că arestarea acestora în vederea predării, care a durat aproximativ nouă luni pentru fiecare dintre ei, nu mai era justificată în lumina situației lor personale și din perspectiva specifică a predării acestora (a se vedea supra, pct. </w:t>
      </w:r>
      <w:r w:rsidR="008E6B2D" w:rsidRPr="00857E57">
        <w:rPr>
          <w:rFonts w:cstheme="minorHAnsi"/>
        </w:rPr>
        <w:fldChar w:fldCharType="begin"/>
      </w:r>
      <w:r w:rsidR="008E6B2D" w:rsidRPr="00857E57">
        <w:rPr>
          <w:rFonts w:cstheme="minorHAnsi"/>
        </w:rPr>
        <w:instrText xml:space="preserve"> REF Matthewslessrestricitvemeasures \h </w:instrText>
      </w:r>
      <w:r w:rsidR="008E6B2D" w:rsidRPr="00857E57">
        <w:rPr>
          <w:rFonts w:cstheme="minorHAnsi"/>
        </w:rPr>
      </w:r>
      <w:r w:rsidR="008E6B2D" w:rsidRPr="00857E57">
        <w:rPr>
          <w:rFonts w:cstheme="minorHAnsi"/>
        </w:rPr>
        <w:fldChar w:fldCharType="separate"/>
      </w:r>
      <w:r w:rsidR="00495766">
        <w:rPr>
          <w:noProof/>
        </w:rPr>
        <w:t>40</w:t>
      </w:r>
      <w:r w:rsidR="008E6B2D" w:rsidRPr="00857E57">
        <w:rPr>
          <w:rFonts w:cstheme="minorHAnsi"/>
        </w:rPr>
        <w:fldChar w:fldCharType="end"/>
      </w:r>
      <w:r w:rsidR="008E6B2D">
        <w:t>-</w:t>
      </w:r>
      <w:r w:rsidR="008E6B2D" w:rsidRPr="00857E57">
        <w:rPr>
          <w:rFonts w:cstheme="minorHAnsi"/>
        </w:rPr>
        <w:fldChar w:fldCharType="begin"/>
      </w:r>
      <w:r w:rsidR="008E6B2D" w:rsidRPr="00857E57">
        <w:rPr>
          <w:rFonts w:cstheme="minorHAnsi"/>
        </w:rPr>
        <w:instrText xml:space="preserve"> REF paragraph00041 \h  \* CharFormat </w:instrText>
      </w:r>
      <w:r w:rsidR="008E6B2D" w:rsidRPr="00857E57">
        <w:rPr>
          <w:rFonts w:cstheme="minorHAnsi"/>
        </w:rPr>
      </w:r>
      <w:r w:rsidR="008E6B2D" w:rsidRPr="00857E57">
        <w:rPr>
          <w:rFonts w:cstheme="minorHAnsi"/>
        </w:rPr>
        <w:fldChar w:fldCharType="separate"/>
      </w:r>
      <w:r w:rsidR="00495766" w:rsidRPr="00495766">
        <w:rPr>
          <w:rFonts w:cstheme="minorHAnsi"/>
        </w:rPr>
        <w:t>41</w:t>
      </w:r>
      <w:r w:rsidR="008E6B2D" w:rsidRPr="00857E57">
        <w:rPr>
          <w:rFonts w:cstheme="minorHAnsi"/>
        </w:rPr>
        <w:fldChar w:fldCharType="end"/>
      </w:r>
      <w:r w:rsidR="008E6B2D">
        <w:t xml:space="preserve"> și </w:t>
      </w:r>
      <w:r w:rsidR="008E6B2D" w:rsidRPr="00857E57">
        <w:rPr>
          <w:rFonts w:cstheme="minorHAnsi"/>
        </w:rPr>
        <w:fldChar w:fldCharType="begin"/>
      </w:r>
      <w:r w:rsidR="008E6B2D" w:rsidRPr="00857E57">
        <w:rPr>
          <w:rFonts w:cstheme="minorHAnsi"/>
        </w:rPr>
        <w:instrText xml:space="preserve"> REF paragraph00053 \h  \* CharFormat </w:instrText>
      </w:r>
      <w:r w:rsidR="008E6B2D" w:rsidRPr="00857E57">
        <w:rPr>
          <w:rFonts w:cstheme="minorHAnsi"/>
        </w:rPr>
      </w:r>
      <w:r w:rsidR="008E6B2D" w:rsidRPr="00857E57">
        <w:rPr>
          <w:rFonts w:cstheme="minorHAnsi"/>
        </w:rPr>
        <w:fldChar w:fldCharType="separate"/>
      </w:r>
      <w:r w:rsidR="00495766" w:rsidRPr="00495766">
        <w:rPr>
          <w:rFonts w:cstheme="minorHAnsi"/>
        </w:rPr>
        <w:t>48</w:t>
      </w:r>
      <w:r w:rsidR="008E6B2D" w:rsidRPr="00857E57">
        <w:rPr>
          <w:rFonts w:cstheme="minorHAnsi"/>
        </w:rPr>
        <w:fldChar w:fldCharType="end"/>
      </w:r>
      <w:r w:rsidR="008E6B2D">
        <w:t>-</w:t>
      </w:r>
      <w:r w:rsidR="008E6B2D" w:rsidRPr="00857E57">
        <w:rPr>
          <w:rFonts w:cstheme="minorHAnsi"/>
        </w:rPr>
        <w:fldChar w:fldCharType="begin"/>
      </w:r>
      <w:r w:rsidR="008E6B2D" w:rsidRPr="00857E57">
        <w:rPr>
          <w:rFonts w:cstheme="minorHAnsi"/>
        </w:rPr>
        <w:instrText xml:space="preserve"> REF MatthewsJohnsonlessrestricitvemeasures \h </w:instrText>
      </w:r>
      <w:r w:rsidR="008E6B2D" w:rsidRPr="00857E57">
        <w:rPr>
          <w:rFonts w:cstheme="minorHAnsi"/>
        </w:rPr>
      </w:r>
      <w:r w:rsidR="008E6B2D" w:rsidRPr="00857E57">
        <w:rPr>
          <w:rFonts w:cstheme="minorHAnsi"/>
        </w:rPr>
        <w:fldChar w:fldCharType="separate"/>
      </w:r>
      <w:r w:rsidR="00495766">
        <w:rPr>
          <w:noProof/>
        </w:rPr>
        <w:t>49</w:t>
      </w:r>
      <w:r w:rsidR="008E6B2D" w:rsidRPr="00857E57">
        <w:rPr>
          <w:rFonts w:cstheme="minorHAnsi"/>
        </w:rPr>
        <w:fldChar w:fldCharType="end"/>
      </w:r>
      <w:r w:rsidR="008E6B2D">
        <w:t xml:space="preserve">; a se compara, printre altele, cu </w:t>
      </w:r>
      <w:r w:rsidR="008E6B2D">
        <w:rPr>
          <w:i/>
        </w:rPr>
        <w:t>Al Husin împotriva Bosniei și Herțegovinei</w:t>
      </w:r>
      <w:r w:rsidR="008E6B2D">
        <w:t xml:space="preserve">, nr. 3727/08, pct. 67-69, 7 februarie 2012; </w:t>
      </w:r>
      <w:r w:rsidR="008E6B2D">
        <w:rPr>
          <w:i/>
        </w:rPr>
        <w:t>Umirov împotriva Rusiei</w:t>
      </w:r>
      <w:r w:rsidR="008E6B2D">
        <w:t xml:space="preserve">, nr. 17455/11, pct. 136 și urm., 18 septembrie 2012; și </w:t>
      </w:r>
      <w:r w:rsidR="008E6B2D">
        <w:rPr>
          <w:i/>
        </w:rPr>
        <w:t>Ahmed împotriva Regatului Unit</w:t>
      </w:r>
      <w:r w:rsidR="008E6B2D">
        <w:t>, nr. 59727/13, pct. 41 și urm., 2 martie 2017).</w:t>
      </w:r>
    </w:p>
    <w:p w:rsidR="0055665C" w:rsidRPr="00857E57" w:rsidRDefault="008E6B2D" w:rsidP="00857E57">
      <w:pPr>
        <w:pStyle w:val="JuPara"/>
        <w:rPr>
          <w:rFonts w:eastAsia="Times New Roman"/>
        </w:rPr>
      </w:pPr>
      <w:r w:rsidRPr="00857E57">
        <w:rPr>
          <w:rFonts w:cstheme="minorHAnsi"/>
        </w:rPr>
        <w:fldChar w:fldCharType="begin"/>
      </w:r>
      <w:r w:rsidRPr="00857E57">
        <w:rPr>
          <w:rFonts w:cstheme="minorHAnsi"/>
        </w:rPr>
        <w:instrText xml:space="preserve"> SEQ level0 \*arabic \* MERGEFORMAT </w:instrText>
      </w:r>
      <w:r w:rsidRPr="00857E57">
        <w:rPr>
          <w:rFonts w:cstheme="minorHAnsi"/>
        </w:rPr>
        <w:fldChar w:fldCharType="separate"/>
      </w:r>
      <w:r w:rsidR="00495766">
        <w:rPr>
          <w:rFonts w:cstheme="minorHAnsi"/>
          <w:noProof/>
        </w:rPr>
        <w:t>128</w:t>
      </w:r>
      <w:r w:rsidRPr="00857E57">
        <w:rPr>
          <w:rFonts w:cstheme="minorHAnsi"/>
        </w:rPr>
        <w:fldChar w:fldCharType="end"/>
      </w:r>
      <w:r>
        <w:t xml:space="preserve">. Curtea observă în special că extrădarea reclamanților în SUA a fost împiedicată temporar chiar de măsurile provizorii indicate de aceasta în temeiul art. 39 din Regulamentul Curții, în interesul bunei desfășurări a prezentei proceduri. Curtea a constatat anterior că, în cazul în care procedura de expulzare sau de extrădare este suspendată provizoriu, ca urmare a unei cereri (având ca obiect luarea) de măsuri provizorii, acest lucru în sine nu face detenția persoanei în cauză nelegală, cu condiția ca autoritățile să aibă în </w:t>
      </w:r>
      <w:r>
        <w:lastRenderedPageBreak/>
        <w:t>vedere în continuare expulzarea, într-o etapă ulterioară, și ca detenția respectivă să nu fie prelungită în mod nerezonabil (</w:t>
      </w:r>
      <w:bookmarkStart w:id="72" w:name="_cl27194"/>
      <w:r>
        <w:t>a se vedea</w:t>
      </w:r>
      <w:bookmarkStart w:id="73" w:name="_cl20376"/>
      <w:r>
        <w:rPr>
          <w:i/>
        </w:rPr>
        <w:t xml:space="preserve"> Ahmed</w:t>
      </w:r>
      <w:r>
        <w:t xml:space="preserve">, citată anterior, pct. 44; </w:t>
      </w:r>
      <w:r>
        <w:rPr>
          <w:i/>
        </w:rPr>
        <w:t>H.S. și alții împotriva Ciprului</w:t>
      </w:r>
      <w:bookmarkEnd w:id="72"/>
      <w:bookmarkEnd w:id="73"/>
      <w:r>
        <w:t xml:space="preserve">, nr. 41753/10 și alte 13 cereri, pct. 311, 21 iulie 2015; și </w:t>
      </w:r>
      <w:bookmarkStart w:id="74" w:name="_cl40956"/>
      <w:r>
        <w:rPr>
          <w:i/>
        </w:rPr>
        <w:t>M.D. Și alții împotriva Rusiei</w:t>
      </w:r>
      <w:bookmarkEnd w:id="74"/>
      <w:r>
        <w:t>, nr. 71321/17 și alte 8 cereri, pct. 125, 14 septembrie 2021). În speță, Curtea consideră că detenția reclamanților, atât pe parcursul acestei perioade specifice, cât și în ansamblul său, nu a fost nerezonabil de lungă sau nejustificată, având în vedere diligența autorităților și interesul acestora în ceea ce privește continuarea procedurii (de extrădare). În sfârșit, nu există niciun indiciu că autoritățile au acționat cu rea-credință sau că detenția reclamanților – care a fost conformă cu art. 57 alin. (6) din Legea nr. 302/2004, astfel cum era în vigoare la momentul faptelor – a fost arbitrară din orice alt motiv, cum ar fi faptul că instanțele naționale au reexaminat posibilitatea dispunerii unor măsuri alternative detenției, în temeiul C. proc. pen., abia la câteva luni de la neîndeplinirea procedurii de predare la data programată inițial.</w:t>
      </w:r>
    </w:p>
    <w:p w:rsidR="0055665C" w:rsidRPr="00857E57" w:rsidRDefault="008E6B2D" w:rsidP="00857E57">
      <w:pPr>
        <w:pStyle w:val="JuPara"/>
        <w:rPr>
          <w:rFonts w:eastAsia="Times New Roman"/>
        </w:rPr>
      </w:pPr>
      <w:r>
        <w:t>Pe scurt, detenția reclamanților începând cu 10 iunie 2021 și până la punerea lor în libertate sub control judiciar, la 19 noiembrie 2021 (primul reclamant) și, respectiv, la 9 decembrie 2021 (cel de-al doilea reclamant) a fost, de asemenea, legală.</w:t>
      </w:r>
    </w:p>
    <w:p w:rsidR="0055665C" w:rsidRPr="00857E57" w:rsidRDefault="008E6B2D" w:rsidP="00857E57">
      <w:pPr>
        <w:pStyle w:val="JuHi"/>
      </w:pPr>
      <w:r>
        <w:t>Concluzia Curții cu privire la temeinicia capătului de cerere formulat de reclamanți în temeiul art. 5 § 1 din Convenție</w:t>
      </w:r>
    </w:p>
    <w:p w:rsidR="0055665C" w:rsidRPr="00857E57" w:rsidRDefault="000E6C59" w:rsidP="00857E57">
      <w:pPr>
        <w:pStyle w:val="JuPara"/>
      </w:pPr>
      <w:fldSimple w:instr=" SEQ level0 \*arabic \* MERGEFORMAT ">
        <w:r w:rsidR="00495766">
          <w:rPr>
            <w:noProof/>
          </w:rPr>
          <w:t>129</w:t>
        </w:r>
      </w:fldSimple>
      <w:r w:rsidR="008E6B2D">
        <w:t>. În lumina considerentelor anterioare, Curtea apreciază că detenția reclamanților în vederea extrădării și predării acestora a fost conformă cu art. 5 § 1 lit. f) din Convenție.</w:t>
      </w:r>
    </w:p>
    <w:p w:rsidR="0055665C" w:rsidRPr="00857E57" w:rsidRDefault="000E6C59" w:rsidP="00857E57">
      <w:pPr>
        <w:pStyle w:val="JuPara"/>
      </w:pPr>
      <w:fldSimple w:instr=" SEQ level0 \*arabic \* MERGEFORMAT ">
        <w:r w:rsidR="00495766">
          <w:rPr>
            <w:noProof/>
          </w:rPr>
          <w:t>130</w:t>
        </w:r>
      </w:fldSimple>
      <w:r w:rsidR="008E6B2D">
        <w:t>. Prin urmare, constată că nu a fost încălcat art. 5 § 1 lit. f).</w:t>
      </w:r>
    </w:p>
    <w:p w:rsidR="0055665C" w:rsidRPr="00857E57" w:rsidRDefault="008E6B2D" w:rsidP="00857E57">
      <w:pPr>
        <w:pStyle w:val="JuHIRoman"/>
        <w:numPr>
          <w:ilvl w:val="1"/>
          <w:numId w:val="1"/>
        </w:numPr>
        <w:tabs>
          <w:tab w:val="left" w:pos="567"/>
          <w:tab w:val="left" w:pos="680"/>
        </w:tabs>
        <w:ind w:left="397" w:hanging="397"/>
      </w:pPr>
      <w:r>
        <w:t>CU PRIVIRE LA PRETINSA ÎNCĂLCARE A ART. 5 § 4 DIN CONVENȚIE</w:t>
      </w:r>
    </w:p>
    <w:p w:rsidR="0055665C" w:rsidRPr="00857E57" w:rsidRDefault="000E6C59" w:rsidP="00857E57">
      <w:pPr>
        <w:pStyle w:val="JuPara"/>
      </w:pPr>
      <w:fldSimple w:instr=" SEQ level0 \*arabic \* MERGEFORMAT ">
        <w:r w:rsidR="00495766">
          <w:rPr>
            <w:noProof/>
          </w:rPr>
          <w:t>131</w:t>
        </w:r>
      </w:fldSimple>
      <w:r w:rsidR="008E6B2D">
        <w:t>. În temeiul art. 5 din Convenție, reclamanții s-au plâns că legalitatea detenției lor nu a fost revizuită periodic după ce extrădarea lor fusese dispusă de instanțele naționale. Curtea consideră că acest capăt de cerere trebuie să fie examinat în temeiul art. 5 § 4, care se citește astfel:</w:t>
      </w:r>
    </w:p>
    <w:p w:rsidR="0055665C" w:rsidRPr="00857E57" w:rsidRDefault="008E6B2D" w:rsidP="00857E57">
      <w:pPr>
        <w:pStyle w:val="JuQuot"/>
      </w:pPr>
      <w:r>
        <w:t>„Orice persoană lipsită de libertatea sa prin arestare sau deținere are dreptul să introducă un recurs în fața unui tribunal, pentru ca acesta să statueze într-un termen scurt asupra legalității deținerii sale și să dispună eliberarea sa dacă deținerea este ilegală.”</w:t>
      </w:r>
    </w:p>
    <w:p w:rsidR="0055665C" w:rsidRPr="00857E57" w:rsidRDefault="008E6B2D" w:rsidP="00857E57">
      <w:pPr>
        <w:pStyle w:val="JuHA"/>
      </w:pPr>
      <w:r>
        <w:t>Argumentele părților</w:t>
      </w:r>
    </w:p>
    <w:p w:rsidR="0055665C" w:rsidRPr="00857E57" w:rsidRDefault="000E6C59" w:rsidP="00857E57">
      <w:pPr>
        <w:pStyle w:val="JuPara"/>
      </w:pPr>
      <w:fldSimple w:instr=" SEQ level0 \*arabic \* MERGEFORMAT ">
        <w:r w:rsidR="00495766">
          <w:rPr>
            <w:noProof/>
          </w:rPr>
          <w:t>132</w:t>
        </w:r>
      </w:fldSimple>
      <w:r w:rsidR="008E6B2D">
        <w:t xml:space="preserve">. Reclamanții au susținut că autoritățile nu și‑au îndeplinit obligațiile prevăzute la art. 5, din cauza faptului că nu au verificat periodic legalitatea detenției lor ulterioare pronunțării hotărârilor de extrădare. Chiar ținând </w:t>
      </w:r>
      <w:r w:rsidR="008E6B2D">
        <w:lastRenderedPageBreak/>
        <w:t xml:space="preserve">seama de deciziile adoptate în această privință de instanțele naționale, în perioada respectivă, aplicarea tardivă a unor măsuri mai puțin invazive decât lipsirea de libertate - în temeiul C. proc. pen., în completarea Legii nr. 302/2004, o </w:t>
      </w:r>
      <w:r w:rsidR="008E6B2D">
        <w:rPr>
          <w:i/>
        </w:rPr>
        <w:t>lex specialis</w:t>
      </w:r>
      <w:r w:rsidR="008E6B2D">
        <w:t>, în urma unei analize „globale” realizate de aceste instanțe - punea sub semnul întrebării eficacitatea oricărei căi de atac.</w:t>
      </w:r>
    </w:p>
    <w:p w:rsidR="0055665C" w:rsidRPr="00857E57" w:rsidRDefault="000E6C59" w:rsidP="00857E57">
      <w:pPr>
        <w:pStyle w:val="JuPara"/>
      </w:pPr>
      <w:fldSimple w:instr=" SEQ level0 \*arabic \* MERGEFORMAT ">
        <w:r w:rsidR="00495766">
          <w:rPr>
            <w:noProof/>
          </w:rPr>
          <w:t>133</w:t>
        </w:r>
      </w:fldSimple>
      <w:r w:rsidR="008E6B2D">
        <w:t>. Guvernul a subliniat din nou distincția care trebuie făcută între regimurile juridice aplicabile celor două tipuri de detenție prevăzute de Legea nr. 302/2004, și anume „arestarea provizorie în vederea extrădării” și „arestarea în vederea predării”. Contrar celor susținute de reclamanți, verificarea periodică a necesității detenției se impunea doar în perioada în care o persoană era supusă măsurii „arestării provizorii în vederea extrădării” și în cursul soluționării cererii de extrădare de către instanțele interne [art. 43 alin.(3) și alin. (5) din legea respectivă]. Cu toate acestea, chiar și în perioada arestării lor în vederea predării, mecanismul de control judiciar a permis revizuirea legalității detenției, fie ca urmare a unor contestații formulate de reclamanți, fie în urma unor cereri formulate din oficiu de către judecătorul delegat cu executarea pedepselor. În urma efectuării unei analize și a unei interpretări aprofundate, și într-o manieră „globală”, a dispozițiilor legale relevante, inclusiv a celor din C. proc. pen., precum și a situației reclamanților, instanțele naționale au înlocuit măsura arestării cu punerea lor în libertate sub control judiciar, ca urmare a schimbării situației reclamanților.</w:t>
      </w:r>
    </w:p>
    <w:p w:rsidR="0055665C" w:rsidRPr="00857E57" w:rsidRDefault="008E6B2D" w:rsidP="00857E57">
      <w:pPr>
        <w:pStyle w:val="JuHA"/>
      </w:pPr>
      <w:r>
        <w:t>Motivarea Curții</w:t>
      </w:r>
    </w:p>
    <w:p w:rsidR="0055665C" w:rsidRPr="00857E57" w:rsidRDefault="008E6B2D" w:rsidP="00857E57">
      <w:pPr>
        <w:pStyle w:val="JuH1"/>
      </w:pPr>
      <w:r>
        <w:t>Principii generale</w:t>
      </w:r>
    </w:p>
    <w:p w:rsidR="0055665C" w:rsidRPr="00857E57" w:rsidRDefault="000E6C59" w:rsidP="00857E57">
      <w:pPr>
        <w:pStyle w:val="JuPara"/>
      </w:pPr>
      <w:fldSimple w:instr=" SEQ level0 \*arabic \* MERGEFORMAT ">
        <w:r w:rsidR="00495766">
          <w:rPr>
            <w:noProof/>
          </w:rPr>
          <w:t>134</w:t>
        </w:r>
      </w:fldSimple>
      <w:r w:rsidR="008E6B2D">
        <w:t xml:space="preserve">. Curtea a precizat că respectiva cerință de la art. 5, potrivit căreia „orice persoană lipsită de libertatea sa prin arestare sau deținere are dreptul să introducă un recurs în fața unui tribunal, pentru ca acesta să statueze într-un termen scurt asupra legalității deținerii sale”, nu impune un standard uniform, invariabil, care trebuie să fie aplicat indiferent de context, de fapte și de circumstanțe (a se vedea </w:t>
      </w:r>
      <w:r w:rsidR="008E6B2D">
        <w:rPr>
          <w:i/>
        </w:rPr>
        <w:t>Louled Massoud împotriva Maltei</w:t>
      </w:r>
      <w:r w:rsidR="008E6B2D">
        <w:t>, nr. 24340/08, pct. 40, 27 iulie 2010). Cu toate acestea, Curtea a furnizat anumite orientări cu privire la ceea ce ar putea constitui o „cale de atac efectivă”. În primul rând, calea de atac trebuie să fie disponibilă în perioada detenției unei persoane, pentru a-i permite acesteia să obțină revizuirea într-un termen scurt a legalității detenției. În al doilea rând, această revizuire trebuie să aibă un caracter judiciar și să ofere garanții corespunzătoare tipului de lipsire de libertate în cauză [ibid.</w:t>
      </w:r>
      <w:r w:rsidR="008E6B2D">
        <w:rPr>
          <w:snapToGrid w:val="0"/>
        </w:rPr>
        <w:t>, pct. 40, și</w:t>
      </w:r>
      <w:r w:rsidR="008E6B2D">
        <w:t xml:space="preserve"> </w:t>
      </w:r>
      <w:r w:rsidR="008E6B2D">
        <w:rPr>
          <w:i/>
        </w:rPr>
        <w:t xml:space="preserve">A. și alții împotriva Regatului Unit </w:t>
      </w:r>
      <w:r w:rsidR="008E6B2D">
        <w:t xml:space="preserve">(MC), nr. 3455/05, pct. 203, CEDO 2009]. În al treilea rând, revizuirea ar trebui să poată conduce, dacă este cazul, la punerea în libertate a persoanei în cauză. În cele din urmă, aceasta trebuie să fie suficient de sigură, nu doar în teorie, ci și în practică, în caz contrar, fiind lipsită de accesibilitatea și eficiența necesare, în sensul acestei dispoziții (a se vedea </w:t>
      </w:r>
      <w:r w:rsidR="008E6B2D">
        <w:rPr>
          <w:i/>
        </w:rPr>
        <w:t>J. N</w:t>
      </w:r>
      <w:r w:rsidR="008E6B2D">
        <w:t xml:space="preserve">. </w:t>
      </w:r>
      <w:r w:rsidR="008E6B2D">
        <w:rPr>
          <w:i/>
        </w:rPr>
        <w:t>împotriva Regatului Unit</w:t>
      </w:r>
      <w:r w:rsidR="008E6B2D">
        <w:t>, citată anterior, pct. 88).</w:t>
      </w:r>
    </w:p>
    <w:p w:rsidR="0055665C" w:rsidRPr="00857E57" w:rsidRDefault="000E6C59" w:rsidP="00857E57">
      <w:pPr>
        <w:pStyle w:val="JuPara"/>
      </w:pPr>
      <w:fldSimple w:instr=" SEQ level0 \*arabic \* MERGEFORMAT ">
        <w:r w:rsidR="00495766">
          <w:rPr>
            <w:noProof/>
          </w:rPr>
          <w:t>135</w:t>
        </w:r>
      </w:fldSimple>
      <w:r w:rsidR="008E6B2D">
        <w:t>. Formele de control judiciar care îndeplinesc cerințele art. </w:t>
      </w:r>
      <w:bookmarkStart w:id="75" w:name="01000019"/>
      <w:bookmarkEnd w:id="75"/>
      <w:r w:rsidR="008E6B2D">
        <w:t>5 § 4</w:t>
      </w:r>
      <w:bookmarkStart w:id="76" w:name="0100001A"/>
      <w:bookmarkEnd w:id="76"/>
      <w:r w:rsidR="008E6B2D">
        <w:t xml:space="preserve"> pot varia în funcție de domeniu și de tipul de privare de libertate în cauză. Nu este sarcina Curții să cerceteze care ar fi cel mai adecvat sistem din sfera examinată. Nu este exclus ca un sistem de revizuire periodică automată </w:t>
      </w:r>
      <w:bookmarkStart w:id="77" w:name="0100001B"/>
      <w:bookmarkEnd w:id="77"/>
      <w:r w:rsidR="008E6B2D">
        <w:t>a legalității detenției, de către o instanță, să poată asigura respectarea cerințelor art. 5 § 4</w:t>
      </w:r>
      <w:bookmarkStart w:id="78" w:name="0100001D"/>
      <w:bookmarkEnd w:id="78"/>
      <w:r w:rsidR="008E6B2D">
        <w:t xml:space="preserve"> (a se vedea </w:t>
      </w:r>
      <w:r w:rsidR="008E6B2D">
        <w:rPr>
          <w:i/>
        </w:rPr>
        <w:t>Reinprecht împotriva Austriei</w:t>
      </w:r>
      <w:r w:rsidR="008E6B2D">
        <w:t>, nr. 67175/01, pct. 33, CEDO 2005</w:t>
      </w:r>
      <w:r w:rsidR="008E6B2D">
        <w:noBreakHyphen/>
        <w:t xml:space="preserve">XII), dacă deciziile privind legalitatea detenției sunt adoptate la „intervale rezonabile” (a se vedea, printre altele, </w:t>
      </w:r>
      <w:r w:rsidR="008E6B2D">
        <w:rPr>
          <w:i/>
        </w:rPr>
        <w:t>Blackstock împotriva Regatului Unit</w:t>
      </w:r>
      <w:r w:rsidR="008E6B2D">
        <w:t xml:space="preserve">, nr. 59512/00, pct. 42, 21 iunie 2005, și </w:t>
      </w:r>
      <w:r w:rsidR="008E6B2D">
        <w:rPr>
          <w:i/>
        </w:rPr>
        <w:t>Abdulkhakov împotriva Ru</w:t>
      </w:r>
      <w:r w:rsidR="008E6B2D">
        <w:rPr>
          <w:i/>
          <w:iCs/>
        </w:rPr>
        <w:t>siei</w:t>
      </w:r>
      <w:r w:rsidR="008E6B2D">
        <w:t>, nr. 14743/11, pct. 209, 2 octombrie 2012). Pe de altă parte, Curtea a hotărât că art. 5 § 1 nu poate fi interpretat în sensul că include o cerință implicită privind efectuarea unui control judiciar automat în ceea ce privește categoria/tipul de lipsire de libertate prevăzut/ă la litera f), dat fiind că garanția specifică legată de protecția judiciară asigurată de art. 5 § 4</w:t>
      </w:r>
      <w:r w:rsidR="008E6B2D">
        <w:rPr>
          <w:i/>
        </w:rPr>
        <w:t xml:space="preserve"> </w:t>
      </w:r>
      <w:r w:rsidR="008E6B2D">
        <w:t xml:space="preserve">este formulată în sensul existenței unui „drept” al persoanelor lipsite de libertate de a introduce o cale de ataccare să le permită să conteste legalitatea detenției lor (a se vedea </w:t>
      </w:r>
      <w:r w:rsidR="008E6B2D">
        <w:rPr>
          <w:i/>
        </w:rPr>
        <w:t>J.N. împotriva Regatului Unit</w:t>
      </w:r>
      <w:r w:rsidR="008E6B2D">
        <w:t>, citată anterior, pct. 94).</w:t>
      </w:r>
    </w:p>
    <w:p w:rsidR="0055665C" w:rsidRPr="00857E57" w:rsidRDefault="008E6B2D" w:rsidP="00857E57">
      <w:pPr>
        <w:pStyle w:val="JuH1"/>
      </w:pPr>
      <w:r>
        <w:t>Aplicarea principiilor sus-menționate în prezenta cauză</w:t>
      </w:r>
    </w:p>
    <w:p w:rsidR="0055665C" w:rsidRPr="00857E57" w:rsidRDefault="000E6C59" w:rsidP="00857E57">
      <w:pPr>
        <w:pStyle w:val="JuPara"/>
      </w:pPr>
      <w:fldSimple w:instr=" SEQ level0 \*arabic \* MERGEFORMAT ">
        <w:r w:rsidR="00495766">
          <w:rPr>
            <w:noProof/>
          </w:rPr>
          <w:t>136</w:t>
        </w:r>
      </w:fldSimple>
      <w:r w:rsidR="008E6B2D">
        <w:t>. Făcând referire la principiile de mai sus, Curtea observă că, între 1 martie și 19 noiembrie 2021 (pentru primul reclamant) și între 5 martie și 9 decembrie 2021 (pentru cel de-al doilea reclamant), în special până la plasarea reclamanților în arest la domiciliu, deși nu a existat un control judiciar automat – pe care Curtea Constituțională l-a considerat compatibil cu Constituția și Convenția, având în vedere termenele scurte aplicabile în mod normal în procesul de predare (a se vedea supra, pct. </w:t>
      </w:r>
      <w:r w:rsidR="008E6B2D" w:rsidRPr="00857E57">
        <w:fldChar w:fldCharType="begin"/>
      </w:r>
      <w:r w:rsidR="008E6B2D" w:rsidRPr="00857E57">
        <w:instrText xml:space="preserve"> REF paragraph00047 \h  \* CharFormat </w:instrText>
      </w:r>
      <w:r w:rsidR="008E6B2D" w:rsidRPr="00857E57">
        <w:fldChar w:fldCharType="separate"/>
      </w:r>
      <w:r w:rsidR="00495766" w:rsidRPr="00495766">
        <w:t>55</w:t>
      </w:r>
      <w:r w:rsidR="008E6B2D" w:rsidRPr="00857E57">
        <w:fldChar w:fldCharType="end"/>
      </w:r>
      <w:r w:rsidR="008E6B2D">
        <w:t>) – legalitatea detenției reclamanților a fost examinată de mai multe ori, fie la cererea acestora din urmă, fie la cererea judecătorului delegat cu executarea pedepselor (a se vedea pct. </w:t>
      </w:r>
      <w:r w:rsidR="008E6B2D" w:rsidRPr="00857E57">
        <w:fldChar w:fldCharType="begin"/>
      </w:r>
      <w:r w:rsidR="008E6B2D" w:rsidRPr="00857E57">
        <w:instrText xml:space="preserve"> REF paragraph00029 \h  \* CharFormat </w:instrText>
      </w:r>
      <w:r w:rsidR="008E6B2D" w:rsidRPr="00857E57">
        <w:fldChar w:fldCharType="separate"/>
      </w:r>
      <w:r w:rsidR="00495766">
        <w:t>28</w:t>
      </w:r>
      <w:r w:rsidR="008E6B2D" w:rsidRPr="00857E57">
        <w:fldChar w:fldCharType="end"/>
      </w:r>
      <w:r w:rsidR="008E6B2D">
        <w:t xml:space="preserve"> și urm., și pct. </w:t>
      </w:r>
      <w:r w:rsidR="008E6B2D" w:rsidRPr="00857E57">
        <w:fldChar w:fldCharType="begin"/>
      </w:r>
      <w:r w:rsidR="008E6B2D" w:rsidRPr="00857E57">
        <w:instrText xml:space="preserve"> REF paragraph00046 \h  \* CharFormat </w:instrText>
      </w:r>
      <w:r w:rsidR="008E6B2D" w:rsidRPr="00857E57">
        <w:fldChar w:fldCharType="separate"/>
      </w:r>
      <w:r w:rsidR="00495766">
        <w:t>42</w:t>
      </w:r>
      <w:r w:rsidR="008E6B2D" w:rsidRPr="00857E57">
        <w:fldChar w:fldCharType="end"/>
      </w:r>
      <w:r w:rsidR="008E6B2D">
        <w:t xml:space="preserve">). Indiferent dacă aceste cereri au fost calificate drept „contestații” la executare [art. 598 alin (1) lit. c) C. proc. pen.] sau cereri de constatare a expirării perioadei maxime de detenție, ceea ce contează cel mai mult pentru Curte este faptul că acestea au avut ca rezultat o revizuire a legalității detenției reclamanților, care pare să fi fost pe deplin conformă cu domeniul limitat de aplicare al controlului judiciar din cadrul procedurii de extrădare, în cazurile în care cererea de extrădare a fost deja admisă (a se compara cu </w:t>
      </w:r>
      <w:r w:rsidR="008E6B2D">
        <w:rPr>
          <w:i/>
        </w:rPr>
        <w:t>Abdulkhakov</w:t>
      </w:r>
      <w:r w:rsidR="008E6B2D">
        <w:t xml:space="preserve">, citată anterior, pct. 214 și urm., și </w:t>
      </w:r>
      <w:r w:rsidR="008E6B2D">
        <w:rPr>
          <w:i/>
        </w:rPr>
        <w:t>Oshlakov împotriva Rusiei</w:t>
      </w:r>
      <w:r w:rsidR="008E6B2D">
        <w:t>, nr. 56662/09, pct. 128-129, 3 aprilie 2014).</w:t>
      </w:r>
    </w:p>
    <w:p w:rsidR="0055665C" w:rsidRPr="00857E57" w:rsidRDefault="000E6C59" w:rsidP="00857E57">
      <w:pPr>
        <w:pStyle w:val="JuPara"/>
      </w:pPr>
      <w:fldSimple w:instr=" SEQ level0 \*arabic \* MERGEFORMAT ">
        <w:r w:rsidR="00495766">
          <w:rPr>
            <w:noProof/>
          </w:rPr>
          <w:t>137</w:t>
        </w:r>
      </w:fldSimple>
      <w:r w:rsidR="008E6B2D">
        <w:t>. În cursul acestei proceduri, instanțele interne au verificat, printre altele, dacă detenția a respectat termenele aplicabile în cazul procedurii de predare a reclamanților și, ulterior, după ce au aplicat dispoziția de exceptare în cazurile de forță majoră, au verificat necesitatea de a-i menține pe reclamanți în detenție sau de a-i supune unor măsuri alternative, mai puțin restrictive (a se vedea supra, pct. </w:t>
      </w:r>
      <w:r w:rsidR="008E6B2D" w:rsidRPr="00857E57">
        <w:fldChar w:fldCharType="begin"/>
      </w:r>
      <w:r w:rsidR="008E6B2D" w:rsidRPr="00857E57">
        <w:instrText xml:space="preserve"> REF paragraph00029 \h  \* CharFormat </w:instrText>
      </w:r>
      <w:r w:rsidR="008E6B2D" w:rsidRPr="00857E57">
        <w:fldChar w:fldCharType="separate"/>
      </w:r>
      <w:r w:rsidR="00495766">
        <w:t>28</w:t>
      </w:r>
      <w:r w:rsidR="008E6B2D" w:rsidRPr="00857E57">
        <w:fldChar w:fldCharType="end"/>
      </w:r>
      <w:r w:rsidR="008E6B2D">
        <w:t xml:space="preserve"> și urm., și pct. </w:t>
      </w:r>
      <w:r w:rsidR="008E6B2D" w:rsidRPr="00857E57">
        <w:fldChar w:fldCharType="begin"/>
      </w:r>
      <w:r w:rsidR="008E6B2D" w:rsidRPr="00857E57">
        <w:instrText xml:space="preserve"> REF paragraph00046 \h  \* CharFormat </w:instrText>
      </w:r>
      <w:r w:rsidR="008E6B2D" w:rsidRPr="00857E57">
        <w:fldChar w:fldCharType="separate"/>
      </w:r>
      <w:r w:rsidR="00495766">
        <w:t>42</w:t>
      </w:r>
      <w:r w:rsidR="008E6B2D" w:rsidRPr="00857E57">
        <w:fldChar w:fldCharType="end"/>
      </w:r>
      <w:r w:rsidR="008E6B2D">
        <w:t xml:space="preserve"> și urm.). Instanțele </w:t>
      </w:r>
      <w:r w:rsidR="008E6B2D">
        <w:lastRenderedPageBreak/>
        <w:t>naționale au dat dovadă de o deosebită diligență, întrucât deciziile lor privind legalitatea detenției reclamanților au fost adoptate în câteva zile sau în termen de trei săptămâni, la două niveluri de jurisdicție.</w:t>
      </w:r>
    </w:p>
    <w:p w:rsidR="0055665C" w:rsidRPr="00857E57" w:rsidRDefault="000E6C59" w:rsidP="00857E57">
      <w:pPr>
        <w:pStyle w:val="JuPara"/>
      </w:pPr>
      <w:fldSimple w:instr=" SEQ level0 \*arabic \* MERGEFORMAT ">
        <w:r w:rsidR="00495766">
          <w:rPr>
            <w:noProof/>
          </w:rPr>
          <w:t>138</w:t>
        </w:r>
      </w:fldSimple>
      <w:r w:rsidR="008E6B2D">
        <w:t>. În lumina celor menționate anterior, Curtea consideră că reclamanții au fost așadar în măsură „să introducă un recurs” care a permis revizuirea efectivă de către o instanță a legalității detenției lor. Prin urmare, capătul de cerere formulat de reclamanți în temeiul art. 5 § 4 din Convenție este în mod vădit nefondat și trebuie respins în conformitate cu art. 35 § 3 și § 4 din Convenție.</w:t>
      </w:r>
    </w:p>
    <w:p w:rsidR="0055665C" w:rsidRPr="00857E57" w:rsidRDefault="008E6B2D" w:rsidP="00857E57">
      <w:pPr>
        <w:pStyle w:val="JuHIRoman"/>
      </w:pPr>
      <w:r>
        <w:t>CU PRIVIRE LA CELELALTE PRETINSE ÎNCĂLCĂRI ALE CONVENȚIEI</w:t>
      </w:r>
    </w:p>
    <w:p w:rsidR="0055665C" w:rsidRPr="00857E57" w:rsidRDefault="000E6C59" w:rsidP="00857E57">
      <w:pPr>
        <w:pStyle w:val="JuPara"/>
        <w:rPr>
          <w:i/>
          <w:iCs/>
        </w:rPr>
      </w:pPr>
      <w:fldSimple w:instr=" SEQ level0 \*arabic \* MERGEFORMAT ">
        <w:r w:rsidR="00495766">
          <w:rPr>
            <w:noProof/>
          </w:rPr>
          <w:t>139</w:t>
        </w:r>
      </w:fldSimple>
      <w:r w:rsidR="008E6B2D">
        <w:t>. În sfârșit, cel de-al doilea reclamant s-a plâns, în temeiul art. 3 și 5 din Convenție, cu privire la riscul de a i se aplica o pedeapsă extrem de disproporționată în SUA și la legalitatea celui de-al doilea mandat de arestare, emis la 15 decembrie 2022.</w:t>
      </w:r>
    </w:p>
    <w:p w:rsidR="0055665C" w:rsidRPr="00857E57" w:rsidRDefault="000E6C59" w:rsidP="00857E57">
      <w:pPr>
        <w:pStyle w:val="JuPara"/>
      </w:pPr>
      <w:fldSimple w:instr=" SEQ level0 \*arabic \* MERGEFORMAT ">
        <w:bookmarkStart w:id="79" w:name="paragraph00138"/>
        <w:r w:rsidR="00495766">
          <w:rPr>
            <w:noProof/>
          </w:rPr>
          <w:t>140</w:t>
        </w:r>
        <w:bookmarkEnd w:id="79"/>
      </w:fldSimple>
      <w:r w:rsidR="008E6B2D">
        <w:t>. În lumina tuturor elementelor de care dispune și în măsura în care este competentă să se pronunțe cu privire la aspectele invocate, Curtea constată că acestea nu indică nicio aparentă încălcare a drepturilor și a libertăților stabilite în Convenție sau în protocoalele la aceasta. Rezultă că acest capăt de cerere este în mod vădit nefondat și trebuie respins în temeiul art. 35 § 3 lit. a) și § 4 din Convenție.</w:t>
      </w:r>
    </w:p>
    <w:p w:rsidR="0055665C" w:rsidRPr="00857E57" w:rsidRDefault="008E6B2D" w:rsidP="00857E57">
      <w:pPr>
        <w:pStyle w:val="JuHHead"/>
        <w:numPr>
          <w:ilvl w:val="0"/>
          <w:numId w:val="2"/>
        </w:numPr>
        <w:ind w:left="360" w:hanging="360"/>
      </w:pPr>
      <w:r>
        <w:t>PENTRU ACESTE MOTIVE, CURTEA, ÎN UNANIMITATE,</w:t>
      </w:r>
    </w:p>
    <w:p w:rsidR="0055665C" w:rsidRPr="00857E57" w:rsidRDefault="008E6B2D" w:rsidP="00857E57">
      <w:pPr>
        <w:pStyle w:val="JuList"/>
        <w:ind w:left="0" w:firstLine="0"/>
      </w:pPr>
      <w:r>
        <w:rPr>
          <w:i/>
          <w:iCs/>
        </w:rPr>
        <w:t>decide</w:t>
      </w:r>
      <w:r>
        <w:t xml:space="preserve"> să conexeze cererile;</w:t>
      </w:r>
    </w:p>
    <w:p w:rsidR="0055665C" w:rsidRPr="00857E57" w:rsidRDefault="008E6B2D" w:rsidP="00857E57">
      <w:pPr>
        <w:pStyle w:val="JuList"/>
      </w:pPr>
      <w:r>
        <w:rPr>
          <w:i/>
        </w:rPr>
        <w:t>declară</w:t>
      </w:r>
      <w:r>
        <w:t xml:space="preserve"> cererea admisibilă în ceea ce privește capătul de cerere formulat în temeiul art. 5 § 1 lit. f) din Convenție cu privire la detenția reclamanților până la punerea lor în libertate sub control judiciar, și inadmisibilă în ceea ce privește celelalte capete de cerere;</w:t>
      </w:r>
    </w:p>
    <w:p w:rsidR="004D0EC7" w:rsidRPr="00857E57" w:rsidRDefault="008E6B2D" w:rsidP="00857E57">
      <w:pPr>
        <w:pStyle w:val="JuList"/>
      </w:pPr>
      <w:r>
        <w:rPr>
          <w:i/>
        </w:rPr>
        <w:t>hotărăște</w:t>
      </w:r>
      <w:r>
        <w:t xml:space="preserve"> că nu a fost încălcat art. 5 § 1 lit. (f) din Convenție.</w:t>
      </w:r>
    </w:p>
    <w:p w:rsidR="007E79A4" w:rsidRPr="00857E57" w:rsidRDefault="008E6B2D" w:rsidP="007B59FB">
      <w:pPr>
        <w:pStyle w:val="JuParaLast"/>
        <w:rPr>
          <w:szCs w:val="22"/>
        </w:rPr>
      </w:pPr>
      <w:r>
        <w:t>Redactată în limba engleză, apoi comunicată în scris, la 9 aprilie 2024, în temeiul art. 77 § 2 și art. 77 § 3 din Regulamentul Curții.</w:t>
      </w:r>
      <w:r>
        <w:tab/>
      </w:r>
    </w:p>
    <w:p w:rsidR="007E79A4" w:rsidRPr="00857E57" w:rsidRDefault="008E6B2D" w:rsidP="00857E57">
      <w:pPr>
        <w:pStyle w:val="JuSigned"/>
      </w:pPr>
      <w:r>
        <w:tab/>
        <w:t>Andrea Tamietti</w:t>
      </w:r>
      <w:r>
        <w:tab/>
        <w:t>Gabriele Kucsko-Stadlmayer</w:t>
      </w:r>
      <w:r>
        <w:br/>
      </w:r>
      <w:r>
        <w:tab/>
        <w:t>Grefier</w:t>
      </w:r>
      <w:r>
        <w:tab/>
        <w:t>Președinte</w:t>
      </w:r>
    </w:p>
    <w:p w:rsidR="005C3FE7" w:rsidRPr="00857E57" w:rsidRDefault="005C3FE7" w:rsidP="00857E57">
      <w:pPr>
        <w:pStyle w:val="JuPara"/>
      </w:pPr>
    </w:p>
    <w:sectPr w:rsidR="005C3FE7" w:rsidRPr="00857E57"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C59" w:rsidRDefault="000E6C59">
      <w:r>
        <w:separator/>
      </w:r>
    </w:p>
  </w:endnote>
  <w:endnote w:type="continuationSeparator" w:id="0">
    <w:p w:rsidR="000E6C59" w:rsidRDefault="000E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65C" w:rsidRPr="00150BFA" w:rsidRDefault="008E6B2D" w:rsidP="0020718E">
    <w:pPr>
      <w:jc w:val="center"/>
    </w:pPr>
    <w:r>
      <w:rPr>
        <w:noProof/>
        <w:lang w:val="en-US"/>
      </w:rPr>
      <w:drawing>
        <wp:inline distT="0" distB="0" distL="0" distR="0">
          <wp:extent cx="771525" cy="619125"/>
          <wp:effectExtent l="0" t="0" r="9525" b="9525"/>
          <wp:docPr id="46" name="Picture 4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8410D" w:rsidRPr="0055665C"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65C" w:rsidRPr="00150BFA" w:rsidRDefault="008E6B2D" w:rsidP="0020718E">
    <w:pPr>
      <w:jc w:val="center"/>
    </w:pPr>
    <w:r>
      <w:rPr>
        <w:noProof/>
        <w:lang w:val="en-US"/>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E7A6F" w:rsidRPr="0055665C"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8E6B2D" w:rsidP="009A115C">
    <w:pPr>
      <w:pStyle w:val="JuHeader"/>
    </w:pPr>
    <w:r>
      <w:fldChar w:fldCharType="begin"/>
    </w:r>
    <w:r>
      <w:instrText xml:space="preserve"> PAGE  \* MERGEFORMAT </w:instrText>
    </w:r>
    <w:r>
      <w:fldChar w:fldCharType="separate"/>
    </w:r>
    <w:r w:rsidR="00495766">
      <w:rPr>
        <w:noProof/>
      </w:rPr>
      <w:t>20</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8E6B2D" w:rsidP="007D3701">
    <w:pPr>
      <w:pStyle w:val="JuHeader"/>
    </w:pPr>
    <w:r>
      <w:fldChar w:fldCharType="begin"/>
    </w:r>
    <w:r>
      <w:instrText xml:space="preserve"> PAGE  \* MERGEFORMAT </w:instrText>
    </w:r>
    <w:r>
      <w:fldChar w:fldCharType="separate"/>
    </w:r>
    <w:r w:rsidR="00495766">
      <w:rPr>
        <w:noProof/>
      </w:rPr>
      <w:t>21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C59" w:rsidRDefault="000E6C59">
      <w:r>
        <w:separator/>
      </w:r>
    </w:p>
  </w:footnote>
  <w:footnote w:type="continuationSeparator" w:id="0">
    <w:p w:rsidR="000E6C59" w:rsidRDefault="000E6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65C" w:rsidRPr="00A45145" w:rsidRDefault="008E6B2D" w:rsidP="00A45145">
    <w:pPr>
      <w:jc w:val="center"/>
    </w:pPr>
    <w:r>
      <w:rPr>
        <w:noProof/>
        <w:lang w:val="en-US"/>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55665C"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0D" w:rsidRPr="0055665C" w:rsidRDefault="008E6B2D" w:rsidP="004A4129">
    <w:pPr>
      <w:jc w:val="right"/>
    </w:pPr>
    <w:r>
      <w:rPr>
        <w:noProof/>
        <w:lang w:val="en-US"/>
      </w:rPr>
      <w:drawing>
        <wp:anchor distT="0" distB="0" distL="114300" distR="114300" simplePos="0" relativeHeight="251658240" behindDoc="1" locked="0" layoutInCell="1" allowOverlap="1">
          <wp:simplePos x="0" y="0"/>
          <wp:positionH relativeFrom="column">
            <wp:posOffset>1137285</wp:posOffset>
          </wp:positionH>
          <wp:positionV relativeFrom="paragraph">
            <wp:posOffset>260985</wp:posOffset>
          </wp:positionV>
          <wp:extent cx="2962275" cy="1219200"/>
          <wp:effectExtent l="0" t="0" r="9525" b="0"/>
          <wp:wrapTight wrapText="bothSides">
            <wp:wrapPolygon edited="0">
              <wp:start x="0" y="0"/>
              <wp:lineTo x="0" y="21263"/>
              <wp:lineTo x="21531" y="21263"/>
              <wp:lineTo x="21531" y="0"/>
              <wp:lineTo x="0" y="0"/>
            </wp:wrapPolygon>
          </wp:wrapTight>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anchor>
      </w:drawing>
    </w:r>
    <w:r w:rsidR="004A4129" w:rsidRPr="004A4129">
      <w:t>Tradus și revizuit de IER (http://ier.gov.ro/)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4D0EC7" w:rsidRDefault="008E6B2D" w:rsidP="004D0EC7">
    <w:pPr>
      <w:pStyle w:val="JuHeader"/>
    </w:pPr>
    <w:r>
      <w:t>HOTĂRÂREA MATTHEWS ȘI JOHNSON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82CD5" w:rsidRDefault="008E6B2D" w:rsidP="007D3701">
    <w:pPr>
      <w:pStyle w:val="JuHeader"/>
    </w:pPr>
    <w:r>
      <w:t>HOTĂRÂREA MATTHEWS ȘI JOHNSON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95B60EA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B84A8990">
      <w:start w:val="1"/>
      <w:numFmt w:val="bullet"/>
      <w:pStyle w:val="ListBullet"/>
      <w:lvlText w:val=""/>
      <w:lvlJc w:val="left"/>
      <w:pPr>
        <w:tabs>
          <w:tab w:val="num" w:pos="851"/>
        </w:tabs>
        <w:ind w:left="568" w:firstLine="0"/>
      </w:pPr>
      <w:rPr>
        <w:rFonts w:ascii="Wingdings" w:hAnsi="Wingdings" w:hint="default"/>
        <w:color w:val="808080"/>
        <w:sz w:val="16"/>
      </w:rPr>
    </w:lvl>
    <w:lvl w:ilvl="1" w:tplc="00ECDE4C" w:tentative="1">
      <w:start w:val="1"/>
      <w:numFmt w:val="bullet"/>
      <w:lvlText w:val="o"/>
      <w:lvlJc w:val="left"/>
      <w:pPr>
        <w:tabs>
          <w:tab w:val="num" w:pos="1724"/>
        </w:tabs>
        <w:ind w:left="1724" w:hanging="360"/>
      </w:pPr>
      <w:rPr>
        <w:rFonts w:ascii="Courier New" w:hAnsi="Courier New" w:cs="Courier New" w:hint="default"/>
      </w:rPr>
    </w:lvl>
    <w:lvl w:ilvl="2" w:tplc="AF16503E" w:tentative="1">
      <w:start w:val="1"/>
      <w:numFmt w:val="bullet"/>
      <w:lvlText w:val=""/>
      <w:lvlJc w:val="left"/>
      <w:pPr>
        <w:tabs>
          <w:tab w:val="num" w:pos="2444"/>
        </w:tabs>
        <w:ind w:left="2444" w:hanging="360"/>
      </w:pPr>
      <w:rPr>
        <w:rFonts w:ascii="Wingdings" w:hAnsi="Wingdings" w:hint="default"/>
      </w:rPr>
    </w:lvl>
    <w:lvl w:ilvl="3" w:tplc="CD1AF3CE" w:tentative="1">
      <w:start w:val="1"/>
      <w:numFmt w:val="bullet"/>
      <w:lvlText w:val=""/>
      <w:lvlJc w:val="left"/>
      <w:pPr>
        <w:tabs>
          <w:tab w:val="num" w:pos="3164"/>
        </w:tabs>
        <w:ind w:left="3164" w:hanging="360"/>
      </w:pPr>
      <w:rPr>
        <w:rFonts w:ascii="Symbol" w:hAnsi="Symbol" w:hint="default"/>
      </w:rPr>
    </w:lvl>
    <w:lvl w:ilvl="4" w:tplc="DBAE1F88" w:tentative="1">
      <w:start w:val="1"/>
      <w:numFmt w:val="bullet"/>
      <w:lvlText w:val="o"/>
      <w:lvlJc w:val="left"/>
      <w:pPr>
        <w:tabs>
          <w:tab w:val="num" w:pos="3884"/>
        </w:tabs>
        <w:ind w:left="3884" w:hanging="360"/>
      </w:pPr>
      <w:rPr>
        <w:rFonts w:ascii="Courier New" w:hAnsi="Courier New" w:cs="Courier New" w:hint="default"/>
      </w:rPr>
    </w:lvl>
    <w:lvl w:ilvl="5" w:tplc="E4F643E2" w:tentative="1">
      <w:start w:val="1"/>
      <w:numFmt w:val="bullet"/>
      <w:lvlText w:val=""/>
      <w:lvlJc w:val="left"/>
      <w:pPr>
        <w:tabs>
          <w:tab w:val="num" w:pos="4604"/>
        </w:tabs>
        <w:ind w:left="4604" w:hanging="360"/>
      </w:pPr>
      <w:rPr>
        <w:rFonts w:ascii="Wingdings" w:hAnsi="Wingdings" w:hint="default"/>
      </w:rPr>
    </w:lvl>
    <w:lvl w:ilvl="6" w:tplc="9D3C7B5E" w:tentative="1">
      <w:start w:val="1"/>
      <w:numFmt w:val="bullet"/>
      <w:lvlText w:val=""/>
      <w:lvlJc w:val="left"/>
      <w:pPr>
        <w:tabs>
          <w:tab w:val="num" w:pos="5324"/>
        </w:tabs>
        <w:ind w:left="5324" w:hanging="360"/>
      </w:pPr>
      <w:rPr>
        <w:rFonts w:ascii="Symbol" w:hAnsi="Symbol" w:hint="default"/>
      </w:rPr>
    </w:lvl>
    <w:lvl w:ilvl="7" w:tplc="42DEA056" w:tentative="1">
      <w:start w:val="1"/>
      <w:numFmt w:val="bullet"/>
      <w:lvlText w:val="o"/>
      <w:lvlJc w:val="left"/>
      <w:pPr>
        <w:tabs>
          <w:tab w:val="num" w:pos="6044"/>
        </w:tabs>
        <w:ind w:left="6044" w:hanging="360"/>
      </w:pPr>
      <w:rPr>
        <w:rFonts w:ascii="Courier New" w:hAnsi="Courier New" w:cs="Courier New" w:hint="default"/>
      </w:rPr>
    </w:lvl>
    <w:lvl w:ilvl="8" w:tplc="941EA868"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0C45EB1"/>
    <w:multiLevelType w:val="hybridMultilevel"/>
    <w:tmpl w:val="DFE27640"/>
    <w:lvl w:ilvl="0" w:tplc="8ECC9CDE">
      <w:start w:val="1"/>
      <w:numFmt w:val="decimal"/>
      <w:lvlText w:val="%1."/>
      <w:lvlJc w:val="left"/>
      <w:pPr>
        <w:ind w:left="1080" w:hanging="360"/>
      </w:pPr>
    </w:lvl>
    <w:lvl w:ilvl="1" w:tplc="76202A20">
      <w:start w:val="1"/>
      <w:numFmt w:val="lowerLetter"/>
      <w:lvlText w:val="%2."/>
      <w:lvlJc w:val="left"/>
      <w:pPr>
        <w:ind w:left="2738" w:hanging="360"/>
      </w:pPr>
    </w:lvl>
    <w:lvl w:ilvl="2" w:tplc="6FF819EE">
      <w:start w:val="1"/>
      <w:numFmt w:val="lowerRoman"/>
      <w:lvlText w:val="%3."/>
      <w:lvlJc w:val="right"/>
      <w:pPr>
        <w:ind w:left="3458" w:hanging="180"/>
      </w:pPr>
    </w:lvl>
    <w:lvl w:ilvl="3" w:tplc="1B2CEDE4">
      <w:start w:val="1"/>
      <w:numFmt w:val="decimal"/>
      <w:lvlText w:val="%4."/>
      <w:lvlJc w:val="left"/>
      <w:pPr>
        <w:ind w:left="4178" w:hanging="360"/>
      </w:pPr>
    </w:lvl>
    <w:lvl w:ilvl="4" w:tplc="CE960266">
      <w:start w:val="1"/>
      <w:numFmt w:val="lowerLetter"/>
      <w:lvlText w:val="%5."/>
      <w:lvlJc w:val="left"/>
      <w:pPr>
        <w:ind w:left="4898" w:hanging="360"/>
      </w:pPr>
    </w:lvl>
    <w:lvl w:ilvl="5" w:tplc="817CD916">
      <w:start w:val="1"/>
      <w:numFmt w:val="lowerRoman"/>
      <w:lvlText w:val="%6."/>
      <w:lvlJc w:val="right"/>
      <w:pPr>
        <w:ind w:left="5618" w:hanging="180"/>
      </w:pPr>
    </w:lvl>
    <w:lvl w:ilvl="6" w:tplc="C05E51A8">
      <w:start w:val="1"/>
      <w:numFmt w:val="decimal"/>
      <w:lvlText w:val="%7."/>
      <w:lvlJc w:val="left"/>
      <w:pPr>
        <w:ind w:left="6338" w:hanging="360"/>
      </w:pPr>
    </w:lvl>
    <w:lvl w:ilvl="7" w:tplc="1DFEEBAC">
      <w:start w:val="1"/>
      <w:numFmt w:val="lowerLetter"/>
      <w:lvlText w:val="%8."/>
      <w:lvlJc w:val="left"/>
      <w:pPr>
        <w:ind w:left="7058" w:hanging="360"/>
      </w:pPr>
    </w:lvl>
    <w:lvl w:ilvl="8" w:tplc="D4F09728">
      <w:start w:val="1"/>
      <w:numFmt w:val="lowerRoman"/>
      <w:lvlText w:val="%9."/>
      <w:lvlJc w:val="right"/>
      <w:pPr>
        <w:ind w:left="7778" w:hanging="180"/>
      </w:pPr>
    </w:lvl>
  </w:abstractNum>
  <w:abstractNum w:abstractNumId="20"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0"/>
  </w:num>
  <w:num w:numId="2">
    <w:abstractNumId w:val="20"/>
  </w:num>
  <w:num w:numId="3">
    <w:abstractNumId w:val="19"/>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5">
    <w:abstractNumId w:val="14"/>
  </w:num>
  <w:num w:numId="6">
    <w:abstractNumId w:val="12"/>
  </w:num>
  <w:num w:numId="7">
    <w:abstractNumId w:val="11"/>
  </w:num>
  <w:num w:numId="8">
    <w:abstractNumId w:val="15"/>
  </w:num>
  <w:num w:numId="9">
    <w:abstractNumId w:val="13"/>
  </w:num>
  <w:num w:numId="10">
    <w:abstractNumId w:val="16"/>
  </w:num>
  <w:num w:numId="11">
    <w:abstractNumId w:val="15"/>
  </w:num>
  <w:num w:numId="12">
    <w:abstractNumId w:val="16"/>
  </w:num>
  <w:num w:numId="13">
    <w:abstractNumId w:val="10"/>
  </w:num>
  <w:num w:numId="14">
    <w:abstractNumId w:val="9"/>
  </w:num>
  <w:num w:numId="15">
    <w:abstractNumId w:val="18"/>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3"/>
    <w:docVar w:name="EMM" w:val="0"/>
    <w:docVar w:name="NBApplication" w:val="2"/>
    <w:docVar w:name="NBEMMDOC" w:val="0"/>
    <w:docVar w:name="Plural" w:val="3"/>
  </w:docVars>
  <w:rsids>
    <w:rsidRoot w:val="0055665C"/>
    <w:rsid w:val="000041F8"/>
    <w:rsid w:val="000042A8"/>
    <w:rsid w:val="00004308"/>
    <w:rsid w:val="00004CB5"/>
    <w:rsid w:val="00005BF0"/>
    <w:rsid w:val="0000617D"/>
    <w:rsid w:val="00007154"/>
    <w:rsid w:val="000103AE"/>
    <w:rsid w:val="00011D69"/>
    <w:rsid w:val="00012AD3"/>
    <w:rsid w:val="00015C2D"/>
    <w:rsid w:val="00015F00"/>
    <w:rsid w:val="00022C1D"/>
    <w:rsid w:val="0002592F"/>
    <w:rsid w:val="00031428"/>
    <w:rsid w:val="00034987"/>
    <w:rsid w:val="00041560"/>
    <w:rsid w:val="000602DF"/>
    <w:rsid w:val="00061B05"/>
    <w:rsid w:val="000632D5"/>
    <w:rsid w:val="000644EE"/>
    <w:rsid w:val="000712E3"/>
    <w:rsid w:val="0007780A"/>
    <w:rsid w:val="00085457"/>
    <w:rsid w:val="000925AD"/>
    <w:rsid w:val="00096FE1"/>
    <w:rsid w:val="00097A62"/>
    <w:rsid w:val="000A24EB"/>
    <w:rsid w:val="000B686A"/>
    <w:rsid w:val="000B6923"/>
    <w:rsid w:val="000B7195"/>
    <w:rsid w:val="000C1AFB"/>
    <w:rsid w:val="000C5F3C"/>
    <w:rsid w:val="000C6DCC"/>
    <w:rsid w:val="000D47AA"/>
    <w:rsid w:val="000D721F"/>
    <w:rsid w:val="000E069B"/>
    <w:rsid w:val="000E0E82"/>
    <w:rsid w:val="000E1DC5"/>
    <w:rsid w:val="000E223F"/>
    <w:rsid w:val="000E46B8"/>
    <w:rsid w:val="000E6C59"/>
    <w:rsid w:val="000E7D45"/>
    <w:rsid w:val="000F52F4"/>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0BFA"/>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6613"/>
    <w:rsid w:val="0020718E"/>
    <w:rsid w:val="00210338"/>
    <w:rsid w:val="002115FC"/>
    <w:rsid w:val="0021423C"/>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242E"/>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2AF7"/>
    <w:rsid w:val="002F4E0B"/>
    <w:rsid w:val="002F69C4"/>
    <w:rsid w:val="002F7D9E"/>
    <w:rsid w:val="002F7E1C"/>
    <w:rsid w:val="00301A75"/>
    <w:rsid w:val="00302F70"/>
    <w:rsid w:val="0030336F"/>
    <w:rsid w:val="0030375E"/>
    <w:rsid w:val="00306E3F"/>
    <w:rsid w:val="00312A30"/>
    <w:rsid w:val="003201D8"/>
    <w:rsid w:val="00320F72"/>
    <w:rsid w:val="0032463E"/>
    <w:rsid w:val="00326224"/>
    <w:rsid w:val="00337EE4"/>
    <w:rsid w:val="00340FFD"/>
    <w:rsid w:val="00345C41"/>
    <w:rsid w:val="003506B1"/>
    <w:rsid w:val="00355877"/>
    <w:rsid w:val="00356AC7"/>
    <w:rsid w:val="003609FA"/>
    <w:rsid w:val="003636C8"/>
    <w:rsid w:val="00364EC7"/>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7E7A"/>
    <w:rsid w:val="004324A5"/>
    <w:rsid w:val="00433653"/>
    <w:rsid w:val="004355AC"/>
    <w:rsid w:val="00436C49"/>
    <w:rsid w:val="00443D98"/>
    <w:rsid w:val="00445366"/>
    <w:rsid w:val="00447F5B"/>
    <w:rsid w:val="00461DB0"/>
    <w:rsid w:val="00463926"/>
    <w:rsid w:val="00464AB7"/>
    <w:rsid w:val="00464C9A"/>
    <w:rsid w:val="004706F5"/>
    <w:rsid w:val="00474F3D"/>
    <w:rsid w:val="00477E3A"/>
    <w:rsid w:val="00483E5F"/>
    <w:rsid w:val="00485FF9"/>
    <w:rsid w:val="0049049B"/>
    <w:rsid w:val="004907F0"/>
    <w:rsid w:val="0049140B"/>
    <w:rsid w:val="004923A5"/>
    <w:rsid w:val="0049310E"/>
    <w:rsid w:val="004950E2"/>
    <w:rsid w:val="00495766"/>
    <w:rsid w:val="00496BFB"/>
    <w:rsid w:val="004A15C7"/>
    <w:rsid w:val="004A3201"/>
    <w:rsid w:val="004A4129"/>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54E6"/>
    <w:rsid w:val="00545DA6"/>
    <w:rsid w:val="00547353"/>
    <w:rsid w:val="005474E7"/>
    <w:rsid w:val="005512A3"/>
    <w:rsid w:val="0055665C"/>
    <w:rsid w:val="005578CE"/>
    <w:rsid w:val="00562112"/>
    <w:rsid w:val="00562781"/>
    <w:rsid w:val="00562B6C"/>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B94"/>
    <w:rsid w:val="005C2C62"/>
    <w:rsid w:val="005C3EE8"/>
    <w:rsid w:val="005C3FE7"/>
    <w:rsid w:val="005D2F2A"/>
    <w:rsid w:val="005D34F9"/>
    <w:rsid w:val="005D4190"/>
    <w:rsid w:val="005D67A3"/>
    <w:rsid w:val="005E2988"/>
    <w:rsid w:val="005E3085"/>
    <w:rsid w:val="005F0EB3"/>
    <w:rsid w:val="005F51E1"/>
    <w:rsid w:val="006050A2"/>
    <w:rsid w:val="00611C80"/>
    <w:rsid w:val="00620692"/>
    <w:rsid w:val="00620E4A"/>
    <w:rsid w:val="006242CA"/>
    <w:rsid w:val="00625C0E"/>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00A"/>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716F"/>
    <w:rsid w:val="007B270A"/>
    <w:rsid w:val="007B4182"/>
    <w:rsid w:val="007B59FB"/>
    <w:rsid w:val="007C0695"/>
    <w:rsid w:val="007C419A"/>
    <w:rsid w:val="007C4CC8"/>
    <w:rsid w:val="007C5426"/>
    <w:rsid w:val="007C5798"/>
    <w:rsid w:val="007D1ECD"/>
    <w:rsid w:val="007D3701"/>
    <w:rsid w:val="007D4832"/>
    <w:rsid w:val="007D7190"/>
    <w:rsid w:val="007D768E"/>
    <w:rsid w:val="007E21B2"/>
    <w:rsid w:val="007E2C4E"/>
    <w:rsid w:val="007E2C8C"/>
    <w:rsid w:val="007E51BA"/>
    <w:rsid w:val="007E73D7"/>
    <w:rsid w:val="007E79A4"/>
    <w:rsid w:val="007F1905"/>
    <w:rsid w:val="007F27E4"/>
    <w:rsid w:val="007F3437"/>
    <w:rsid w:val="00802C64"/>
    <w:rsid w:val="00805E52"/>
    <w:rsid w:val="008061D0"/>
    <w:rsid w:val="00807BFB"/>
    <w:rsid w:val="00810B38"/>
    <w:rsid w:val="0081399E"/>
    <w:rsid w:val="008204C7"/>
    <w:rsid w:val="00820992"/>
    <w:rsid w:val="00823602"/>
    <w:rsid w:val="008255F5"/>
    <w:rsid w:val="00826890"/>
    <w:rsid w:val="0083014E"/>
    <w:rsid w:val="0083214A"/>
    <w:rsid w:val="00834220"/>
    <w:rsid w:val="00845723"/>
    <w:rsid w:val="008519E7"/>
    <w:rsid w:val="00851EF9"/>
    <w:rsid w:val="008577FD"/>
    <w:rsid w:val="00857E57"/>
    <w:rsid w:val="00860B03"/>
    <w:rsid w:val="0086497A"/>
    <w:rsid w:val="0086538E"/>
    <w:rsid w:val="00867066"/>
    <w:rsid w:val="008713A1"/>
    <w:rsid w:val="00872584"/>
    <w:rsid w:val="008754AB"/>
    <w:rsid w:val="008804DE"/>
    <w:rsid w:val="0088060C"/>
    <w:rsid w:val="00882CD5"/>
    <w:rsid w:val="00883151"/>
    <w:rsid w:val="00893576"/>
    <w:rsid w:val="00893E73"/>
    <w:rsid w:val="008B02DC"/>
    <w:rsid w:val="008B092C"/>
    <w:rsid w:val="008B57CE"/>
    <w:rsid w:val="008C26DE"/>
    <w:rsid w:val="008D1668"/>
    <w:rsid w:val="008D2225"/>
    <w:rsid w:val="008D4752"/>
    <w:rsid w:val="008D5A13"/>
    <w:rsid w:val="008D64D9"/>
    <w:rsid w:val="008E271C"/>
    <w:rsid w:val="008E3A08"/>
    <w:rsid w:val="008E418E"/>
    <w:rsid w:val="008E5BC6"/>
    <w:rsid w:val="008E5DEB"/>
    <w:rsid w:val="008E6217"/>
    <w:rsid w:val="008E6A25"/>
    <w:rsid w:val="008E6B2D"/>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1A7A"/>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2D45"/>
    <w:rsid w:val="0098410D"/>
    <w:rsid w:val="00985BAB"/>
    <w:rsid w:val="00985DA6"/>
    <w:rsid w:val="00986B3C"/>
    <w:rsid w:val="009966B1"/>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C38DE"/>
    <w:rsid w:val="00AC4CD4"/>
    <w:rsid w:val="00AE0A2E"/>
    <w:rsid w:val="00AE354C"/>
    <w:rsid w:val="00AF12C5"/>
    <w:rsid w:val="00AF4B07"/>
    <w:rsid w:val="00AF6186"/>
    <w:rsid w:val="00AF7578"/>
    <w:rsid w:val="00AF7A3A"/>
    <w:rsid w:val="00B02587"/>
    <w:rsid w:val="00B049D1"/>
    <w:rsid w:val="00B14793"/>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220"/>
    <w:rsid w:val="00BC03EA"/>
    <w:rsid w:val="00BC0B99"/>
    <w:rsid w:val="00BC1C27"/>
    <w:rsid w:val="00BC56A7"/>
    <w:rsid w:val="00BC6BBF"/>
    <w:rsid w:val="00BD1572"/>
    <w:rsid w:val="00BE14E3"/>
    <w:rsid w:val="00BE3774"/>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4810"/>
    <w:rsid w:val="00C90D68"/>
    <w:rsid w:val="00C939FE"/>
    <w:rsid w:val="00CA4BDA"/>
    <w:rsid w:val="00CB13E3"/>
    <w:rsid w:val="00CB1F66"/>
    <w:rsid w:val="00CB232C"/>
    <w:rsid w:val="00CB2951"/>
    <w:rsid w:val="00CB4277"/>
    <w:rsid w:val="00CB4976"/>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A1223"/>
    <w:rsid w:val="00DA4A31"/>
    <w:rsid w:val="00DA7B04"/>
    <w:rsid w:val="00DB36C2"/>
    <w:rsid w:val="00DB489B"/>
    <w:rsid w:val="00DC00A8"/>
    <w:rsid w:val="00DC169B"/>
    <w:rsid w:val="00DC2AB9"/>
    <w:rsid w:val="00DC63F0"/>
    <w:rsid w:val="00DD146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2A8E"/>
    <w:rsid w:val="00ED34AC"/>
    <w:rsid w:val="00ED6544"/>
    <w:rsid w:val="00EE0277"/>
    <w:rsid w:val="00EE2899"/>
    <w:rsid w:val="00EE2D81"/>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3687"/>
    <w:rsid w:val="00FD6C75"/>
    <w:rsid w:val="00FD7972"/>
    <w:rsid w:val="00FE0401"/>
    <w:rsid w:val="00FE6746"/>
    <w:rsid w:val="00FE70B5"/>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82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6050A2"/>
    <w:rPr>
      <w:sz w:val="24"/>
      <w:szCs w:val="24"/>
    </w:rPr>
  </w:style>
  <w:style w:type="paragraph" w:styleId="Heading1">
    <w:name w:val="heading 1"/>
    <w:basedOn w:val="Normal"/>
    <w:next w:val="Normal"/>
    <w:link w:val="Heading1Char"/>
    <w:uiPriority w:val="98"/>
    <w:semiHidden/>
    <w:rsid w:val="006050A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6050A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6050A2"/>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6050A2"/>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6050A2"/>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6050A2"/>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6050A2"/>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6050A2"/>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6050A2"/>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6050A2"/>
    <w:rPr>
      <w:rFonts w:ascii="Tahoma" w:hAnsi="Tahoma" w:cs="Tahoma"/>
      <w:sz w:val="16"/>
      <w:szCs w:val="16"/>
    </w:rPr>
  </w:style>
  <w:style w:type="character" w:customStyle="1" w:styleId="BalloonTextChar">
    <w:name w:val="Balloon Text Char"/>
    <w:basedOn w:val="DefaultParagraphFont"/>
    <w:link w:val="BalloonText"/>
    <w:uiPriority w:val="98"/>
    <w:semiHidden/>
    <w:rsid w:val="006050A2"/>
    <w:rPr>
      <w:rFonts w:ascii="Tahoma" w:hAnsi="Tahoma" w:cs="Tahoma"/>
      <w:sz w:val="16"/>
      <w:szCs w:val="16"/>
      <w:lang w:val="ro-RO"/>
    </w:rPr>
  </w:style>
  <w:style w:type="character" w:styleId="BookTitle">
    <w:name w:val="Book Title"/>
    <w:uiPriority w:val="98"/>
    <w:semiHidden/>
    <w:qFormat/>
    <w:rsid w:val="006050A2"/>
    <w:rPr>
      <w:i/>
      <w:iCs/>
      <w:smallCaps/>
      <w:spacing w:val="5"/>
    </w:rPr>
  </w:style>
  <w:style w:type="paragraph" w:customStyle="1" w:styleId="JuHeader">
    <w:name w:val="Ju_Header"/>
    <w:aliases w:val="_Header"/>
    <w:basedOn w:val="Header"/>
    <w:uiPriority w:val="29"/>
    <w:qFormat/>
    <w:rsid w:val="006050A2"/>
    <w:pPr>
      <w:tabs>
        <w:tab w:val="clear" w:pos="4536"/>
        <w:tab w:val="clear" w:pos="9072"/>
      </w:tabs>
      <w:jc w:val="center"/>
    </w:pPr>
    <w:rPr>
      <w:sz w:val="18"/>
    </w:rPr>
  </w:style>
  <w:style w:type="paragraph" w:customStyle="1" w:styleId="NormalJustified">
    <w:name w:val="Normal_Justified"/>
    <w:basedOn w:val="Normal"/>
    <w:semiHidden/>
    <w:rsid w:val="006050A2"/>
    <w:pPr>
      <w:jc w:val="both"/>
    </w:pPr>
  </w:style>
  <w:style w:type="character" w:styleId="Strong">
    <w:name w:val="Strong"/>
    <w:uiPriority w:val="98"/>
    <w:semiHidden/>
    <w:qFormat/>
    <w:rsid w:val="006050A2"/>
    <w:rPr>
      <w:b/>
      <w:bCs/>
    </w:rPr>
  </w:style>
  <w:style w:type="paragraph" w:styleId="NoSpacing">
    <w:name w:val="No Spacing"/>
    <w:basedOn w:val="Normal"/>
    <w:link w:val="NoSpacingChar"/>
    <w:uiPriority w:val="98"/>
    <w:semiHidden/>
    <w:qFormat/>
    <w:rsid w:val="006050A2"/>
  </w:style>
  <w:style w:type="character" w:customStyle="1" w:styleId="NoSpacingChar">
    <w:name w:val="No Spacing Char"/>
    <w:basedOn w:val="DefaultParagraphFont"/>
    <w:link w:val="NoSpacing"/>
    <w:uiPriority w:val="98"/>
    <w:semiHidden/>
    <w:rsid w:val="006050A2"/>
    <w:rPr>
      <w:sz w:val="24"/>
      <w:szCs w:val="24"/>
      <w:lang w:val="ro-RO"/>
    </w:rPr>
  </w:style>
  <w:style w:type="paragraph" w:customStyle="1" w:styleId="JuQuot">
    <w:name w:val="Ju_Quot"/>
    <w:aliases w:val="_Quote"/>
    <w:basedOn w:val="NormalJustified"/>
    <w:uiPriority w:val="20"/>
    <w:qFormat/>
    <w:rsid w:val="006050A2"/>
    <w:pPr>
      <w:spacing w:before="120" w:after="120"/>
      <w:ind w:left="425" w:firstLine="142"/>
    </w:pPr>
    <w:rPr>
      <w:sz w:val="20"/>
    </w:rPr>
  </w:style>
  <w:style w:type="paragraph" w:customStyle="1" w:styleId="DummyStyle">
    <w:name w:val="Dummy_Style"/>
    <w:aliases w:val="_Dummy"/>
    <w:basedOn w:val="Normal"/>
    <w:semiHidden/>
    <w:qFormat/>
    <w:rsid w:val="006050A2"/>
    <w:rPr>
      <w:color w:val="00B050"/>
      <w:sz w:val="22"/>
    </w:rPr>
  </w:style>
  <w:style w:type="paragraph" w:customStyle="1" w:styleId="JuList">
    <w:name w:val="Ju_List"/>
    <w:aliases w:val="_List_1"/>
    <w:basedOn w:val="NormalJustified"/>
    <w:uiPriority w:val="23"/>
    <w:qFormat/>
    <w:rsid w:val="006050A2"/>
    <w:pPr>
      <w:numPr>
        <w:numId w:val="14"/>
      </w:numPr>
      <w:spacing w:before="280" w:after="60"/>
    </w:pPr>
  </w:style>
  <w:style w:type="paragraph" w:customStyle="1" w:styleId="JuLista">
    <w:name w:val="Ju_List_a"/>
    <w:aliases w:val="_List_2"/>
    <w:basedOn w:val="NormalJustified"/>
    <w:uiPriority w:val="23"/>
    <w:rsid w:val="006050A2"/>
    <w:pPr>
      <w:numPr>
        <w:ilvl w:val="1"/>
        <w:numId w:val="14"/>
      </w:numPr>
    </w:pPr>
  </w:style>
  <w:style w:type="paragraph" w:customStyle="1" w:styleId="JuListi">
    <w:name w:val="Ju_List_i"/>
    <w:aliases w:val="_List_3"/>
    <w:basedOn w:val="NormalJustified"/>
    <w:uiPriority w:val="23"/>
    <w:rsid w:val="006050A2"/>
    <w:pPr>
      <w:numPr>
        <w:ilvl w:val="2"/>
        <w:numId w:val="14"/>
      </w:numPr>
    </w:pPr>
  </w:style>
  <w:style w:type="paragraph" w:customStyle="1" w:styleId="JuHArticle">
    <w:name w:val="Ju_H_Article"/>
    <w:aliases w:val="_Title_Quote"/>
    <w:basedOn w:val="Normal"/>
    <w:next w:val="JuQuot"/>
    <w:uiPriority w:val="19"/>
    <w:qFormat/>
    <w:rsid w:val="006050A2"/>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6050A2"/>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6050A2"/>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6050A2"/>
    <w:pPr>
      <w:keepNext/>
      <w:keepLines/>
      <w:numPr>
        <w:numId w:val="13"/>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6050A2"/>
    <w:pPr>
      <w:numPr>
        <w:numId w:val="8"/>
      </w:numPr>
    </w:pPr>
  </w:style>
  <w:style w:type="paragraph" w:customStyle="1" w:styleId="JuSigned">
    <w:name w:val="Ju_Signed"/>
    <w:aliases w:val="_Signature"/>
    <w:basedOn w:val="Normal"/>
    <w:next w:val="JuPara"/>
    <w:uiPriority w:val="31"/>
    <w:qFormat/>
    <w:rsid w:val="006050A2"/>
    <w:pPr>
      <w:tabs>
        <w:tab w:val="center" w:pos="1418"/>
        <w:tab w:val="center" w:pos="5954"/>
      </w:tabs>
      <w:spacing w:before="720"/>
    </w:pPr>
  </w:style>
  <w:style w:type="paragraph" w:styleId="Title">
    <w:name w:val="Title"/>
    <w:basedOn w:val="Normal"/>
    <w:next w:val="Normal"/>
    <w:link w:val="TitleChar"/>
    <w:uiPriority w:val="98"/>
    <w:semiHidden/>
    <w:qFormat/>
    <w:rsid w:val="006050A2"/>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6050A2"/>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6050A2"/>
    <w:pPr>
      <w:numPr>
        <w:numId w:val="9"/>
      </w:numPr>
    </w:pPr>
  </w:style>
  <w:style w:type="numbering" w:customStyle="1" w:styleId="ECHRA1StyleNumberedList">
    <w:name w:val="ECHR_A1_Style_Numbered_List"/>
    <w:basedOn w:val="NoList"/>
    <w:rsid w:val="006050A2"/>
    <w:pPr>
      <w:numPr>
        <w:numId w:val="10"/>
      </w:numPr>
    </w:pPr>
  </w:style>
  <w:style w:type="table" w:customStyle="1" w:styleId="ECHRTable2019">
    <w:name w:val="ECHR_Table_2019"/>
    <w:basedOn w:val="TableNormal"/>
    <w:uiPriority w:val="99"/>
    <w:rsid w:val="006050A2"/>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6050A2"/>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6050A2"/>
    <w:pPr>
      <w:keepNext/>
      <w:keepLines/>
      <w:numPr>
        <w:ilvl w:val="1"/>
        <w:numId w:val="13"/>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6050A2"/>
    <w:pPr>
      <w:keepNext/>
      <w:keepLines/>
      <w:numPr>
        <w:ilvl w:val="2"/>
        <w:numId w:val="13"/>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6050A2"/>
    <w:pPr>
      <w:keepNext/>
      <w:keepLines/>
      <w:numPr>
        <w:ilvl w:val="3"/>
        <w:numId w:val="13"/>
      </w:numPr>
      <w:spacing w:before="100" w:beforeAutospacing="1" w:after="120"/>
      <w:jc w:val="both"/>
    </w:pPr>
    <w:rPr>
      <w:b w:val="0"/>
      <w:color w:val="auto"/>
      <w:sz w:val="24"/>
    </w:rPr>
  </w:style>
  <w:style w:type="paragraph" w:styleId="Header">
    <w:name w:val="header"/>
    <w:basedOn w:val="Normal"/>
    <w:link w:val="HeaderChar"/>
    <w:uiPriority w:val="98"/>
    <w:semiHidden/>
    <w:rsid w:val="006050A2"/>
    <w:pPr>
      <w:tabs>
        <w:tab w:val="center" w:pos="4536"/>
        <w:tab w:val="right" w:pos="9072"/>
      </w:tabs>
    </w:pPr>
  </w:style>
  <w:style w:type="character" w:customStyle="1" w:styleId="HeaderChar">
    <w:name w:val="Header Char"/>
    <w:basedOn w:val="DefaultParagraphFont"/>
    <w:link w:val="Header"/>
    <w:uiPriority w:val="98"/>
    <w:semiHidden/>
    <w:rsid w:val="006050A2"/>
    <w:rPr>
      <w:sz w:val="24"/>
      <w:szCs w:val="24"/>
      <w:lang w:val="ro-RO"/>
    </w:rPr>
  </w:style>
  <w:style w:type="character" w:customStyle="1" w:styleId="Heading1Char">
    <w:name w:val="Heading 1 Char"/>
    <w:basedOn w:val="DefaultParagraphFont"/>
    <w:link w:val="Heading1"/>
    <w:uiPriority w:val="98"/>
    <w:semiHidden/>
    <w:rsid w:val="006050A2"/>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6050A2"/>
    <w:pPr>
      <w:keepNext/>
      <w:keepLines/>
      <w:numPr>
        <w:ilvl w:val="4"/>
        <w:numId w:val="13"/>
      </w:numPr>
      <w:spacing w:before="100" w:beforeAutospacing="1" w:after="120"/>
      <w:jc w:val="both"/>
    </w:pPr>
    <w:rPr>
      <w:color w:val="auto"/>
      <w:sz w:val="20"/>
    </w:rPr>
  </w:style>
  <w:style w:type="paragraph" w:customStyle="1" w:styleId="JuHi">
    <w:name w:val="Ju_H_i"/>
    <w:aliases w:val="_Head_6"/>
    <w:basedOn w:val="Heading6"/>
    <w:next w:val="JuPara"/>
    <w:uiPriority w:val="17"/>
    <w:rsid w:val="006050A2"/>
    <w:pPr>
      <w:keepNext/>
      <w:keepLines/>
      <w:numPr>
        <w:ilvl w:val="5"/>
        <w:numId w:val="13"/>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6050A2"/>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6050A2"/>
    <w:pPr>
      <w:keepNext/>
      <w:keepLines/>
      <w:numPr>
        <w:ilvl w:val="6"/>
        <w:numId w:val="13"/>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6050A2"/>
    <w:pPr>
      <w:keepNext/>
      <w:keepLines/>
      <w:numPr>
        <w:ilvl w:val="7"/>
        <w:numId w:val="13"/>
      </w:numPr>
      <w:spacing w:before="100" w:beforeAutospacing="1" w:after="120"/>
      <w:jc w:val="both"/>
    </w:pPr>
    <w:rPr>
      <w:i/>
    </w:rPr>
  </w:style>
  <w:style w:type="character" w:customStyle="1" w:styleId="Heading3Char">
    <w:name w:val="Heading 3 Char"/>
    <w:basedOn w:val="DefaultParagraphFont"/>
    <w:link w:val="Heading3"/>
    <w:uiPriority w:val="98"/>
    <w:semiHidden/>
    <w:rsid w:val="006050A2"/>
    <w:rPr>
      <w:rFonts w:asciiTheme="majorHAnsi" w:eastAsiaTheme="majorEastAsia" w:hAnsiTheme="majorHAnsi" w:cstheme="majorBidi"/>
      <w:b/>
      <w:bCs/>
      <w:color w:val="5F5F5F"/>
      <w:lang w:val="ro-RO"/>
    </w:rPr>
  </w:style>
  <w:style w:type="paragraph" w:customStyle="1" w:styleId="JuParaLast">
    <w:name w:val="Ju_Para_Last"/>
    <w:aliases w:val="ECHR_Para_Spaced,N_Para_Spaced,Para_Spaced,_Para_Spaced"/>
    <w:basedOn w:val="NormalJustified"/>
    <w:link w:val="ECHRParaSpacedChar"/>
    <w:uiPriority w:val="5"/>
    <w:qFormat/>
    <w:rsid w:val="006050A2"/>
    <w:pPr>
      <w:keepNext/>
      <w:keepLines/>
      <w:spacing w:before="240" w:after="240"/>
      <w:ind w:firstLine="284"/>
    </w:pPr>
  </w:style>
  <w:style w:type="paragraph" w:customStyle="1" w:styleId="JuJudges">
    <w:name w:val="Ju_Judges"/>
    <w:aliases w:val="_Judges"/>
    <w:basedOn w:val="Normal"/>
    <w:uiPriority w:val="32"/>
    <w:qFormat/>
    <w:rsid w:val="006050A2"/>
    <w:pPr>
      <w:tabs>
        <w:tab w:val="left" w:pos="567"/>
        <w:tab w:val="left" w:pos="1134"/>
      </w:tabs>
    </w:pPr>
  </w:style>
  <w:style w:type="character" w:customStyle="1" w:styleId="Heading4Char">
    <w:name w:val="Heading 4 Char"/>
    <w:basedOn w:val="DefaultParagraphFont"/>
    <w:link w:val="Heading4"/>
    <w:uiPriority w:val="98"/>
    <w:semiHidden/>
    <w:rsid w:val="006050A2"/>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6050A2"/>
    <w:pPr>
      <w:tabs>
        <w:tab w:val="center" w:pos="6407"/>
      </w:tabs>
      <w:spacing w:before="720"/>
      <w:jc w:val="right"/>
    </w:pPr>
  </w:style>
  <w:style w:type="character" w:customStyle="1" w:styleId="Heading5Char">
    <w:name w:val="Heading 5 Char"/>
    <w:basedOn w:val="DefaultParagraphFont"/>
    <w:link w:val="Heading5"/>
    <w:uiPriority w:val="98"/>
    <w:semiHidden/>
    <w:rsid w:val="006050A2"/>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6050A2"/>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6050A2"/>
    <w:rPr>
      <w:caps w:val="0"/>
      <w:smallCaps/>
    </w:rPr>
  </w:style>
  <w:style w:type="character" w:styleId="SubtleEmphasis">
    <w:name w:val="Subtle Emphasis"/>
    <w:uiPriority w:val="98"/>
    <w:semiHidden/>
    <w:qFormat/>
    <w:rsid w:val="006050A2"/>
    <w:rPr>
      <w:i/>
      <w:iCs/>
    </w:rPr>
  </w:style>
  <w:style w:type="table" w:customStyle="1" w:styleId="ECHRTable">
    <w:name w:val="ECHR_Table"/>
    <w:basedOn w:val="TableNormal"/>
    <w:rsid w:val="006050A2"/>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050A2"/>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6050A2"/>
    <w:rPr>
      <w:b/>
      <w:bCs/>
      <w:i/>
      <w:iCs/>
      <w:spacing w:val="10"/>
      <w:bdr w:val="none" w:sz="0" w:space="0" w:color="auto"/>
      <w:shd w:val="clear" w:color="auto" w:fill="auto"/>
    </w:rPr>
  </w:style>
  <w:style w:type="paragraph" w:styleId="Footer0">
    <w:name w:val="footer"/>
    <w:basedOn w:val="Normal"/>
    <w:link w:val="FooterChar"/>
    <w:uiPriority w:val="98"/>
    <w:semiHidden/>
    <w:rsid w:val="006050A2"/>
    <w:pPr>
      <w:tabs>
        <w:tab w:val="center" w:pos="3686"/>
        <w:tab w:val="right" w:pos="7371"/>
      </w:tabs>
    </w:pPr>
  </w:style>
  <w:style w:type="character" w:customStyle="1" w:styleId="FooterChar">
    <w:name w:val="Footer Char"/>
    <w:basedOn w:val="DefaultParagraphFont"/>
    <w:link w:val="Footer0"/>
    <w:uiPriority w:val="98"/>
    <w:semiHidden/>
    <w:rsid w:val="006050A2"/>
    <w:rPr>
      <w:sz w:val="24"/>
      <w:szCs w:val="24"/>
      <w:lang w:val="ro-RO"/>
    </w:rPr>
  </w:style>
  <w:style w:type="character" w:styleId="FootnoteReference">
    <w:name w:val="footnote reference"/>
    <w:basedOn w:val="DefaultParagraphFont"/>
    <w:uiPriority w:val="98"/>
    <w:semiHidden/>
    <w:rsid w:val="006050A2"/>
    <w:rPr>
      <w:vertAlign w:val="superscript"/>
    </w:rPr>
  </w:style>
  <w:style w:type="paragraph" w:styleId="FootnoteText">
    <w:name w:val="footnote text"/>
    <w:basedOn w:val="NormalJustified"/>
    <w:link w:val="FootnoteTextChar"/>
    <w:uiPriority w:val="98"/>
    <w:semiHidden/>
    <w:rsid w:val="006050A2"/>
    <w:rPr>
      <w:sz w:val="20"/>
      <w:szCs w:val="20"/>
    </w:rPr>
  </w:style>
  <w:style w:type="character" w:customStyle="1" w:styleId="FootnoteTextChar">
    <w:name w:val="Footnote Text Char"/>
    <w:basedOn w:val="DefaultParagraphFont"/>
    <w:link w:val="FootnoteText"/>
    <w:uiPriority w:val="98"/>
    <w:semiHidden/>
    <w:rsid w:val="006050A2"/>
    <w:rPr>
      <w:sz w:val="20"/>
      <w:szCs w:val="20"/>
      <w:lang w:val="ro-RO"/>
    </w:rPr>
  </w:style>
  <w:style w:type="character" w:customStyle="1" w:styleId="Heading6Char">
    <w:name w:val="Heading 6 Char"/>
    <w:basedOn w:val="DefaultParagraphFont"/>
    <w:link w:val="Heading6"/>
    <w:uiPriority w:val="98"/>
    <w:semiHidden/>
    <w:rsid w:val="006050A2"/>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6050A2"/>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6050A2"/>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6050A2"/>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6050A2"/>
    <w:rPr>
      <w:color w:val="0072BC" w:themeColor="hyperlink"/>
      <w:u w:val="single"/>
    </w:rPr>
  </w:style>
  <w:style w:type="character" w:styleId="IntenseEmphasis">
    <w:name w:val="Intense Emphasis"/>
    <w:uiPriority w:val="98"/>
    <w:semiHidden/>
    <w:qFormat/>
    <w:rsid w:val="006050A2"/>
    <w:rPr>
      <w:b/>
      <w:bCs/>
    </w:rPr>
  </w:style>
  <w:style w:type="paragraph" w:styleId="IntenseQuote">
    <w:name w:val="Intense Quote"/>
    <w:basedOn w:val="Normal"/>
    <w:next w:val="Normal"/>
    <w:link w:val="IntenseQuoteChar"/>
    <w:uiPriority w:val="98"/>
    <w:semiHidden/>
    <w:qFormat/>
    <w:rsid w:val="006050A2"/>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6050A2"/>
    <w:rPr>
      <w:b/>
      <w:bCs/>
      <w:i/>
      <w:iCs/>
      <w:sz w:val="24"/>
      <w:szCs w:val="24"/>
      <w:lang w:val="ro-RO" w:bidi="en-US"/>
    </w:rPr>
  </w:style>
  <w:style w:type="character" w:styleId="IntenseReference">
    <w:name w:val="Intense Reference"/>
    <w:uiPriority w:val="98"/>
    <w:semiHidden/>
    <w:qFormat/>
    <w:rsid w:val="006050A2"/>
    <w:rPr>
      <w:smallCaps/>
      <w:spacing w:val="5"/>
      <w:u w:val="single"/>
    </w:rPr>
  </w:style>
  <w:style w:type="paragraph" w:styleId="ListParagraph">
    <w:name w:val="List Paragraph"/>
    <w:basedOn w:val="Normal"/>
    <w:uiPriority w:val="98"/>
    <w:semiHidden/>
    <w:qFormat/>
    <w:rsid w:val="006050A2"/>
    <w:pPr>
      <w:ind w:left="720"/>
      <w:contextualSpacing/>
    </w:pPr>
  </w:style>
  <w:style w:type="table" w:customStyle="1" w:styleId="LtrTableAddress">
    <w:name w:val="Ltr_Table_Address"/>
    <w:aliases w:val="ECHR_Ltr_Table_Address"/>
    <w:basedOn w:val="TableNormal"/>
    <w:uiPriority w:val="99"/>
    <w:rsid w:val="006050A2"/>
    <w:rPr>
      <w:sz w:val="24"/>
      <w:szCs w:val="24"/>
    </w:rPr>
    <w:tblPr>
      <w:tblInd w:w="5103" w:type="dxa"/>
    </w:tblPr>
  </w:style>
  <w:style w:type="paragraph" w:styleId="Quote">
    <w:name w:val="Quote"/>
    <w:basedOn w:val="Normal"/>
    <w:next w:val="Normal"/>
    <w:link w:val="QuoteChar"/>
    <w:uiPriority w:val="98"/>
    <w:semiHidden/>
    <w:qFormat/>
    <w:rsid w:val="006050A2"/>
    <w:pPr>
      <w:spacing w:before="200"/>
      <w:ind w:left="360" w:right="360"/>
    </w:pPr>
    <w:rPr>
      <w:i/>
      <w:iCs/>
      <w:lang w:bidi="en-US"/>
    </w:rPr>
  </w:style>
  <w:style w:type="character" w:customStyle="1" w:styleId="QuoteChar">
    <w:name w:val="Quote Char"/>
    <w:basedOn w:val="DefaultParagraphFont"/>
    <w:link w:val="Quote"/>
    <w:uiPriority w:val="98"/>
    <w:semiHidden/>
    <w:rsid w:val="006050A2"/>
    <w:rPr>
      <w:i/>
      <w:iCs/>
      <w:sz w:val="24"/>
      <w:szCs w:val="24"/>
      <w:lang w:val="ro-RO" w:bidi="en-US"/>
    </w:rPr>
  </w:style>
  <w:style w:type="character" w:styleId="SubtleReference">
    <w:name w:val="Subtle Reference"/>
    <w:uiPriority w:val="98"/>
    <w:semiHidden/>
    <w:qFormat/>
    <w:rsid w:val="006050A2"/>
    <w:rPr>
      <w:smallCaps/>
    </w:rPr>
  </w:style>
  <w:style w:type="table" w:styleId="TableGrid">
    <w:name w:val="Table Grid"/>
    <w:basedOn w:val="TableNormal"/>
    <w:uiPriority w:val="59"/>
    <w:semiHidden/>
    <w:rsid w:val="006050A2"/>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6050A2"/>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6050A2"/>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6050A2"/>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6050A2"/>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6050A2"/>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6050A2"/>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6050A2"/>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6050A2"/>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6050A2"/>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050A2"/>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6050A2"/>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6050A2"/>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6050A2"/>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6050A2"/>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6050A2"/>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6050A2"/>
    <w:pPr>
      <w:numPr>
        <w:numId w:val="5"/>
      </w:numPr>
    </w:pPr>
  </w:style>
  <w:style w:type="paragraph" w:customStyle="1" w:styleId="JuPara">
    <w:name w:val="Ju_Para"/>
    <w:aliases w:val="_Para"/>
    <w:basedOn w:val="NormalJustified"/>
    <w:link w:val="JuParaChar"/>
    <w:uiPriority w:val="4"/>
    <w:qFormat/>
    <w:rsid w:val="006050A2"/>
    <w:pPr>
      <w:ind w:firstLine="284"/>
    </w:pPr>
  </w:style>
  <w:style w:type="numbering" w:styleId="1ai">
    <w:name w:val="Outline List 1"/>
    <w:basedOn w:val="NoList"/>
    <w:uiPriority w:val="99"/>
    <w:semiHidden/>
    <w:unhideWhenUsed/>
    <w:rsid w:val="006050A2"/>
    <w:pPr>
      <w:numPr>
        <w:numId w:val="6"/>
      </w:numPr>
    </w:pPr>
  </w:style>
  <w:style w:type="table" w:customStyle="1" w:styleId="ECHRTableSimpleBox">
    <w:name w:val="ECHR_Table_Simple_Box"/>
    <w:basedOn w:val="TableNormal"/>
    <w:uiPriority w:val="99"/>
    <w:rsid w:val="006050A2"/>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6050A2"/>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6050A2"/>
    <w:pPr>
      <w:numPr>
        <w:numId w:val="7"/>
      </w:numPr>
    </w:pPr>
  </w:style>
  <w:style w:type="table" w:customStyle="1" w:styleId="ECHRTableForInternalUse">
    <w:name w:val="ECHR_Table_For_Internal_Use"/>
    <w:basedOn w:val="TableNormal"/>
    <w:uiPriority w:val="99"/>
    <w:rsid w:val="006050A2"/>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6050A2"/>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6050A2"/>
  </w:style>
  <w:style w:type="paragraph" w:styleId="BlockText">
    <w:name w:val="Block Text"/>
    <w:basedOn w:val="Normal"/>
    <w:uiPriority w:val="98"/>
    <w:semiHidden/>
    <w:rsid w:val="006050A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6050A2"/>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6050A2"/>
    <w:pPr>
      <w:spacing w:after="120"/>
    </w:pPr>
  </w:style>
  <w:style w:type="character" w:customStyle="1" w:styleId="BodyTextChar">
    <w:name w:val="Body Text Char"/>
    <w:basedOn w:val="DefaultParagraphFont"/>
    <w:link w:val="BodyText"/>
    <w:uiPriority w:val="98"/>
    <w:semiHidden/>
    <w:rsid w:val="006050A2"/>
    <w:rPr>
      <w:sz w:val="24"/>
      <w:szCs w:val="24"/>
      <w:lang w:val="ro-RO"/>
    </w:rPr>
  </w:style>
  <w:style w:type="table" w:customStyle="1" w:styleId="ECHRTableOddBanded">
    <w:name w:val="ECHR_Table_Odd_Banded"/>
    <w:basedOn w:val="TableNormal"/>
    <w:uiPriority w:val="99"/>
    <w:rsid w:val="006050A2"/>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6050A2"/>
    <w:pPr>
      <w:spacing w:after="120" w:line="480" w:lineRule="auto"/>
    </w:pPr>
  </w:style>
  <w:style w:type="table" w:customStyle="1" w:styleId="ECHRHeaderTableReduced">
    <w:name w:val="ECHR_Header_Table_Reduced"/>
    <w:basedOn w:val="TableNormal"/>
    <w:uiPriority w:val="99"/>
    <w:rsid w:val="006050A2"/>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6050A2"/>
    <w:pPr>
      <w:ind w:firstLine="284"/>
    </w:pPr>
    <w:rPr>
      <w:b/>
    </w:rPr>
  </w:style>
  <w:style w:type="character" w:styleId="PageNumber">
    <w:name w:val="page number"/>
    <w:uiPriority w:val="98"/>
    <w:semiHidden/>
    <w:rsid w:val="006050A2"/>
    <w:rPr>
      <w:sz w:val="18"/>
    </w:rPr>
  </w:style>
  <w:style w:type="paragraph" w:styleId="ListBullet">
    <w:name w:val="List Bullet"/>
    <w:basedOn w:val="Normal"/>
    <w:uiPriority w:val="98"/>
    <w:semiHidden/>
    <w:rsid w:val="006050A2"/>
    <w:pPr>
      <w:numPr>
        <w:numId w:val="15"/>
      </w:numPr>
    </w:pPr>
  </w:style>
  <w:style w:type="paragraph" w:styleId="ListBullet3">
    <w:name w:val="List Bullet 3"/>
    <w:basedOn w:val="Normal"/>
    <w:uiPriority w:val="98"/>
    <w:semiHidden/>
    <w:rsid w:val="006050A2"/>
    <w:pPr>
      <w:numPr>
        <w:numId w:val="17"/>
      </w:numPr>
      <w:contextualSpacing/>
    </w:pPr>
  </w:style>
  <w:style w:type="character" w:customStyle="1" w:styleId="BodyText2Char">
    <w:name w:val="Body Text 2 Char"/>
    <w:basedOn w:val="DefaultParagraphFont"/>
    <w:link w:val="BodyText2"/>
    <w:uiPriority w:val="98"/>
    <w:semiHidden/>
    <w:rsid w:val="006050A2"/>
    <w:rPr>
      <w:sz w:val="24"/>
      <w:szCs w:val="24"/>
      <w:lang w:val="ro-RO"/>
    </w:rPr>
  </w:style>
  <w:style w:type="paragraph" w:styleId="BodyText3">
    <w:name w:val="Body Text 3"/>
    <w:basedOn w:val="Normal"/>
    <w:link w:val="BodyText3Char"/>
    <w:uiPriority w:val="98"/>
    <w:semiHidden/>
    <w:rsid w:val="006050A2"/>
    <w:pPr>
      <w:spacing w:after="120"/>
    </w:pPr>
    <w:rPr>
      <w:sz w:val="16"/>
      <w:szCs w:val="16"/>
    </w:rPr>
  </w:style>
  <w:style w:type="character" w:customStyle="1" w:styleId="BodyText3Char">
    <w:name w:val="Body Text 3 Char"/>
    <w:basedOn w:val="DefaultParagraphFont"/>
    <w:link w:val="BodyText3"/>
    <w:uiPriority w:val="98"/>
    <w:semiHidden/>
    <w:rsid w:val="006050A2"/>
    <w:rPr>
      <w:sz w:val="16"/>
      <w:szCs w:val="16"/>
      <w:lang w:val="ro-RO"/>
    </w:rPr>
  </w:style>
  <w:style w:type="paragraph" w:styleId="BodyTextFirstIndent">
    <w:name w:val="Body Text First Indent"/>
    <w:basedOn w:val="BodyText"/>
    <w:link w:val="BodyTextFirstIndentChar"/>
    <w:uiPriority w:val="98"/>
    <w:semiHidden/>
    <w:rsid w:val="006050A2"/>
    <w:pPr>
      <w:spacing w:after="0"/>
      <w:ind w:firstLine="360"/>
    </w:pPr>
  </w:style>
  <w:style w:type="character" w:customStyle="1" w:styleId="BodyTextFirstIndentChar">
    <w:name w:val="Body Text First Indent Char"/>
    <w:basedOn w:val="BodyTextChar"/>
    <w:link w:val="BodyTextFirstIndent"/>
    <w:uiPriority w:val="98"/>
    <w:semiHidden/>
    <w:rsid w:val="006050A2"/>
    <w:rPr>
      <w:sz w:val="24"/>
      <w:szCs w:val="24"/>
      <w:lang w:val="ro-RO"/>
    </w:rPr>
  </w:style>
  <w:style w:type="paragraph" w:styleId="BodyTextIndent">
    <w:name w:val="Body Text Indent"/>
    <w:basedOn w:val="Normal"/>
    <w:link w:val="BodyTextIndentChar"/>
    <w:uiPriority w:val="98"/>
    <w:semiHidden/>
    <w:rsid w:val="006050A2"/>
    <w:pPr>
      <w:spacing w:after="120"/>
      <w:ind w:left="283"/>
    </w:pPr>
  </w:style>
  <w:style w:type="character" w:customStyle="1" w:styleId="BodyTextIndentChar">
    <w:name w:val="Body Text Indent Char"/>
    <w:basedOn w:val="DefaultParagraphFont"/>
    <w:link w:val="BodyTextIndent"/>
    <w:uiPriority w:val="98"/>
    <w:semiHidden/>
    <w:rsid w:val="006050A2"/>
    <w:rPr>
      <w:sz w:val="24"/>
      <w:szCs w:val="24"/>
      <w:lang w:val="ro-RO"/>
    </w:rPr>
  </w:style>
  <w:style w:type="paragraph" w:styleId="BodyTextFirstIndent2">
    <w:name w:val="Body Text First Indent 2"/>
    <w:basedOn w:val="BodyTextIndent"/>
    <w:link w:val="BodyTextFirstIndent2Char"/>
    <w:uiPriority w:val="98"/>
    <w:semiHidden/>
    <w:rsid w:val="006050A2"/>
    <w:pPr>
      <w:spacing w:after="0"/>
      <w:ind w:left="360" w:firstLine="360"/>
    </w:pPr>
  </w:style>
  <w:style w:type="character" w:customStyle="1" w:styleId="BodyTextFirstIndent2Char">
    <w:name w:val="Body Text First Indent 2 Char"/>
    <w:basedOn w:val="BodyTextIndentChar"/>
    <w:link w:val="BodyTextFirstIndent2"/>
    <w:uiPriority w:val="98"/>
    <w:semiHidden/>
    <w:rsid w:val="006050A2"/>
    <w:rPr>
      <w:sz w:val="24"/>
      <w:szCs w:val="24"/>
      <w:lang w:val="ro-RO"/>
    </w:rPr>
  </w:style>
  <w:style w:type="paragraph" w:styleId="BodyTextIndent2">
    <w:name w:val="Body Text Indent 2"/>
    <w:basedOn w:val="Normal"/>
    <w:link w:val="BodyTextIndent2Char"/>
    <w:uiPriority w:val="98"/>
    <w:semiHidden/>
    <w:rsid w:val="006050A2"/>
    <w:pPr>
      <w:spacing w:after="120" w:line="480" w:lineRule="auto"/>
      <w:ind w:left="283"/>
    </w:pPr>
  </w:style>
  <w:style w:type="character" w:customStyle="1" w:styleId="BodyTextIndent2Char">
    <w:name w:val="Body Text Indent 2 Char"/>
    <w:basedOn w:val="DefaultParagraphFont"/>
    <w:link w:val="BodyTextIndent2"/>
    <w:uiPriority w:val="98"/>
    <w:semiHidden/>
    <w:rsid w:val="006050A2"/>
    <w:rPr>
      <w:sz w:val="24"/>
      <w:szCs w:val="24"/>
      <w:lang w:val="ro-RO"/>
    </w:rPr>
  </w:style>
  <w:style w:type="paragraph" w:styleId="BodyTextIndent3">
    <w:name w:val="Body Text Indent 3"/>
    <w:basedOn w:val="Normal"/>
    <w:link w:val="BodyTextIndent3Char"/>
    <w:uiPriority w:val="98"/>
    <w:semiHidden/>
    <w:rsid w:val="006050A2"/>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6050A2"/>
    <w:rPr>
      <w:sz w:val="16"/>
      <w:szCs w:val="16"/>
      <w:lang w:val="ro-RO"/>
    </w:rPr>
  </w:style>
  <w:style w:type="paragraph" w:styleId="Caption">
    <w:name w:val="caption"/>
    <w:basedOn w:val="Normal"/>
    <w:next w:val="Normal"/>
    <w:uiPriority w:val="98"/>
    <w:semiHidden/>
    <w:qFormat/>
    <w:rsid w:val="006050A2"/>
    <w:pPr>
      <w:spacing w:after="200"/>
    </w:pPr>
    <w:rPr>
      <w:b/>
      <w:bCs/>
      <w:color w:val="0072BC" w:themeColor="accent1"/>
      <w:sz w:val="18"/>
      <w:szCs w:val="18"/>
    </w:rPr>
  </w:style>
  <w:style w:type="paragraph" w:styleId="Closing">
    <w:name w:val="Closing"/>
    <w:basedOn w:val="Normal"/>
    <w:link w:val="ClosingChar"/>
    <w:uiPriority w:val="98"/>
    <w:semiHidden/>
    <w:rsid w:val="006050A2"/>
    <w:pPr>
      <w:ind w:left="4252"/>
    </w:pPr>
  </w:style>
  <w:style w:type="character" w:customStyle="1" w:styleId="ClosingChar">
    <w:name w:val="Closing Char"/>
    <w:basedOn w:val="DefaultParagraphFont"/>
    <w:link w:val="Closing"/>
    <w:uiPriority w:val="98"/>
    <w:semiHidden/>
    <w:rsid w:val="006050A2"/>
    <w:rPr>
      <w:sz w:val="24"/>
      <w:szCs w:val="24"/>
      <w:lang w:val="ro-RO"/>
    </w:rPr>
  </w:style>
  <w:style w:type="table" w:styleId="ColorfulGrid">
    <w:name w:val="Colorful Grid"/>
    <w:basedOn w:val="TableNormal"/>
    <w:uiPriority w:val="73"/>
    <w:semiHidden/>
    <w:rsid w:val="006050A2"/>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6050A2"/>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6050A2"/>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6050A2"/>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6050A2"/>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6050A2"/>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6050A2"/>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6050A2"/>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6050A2"/>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6050A2"/>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6050A2"/>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6050A2"/>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6050A2"/>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6050A2"/>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6050A2"/>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6050A2"/>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6050A2"/>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6050A2"/>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6050A2"/>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6050A2"/>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6050A2"/>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6050A2"/>
    <w:rPr>
      <w:sz w:val="16"/>
      <w:szCs w:val="16"/>
    </w:rPr>
  </w:style>
  <w:style w:type="paragraph" w:styleId="CommentText">
    <w:name w:val="annotation text"/>
    <w:basedOn w:val="Normal"/>
    <w:link w:val="CommentTextChar"/>
    <w:uiPriority w:val="98"/>
    <w:semiHidden/>
    <w:rsid w:val="006050A2"/>
    <w:rPr>
      <w:sz w:val="20"/>
      <w:szCs w:val="20"/>
    </w:rPr>
  </w:style>
  <w:style w:type="character" w:customStyle="1" w:styleId="CommentTextChar">
    <w:name w:val="Comment Text Char"/>
    <w:basedOn w:val="DefaultParagraphFont"/>
    <w:link w:val="CommentText"/>
    <w:uiPriority w:val="98"/>
    <w:semiHidden/>
    <w:rsid w:val="006050A2"/>
    <w:rPr>
      <w:sz w:val="20"/>
      <w:szCs w:val="20"/>
      <w:lang w:val="ro-RO"/>
    </w:rPr>
  </w:style>
  <w:style w:type="paragraph" w:styleId="CommentSubject">
    <w:name w:val="annotation subject"/>
    <w:basedOn w:val="CommentText"/>
    <w:next w:val="CommentText"/>
    <w:link w:val="CommentSubjectChar"/>
    <w:uiPriority w:val="98"/>
    <w:semiHidden/>
    <w:rsid w:val="006050A2"/>
    <w:rPr>
      <w:b/>
      <w:bCs/>
    </w:rPr>
  </w:style>
  <w:style w:type="character" w:customStyle="1" w:styleId="CommentSubjectChar">
    <w:name w:val="Comment Subject Char"/>
    <w:basedOn w:val="CommentTextChar"/>
    <w:link w:val="CommentSubject"/>
    <w:uiPriority w:val="98"/>
    <w:semiHidden/>
    <w:rsid w:val="006050A2"/>
    <w:rPr>
      <w:b/>
      <w:bCs/>
      <w:sz w:val="20"/>
      <w:szCs w:val="20"/>
      <w:lang w:val="ro-RO"/>
    </w:rPr>
  </w:style>
  <w:style w:type="table" w:styleId="DarkList">
    <w:name w:val="Dark List"/>
    <w:basedOn w:val="TableNormal"/>
    <w:uiPriority w:val="70"/>
    <w:semiHidden/>
    <w:rsid w:val="006050A2"/>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6050A2"/>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6050A2"/>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6050A2"/>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6050A2"/>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6050A2"/>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6050A2"/>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6050A2"/>
  </w:style>
  <w:style w:type="character" w:customStyle="1" w:styleId="DateChar">
    <w:name w:val="Date Char"/>
    <w:basedOn w:val="DefaultParagraphFont"/>
    <w:link w:val="Date"/>
    <w:uiPriority w:val="98"/>
    <w:semiHidden/>
    <w:rsid w:val="006050A2"/>
    <w:rPr>
      <w:sz w:val="24"/>
      <w:szCs w:val="24"/>
      <w:lang w:val="ro-RO"/>
    </w:rPr>
  </w:style>
  <w:style w:type="paragraph" w:styleId="DocumentMap">
    <w:name w:val="Document Map"/>
    <w:basedOn w:val="Normal"/>
    <w:link w:val="DocumentMapChar"/>
    <w:uiPriority w:val="98"/>
    <w:semiHidden/>
    <w:rsid w:val="006050A2"/>
    <w:rPr>
      <w:rFonts w:ascii="Tahoma" w:hAnsi="Tahoma" w:cs="Tahoma"/>
      <w:sz w:val="16"/>
      <w:szCs w:val="16"/>
    </w:rPr>
  </w:style>
  <w:style w:type="character" w:customStyle="1" w:styleId="DocumentMapChar">
    <w:name w:val="Document Map Char"/>
    <w:basedOn w:val="DefaultParagraphFont"/>
    <w:link w:val="DocumentMap"/>
    <w:uiPriority w:val="98"/>
    <w:semiHidden/>
    <w:rsid w:val="006050A2"/>
    <w:rPr>
      <w:rFonts w:ascii="Tahoma" w:hAnsi="Tahoma" w:cs="Tahoma"/>
      <w:sz w:val="16"/>
      <w:szCs w:val="16"/>
      <w:lang w:val="ro-RO"/>
    </w:rPr>
  </w:style>
  <w:style w:type="paragraph" w:styleId="E-mailSignature">
    <w:name w:val="E-mail Signature"/>
    <w:basedOn w:val="Normal"/>
    <w:link w:val="E-mailSignatureChar"/>
    <w:uiPriority w:val="98"/>
    <w:semiHidden/>
    <w:rsid w:val="006050A2"/>
  </w:style>
  <w:style w:type="character" w:customStyle="1" w:styleId="E-mailSignatureChar">
    <w:name w:val="E-mail Signature Char"/>
    <w:basedOn w:val="DefaultParagraphFont"/>
    <w:link w:val="E-mailSignature"/>
    <w:uiPriority w:val="98"/>
    <w:semiHidden/>
    <w:rsid w:val="006050A2"/>
    <w:rPr>
      <w:sz w:val="24"/>
      <w:szCs w:val="24"/>
      <w:lang w:val="ro-RO"/>
    </w:rPr>
  </w:style>
  <w:style w:type="character" w:styleId="EndnoteReference">
    <w:name w:val="endnote reference"/>
    <w:basedOn w:val="DefaultParagraphFont"/>
    <w:uiPriority w:val="98"/>
    <w:semiHidden/>
    <w:rsid w:val="006050A2"/>
    <w:rPr>
      <w:vertAlign w:val="superscript"/>
    </w:rPr>
  </w:style>
  <w:style w:type="paragraph" w:styleId="EndnoteText">
    <w:name w:val="endnote text"/>
    <w:basedOn w:val="Normal"/>
    <w:link w:val="EndnoteTextChar"/>
    <w:uiPriority w:val="98"/>
    <w:semiHidden/>
    <w:rsid w:val="006050A2"/>
    <w:rPr>
      <w:sz w:val="20"/>
      <w:szCs w:val="20"/>
    </w:rPr>
  </w:style>
  <w:style w:type="character" w:customStyle="1" w:styleId="EndnoteTextChar">
    <w:name w:val="Endnote Text Char"/>
    <w:basedOn w:val="DefaultParagraphFont"/>
    <w:link w:val="EndnoteText"/>
    <w:uiPriority w:val="98"/>
    <w:semiHidden/>
    <w:rsid w:val="006050A2"/>
    <w:rPr>
      <w:sz w:val="20"/>
      <w:szCs w:val="20"/>
      <w:lang w:val="ro-RO"/>
    </w:rPr>
  </w:style>
  <w:style w:type="paragraph" w:styleId="EnvelopeAddress">
    <w:name w:val="envelope address"/>
    <w:basedOn w:val="Normal"/>
    <w:uiPriority w:val="98"/>
    <w:semiHidden/>
    <w:rsid w:val="006050A2"/>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6050A2"/>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6050A2"/>
    <w:rPr>
      <w:color w:val="7030A0" w:themeColor="followedHyperlink"/>
      <w:u w:val="single"/>
    </w:rPr>
  </w:style>
  <w:style w:type="character" w:styleId="HTMLAcronym">
    <w:name w:val="HTML Acronym"/>
    <w:basedOn w:val="DefaultParagraphFont"/>
    <w:uiPriority w:val="98"/>
    <w:semiHidden/>
    <w:rsid w:val="006050A2"/>
  </w:style>
  <w:style w:type="paragraph" w:styleId="HTMLAddress">
    <w:name w:val="HTML Address"/>
    <w:basedOn w:val="Normal"/>
    <w:link w:val="HTMLAddressChar"/>
    <w:uiPriority w:val="98"/>
    <w:semiHidden/>
    <w:rsid w:val="006050A2"/>
    <w:rPr>
      <w:i/>
      <w:iCs/>
    </w:rPr>
  </w:style>
  <w:style w:type="character" w:customStyle="1" w:styleId="HTMLAddressChar">
    <w:name w:val="HTML Address Char"/>
    <w:basedOn w:val="DefaultParagraphFont"/>
    <w:link w:val="HTMLAddress"/>
    <w:uiPriority w:val="98"/>
    <w:semiHidden/>
    <w:rsid w:val="006050A2"/>
    <w:rPr>
      <w:i/>
      <w:iCs/>
      <w:sz w:val="24"/>
      <w:szCs w:val="24"/>
      <w:lang w:val="ro-RO"/>
    </w:rPr>
  </w:style>
  <w:style w:type="character" w:styleId="HTMLCite">
    <w:name w:val="HTML Cite"/>
    <w:basedOn w:val="DefaultParagraphFont"/>
    <w:uiPriority w:val="98"/>
    <w:semiHidden/>
    <w:rsid w:val="006050A2"/>
    <w:rPr>
      <w:i/>
      <w:iCs/>
    </w:rPr>
  </w:style>
  <w:style w:type="character" w:styleId="HTMLCode">
    <w:name w:val="HTML Code"/>
    <w:basedOn w:val="DefaultParagraphFont"/>
    <w:uiPriority w:val="98"/>
    <w:semiHidden/>
    <w:rsid w:val="006050A2"/>
    <w:rPr>
      <w:rFonts w:ascii="Consolas" w:hAnsi="Consolas" w:cs="Consolas"/>
      <w:sz w:val="20"/>
      <w:szCs w:val="20"/>
    </w:rPr>
  </w:style>
  <w:style w:type="character" w:styleId="HTMLDefinition">
    <w:name w:val="HTML Definition"/>
    <w:basedOn w:val="DefaultParagraphFont"/>
    <w:uiPriority w:val="98"/>
    <w:semiHidden/>
    <w:rsid w:val="006050A2"/>
    <w:rPr>
      <w:i/>
      <w:iCs/>
    </w:rPr>
  </w:style>
  <w:style w:type="character" w:styleId="HTMLKeyboard">
    <w:name w:val="HTML Keyboard"/>
    <w:basedOn w:val="DefaultParagraphFont"/>
    <w:uiPriority w:val="98"/>
    <w:semiHidden/>
    <w:rsid w:val="006050A2"/>
    <w:rPr>
      <w:rFonts w:ascii="Consolas" w:hAnsi="Consolas" w:cs="Consolas"/>
      <w:sz w:val="20"/>
      <w:szCs w:val="20"/>
    </w:rPr>
  </w:style>
  <w:style w:type="paragraph" w:styleId="HTMLPreformatted">
    <w:name w:val="HTML Preformatted"/>
    <w:basedOn w:val="Normal"/>
    <w:link w:val="HTMLPreformattedChar"/>
    <w:uiPriority w:val="98"/>
    <w:semiHidden/>
    <w:rsid w:val="006050A2"/>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6050A2"/>
    <w:rPr>
      <w:rFonts w:ascii="Consolas" w:hAnsi="Consolas" w:cs="Consolas"/>
      <w:sz w:val="20"/>
      <w:szCs w:val="20"/>
      <w:lang w:val="ro-RO"/>
    </w:rPr>
  </w:style>
  <w:style w:type="character" w:styleId="HTMLSample">
    <w:name w:val="HTML Sample"/>
    <w:basedOn w:val="DefaultParagraphFont"/>
    <w:uiPriority w:val="98"/>
    <w:semiHidden/>
    <w:rsid w:val="006050A2"/>
    <w:rPr>
      <w:rFonts w:ascii="Consolas" w:hAnsi="Consolas" w:cs="Consolas"/>
      <w:sz w:val="24"/>
      <w:szCs w:val="24"/>
    </w:rPr>
  </w:style>
  <w:style w:type="character" w:styleId="HTMLTypewriter">
    <w:name w:val="HTML Typewriter"/>
    <w:basedOn w:val="DefaultParagraphFont"/>
    <w:uiPriority w:val="98"/>
    <w:semiHidden/>
    <w:rsid w:val="006050A2"/>
    <w:rPr>
      <w:rFonts w:ascii="Consolas" w:hAnsi="Consolas" w:cs="Consolas"/>
      <w:sz w:val="20"/>
      <w:szCs w:val="20"/>
    </w:rPr>
  </w:style>
  <w:style w:type="character" w:styleId="HTMLVariable">
    <w:name w:val="HTML Variable"/>
    <w:basedOn w:val="DefaultParagraphFont"/>
    <w:uiPriority w:val="98"/>
    <w:semiHidden/>
    <w:rsid w:val="006050A2"/>
    <w:rPr>
      <w:i/>
      <w:iCs/>
    </w:rPr>
  </w:style>
  <w:style w:type="paragraph" w:styleId="Index1">
    <w:name w:val="index 1"/>
    <w:basedOn w:val="Normal"/>
    <w:next w:val="Normal"/>
    <w:autoRedefine/>
    <w:uiPriority w:val="98"/>
    <w:semiHidden/>
    <w:rsid w:val="006050A2"/>
    <w:pPr>
      <w:ind w:left="240" w:hanging="240"/>
    </w:pPr>
  </w:style>
  <w:style w:type="paragraph" w:styleId="Index2">
    <w:name w:val="index 2"/>
    <w:basedOn w:val="Normal"/>
    <w:next w:val="Normal"/>
    <w:autoRedefine/>
    <w:uiPriority w:val="98"/>
    <w:semiHidden/>
    <w:rsid w:val="006050A2"/>
    <w:pPr>
      <w:ind w:left="480" w:hanging="240"/>
    </w:pPr>
  </w:style>
  <w:style w:type="paragraph" w:styleId="Index3">
    <w:name w:val="index 3"/>
    <w:basedOn w:val="Normal"/>
    <w:next w:val="Normal"/>
    <w:autoRedefine/>
    <w:uiPriority w:val="98"/>
    <w:semiHidden/>
    <w:rsid w:val="006050A2"/>
    <w:pPr>
      <w:ind w:left="720" w:hanging="240"/>
    </w:pPr>
  </w:style>
  <w:style w:type="paragraph" w:styleId="Index4">
    <w:name w:val="index 4"/>
    <w:basedOn w:val="Normal"/>
    <w:next w:val="Normal"/>
    <w:autoRedefine/>
    <w:uiPriority w:val="98"/>
    <w:semiHidden/>
    <w:rsid w:val="006050A2"/>
    <w:pPr>
      <w:ind w:left="960" w:hanging="240"/>
    </w:pPr>
  </w:style>
  <w:style w:type="paragraph" w:styleId="Index5">
    <w:name w:val="index 5"/>
    <w:basedOn w:val="Normal"/>
    <w:next w:val="Normal"/>
    <w:autoRedefine/>
    <w:uiPriority w:val="98"/>
    <w:semiHidden/>
    <w:rsid w:val="006050A2"/>
    <w:pPr>
      <w:ind w:left="1200" w:hanging="240"/>
    </w:pPr>
  </w:style>
  <w:style w:type="paragraph" w:styleId="Index6">
    <w:name w:val="index 6"/>
    <w:basedOn w:val="Normal"/>
    <w:next w:val="Normal"/>
    <w:autoRedefine/>
    <w:uiPriority w:val="98"/>
    <w:semiHidden/>
    <w:rsid w:val="006050A2"/>
    <w:pPr>
      <w:ind w:left="1440" w:hanging="240"/>
    </w:pPr>
  </w:style>
  <w:style w:type="paragraph" w:styleId="Index7">
    <w:name w:val="index 7"/>
    <w:basedOn w:val="Normal"/>
    <w:next w:val="Normal"/>
    <w:autoRedefine/>
    <w:uiPriority w:val="98"/>
    <w:semiHidden/>
    <w:rsid w:val="006050A2"/>
    <w:pPr>
      <w:ind w:left="1680" w:hanging="240"/>
    </w:pPr>
  </w:style>
  <w:style w:type="paragraph" w:styleId="Index8">
    <w:name w:val="index 8"/>
    <w:basedOn w:val="Normal"/>
    <w:next w:val="Normal"/>
    <w:autoRedefine/>
    <w:uiPriority w:val="98"/>
    <w:semiHidden/>
    <w:rsid w:val="006050A2"/>
    <w:pPr>
      <w:ind w:left="1920" w:hanging="240"/>
    </w:pPr>
  </w:style>
  <w:style w:type="paragraph" w:styleId="Index9">
    <w:name w:val="index 9"/>
    <w:basedOn w:val="Normal"/>
    <w:next w:val="Normal"/>
    <w:autoRedefine/>
    <w:uiPriority w:val="98"/>
    <w:semiHidden/>
    <w:rsid w:val="006050A2"/>
    <w:pPr>
      <w:ind w:left="2160" w:hanging="240"/>
    </w:pPr>
  </w:style>
  <w:style w:type="paragraph" w:styleId="IndexHeading">
    <w:name w:val="index heading"/>
    <w:basedOn w:val="Normal"/>
    <w:next w:val="Index1"/>
    <w:uiPriority w:val="98"/>
    <w:semiHidden/>
    <w:rsid w:val="006050A2"/>
    <w:rPr>
      <w:rFonts w:asciiTheme="majorHAnsi" w:eastAsiaTheme="majorEastAsia" w:hAnsiTheme="majorHAnsi" w:cstheme="majorBidi"/>
      <w:b/>
      <w:bCs/>
    </w:rPr>
  </w:style>
  <w:style w:type="table" w:styleId="LightGrid">
    <w:name w:val="Light Grid"/>
    <w:basedOn w:val="TableNormal"/>
    <w:uiPriority w:val="62"/>
    <w:semiHidden/>
    <w:rsid w:val="006050A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6050A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6050A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6050A2"/>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6050A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6050A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6050A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6050A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6050A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6050A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6050A2"/>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6050A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6050A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6050A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6050A2"/>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6050A2"/>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6050A2"/>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6050A2"/>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6050A2"/>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6050A2"/>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6050A2"/>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6050A2"/>
  </w:style>
  <w:style w:type="paragraph" w:styleId="List">
    <w:name w:val="List"/>
    <w:basedOn w:val="Normal"/>
    <w:uiPriority w:val="98"/>
    <w:semiHidden/>
    <w:rsid w:val="006050A2"/>
    <w:pPr>
      <w:ind w:left="283" w:hanging="283"/>
      <w:contextualSpacing/>
    </w:pPr>
  </w:style>
  <w:style w:type="paragraph" w:styleId="List2">
    <w:name w:val="List 2"/>
    <w:basedOn w:val="Normal"/>
    <w:uiPriority w:val="98"/>
    <w:semiHidden/>
    <w:rsid w:val="006050A2"/>
    <w:pPr>
      <w:ind w:left="566" w:hanging="283"/>
      <w:contextualSpacing/>
    </w:pPr>
  </w:style>
  <w:style w:type="paragraph" w:styleId="List3">
    <w:name w:val="List 3"/>
    <w:basedOn w:val="Normal"/>
    <w:uiPriority w:val="98"/>
    <w:semiHidden/>
    <w:rsid w:val="006050A2"/>
    <w:pPr>
      <w:ind w:left="849" w:hanging="283"/>
      <w:contextualSpacing/>
    </w:pPr>
  </w:style>
  <w:style w:type="paragraph" w:styleId="List4">
    <w:name w:val="List 4"/>
    <w:basedOn w:val="Normal"/>
    <w:uiPriority w:val="98"/>
    <w:semiHidden/>
    <w:rsid w:val="006050A2"/>
    <w:pPr>
      <w:ind w:left="1132" w:hanging="283"/>
      <w:contextualSpacing/>
    </w:pPr>
  </w:style>
  <w:style w:type="paragraph" w:styleId="List5">
    <w:name w:val="List 5"/>
    <w:basedOn w:val="Normal"/>
    <w:uiPriority w:val="98"/>
    <w:semiHidden/>
    <w:rsid w:val="006050A2"/>
    <w:pPr>
      <w:ind w:left="1415" w:hanging="283"/>
      <w:contextualSpacing/>
    </w:pPr>
  </w:style>
  <w:style w:type="paragraph" w:styleId="ListBullet2">
    <w:name w:val="List Bullet 2"/>
    <w:basedOn w:val="Normal"/>
    <w:uiPriority w:val="98"/>
    <w:semiHidden/>
    <w:rsid w:val="006050A2"/>
    <w:pPr>
      <w:numPr>
        <w:numId w:val="16"/>
      </w:numPr>
      <w:contextualSpacing/>
    </w:pPr>
  </w:style>
  <w:style w:type="paragraph" w:styleId="ListBullet4">
    <w:name w:val="List Bullet 4"/>
    <w:basedOn w:val="Normal"/>
    <w:uiPriority w:val="98"/>
    <w:semiHidden/>
    <w:rsid w:val="006050A2"/>
    <w:pPr>
      <w:numPr>
        <w:numId w:val="18"/>
      </w:numPr>
      <w:contextualSpacing/>
    </w:pPr>
  </w:style>
  <w:style w:type="paragraph" w:styleId="ListBullet5">
    <w:name w:val="List Bullet 5"/>
    <w:basedOn w:val="Normal"/>
    <w:uiPriority w:val="98"/>
    <w:semiHidden/>
    <w:rsid w:val="006050A2"/>
    <w:pPr>
      <w:numPr>
        <w:numId w:val="19"/>
      </w:numPr>
      <w:contextualSpacing/>
    </w:pPr>
  </w:style>
  <w:style w:type="paragraph" w:styleId="ListContinue">
    <w:name w:val="List Continue"/>
    <w:basedOn w:val="Normal"/>
    <w:uiPriority w:val="98"/>
    <w:semiHidden/>
    <w:rsid w:val="006050A2"/>
    <w:pPr>
      <w:spacing w:after="120"/>
      <w:ind w:left="283"/>
      <w:contextualSpacing/>
    </w:pPr>
  </w:style>
  <w:style w:type="paragraph" w:styleId="ListContinue2">
    <w:name w:val="List Continue 2"/>
    <w:basedOn w:val="Normal"/>
    <w:uiPriority w:val="98"/>
    <w:semiHidden/>
    <w:rsid w:val="006050A2"/>
    <w:pPr>
      <w:spacing w:after="120"/>
      <w:ind w:left="566"/>
      <w:contextualSpacing/>
    </w:pPr>
  </w:style>
  <w:style w:type="paragraph" w:styleId="ListContinue3">
    <w:name w:val="List Continue 3"/>
    <w:basedOn w:val="Normal"/>
    <w:uiPriority w:val="98"/>
    <w:semiHidden/>
    <w:rsid w:val="006050A2"/>
    <w:pPr>
      <w:spacing w:after="120"/>
      <w:ind w:left="849"/>
      <w:contextualSpacing/>
    </w:pPr>
  </w:style>
  <w:style w:type="paragraph" w:styleId="ListContinue4">
    <w:name w:val="List Continue 4"/>
    <w:basedOn w:val="Normal"/>
    <w:uiPriority w:val="98"/>
    <w:semiHidden/>
    <w:rsid w:val="006050A2"/>
    <w:pPr>
      <w:spacing w:after="120"/>
      <w:ind w:left="1132"/>
      <w:contextualSpacing/>
    </w:pPr>
  </w:style>
  <w:style w:type="paragraph" w:styleId="ListContinue5">
    <w:name w:val="List Continue 5"/>
    <w:basedOn w:val="Normal"/>
    <w:uiPriority w:val="98"/>
    <w:semiHidden/>
    <w:rsid w:val="006050A2"/>
    <w:pPr>
      <w:spacing w:after="120"/>
      <w:ind w:left="1415"/>
      <w:contextualSpacing/>
    </w:pPr>
  </w:style>
  <w:style w:type="paragraph" w:styleId="ListNumber">
    <w:name w:val="List Number"/>
    <w:basedOn w:val="Normal"/>
    <w:uiPriority w:val="98"/>
    <w:semiHidden/>
    <w:rsid w:val="006050A2"/>
    <w:pPr>
      <w:numPr>
        <w:numId w:val="20"/>
      </w:numPr>
      <w:contextualSpacing/>
    </w:pPr>
  </w:style>
  <w:style w:type="paragraph" w:styleId="ListNumber2">
    <w:name w:val="List Number 2"/>
    <w:basedOn w:val="Normal"/>
    <w:uiPriority w:val="98"/>
    <w:semiHidden/>
    <w:rsid w:val="006050A2"/>
    <w:pPr>
      <w:numPr>
        <w:numId w:val="21"/>
      </w:numPr>
      <w:contextualSpacing/>
    </w:pPr>
  </w:style>
  <w:style w:type="paragraph" w:styleId="ListNumber3">
    <w:name w:val="List Number 3"/>
    <w:basedOn w:val="Normal"/>
    <w:uiPriority w:val="98"/>
    <w:semiHidden/>
    <w:rsid w:val="006050A2"/>
    <w:pPr>
      <w:numPr>
        <w:numId w:val="22"/>
      </w:numPr>
      <w:contextualSpacing/>
    </w:pPr>
  </w:style>
  <w:style w:type="paragraph" w:styleId="ListNumber4">
    <w:name w:val="List Number 4"/>
    <w:basedOn w:val="Normal"/>
    <w:uiPriority w:val="98"/>
    <w:semiHidden/>
    <w:rsid w:val="006050A2"/>
    <w:pPr>
      <w:numPr>
        <w:numId w:val="23"/>
      </w:numPr>
      <w:contextualSpacing/>
    </w:pPr>
  </w:style>
  <w:style w:type="paragraph" w:styleId="ListNumber5">
    <w:name w:val="List Number 5"/>
    <w:basedOn w:val="Normal"/>
    <w:uiPriority w:val="98"/>
    <w:semiHidden/>
    <w:rsid w:val="006050A2"/>
    <w:pPr>
      <w:numPr>
        <w:numId w:val="24"/>
      </w:numPr>
      <w:contextualSpacing/>
    </w:pPr>
  </w:style>
  <w:style w:type="paragraph" w:styleId="MacroText">
    <w:name w:val="macro"/>
    <w:link w:val="MacroTextChar"/>
    <w:uiPriority w:val="98"/>
    <w:semiHidden/>
    <w:rsid w:val="006050A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6050A2"/>
    <w:rPr>
      <w:rFonts w:ascii="Consolas" w:eastAsiaTheme="minorEastAsia" w:hAnsi="Consolas" w:cs="Consolas"/>
      <w:sz w:val="20"/>
      <w:szCs w:val="20"/>
    </w:rPr>
  </w:style>
  <w:style w:type="table" w:styleId="MediumGrid1">
    <w:name w:val="Medium Grid 1"/>
    <w:basedOn w:val="TableNormal"/>
    <w:uiPriority w:val="67"/>
    <w:semiHidden/>
    <w:rsid w:val="006050A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6050A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6050A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6050A2"/>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6050A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6050A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6050A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6050A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6050A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6050A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6050A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6050A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6050A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6050A2"/>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6050A2"/>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6050A2"/>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6050A2"/>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6050A2"/>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6050A2"/>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6050A2"/>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6050A2"/>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6050A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6050A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6050A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6050A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6050A2"/>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6050A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6050A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6050A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6050A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6050A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6050A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6050A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6050A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6050A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6050A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6050A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6050A2"/>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6050A2"/>
    <w:rPr>
      <w:rFonts w:ascii="Times New Roman" w:hAnsi="Times New Roman" w:cs="Times New Roman"/>
    </w:rPr>
  </w:style>
  <w:style w:type="paragraph" w:styleId="NormalIndent">
    <w:name w:val="Normal Indent"/>
    <w:basedOn w:val="Normal"/>
    <w:uiPriority w:val="98"/>
    <w:semiHidden/>
    <w:rsid w:val="006050A2"/>
    <w:pPr>
      <w:ind w:left="720"/>
    </w:pPr>
  </w:style>
  <w:style w:type="paragraph" w:styleId="NoteHeading">
    <w:name w:val="Note Heading"/>
    <w:basedOn w:val="Normal"/>
    <w:next w:val="Normal"/>
    <w:link w:val="NoteHeadingChar"/>
    <w:uiPriority w:val="98"/>
    <w:semiHidden/>
    <w:rsid w:val="006050A2"/>
  </w:style>
  <w:style w:type="character" w:customStyle="1" w:styleId="NoteHeadingChar">
    <w:name w:val="Note Heading Char"/>
    <w:basedOn w:val="DefaultParagraphFont"/>
    <w:link w:val="NoteHeading"/>
    <w:uiPriority w:val="98"/>
    <w:semiHidden/>
    <w:rsid w:val="006050A2"/>
    <w:rPr>
      <w:sz w:val="24"/>
      <w:szCs w:val="24"/>
      <w:lang w:val="ro-RO"/>
    </w:rPr>
  </w:style>
  <w:style w:type="character" w:styleId="PlaceholderText">
    <w:name w:val="Placeholder Text"/>
    <w:basedOn w:val="DefaultParagraphFont"/>
    <w:uiPriority w:val="98"/>
    <w:semiHidden/>
    <w:rsid w:val="006050A2"/>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6050A2"/>
    <w:rPr>
      <w:rFonts w:ascii="Consolas" w:hAnsi="Consolas" w:cs="Consolas"/>
      <w:sz w:val="21"/>
      <w:szCs w:val="21"/>
    </w:rPr>
  </w:style>
  <w:style w:type="character" w:customStyle="1" w:styleId="PlainTextChar">
    <w:name w:val="Plain Text Char"/>
    <w:basedOn w:val="DefaultParagraphFont"/>
    <w:link w:val="PlainText"/>
    <w:uiPriority w:val="98"/>
    <w:semiHidden/>
    <w:rsid w:val="006050A2"/>
    <w:rPr>
      <w:rFonts w:ascii="Consolas" w:hAnsi="Consolas" w:cs="Consolas"/>
      <w:sz w:val="21"/>
      <w:szCs w:val="21"/>
      <w:lang w:val="ro-RO"/>
    </w:rPr>
  </w:style>
  <w:style w:type="paragraph" w:styleId="Salutation">
    <w:name w:val="Salutation"/>
    <w:basedOn w:val="Normal"/>
    <w:next w:val="Normal"/>
    <w:link w:val="SalutationChar"/>
    <w:uiPriority w:val="98"/>
    <w:semiHidden/>
    <w:rsid w:val="006050A2"/>
  </w:style>
  <w:style w:type="character" w:customStyle="1" w:styleId="SalutationChar">
    <w:name w:val="Salutation Char"/>
    <w:basedOn w:val="DefaultParagraphFont"/>
    <w:link w:val="Salutation"/>
    <w:uiPriority w:val="98"/>
    <w:semiHidden/>
    <w:rsid w:val="006050A2"/>
    <w:rPr>
      <w:sz w:val="24"/>
      <w:szCs w:val="24"/>
      <w:lang w:val="ro-RO"/>
    </w:rPr>
  </w:style>
  <w:style w:type="paragraph" w:styleId="Signature">
    <w:name w:val="Signature"/>
    <w:basedOn w:val="Normal"/>
    <w:link w:val="SignatureChar"/>
    <w:uiPriority w:val="98"/>
    <w:semiHidden/>
    <w:rsid w:val="006050A2"/>
    <w:pPr>
      <w:ind w:left="4252"/>
    </w:pPr>
  </w:style>
  <w:style w:type="character" w:customStyle="1" w:styleId="SignatureChar">
    <w:name w:val="Signature Char"/>
    <w:basedOn w:val="DefaultParagraphFont"/>
    <w:link w:val="Signature"/>
    <w:uiPriority w:val="98"/>
    <w:semiHidden/>
    <w:rsid w:val="006050A2"/>
    <w:rPr>
      <w:sz w:val="24"/>
      <w:szCs w:val="24"/>
      <w:lang w:val="ro-RO"/>
    </w:rPr>
  </w:style>
  <w:style w:type="table" w:styleId="Table3Deffects1">
    <w:name w:val="Table 3D effects 1"/>
    <w:basedOn w:val="TableNormal"/>
    <w:uiPriority w:val="99"/>
    <w:semiHidden/>
    <w:unhideWhenUsed/>
    <w:rsid w:val="006050A2"/>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050A2"/>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050A2"/>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050A2"/>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050A2"/>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050A2"/>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050A2"/>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050A2"/>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050A2"/>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050A2"/>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050A2"/>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050A2"/>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050A2"/>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050A2"/>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050A2"/>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050A2"/>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050A2"/>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050A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050A2"/>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050A2"/>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050A2"/>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050A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050A2"/>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050A2"/>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050A2"/>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050A2"/>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050A2"/>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050A2"/>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050A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050A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050A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050A2"/>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050A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6050A2"/>
    <w:pPr>
      <w:ind w:left="240" w:hanging="240"/>
    </w:pPr>
  </w:style>
  <w:style w:type="paragraph" w:styleId="TableofFigures">
    <w:name w:val="table of figures"/>
    <w:basedOn w:val="Normal"/>
    <w:next w:val="Normal"/>
    <w:uiPriority w:val="98"/>
    <w:semiHidden/>
    <w:rsid w:val="006050A2"/>
  </w:style>
  <w:style w:type="table" w:styleId="TableProfessional">
    <w:name w:val="Table Professional"/>
    <w:basedOn w:val="TableNormal"/>
    <w:uiPriority w:val="99"/>
    <w:semiHidden/>
    <w:unhideWhenUsed/>
    <w:rsid w:val="006050A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050A2"/>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050A2"/>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050A2"/>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050A2"/>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050A2"/>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050A2"/>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050A2"/>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050A2"/>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050A2"/>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6050A2"/>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6050A2"/>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6050A2"/>
    <w:pPr>
      <w:spacing w:after="100"/>
      <w:ind w:left="1680"/>
    </w:pPr>
  </w:style>
  <w:style w:type="paragraph" w:styleId="TOC9">
    <w:name w:val="toc 9"/>
    <w:basedOn w:val="Normal"/>
    <w:next w:val="Normal"/>
    <w:autoRedefine/>
    <w:uiPriority w:val="98"/>
    <w:semiHidden/>
    <w:rsid w:val="006050A2"/>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6050A2"/>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6050A2"/>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6050A2"/>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6050A2"/>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6050A2"/>
    <w:pPr>
      <w:numPr>
        <w:numId w:val="11"/>
      </w:numPr>
      <w:spacing w:before="60" w:after="60"/>
    </w:pPr>
  </w:style>
  <w:style w:type="paragraph" w:customStyle="1" w:styleId="ECHRBullet2">
    <w:name w:val="ECHR_Bullet_2"/>
    <w:aliases w:val="_Bul_2"/>
    <w:basedOn w:val="ECHRBullet1"/>
    <w:uiPriority w:val="23"/>
    <w:semiHidden/>
    <w:rsid w:val="006050A2"/>
    <w:pPr>
      <w:numPr>
        <w:ilvl w:val="1"/>
      </w:numPr>
    </w:pPr>
  </w:style>
  <w:style w:type="paragraph" w:customStyle="1" w:styleId="ECHRBullet3">
    <w:name w:val="ECHR_Bullet_3"/>
    <w:aliases w:val="_Bul_3"/>
    <w:basedOn w:val="ECHRBullet2"/>
    <w:uiPriority w:val="23"/>
    <w:semiHidden/>
    <w:rsid w:val="006050A2"/>
    <w:pPr>
      <w:numPr>
        <w:ilvl w:val="2"/>
      </w:numPr>
    </w:pPr>
  </w:style>
  <w:style w:type="paragraph" w:customStyle="1" w:styleId="ECHRBullet4">
    <w:name w:val="ECHR_Bullet_4"/>
    <w:aliases w:val="_Bul_4"/>
    <w:basedOn w:val="ECHRBullet3"/>
    <w:uiPriority w:val="23"/>
    <w:semiHidden/>
    <w:rsid w:val="006050A2"/>
    <w:pPr>
      <w:numPr>
        <w:ilvl w:val="3"/>
      </w:numPr>
    </w:pPr>
  </w:style>
  <w:style w:type="paragraph" w:customStyle="1" w:styleId="ECHRConfidential">
    <w:name w:val="ECHR_Confidential"/>
    <w:aliases w:val="_Confidential"/>
    <w:basedOn w:val="Normal"/>
    <w:next w:val="Normal"/>
    <w:uiPriority w:val="42"/>
    <w:semiHidden/>
    <w:qFormat/>
    <w:rsid w:val="006050A2"/>
    <w:pPr>
      <w:jc w:val="right"/>
    </w:pPr>
    <w:rPr>
      <w:color w:val="C00000"/>
      <w:sz w:val="20"/>
    </w:rPr>
  </w:style>
  <w:style w:type="paragraph" w:customStyle="1" w:styleId="ECHRDecisionBody">
    <w:name w:val="ECHR_Decision_Body"/>
    <w:aliases w:val="_Decision_Body"/>
    <w:basedOn w:val="NormalJustified"/>
    <w:uiPriority w:val="54"/>
    <w:semiHidden/>
    <w:rsid w:val="006050A2"/>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6050A2"/>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6050A2"/>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6050A2"/>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qFormat/>
    <w:rsid w:val="006050A2"/>
    <w:pPr>
      <w:jc w:val="right"/>
    </w:pPr>
    <w:rPr>
      <w:sz w:val="20"/>
    </w:rPr>
  </w:style>
  <w:style w:type="paragraph" w:customStyle="1" w:styleId="ECHRHeaderRefIt">
    <w:name w:val="ECHR_Header_Ref_It"/>
    <w:aliases w:val="_Ref_Ital"/>
    <w:basedOn w:val="Normal"/>
    <w:next w:val="ECHRHeaderDate"/>
    <w:uiPriority w:val="43"/>
    <w:qFormat/>
    <w:rsid w:val="006050A2"/>
    <w:pPr>
      <w:jc w:val="right"/>
    </w:pPr>
    <w:rPr>
      <w:i/>
      <w:sz w:val="20"/>
    </w:rPr>
  </w:style>
  <w:style w:type="paragraph" w:customStyle="1" w:styleId="ECHRHeading9">
    <w:name w:val="ECHR_Heading_9"/>
    <w:aliases w:val="_Head_9"/>
    <w:basedOn w:val="Heading9"/>
    <w:uiPriority w:val="17"/>
    <w:semiHidden/>
    <w:rsid w:val="006050A2"/>
    <w:pPr>
      <w:keepNext/>
      <w:keepLines/>
      <w:numPr>
        <w:ilvl w:val="8"/>
        <w:numId w:val="13"/>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6050A2"/>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6050A2"/>
    <w:pPr>
      <w:numPr>
        <w:numId w:val="12"/>
      </w:numPr>
      <w:spacing w:before="60" w:after="60"/>
    </w:pPr>
  </w:style>
  <w:style w:type="paragraph" w:customStyle="1" w:styleId="ECHRNumberedList2">
    <w:name w:val="ECHR_Numbered_List_2"/>
    <w:aliases w:val="_Num_2"/>
    <w:basedOn w:val="ECHRNumberedList1"/>
    <w:uiPriority w:val="23"/>
    <w:semiHidden/>
    <w:rsid w:val="006050A2"/>
    <w:pPr>
      <w:numPr>
        <w:ilvl w:val="1"/>
      </w:numPr>
    </w:pPr>
  </w:style>
  <w:style w:type="paragraph" w:customStyle="1" w:styleId="ECHRNumberedList3">
    <w:name w:val="ECHR_Numbered_List_3"/>
    <w:aliases w:val="_Num_3"/>
    <w:basedOn w:val="ECHRNumberedList2"/>
    <w:uiPriority w:val="23"/>
    <w:semiHidden/>
    <w:rsid w:val="006050A2"/>
    <w:pPr>
      <w:numPr>
        <w:ilvl w:val="2"/>
      </w:numPr>
    </w:pPr>
  </w:style>
  <w:style w:type="paragraph" w:customStyle="1" w:styleId="ECHRParaHanging">
    <w:name w:val="ECHR_Para_Hanging"/>
    <w:aliases w:val="_Hanging"/>
    <w:basedOn w:val="NormalJustified"/>
    <w:uiPriority w:val="8"/>
    <w:semiHidden/>
    <w:qFormat/>
    <w:rsid w:val="006050A2"/>
    <w:pPr>
      <w:ind w:left="567" w:hanging="567"/>
    </w:pPr>
  </w:style>
  <w:style w:type="paragraph" w:customStyle="1" w:styleId="ECHRParaIndent">
    <w:name w:val="ECHR_Para_Indent"/>
    <w:aliases w:val="_Indent"/>
    <w:basedOn w:val="NormalJustified"/>
    <w:uiPriority w:val="7"/>
    <w:semiHidden/>
    <w:qFormat/>
    <w:rsid w:val="006050A2"/>
    <w:pPr>
      <w:spacing w:before="120" w:after="120"/>
      <w:ind w:left="284"/>
    </w:pPr>
  </w:style>
  <w:style w:type="character" w:customStyle="1" w:styleId="ECHRRed">
    <w:name w:val="ECHR_Red"/>
    <w:aliases w:val="_Red"/>
    <w:basedOn w:val="DefaultParagraphFont"/>
    <w:uiPriority w:val="15"/>
    <w:semiHidden/>
    <w:qFormat/>
    <w:rsid w:val="006050A2"/>
    <w:rPr>
      <w:color w:val="C00000" w:themeColor="accent2"/>
    </w:rPr>
  </w:style>
  <w:style w:type="paragraph" w:customStyle="1" w:styleId="DecList">
    <w:name w:val="Dec_List"/>
    <w:aliases w:val="_List"/>
    <w:basedOn w:val="JuList"/>
    <w:uiPriority w:val="22"/>
    <w:rsid w:val="006050A2"/>
    <w:pPr>
      <w:numPr>
        <w:numId w:val="0"/>
      </w:numPr>
      <w:ind w:left="284"/>
    </w:pPr>
  </w:style>
  <w:style w:type="table" w:customStyle="1" w:styleId="ECHRTable2">
    <w:name w:val="ECHR_Table_2"/>
    <w:basedOn w:val="TableNormal"/>
    <w:uiPriority w:val="99"/>
    <w:rsid w:val="006050A2"/>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6050A2"/>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6050A2"/>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6050A2"/>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6050A2"/>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6050A2"/>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6050A2"/>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6050A2"/>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6050A2"/>
    <w:pPr>
      <w:outlineLvl w:val="0"/>
    </w:pPr>
  </w:style>
  <w:style w:type="paragraph" w:customStyle="1" w:styleId="ECHRTitleTOC1">
    <w:name w:val="ECHR_Title_TOC_1"/>
    <w:aliases w:val="_Title_L_TOC"/>
    <w:basedOn w:val="ECHRTitle1"/>
    <w:next w:val="Normal"/>
    <w:uiPriority w:val="27"/>
    <w:semiHidden/>
    <w:qFormat/>
    <w:rsid w:val="006050A2"/>
    <w:pPr>
      <w:outlineLvl w:val="0"/>
    </w:pPr>
  </w:style>
  <w:style w:type="paragraph" w:customStyle="1" w:styleId="ECHRPlaceholder">
    <w:name w:val="ECHR_Placeholder"/>
    <w:aliases w:val="_Placeholder"/>
    <w:basedOn w:val="JuSigned"/>
    <w:uiPriority w:val="31"/>
    <w:rsid w:val="006050A2"/>
    <w:rPr>
      <w:color w:val="FFFFFF"/>
    </w:rPr>
  </w:style>
  <w:style w:type="paragraph" w:customStyle="1" w:styleId="ECHRSpacer">
    <w:name w:val="ECHR_Spacer"/>
    <w:aliases w:val="_Spacer"/>
    <w:basedOn w:val="Normal"/>
    <w:uiPriority w:val="45"/>
    <w:semiHidden/>
    <w:rsid w:val="006050A2"/>
    <w:rPr>
      <w:sz w:val="4"/>
    </w:rPr>
  </w:style>
  <w:style w:type="table" w:customStyle="1" w:styleId="ECHRTableGrey">
    <w:name w:val="ECHR_Table_Grey"/>
    <w:basedOn w:val="TableNormal"/>
    <w:uiPriority w:val="99"/>
    <w:rsid w:val="006050A2"/>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6050A2"/>
    <w:rPr>
      <w:color w:val="605E5C"/>
      <w:shd w:val="clear" w:color="auto" w:fill="E1DFDD"/>
    </w:rPr>
  </w:style>
  <w:style w:type="character" w:customStyle="1" w:styleId="JuParaChar">
    <w:name w:val="Ju_Para Char"/>
    <w:aliases w:val="_Para Char"/>
    <w:link w:val="JuPara"/>
    <w:uiPriority w:val="4"/>
    <w:rsid w:val="0055665C"/>
    <w:rPr>
      <w:sz w:val="24"/>
      <w:szCs w:val="24"/>
      <w:lang w:val="ro-RO"/>
    </w:rPr>
  </w:style>
  <w:style w:type="table" w:styleId="GridTable1Light">
    <w:name w:val="Grid Table 1 Light"/>
    <w:basedOn w:val="TableNormal"/>
    <w:uiPriority w:val="46"/>
    <w:semiHidden/>
    <w:rsid w:val="0055665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55665C"/>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55665C"/>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5665C"/>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5665C"/>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5665C"/>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5665C"/>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5665C"/>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5665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5665C"/>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55665C"/>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55665C"/>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55665C"/>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55665C"/>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55665C"/>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55665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5665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55665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55665C"/>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55665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55665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55665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55665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5665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55665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55665C"/>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55665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55665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55665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55665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5665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55665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55665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55665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55665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55665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55665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55665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55665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55665C"/>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55665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55665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55665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55665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55665C"/>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55665C"/>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55665C"/>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55665C"/>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55665C"/>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55665C"/>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55665C"/>
    <w:rPr>
      <w:color w:val="2B579A"/>
      <w:shd w:val="clear" w:color="auto" w:fill="E1DFDD"/>
    </w:rPr>
  </w:style>
  <w:style w:type="table" w:styleId="ListTable1Light">
    <w:name w:val="List Table 1 Light"/>
    <w:basedOn w:val="TableNormal"/>
    <w:uiPriority w:val="46"/>
    <w:semiHidden/>
    <w:rsid w:val="0055665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5665C"/>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55665C"/>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55665C"/>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55665C"/>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55665C"/>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55665C"/>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55665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5665C"/>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55665C"/>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55665C"/>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55665C"/>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55665C"/>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55665C"/>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55665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5665C"/>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55665C"/>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55665C"/>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55665C"/>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55665C"/>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55665C"/>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55665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5665C"/>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55665C"/>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55665C"/>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55665C"/>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55665C"/>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55665C"/>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55665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5665C"/>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5665C"/>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5665C"/>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5665C"/>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5665C"/>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5665C"/>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5665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5665C"/>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55665C"/>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55665C"/>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55665C"/>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55665C"/>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55665C"/>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55665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5665C"/>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5665C"/>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5665C"/>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5665C"/>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5665C"/>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5665C"/>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55665C"/>
    <w:rPr>
      <w:color w:val="2B579A"/>
      <w:shd w:val="clear" w:color="auto" w:fill="E1DFDD"/>
    </w:rPr>
  </w:style>
  <w:style w:type="table" w:styleId="PlainTable1">
    <w:name w:val="Plain Table 1"/>
    <w:basedOn w:val="TableNormal"/>
    <w:uiPriority w:val="41"/>
    <w:semiHidden/>
    <w:rsid w:val="0055665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5566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55665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5665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5665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55665C"/>
    <w:rPr>
      <w:u w:val="dotted"/>
    </w:rPr>
  </w:style>
  <w:style w:type="character" w:customStyle="1" w:styleId="SmartLink">
    <w:name w:val="Smart Link"/>
    <w:basedOn w:val="DefaultParagraphFont"/>
    <w:uiPriority w:val="99"/>
    <w:semiHidden/>
    <w:unhideWhenUsed/>
    <w:rsid w:val="0055665C"/>
    <w:rPr>
      <w:color w:val="0000FF"/>
      <w:u w:val="single"/>
      <w:shd w:val="clear" w:color="auto" w:fill="F3F2F1"/>
    </w:rPr>
  </w:style>
  <w:style w:type="table" w:styleId="TableGridLight">
    <w:name w:val="Grid Table Light"/>
    <w:basedOn w:val="TableNormal"/>
    <w:uiPriority w:val="40"/>
    <w:semiHidden/>
    <w:rsid w:val="005566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55665C"/>
    <w:rPr>
      <w:sz w:val="24"/>
      <w:szCs w:val="24"/>
    </w:rPr>
  </w:style>
  <w:style w:type="character" w:customStyle="1" w:styleId="ECHRParaSpacedChar">
    <w:name w:val="ECHR_Para_Spaced Char"/>
    <w:aliases w:val="Para_Spaced Char"/>
    <w:basedOn w:val="DefaultParagraphFont"/>
    <w:link w:val="JuParaLast"/>
    <w:uiPriority w:val="5"/>
    <w:locked/>
    <w:rsid w:val="00FE6746"/>
    <w:rPr>
      <w:sz w:val="24"/>
      <w:szCs w:val="24"/>
      <w:lang w:val="ro-RO"/>
    </w:rPr>
  </w:style>
  <w:style w:type="character" w:customStyle="1" w:styleId="sbb9ee52a">
    <w:name w:val="sbb9ee52a"/>
    <w:basedOn w:val="DefaultParagraphFont"/>
    <w:rsid w:val="00FE6746"/>
  </w:style>
  <w:style w:type="character" w:customStyle="1" w:styleId="sa36b60a1">
    <w:name w:val="sa36b60a1"/>
    <w:basedOn w:val="DefaultParagraphFont"/>
    <w:rsid w:val="00FE6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745CF-F0BD-406F-B192-AEA54744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17366</Words>
  <Characters>98987</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CASE OF MATTHEWS AND JOHNSON v. ROMANIA</vt:lpstr>
    </vt:vector>
  </TitlesOfParts>
  <Company/>
  <LinksUpToDate>false</LinksUpToDate>
  <CharactersWithSpaces>116121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Matthews și Johnson împotriva României</dc:title>
  <dc:subject>JUD</dc:subject>
  <dc:creator/>
  <cp:lastModifiedBy/>
  <cp:revision>1</cp:revision>
  <dcterms:created xsi:type="dcterms:W3CDTF">2024-04-10T07:38:00Z</dcterms:created>
  <dcterms:modified xsi:type="dcterms:W3CDTF">2024-06-20T12:35:00Z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1618631</vt:lpwstr>
  </property>
  <property fmtid="{D5CDD505-2E9C-101B-9397-08002B2CF9AE}" pid="3" name="cstLanguage">
    <vt:i4>2057</vt:i4>
  </property>
  <property fmtid="{D5CDD505-2E9C-101B-9397-08002B2CF9AE}" pid="4" name="RegisteredNo">
    <vt:lpwstr>19124/21</vt:lpwstr>
  </property>
</Properties>
</file>