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CB10D" w14:textId="77777777" w:rsidR="007A4070" w:rsidRPr="00954406" w:rsidRDefault="007A4070" w:rsidP="00954406"/>
    <w:p w14:paraId="3F00E155" w14:textId="4D36BCEE" w:rsidR="00E55CE1" w:rsidRPr="00954406" w:rsidRDefault="00D1567A" w:rsidP="00954406">
      <w:pPr>
        <w:pStyle w:val="DecHCase"/>
      </w:pPr>
      <w:r>
        <w:t>CURTEA EUROPEANĂ A DREPTURILOR OMULUI</w:t>
      </w:r>
    </w:p>
    <w:p w14:paraId="47C1166A" w14:textId="36D25B2F" w:rsidR="007A4070" w:rsidRPr="00954406" w:rsidRDefault="00EF5ECF" w:rsidP="00954406">
      <w:pPr>
        <w:pStyle w:val="DecHCase"/>
      </w:pPr>
      <w:r>
        <w:t>SECȚIA A CINCEA</w:t>
      </w:r>
    </w:p>
    <w:p w14:paraId="5585C06A" w14:textId="03B1D428" w:rsidR="007A4070" w:rsidRPr="00954406" w:rsidRDefault="007A4070" w:rsidP="00BC0FD8">
      <w:pPr>
        <w:pStyle w:val="JuTitle"/>
        <w:spacing w:before="1200"/>
      </w:pPr>
      <w:r>
        <w:t>HOTĂRÂREA BOUTON ÎMPOTRIVA FRANŢEI</w:t>
      </w:r>
    </w:p>
    <w:p w14:paraId="601612E5" w14:textId="2A02277A" w:rsidR="007A4070" w:rsidRPr="00954406" w:rsidRDefault="007A4070" w:rsidP="00954406">
      <w:pPr>
        <w:pStyle w:val="ECHRCoverTitle4"/>
      </w:pPr>
      <w:r>
        <w:t>(Cererea nr. 22636/19)</w:t>
      </w:r>
    </w:p>
    <w:p w14:paraId="28FF6540" w14:textId="77777777" w:rsidR="007A4070" w:rsidRPr="00954406" w:rsidRDefault="007A4070" w:rsidP="00954406">
      <w:pPr>
        <w:pStyle w:val="DecHCase"/>
      </w:pPr>
    </w:p>
    <w:p w14:paraId="452DDCA4" w14:textId="5BAF852E" w:rsidR="007A4070" w:rsidRPr="00954406" w:rsidRDefault="007A4070" w:rsidP="00954406">
      <w:pPr>
        <w:pStyle w:val="DecHCase"/>
      </w:pPr>
      <w:r>
        <w:t>HOTĂRÂRE</w:t>
      </w:r>
      <w:r>
        <w:br/>
      </w:r>
    </w:p>
    <w:p w14:paraId="77952952" w14:textId="05415C38" w:rsidR="00305385" w:rsidRPr="00954406" w:rsidRDefault="00305385" w:rsidP="00954406">
      <w:pPr>
        <w:pStyle w:val="JuPara"/>
        <w:pBdr>
          <w:top w:val="single" w:sz="4" w:space="1" w:color="auto"/>
          <w:left w:val="single" w:sz="4" w:space="4" w:color="auto"/>
          <w:bottom w:val="single" w:sz="4" w:space="1" w:color="auto"/>
          <w:right w:val="single" w:sz="4" w:space="4" w:color="auto"/>
        </w:pBdr>
        <w:ind w:firstLine="0"/>
      </w:pPr>
      <w:r>
        <w:t>Art. 10 • Libertate de exprimare • Pedeapsă cu închisoarea cu suspendarea executării pentru exhibiționism în legătură cu un performance topless al unei militante Femen organizat într-o biserică pentru a denunța poziția Bisericii Catolice față de avort • Marjă de apreciere redusă • Punere în balanță neadecvată a intereselor aflate în joc și neconformă cu criteriile stabilite de Curtea Europeană • Pedeapsă disproporționată</w:t>
      </w:r>
    </w:p>
    <w:p w14:paraId="502A261E" w14:textId="77777777" w:rsidR="00305385" w:rsidRPr="00954406" w:rsidRDefault="00305385" w:rsidP="00954406">
      <w:pPr>
        <w:pStyle w:val="JuPara"/>
        <w:spacing w:after="120"/>
      </w:pPr>
    </w:p>
    <w:p w14:paraId="0B765DD7" w14:textId="77777777" w:rsidR="007A4070" w:rsidRPr="00954406" w:rsidRDefault="007A4070" w:rsidP="00954406">
      <w:pPr>
        <w:pStyle w:val="DecHCase"/>
      </w:pPr>
      <w:r>
        <w:t>STRASBOURG</w:t>
      </w:r>
    </w:p>
    <w:p w14:paraId="56FAC7E9" w14:textId="29ACCCBB" w:rsidR="007A4070" w:rsidRPr="00954406" w:rsidRDefault="00EF5ECF" w:rsidP="00954406">
      <w:pPr>
        <w:pStyle w:val="DecHCase"/>
      </w:pPr>
      <w:r>
        <w:t>13 octombrie 2022</w:t>
      </w:r>
    </w:p>
    <w:p w14:paraId="6DD4286F" w14:textId="1EBC19F1" w:rsidR="007A4070" w:rsidRPr="00954406" w:rsidRDefault="007A4070" w:rsidP="00954406">
      <w:pPr>
        <w:pStyle w:val="DecHCase"/>
      </w:pPr>
    </w:p>
    <w:p w14:paraId="1FB24834" w14:textId="77777777" w:rsidR="00BC0FD8" w:rsidRDefault="00BC0FD8" w:rsidP="00BC0FD8">
      <w:pPr>
        <w:pStyle w:val="jucase0"/>
        <w:ind w:firstLine="0"/>
        <w:jc w:val="center"/>
        <w:rPr>
          <w:color w:val="FF0000"/>
          <w:sz w:val="28"/>
          <w:szCs w:val="28"/>
          <w:u w:val="single"/>
        </w:rPr>
      </w:pPr>
      <w:bookmarkStart w:id="0" w:name="_Hlk59705989"/>
      <w:bookmarkStart w:id="1" w:name="_Hlk65662728"/>
      <w:r>
        <w:rPr>
          <w:color w:val="FF0000"/>
          <w:sz w:val="28"/>
          <w:u w:val="single"/>
        </w:rPr>
        <w:t>DEFINITIVĂ</w:t>
      </w:r>
    </w:p>
    <w:p w14:paraId="1588B834" w14:textId="77777777" w:rsidR="00BC0FD8" w:rsidRPr="006D760C" w:rsidRDefault="00BC0FD8" w:rsidP="00BC0FD8">
      <w:pPr>
        <w:pStyle w:val="jucase0"/>
        <w:ind w:firstLine="0"/>
        <w:jc w:val="center"/>
        <w:rPr>
          <w:b w:val="0"/>
          <w:bCs w:val="0"/>
          <w:color w:val="FF0000"/>
          <w:u w:val="single"/>
          <w:lang w:val="fr-FR"/>
        </w:rPr>
      </w:pPr>
    </w:p>
    <w:p w14:paraId="390F570B" w14:textId="77777777" w:rsidR="00BC0FD8" w:rsidRPr="00DA5062" w:rsidRDefault="00BC0FD8" w:rsidP="00BC0FD8">
      <w:pPr>
        <w:pStyle w:val="jucase0"/>
        <w:ind w:firstLine="0"/>
        <w:jc w:val="center"/>
        <w:rPr>
          <w:b w:val="0"/>
          <w:color w:val="FF0000"/>
          <w:sz w:val="28"/>
          <w:szCs w:val="28"/>
        </w:rPr>
      </w:pPr>
      <w:r>
        <w:rPr>
          <w:b w:val="0"/>
          <w:color w:val="FF0000"/>
          <w:sz w:val="28"/>
        </w:rPr>
        <w:t>13 ianuarie 2023</w:t>
      </w:r>
    </w:p>
    <w:p w14:paraId="1C8B04A9" w14:textId="77777777" w:rsidR="00BC0FD8" w:rsidRPr="00261F46" w:rsidRDefault="00BC0FD8" w:rsidP="00BC0FD8">
      <w:pPr>
        <w:pStyle w:val="jupara0"/>
        <w:ind w:firstLine="0"/>
        <w:jc w:val="center"/>
        <w:rPr>
          <w:u w:val="single"/>
          <w:lang w:val="fr-FR"/>
        </w:rPr>
      </w:pPr>
    </w:p>
    <w:p w14:paraId="492A0504" w14:textId="058179BA" w:rsidR="00516B59" w:rsidRPr="00954406" w:rsidRDefault="00BC0FD8" w:rsidP="00863A17">
      <w:pPr>
        <w:rPr>
          <w:rFonts w:ascii="Times New Roman" w:hAnsi="Times New Roman" w:cs="Times New Roman"/>
          <w:sz w:val="22"/>
        </w:rPr>
      </w:pPr>
      <w:r>
        <w:rPr>
          <w:i/>
          <w:sz w:val="22"/>
        </w:rPr>
        <w:t xml:space="preserve">Hotărârea a devenit definitivă în temeiul art. 44 § 2 din Convenție. </w:t>
      </w:r>
      <w:r>
        <w:rPr>
          <w:i/>
          <w:sz w:val="22"/>
        </w:rPr>
        <w:br/>
        <w:t>Poate suferi modificări de formă.</w:t>
      </w:r>
      <w:bookmarkEnd w:id="0"/>
      <w:bookmarkEnd w:id="1"/>
    </w:p>
    <w:p w14:paraId="0BDEFEE7" w14:textId="5F6F3AA7" w:rsidR="00305385" w:rsidRPr="00954406" w:rsidRDefault="00305385" w:rsidP="00954406">
      <w:pPr>
        <w:ind w:left="720"/>
        <w:rPr>
          <w:rFonts w:ascii="Times New Roman" w:hAnsi="Times New Roman" w:cs="Times New Roman"/>
          <w:sz w:val="22"/>
        </w:rPr>
        <w:sectPr w:rsidR="00305385" w:rsidRPr="00954406" w:rsidSect="0090260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04E59C7E" w14:textId="1C58AACC" w:rsidR="004344E6" w:rsidRPr="00954406" w:rsidRDefault="004344E6" w:rsidP="00954406">
      <w:pPr>
        <w:pStyle w:val="JuCase"/>
      </w:pPr>
      <w:r>
        <w:lastRenderedPageBreak/>
        <w:t>În cauza Bouton împotriva Franței,</w:t>
      </w:r>
    </w:p>
    <w:p w14:paraId="77B14691" w14:textId="73FC4E5E" w:rsidR="004344E6" w:rsidRPr="00954406" w:rsidRDefault="004344E6" w:rsidP="00954406">
      <w:pPr>
        <w:pStyle w:val="JuPara"/>
      </w:pPr>
      <w:r>
        <w:t>Curtea Europeană a Drepturilor Omului (Secția a cincea), reunită într-o cameră compusă din:</w:t>
      </w:r>
    </w:p>
    <w:p w14:paraId="3B7B611C" w14:textId="0012DF66" w:rsidR="005E4C69" w:rsidRPr="00954406" w:rsidRDefault="005E4C69" w:rsidP="00954406">
      <w:pPr>
        <w:pStyle w:val="JuJudges"/>
        <w:ind w:left="567"/>
        <w:jc w:val="both"/>
        <w:rPr>
          <w:i/>
        </w:rPr>
      </w:pPr>
      <w:proofErr w:type="spellStart"/>
      <w:r>
        <w:t>Síofra</w:t>
      </w:r>
      <w:proofErr w:type="spellEnd"/>
      <w:r>
        <w:t xml:space="preserve"> </w:t>
      </w:r>
      <w:proofErr w:type="spellStart"/>
      <w:r>
        <w:t>O’Leary</w:t>
      </w:r>
      <w:proofErr w:type="spellEnd"/>
      <w:r>
        <w:rPr>
          <w:i/>
        </w:rPr>
        <w:t>, președinte,</w:t>
      </w:r>
    </w:p>
    <w:p w14:paraId="599A6D3B" w14:textId="77777777" w:rsidR="005E4C69" w:rsidRPr="00954406" w:rsidRDefault="005E4C69" w:rsidP="00954406">
      <w:pPr>
        <w:pStyle w:val="JuJudges"/>
        <w:ind w:left="567"/>
        <w:rPr>
          <w:i/>
        </w:rPr>
      </w:pPr>
      <w:proofErr w:type="spellStart"/>
      <w:r>
        <w:t>Stéphanie</w:t>
      </w:r>
      <w:proofErr w:type="spellEnd"/>
      <w:r>
        <w:t xml:space="preserve"> </w:t>
      </w:r>
      <w:proofErr w:type="spellStart"/>
      <w:r>
        <w:t>Mourou-Vikström</w:t>
      </w:r>
      <w:proofErr w:type="spellEnd"/>
      <w:r>
        <w:rPr>
          <w:i/>
        </w:rPr>
        <w:t>,</w:t>
      </w:r>
    </w:p>
    <w:p w14:paraId="3AC6F8E3" w14:textId="77777777" w:rsidR="005E4C69" w:rsidRPr="00954406" w:rsidRDefault="005E4C69" w:rsidP="00954406">
      <w:pPr>
        <w:pStyle w:val="JuJudges"/>
        <w:ind w:left="567"/>
        <w:rPr>
          <w:i/>
        </w:rPr>
      </w:pPr>
      <w:proofErr w:type="spellStart"/>
      <w:r>
        <w:t>Lado</w:t>
      </w:r>
      <w:proofErr w:type="spellEnd"/>
      <w:r>
        <w:t xml:space="preserve"> Chanturia</w:t>
      </w:r>
      <w:r>
        <w:rPr>
          <w:i/>
        </w:rPr>
        <w:t>,</w:t>
      </w:r>
    </w:p>
    <w:p w14:paraId="5CAC9B87" w14:textId="77777777" w:rsidR="005E4C69" w:rsidRPr="00954406" w:rsidRDefault="005E4C69" w:rsidP="00954406">
      <w:pPr>
        <w:pStyle w:val="JuJudges"/>
        <w:ind w:left="567"/>
        <w:rPr>
          <w:i/>
        </w:rPr>
      </w:pPr>
      <w:proofErr w:type="spellStart"/>
      <w:r>
        <w:t>Ivana</w:t>
      </w:r>
      <w:proofErr w:type="spellEnd"/>
      <w:r>
        <w:t xml:space="preserve"> </w:t>
      </w:r>
      <w:proofErr w:type="spellStart"/>
      <w:r>
        <w:t>Jelić</w:t>
      </w:r>
      <w:proofErr w:type="spellEnd"/>
      <w:r>
        <w:rPr>
          <w:i/>
        </w:rPr>
        <w:t>,</w:t>
      </w:r>
    </w:p>
    <w:p w14:paraId="362B3152" w14:textId="77777777" w:rsidR="005E4C69" w:rsidRPr="00954406" w:rsidRDefault="005E4C69" w:rsidP="00954406">
      <w:pPr>
        <w:pStyle w:val="JuJudges"/>
        <w:ind w:left="567"/>
        <w:rPr>
          <w:i/>
        </w:rPr>
      </w:pPr>
      <w:proofErr w:type="spellStart"/>
      <w:r>
        <w:t>Arnfinn</w:t>
      </w:r>
      <w:proofErr w:type="spellEnd"/>
      <w:r>
        <w:t xml:space="preserve"> </w:t>
      </w:r>
      <w:proofErr w:type="spellStart"/>
      <w:r>
        <w:t>Bårdsen</w:t>
      </w:r>
      <w:proofErr w:type="spellEnd"/>
      <w:r>
        <w:rPr>
          <w:i/>
        </w:rPr>
        <w:t>,</w:t>
      </w:r>
    </w:p>
    <w:p w14:paraId="1B73FECD" w14:textId="77777777" w:rsidR="005E4C69" w:rsidRPr="00954406" w:rsidRDefault="005E4C69" w:rsidP="00954406">
      <w:pPr>
        <w:pStyle w:val="JuJudges"/>
        <w:ind w:left="567"/>
        <w:rPr>
          <w:i/>
        </w:rPr>
      </w:pPr>
      <w:proofErr w:type="spellStart"/>
      <w:r>
        <w:t>Mattias</w:t>
      </w:r>
      <w:proofErr w:type="spellEnd"/>
      <w:r>
        <w:t xml:space="preserve"> </w:t>
      </w:r>
      <w:proofErr w:type="spellStart"/>
      <w:r>
        <w:t>Guyomar</w:t>
      </w:r>
      <w:proofErr w:type="spellEnd"/>
      <w:r>
        <w:rPr>
          <w:i/>
        </w:rPr>
        <w:t>,</w:t>
      </w:r>
    </w:p>
    <w:p w14:paraId="36F087C3" w14:textId="77777777" w:rsidR="005E4C69" w:rsidRPr="00954406" w:rsidRDefault="005E4C69" w:rsidP="00954406">
      <w:pPr>
        <w:pStyle w:val="JuJudges"/>
        <w:ind w:left="567"/>
        <w:rPr>
          <w:i/>
        </w:rPr>
      </w:pPr>
      <w:proofErr w:type="spellStart"/>
      <w:r>
        <w:t>Kateřina</w:t>
      </w:r>
      <w:proofErr w:type="spellEnd"/>
      <w:r>
        <w:t xml:space="preserve"> </w:t>
      </w:r>
      <w:proofErr w:type="spellStart"/>
      <w:r>
        <w:t>Šimáčková</w:t>
      </w:r>
      <w:proofErr w:type="spellEnd"/>
      <w:r>
        <w:t xml:space="preserve">, </w:t>
      </w:r>
      <w:r>
        <w:rPr>
          <w:i/>
          <w:iCs/>
        </w:rPr>
        <w:t>judecători</w:t>
      </w:r>
      <w:r>
        <w:t>,</w:t>
      </w:r>
    </w:p>
    <w:p w14:paraId="66ED1CBD" w14:textId="067C0A5D" w:rsidR="004344E6" w:rsidRPr="00954406" w:rsidRDefault="004344E6" w:rsidP="00954406">
      <w:pPr>
        <w:pStyle w:val="JuJudges"/>
      </w:pPr>
      <w:r>
        <w:t xml:space="preserve">și Victor </w:t>
      </w:r>
      <w:proofErr w:type="spellStart"/>
      <w:r>
        <w:t>Soloveytchik</w:t>
      </w:r>
      <w:proofErr w:type="spellEnd"/>
      <w:r>
        <w:t xml:space="preserve">, </w:t>
      </w:r>
      <w:r>
        <w:rPr>
          <w:i/>
        </w:rPr>
        <w:t>grefier</w:t>
      </w:r>
      <w:r>
        <w:t xml:space="preserve"> </w:t>
      </w:r>
      <w:r>
        <w:rPr>
          <w:i/>
        </w:rPr>
        <w:t>de secție</w:t>
      </w:r>
      <w:r>
        <w:t>,</w:t>
      </w:r>
    </w:p>
    <w:p w14:paraId="31746670" w14:textId="77777777" w:rsidR="00EF5ECF" w:rsidRPr="00954406" w:rsidRDefault="00EF5ECF" w:rsidP="00954406">
      <w:pPr>
        <w:pStyle w:val="JuPara"/>
      </w:pPr>
      <w:r>
        <w:t>Având în vedere:</w:t>
      </w:r>
    </w:p>
    <w:p w14:paraId="598AA01E" w14:textId="7601E542" w:rsidR="00EF5ECF" w:rsidRPr="00954406" w:rsidRDefault="00EF5ECF" w:rsidP="00954406">
      <w:pPr>
        <w:pStyle w:val="JuPara"/>
      </w:pPr>
      <w:r>
        <w:t>cererea (nr. 22636/19) îndreptată împotriva Republicii Franceze, prin care o resortisantă a acestui stat, dna </w:t>
      </w:r>
      <w:proofErr w:type="spellStart"/>
      <w:r>
        <w:t>Eloïse</w:t>
      </w:r>
      <w:proofErr w:type="spellEnd"/>
      <w:r>
        <w:t xml:space="preserve"> Bouton („reclamanta”) a sesizat Curtea în temeiul art. 34 din Convenția pentru apărarea drepturilor omului și a libertăților fundamentale („Convenția”) la 31 mai 2019,</w:t>
      </w:r>
    </w:p>
    <w:p w14:paraId="362D790A" w14:textId="30230862" w:rsidR="00EF5ECF" w:rsidRPr="00954406" w:rsidRDefault="00EF5ECF" w:rsidP="00954406">
      <w:pPr>
        <w:pStyle w:val="JuPara"/>
      </w:pPr>
      <w:r>
        <w:t>decizia de a aduce la cunoștința guvernului francez („Guvernul”) capetele de cerere privind art. 7 și art. 10 din Convenție și de a declara cererea inadmisibilă pentru celelalte capete de cerere,</w:t>
      </w:r>
    </w:p>
    <w:p w14:paraId="09893BD1" w14:textId="77777777" w:rsidR="00EF5ECF" w:rsidRPr="00954406" w:rsidRDefault="00EF5ECF" w:rsidP="00954406">
      <w:pPr>
        <w:pStyle w:val="JuPara"/>
      </w:pPr>
      <w:r>
        <w:rPr>
          <w:rStyle w:val="JuParaChar"/>
        </w:rPr>
        <w:t>observațiile părților</w:t>
      </w:r>
      <w:r>
        <w:t>,</w:t>
      </w:r>
    </w:p>
    <w:p w14:paraId="70C889D4" w14:textId="4D030A0F" w:rsidR="004344E6" w:rsidRPr="00954406" w:rsidRDefault="004344E6" w:rsidP="00954406">
      <w:pPr>
        <w:pStyle w:val="JuPara"/>
      </w:pPr>
      <w:r>
        <w:t>după ce a deliberat în camera de consiliu, la 13 septembrie 2022,</w:t>
      </w:r>
    </w:p>
    <w:p w14:paraId="585C801A" w14:textId="3C88E866" w:rsidR="00876F03" w:rsidRPr="00954406" w:rsidRDefault="004344E6" w:rsidP="00954406">
      <w:pPr>
        <w:pStyle w:val="JuPara"/>
      </w:pPr>
      <w:r>
        <w:t>pronunță prezenta hotărâre, adoptată la aceeași dată:</w:t>
      </w:r>
    </w:p>
    <w:p w14:paraId="6FAB4979" w14:textId="77777777" w:rsidR="00EF5ECF" w:rsidRPr="00954406" w:rsidRDefault="00EF5ECF" w:rsidP="00954406">
      <w:pPr>
        <w:pStyle w:val="JuHHead"/>
      </w:pPr>
      <w:r>
        <w:t>INTRODUCERE</w:t>
      </w:r>
    </w:p>
    <w:p w14:paraId="192E939B" w14:textId="68BB6A86" w:rsidR="00EF5ECF" w:rsidRPr="00954406" w:rsidRDefault="00E21F88" w:rsidP="00954406">
      <w:pPr>
        <w:pStyle w:val="JuPara"/>
      </w:pPr>
      <w:fldSimple w:instr=" SEQ level0 \*arabic ">
        <w:r w:rsidR="00954406" w:rsidRPr="00954406">
          <w:t>1</w:t>
        </w:r>
      </w:fldSimple>
      <w:r w:rsidR="00EF5ECF">
        <w:t xml:space="preserve">.  Cererea privește, în principal din perspectiva art. 10 din Convenție, </w:t>
      </w:r>
      <w:r w:rsidR="00EF5ECF">
        <w:rPr>
          <w:rFonts w:ascii="Times New Roman" w:hAnsi="Times New Roman"/>
        </w:rPr>
        <w:t>condamnarea reclamantei, militantă feministă membră a grupului Femen, pentru fapte de exhibiționism săvârșite într-o biserică.</w:t>
      </w:r>
    </w:p>
    <w:p w14:paraId="2AE16379" w14:textId="77777777" w:rsidR="00EF5ECF" w:rsidRPr="00954406" w:rsidRDefault="00EF5ECF" w:rsidP="00954406">
      <w:pPr>
        <w:pStyle w:val="JuHHead"/>
      </w:pPr>
      <w:r>
        <w:t>ÎN FAPT</w:t>
      </w:r>
    </w:p>
    <w:p w14:paraId="23B1DB58" w14:textId="3638069D" w:rsidR="00EF5ECF" w:rsidRPr="00954406" w:rsidRDefault="00E21F88" w:rsidP="00954406">
      <w:pPr>
        <w:pStyle w:val="JuPara"/>
      </w:pPr>
      <w:fldSimple w:instr=" SEQ level0 \*arabic ">
        <w:r w:rsidR="00954406" w:rsidRPr="00954406">
          <w:t>2</w:t>
        </w:r>
      </w:fldSimple>
      <w:r w:rsidR="00EF5ECF">
        <w:t xml:space="preserve">.  Reclamanta s-a născut în 1983 și locuiește în </w:t>
      </w:r>
      <w:proofErr w:type="spellStart"/>
      <w:r w:rsidR="00EF5ECF">
        <w:t>Bagnolet</w:t>
      </w:r>
      <w:proofErr w:type="spellEnd"/>
      <w:r w:rsidR="00EF5ECF">
        <w:t xml:space="preserve">. A fost reprezentată de T. </w:t>
      </w:r>
      <w:proofErr w:type="spellStart"/>
      <w:r w:rsidR="00EF5ECF">
        <w:t>Bouzenoune</w:t>
      </w:r>
      <w:proofErr w:type="spellEnd"/>
      <w:r w:rsidR="00EF5ECF">
        <w:t>, avocat.</w:t>
      </w:r>
    </w:p>
    <w:p w14:paraId="79389642" w14:textId="0B6586DE" w:rsidR="00EF5ECF" w:rsidRPr="00954406" w:rsidRDefault="00E21F88" w:rsidP="00954406">
      <w:pPr>
        <w:pStyle w:val="JuPara"/>
      </w:pPr>
      <w:fldSimple w:instr=" SEQ level0 \*arabic ">
        <w:r w:rsidR="00954406" w:rsidRPr="00954406">
          <w:t>3</w:t>
        </w:r>
      </w:fldSimple>
      <w:r w:rsidR="00EF5ECF">
        <w:t xml:space="preserve">.  Guvernul este reprezentat de agentul guvernamental, François </w:t>
      </w:r>
      <w:proofErr w:type="spellStart"/>
      <w:r w:rsidR="00EF5ECF">
        <w:t>Alabrune</w:t>
      </w:r>
      <w:proofErr w:type="spellEnd"/>
      <w:r w:rsidR="00EF5ECF">
        <w:t>, directorul Direcției Afaceri Juridice din cadrul Ministerului Afacerilor Externe.</w:t>
      </w:r>
    </w:p>
    <w:p w14:paraId="0AE95346" w14:textId="0EDCE863" w:rsidR="00EF5ECF" w:rsidRPr="00954406" w:rsidRDefault="00E21F88" w:rsidP="00954406">
      <w:pPr>
        <w:pStyle w:val="JuPara"/>
      </w:pPr>
      <w:fldSimple w:instr=" SEQ level0 \*arabic ">
        <w:r w:rsidR="00954406" w:rsidRPr="00954406">
          <w:t>4</w:t>
        </w:r>
      </w:fldSimple>
      <w:r w:rsidR="00EF5ECF">
        <w:t>.  Faptele speței, astfel cum au fost expuse de către părți, se prezintă în modul următor.</w:t>
      </w:r>
    </w:p>
    <w:p w14:paraId="342C4A1F" w14:textId="638540DC" w:rsidR="00EF5ECF" w:rsidRPr="00954406" w:rsidRDefault="00EF5ECF" w:rsidP="00954406">
      <w:pPr>
        <w:pStyle w:val="JuHIRoman"/>
      </w:pPr>
      <w:r>
        <w:t>Acțiunea militantă a reclamantei și mediatizarea acesteia.</w:t>
      </w:r>
    </w:p>
    <w:p w14:paraId="222448C0" w14:textId="15DECFB0" w:rsidR="00EF5ECF" w:rsidRPr="00954406" w:rsidRDefault="00E21F88" w:rsidP="00954406">
      <w:pPr>
        <w:pStyle w:val="JuPara"/>
        <w:rPr>
          <w:rFonts w:ascii="Times New Roman" w:hAnsi="Times New Roman" w:cs="Times New Roman"/>
        </w:rPr>
      </w:pPr>
      <w:fldSimple w:instr=" SEQ level0 \*arabic \* MERGEFORMAT ">
        <w:r w:rsidR="00954406" w:rsidRPr="00954406">
          <w:t>5</w:t>
        </w:r>
      </w:fldSimple>
      <w:r w:rsidR="00D1567A">
        <w:t xml:space="preserve">.  La data faptelor în litigiu, </w:t>
      </w:r>
      <w:r w:rsidR="00D1567A">
        <w:rPr>
          <w:rFonts w:ascii="Times New Roman" w:hAnsi="Times New Roman"/>
        </w:rPr>
        <w:t xml:space="preserve">reclamanta era membră din 2012 a mișcării „Femen”, o organizație internațională de apărare a drepturilor femeilor creată </w:t>
      </w:r>
      <w:r w:rsidR="00D1567A">
        <w:rPr>
          <w:rFonts w:ascii="Times New Roman" w:hAnsi="Times New Roman"/>
        </w:rPr>
        <w:lastRenderedPageBreak/>
        <w:t xml:space="preserve">în Ucraina în 2008 și cunoscută pentru acțiunile provocatoare ale membrelor sale care protestează cu sânii goi pentru a lupta împotriva imaginii femeii considerate ca fiind obiect sexual. </w:t>
      </w:r>
      <w:r w:rsidR="00D1567A">
        <w:t xml:space="preserve">La 20 decembrie 2013, aceasta </w:t>
      </w:r>
      <w:r w:rsidR="00D1567A">
        <w:rPr>
          <w:rFonts w:ascii="Times New Roman" w:hAnsi="Times New Roman"/>
        </w:rPr>
        <w:t xml:space="preserve">a manifestat, în afara slujbei, în biserica Madeleine din Paris, prezentându-se înaintea altarului topless și </w:t>
      </w:r>
      <w:r w:rsidR="00CB6778">
        <w:rPr>
          <w:rFonts w:ascii="Times New Roman" w:hAnsi="Times New Roman"/>
        </w:rPr>
        <w:t xml:space="preserve">cu </w:t>
      </w:r>
      <w:r w:rsidR="00D1567A">
        <w:rPr>
          <w:rFonts w:ascii="Times New Roman" w:hAnsi="Times New Roman"/>
        </w:rPr>
        <w:t>corpul acoperit de slogane, pentru a mima, cu ajutorul unei bucăți de ficat de vită, un avort. Aceasta acționa în cadrul unei acțiuni internaționale organizate de mișcarea sa pentru a denunța poziția bisericii față de întreruperea voluntară a sarcinii. Performance-</w:t>
      </w:r>
      <w:proofErr w:type="spellStart"/>
      <w:r w:rsidR="00D1567A">
        <w:rPr>
          <w:rFonts w:ascii="Times New Roman" w:hAnsi="Times New Roman"/>
        </w:rPr>
        <w:t>ul</w:t>
      </w:r>
      <w:proofErr w:type="spellEnd"/>
      <w:r w:rsidR="00D1567A">
        <w:rPr>
          <w:rFonts w:ascii="Times New Roman" w:hAnsi="Times New Roman"/>
        </w:rPr>
        <w:t xml:space="preserve"> său a fost scurt și, la invitația capelmaistrului prezent, reclamanta a părăsit locul în liniște. Acțiunea aceasta a fost mediatizată, dat fiind că reclamanta anunțase jurnaliștii, din care zece erau prezenți. Mass-media națională de presă scrisă a publicat articole pe site-urile de internet incluzând fotografii ale reclamantei cu văl pe cap în fața altarului, topless și cu brațele ridicate în forma crucii sau cu mâinile împreunate în semn de rugăciune. Într-un interviu pentru revista Le </w:t>
      </w:r>
      <w:proofErr w:type="spellStart"/>
      <w:r w:rsidR="00D1567A">
        <w:rPr>
          <w:rFonts w:ascii="Times New Roman" w:hAnsi="Times New Roman"/>
        </w:rPr>
        <w:t>Nouvel</w:t>
      </w:r>
      <w:proofErr w:type="spellEnd"/>
      <w:r w:rsidR="00D1567A">
        <w:rPr>
          <w:rFonts w:ascii="Times New Roman" w:hAnsi="Times New Roman"/>
        </w:rPr>
        <w:t xml:space="preserve"> </w:t>
      </w:r>
      <w:proofErr w:type="spellStart"/>
      <w:r w:rsidR="00D1567A">
        <w:rPr>
          <w:rFonts w:ascii="Times New Roman" w:hAnsi="Times New Roman"/>
        </w:rPr>
        <w:t>Observateur</w:t>
      </w:r>
      <w:proofErr w:type="spellEnd"/>
      <w:r w:rsidR="00D1567A">
        <w:rPr>
          <w:rFonts w:ascii="Times New Roman" w:hAnsi="Times New Roman"/>
        </w:rPr>
        <w:t xml:space="preserve"> din 23 decembrie 2013 publicat pe Internet sub forma unei scrisori adresate parohului bisericii, reclamanta descria sensul acțiunii sale: a ținut „două bucăți de ficat de vită în mâini, simbol pentru micul Iisus avortat”, și avea, pictate pe trunchi și pe spate, „sloganurile «a 344-a târfă» […] făcând trimitere la manifestul inițiat de cele 343 de feministe pro-avort în 1971 și «Christmas </w:t>
      </w:r>
      <w:proofErr w:type="spellStart"/>
      <w:r w:rsidR="00D1567A">
        <w:rPr>
          <w:rFonts w:ascii="Times New Roman" w:hAnsi="Times New Roman"/>
        </w:rPr>
        <w:t>is</w:t>
      </w:r>
      <w:proofErr w:type="spellEnd"/>
      <w:r w:rsidR="00D1567A">
        <w:rPr>
          <w:rFonts w:ascii="Times New Roman" w:hAnsi="Times New Roman"/>
        </w:rPr>
        <w:t xml:space="preserve"> </w:t>
      </w:r>
      <w:proofErr w:type="spellStart"/>
      <w:r w:rsidR="00D1567A">
        <w:rPr>
          <w:rFonts w:ascii="Times New Roman" w:hAnsi="Times New Roman"/>
        </w:rPr>
        <w:t>canceled</w:t>
      </w:r>
      <w:proofErr w:type="spellEnd"/>
      <w:r w:rsidR="00D1567A">
        <w:rPr>
          <w:rFonts w:ascii="Times New Roman" w:hAnsi="Times New Roman"/>
        </w:rPr>
        <w:t>»”.</w:t>
      </w:r>
    </w:p>
    <w:p w14:paraId="6507BE25" w14:textId="77777777" w:rsidR="00EF5ECF" w:rsidRPr="00954406" w:rsidRDefault="00EF5ECF" w:rsidP="00954406">
      <w:pPr>
        <w:pStyle w:val="JuHIRoman"/>
        <w:ind w:left="0" w:firstLine="0"/>
      </w:pPr>
      <w:r>
        <w:t>Procedura judiciară</w:t>
      </w:r>
    </w:p>
    <w:bookmarkStart w:id="2" w:name="paragraph00006"/>
    <w:p w14:paraId="75168DD2" w14:textId="07A23AA9" w:rsidR="00EF5ECF" w:rsidRPr="00954406" w:rsidRDefault="00EF5ECF" w:rsidP="00954406">
      <w:pPr>
        <w:pStyle w:val="JuPara"/>
        <w:rPr>
          <w:rFonts w:ascii="Times New Roman" w:hAnsi="Times New Roman" w:cs="Times New Roman"/>
        </w:rPr>
      </w:pPr>
      <w:r w:rsidRPr="00954406">
        <w:rPr>
          <w:rFonts w:ascii="Times New Roman" w:hAnsi="Times New Roman" w:cs="Times New Roman"/>
        </w:rPr>
        <w:fldChar w:fldCharType="begin"/>
      </w:r>
      <w:r w:rsidRPr="00954406">
        <w:rPr>
          <w:rFonts w:ascii="Times New Roman" w:hAnsi="Times New Roman" w:cs="Times New Roman"/>
        </w:rPr>
        <w:instrText xml:space="preserve"> SEQ level0 \*arabic \* MERGEFORMAT </w:instrText>
      </w:r>
      <w:r w:rsidRPr="00954406">
        <w:rPr>
          <w:rFonts w:ascii="Times New Roman" w:hAnsi="Times New Roman" w:cs="Times New Roman"/>
        </w:rPr>
        <w:fldChar w:fldCharType="separate"/>
      </w:r>
      <w:r w:rsidR="00954406" w:rsidRPr="00954406">
        <w:rPr>
          <w:rFonts w:ascii="Times New Roman" w:hAnsi="Times New Roman" w:cs="Times New Roman"/>
        </w:rPr>
        <w:t>6</w:t>
      </w:r>
      <w:r w:rsidRPr="00954406">
        <w:rPr>
          <w:rFonts w:ascii="Times New Roman" w:hAnsi="Times New Roman" w:cs="Times New Roman"/>
        </w:rPr>
        <w:fldChar w:fldCharType="end"/>
      </w:r>
      <w:bookmarkEnd w:id="2"/>
      <w:r>
        <w:rPr>
          <w:rFonts w:ascii="Times New Roman" w:hAnsi="Times New Roman"/>
        </w:rPr>
        <w:t xml:space="preserve">.  Parohul a depus o plângere cu constituire de parte civilă. La 7 ianuarie 2014, reclamanta a fost reținută. Ea a explicat că fusese desemnată pentru Franța printr-o decizie colectivă a mișcării Femen pentru a proceda conform scenariului descris mai sus, care avea să se repete în mod similar, în aceeași perioadă, în alte țări grație altor militante ale Femen. Ea a precizat că biserica Madeleine a fost aleasă în Franța „pentru că era un simbol la nivel internațional”. Organele de urmărire penală au depus la dosarul procedurii o publicație a site-ului internet al Femen-Franța cuprinzând aceleași fotografii și subtitrarea: „Crăciunul a fost anulat de la Vatican la Paris, Pe altarul bisericii Madeleine, Sfânta Mamă </w:t>
      </w:r>
      <w:proofErr w:type="spellStart"/>
      <w:r>
        <w:rPr>
          <w:rFonts w:ascii="Times New Roman" w:hAnsi="Times New Roman"/>
        </w:rPr>
        <w:t>Éloïse</w:t>
      </w:r>
      <w:proofErr w:type="spellEnd"/>
      <w:r>
        <w:rPr>
          <w:rFonts w:ascii="Times New Roman" w:hAnsi="Times New Roman"/>
        </w:rPr>
        <w:t xml:space="preserve"> l-a avortat pe Iisus”. Cu privire la chestiunea nudității sale, reclamanta a subliniat în fața organelor de urmărire penală că avea ca scop să provoace conștientizarea și nu să săvârșească infracțiunea de exhibiționism. A adăugat că acest lucru este în concordanță cu modul de acțiune uzual al membrelor Femen, care apăreau cu sânii goi la toate acțiunile lor publice pentru a deturna imaginea femeii ca obiect sexual însușindu-și-o și transformând-o în mesaj politic.</w:t>
      </w:r>
    </w:p>
    <w:p w14:paraId="7D4B9F35" w14:textId="23D50E8D" w:rsidR="00EF5ECF" w:rsidRPr="00954406" w:rsidRDefault="00EF5ECF" w:rsidP="00954406">
      <w:pPr>
        <w:pStyle w:val="JuPara"/>
        <w:rPr>
          <w:rFonts w:ascii="Times New Roman" w:hAnsi="Times New Roman" w:cs="Times New Roman"/>
        </w:rPr>
      </w:pPr>
      <w:r w:rsidRPr="00954406">
        <w:rPr>
          <w:rFonts w:ascii="Times New Roman" w:hAnsi="Times New Roman" w:cs="Times New Roman"/>
        </w:rPr>
        <w:fldChar w:fldCharType="begin"/>
      </w:r>
      <w:r w:rsidRPr="00954406">
        <w:rPr>
          <w:rFonts w:ascii="Times New Roman" w:hAnsi="Times New Roman" w:cs="Times New Roman"/>
        </w:rPr>
        <w:instrText xml:space="preserve"> SEQ level0 \*arabic \* MERGEFORMAT </w:instrText>
      </w:r>
      <w:r w:rsidRPr="00954406">
        <w:rPr>
          <w:rFonts w:ascii="Times New Roman" w:hAnsi="Times New Roman" w:cs="Times New Roman"/>
        </w:rPr>
        <w:fldChar w:fldCharType="separate"/>
      </w:r>
      <w:r w:rsidR="00954406" w:rsidRPr="00954406">
        <w:rPr>
          <w:rFonts w:ascii="Times New Roman" w:hAnsi="Times New Roman" w:cs="Times New Roman"/>
        </w:rPr>
        <w:t>7</w:t>
      </w:r>
      <w:r w:rsidRPr="00954406">
        <w:rPr>
          <w:rFonts w:ascii="Times New Roman" w:hAnsi="Times New Roman" w:cs="Times New Roman"/>
        </w:rPr>
        <w:fldChar w:fldCharType="end"/>
      </w:r>
      <w:r>
        <w:rPr>
          <w:rFonts w:ascii="Times New Roman" w:hAnsi="Times New Roman"/>
        </w:rPr>
        <w:t>.  Reclamanta a fost citată de procuror să se prezinte în fața Tribunalului Corecțional competent pentru săvârșirea infracțiunii de exhibiționism. Ea a părăsit mișcarea Femen în februarie 2014.</w:t>
      </w:r>
    </w:p>
    <w:bookmarkStart w:id="3" w:name="paragraph00008"/>
    <w:p w14:paraId="5927A013" w14:textId="0C16F234" w:rsidR="00EF5ECF" w:rsidRPr="00954406" w:rsidRDefault="00EF5ECF" w:rsidP="00954406">
      <w:pPr>
        <w:pStyle w:val="JuPara"/>
        <w:rPr>
          <w:rFonts w:ascii="Times New Roman" w:hAnsi="Times New Roman" w:cs="Times New Roman"/>
        </w:rPr>
      </w:pPr>
      <w:r w:rsidRPr="00954406">
        <w:rPr>
          <w:rFonts w:ascii="Times New Roman" w:hAnsi="Times New Roman" w:cs="Times New Roman"/>
        </w:rPr>
        <w:fldChar w:fldCharType="begin"/>
      </w:r>
      <w:r w:rsidRPr="00954406">
        <w:rPr>
          <w:rFonts w:ascii="Times New Roman" w:hAnsi="Times New Roman" w:cs="Times New Roman"/>
        </w:rPr>
        <w:instrText xml:space="preserve"> SEQ level0 \*arabic \* MERGEFORMAT </w:instrText>
      </w:r>
      <w:r w:rsidRPr="00954406">
        <w:rPr>
          <w:rFonts w:ascii="Times New Roman" w:hAnsi="Times New Roman" w:cs="Times New Roman"/>
        </w:rPr>
        <w:fldChar w:fldCharType="separate"/>
      </w:r>
      <w:r w:rsidR="00954406" w:rsidRPr="00954406">
        <w:rPr>
          <w:rFonts w:ascii="Times New Roman" w:hAnsi="Times New Roman" w:cs="Times New Roman"/>
        </w:rPr>
        <w:t>8</w:t>
      </w:r>
      <w:r w:rsidRPr="00954406">
        <w:rPr>
          <w:rFonts w:ascii="Times New Roman" w:hAnsi="Times New Roman" w:cs="Times New Roman"/>
        </w:rPr>
        <w:fldChar w:fldCharType="end"/>
      </w:r>
      <w:bookmarkEnd w:id="3"/>
      <w:r>
        <w:rPr>
          <w:rFonts w:ascii="Times New Roman" w:hAnsi="Times New Roman"/>
        </w:rPr>
        <w:t>.  </w:t>
      </w:r>
      <w:r>
        <w:t>La sfârșitul ședinței din</w:t>
      </w:r>
      <w:r>
        <w:rPr>
          <w:rFonts w:ascii="Times New Roman" w:hAnsi="Times New Roman"/>
        </w:rPr>
        <w:t xml:space="preserve"> 15 octombrie 2014, Tribunalul Corecțional din Paris a refuzat, cu titlu preliminar, să transmită Curții de Casație întrebarea </w:t>
      </w:r>
      <w:r>
        <w:rPr>
          <w:rFonts w:ascii="Times New Roman" w:hAnsi="Times New Roman"/>
        </w:rPr>
        <w:lastRenderedPageBreak/>
        <w:t xml:space="preserve">prioritară de constituționalitate („IPC”) ridicată de reclamantă, considerând că nu era serios capătul de cerere întemeiat pe imprecizia noțiunii de exhibiționism enunțată la art. 222-32 din Codul penal în raport cu principiul legalității infracțiunilor și a pedepselor, așa cum constatase deja Curtea de Casație în decizia din 9 aprilie 2014 (a se vedea supra, pct. </w:t>
      </w:r>
      <w:r w:rsidRPr="00954406">
        <w:rPr>
          <w:rFonts w:ascii="Times New Roman" w:hAnsi="Times New Roman" w:cs="Times New Roman"/>
        </w:rPr>
        <w:fldChar w:fldCharType="begin"/>
      </w:r>
      <w:r w:rsidRPr="00954406">
        <w:rPr>
          <w:rFonts w:ascii="Times New Roman" w:hAnsi="Times New Roman" w:cs="Times New Roman"/>
        </w:rPr>
        <w:instrText xml:space="preserve">REF paragraph00018 \h \* CharFormat </w:instrText>
      </w:r>
      <w:r w:rsidRPr="00954406">
        <w:rPr>
          <w:rFonts w:ascii="Times New Roman" w:hAnsi="Times New Roman" w:cs="Times New Roman"/>
        </w:rPr>
      </w:r>
      <w:r w:rsidRPr="00954406">
        <w:rPr>
          <w:rFonts w:ascii="Times New Roman" w:hAnsi="Times New Roman" w:cs="Times New Roman"/>
        </w:rPr>
        <w:fldChar w:fldCharType="separate"/>
      </w:r>
      <w:r w:rsidR="00954406" w:rsidRPr="00954406">
        <w:rPr>
          <w:rFonts w:ascii="Times New Roman" w:hAnsi="Times New Roman" w:cs="Times New Roman"/>
        </w:rPr>
        <w:t>18</w:t>
      </w:r>
      <w:r w:rsidRPr="00954406">
        <w:rPr>
          <w:rFonts w:ascii="Times New Roman" w:hAnsi="Times New Roman" w:cs="Times New Roman"/>
        </w:rPr>
        <w:fldChar w:fldCharType="end"/>
      </w:r>
      <w:r>
        <w:rPr>
          <w:rFonts w:ascii="Times New Roman" w:hAnsi="Times New Roman"/>
        </w:rPr>
        <w:t xml:space="preserve">). Pronunțând în ședință publică hotărârea cu privire la fond la 17 decembrie 2014, instanța a respins argumentele reclamantei întemeiate, respectiv, pe lipsa caracterizării </w:t>
      </w:r>
      <w:r w:rsidR="00CB6778">
        <w:rPr>
          <w:rFonts w:ascii="Times New Roman" w:hAnsi="Times New Roman"/>
        </w:rPr>
        <w:t>infracțiunii</w:t>
      </w:r>
      <w:r>
        <w:rPr>
          <w:rFonts w:ascii="Times New Roman" w:hAnsi="Times New Roman"/>
        </w:rPr>
        <w:t xml:space="preserve"> de exhibiționism și pe încălcarea art. 10 din Convenție. A respins, în special, argumentul reclamantei conform căruia acțiunea sa era exclusiv politică și intra în sfera libertății sale de exprimare, în următorii termeni:</w:t>
      </w:r>
    </w:p>
    <w:p w14:paraId="6034E16D" w14:textId="6F4C94F0" w:rsidR="00EF5ECF" w:rsidRPr="00954406" w:rsidRDefault="00EF5ECF" w:rsidP="00954406">
      <w:pPr>
        <w:pStyle w:val="JuQuot"/>
      </w:pPr>
      <w:r>
        <w:t>„</w:t>
      </w:r>
      <w:proofErr w:type="spellStart"/>
      <w:r>
        <w:t>Éloïse</w:t>
      </w:r>
      <w:proofErr w:type="spellEnd"/>
      <w:r>
        <w:t xml:space="preserve"> BOUTON pretinde, cu titlu subsidiar, în temeiul art. 10 din Convenția europeană a drepturilor omului, că acțiunea sa este de natură exclusiv politică și că aceste fapte se înscriu în sfera libertății sale de exprimare, care cuprinde libertatea de opinie și pe cea de a primi sau de a comunica informații ori idei fără amestecul autorităților publice, respectiv în speță a Ministerului Public.</w:t>
      </w:r>
    </w:p>
    <w:p w14:paraId="67B8FB58" w14:textId="028EAB65" w:rsidR="00EF5ECF" w:rsidRPr="00954406" w:rsidRDefault="00EF5ECF" w:rsidP="00954406">
      <w:pPr>
        <w:pStyle w:val="JuQuot"/>
      </w:pPr>
      <w:r>
        <w:t>Or, trebuie reamintit că aceste dispoziții prevăd și faptul că</w:t>
      </w:r>
      <w:r w:rsidR="00CB6778">
        <w:t xml:space="preserve"> </w:t>
      </w:r>
      <w:r>
        <w:t>exercitarea acestor drepturi poate face obiectul unor restrângeri prevăzute de lege, care constituie măsuri necesare, într-o societate democratică, pentru securitatea națională, siguranță publică, apărarea ordinii și prevenirea faptelor penale, protejarea sănătății sau a moralei ori pentru protejarea drepturilor și a libertăților altora.</w:t>
      </w:r>
    </w:p>
    <w:p w14:paraId="3E8F5CA0" w14:textId="4E5E1E1C" w:rsidR="00EF5ECF" w:rsidRPr="00954406" w:rsidRDefault="00EF5ECF" w:rsidP="00954406">
      <w:pPr>
        <w:pStyle w:val="JuQuot"/>
      </w:pPr>
      <w:r>
        <w:t>În speță, exercitarea drepturilor inculpatei este limitată de nevoia socială imperioasă de protejare a altora de a vedea, într-un lăcaș de cult, o acțiune executată pe jumătate dezbrăcată, ceea ce poate fi ofensator pentru unii. Acțiunea Ministerului Public a fost așadar proporțională cu scopul legitim urmărit.</w:t>
      </w:r>
    </w:p>
    <w:p w14:paraId="1CE1310E" w14:textId="0D66A101" w:rsidR="00EF5ECF" w:rsidRPr="00954406" w:rsidRDefault="00EF5ECF" w:rsidP="00954406">
      <w:pPr>
        <w:pStyle w:val="JuQuot"/>
      </w:pPr>
      <w:r>
        <w:t>Acest argument va fi respins, prin</w:t>
      </w:r>
      <w:r w:rsidR="00CB6778">
        <w:t xml:space="preserve"> urmare, ca inoperant în speță.</w:t>
      </w:r>
      <w:r>
        <w:t>”</w:t>
      </w:r>
    </w:p>
    <w:bookmarkStart w:id="4" w:name="paragraph00009"/>
    <w:p w14:paraId="0623B224" w14:textId="27EDC424" w:rsidR="00EF5ECF" w:rsidRPr="00954406" w:rsidRDefault="00EF5ECF" w:rsidP="00954406">
      <w:pPr>
        <w:pStyle w:val="JuPara"/>
        <w:rPr>
          <w:rFonts w:ascii="Times New Roman" w:hAnsi="Times New Roman" w:cs="Times New Roman"/>
        </w:rPr>
      </w:pPr>
      <w:r w:rsidRPr="00954406">
        <w:rPr>
          <w:rFonts w:ascii="Times New Roman" w:hAnsi="Times New Roman" w:cs="Times New Roman"/>
        </w:rPr>
        <w:fldChar w:fldCharType="begin"/>
      </w:r>
      <w:r w:rsidRPr="00954406">
        <w:rPr>
          <w:rFonts w:ascii="Times New Roman" w:hAnsi="Times New Roman" w:cs="Times New Roman"/>
        </w:rPr>
        <w:instrText xml:space="preserve"> SEQ level0 \*arabic \* MERGEFORMAT </w:instrText>
      </w:r>
      <w:r w:rsidRPr="00954406">
        <w:rPr>
          <w:rFonts w:ascii="Times New Roman" w:hAnsi="Times New Roman" w:cs="Times New Roman"/>
        </w:rPr>
        <w:fldChar w:fldCharType="separate"/>
      </w:r>
      <w:r w:rsidR="00954406" w:rsidRPr="00954406">
        <w:rPr>
          <w:rFonts w:ascii="Times New Roman" w:hAnsi="Times New Roman" w:cs="Times New Roman"/>
        </w:rPr>
        <w:t>9</w:t>
      </w:r>
      <w:r w:rsidRPr="00954406">
        <w:rPr>
          <w:rFonts w:ascii="Times New Roman" w:hAnsi="Times New Roman" w:cs="Times New Roman"/>
        </w:rPr>
        <w:fldChar w:fldCharType="end"/>
      </w:r>
      <w:bookmarkEnd w:id="4"/>
      <w:r>
        <w:rPr>
          <w:rFonts w:ascii="Times New Roman" w:hAnsi="Times New Roman"/>
        </w:rPr>
        <w:t>.  Tribunalul Corecțional a condamnat reclamanta pentru exhibiționism la o lună de zile de închisoare cu suspendare simplă a executării și, la plata de daune-interese civile către reprezentantul parohiei în valoare de 2 000 euro (EUR) cu titlu de despăgubire pentru prejudiciul moral, precum și la plata cheltuielilor de procedură ale părții adverse în cuantum de 1 500 EUR.</w:t>
      </w:r>
    </w:p>
    <w:bookmarkStart w:id="5" w:name="paragraph00010"/>
    <w:p w14:paraId="2275D091" w14:textId="519D0053" w:rsidR="00EF5ECF" w:rsidRPr="00954406" w:rsidRDefault="00EF5ECF" w:rsidP="00954406">
      <w:pPr>
        <w:pStyle w:val="JuPara"/>
        <w:rPr>
          <w:rFonts w:ascii="Times New Roman" w:hAnsi="Times New Roman" w:cs="Times New Roman"/>
        </w:rPr>
      </w:pPr>
      <w:r w:rsidRPr="00954406">
        <w:rPr>
          <w:rFonts w:ascii="Times New Roman" w:hAnsi="Times New Roman" w:cs="Times New Roman"/>
        </w:rPr>
        <w:fldChar w:fldCharType="begin"/>
      </w:r>
      <w:r w:rsidRPr="00954406">
        <w:rPr>
          <w:rFonts w:ascii="Times New Roman" w:hAnsi="Times New Roman" w:cs="Times New Roman"/>
        </w:rPr>
        <w:instrText xml:space="preserve"> SEQ level0 \*arabic \* MERGEFORMAT </w:instrText>
      </w:r>
      <w:r w:rsidRPr="00954406">
        <w:rPr>
          <w:rFonts w:ascii="Times New Roman" w:hAnsi="Times New Roman" w:cs="Times New Roman"/>
        </w:rPr>
        <w:fldChar w:fldCharType="separate"/>
      </w:r>
      <w:r w:rsidR="00954406" w:rsidRPr="00954406">
        <w:rPr>
          <w:rFonts w:ascii="Times New Roman" w:hAnsi="Times New Roman" w:cs="Times New Roman"/>
        </w:rPr>
        <w:t>10</w:t>
      </w:r>
      <w:r w:rsidRPr="00954406">
        <w:rPr>
          <w:rFonts w:ascii="Times New Roman" w:hAnsi="Times New Roman" w:cs="Times New Roman"/>
        </w:rPr>
        <w:fldChar w:fldCharType="end"/>
      </w:r>
      <w:bookmarkEnd w:id="5"/>
      <w:r>
        <w:rPr>
          <w:rFonts w:ascii="Times New Roman" w:hAnsi="Times New Roman"/>
        </w:rPr>
        <w:t xml:space="preserve">.  În fața Curții de Apel din Paris, reclamanta nu a reiterat cererea de IPC. La </w:t>
      </w:r>
      <w:r>
        <w:t>15 februarie</w:t>
      </w:r>
      <w:r>
        <w:rPr>
          <w:rFonts w:ascii="Times New Roman" w:hAnsi="Times New Roman"/>
        </w:rPr>
        <w:t xml:space="preserve"> 2017, Curtea de Apel a menținut hotărârea sub toate aspectele, inclusiv cu privire la pedeapsă. A subliniat că, în speță, erau întrunite elementele constitutive ale infracțiunii de exhibiționism, între acestea „un fapt material de exhibiție a părții/părților sexuale ale corpului său”, și a examinat faptele în lumina acestor elemente constitutive cu următoare motivare:</w:t>
      </w:r>
    </w:p>
    <w:p w14:paraId="1CCF1B14" w14:textId="4ACC990F" w:rsidR="00EF5ECF" w:rsidRPr="00954406" w:rsidRDefault="00EF5ECF" w:rsidP="00954406">
      <w:pPr>
        <w:pStyle w:val="JuQuot"/>
      </w:pPr>
      <w:r>
        <w:t xml:space="preserve">„Considerând că, în ceea ce privește elementul material, acesta nu este contestat de inculpată, că aceasta, după ce a intrat la 20 decembrie 2013, puțin înainte de ora zece, în biserica Madeleine, situată la Paris, în al optulea arondisment, însoțită de jurnaliști, invitați cu o zi înainte la demonstrație, și apropiindu-se de altar s-a dezbrăcat, expunându-și pieptul gol, având inscripționat pe partea din față a corpului «a 344-a târfă» și pe spate «Christmas </w:t>
      </w:r>
      <w:proofErr w:type="spellStart"/>
      <w:r>
        <w:t>is</w:t>
      </w:r>
      <w:proofErr w:type="spellEnd"/>
      <w:r>
        <w:t xml:space="preserve"> </w:t>
      </w:r>
      <w:proofErr w:type="spellStart"/>
      <w:r>
        <w:t>canceled</w:t>
      </w:r>
      <w:proofErr w:type="spellEnd"/>
      <w:r>
        <w:t xml:space="preserve">», s-a dezgolit, apoi a mimat «avortarea embrionului lui Iisus», depunând pe altar o bucată de ficat de vițel însângerat pentru a </w:t>
      </w:r>
      <w:r>
        <w:lastRenderedPageBreak/>
        <w:t xml:space="preserve">reprezenta un fetus; […] că faptele au fost săvârșite în timpul unei repetiții a ansamblului vocal al bisericii Madeleine, ceea ce a determinat intervenția dlui [M.], capelmaistru, care i-a invitat ferm pe </w:t>
      </w:r>
      <w:proofErr w:type="spellStart"/>
      <w:r>
        <w:t>Éloïse</w:t>
      </w:r>
      <w:proofErr w:type="spellEnd"/>
      <w:r>
        <w:t xml:space="preserve"> Bouton și pe jurnaliștii care o însoțeau să părăsească lăcașul; că aceasta și-a justificat acțiunea prin dorința de a denunța «campaniile anti-avort» desfășurate de Biserica Catolică în lume și, în special, în Spania și în unele țări din Est, a precizat ea în ședința în fața instanței; considerând că nu poate fi contestat în mod serios de către inculpată faptul că, prin expunerea pieptului său vederii altora, și-a arătat părțile sexuale ale corpului său, deși aceasta neagă calificativul de părți sexuale ale corpului atribuit sânilor, afirmând totuși în ședința de judecată că faptul de a-i fi atinși sânii fără consimțământul său constituie, cu toate acestea, o agresiune sexuală; […] că, deși </w:t>
      </w:r>
      <w:proofErr w:type="spellStart"/>
      <w:r>
        <w:t>Éloïse</w:t>
      </w:r>
      <w:proofErr w:type="spellEnd"/>
      <w:r>
        <w:t xml:space="preserve"> Bouton a rămas topless, fără ca acțiunea să fie însoțită de un gest obscen, ea a săvârșit actul într-un edificiu religios, loc de rugăciune și de reculegere, la intrarea căruia se reamintește obligația ca orice persoană care pătrunde în lăcaș, fie credincios, ateu sau agnostic, să poarte o ținută decentă; […] că, mai mult, se va observa că </w:t>
      </w:r>
      <w:proofErr w:type="spellStart"/>
      <w:r>
        <w:t>Éloïse</w:t>
      </w:r>
      <w:proofErr w:type="spellEnd"/>
      <w:r>
        <w:t xml:space="preserve"> Bouton nu avea o minimă autorizare din partea parohului, cesionarul edificiului religios; considerând în cele din urmă că evoluția moravurilor, a concepțiilor în materie de artă și de noțiune de pudoare nu poate fi luată în considerare pentru a justifica un act și atitudini manifestate într-un edificiu religios de către </w:t>
      </w:r>
      <w:proofErr w:type="spellStart"/>
      <w:r>
        <w:t>Éloïse</w:t>
      </w:r>
      <w:proofErr w:type="spellEnd"/>
      <w:r>
        <w:t xml:space="preserve"> Bouton, care revendică faptul că și-a folosit sânii ca pe o armă; considerând, de altfel, că expunerea a fost impusă vederii altora și într-un loc accesibil privirii altuia, biserica Madeleine fiind deschisă publicului atunci, faptele fiind […] săvârșite în timpul repetiției ansamblului vocal al bisericii Madeleine în apropierea altarului și în prezența capelmaistrului, dl [M.], care a intervenit ferm pentru a le face să înceteze imediat; considerând și că expunerea de către </w:t>
      </w:r>
      <w:proofErr w:type="spellStart"/>
      <w:r>
        <w:t>Éloïse</w:t>
      </w:r>
      <w:proofErr w:type="spellEnd"/>
      <w:r>
        <w:t xml:space="preserve"> Bouton a părților sexuale ale corpului său a avut loc, de asemenea, în văzul unei persoane care nu și-a dat consimțământul; considerând, în plus, că fiind vorba de elementul </w:t>
      </w:r>
      <w:proofErr w:type="spellStart"/>
      <w:r>
        <w:rPr>
          <w:i/>
          <w:iCs/>
        </w:rPr>
        <w:t>mens</w:t>
      </w:r>
      <w:proofErr w:type="spellEnd"/>
      <w:r>
        <w:rPr>
          <w:i/>
          <w:iCs/>
        </w:rPr>
        <w:t xml:space="preserve"> rea</w:t>
      </w:r>
      <w:r>
        <w:t xml:space="preserve"> al infracțiunii, […] </w:t>
      </w:r>
      <w:proofErr w:type="spellStart"/>
      <w:r>
        <w:t>Éloïse</w:t>
      </w:r>
      <w:proofErr w:type="spellEnd"/>
      <w:r>
        <w:t xml:space="preserve"> Bouton era conștientă de prezența altora, întrucât ținuse, de altfel, pentru a transmite util și eficient informațiile despre acțiunile sale, să fie însoțită de zece jurnaliști; că și-a arătat, așa cum o recunoaște și o reamintesc atât avocatul părții civile în pledoaria și în înscrisurile sale, cât și avocatul general în solicitările sale, ambii sâni goi ca pe o armă, vrând, de altfel, să ofenseze pudoarea altora și, în special, a catolicilor, care se opun avortului și care desfășoară în unele țări campanii anti-avort”.</w:t>
      </w:r>
    </w:p>
    <w:bookmarkStart w:id="6" w:name="paragraph00011"/>
    <w:p w14:paraId="504E7DEB" w14:textId="42D89318"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11</w:t>
      </w:r>
      <w:r w:rsidRPr="00954406">
        <w:fldChar w:fldCharType="end"/>
      </w:r>
      <w:bookmarkEnd w:id="6"/>
      <w:r>
        <w:t>.  Cu privire la chestiunea încălcării libertății de exprimare a reclamantei exercitată cu ocazia unei manifestații feministe organizate de mișcarea Femen care îi permitea să își susțină opiniile politice, Curtea de Apel reține următoarea motivare:</w:t>
      </w:r>
    </w:p>
    <w:p w14:paraId="6E418E4A" w14:textId="123EDA6D" w:rsidR="00EF5ECF" w:rsidRPr="00954406" w:rsidRDefault="00EF5ECF" w:rsidP="00954406">
      <w:pPr>
        <w:pStyle w:val="JuQuot"/>
      </w:pPr>
      <w:r>
        <w:t>„Considerând că, deși art. 10 din Convenția europeană a drepturilor omului dispune, la primul paragraf, că «[o]</w:t>
      </w:r>
      <w:proofErr w:type="spellStart"/>
      <w:r>
        <w:t>rice</w:t>
      </w:r>
      <w:proofErr w:type="spellEnd"/>
      <w:r>
        <w:t xml:space="preserve"> persoană are dreptul la libertatea de exprimare», trebuie reamintit că acest drept cuprinde libertatea de opinie și libertatea de a primi sau de a comunica informații ori idei fără amestecul autorităților publice și fără a ține seama de frontiere; […] că se prevede, în special, la al doilea paragraf al articolului sus-menționat că «[e]</w:t>
      </w:r>
      <w:proofErr w:type="spellStart"/>
      <w:r>
        <w:t>xercitarea</w:t>
      </w:r>
      <w:proofErr w:type="spellEnd"/>
      <w:r>
        <w:t xml:space="preserve"> acestor libertăți, ce comportă îndatoriri și responsabilități, poate fi supusă unor formalități, condiții, restrângeri care constituie măsuri necesare, într-o societate democratică, pentru securitate, integritate teritorială sau siguranță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 […] că revine instanțelor, în punerea în aplicare și controlul art. 10 din Convenția europeană a drepturilor omului, să concilieze libertatea de exprimare cu alte libertăți de valoare egală, precum libertatea religioasă; considerând, în speță, că acțiunea desfășurată în cadrul bisericii Madeleine, aleasă în mod special pentru ocazie, a fost </w:t>
      </w:r>
      <w:r>
        <w:lastRenderedPageBreak/>
        <w:t xml:space="preserve">realizată de </w:t>
      </w:r>
      <w:proofErr w:type="spellStart"/>
      <w:r>
        <w:t>Éloïse</w:t>
      </w:r>
      <w:proofErr w:type="spellEnd"/>
      <w:r>
        <w:t xml:space="preserve"> Bouton în scopul asumat de a «șoca», expunându-și sânii, opinia publică și credincioșii catolici și de a protesta în mod violent și brutal împotriva pozițiilor anti-avort ale Bisericii Catolice, persoana în cauză neezitând să sfideze persoanele de confesiune catolică într-una dintre bisericile lor și într-un loc central, anume altarul, care conține o piatră în care se odihnește o bucată din moaștele unui sfânt; […] că urmărirea penală pusă în mișcare de Ministerul Public împotriva </w:t>
      </w:r>
      <w:proofErr w:type="spellStart"/>
      <w:r>
        <w:t>Éloïsei</w:t>
      </w:r>
      <w:proofErr w:type="spellEnd"/>
      <w:r>
        <w:t xml:space="preserve"> Bouton nu vizează, prin urmare, în niciun caz, să o priveze de libertatea sa de exprimare și de dreptul său de a-și manifesta opiniile politice, ci să reprime un exhibiționism inadmisibil într-un lăcaș de cult și să protejeze sensibilitatea religioasă a credincioșilor vizați direct de această acțiune; […] că ceea ce inculpata apreciază ca fiind libertatea sa de exprimare a avut ca efect aducerea unei grave atingeri libertății de gândire a altora, ca și libertății religioase în general; prin urmare, considerând că nu se poate reține faptul justificativ întemeiat pe art. 10 din Convenția europeană a drepturilor omului și pe o pretinsă încălcare a libertății de exprimare a doamnei Bouton; că, astfel, așa după cum reamintesc primii judecători, «exercitarea drepturilor inculpatei este limitată de nevoia socială imperioasă de protejare a altora de a vedea, într-un lăcaș de cult, o acțiune executată pe jumătate dezbrăcată, ceea ce p</w:t>
      </w:r>
      <w:r w:rsidR="00DA6BA1">
        <w:t>oate fi ofensator pentru unii.</w:t>
      </w:r>
      <w:r>
        <w:t xml:space="preserve"> Acțiunea Ministerului Public a fost așadar proporțională cu scopul legitim urmărit»; […] că instanța a considerat în mod întemeiat că </w:t>
      </w:r>
      <w:proofErr w:type="spellStart"/>
      <w:r>
        <w:t>Éloïse</w:t>
      </w:r>
      <w:proofErr w:type="spellEnd"/>
      <w:r>
        <w:t xml:space="preserve"> Bouton este vinovată de infracțiunea exhibiționism trăgând concluziile juridice corespunzătoare”.</w:t>
      </w:r>
    </w:p>
    <w:p w14:paraId="63FC98A1" w14:textId="344FB169" w:rsidR="00EF5ECF" w:rsidRPr="00954406" w:rsidRDefault="00E21F88" w:rsidP="00954406">
      <w:pPr>
        <w:pStyle w:val="JuPara"/>
      </w:pPr>
      <w:fldSimple w:instr=" SEQ level0 \*arabic \* MERGEFORMAT ">
        <w:bookmarkStart w:id="7" w:name="paragraph00012"/>
        <w:r w:rsidR="00954406" w:rsidRPr="00954406">
          <w:t>12</w:t>
        </w:r>
        <w:bookmarkEnd w:id="7"/>
      </w:fldSimple>
      <w:r w:rsidR="00D1567A">
        <w:t>.  Cu privire la pedeapsa de o lună de zile de închisoare cu suspendarea executării, Curtea de Apel a considerat că reclamantei, jurnalistă liber</w:t>
      </w:r>
      <w:r w:rsidR="00841429">
        <w:noBreakHyphen/>
      </w:r>
      <w:r w:rsidR="00D1567A">
        <w:t>profesionistă integrată din punct de vedere social și profesional, fără nicio condamnare anterioară înscrisă în cazierul judiciar, i se aplicase o pedeapsă care reprezenta „aplicarea corectă a legii penale, în același timp ținând seama de circumstanțele infracțiunii și de personalitatea autorului”.</w:t>
      </w:r>
    </w:p>
    <w:bookmarkStart w:id="8" w:name="paragraph00013"/>
    <w:p w14:paraId="6C783A1E" w14:textId="26C4C5EE"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13</w:t>
      </w:r>
      <w:r w:rsidRPr="00954406">
        <w:fldChar w:fldCharType="end"/>
      </w:r>
      <w:bookmarkEnd w:id="8"/>
      <w:r>
        <w:t>.  Reclamanta a formulat recurs împotriva acestei decizii. Curtea de Casație a respins recursul, prin decizia din 9 ianuarie 2019, astfel motivată:</w:t>
      </w:r>
    </w:p>
    <w:p w14:paraId="5B5A84BC" w14:textId="2E0450DB" w:rsidR="00EF5ECF" w:rsidRPr="00954406" w:rsidRDefault="00EF5ECF" w:rsidP="00954406">
      <w:pPr>
        <w:pStyle w:val="JuQuot"/>
      </w:pPr>
      <w:r>
        <w:t xml:space="preserve">„întrucât, hotărând […] pe baza motivelor care caracterizează toate elementele constitutive, atât </w:t>
      </w:r>
      <w:proofErr w:type="spellStart"/>
      <w:r>
        <w:rPr>
          <w:i/>
          <w:iCs/>
        </w:rPr>
        <w:t>actus</w:t>
      </w:r>
      <w:proofErr w:type="spellEnd"/>
      <w:r>
        <w:rPr>
          <w:i/>
          <w:iCs/>
        </w:rPr>
        <w:t xml:space="preserve"> </w:t>
      </w:r>
      <w:proofErr w:type="spellStart"/>
      <w:r>
        <w:rPr>
          <w:i/>
          <w:iCs/>
        </w:rPr>
        <w:t>reus</w:t>
      </w:r>
      <w:proofErr w:type="spellEnd"/>
      <w:r>
        <w:t xml:space="preserve">, cât și </w:t>
      </w:r>
      <w:proofErr w:type="spellStart"/>
      <w:r>
        <w:rPr>
          <w:i/>
          <w:iCs/>
        </w:rPr>
        <w:t>mens</w:t>
      </w:r>
      <w:proofErr w:type="spellEnd"/>
      <w:r>
        <w:rPr>
          <w:i/>
          <w:iCs/>
        </w:rPr>
        <w:t xml:space="preserve"> rea</w:t>
      </w:r>
      <w:r>
        <w:t>, infracțiunea de exhibiționism săvârșită de dna Bouton, care, cu intenție, și-a dezgolit pieptul într-o biserică despre care știa că este deschisă publicului, indiferent de  mobilurile care, conform acesteia, îi inspiraseră acțiunea, Curtea de Apel – care nu trebuia să răspundă mijlocului de apărare întemeiat pe eroarea de drept pretins cauzată de un răspuns ministerial lipsit de valoare normativă și a cărei decizie nu a adus o atingere excesivă libertății de exprimare a persoanei în cauză, care trebuie conciliată cu dreptul altor persoane, recunoscut la art. 9 din Convenția europeană a drepturilor omului, de a nu fi tulburate în practicarea religiei lor – și-a motivat decizia. ”</w:t>
      </w:r>
    </w:p>
    <w:p w14:paraId="3AA3199B" w14:textId="77777777" w:rsidR="00EF5ECF" w:rsidRPr="00954406" w:rsidRDefault="00EF5ECF" w:rsidP="00954406">
      <w:pPr>
        <w:pStyle w:val="JuHHead"/>
      </w:pPr>
      <w:r>
        <w:t>CADRUL JURIDIC INTERN RELEVANT</w:t>
      </w:r>
    </w:p>
    <w:p w14:paraId="1E1A2C12" w14:textId="77777777" w:rsidR="00EF5ECF" w:rsidRPr="00954406" w:rsidRDefault="00EF5ECF" w:rsidP="00954406">
      <w:pPr>
        <w:pStyle w:val="JuHIRoman"/>
        <w:numPr>
          <w:ilvl w:val="1"/>
          <w:numId w:val="22"/>
        </w:numPr>
      </w:pPr>
      <w:r>
        <w:t>CODUL PENAL</w:t>
      </w:r>
    </w:p>
    <w:bookmarkStart w:id="9" w:name="paragraph00014"/>
    <w:p w14:paraId="6D19836E" w14:textId="4AF36F6D"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14</w:t>
      </w:r>
      <w:r w:rsidRPr="00954406">
        <w:fldChar w:fldCharType="end"/>
      </w:r>
      <w:bookmarkEnd w:id="9"/>
      <w:r>
        <w:t>.  Art. 222-32 din Codul penal figurează în partea codului privind „agresiunile sexuale”. În versiunea aplicabilă la data faptelor în litigiu, înainte de Legea nr. 21-478 din 21 aprilie 2021</w:t>
      </w:r>
      <w:r>
        <w:rPr>
          <w:vertAlign w:val="superscript"/>
        </w:rPr>
        <w:t xml:space="preserve"> </w:t>
      </w:r>
      <w:r>
        <w:t xml:space="preserve">care a extins infracțiunea de exhibiționism pentru a include săvârșirea explicită a unui act sexual la </w:t>
      </w:r>
      <w:r>
        <w:lastRenderedPageBreak/>
        <w:t>vederea altora chiar în lipsa expunerii unei părți dezgolite a corpului, acesta prevede că:</w:t>
      </w:r>
    </w:p>
    <w:p w14:paraId="06D40B73" w14:textId="7FFE43DA" w:rsidR="00EF5ECF" w:rsidRPr="00954406" w:rsidRDefault="00EF5ECF" w:rsidP="00954406">
      <w:pPr>
        <w:pStyle w:val="JuQuot"/>
      </w:pPr>
      <w:r>
        <w:t>„Exhibiționismul impus vederii altora într-un loc accesibil publicului se pedepsește cu închisoarea de un an și amendă de 15 000 EUR. ”</w:t>
      </w:r>
    </w:p>
    <w:p w14:paraId="0FC7F141" w14:textId="77777777" w:rsidR="00EF5ECF" w:rsidRPr="00954406" w:rsidRDefault="00EF5ECF" w:rsidP="00954406">
      <w:pPr>
        <w:pStyle w:val="JuHIRoman"/>
        <w:numPr>
          <w:ilvl w:val="1"/>
          <w:numId w:val="22"/>
        </w:numPr>
      </w:pPr>
      <w:r>
        <w:t>JURISPRUDENȚĂ JUDICIARĂ</w:t>
      </w:r>
    </w:p>
    <w:p w14:paraId="047F001E" w14:textId="72465638" w:rsidR="00EF5ECF" w:rsidRPr="00954406" w:rsidRDefault="00EF5ECF" w:rsidP="00954406">
      <w:pPr>
        <w:pStyle w:val="JuHA"/>
        <w:numPr>
          <w:ilvl w:val="2"/>
          <w:numId w:val="22"/>
        </w:numPr>
      </w:pPr>
      <w:r>
        <w:t xml:space="preserve">Caracterizarea infracțiunii de exhibiționism </w:t>
      </w:r>
    </w:p>
    <w:bookmarkStart w:id="10" w:name="paragraph00015"/>
    <w:p w14:paraId="1734268A" w14:textId="1367C476"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15</w:t>
      </w:r>
      <w:r w:rsidRPr="00954406">
        <w:fldChar w:fldCharType="end"/>
      </w:r>
      <w:bookmarkEnd w:id="10"/>
      <w:r>
        <w:t xml:space="preserve">.  Noțiunea de exhibiționism nu este definită la art. 222-32 </w:t>
      </w:r>
      <w:r w:rsidR="00841429">
        <w:t xml:space="preserve">din Codul penal. Jurisprudența </w:t>
      </w:r>
      <w:r>
        <w:t>Curții de Casație a urmărit să realize</w:t>
      </w:r>
      <w:r w:rsidR="00841429">
        <w:t>ze caracterizarea</w:t>
      </w:r>
      <w:r>
        <w:t xml:space="preserve"> elementelor constitutive. Caracterizarea infracțiunii de exhibiționism, în ceea ce privește sânii goi ai unei femei, a suscitat dezbateri ținând seama de evoluția moravurilor și de revendicarea unei nudități fără conotații sexuale în contexte speciale (nud artistic, nudism). Potrivit unei jurisprudențe consacrate rezultă că infracțiunea de exhibiționism incriminează, la data faptelor, un act care implica arătarea unei părți sexuale a corpului și care primea o anume publicitate. Dincolo de elementul material obiectiv al incriminării, nuditatea unei părți sexuale a corpului, actul trebuie să fie „impus vederii altora” și într</w:t>
      </w:r>
      <w:r w:rsidR="00841429">
        <w:noBreakHyphen/>
      </w:r>
      <w:r>
        <w:t xml:space="preserve">un loc accesibil publicului. Faptul că exhibiționismul este impus altora fără ca persoana să se aștepte la aceasta, fie prin surprindere, fie cu forța, justifică includerea acestui comportament în Codul penal în cadrul titlului „agresiuni sexuale” și implică existența unei legături între caracterizarea infracțiunii de exhibiționism și locul săvârșirii sale. În sfârșit, elementul </w:t>
      </w:r>
      <w:proofErr w:type="spellStart"/>
      <w:r>
        <w:rPr>
          <w:i/>
          <w:iCs/>
        </w:rPr>
        <w:t>mens</w:t>
      </w:r>
      <w:proofErr w:type="spellEnd"/>
      <w:r>
        <w:rPr>
          <w:i/>
          <w:iCs/>
        </w:rPr>
        <w:t xml:space="preserve"> rea</w:t>
      </w:r>
      <w:r>
        <w:t xml:space="preserve"> al infracțiunii constă doar în cunoașterea caracterului lipsit de pudoare al actului expunerii și nu depinde de mobilurile autorului. Prin decizia din 24 noiembrie 2021 (recurs nr. 21-81.412), Secția penală a Curții de Casație a hotărât astfel, pentru a respinge recursul introdus împotriva hotărârii judecătorești de condamnare a unui bărbat la plata a 600 EUR amendă pentru exhibiționism, că:</w:t>
      </w:r>
    </w:p>
    <w:p w14:paraId="46B732FB" w14:textId="6580F731" w:rsidR="00EF5ECF" w:rsidRPr="00954406" w:rsidRDefault="00EF5ECF" w:rsidP="00954406">
      <w:pPr>
        <w:pStyle w:val="JuQuot"/>
      </w:pPr>
      <w:r>
        <w:t>„6.  Pentru a declara inculpatul vinovat de exhibiționism, în hotărârea atacată se subliniază că din constatările jandarmilor, confirmate de fotografii, rezultă că dl [K] [B] s-a așezat gol pe mal, cu fața spre malul unde se aflau martori, într-o poziție din care i se putea vedea sexul.</w:t>
      </w:r>
    </w:p>
    <w:p w14:paraId="7D2B9F85" w14:textId="2483288D" w:rsidR="00EF5ECF" w:rsidRPr="00954406" w:rsidRDefault="00EF5ECF" w:rsidP="00954406">
      <w:pPr>
        <w:pStyle w:val="JuQuot"/>
      </w:pPr>
      <w:r>
        <w:t>7.  Instanța adaugă faptul că distanța care îi separa nu era suficientă pentru ca martorii să poată evita vederea sexului dezgolit al inculpatului și că, în plus, cel din urmă refuzase, în pofida solicitărilor, să se îmbrace.</w:t>
      </w:r>
    </w:p>
    <w:p w14:paraId="0D93B771" w14:textId="5620D188" w:rsidR="00EF5ECF" w:rsidRPr="00954406" w:rsidRDefault="00EF5ECF" w:rsidP="00954406">
      <w:pPr>
        <w:pStyle w:val="JuQuot"/>
      </w:pPr>
      <w:r>
        <w:t>8.  Aceasta reține că inculpatul își expunea nuditatea și vederii persoanelor care navigau pe ambarcațiuni, ca și celor care se plimbau.</w:t>
      </w:r>
    </w:p>
    <w:p w14:paraId="76F122EB" w14:textId="611D1FAF" w:rsidR="00EF5ECF" w:rsidRPr="00954406" w:rsidRDefault="00EF5ECF" w:rsidP="00954406">
      <w:pPr>
        <w:pStyle w:val="JuQuot"/>
      </w:pPr>
      <w:r>
        <w:t>9.  Instanța a concluzionat că voința dlui [B] de a-și impune nuditatea, știind că ofensa pudoarea altora, caracterizează elementul intențional al infracțiunii.</w:t>
      </w:r>
    </w:p>
    <w:p w14:paraId="1BD58C68" w14:textId="09D4CF30" w:rsidR="00EF5ECF" w:rsidRPr="00954406" w:rsidRDefault="00EF5ECF" w:rsidP="00954406">
      <w:pPr>
        <w:pStyle w:val="JuQuot"/>
      </w:pPr>
      <w:r>
        <w:t>10.  Pronunțându-se astfel și având în vedere că, pentru caracterizarea sa, infracțiunea de exhibiționism nu presupune nici un comportament sexual sau obscen, nici voința deliberată de a ofensa pudoarea altora, Curte</w:t>
      </w:r>
      <w:r w:rsidR="00A40733">
        <w:t>a de Apel și-a motivat decizia.</w:t>
      </w:r>
      <w:r>
        <w:t>”</w:t>
      </w:r>
    </w:p>
    <w:p w14:paraId="6A782F25" w14:textId="5E285958" w:rsidR="00EF5ECF" w:rsidRPr="00954406" w:rsidRDefault="00EF5ECF" w:rsidP="00954406">
      <w:pPr>
        <w:pStyle w:val="JuHA"/>
        <w:numPr>
          <w:ilvl w:val="2"/>
          <w:numId w:val="22"/>
        </w:numPr>
      </w:pPr>
      <w:r>
        <w:lastRenderedPageBreak/>
        <w:t>Cu privire la libertatea de exprimare a Femen</w:t>
      </w:r>
    </w:p>
    <w:bookmarkStart w:id="11" w:name="paragraph00016"/>
    <w:p w14:paraId="1FB59594" w14:textId="09A71108"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16</w:t>
      </w:r>
      <w:r w:rsidRPr="00954406">
        <w:fldChar w:fldCharType="end"/>
      </w:r>
      <w:bookmarkEnd w:id="11"/>
      <w:r>
        <w:t xml:space="preserve">.  Prin decizia din 23 ianuarie 2018 (recurs nr. 17-80.524), Curtea de Casație s-a pronunțat cu privire la gesturi obscene și afirmații șocante față de Biserică ale militantelor Femen care se înscriu în cadrul unor manifestații care au avut loc în Franța împotriva proiectului de lege care autoriza căsătoria cuplurilor de același sex. În cauză, secția penală a respins recursul introdus de AGRIF (Association </w:t>
      </w:r>
      <w:proofErr w:type="spellStart"/>
      <w:r>
        <w:t>alliance</w:t>
      </w:r>
      <w:proofErr w:type="spellEnd"/>
      <w:r>
        <w:t xml:space="preserve"> </w:t>
      </w:r>
      <w:proofErr w:type="spellStart"/>
      <w:r>
        <w:t>générale</w:t>
      </w:r>
      <w:proofErr w:type="spellEnd"/>
      <w:r>
        <w:t xml:space="preserve"> contre le </w:t>
      </w:r>
      <w:proofErr w:type="spellStart"/>
      <w:r>
        <w:t>racisme</w:t>
      </w:r>
      <w:proofErr w:type="spellEnd"/>
      <w:r>
        <w:t xml:space="preserve"> et </w:t>
      </w:r>
      <w:proofErr w:type="spellStart"/>
      <w:r>
        <w:t>pour</w:t>
      </w:r>
      <w:proofErr w:type="spellEnd"/>
      <w:r>
        <w:t xml:space="preserve"> le respect de </w:t>
      </w:r>
      <w:proofErr w:type="spellStart"/>
      <w:r>
        <w:t>l’identité</w:t>
      </w:r>
      <w:proofErr w:type="spellEnd"/>
      <w:r>
        <w:t xml:space="preserve"> </w:t>
      </w:r>
      <w:proofErr w:type="spellStart"/>
      <w:r>
        <w:t>française</w:t>
      </w:r>
      <w:proofErr w:type="spellEnd"/>
      <w:r>
        <w:t xml:space="preserve"> et </w:t>
      </w:r>
      <w:proofErr w:type="spellStart"/>
      <w:r>
        <w:t>chrétienne</w:t>
      </w:r>
      <w:proofErr w:type="spellEnd"/>
      <w:r>
        <w:t>) care contesta, mai cu seamă din motive legate de libertatea de exprimare, respingerea cererilor de despăgubiri care le vizau pe aceste militante, achitate de instanța penală pentru fapte constând în proferarea de injurii în public la adresa persoanelor pe criteriul religiei lor (art. 33 din Legea din 29 iulie 1881 privind libe</w:t>
      </w:r>
      <w:r w:rsidR="00607C46">
        <w:t>rtatea presei). Motivarea reținu</w:t>
      </w:r>
      <w:r>
        <w:t>tă era următoarea:</w:t>
      </w:r>
    </w:p>
    <w:p w14:paraId="14382144" w14:textId="61EC5A3B" w:rsidR="00EF5ECF" w:rsidRPr="00954406" w:rsidRDefault="00EF5ECF" w:rsidP="00954406">
      <w:pPr>
        <w:pStyle w:val="JuQuot"/>
      </w:pPr>
      <w:r>
        <w:t xml:space="preserve">„Întrucât din decizia atacată, din hotărârea pe care aceasta o confirmă și din actele de procedură rezultă că, la momentul manifestației organizate la 18 noiembrie 2012 de mai multe asociații împotriva proiectului de lege care permite căsătoria pentru cuplurile formate din persoane de același sex, tinere aparținând mișcării Femen au intrat cu forța, având pe cap acoperământul purtat de călugărițe și spatele gol, la fel ca și trunchiul, pe care erau înscrise mențiunile «in gay </w:t>
      </w:r>
      <w:proofErr w:type="spellStart"/>
      <w:r>
        <w:t>we</w:t>
      </w:r>
      <w:proofErr w:type="spellEnd"/>
      <w:r>
        <w:t xml:space="preserve"> trust», «sfântul spirit limitat», «</w:t>
      </w:r>
      <w:proofErr w:type="spellStart"/>
      <w:r>
        <w:t>fuck</w:t>
      </w:r>
      <w:proofErr w:type="spellEnd"/>
      <w:r>
        <w:t xml:space="preserve"> </w:t>
      </w:r>
      <w:proofErr w:type="spellStart"/>
      <w:r>
        <w:t>church</w:t>
      </w:r>
      <w:proofErr w:type="spellEnd"/>
      <w:r>
        <w:t xml:space="preserve">» și «ai grijă de fundul tău»; întrucât ele au scandat sloganul «in gay </w:t>
      </w:r>
      <w:proofErr w:type="spellStart"/>
      <w:r>
        <w:t>we</w:t>
      </w:r>
      <w:proofErr w:type="spellEnd"/>
      <w:r>
        <w:t xml:space="preserve"> trust» și au agitat spray-uri cu mențiunile «</w:t>
      </w:r>
      <w:proofErr w:type="spellStart"/>
      <w:r>
        <w:t>Holy</w:t>
      </w:r>
      <w:proofErr w:type="spellEnd"/>
      <w:r>
        <w:t xml:space="preserve"> </w:t>
      </w:r>
      <w:proofErr w:type="spellStart"/>
      <w:r>
        <w:t>sperm</w:t>
      </w:r>
      <w:proofErr w:type="spellEnd"/>
      <w:r>
        <w:t>» și «</w:t>
      </w:r>
      <w:proofErr w:type="spellStart"/>
      <w:r>
        <w:t>Jesus</w:t>
      </w:r>
      <w:proofErr w:type="spellEnd"/>
      <w:r>
        <w:t xml:space="preserve"> </w:t>
      </w:r>
      <w:proofErr w:type="spellStart"/>
      <w:r>
        <w:t>sperm</w:t>
      </w:r>
      <w:proofErr w:type="spellEnd"/>
      <w:r>
        <w:t>»; întrucât plângerea depusă, în special de AGRIF, a fost clasată, iar aceasta a formulat plângere și s-a constituit parte civilă pentru săvârșirea faptei de proferare de injurii în public la adresa persoanelor pe criteriul apartenenței lor la o  anumită religie; întrucât, pentru această acuzație, a fost pusă în mișcare acțiunea penală împotriva a șase membre ale Femen și au fost trimise în judecată în fața Tribunalului Corecțional care le-a achitat; întrucât AGRIF a formulat apel împotriva acestei decizii;</w:t>
      </w:r>
    </w:p>
    <w:p w14:paraId="4860E0A7" w14:textId="169CE228" w:rsidR="00EF5ECF" w:rsidRPr="00954406" w:rsidRDefault="00EF5ECF" w:rsidP="00954406">
      <w:pPr>
        <w:pStyle w:val="JuQuot"/>
      </w:pPr>
      <w:r>
        <w:t>Întrucât, pentru a constata că nu există probe de culpă civilă pe baza și în limitele faptelor care au făcut obiectul urmăririi penale pentru infracțiunea menționată, decizia subliniază că cele mai multe sloganuri prezentau un caracter de parodie și că cel mai violent dintre ele, «</w:t>
      </w:r>
      <w:proofErr w:type="spellStart"/>
      <w:r>
        <w:t>fuck</w:t>
      </w:r>
      <w:proofErr w:type="spellEnd"/>
      <w:r>
        <w:t xml:space="preserve"> </w:t>
      </w:r>
      <w:proofErr w:type="spellStart"/>
      <w:r>
        <w:t>church</w:t>
      </w:r>
      <w:proofErr w:type="spellEnd"/>
      <w:r>
        <w:t>», se adresa unei instituții și nu uneia sau mai multor persoane determinate, într-un mod provocator dar nu violent; întrucât judecătorii adaugă faptul că Femen și-au exprimat astfel opoziția față de o manifestare pe care au considerat-o intolerantă față de drepturile pe care ele înțelegeau să le apere, astfel încât cauza privește conflictul dintre două libertăți de exprimare, în forme care rămân tolerabile într-o societate democratică;</w:t>
      </w:r>
    </w:p>
    <w:p w14:paraId="4797544A" w14:textId="193EF98D" w:rsidR="00EF5ECF" w:rsidRPr="00954406" w:rsidRDefault="00EF5ECF" w:rsidP="00954406">
      <w:pPr>
        <w:pStyle w:val="JuQuot"/>
      </w:pPr>
      <w:r>
        <w:t>Întrucât, prin prisma acestor precizări, Curtea de Apel nu a ignorat textele prevăzute în motivare, din moment ce, deși intruziunea manifestantelor Femen constituia o tulburare a exercitării manifestării altora și deși ținuta lor, care deturna pentru a o ridiculiza pe cea a călugărițelor, sloganurile și gesturile lor, parțial obscene, au vizat în mod explicit învățăturile Bisericii Catolice, astfel încât puteau șoca persoanele prezente în convingerile lor religioase, totuși acestea nu aveau un caracter injurios față de aceste persoane pe criteriul apartenenței lor la această religie; [...] ”</w:t>
      </w:r>
    </w:p>
    <w:bookmarkStart w:id="12" w:name="paragraph00017"/>
    <w:p w14:paraId="13896AC2" w14:textId="26FA260B"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17</w:t>
      </w:r>
      <w:r w:rsidRPr="00954406">
        <w:fldChar w:fldCharType="end"/>
      </w:r>
      <w:bookmarkEnd w:id="12"/>
      <w:r>
        <w:t xml:space="preserve">.  Curtea de Casație a trebuit, de asemenea, să se pronunțe cu privire la calificarea infracțiunii de exhibiționism în ceea ce privește o militantă Femen care degradase, la 5 iunie 2014, statuia de ceară a președintelui rus Vladimir </w:t>
      </w:r>
      <w:r>
        <w:lastRenderedPageBreak/>
        <w:t xml:space="preserve">Putin expusă la Muzeul </w:t>
      </w:r>
      <w:proofErr w:type="spellStart"/>
      <w:r>
        <w:t>Grévin</w:t>
      </w:r>
      <w:proofErr w:type="spellEnd"/>
      <w:r>
        <w:t xml:space="preserve"> din Paris, și care era urmărită penal și pentru fapte de distrugere cu intenție a bunului altuia. Printr-o primă decizie din 10 ianuarie 2018, secția penală a statuat că infracțiunea de exhibiționism care rezultă din expunerea nudității pieptului feminin putea fi caracterizată, chiar în absența „oricărei conotații sexuale”. În consecință, a casat decizia Curții de Apel care infirmase, pentru acest motiv, hotărârea Tribunalului Corecțional de condamnare a inculpatei la plata unei amenzi de 1 500 EUR pentru cele două infracțiuni. Motivarea Curții de Casație este următoarea:</w:t>
      </w:r>
    </w:p>
    <w:p w14:paraId="19D16015" w14:textId="62FCC158" w:rsidR="00EF5ECF" w:rsidRPr="00954406" w:rsidRDefault="00EF5ECF" w:rsidP="00954406">
      <w:pPr>
        <w:pStyle w:val="JuQuot"/>
      </w:pPr>
      <w:r>
        <w:t>„[…] pentru a infirma în parte hotărârea care i-a fost deferită și a o achita pe dna Z... de infracțiunea de exhibiționism, în decizie se reține că expunerea trunchiului unei femei vederii altora, în afara unui element intențional de natură sexuală, nu poate fi încadrată, date fiind circumstanțele în care a avut loc expunerea la 5 iunie 2014, ca exhibiționism, deoarece era vorba despre folosirea de către inculpată a pieptului său gol pe care era un scris un mesaj cu scopul exprimării unei păreri în afara oricărei conotații sexuale;</w:t>
      </w:r>
    </w:p>
    <w:p w14:paraId="105FC3AC" w14:textId="71DB0C2A" w:rsidR="00EF5ECF" w:rsidRPr="00954406" w:rsidRDefault="00EF5ECF" w:rsidP="00954406">
      <w:pPr>
        <w:pStyle w:val="JuQuot"/>
      </w:pPr>
      <w:r>
        <w:t>Dar, întrucât, prin această hotărâre, atunci când a observat, independent de motivele invocate de inculpată, care nu au avut niciun efect asupra elementelor constitutive ale infracțiunii, că inculpata își expusese în mod voluntar pieptul într-un muzeu, loc deschis publicului, Curtea de Apel a interpretat eronat sensul și domeniul de aplicare al textului menționat anterior; [...] ”</w:t>
      </w:r>
    </w:p>
    <w:p w14:paraId="44E2603F" w14:textId="4DFE894D" w:rsidR="00EF5ECF" w:rsidRPr="00954406" w:rsidRDefault="00EF5ECF" w:rsidP="00954406">
      <w:pPr>
        <w:pStyle w:val="JuPara"/>
      </w:pPr>
      <w:r>
        <w:t xml:space="preserve">În aceeași cauză care se întorcea în fața Curții de Casație după trimiterea în fața Curții de Apel, în compunere diferită, prin o a doua decizie din 26 februarie 2020 (recurs nr. 19-81.827, Bull. </w:t>
      </w:r>
      <w:proofErr w:type="spellStart"/>
      <w:r>
        <w:t>crim</w:t>
      </w:r>
      <w:proofErr w:type="spellEnd"/>
      <w:r>
        <w:t>. 2020 nr.</w:t>
      </w:r>
      <w:r>
        <w:rPr>
          <w:vertAlign w:val="superscript"/>
        </w:rPr>
        <w:t> </w:t>
      </w:r>
      <w:r>
        <w:t>2), secția penală, respingând recursul introdus de parchet împotriva deciziei de trimitere a Curții de Apel care achita inculpata de exhibiționism, a statuat din nou, pe de o parte, că infracțiunea de exhibiționism era caracterizată, chiar și în absența unei intenții cu conotație sexuală a autorului infracțiunii și, pe de altă parte, a confirmat achitarea inculpatei de acuzația săvârșirii acestei fapte în baza exercitării libertății de exprimare. Motivele relevante ale deciziei sunt redactate după cum urmează:</w:t>
      </w:r>
    </w:p>
    <w:p w14:paraId="3B9324A8" w14:textId="03FE4857" w:rsidR="00EF5ECF" w:rsidRPr="00954406" w:rsidRDefault="00EF5ECF" w:rsidP="00954406">
      <w:pPr>
        <w:pStyle w:val="JuQuot"/>
      </w:pPr>
      <w:r>
        <w:t>„10.  Pentru a achita inculpata de infracțiunea de exhibiționism, Curtea de Apel reține că simpla expunere a pieptului unei femei nu intră sub incidența infracțiunii prevăzute la art. 222-32 din Codul penal, dacă intenția exprimată de autorul faptei este lipsită de orice conotație sexuală, nu vizează ofensarea pudorii altora, ci ține de manifestarea unei opinii politice, protejată de art. 10 din Convenția europeană a drepturilor omului.</w:t>
      </w:r>
    </w:p>
    <w:p w14:paraId="16F21DB8" w14:textId="656F9DFE" w:rsidR="00EF5ECF" w:rsidRPr="00954406" w:rsidRDefault="00EF5ECF" w:rsidP="00954406">
      <w:pPr>
        <w:pStyle w:val="JuQuot"/>
      </w:pPr>
      <w:r>
        <w:t xml:space="preserve">11.  Judecătorii enunță că inculpata declară că aparține mișcării numite „Femen”, care revendică un „feminism radical”, ale cărui adepte își expun sânii dezgoliți pe care sunt marcate mesaje politice, această formă de acțiune militantă reprezentând un refuz de a </w:t>
      </w:r>
      <w:proofErr w:type="spellStart"/>
      <w:r>
        <w:t>sexualiza</w:t>
      </w:r>
      <w:proofErr w:type="spellEnd"/>
      <w:r>
        <w:t xml:space="preserve"> corpul femeii și o redobândire a acestuia de către militante, prin intermediul expunerii nudității sale.</w:t>
      </w:r>
    </w:p>
    <w:p w14:paraId="616AE9C4" w14:textId="74A04C8C" w:rsidR="00EF5ECF" w:rsidRPr="00954406" w:rsidRDefault="00EF5ECF" w:rsidP="00954406">
      <w:pPr>
        <w:pStyle w:val="JuQuot"/>
      </w:pPr>
      <w:r>
        <w:t>12.  În decizie se adaugă faptul că modul în care societatea percepe corpul femeilor a evoluat în timp și că expunerea frecventă a nudității feminine în presă sau în publicitate, chiar într-un context având o conotație sexuală puternică, nu produce o reacție în numele moralei publice.</w:t>
      </w:r>
    </w:p>
    <w:p w14:paraId="5D9700CF" w14:textId="5C35EE2F" w:rsidR="00EF5ECF" w:rsidRPr="00954406" w:rsidRDefault="00EF5ECF" w:rsidP="00954406">
      <w:pPr>
        <w:pStyle w:val="JuQuot"/>
      </w:pPr>
      <w:r>
        <w:t xml:space="preserve">13.  Instanța de al doilea grad de jurisdicție subliniază că, deși unele acțiuni desfășurate de membrele mișcării „Femen” au fost sancționate ca atingeri de netolerat </w:t>
      </w:r>
      <w:r>
        <w:lastRenderedPageBreak/>
        <w:t xml:space="preserve">aduse libertății de gândire și libertății religioase, comportamentul inculpatei la muzeul </w:t>
      </w:r>
      <w:proofErr w:type="spellStart"/>
      <w:r>
        <w:t>Grévin</w:t>
      </w:r>
      <w:proofErr w:type="spellEnd"/>
      <w:r>
        <w:t xml:space="preserve"> nu intră într-un astfel de cadru și nu pare să contravină niciunui drept garantat printr-o dispoziție legislativă sau de reglementare.</w:t>
      </w:r>
    </w:p>
    <w:p w14:paraId="0506E1AA" w14:textId="72A888AC" w:rsidR="00EF5ECF" w:rsidRPr="00954406" w:rsidRDefault="00EF5ECF" w:rsidP="00954406">
      <w:pPr>
        <w:pStyle w:val="JuQuot"/>
      </w:pPr>
      <w:r>
        <w:t>14.  Curtea de Apel enunțase în mod eronat că simpla expunere a pieptului unei femei nu intră sub incidența infracțiunii prevăzute la art. 222-32 din Codul penal, dacă intenția exprimată de autorul faptei este lipsită de orice conotație sexuală.</w:t>
      </w:r>
    </w:p>
    <w:p w14:paraId="740BEFC7" w14:textId="355050AA" w:rsidR="00EF5ECF" w:rsidRPr="00954406" w:rsidRDefault="00EF5ECF" w:rsidP="00954406">
      <w:pPr>
        <w:pStyle w:val="JuQuot"/>
      </w:pPr>
      <w:r>
        <w:t>15.  Cu toate acestea, decizia nu poate fi cenzurată, dat fiind că din enunțurile judecătorilor pe fond rezultă că purtarea inculpatei face parte dintr-un demers de protest politic și că incriminarea sa, ținând seama de natura și de contextul acțiunii în cauză, ar constitui o ingerință disproporționată în exercitarea libertății de exprimare. ”</w:t>
      </w:r>
    </w:p>
    <w:p w14:paraId="08FA87E7" w14:textId="77777777" w:rsidR="00EF5ECF" w:rsidRPr="00954406" w:rsidRDefault="00EF5ECF" w:rsidP="00954406">
      <w:pPr>
        <w:pStyle w:val="JuHA"/>
        <w:numPr>
          <w:ilvl w:val="2"/>
          <w:numId w:val="22"/>
        </w:numPr>
      </w:pPr>
      <w:r>
        <w:t>Cu privire la întrebările prioritare de constituționalitate</w:t>
      </w:r>
    </w:p>
    <w:bookmarkStart w:id="13" w:name="paragraph00018"/>
    <w:p w14:paraId="0E3C5DE5" w14:textId="4894FD1A"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18</w:t>
      </w:r>
      <w:r w:rsidRPr="00954406">
        <w:fldChar w:fldCharType="end"/>
      </w:r>
      <w:bookmarkEnd w:id="13"/>
      <w:r>
        <w:t xml:space="preserve">.  Prin decizia din 9 aprilie 2014 (recurs nr.14-80.867), Curtea de Casație s-a pronunțat că nu era necesar să fie trimisă la Consiliul Constituțional o IPC formulată după cum urmează, de un bărbat care contesta punerea sa sub acuzare în fața Curții cu Jurați pentru fapte de viol, agresiuni sexuale în formă agravată și exhibiționism: „Articolul 222-32 din Codul penal este conform cu principiul legalității infracțiunilor și a pedepselor, cu articolul 8 din Declarația drepturilor omului și ale cetățeanului din 1789 și cu articolul 34 din Constituție care prevăd că exhibiționismul nu poate fi sancționat penal decât dacă elementele constitutive ale infracțiunii sunt suficient de </w:t>
      </w:r>
      <w:r w:rsidR="008D0420">
        <w:t>bine definite prin lege [...]?”.</w:t>
      </w:r>
      <w:r>
        <w:t xml:space="preserve"> Secția penală și-a motivat decizia în următorii termeni:</w:t>
      </w:r>
    </w:p>
    <w:p w14:paraId="3CEADDC7" w14:textId="382040D4" w:rsidR="00EF5ECF" w:rsidRPr="00954406" w:rsidRDefault="00EF5ECF" w:rsidP="00954406">
      <w:pPr>
        <w:pStyle w:val="JuQuot"/>
      </w:pPr>
      <w:r>
        <w:t>„Întrucât dispozițiile contestate sunt aplicabile în procedură;</w:t>
      </w:r>
    </w:p>
    <w:p w14:paraId="194AEEFE" w14:textId="16292847" w:rsidR="00EF5ECF" w:rsidRPr="00954406" w:rsidRDefault="00EF5ECF" w:rsidP="00954406">
      <w:pPr>
        <w:pStyle w:val="JuQuot"/>
      </w:pPr>
      <w:r>
        <w:t>Iar acestea nu au fost deja declarate conforme Constituției în motivarea și dispozitivul unei decizii a Consiliului Constituțional;</w:t>
      </w:r>
    </w:p>
    <w:p w14:paraId="6ABF35A0" w14:textId="4592E574" w:rsidR="00EF5ECF" w:rsidRPr="00954406" w:rsidRDefault="00EF5ECF" w:rsidP="00954406">
      <w:pPr>
        <w:pStyle w:val="JuQuot"/>
      </w:pPr>
      <w:r>
        <w:t>Dar întrucât întrebarea, care nu are ca obiect interpretarea unei dispoziții constituționale pe care Consiliul Constituțional nu ar fi avut ocazia să o aplice, nu este nouă;</w:t>
      </w:r>
    </w:p>
    <w:p w14:paraId="44793389" w14:textId="20027165" w:rsidR="00EF5ECF" w:rsidRPr="00954406" w:rsidRDefault="00EF5ECF" w:rsidP="00954406">
      <w:pPr>
        <w:pStyle w:val="JuQuot"/>
      </w:pPr>
      <w:r>
        <w:t>Și întrucât întrebarea adresată nu este, în mod evident, una serioasă, dat fiind că articolul 222-32 din Codul penal este redactat în termeni suficient de clari și de preciși pentru a permite interpretarea sa, care ține de funcția instanței penale, fără riscul de a fi arbitrară”</w:t>
      </w:r>
    </w:p>
    <w:bookmarkStart w:id="14" w:name="paragraph00019"/>
    <w:p w14:paraId="78BAE4A2" w14:textId="0E25F68F"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19</w:t>
      </w:r>
      <w:r w:rsidRPr="00954406">
        <w:fldChar w:fldCharType="end"/>
      </w:r>
      <w:bookmarkEnd w:id="14"/>
      <w:r>
        <w:t xml:space="preserve">.  Prin decizia din 16 februarie 2022 (recurs nr. 21-82.392), Curtea de Casație s-a pronunțat din nou asupra aceleiași chestiuni în urma unei IPC transmise de trei militante Femen urmărite penal pentru fapte de exhibiționism care manifestaseră topless cu ocazia comemorării, în 2018, a armistițiului de la 11 noiembrie 1918 pe Champs </w:t>
      </w:r>
      <w:proofErr w:type="spellStart"/>
      <w:r>
        <w:t>Élysées</w:t>
      </w:r>
      <w:proofErr w:type="spellEnd"/>
      <w:r>
        <w:t xml:space="preserve"> și care au fost condamnate de Curtea de Apel la pedepse, pentru două dintre ele, de o lună de închisoare cu suspendarea executării și, pentru a treia, urmărită și pentru fals și uz de fals, de 2 luni de închisoare cu suspendarea executării. În speță, întrebarea era extinsă la caracterul discriminatoriu al incriminării după cum nuditatea privea bustul feminin sau cel masculin. Secția penală reia motive în </w:t>
      </w:r>
      <w:r>
        <w:lastRenderedPageBreak/>
        <w:t xml:space="preserve">parte identice cu cele enunțate în decizia citată anterior din 9 aprilie 2014 (a se vedea pct. </w:t>
      </w:r>
      <w:r w:rsidRPr="00954406">
        <w:fldChar w:fldCharType="begin"/>
      </w:r>
      <w:r w:rsidRPr="00954406">
        <w:instrText xml:space="preserve">REF paragraph00018 \h \* CharFormat </w:instrText>
      </w:r>
      <w:r w:rsidRPr="00954406">
        <w:fldChar w:fldCharType="separate"/>
      </w:r>
      <w:r w:rsidR="00954406" w:rsidRPr="00954406">
        <w:t>18</w:t>
      </w:r>
      <w:r w:rsidRPr="00954406">
        <w:fldChar w:fldCharType="end"/>
      </w:r>
      <w:r>
        <w:t>) pentru a refuza să trimită Consiliului Constituțional întrebarea, în următorii termeni:</w:t>
      </w:r>
    </w:p>
    <w:p w14:paraId="34E22133" w14:textId="04447BD3" w:rsidR="00EF5ECF" w:rsidRPr="00954406" w:rsidRDefault="00EF5ECF" w:rsidP="00954406">
      <w:pPr>
        <w:pStyle w:val="JuQuot"/>
      </w:pPr>
      <w:r>
        <w:t>„1.  Întrebarea prioritară de constituționalitate este astfel redactată:</w:t>
      </w:r>
    </w:p>
    <w:p w14:paraId="62206F3A" w14:textId="370B6548" w:rsidR="00EF5ECF" w:rsidRPr="00954406" w:rsidRDefault="00EF5ECF" w:rsidP="00954406">
      <w:pPr>
        <w:pStyle w:val="JuQuot"/>
      </w:pPr>
      <w:r>
        <w:t>«Dispozițiile articolului 222-32 din Codul penal aduc atingere drepturilor și libertăților garantate de Constituție, mai exact:</w:t>
      </w:r>
    </w:p>
    <w:p w14:paraId="1157EBC6" w14:textId="28A29E00" w:rsidR="00EF5ECF" w:rsidRPr="00954406" w:rsidRDefault="00EF5ECF" w:rsidP="00954406">
      <w:pPr>
        <w:pStyle w:val="JuQuot"/>
      </w:pPr>
      <w:r>
        <w:t>- articolelor 5, 8 și 16 din Declarația drepturilor omului și ale cetățeanului din 1789, articolului 34 din Constituție, precum și principiilor legalității legii, al clarității legii, al previzibilității juridice și al securității juridice prin faptul că acestea nu definesc în mod clar și precis elementele constitutive ale infracțiunii, anume noțiunea de „exhibiționism”?</w:t>
      </w:r>
    </w:p>
    <w:p w14:paraId="74FCCD63" w14:textId="1167593E" w:rsidR="00EF5ECF" w:rsidRPr="00954406" w:rsidRDefault="00EF5ECF" w:rsidP="00954406">
      <w:pPr>
        <w:pStyle w:val="JuQuot"/>
      </w:pPr>
      <w:r>
        <w:t>- principiului necesității și celui al proporționalității pedepselor garantat la articolul 8 din Declarația drepturilor omului din 1789 prin faptul că respectivele dispoziții din Codul penal permit sancționarea penală a simplei expuneri a nudității busturilor feminine în orice loc accesibil privirii publicului?</w:t>
      </w:r>
    </w:p>
    <w:p w14:paraId="21605397" w14:textId="15C410B7" w:rsidR="00EF5ECF" w:rsidRPr="00954406" w:rsidRDefault="00EF5ECF" w:rsidP="00954406">
      <w:pPr>
        <w:pStyle w:val="JuQuot"/>
      </w:pPr>
      <w:r>
        <w:t>- principiului egalității care decurge din articolele 1, 6 și 13 din Declarația drepturilor omului și ale cetățeanului, din principiul egalității dintre bărbați și femei, consacrat de al treilea paragraf din preambulul la Constituția din 4 octombrie 1946 și din principiul nediscriminării, prin aceea că incriminează nuditatea trunchiului femeilor, dar nu pe cea a trunchiului bărbaților? ”</w:t>
      </w:r>
    </w:p>
    <w:p w14:paraId="07738ED1" w14:textId="725CEE34" w:rsidR="00EF5ECF" w:rsidRPr="00954406" w:rsidRDefault="00EF5ECF" w:rsidP="00954406">
      <w:pPr>
        <w:pStyle w:val="JuQuot"/>
      </w:pPr>
      <w:r>
        <w:t>2.  Dispoziția legislativă contestată este aplicabilă în procedură și nu a fost deja declarată conformă Constituției în motivarea și dispozitivul unei decizii a Consiliului Constituțional.</w:t>
      </w:r>
    </w:p>
    <w:p w14:paraId="773A9BEC" w14:textId="6C736F4E" w:rsidR="00EF5ECF" w:rsidRPr="00954406" w:rsidRDefault="00EF5ECF" w:rsidP="00954406">
      <w:pPr>
        <w:pStyle w:val="JuQuot"/>
      </w:pPr>
      <w:r>
        <w:t>3.  Întrebarea, care nu are ca obiect interpretarea unei dispoziții constituționale pe care Consiliul Constituțional nu ar fi avut ocazia să o aplice, nu este nouă.</w:t>
      </w:r>
    </w:p>
    <w:p w14:paraId="1E7CAF30" w14:textId="14F85952" w:rsidR="00EF5ECF" w:rsidRPr="00954406" w:rsidRDefault="00EF5ECF" w:rsidP="00954406">
      <w:pPr>
        <w:pStyle w:val="JuQuot"/>
      </w:pPr>
      <w:r>
        <w:t>4.  Întrebarea adresată nu prezintă caracter serios, pentru motivele care urmează:</w:t>
      </w:r>
    </w:p>
    <w:p w14:paraId="3059810E" w14:textId="2FBF6B22" w:rsidR="00EF5ECF" w:rsidRPr="00954406" w:rsidRDefault="00EF5ECF" w:rsidP="00954406">
      <w:pPr>
        <w:pStyle w:val="JuQuot"/>
      </w:pPr>
      <w:r>
        <w:t>5.  În primul rând, articolul 222-32 din Codul penal este redactat în termeni suficient de clari și de preciși pentru a permite o interpretare, care ține de funcția instanței penale, sub controlul Curții de Casație, fără riscul de a fi arbitrară.</w:t>
      </w:r>
    </w:p>
    <w:p w14:paraId="74B8CDE6" w14:textId="577EE4DB" w:rsidR="00EF5ECF" w:rsidRPr="00954406" w:rsidRDefault="00EF5ECF" w:rsidP="00954406">
      <w:pPr>
        <w:pStyle w:val="JuQuot"/>
      </w:pPr>
      <w:r>
        <w:t>6.  În al doilea rând, pedepsele prevăzute prin dispoziția criticată, pe care instanța are competența de a le adapta în funcție de situația supusă aprecierii sale, au fost considerate ca fiind necesare de legiuitor pentru a asigura păstrarea ordinii publice și nu par a fi vădit disproporționate în raport cu scopul urmărit.</w:t>
      </w:r>
    </w:p>
    <w:p w14:paraId="70BFEC42" w14:textId="01349F0E" w:rsidR="00EF5ECF" w:rsidRPr="00954406" w:rsidRDefault="00EF5ECF" w:rsidP="00954406">
      <w:pPr>
        <w:pStyle w:val="JuQuot"/>
      </w:pPr>
      <w:r>
        <w:t>7.  În al treilea rând, principiul egalității nu se opune nici ca legiuitorul să reglementeze în mod diferit situații diferite, nici ca acesta să deroge de la egalitate pe motive de interes general, iar articolul 222-32 din Codul penal se aplică deopotrivă bărbaților și femeilor, cu toate că deosebirile lor anatomice și reprezentațiile asociate acestora duc la un conținut diferit al noțiunii de exhibiționism. ”</w:t>
      </w:r>
    </w:p>
    <w:p w14:paraId="0DD79BFC" w14:textId="77777777" w:rsidR="00EF5ECF" w:rsidRPr="00954406" w:rsidRDefault="00EF5ECF" w:rsidP="00954406">
      <w:pPr>
        <w:pStyle w:val="JuHIRoman"/>
        <w:numPr>
          <w:ilvl w:val="1"/>
          <w:numId w:val="22"/>
        </w:numPr>
      </w:pPr>
      <w:r>
        <w:t>Alte documente</w:t>
      </w:r>
    </w:p>
    <w:bookmarkStart w:id="15" w:name="paragraph00020"/>
    <w:p w14:paraId="2387DDB4" w14:textId="4284954E"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20</w:t>
      </w:r>
      <w:r w:rsidRPr="00954406">
        <w:fldChar w:fldCharType="end"/>
      </w:r>
      <w:bookmarkEnd w:id="15"/>
      <w:r>
        <w:t xml:space="preserve">.  Comisia națională consultativă pentru drepturile omului (CNCDH) a emis un aviz la 20 noiembrie 2018 „referitor la violențele sexuale: o urgență socială și de sănătate publică, o miză a drepturilor fundamentale” (JO din 25 noiembrie 2018) în care se întreabă, în partea din aviz intitulată „Clarificarea </w:t>
      </w:r>
      <w:r>
        <w:lastRenderedPageBreak/>
        <w:t>dispozițiilor penale în materie de infracțiuni sexuale” cu privire la redactarea unor dispoziții penale care necesită, potrivit acesteia, o revizuire pentru a fi suficient de precise și lizibile pentru a răspunde cerințelor principiului legalității legii penale. Citează în special cazul infracțiunii de exhibiționism definite la art. 222-32 din Codul penal și exemplul urmăririi penale a unei militante a mișcării Femen pe acest temei (a se vedea pct. 41 din aviz).</w:t>
      </w:r>
    </w:p>
    <w:p w14:paraId="2E50FCFC" w14:textId="77777777" w:rsidR="00EF5ECF" w:rsidRPr="00954406" w:rsidRDefault="00EF5ECF" w:rsidP="00954406">
      <w:pPr>
        <w:pStyle w:val="JuHHead"/>
        <w:numPr>
          <w:ilvl w:val="0"/>
          <w:numId w:val="22"/>
        </w:numPr>
      </w:pPr>
      <w:r>
        <w:t>ÎN DREPT</w:t>
      </w:r>
    </w:p>
    <w:p w14:paraId="74062B08" w14:textId="5D26B672" w:rsidR="00EF5ECF" w:rsidRPr="00954406" w:rsidRDefault="00EF5ECF" w:rsidP="00954406">
      <w:pPr>
        <w:pStyle w:val="JuHIRoman"/>
        <w:numPr>
          <w:ilvl w:val="1"/>
          <w:numId w:val="22"/>
        </w:numPr>
      </w:pPr>
      <w:r>
        <w:t>CU PRIVIRE LA PRETINSA ÎNCĂLCARE A ART. 10 DIN CONVENȚIE</w:t>
      </w:r>
    </w:p>
    <w:p w14:paraId="2BADC9CB" w14:textId="00C02DC5" w:rsidR="00EF5ECF" w:rsidRPr="00954406" w:rsidRDefault="00E21F88" w:rsidP="00954406">
      <w:pPr>
        <w:pStyle w:val="JuPara"/>
      </w:pPr>
      <w:fldSimple w:instr=" SEQ level0 \*arabic ">
        <w:r w:rsidR="00954406" w:rsidRPr="00954406">
          <w:t>21</w:t>
        </w:r>
      </w:fldSimple>
      <w:r w:rsidR="00EF5ECF">
        <w:t>.  Reclamanta se plânge de condamnarea sa pentru fapte de exhibiționism săvârșite într-o biserică, cu ocazia unei acțiuni desfășurate în calitate de membră a Femen. Aceasta invocă încălcarea art. 10 din Convenție care prevede:</w:t>
      </w:r>
    </w:p>
    <w:p w14:paraId="45233C33" w14:textId="39555D46" w:rsidR="00EF5ECF" w:rsidRPr="00954406" w:rsidRDefault="00EF5ECF" w:rsidP="00954406">
      <w:pPr>
        <w:pStyle w:val="JuQuot"/>
      </w:pPr>
      <w:r>
        <w:t>„1.  Orice persoană are dreptul la libertatea de exprimare. Acest drept cuprinde libertatea de opinie și libertatea de a primi sau de a comunica informații ori idei fără amestecul autorităților publice și fără a ține seama de frontiere. [...]</w:t>
      </w:r>
    </w:p>
    <w:p w14:paraId="73C946FE" w14:textId="4FE35924" w:rsidR="00EF5ECF" w:rsidRPr="00954406" w:rsidRDefault="00EF5ECF" w:rsidP="00954406">
      <w:pPr>
        <w:pStyle w:val="JuQuot"/>
      </w:pPr>
      <w:r>
        <w:t>2.  Exercitarea acestor libertăți, ce comportă îndatoriri și responsabilități, poate fi supusă unor formalități, condiții, restrângeri sau sancțiuni prevăzute de lege, care constituie măsuri necesare, într-o societate democratică, pentru […] apărarea ordinii și prevenirea infracțiunilor, protecția sănătății sau a moralei, protecția reputație</w:t>
      </w:r>
      <w:r w:rsidR="00514D7E">
        <w:t>i sau a drepturilor altora […].</w:t>
      </w:r>
      <w:r>
        <w:t>”</w:t>
      </w:r>
    </w:p>
    <w:p w14:paraId="0BB56FA5" w14:textId="77777777" w:rsidR="00EF5ECF" w:rsidRPr="00954406" w:rsidRDefault="00EF5ECF" w:rsidP="00954406">
      <w:pPr>
        <w:pStyle w:val="JuHA"/>
      </w:pPr>
      <w:r>
        <w:t>Cu privire la admisibilitate</w:t>
      </w:r>
    </w:p>
    <w:p w14:paraId="4A88B9AC" w14:textId="42FD795C" w:rsidR="00EF5ECF" w:rsidRPr="00954406" w:rsidRDefault="00E21F88" w:rsidP="00954406">
      <w:pPr>
        <w:pStyle w:val="JuPara"/>
      </w:pPr>
      <w:fldSimple w:instr=" SEQ level0 \*arabic \* MERGEFORMAT ">
        <w:r w:rsidR="00954406" w:rsidRPr="00954406">
          <w:t>22</w:t>
        </w:r>
      </w:fldSimple>
      <w:r w:rsidR="00D1567A">
        <w:t>.  Constatând că acest capăt de cerere nu este în mod vădit nefondat și că nu prezintă niciun alt motiv de inadmisibilitate în sensul art. 35 din Convenție, Curtea îl declarată admisibil.</w:t>
      </w:r>
    </w:p>
    <w:p w14:paraId="6B4A9A05" w14:textId="77777777" w:rsidR="0092142F" w:rsidRPr="00954406" w:rsidRDefault="00EF5ECF" w:rsidP="00954406">
      <w:pPr>
        <w:pStyle w:val="JuHA"/>
      </w:pPr>
      <w:r>
        <w:t>Cu privire la fond</w:t>
      </w:r>
    </w:p>
    <w:p w14:paraId="33AF7001" w14:textId="77777777" w:rsidR="0092142F" w:rsidRPr="00954406" w:rsidRDefault="00EF5ECF" w:rsidP="00954406">
      <w:pPr>
        <w:pStyle w:val="JuH1"/>
        <w:numPr>
          <w:ilvl w:val="3"/>
          <w:numId w:val="22"/>
        </w:numPr>
      </w:pPr>
      <w:r>
        <w:t>Argumentele părților</w:t>
      </w:r>
    </w:p>
    <w:p w14:paraId="14896385" w14:textId="732D80B4" w:rsidR="00EF5ECF" w:rsidRPr="00954406" w:rsidRDefault="00EF5ECF" w:rsidP="00954406">
      <w:pPr>
        <w:pStyle w:val="JuHa0"/>
        <w:numPr>
          <w:ilvl w:val="4"/>
          <w:numId w:val="22"/>
        </w:numPr>
      </w:pPr>
      <w:r>
        <w:t>Reclamanta</w:t>
      </w:r>
    </w:p>
    <w:bookmarkStart w:id="16" w:name="paragraph00023"/>
    <w:p w14:paraId="75BB9BB6" w14:textId="653D480B" w:rsidR="00EF5ECF" w:rsidRPr="00954406" w:rsidRDefault="00EF5ECF" w:rsidP="00954406">
      <w:pPr>
        <w:pStyle w:val="JuPara"/>
      </w:pPr>
      <w:r w:rsidRPr="00954406">
        <w:fldChar w:fldCharType="begin"/>
      </w:r>
      <w:r w:rsidRPr="00954406">
        <w:instrText xml:space="preserve"> SEQ level0 \*arabic </w:instrText>
      </w:r>
      <w:r w:rsidRPr="00954406">
        <w:fldChar w:fldCharType="separate"/>
      </w:r>
      <w:r w:rsidR="00954406" w:rsidRPr="00954406">
        <w:t>23</w:t>
      </w:r>
      <w:r w:rsidRPr="00954406">
        <w:fldChar w:fldCharType="end"/>
      </w:r>
      <w:bookmarkEnd w:id="16"/>
      <w:r>
        <w:t xml:space="preserve">.  Reclamanta susține mai întâi că, în lipsa clarității și previzibilității necesare, ingerința pe care Guvernul a recunoscut-o în exercitarea libertății sale de exprimare nu era „prevăzută de lege” în sensul celui de-al doilea paragraf al art. 10. Ea argumentează în continuare că, deși se putea considera că această ingerință urmărea „un scop legitim”, și anume combaterea unei eventuale atingeri aduse ordinii publice ca urmare a unei nudități sexuale provocatoare, aceasta nu putea fi considerată „necesară într-o societate democratică” și proporțională cu scopul respectiv. Subliniază, în acest sens, că autoritățile naționale trebuiau să țină seama de dimensiunea politică care </w:t>
      </w:r>
      <w:r>
        <w:lastRenderedPageBreak/>
        <w:t xml:space="preserve">se află în centrul acțiunii sale militante, așa cum au făcut-o atunci când au exclus infracțiunea de exhibiționism în cazul militantei Femen care își dezgolise pieptul la Muzeul </w:t>
      </w:r>
      <w:proofErr w:type="spellStart"/>
      <w:r>
        <w:t>Grévin</w:t>
      </w:r>
      <w:proofErr w:type="spellEnd"/>
      <w:r>
        <w:t xml:space="preserve"> (a se vedea supra, pct. </w:t>
      </w:r>
      <w:r w:rsidRPr="00954406">
        <w:fldChar w:fldCharType="begin"/>
      </w:r>
      <w:r w:rsidRPr="00954406">
        <w:instrText xml:space="preserve">REF paragraph00017 \h \* CharFormat </w:instrText>
      </w:r>
      <w:r w:rsidRPr="00954406">
        <w:fldChar w:fldCharType="separate"/>
      </w:r>
      <w:r w:rsidR="00954406" w:rsidRPr="00954406">
        <w:t>17</w:t>
      </w:r>
      <w:r w:rsidRPr="00954406">
        <w:fldChar w:fldCharType="end"/>
      </w:r>
      <w:r>
        <w:t>).</w:t>
      </w:r>
    </w:p>
    <w:bookmarkStart w:id="17" w:name="paragraph00024"/>
    <w:p w14:paraId="39519060" w14:textId="6DB5C6C4"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24</w:t>
      </w:r>
      <w:r w:rsidRPr="00954406">
        <w:fldChar w:fldCharType="end"/>
      </w:r>
      <w:bookmarkEnd w:id="17"/>
      <w:r>
        <w:t xml:space="preserve">.  Reclamanta consideră că, departe de a fi în mod gratuit ofensatoare sau de a căuta să tulbure persoanele prezente în biserică în practicarea cultului lor, acțiunea sa se înscria în cadrul unei dezbateri publice despre locul femeilor în societate și urmărea să transmită un mesaj despre poziția Bisericii Catolice în ceea ce privește avortul. În acest sens, reamintește că protecția oferită de art. 10 trebuie extinsă la ideile care ofensează sau șochează un segment oarecare al populației. Pe de altă parte, ea contestă necesitatea de a concilia, în speță, două libertăți fundamentale protejate de art. 9 și de art. 10 din Convenție în lipsa oricărei ingerințe în exercitarea libertății de religie. Adaugă că condamnarea care i-a fost aplicată, </w:t>
      </w:r>
      <w:r>
        <w:rPr>
          <w:i/>
        </w:rPr>
        <w:t>a fortiori</w:t>
      </w:r>
      <w:r>
        <w:t xml:space="preserve"> fiind vorba despre o pedeapsă cu închisoarea cu suspendarea executării, pedeapsă privativă de libertate, nu poate permite să se concluzioneze în sensul proporționalității ingerinței în exercitarea libertății sale de exprimare.</w:t>
      </w:r>
    </w:p>
    <w:p w14:paraId="091C8513" w14:textId="77777777" w:rsidR="00EF5ECF" w:rsidRPr="00954406" w:rsidRDefault="00EF5ECF" w:rsidP="00954406">
      <w:pPr>
        <w:pStyle w:val="JuHa0"/>
        <w:numPr>
          <w:ilvl w:val="4"/>
          <w:numId w:val="22"/>
        </w:numPr>
      </w:pPr>
      <w:r>
        <w:t>Guvernul</w:t>
      </w:r>
    </w:p>
    <w:p w14:paraId="2629E758" w14:textId="2252C67B" w:rsidR="00EF5ECF" w:rsidRPr="00954406" w:rsidRDefault="00E21F88" w:rsidP="00954406">
      <w:pPr>
        <w:pStyle w:val="JuPara"/>
      </w:pPr>
      <w:fldSimple w:instr=" SEQ level0 \*arabic \* MERGEFORMAT ">
        <w:bookmarkStart w:id="18" w:name="paragraph00025"/>
        <w:r w:rsidR="00954406" w:rsidRPr="00954406">
          <w:t>25</w:t>
        </w:r>
        <w:bookmarkEnd w:id="18"/>
      </w:fldSimple>
      <w:r w:rsidR="00D1567A">
        <w:t xml:space="preserve">.  Guvernul nu contestă că condamnarea reclamantei constituie o ingerință în exercitarea dreptului acesteia la libertatea de exprimare. Apreciază, totuși, că cele trei condiții ale respectării libertății de exprimare sunt îndeplinite. Mai întâi, cu privire la existența unei ingerințe „prevăzute de lege”, consideră că condamnarea reclamantei pentru infracțiunea de exhibiționism rezulta din lege și dintr-o interpretare jurisprudențială accesibilă și previzibilă. În acest sens, menționează că textul art. 222-32 din Codul penal implică expunerea unei părți sexuale a corpului, dând un conținut obiectiv comportamentului incriminat, și că natura infracțiunii constă, de altfel, în caracterul public al actului și în elementul moral, care trebuie considerat separat de mobilul infracțiunii, conform unui principiu general al dreptului penal francez. Cu privire la nuditatea pieptului unei femei, Guvernul arată că se consideră în mod constant în jurisprudență ca fiind nuditatea unei părți intime a corpului. Acesta subliniază și că natura suficient de clară și de precisă a art. 222-32 citat anterior a fost reamintită de Curtea de Casație, care a refuzat să transmită la Consiliul Constituțional o IPC cu privire la conformitatea acestui articol cu principiul legalității infracțiunilor și a pedepselor (a se vedea pct. </w:t>
      </w:r>
      <w:r w:rsidR="00EF5ECF" w:rsidRPr="00954406">
        <w:fldChar w:fldCharType="begin"/>
      </w:r>
      <w:r w:rsidR="00EF5ECF" w:rsidRPr="00954406">
        <w:instrText xml:space="preserve">REF paragraph00018 \h \* CharFormat </w:instrText>
      </w:r>
      <w:r w:rsidR="00EF5ECF" w:rsidRPr="00954406">
        <w:fldChar w:fldCharType="separate"/>
      </w:r>
      <w:r w:rsidR="00954406" w:rsidRPr="00954406">
        <w:t>18</w:t>
      </w:r>
      <w:r w:rsidR="00EF5ECF" w:rsidRPr="00954406">
        <w:fldChar w:fldCharType="end"/>
      </w:r>
      <w:r w:rsidR="00D1567A">
        <w:t>). Guvernul a concluzionat că interpretarea de către instanțele naționale a acestui articol se poate efectua fără riscul de arbitrariu și ține, dimpotrivă, de atribuțiile instanței.</w:t>
      </w:r>
    </w:p>
    <w:bookmarkStart w:id="19" w:name="paragraph00026"/>
    <w:p w14:paraId="309CF2B6" w14:textId="1A87CFB8"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26</w:t>
      </w:r>
      <w:r w:rsidRPr="00954406">
        <w:fldChar w:fldCharType="end"/>
      </w:r>
      <w:bookmarkEnd w:id="19"/>
      <w:r>
        <w:t>.  Cu privire la existența unui „scop legitim” urmărit prin ingerința în exercitarea libertății de exprimare a reclamantei, Guvernul consideră în continuare că acesta decurge din nevoia de a proteja morala, ordinea publică și drepturile altora.</w:t>
      </w:r>
    </w:p>
    <w:bookmarkStart w:id="20" w:name="paragraph00027"/>
    <w:p w14:paraId="1017FE7F" w14:textId="1B4A9679"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27</w:t>
      </w:r>
      <w:r w:rsidRPr="00954406">
        <w:fldChar w:fldCharType="end"/>
      </w:r>
      <w:bookmarkEnd w:id="20"/>
      <w:r>
        <w:t xml:space="preserve">.  În sfârșit, cu privire la „necesitatea ingerinței într-o societate democratică”, Guvernul afirmă că condamnarea reclamantei nu era în niciun </w:t>
      </w:r>
      <w:r>
        <w:lastRenderedPageBreak/>
        <w:t xml:space="preserve">fel legată de natura ideilor exprimate vizând avortul și nici de o eventuală lipsă de respect față de credințele altora, în speță fiind sancționată numai forma și nu conținutul mesajului exprimat. Făcând trimitere în special la Hotărârea </w:t>
      </w:r>
      <w:proofErr w:type="spellStart"/>
      <w:r>
        <w:rPr>
          <w:i/>
        </w:rPr>
        <w:t>Aydın</w:t>
      </w:r>
      <w:proofErr w:type="spellEnd"/>
      <w:r>
        <w:rPr>
          <w:i/>
        </w:rPr>
        <w:t xml:space="preserve"> </w:t>
      </w:r>
      <w:proofErr w:type="spellStart"/>
      <w:r>
        <w:rPr>
          <w:i/>
        </w:rPr>
        <w:t>Tatlav</w:t>
      </w:r>
      <w:proofErr w:type="spellEnd"/>
      <w:r>
        <w:rPr>
          <w:i/>
        </w:rPr>
        <w:t xml:space="preserve"> împotriva Turciei</w:t>
      </w:r>
      <w:r>
        <w:t xml:space="preserve"> (nr.</w:t>
      </w:r>
      <w:r>
        <w:rPr>
          <w:vertAlign w:val="superscript"/>
        </w:rPr>
        <w:t> </w:t>
      </w:r>
      <w:r>
        <w:t>50692/99, 2 mai 2006), subliniază că exercitarea libertății de exprimare cuprinde și îndatoriri și responsabilități, între care obligația, în contextul credințelor religioase, de a evita expresiile gratuit ofensatoare față de alții și profanatoare, precum și îndatorirea de a respecta normele penale de drept comun. Guvernul consideră că statele beneficiază de asemenea în materie de o marjă de apreciere pentru a reprima, în caz de „nevoie socială imperioasă”, anumite forme de comportament apreciate ca incompatibile cu respectarea libertății de conștiință și de religie a altora. Invocă faptul că, în speță, comportamentul reclamantei avea drept scop să ofenseze intenționat sentimentele religioase ale persoanelor prezente în biserică, pentru a deduce de aici că exista o marjă de apreciere asupra mijloacelor de sancționare a acestui comportament.</w:t>
      </w:r>
    </w:p>
    <w:p w14:paraId="038B0177" w14:textId="2D9C7761" w:rsidR="00EF5ECF" w:rsidRPr="00954406" w:rsidRDefault="00E21F88" w:rsidP="00954406">
      <w:pPr>
        <w:pStyle w:val="JuPara"/>
      </w:pPr>
      <w:fldSimple w:instr=" SEQ level0 \*arabic \* MERGEFORMAT ">
        <w:r w:rsidR="00954406" w:rsidRPr="00954406">
          <w:t>28</w:t>
        </w:r>
      </w:fldSimple>
      <w:r w:rsidR="00D1567A">
        <w:t>.  Guvernul constată de altfel că motivele dezvoltate de instanțele naționale erau suficiente și pertinente, acestea constatând că acțiunea militantă a reclamantei nu se limita la o contribuție la dezbaterea privind drepturile femeilor, ci avea ca scop și ofensarea altora, în special, printr-un exhibiționism care este sancționat de legea penală. Adaugă că acestea au justificat astfel sancțiunea aplicată reclamantei, care era rezonabilă în raport cu împrejurările cauzei și drepturile în balanță, atât în ceea ce privește pedeapsa, cât și suma despăgubirii civile acordate administratorului bisericii. Acesta a concluzionat că, în împrejurările cauzei, a fost asigurat un just echilibru între protejarea libertății de exprimare a reclamantei și protejarea drepturilor altora.</w:t>
      </w:r>
    </w:p>
    <w:p w14:paraId="06C3F5F8" w14:textId="77777777" w:rsidR="00EF5ECF" w:rsidRPr="00954406" w:rsidRDefault="00EF5ECF" w:rsidP="00954406">
      <w:pPr>
        <w:pStyle w:val="JuH1"/>
      </w:pPr>
      <w:r>
        <w:t>Motivarea Curții</w:t>
      </w:r>
    </w:p>
    <w:bookmarkStart w:id="21" w:name="paragraph00029"/>
    <w:p w14:paraId="26BFE65D" w14:textId="4A93FA00" w:rsidR="00EF5ECF" w:rsidRPr="00954406" w:rsidRDefault="00EF5ECF" w:rsidP="00954406">
      <w:pPr>
        <w:pStyle w:val="JuPara"/>
      </w:pPr>
      <w:r w:rsidRPr="00954406">
        <w:fldChar w:fldCharType="begin"/>
      </w:r>
      <w:r w:rsidRPr="00954406">
        <w:instrText xml:space="preserve"> SEQ level0 \*arabic </w:instrText>
      </w:r>
      <w:r w:rsidRPr="00954406">
        <w:fldChar w:fldCharType="separate"/>
      </w:r>
      <w:r w:rsidR="00954406" w:rsidRPr="00954406">
        <w:t>29</w:t>
      </w:r>
      <w:r w:rsidRPr="00954406">
        <w:fldChar w:fldCharType="end"/>
      </w:r>
      <w:bookmarkEnd w:id="21"/>
      <w:r>
        <w:t xml:space="preserve">.  Cu privire la existența unei ingerințe în exercitarea de către reclamantă a dreptului la libertatea de exprimare, Curtea subliniază că Guvernul, fără a contesta existența unei astfel de ingerințe, invocă faptul că reclamanta a fost sancționată nu pe motivul ideilor pe care le apăra, ci pe motiv că a săvârșit o infracțiune de natură sexuală (a se vedea pct. </w:t>
      </w:r>
      <w:r w:rsidRPr="00954406">
        <w:fldChar w:fldCharType="begin"/>
      </w:r>
      <w:r w:rsidRPr="00954406">
        <w:instrText xml:space="preserve">REF paragraph00027 \h \* CharFormat  \* MERGEFORMAT </w:instrText>
      </w:r>
      <w:r w:rsidRPr="00954406">
        <w:fldChar w:fldCharType="separate"/>
      </w:r>
      <w:r w:rsidR="00954406" w:rsidRPr="00954406">
        <w:t>27</w:t>
      </w:r>
      <w:r w:rsidRPr="00954406">
        <w:fldChar w:fldCharType="end"/>
      </w:r>
      <w:r>
        <w:t>).</w:t>
      </w:r>
    </w:p>
    <w:p w14:paraId="6F15C47B" w14:textId="69CABBFF" w:rsidR="00EF5ECF" w:rsidRPr="00954406" w:rsidRDefault="00E21F88" w:rsidP="00954406">
      <w:pPr>
        <w:pStyle w:val="JuPara"/>
      </w:pPr>
      <w:fldSimple w:instr=" SEQ level0 \*arabic \* MERGEFORMAT ">
        <w:r w:rsidR="00954406" w:rsidRPr="00954406">
          <w:t>30</w:t>
        </w:r>
      </w:fldSimple>
      <w:r w:rsidR="00D1567A">
        <w:t xml:space="preserve">.  În acest scop și cu titlu introductiv, Curtea reamintește că ideile sau opiniile unei persoane pot fi exprimate prin conduite sau comportamente (a se vedea, de exemplu, </w:t>
      </w:r>
      <w:r w:rsidR="00D1567A">
        <w:rPr>
          <w:i/>
        </w:rPr>
        <w:t>Mătăsaru împotriva Republicii Moldova</w:t>
      </w:r>
      <w:r w:rsidR="00D1567A">
        <w:t xml:space="preserve">, nr. 69714/16 și 71685/16, pct. 29, 15 ianuarie 2019, </w:t>
      </w:r>
      <w:proofErr w:type="spellStart"/>
      <w:r w:rsidR="00D1567A">
        <w:rPr>
          <w:i/>
        </w:rPr>
        <w:t>Ibrahimov</w:t>
      </w:r>
      <w:proofErr w:type="spellEnd"/>
      <w:r w:rsidR="00D1567A">
        <w:rPr>
          <w:i/>
        </w:rPr>
        <w:t xml:space="preserve"> și Mammadov împotriva Azerbaidjanului</w:t>
      </w:r>
      <w:r w:rsidR="00D1567A">
        <w:t xml:space="preserve">, nr. 63571/16 și alte 5, pct. 166 și 167, 13 februarie 2020, și </w:t>
      </w:r>
      <w:proofErr w:type="spellStart"/>
      <w:r w:rsidR="00D1567A">
        <w:rPr>
          <w:i/>
        </w:rPr>
        <w:t>Handzhiyski</w:t>
      </w:r>
      <w:proofErr w:type="spellEnd"/>
      <w:r w:rsidR="00D1567A">
        <w:rPr>
          <w:i/>
        </w:rPr>
        <w:t xml:space="preserve"> împotriva Bulgariei</w:t>
      </w:r>
      <w:r w:rsidR="00D1567A">
        <w:t xml:space="preserve">, nr. 10783/14, pct. 45, 6 aprilie 2021) și că deja a hotărât că art. 10 se putea aplica unor moduri de exprimare artistică, arta și creația contribuind la schimburile de idei și de opinii (a se vedea, în special, </w:t>
      </w:r>
      <w:r w:rsidR="00D1567A">
        <w:rPr>
          <w:i/>
        </w:rPr>
        <w:t>Müller și alții împotriva Elveției</w:t>
      </w:r>
      <w:r w:rsidR="00D1567A">
        <w:t xml:space="preserve">, citată anterior, pct. 27 și 33, </w:t>
      </w:r>
      <w:proofErr w:type="spellStart"/>
      <w:r w:rsidR="00D1567A">
        <w:rPr>
          <w:i/>
        </w:rPr>
        <w:t>Ulusoy</w:t>
      </w:r>
      <w:proofErr w:type="spellEnd"/>
      <w:r w:rsidR="00D1567A">
        <w:rPr>
          <w:i/>
        </w:rPr>
        <w:t xml:space="preserve"> și alții împotriva Turciei</w:t>
      </w:r>
      <w:r w:rsidR="00D1567A">
        <w:t xml:space="preserve">, nr. 34797/03, pct. 28 și 29, 3 mai 2007). Astfel, Curtea a admis că intrau în sfera libertății de exprimare protejate de art. 10 </w:t>
      </w:r>
      <w:r w:rsidR="00D1567A">
        <w:lastRenderedPageBreak/>
        <w:t xml:space="preserve">„performance-urile” constând într-un amestec de exprimări verbale și comportamentale și care se transpuneau într-o formă de exprimare artistică și politică (a se vedea, în special, cu privire la un performance muzical al trupei punk feministe ruse </w:t>
      </w:r>
      <w:proofErr w:type="spellStart"/>
      <w:r w:rsidR="00D1567A">
        <w:rPr>
          <w:i/>
        </w:rPr>
        <w:t>Pussy</w:t>
      </w:r>
      <w:proofErr w:type="spellEnd"/>
      <w:r w:rsidR="00D1567A">
        <w:rPr>
          <w:i/>
        </w:rPr>
        <w:t xml:space="preserve"> </w:t>
      </w:r>
      <w:proofErr w:type="spellStart"/>
      <w:r w:rsidR="00D1567A">
        <w:rPr>
          <w:i/>
        </w:rPr>
        <w:t>Riot</w:t>
      </w:r>
      <w:proofErr w:type="spellEnd"/>
      <w:r w:rsidR="00D1567A">
        <w:t xml:space="preserve"> într-o catedrală, hotărârea </w:t>
      </w:r>
      <w:proofErr w:type="spellStart"/>
      <w:r w:rsidR="00D1567A">
        <w:rPr>
          <w:i/>
        </w:rPr>
        <w:t>Mariya</w:t>
      </w:r>
      <w:proofErr w:type="spellEnd"/>
      <w:r w:rsidR="00D1567A">
        <w:rPr>
          <w:i/>
        </w:rPr>
        <w:t xml:space="preserve"> </w:t>
      </w:r>
      <w:proofErr w:type="spellStart"/>
      <w:r w:rsidR="00D1567A">
        <w:rPr>
          <w:i/>
        </w:rPr>
        <w:t>Alekhina</w:t>
      </w:r>
      <w:proofErr w:type="spellEnd"/>
      <w:r w:rsidR="00D1567A">
        <w:rPr>
          <w:i/>
        </w:rPr>
        <w:t xml:space="preserve"> și alții împotriva Rusiei</w:t>
      </w:r>
      <w:r w:rsidR="00D1567A">
        <w:t xml:space="preserve">, nr. 38004/12, pct. 202-206, 17 iulie 2018). Curtea a admis, în alt context, și că nuditatea în public putea fi considerată una dintre formele libertății de exprimare (a se vedea </w:t>
      </w:r>
      <w:proofErr w:type="spellStart"/>
      <w:r w:rsidR="00D1567A">
        <w:rPr>
          <w:i/>
        </w:rPr>
        <w:t>Gough</w:t>
      </w:r>
      <w:proofErr w:type="spellEnd"/>
      <w:r w:rsidR="00D1567A">
        <w:rPr>
          <w:i/>
        </w:rPr>
        <w:t xml:space="preserve"> împotriva Regatului Unit</w:t>
      </w:r>
      <w:r w:rsidR="00D1567A">
        <w:t>, nr. 49327/11, pct. 150, 28 octombrie 2014). Totuși, în hotărârea citată anterior</w:t>
      </w:r>
      <w:r w:rsidR="00D1567A">
        <w:rPr>
          <w:i/>
        </w:rPr>
        <w:t xml:space="preserve"> </w:t>
      </w:r>
      <w:proofErr w:type="spellStart"/>
      <w:r w:rsidR="00D1567A">
        <w:rPr>
          <w:i/>
        </w:rPr>
        <w:t>Mariya</w:t>
      </w:r>
      <w:proofErr w:type="spellEnd"/>
      <w:r w:rsidR="00D1567A">
        <w:rPr>
          <w:i/>
        </w:rPr>
        <w:t xml:space="preserve"> </w:t>
      </w:r>
      <w:proofErr w:type="spellStart"/>
      <w:r w:rsidR="00D1567A">
        <w:rPr>
          <w:i/>
        </w:rPr>
        <w:t>Alekhina</w:t>
      </w:r>
      <w:proofErr w:type="spellEnd"/>
      <w:r w:rsidR="00D1567A">
        <w:rPr>
          <w:i/>
        </w:rPr>
        <w:t xml:space="preserve"> și alții</w:t>
      </w:r>
      <w:r w:rsidR="00D1567A">
        <w:t xml:space="preserve">, Curtea a amintit că, în pofida importanței recunoscute a libertății de exprimare, art. 10 nu conferă libertatea de a alege un forum în vederea exercitării acestui drept și a precizat că desfășurarea unei prestații artistice sau rostirea unui discurs politic într-un loc accesibil în mod liber publicului putea implica, conform naturii și funcției locului, respectarea anumitor reguli de conduită prevăzute (a se vedea </w:t>
      </w:r>
      <w:proofErr w:type="spellStart"/>
      <w:r w:rsidR="00D1567A">
        <w:rPr>
          <w:i/>
        </w:rPr>
        <w:t>Mariya</w:t>
      </w:r>
      <w:proofErr w:type="spellEnd"/>
      <w:r w:rsidR="00D1567A">
        <w:rPr>
          <w:i/>
        </w:rPr>
        <w:t xml:space="preserve"> </w:t>
      </w:r>
      <w:proofErr w:type="spellStart"/>
      <w:r w:rsidR="00D1567A">
        <w:rPr>
          <w:i/>
        </w:rPr>
        <w:t>Alekhina</w:t>
      </w:r>
      <w:proofErr w:type="spellEnd"/>
      <w:r w:rsidR="00D1567A">
        <w:rPr>
          <w:i/>
        </w:rPr>
        <w:t xml:space="preserve"> și alții</w:t>
      </w:r>
      <w:r w:rsidR="00D1567A">
        <w:t>, citată anterior, pct. 213).</w:t>
      </w:r>
    </w:p>
    <w:bookmarkStart w:id="22" w:name="paragraph00031"/>
    <w:p w14:paraId="21AAFEFA" w14:textId="606BE45E"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31</w:t>
      </w:r>
      <w:r w:rsidRPr="00954406">
        <w:fldChar w:fldCharType="end"/>
      </w:r>
      <w:bookmarkEnd w:id="22"/>
      <w:r>
        <w:t>.  În prezenta cauză, Curtea consideră, la fel ca părțile, că condamnarea în litigiu, în contextul unui „performance” militant al reclamantei, a constituit o ingerință în exercitarea dreptului la libertatea de exprimare protejat de art. 10 § 1 din  Convenție. O asemenea ingerință este contrară art. 10, cu excepția cazului în care este „prevăzută de lege”, urmărește unul sau mai multe dintre scopurile legitime prevăzute la al doilea paragraf al acestui articol și este „necesară într-o societate democratică” pentru îndeplinirea acestora.</w:t>
      </w:r>
    </w:p>
    <w:p w14:paraId="1CCE6E98" w14:textId="36758E24" w:rsidR="0092142F" w:rsidRPr="00954406" w:rsidRDefault="00EF5ECF" w:rsidP="00954406">
      <w:pPr>
        <w:pStyle w:val="JuHa0"/>
      </w:pPr>
      <w:r>
        <w:t>Prevăzută de lege</w:t>
      </w:r>
    </w:p>
    <w:p w14:paraId="721D4044" w14:textId="3CAB905F" w:rsidR="00EF5ECF" w:rsidRPr="00954406" w:rsidRDefault="00EF5ECF" w:rsidP="00954406">
      <w:pPr>
        <w:pStyle w:val="JuHi"/>
      </w:pPr>
      <w:r>
        <w:t>Principii generale</w:t>
      </w:r>
    </w:p>
    <w:p w14:paraId="67376870" w14:textId="333BFACF" w:rsidR="00EF5ECF" w:rsidRPr="00954406" w:rsidRDefault="00E21F88" w:rsidP="00954406">
      <w:pPr>
        <w:pStyle w:val="JuPara"/>
      </w:pPr>
      <w:fldSimple w:instr=" SEQ level0 \*arabic ">
        <w:r w:rsidR="00954406" w:rsidRPr="00954406">
          <w:t>32</w:t>
        </w:r>
      </w:fldSimple>
      <w:r w:rsidR="00EF5ECF">
        <w:t xml:space="preserve">.  Curtea face trimitere la principiile cu privire la cerința de previzibilitate a legii din perspectiva art. 10 așa cum sunt prezentate în hotărârile </w:t>
      </w:r>
      <w:proofErr w:type="spellStart"/>
      <w:r w:rsidR="00EF5ECF">
        <w:rPr>
          <w:i/>
        </w:rPr>
        <w:t>Perinçek</w:t>
      </w:r>
      <w:proofErr w:type="spellEnd"/>
      <w:r w:rsidR="00EF5ECF">
        <w:rPr>
          <w:i/>
        </w:rPr>
        <w:t xml:space="preserve"> împotriva Elveției</w:t>
      </w:r>
      <w:r w:rsidR="00EF5ECF">
        <w:t xml:space="preserve"> [(MC), nr. 27510/08, pct. 131</w:t>
      </w:r>
      <w:r w:rsidR="00EF5ECF">
        <w:noBreakHyphen/>
        <w:t xml:space="preserve">136, CEDO 2015 (extrase)] și </w:t>
      </w:r>
      <w:proofErr w:type="spellStart"/>
      <w:r w:rsidR="00EF5ECF">
        <w:rPr>
          <w:i/>
        </w:rPr>
        <w:t>Selahattin</w:t>
      </w:r>
      <w:proofErr w:type="spellEnd"/>
      <w:r w:rsidR="00EF5ECF">
        <w:rPr>
          <w:i/>
        </w:rPr>
        <w:t xml:space="preserve"> </w:t>
      </w:r>
      <w:proofErr w:type="spellStart"/>
      <w:r w:rsidR="00EF5ECF">
        <w:rPr>
          <w:i/>
        </w:rPr>
        <w:t>Demirtaş</w:t>
      </w:r>
      <w:proofErr w:type="spellEnd"/>
      <w:r w:rsidR="00EF5ECF">
        <w:rPr>
          <w:i/>
        </w:rPr>
        <w:t xml:space="preserve"> împotriva Turciei (nr. 2)</w:t>
      </w:r>
      <w:r w:rsidR="00EF5ECF">
        <w:t xml:space="preserve"> [(MC) nr.</w:t>
      </w:r>
      <w:r w:rsidR="00EF5ECF">
        <w:rPr>
          <w:vertAlign w:val="superscript"/>
        </w:rPr>
        <w:t> </w:t>
      </w:r>
      <w:r w:rsidR="00EF5ECF">
        <w:t>14305/17, pct. 249-254, 22 decembrie 2020].</w:t>
      </w:r>
    </w:p>
    <w:p w14:paraId="53AE74B7" w14:textId="195675F4" w:rsidR="00EF5ECF" w:rsidRPr="00954406" w:rsidRDefault="00E21F88" w:rsidP="00954406">
      <w:pPr>
        <w:pStyle w:val="JuPara"/>
      </w:pPr>
      <w:fldSimple w:instr=" SEQ level0 \*arabic \* MERGEFORMAT ">
        <w:r w:rsidR="00954406" w:rsidRPr="00954406">
          <w:t>33</w:t>
        </w:r>
      </w:fldSimple>
      <w:r w:rsidR="00D1567A">
        <w:t xml:space="preserve">.  Curtea subliniază, în special, că nu poate fi considerată „lege” decât o normă enunțată suficient de precis pentru a permite justițiabilului să își adapteze comportamentul. Recurgând la nevoie la consiliere adecvată, acesta trebuie să fie în măsură să prevadă, într‑un grad rezonabil în împrejurările cauzei, consecințele care pot să decurgă dintr‑o acțiune determinată. Cu toate acestea, Curtea a precizat că aceste consecințe nu trebuiau să fie previzibile cu o certitudine absolută, deoarece experiența a demonstrat că acestea nu pot fi anticipate. Chiar în cazurile în care ingerința în exercitarea dreptului reclamanților la libertatea de exprimare îmbrăca forma unei „sancțiuni” penale, Curtea a recunoscut imposibilitatea de a ajunge la o precizie absolută în redactarea legilor, mai cu seamă în domenii în care situația variază potrivit opiniilor predominante din societate, și a admis că necesitatea de a evita rigiditatea și de a se adapta la schimbările de situație implică recurgerea în </w:t>
      </w:r>
      <w:r w:rsidR="00D1567A">
        <w:lastRenderedPageBreak/>
        <w:t xml:space="preserve">numeroase legi la formule mai mult sau mai puțin vagi, a căror interpretare și aplicare depind de practică (a se vedea, printre multe altele, </w:t>
      </w:r>
      <w:r w:rsidR="00D1567A">
        <w:rPr>
          <w:i/>
        </w:rPr>
        <w:t>Müller și alții împotriva Elveției</w:t>
      </w:r>
      <w:r w:rsidR="00D1567A">
        <w:t xml:space="preserve">, 24 mai 1988, pct. 29, seria A nr. 133, </w:t>
      </w:r>
      <w:proofErr w:type="spellStart"/>
      <w:r w:rsidR="00D1567A">
        <w:rPr>
          <w:i/>
        </w:rPr>
        <w:t>Tammer</w:t>
      </w:r>
      <w:proofErr w:type="spellEnd"/>
      <w:r w:rsidR="00D1567A">
        <w:rPr>
          <w:i/>
        </w:rPr>
        <w:t xml:space="preserve"> împotriva Estoniei</w:t>
      </w:r>
      <w:r w:rsidR="00D1567A">
        <w:t xml:space="preserve">, nr. 41205/98, pct. 37, CEDO 2001-I, și </w:t>
      </w:r>
      <w:proofErr w:type="spellStart"/>
      <w:r w:rsidR="00D1567A">
        <w:rPr>
          <w:i/>
        </w:rPr>
        <w:t>Chauvy</w:t>
      </w:r>
      <w:proofErr w:type="spellEnd"/>
      <w:r w:rsidR="00D1567A">
        <w:rPr>
          <w:i/>
        </w:rPr>
        <w:t xml:space="preserve"> și alții împotriva Franței</w:t>
      </w:r>
      <w:r w:rsidR="00D1567A">
        <w:t>, nr. 64915/01, pct. 43, CEDO 2004-VI).</w:t>
      </w:r>
    </w:p>
    <w:p w14:paraId="66C07D20" w14:textId="6B723341" w:rsidR="00EF5ECF" w:rsidRPr="00954406" w:rsidRDefault="00E21F88" w:rsidP="00954406">
      <w:pPr>
        <w:pStyle w:val="JuPara"/>
      </w:pPr>
      <w:fldSimple w:instr=" SEQ level0 \*arabic \* MERGEFORMAT ">
        <w:r w:rsidR="00954406" w:rsidRPr="00954406">
          <w:t>34</w:t>
        </w:r>
      </w:fldSimple>
      <w:r w:rsidR="00D1567A">
        <w:t>.  Curtea reamintește și faptul că noțiunea „lege” („</w:t>
      </w:r>
      <w:proofErr w:type="spellStart"/>
      <w:r w:rsidR="00D1567A">
        <w:t>law</w:t>
      </w:r>
      <w:proofErr w:type="spellEnd"/>
      <w:r w:rsidR="00D1567A">
        <w:t>”) folosită la art. 10 § 2 și în alte articole ale Convenției corespunde celei de „drept” („</w:t>
      </w:r>
      <w:proofErr w:type="spellStart"/>
      <w:r w:rsidR="00D1567A">
        <w:t>law</w:t>
      </w:r>
      <w:proofErr w:type="spellEnd"/>
      <w:r w:rsidR="00D1567A">
        <w:t>”) care figurează la art. 7 [</w:t>
      </w:r>
      <w:proofErr w:type="spellStart"/>
      <w:r w:rsidR="00D1567A">
        <w:rPr>
          <w:i/>
        </w:rPr>
        <w:t>Grigoriades</w:t>
      </w:r>
      <w:proofErr w:type="spellEnd"/>
      <w:r w:rsidR="00D1567A">
        <w:rPr>
          <w:i/>
        </w:rPr>
        <w:t xml:space="preserve"> împotriva Greciei</w:t>
      </w:r>
      <w:r w:rsidR="00D1567A">
        <w:t xml:space="preserve">, 25 noiembrie 1997, pct. 50, Culegere de hotărâri și decizii 1997-VII, </w:t>
      </w:r>
      <w:proofErr w:type="spellStart"/>
      <w:r w:rsidR="00D1567A">
        <w:rPr>
          <w:i/>
        </w:rPr>
        <w:t>Başkaya</w:t>
      </w:r>
      <w:proofErr w:type="spellEnd"/>
      <w:r w:rsidR="00D1567A">
        <w:rPr>
          <w:i/>
        </w:rPr>
        <w:t xml:space="preserve"> și </w:t>
      </w:r>
      <w:proofErr w:type="spellStart"/>
      <w:r w:rsidR="00D1567A">
        <w:rPr>
          <w:i/>
        </w:rPr>
        <w:t>Okçuoğlu</w:t>
      </w:r>
      <w:proofErr w:type="spellEnd"/>
      <w:r w:rsidR="00D1567A">
        <w:rPr>
          <w:i/>
        </w:rPr>
        <w:t xml:space="preserve"> împotriva Turciei</w:t>
      </w:r>
      <w:r w:rsidR="00D1567A">
        <w:t xml:space="preserve"> (MC), nr. 23536/94 și 24408/94, pct. 49, CEDO 1999-IV, și </w:t>
      </w:r>
      <w:proofErr w:type="spellStart"/>
      <w:r w:rsidR="00D1567A">
        <w:rPr>
          <w:i/>
        </w:rPr>
        <w:t>Erdoğdu</w:t>
      </w:r>
      <w:proofErr w:type="spellEnd"/>
      <w:r w:rsidR="00D1567A">
        <w:rPr>
          <w:i/>
        </w:rPr>
        <w:t xml:space="preserve"> și </w:t>
      </w:r>
      <w:proofErr w:type="spellStart"/>
      <w:r w:rsidR="00D1567A">
        <w:rPr>
          <w:i/>
        </w:rPr>
        <w:t>İnce</w:t>
      </w:r>
      <w:proofErr w:type="spellEnd"/>
      <w:r w:rsidR="00D1567A">
        <w:rPr>
          <w:i/>
        </w:rPr>
        <w:t xml:space="preserve"> împotriva Turciei</w:t>
      </w:r>
      <w:r w:rsidR="00D1567A">
        <w:t xml:space="preserve"> (MC), nr. 25067/94 și 25068/94, pct. 59, CEDO 1999-IV]. Potrivit jurisprudenței constante a Curții în ceea ce privește articolul 7, cerința ca legea să definească în mod clar infracțiunile este îndeplinită atunci când justițiabilul poate stabili din formularea dispoziției în cauză - dacă este necesar cu ajutorul interpretării date de instanțe - care sunt actele și omisiunile care atrag răspunderea penală [a se vedea, printre altele, </w:t>
      </w:r>
      <w:proofErr w:type="spellStart"/>
      <w:r w:rsidR="00D1567A">
        <w:rPr>
          <w:i/>
        </w:rPr>
        <w:t>Kononov</w:t>
      </w:r>
      <w:proofErr w:type="spellEnd"/>
      <w:r w:rsidR="00D1567A">
        <w:rPr>
          <w:i/>
        </w:rPr>
        <w:t xml:space="preserve"> împotriva Letoniei</w:t>
      </w:r>
      <w:r w:rsidR="00D1567A">
        <w:t xml:space="preserve"> (MC), nr. 36376/04, pct. 185, CEDO 2010, </w:t>
      </w:r>
      <w:proofErr w:type="spellStart"/>
      <w:r w:rsidR="00D1567A">
        <w:rPr>
          <w:i/>
        </w:rPr>
        <w:t>Del</w:t>
      </w:r>
      <w:proofErr w:type="spellEnd"/>
      <w:r w:rsidR="00D1567A">
        <w:rPr>
          <w:i/>
        </w:rPr>
        <w:t xml:space="preserve"> </w:t>
      </w:r>
      <w:proofErr w:type="spellStart"/>
      <w:r w:rsidR="00D1567A">
        <w:rPr>
          <w:i/>
        </w:rPr>
        <w:t>Río</w:t>
      </w:r>
      <w:proofErr w:type="spellEnd"/>
      <w:r w:rsidR="00D1567A">
        <w:rPr>
          <w:i/>
        </w:rPr>
        <w:t xml:space="preserve"> Prada împotriva Spaniei</w:t>
      </w:r>
      <w:r w:rsidR="00D1567A">
        <w:t xml:space="preserve"> (MC), nr. 42750/09, pct. 79, CEDO 2013, </w:t>
      </w:r>
      <w:proofErr w:type="spellStart"/>
      <w:r w:rsidR="00D1567A">
        <w:rPr>
          <w:i/>
        </w:rPr>
        <w:t>Rohlena</w:t>
      </w:r>
      <w:proofErr w:type="spellEnd"/>
      <w:r w:rsidR="00D1567A">
        <w:rPr>
          <w:i/>
        </w:rPr>
        <w:t xml:space="preserve"> împotriva Republicii Cehe</w:t>
      </w:r>
      <w:r w:rsidR="00D1567A">
        <w:t xml:space="preserve"> (MC), nr. 59552/08, pct. 50, CEDO 2015, și, într-o cauză privind atât art. 7, cât și art. 10 din Convenție, </w:t>
      </w:r>
      <w:r w:rsidR="00D1567A">
        <w:rPr>
          <w:i/>
        </w:rPr>
        <w:t>Radio France și alții împotriva Franței</w:t>
      </w:r>
      <w:r w:rsidR="00D1567A">
        <w:t>, nr. 53984/00, pct. 20, CEDO 2004-II]. Art. 7 din nu interzice clarificarea treptată a normelor privind răspunderea penală prin interpretarea judiciară a fiecărei cauze în parte, cu condiția ca rezultatul să fie concordant cu substanța infracțiunii și previzibil în mod rezonabil (</w:t>
      </w:r>
      <w:proofErr w:type="spellStart"/>
      <w:r w:rsidR="00D1567A">
        <w:rPr>
          <w:i/>
        </w:rPr>
        <w:t>Kononov</w:t>
      </w:r>
      <w:proofErr w:type="spellEnd"/>
      <w:r w:rsidR="00D1567A">
        <w:t xml:space="preserve">, pct. 185, </w:t>
      </w:r>
      <w:proofErr w:type="spellStart"/>
      <w:r w:rsidR="00D1567A">
        <w:rPr>
          <w:i/>
        </w:rPr>
        <w:t>Del</w:t>
      </w:r>
      <w:proofErr w:type="spellEnd"/>
      <w:r w:rsidR="00D1567A">
        <w:rPr>
          <w:i/>
        </w:rPr>
        <w:t> </w:t>
      </w:r>
      <w:proofErr w:type="spellStart"/>
      <w:r w:rsidR="00D1567A">
        <w:rPr>
          <w:i/>
        </w:rPr>
        <w:t>Río</w:t>
      </w:r>
      <w:proofErr w:type="spellEnd"/>
      <w:r w:rsidR="00D1567A">
        <w:rPr>
          <w:i/>
        </w:rPr>
        <w:t xml:space="preserve"> Prada</w:t>
      </w:r>
      <w:r w:rsidR="00D1567A">
        <w:t xml:space="preserve">, pct. 93, și </w:t>
      </w:r>
      <w:proofErr w:type="spellStart"/>
      <w:r w:rsidR="00D1567A">
        <w:rPr>
          <w:i/>
        </w:rPr>
        <w:t>Rohlena</w:t>
      </w:r>
      <w:proofErr w:type="spellEnd"/>
      <w:r w:rsidR="00D1567A">
        <w:t>, pct. 50, citate anterior).</w:t>
      </w:r>
    </w:p>
    <w:p w14:paraId="018D1D01" w14:textId="1912197B" w:rsidR="00EF5ECF" w:rsidRPr="00954406" w:rsidRDefault="00E21F88" w:rsidP="00954406">
      <w:pPr>
        <w:pStyle w:val="JuPara"/>
      </w:pPr>
      <w:fldSimple w:instr=" SEQ level0 \*arabic \* MERGEFORMAT ">
        <w:r w:rsidR="00954406" w:rsidRPr="00954406">
          <w:t>35</w:t>
        </w:r>
      </w:fldSimple>
      <w:r w:rsidR="00D1567A">
        <w:t>.  Nu este în sarcina Curții să se pronunțe cu privire la oportunitatea tehnicilor alese de legiuitorul statului pârât pentru a reglementa un anumit domeniu (</w:t>
      </w:r>
      <w:proofErr w:type="spellStart"/>
      <w:r w:rsidR="00D1567A">
        <w:rPr>
          <w:i/>
        </w:rPr>
        <w:t>Selahattin</w:t>
      </w:r>
      <w:proofErr w:type="spellEnd"/>
      <w:r w:rsidR="00D1567A">
        <w:rPr>
          <w:i/>
        </w:rPr>
        <w:t xml:space="preserve"> </w:t>
      </w:r>
      <w:proofErr w:type="spellStart"/>
      <w:r w:rsidR="00D1567A">
        <w:rPr>
          <w:i/>
        </w:rPr>
        <w:t>Demirtaş</w:t>
      </w:r>
      <w:proofErr w:type="spellEnd"/>
      <w:r w:rsidR="00D1567A">
        <w:t>, citată anterior, pct. 251), nici să examineze dreptul intern în abstract [</w:t>
      </w:r>
      <w:r w:rsidR="00D1567A">
        <w:rPr>
          <w:i/>
        </w:rPr>
        <w:t xml:space="preserve">Magyar </w:t>
      </w:r>
      <w:proofErr w:type="spellStart"/>
      <w:r w:rsidR="00D1567A">
        <w:rPr>
          <w:i/>
        </w:rPr>
        <w:t>Kétfarkú</w:t>
      </w:r>
      <w:proofErr w:type="spellEnd"/>
      <w:r w:rsidR="00D1567A">
        <w:rPr>
          <w:i/>
        </w:rPr>
        <w:t xml:space="preserve"> </w:t>
      </w:r>
      <w:proofErr w:type="spellStart"/>
      <w:r w:rsidR="00D1567A">
        <w:rPr>
          <w:i/>
        </w:rPr>
        <w:t>Kutya</w:t>
      </w:r>
      <w:proofErr w:type="spellEnd"/>
      <w:r w:rsidR="00D1567A">
        <w:rPr>
          <w:i/>
        </w:rPr>
        <w:t xml:space="preserve"> </w:t>
      </w:r>
      <w:proofErr w:type="spellStart"/>
      <w:r w:rsidR="00D1567A">
        <w:rPr>
          <w:i/>
        </w:rPr>
        <w:t>Párt</w:t>
      </w:r>
      <w:proofErr w:type="spellEnd"/>
      <w:r w:rsidR="00D1567A">
        <w:rPr>
          <w:i/>
        </w:rPr>
        <w:t xml:space="preserve"> împotriva Ungariei</w:t>
      </w:r>
      <w:r w:rsidR="00D1567A">
        <w:t xml:space="preserve"> (MC), nr. 201/17, pct. 96, 20 ianuarie 2020]. Într-adevăr, rolul Curții se limitează la a verifica dacă metodele adoptate și efectele acestora sunt în conformitate cu Convenția [</w:t>
      </w:r>
      <w:r w:rsidR="00D1567A">
        <w:rPr>
          <w:i/>
        </w:rPr>
        <w:t xml:space="preserve">Magyar Helsinki </w:t>
      </w:r>
      <w:proofErr w:type="spellStart"/>
      <w:r w:rsidR="00D1567A">
        <w:rPr>
          <w:i/>
        </w:rPr>
        <w:t>Bizottság</w:t>
      </w:r>
      <w:proofErr w:type="spellEnd"/>
      <w:r w:rsidR="00D1567A">
        <w:rPr>
          <w:i/>
        </w:rPr>
        <w:t xml:space="preserve"> împotriva Ungariei</w:t>
      </w:r>
      <w:r w:rsidR="00D1567A">
        <w:t xml:space="preserve"> (MC), nr. 18030/11, pct. 184, 8 noiembrie 2016].</w:t>
      </w:r>
    </w:p>
    <w:p w14:paraId="1D9E63D1" w14:textId="48666290" w:rsidR="00EF5ECF" w:rsidRPr="00954406" w:rsidRDefault="00EF5ECF" w:rsidP="00954406">
      <w:pPr>
        <w:pStyle w:val="JuHi"/>
      </w:pPr>
      <w:r>
        <w:t>Aplicarea în prezenta cauză</w:t>
      </w:r>
    </w:p>
    <w:p w14:paraId="60680218" w14:textId="347BA2FE" w:rsidR="00EF5ECF" w:rsidRPr="00954406" w:rsidRDefault="00E21F88" w:rsidP="00954406">
      <w:pPr>
        <w:pStyle w:val="JuPara"/>
      </w:pPr>
      <w:fldSimple w:instr=" SEQ level0 \*arabic \* MERGEFORMAT ">
        <w:r w:rsidR="00954406" w:rsidRPr="00954406">
          <w:t>36</w:t>
        </w:r>
      </w:fldSimple>
      <w:r w:rsidR="00EF5ECF">
        <w:t xml:space="preserve">.  Cu titlu preliminar, Curtea precizează că din principiile reamintite mai sus decurge faptul că întrebarea hotărâtoare care se pune în această etapă este dacă, atunci când a adoptat comportamentul pentru care a fost condamnată, reclamanta știa sau ar fi trebuit să știe – recurgând la nevoie la consiliere adecvată – că acțiunile sale erau de natură să atragă răspunderea penală în temeiul art. 222-32 din Codul penal (a se vedea, </w:t>
      </w:r>
      <w:r w:rsidR="00EF5ECF">
        <w:rPr>
          <w:i/>
        </w:rPr>
        <w:t>mutatis mutandis</w:t>
      </w:r>
      <w:r w:rsidR="00EF5ECF">
        <w:t xml:space="preserve">, </w:t>
      </w:r>
      <w:proofErr w:type="spellStart"/>
      <w:r w:rsidR="00EF5ECF">
        <w:rPr>
          <w:i/>
        </w:rPr>
        <w:t>Perinçek</w:t>
      </w:r>
      <w:proofErr w:type="spellEnd"/>
      <w:r w:rsidR="00EF5ECF">
        <w:t>, citată anterior, pct. 137).</w:t>
      </w:r>
    </w:p>
    <w:bookmarkStart w:id="23" w:name="paragraph00037"/>
    <w:p w14:paraId="1E157C9E" w14:textId="20BBFDF0" w:rsidR="00EF5ECF" w:rsidRPr="00954406" w:rsidRDefault="00EF5ECF" w:rsidP="00954406">
      <w:pPr>
        <w:pStyle w:val="JuPara"/>
      </w:pPr>
      <w:r w:rsidRPr="00954406">
        <w:lastRenderedPageBreak/>
        <w:fldChar w:fldCharType="begin"/>
      </w:r>
      <w:r w:rsidRPr="00954406">
        <w:instrText xml:space="preserve"> SEQ level0 \*arabic \* MERGEFORMAT </w:instrText>
      </w:r>
      <w:r w:rsidRPr="00954406">
        <w:fldChar w:fldCharType="separate"/>
      </w:r>
      <w:r w:rsidR="00954406" w:rsidRPr="00954406">
        <w:t>37</w:t>
      </w:r>
      <w:r w:rsidRPr="00954406">
        <w:fldChar w:fldCharType="end"/>
      </w:r>
      <w:bookmarkEnd w:id="23"/>
      <w:r>
        <w:t>.  În primul rând, Curtea subliniază că art. 222-32 citat anterior nu definește noțiunea de exhibiționism și că evoluția moravurilor a putut alimenta o dezbatere în fața instanțelor naționale privind caracterul sexual al pieptului gol al unei femei și existența unei discriminări care rezulta de aici între bărbați și femei (a se vedea supra, pct. </w:t>
      </w:r>
      <w:r w:rsidRPr="00954406">
        <w:fldChar w:fldCharType="begin"/>
      </w:r>
      <w:r w:rsidRPr="00954406">
        <w:instrText xml:space="preserve">REF paragraph00015 \h \* CharFormat </w:instrText>
      </w:r>
      <w:r w:rsidRPr="00954406">
        <w:fldChar w:fldCharType="separate"/>
      </w:r>
      <w:r w:rsidR="00954406" w:rsidRPr="00954406">
        <w:t>15</w:t>
      </w:r>
      <w:r w:rsidRPr="00954406">
        <w:fldChar w:fldCharType="end"/>
      </w:r>
      <w:r>
        <w:t xml:space="preserve"> și </w:t>
      </w:r>
      <w:r w:rsidRPr="00954406">
        <w:fldChar w:fldCharType="begin"/>
      </w:r>
      <w:r w:rsidRPr="00954406">
        <w:instrText xml:space="preserve">REF paragraph00019 \h \* CharFormat </w:instrText>
      </w:r>
      <w:r w:rsidRPr="00954406">
        <w:fldChar w:fldCharType="separate"/>
      </w:r>
      <w:r w:rsidR="00954406" w:rsidRPr="00954406">
        <w:t>19</w:t>
      </w:r>
      <w:r w:rsidRPr="00954406">
        <w:fldChar w:fldCharType="end"/>
      </w:r>
      <w:r>
        <w:t xml:space="preserve">). Subliniază în această privință că în absența trimiterii de către Curtea de Casație a unor IPC privind caracterul suficient de precis al infracțiunii de exhibiționism, Consiliul Constituțional nu a fost în măsură să se pronunțe cu privire la chestiune. De altfel, Curtea subliniază că Comisia națională consultativă pentru drepturile omului a recomandat ca definiția infracțiunii să fie trasată în lege (a se vedea pct. </w:t>
      </w:r>
      <w:r w:rsidRPr="00954406">
        <w:fldChar w:fldCharType="begin"/>
      </w:r>
      <w:r w:rsidRPr="00954406">
        <w:instrText xml:space="preserve">REF paragraph00020 \h \* CharFormat </w:instrText>
      </w:r>
      <w:r w:rsidRPr="00954406">
        <w:fldChar w:fldCharType="separate"/>
      </w:r>
      <w:r w:rsidR="00954406" w:rsidRPr="00954406">
        <w:t>20</w:t>
      </w:r>
      <w:r w:rsidRPr="00954406">
        <w:fldChar w:fldCharType="end"/>
      </w:r>
      <w:r>
        <w:t>). În opinia Curții, chiar dacă sunt de natură să dea naștere unei îndoieli cu privire la calitatea legii în sensul jurisprudenței Curții, aceste elemente nu merg atât de departe încât să pună în discuție previzibilitatea urmăririi penale împotriva reclamantei, a cărei oportunitate era de competența parchetului, dat fiind că, în temeiul jurisprudenței așa cum era consacrată la momentul faptelor în litigiu, nuditatea pieptului femeii era de natură să caracterizeze elementul material al infracțiunii, de altfel în mod clar enunțată în Codul penal (a se vedea pct. </w:t>
      </w:r>
      <w:r w:rsidRPr="00954406">
        <w:fldChar w:fldCharType="begin"/>
      </w:r>
      <w:r w:rsidRPr="00954406">
        <w:instrText xml:space="preserve">REF paragraph00014 \h \* CharFormat </w:instrText>
      </w:r>
      <w:r w:rsidRPr="00954406">
        <w:fldChar w:fldCharType="separate"/>
      </w:r>
      <w:r w:rsidR="00954406" w:rsidRPr="00954406">
        <w:t>14</w:t>
      </w:r>
      <w:r w:rsidRPr="00954406">
        <w:fldChar w:fldCharType="end"/>
      </w:r>
      <w:r>
        <w:t xml:space="preserve">). Curtea subliniază că această interpretare nu a variat nici ulterior faptelor reproșate reclamantei, inclusiv cu ocazia a două IPC netransmise Consiliului Constituțional de către Curtea de Casație (a se vedea pct. </w:t>
      </w:r>
      <w:r w:rsidRPr="00954406">
        <w:fldChar w:fldCharType="begin"/>
      </w:r>
      <w:r w:rsidRPr="00954406">
        <w:instrText xml:space="preserve">REF paragraph00018 \h \* CharFormat </w:instrText>
      </w:r>
      <w:r w:rsidRPr="00954406">
        <w:fldChar w:fldCharType="separate"/>
      </w:r>
      <w:r w:rsidR="00954406" w:rsidRPr="00954406">
        <w:t>18</w:t>
      </w:r>
      <w:r w:rsidRPr="00954406">
        <w:fldChar w:fldCharType="end"/>
      </w:r>
      <w:r>
        <w:t xml:space="preserve"> și </w:t>
      </w:r>
      <w:r w:rsidRPr="00954406">
        <w:fldChar w:fldCharType="begin"/>
      </w:r>
      <w:r w:rsidRPr="00954406">
        <w:instrText xml:space="preserve">REF paragraph00019 \h \* CharFormat </w:instrText>
      </w:r>
      <w:r w:rsidRPr="00954406">
        <w:fldChar w:fldCharType="separate"/>
      </w:r>
      <w:r w:rsidR="00954406" w:rsidRPr="00954406">
        <w:t>19</w:t>
      </w:r>
      <w:r w:rsidRPr="00954406">
        <w:fldChar w:fldCharType="end"/>
      </w:r>
      <w:r>
        <w:t>). Consecvența acestei interpretări, consacrată printr-o jurisprudență reafirmată ulterior faptelor în litigiu, confirmă caracterul rezonabil previzibil, pentru reclamantă, al stabilirii domeniului de aplicare al infracțiunii în cauză și, deci, al incriminării penale a comportamentului acesteia.</w:t>
      </w:r>
    </w:p>
    <w:p w14:paraId="5F4B708B" w14:textId="3711F08F" w:rsidR="00EF5ECF" w:rsidRPr="00954406" w:rsidRDefault="00E21F88" w:rsidP="00954406">
      <w:pPr>
        <w:pStyle w:val="JuPara"/>
      </w:pPr>
      <w:fldSimple w:instr=" SEQ level0 \*arabic \* MERGEFORMAT ">
        <w:r w:rsidR="00954406" w:rsidRPr="00954406">
          <w:t>38</w:t>
        </w:r>
      </w:fldSimple>
      <w:r w:rsidR="00EF5ECF">
        <w:t xml:space="preserve">.  În al doilea rând, Curtea reține că, deși reclamanta a acționat singură în ziua faptelor, acțiunea sa fusese organizată cu susținerea mișcării Femen, obișnuită cu confruntările cu autoritățile naționale în virtutea acțiunilor militante provocatoare în mod deliberat. Având în vedere apartenența sa la această mișcare și modalitățile de pregătire a acțiunii sale care a fost prezentată pe site-ul internet francez al Femen, aspecte evocate în cursul anchetei penale (a se vedea pct. </w:t>
      </w:r>
      <w:r w:rsidR="00EF5ECF" w:rsidRPr="00954406">
        <w:fldChar w:fldCharType="begin"/>
      </w:r>
      <w:r w:rsidR="00EF5ECF" w:rsidRPr="00954406">
        <w:instrText xml:space="preserve">REF paragraph00006 \h \* CharFormat </w:instrText>
      </w:r>
      <w:r w:rsidR="00EF5ECF" w:rsidRPr="00954406">
        <w:fldChar w:fldCharType="separate"/>
      </w:r>
      <w:r w:rsidR="00954406" w:rsidRPr="00954406">
        <w:t>6</w:t>
      </w:r>
      <w:r w:rsidR="00EF5ECF" w:rsidRPr="00954406">
        <w:fldChar w:fldCharType="end"/>
      </w:r>
      <w:r w:rsidR="00EF5ECF">
        <w:t>), trebuie să se considere că reclamanta, care putea, după caz, beneficia de sfaturile unor avocați specializați, avea cunoștință de legea și de jurisprudența constantă aplicabile în materie.</w:t>
      </w:r>
    </w:p>
    <w:bookmarkStart w:id="24" w:name="paragraph00039"/>
    <w:p w14:paraId="6C297F4D" w14:textId="193A68E0"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39</w:t>
      </w:r>
      <w:r w:rsidRPr="00954406">
        <w:fldChar w:fldCharType="end"/>
      </w:r>
      <w:bookmarkEnd w:id="24"/>
      <w:r>
        <w:t>.  Curtea a concluzionat astfel că reclamanta se putea aștepta în mod rezonabil ca acest comportament să atragă consecințe penale.</w:t>
      </w:r>
    </w:p>
    <w:bookmarkStart w:id="25" w:name="paragraph00040"/>
    <w:p w14:paraId="0F05A204" w14:textId="7C0FC569"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40</w:t>
      </w:r>
      <w:r w:rsidRPr="00954406">
        <w:fldChar w:fldCharType="end"/>
      </w:r>
      <w:bookmarkEnd w:id="25"/>
      <w:r>
        <w:t>.  Prin urmare, ingerința în exercitarea de către reclamantă a dreptului la libertatea de exprimare poate fi privită ca suficient de previzibilă și, astfel, „prevăzută de lege” în sensul art. 10 § 2 din Convenție.</w:t>
      </w:r>
    </w:p>
    <w:p w14:paraId="66251C70" w14:textId="77777777" w:rsidR="00EF5ECF" w:rsidRPr="00954406" w:rsidRDefault="00EF5ECF" w:rsidP="00954406">
      <w:pPr>
        <w:pStyle w:val="JuHa0"/>
      </w:pPr>
      <w:r>
        <w:t>Scop legitim</w:t>
      </w:r>
    </w:p>
    <w:p w14:paraId="38C0DC3D" w14:textId="6B8931DB" w:rsidR="00EF5ECF" w:rsidRPr="00954406" w:rsidRDefault="00E21F88" w:rsidP="00954406">
      <w:pPr>
        <w:pStyle w:val="JuPara"/>
      </w:pPr>
      <w:fldSimple w:instr=" SEQ level0 \*arabic \* MERGEFORMAT ">
        <w:r w:rsidR="00954406" w:rsidRPr="00954406">
          <w:t>41</w:t>
        </w:r>
      </w:fldSimple>
      <w:r w:rsidR="00EF5ECF">
        <w:t xml:space="preserve">.  Curtea consideră, aspect care nu este contestat de părți (a se vedea pct. </w:t>
      </w:r>
      <w:r w:rsidR="00EF5ECF" w:rsidRPr="00954406">
        <w:fldChar w:fldCharType="begin"/>
      </w:r>
      <w:r w:rsidR="00EF5ECF" w:rsidRPr="00954406">
        <w:instrText xml:space="preserve">REF paragraph00023 \h \* CharFormat </w:instrText>
      </w:r>
      <w:r w:rsidR="00EF5ECF" w:rsidRPr="00954406">
        <w:fldChar w:fldCharType="separate"/>
      </w:r>
      <w:r w:rsidR="00954406" w:rsidRPr="00954406">
        <w:t>23</w:t>
      </w:r>
      <w:r w:rsidR="00EF5ECF" w:rsidRPr="00954406">
        <w:fldChar w:fldCharType="end"/>
      </w:r>
      <w:r w:rsidR="00EF5ECF">
        <w:t xml:space="preserve"> și </w:t>
      </w:r>
      <w:r w:rsidR="00EF5ECF" w:rsidRPr="00954406">
        <w:fldChar w:fldCharType="begin"/>
      </w:r>
      <w:r w:rsidR="00EF5ECF" w:rsidRPr="00954406">
        <w:instrText xml:space="preserve">REF paragraph00026 \h \* CharFormat </w:instrText>
      </w:r>
      <w:r w:rsidR="00EF5ECF" w:rsidRPr="00954406">
        <w:fldChar w:fldCharType="separate"/>
      </w:r>
      <w:r w:rsidR="00954406" w:rsidRPr="00954406">
        <w:t>26</w:t>
      </w:r>
      <w:r w:rsidR="00EF5ECF" w:rsidRPr="00954406">
        <w:fldChar w:fldCharType="end"/>
      </w:r>
      <w:r w:rsidR="00EF5ECF">
        <w:t xml:space="preserve">), că ingerința în exercitarea libertății de exprimare a reclamantei urmărea mai multe scopuri legitime în sensul art. 10 § 2, și anume protecția </w:t>
      </w:r>
      <w:r w:rsidR="00EF5ECF">
        <w:lastRenderedPageBreak/>
        <w:t xml:space="preserve">moralei și a drepturilor altora, apărarea ordinii și prevenirea infracțiunilor. În speță, Curtea a admis, cu ocazia examinării previzibilității ingerinței în exercitarea dreptului reclamantei la libertatea de exprimare (a se vedea supra, pct. </w:t>
      </w:r>
      <w:r w:rsidR="00EF5ECF" w:rsidRPr="00954406">
        <w:fldChar w:fldCharType="begin"/>
      </w:r>
      <w:r w:rsidR="00EF5ECF" w:rsidRPr="00954406">
        <w:instrText xml:space="preserve">REF paragraph00037 \h \* CharFormat  \* MERGEFORMAT </w:instrText>
      </w:r>
      <w:r w:rsidR="00EF5ECF" w:rsidRPr="00954406">
        <w:fldChar w:fldCharType="separate"/>
      </w:r>
      <w:r w:rsidR="00954406" w:rsidRPr="00954406">
        <w:t>37</w:t>
      </w:r>
      <w:r w:rsidR="00EF5ECF" w:rsidRPr="00954406">
        <w:fldChar w:fldCharType="end"/>
      </w:r>
      <w:r w:rsidR="00EF5ECF">
        <w:t>-</w:t>
      </w:r>
      <w:r w:rsidR="00EF5ECF" w:rsidRPr="00954406">
        <w:fldChar w:fldCharType="begin"/>
      </w:r>
      <w:r w:rsidR="00EF5ECF" w:rsidRPr="00954406">
        <w:instrText xml:space="preserve">REF paragraph00039 \h \* CharFormat  \* MERGEFORMAT </w:instrText>
      </w:r>
      <w:r w:rsidR="00EF5ECF" w:rsidRPr="00954406">
        <w:fldChar w:fldCharType="separate"/>
      </w:r>
      <w:r w:rsidR="00954406" w:rsidRPr="00954406">
        <w:t>39</w:t>
      </w:r>
      <w:r w:rsidR="00EF5ECF" w:rsidRPr="00954406">
        <w:fldChar w:fldCharType="end"/>
      </w:r>
      <w:r w:rsidR="00EF5ECF">
        <w:t>), că instanțele naționale puteau în mod legitim să ia în considerare sancționarea comportamentului unei persoane care își arată o parte sexuală a corpului, în sensul dreptului penal intern, într-un loc public precum o biserică.</w:t>
      </w:r>
    </w:p>
    <w:p w14:paraId="0EAF94AD" w14:textId="77777777" w:rsidR="0092142F" w:rsidRPr="00954406" w:rsidRDefault="00EF5ECF" w:rsidP="00954406">
      <w:pPr>
        <w:pStyle w:val="JuHa0"/>
      </w:pPr>
      <w:r>
        <w:t>Caracterul necesar într-o societate democratică</w:t>
      </w:r>
    </w:p>
    <w:p w14:paraId="4BBF11DC" w14:textId="757117EB" w:rsidR="00EF5ECF" w:rsidRPr="00954406" w:rsidRDefault="00EF5ECF" w:rsidP="00954406">
      <w:pPr>
        <w:pStyle w:val="JuHi"/>
      </w:pPr>
      <w:r>
        <w:t>Principii generale</w:t>
      </w:r>
    </w:p>
    <w:p w14:paraId="7C1D1157" w14:textId="776715F5" w:rsidR="00EF5ECF" w:rsidRPr="00954406" w:rsidRDefault="00E21F88" w:rsidP="00954406">
      <w:pPr>
        <w:pStyle w:val="JuPara"/>
        <w:rPr>
          <w:i/>
          <w:iCs/>
        </w:rPr>
      </w:pPr>
      <w:fldSimple w:instr=" SEQ level0 \*arabic \* MERGEFORMAT ">
        <w:r w:rsidR="00954406" w:rsidRPr="00954406">
          <w:t>42</w:t>
        </w:r>
      </w:fldSimple>
      <w:r w:rsidR="00EF5ECF">
        <w:t xml:space="preserve">.  Curtea reamintește principiile fundamentale care decurg din jurisprudența sa referitoare la art. 10, astfel cum sunt prezentate începând cu hotărârea </w:t>
      </w:r>
      <w:proofErr w:type="spellStart"/>
      <w:r w:rsidR="00EF5ECF">
        <w:rPr>
          <w:i/>
        </w:rPr>
        <w:t>Handyside</w:t>
      </w:r>
      <w:proofErr w:type="spellEnd"/>
      <w:r w:rsidR="00EF5ECF">
        <w:rPr>
          <w:i/>
        </w:rPr>
        <w:t xml:space="preserve"> împotriva Regatului Unit</w:t>
      </w:r>
      <w:r w:rsidR="00EF5ECF">
        <w:t xml:space="preserve"> (7 decembrie 1976, seria A nr. 24) și reafirmate constant de atunci [a se vedea, printre multe altele, hotărârile </w:t>
      </w:r>
      <w:proofErr w:type="spellStart"/>
      <w:r w:rsidR="00EF5ECF">
        <w:rPr>
          <w:i/>
        </w:rPr>
        <w:t>Morice</w:t>
      </w:r>
      <w:proofErr w:type="spellEnd"/>
      <w:r w:rsidR="00EF5ECF">
        <w:rPr>
          <w:i/>
        </w:rPr>
        <w:t xml:space="preserve"> împotriva Franței</w:t>
      </w:r>
      <w:r w:rsidR="00EF5ECF">
        <w:t xml:space="preserve"> (MC), nr. 29369/10, pct. 124, CEDO 2015, </w:t>
      </w:r>
      <w:r w:rsidR="00EF5ECF">
        <w:rPr>
          <w:i/>
        </w:rPr>
        <w:t>Delfi AS împotriva Estoniei</w:t>
      </w:r>
      <w:r w:rsidR="00EF5ECF">
        <w:t xml:space="preserve"> (MC), nr. 64569/09, pct. 131-139, CEDO 2015, </w:t>
      </w:r>
      <w:proofErr w:type="spellStart"/>
      <w:r w:rsidR="00EF5ECF">
        <w:rPr>
          <w:i/>
        </w:rPr>
        <w:t>Perinçek</w:t>
      </w:r>
      <w:proofErr w:type="spellEnd"/>
      <w:r w:rsidR="00EF5ECF">
        <w:t>, citată anterior, pct. 196 și 197 și cauzele din jurisprudență menționate]: libertatea de exprimare constituie unul dintre fundamentele esențiale ale unei societăți democratice. Sub rezerva celui de-al doilea paragraf al art. 10, aceasta este valabilă nu numai în ceea ce privește „informațiile” sau „ideile” acceptate ori considerate drept inofensive sau indiferente, ci și pentru cele care ofensează, șochează sau neliniștesc.</w:t>
      </w:r>
    </w:p>
    <w:p w14:paraId="022F3071" w14:textId="61CD45DD" w:rsidR="00EF5ECF" w:rsidRPr="00954406" w:rsidRDefault="00E21F88" w:rsidP="00954406">
      <w:pPr>
        <w:pStyle w:val="JuPara"/>
      </w:pPr>
      <w:fldSimple w:instr=" SEQ level0 \*arabic \* MERGEFORMAT ">
        <w:r w:rsidR="00954406" w:rsidRPr="00954406">
          <w:t>43</w:t>
        </w:r>
      </w:fldSimple>
      <w:r w:rsidR="00EF5ECF">
        <w:t>.  Examinând dacă restrângerile aduse drepturilor și libertăților garantate de Convenție pot fi considerate „necesare într-o societate democratică”, Curtea apreciază, în special în împrejurările cauzei, dacă ingerința corespunde unei „nevoi sociale imperioase” (</w:t>
      </w:r>
      <w:proofErr w:type="spellStart"/>
      <w:r w:rsidR="00EF5ECF">
        <w:rPr>
          <w:i/>
        </w:rPr>
        <w:t>Wingrove</w:t>
      </w:r>
      <w:proofErr w:type="spellEnd"/>
      <w:r w:rsidR="00EF5ECF">
        <w:rPr>
          <w:i/>
        </w:rPr>
        <w:t xml:space="preserve"> împotriva Regatului Unit, </w:t>
      </w:r>
      <w:r w:rsidR="00EF5ECF">
        <w:t xml:space="preserve">25 noiembrie 1996, pct. 53, </w:t>
      </w:r>
      <w:r w:rsidR="00EF5ECF">
        <w:rPr>
          <w:i/>
          <w:iCs/>
        </w:rPr>
        <w:t>Culegere de hotărâri și decizii</w:t>
      </w:r>
      <w:r w:rsidR="00EF5ECF">
        <w:t xml:space="preserve"> 1996-V, </w:t>
      </w:r>
      <w:r w:rsidR="00EF5ECF">
        <w:rPr>
          <w:i/>
        </w:rPr>
        <w:t>Murphy împotriva Irlandei</w:t>
      </w:r>
      <w:r w:rsidR="00EF5ECF">
        <w:t>, nr. 44179/98, pct. 68, CEDO 2003</w:t>
      </w:r>
      <w:r w:rsidR="00EF5ECF">
        <w:noBreakHyphen/>
        <w:t>IX).</w:t>
      </w:r>
    </w:p>
    <w:p w14:paraId="619BCAAB" w14:textId="631AA322" w:rsidR="00EF5ECF" w:rsidRPr="00954406" w:rsidRDefault="00E21F88" w:rsidP="00954406">
      <w:pPr>
        <w:pStyle w:val="JuPara"/>
      </w:pPr>
      <w:fldSimple w:instr=" SEQ level0 \*arabic \* MERGEFORMAT ">
        <w:bookmarkStart w:id="26" w:name="paragraph00044"/>
        <w:r w:rsidR="00954406" w:rsidRPr="00954406">
          <w:t>44</w:t>
        </w:r>
        <w:bookmarkEnd w:id="26"/>
      </w:fldSimple>
      <w:r w:rsidR="00EF5ECF">
        <w:t>.  Deși nu are sarcina să se substituie autorităților naționale competente, Curtea trebuie să verifice din perspectiva art. 10 deciziile luate de acestea. Nu rezultă că aceasta trebuie să se limiteze la a stabili dacă statul pârât s-a folosit de această putere de apreciere cu bună-credință, cu grijă și în mod rezonabil: ingerința în litigiu trebuie considerată în lumina cauzei în ansamblu pentru a stabili dacă aceasta era proporțională cu scopul legitim urmărit și dacă motivele invocate de autoritățile naționale pentru a o justifica sunt „relevante și suficiente”.</w:t>
      </w:r>
    </w:p>
    <w:p w14:paraId="3A72FF70" w14:textId="4CC5C89E" w:rsidR="00EF5ECF" w:rsidRPr="00954406" w:rsidRDefault="00E21F88" w:rsidP="00954406">
      <w:pPr>
        <w:pStyle w:val="JuPara"/>
        <w:rPr>
          <w:iCs/>
        </w:rPr>
      </w:pPr>
      <w:fldSimple w:instr=" SEQ level0 \*arabic \* MERGEFORMAT ">
        <w:bookmarkStart w:id="27" w:name="paragraph00045"/>
        <w:r w:rsidR="00954406" w:rsidRPr="00954406">
          <w:t>45</w:t>
        </w:r>
        <w:bookmarkEnd w:id="27"/>
      </w:fldSimple>
      <w:r w:rsidR="00EF5ECF">
        <w:t xml:space="preserve">.  Pentru a evalua relevanța și caracterul suficient al constatărilor reținute de instanțele naționale, Curtea, în conformitate cu principiul subsidiarității, ia în considerare modul în care instanțele naționale au pus în balanță interesele contrare aflate în joc în lumina jurisprudenței sale bine stabilite în acest domeniu [a se vedea </w:t>
      </w:r>
      <w:proofErr w:type="spellStart"/>
      <w:r w:rsidR="00EF5ECF">
        <w:rPr>
          <w:i/>
        </w:rPr>
        <w:t>Erla</w:t>
      </w:r>
      <w:proofErr w:type="spellEnd"/>
      <w:r w:rsidR="00EF5ECF">
        <w:rPr>
          <w:i/>
        </w:rPr>
        <w:t xml:space="preserve"> </w:t>
      </w:r>
      <w:proofErr w:type="spellStart"/>
      <w:r w:rsidR="00EF5ECF">
        <w:rPr>
          <w:i/>
        </w:rPr>
        <w:t>Hlynsdottir</w:t>
      </w:r>
      <w:proofErr w:type="spellEnd"/>
      <w:r w:rsidR="00EF5ECF">
        <w:t xml:space="preserve"> </w:t>
      </w:r>
      <w:r w:rsidR="00EF5ECF">
        <w:rPr>
          <w:i/>
          <w:iCs/>
        </w:rPr>
        <w:t>împotriva Islandei</w:t>
      </w:r>
      <w:r w:rsidR="00EF5ECF">
        <w:rPr>
          <w:i/>
        </w:rPr>
        <w:t xml:space="preserve"> (nr. 2)</w:t>
      </w:r>
      <w:r w:rsidR="00EF5ECF">
        <w:t xml:space="preserve">, nr. 54125/10, pct. 54, 21 octombrie 2014, </w:t>
      </w:r>
      <w:proofErr w:type="spellStart"/>
      <w:r w:rsidR="00EF5ECF">
        <w:rPr>
          <w:i/>
        </w:rPr>
        <w:t>Ergündoğan</w:t>
      </w:r>
      <w:proofErr w:type="spellEnd"/>
      <w:r w:rsidR="00EF5ECF">
        <w:rPr>
          <w:i/>
        </w:rPr>
        <w:t xml:space="preserve"> împotriva Turciei</w:t>
      </w:r>
      <w:r w:rsidR="00EF5ECF">
        <w:t xml:space="preserve">, nr. 48979/10, pct. 24, 17 aprilie 2018]. Curtea amintește că calitatea examinării judiciare a necesității măsurii prezintă o importanță deosebită în </w:t>
      </w:r>
      <w:r w:rsidR="00EF5ECF">
        <w:lastRenderedPageBreak/>
        <w:t xml:space="preserve">contextul aprecierii proporționalității din perspectiva art. 10 din Convenție [a se vedea </w:t>
      </w:r>
      <w:r w:rsidR="00EF5ECF">
        <w:rPr>
          <w:i/>
        </w:rPr>
        <w:t xml:space="preserve">Animal </w:t>
      </w:r>
      <w:proofErr w:type="spellStart"/>
      <w:r w:rsidR="00EF5ECF">
        <w:rPr>
          <w:i/>
        </w:rPr>
        <w:t>Defenders</w:t>
      </w:r>
      <w:proofErr w:type="spellEnd"/>
      <w:r w:rsidR="00EF5ECF">
        <w:rPr>
          <w:i/>
        </w:rPr>
        <w:t xml:space="preserve"> International împotriva Regatului Unit</w:t>
      </w:r>
      <w:r w:rsidR="00EF5ECF">
        <w:t xml:space="preserve"> (MC), nr. 48876/08, pct. 108, CEDO 2013 (extrase)]. Astfel, lipsa unui control judecătoresc efectiv al măsurii în litigiu poate justifica constatarea unei încălcări a art. 10 (</w:t>
      </w:r>
      <w:proofErr w:type="spellStart"/>
      <w:r w:rsidR="00EF5ECF">
        <w:t>Matúz</w:t>
      </w:r>
      <w:proofErr w:type="spellEnd"/>
      <w:r w:rsidR="00EF5ECF">
        <w:t xml:space="preserve"> împotriva Ungariei, nr. 73571/10, pct. 35, 21 octombrie 2014, </w:t>
      </w:r>
      <w:proofErr w:type="spellStart"/>
      <w:r w:rsidR="00EF5ECF">
        <w:rPr>
          <w:i/>
        </w:rPr>
        <w:t>Ergündoğan</w:t>
      </w:r>
      <w:proofErr w:type="spellEnd"/>
      <w:r w:rsidR="00EF5ECF">
        <w:rPr>
          <w:i/>
        </w:rPr>
        <w:t>,</w:t>
      </w:r>
      <w:r w:rsidR="00EF5ECF">
        <w:t xml:space="preserve"> citată anterior, </w:t>
      </w:r>
      <w:r w:rsidR="00EF5ECF">
        <w:rPr>
          <w:i/>
          <w:iCs/>
        </w:rPr>
        <w:t>ibidem</w:t>
      </w:r>
      <w:r w:rsidR="00EF5ECF">
        <w:t>).</w:t>
      </w:r>
    </w:p>
    <w:bookmarkStart w:id="28" w:name="paragraph00046"/>
    <w:p w14:paraId="68BE4F31" w14:textId="37B2170A" w:rsidR="00EF5ECF" w:rsidRPr="00954406" w:rsidRDefault="00EF5ECF" w:rsidP="00954406">
      <w:pPr>
        <w:pStyle w:val="JuPara"/>
      </w:pPr>
      <w:r w:rsidRPr="00954406">
        <w:fldChar w:fldCharType="begin"/>
      </w:r>
      <w:r w:rsidRPr="00954406">
        <w:instrText xml:space="preserve"> SEQ level0 \*arabic \* MERGEFORMAT </w:instrText>
      </w:r>
      <w:r w:rsidRPr="00954406">
        <w:fldChar w:fldCharType="separate"/>
      </w:r>
      <w:r w:rsidR="00954406" w:rsidRPr="00954406">
        <w:t>46</w:t>
      </w:r>
      <w:r w:rsidRPr="00954406">
        <w:fldChar w:fldCharType="end"/>
      </w:r>
      <w:bookmarkEnd w:id="28"/>
      <w:r>
        <w:t xml:space="preserve">.  În sfârșit, Curtea reamintește că natura și severitatea pedepselor aplicate sunt elemente de luat în considerare atunci când se evaluează proporționalitatea ingerinței. În acest sens, a avut în repetate rânduri ocazia să sublinieze, în contextul unor cauze cu privire la art. 10 din Convenție, că pronunțarea condamnării constituia una dintre cele mai grave forme de ingerință în exercitarea libertății de exprimare (a se vedea, între altele, </w:t>
      </w:r>
      <w:proofErr w:type="spellStart"/>
      <w:r>
        <w:rPr>
          <w:i/>
        </w:rPr>
        <w:t>Reichman</w:t>
      </w:r>
      <w:proofErr w:type="spellEnd"/>
      <w:r>
        <w:rPr>
          <w:i/>
        </w:rPr>
        <w:t xml:space="preserve"> împotriva Franței</w:t>
      </w:r>
      <w:r>
        <w:t xml:space="preserve">, nr. 50147/11, pct. 73, 12 iulie 2016, </w:t>
      </w:r>
      <w:proofErr w:type="spellStart"/>
      <w:r>
        <w:rPr>
          <w:i/>
        </w:rPr>
        <w:t>Lacroix</w:t>
      </w:r>
      <w:proofErr w:type="spellEnd"/>
      <w:r>
        <w:rPr>
          <w:i/>
        </w:rPr>
        <w:t xml:space="preserve"> împotriva Franței</w:t>
      </w:r>
      <w:r>
        <w:t xml:space="preserve">, nr. 41519/12, pct. 50, 7 septembrie 2017, și </w:t>
      </w:r>
      <w:proofErr w:type="spellStart"/>
      <w:r>
        <w:rPr>
          <w:i/>
        </w:rPr>
        <w:t>Tête</w:t>
      </w:r>
      <w:proofErr w:type="spellEnd"/>
      <w:r>
        <w:rPr>
          <w:i/>
        </w:rPr>
        <w:t xml:space="preserve"> împotriva Franței</w:t>
      </w:r>
      <w:r>
        <w:t>, nr. 59636/16, pct. 68, 26 martie 2020). Curtea reiterează că instanțele naționale trebuie să dea dovadă de moderație în utilizarea căii penale, în mod special cu privire la pronunțarea pedepsei cu închisoarea care are un efect deosebit de descurajator asupra exercitării libertății de exprimare [</w:t>
      </w:r>
      <w:r>
        <w:rPr>
          <w:i/>
        </w:rPr>
        <w:t>Cumpănă și Mazăre împotriva României</w:t>
      </w:r>
      <w:r>
        <w:t xml:space="preserve"> (MC), nr. 33348/96, pct. 116, CEDO 2004-XI, </w:t>
      </w:r>
      <w:proofErr w:type="spellStart"/>
      <w:r>
        <w:rPr>
          <w:i/>
        </w:rPr>
        <w:t>Morice</w:t>
      </w:r>
      <w:proofErr w:type="spellEnd"/>
      <w:r>
        <w:t xml:space="preserve">, citată anterior, pct. 127 și 176, și </w:t>
      </w:r>
      <w:proofErr w:type="spellStart"/>
      <w:r>
        <w:rPr>
          <w:i/>
        </w:rPr>
        <w:t>Mariya</w:t>
      </w:r>
      <w:proofErr w:type="spellEnd"/>
      <w:r>
        <w:rPr>
          <w:i/>
        </w:rPr>
        <w:t xml:space="preserve"> </w:t>
      </w:r>
      <w:proofErr w:type="spellStart"/>
      <w:r>
        <w:rPr>
          <w:i/>
        </w:rPr>
        <w:t>Alekhina</w:t>
      </w:r>
      <w:proofErr w:type="spellEnd"/>
      <w:r>
        <w:rPr>
          <w:i/>
        </w:rPr>
        <w:t xml:space="preserve"> și alții împotriva Rusiei</w:t>
      </w:r>
      <w:r>
        <w:t>, citată anterior, pct. 227].</w:t>
      </w:r>
    </w:p>
    <w:p w14:paraId="67F0ED08" w14:textId="6B60C568" w:rsidR="00EF5ECF" w:rsidRPr="00954406" w:rsidRDefault="00EF5ECF" w:rsidP="00954406">
      <w:pPr>
        <w:pStyle w:val="JuHi"/>
      </w:pPr>
      <w:r>
        <w:t>Aplicarea în prezenta cauză</w:t>
      </w:r>
    </w:p>
    <w:p w14:paraId="0E5B3E19" w14:textId="638CA9FB" w:rsidR="00EF5ECF" w:rsidRPr="00954406" w:rsidRDefault="00E21F88" w:rsidP="00954406">
      <w:pPr>
        <w:pStyle w:val="JuPara"/>
        <w:rPr>
          <w:rStyle w:val="JuParaChar"/>
        </w:rPr>
      </w:pPr>
      <w:fldSimple w:instr=" SEQ level0 \*arabic \* MERGEFORMAT ">
        <w:r w:rsidR="00954406" w:rsidRPr="00954406">
          <w:t>47</w:t>
        </w:r>
      </w:fldSimple>
      <w:r w:rsidR="00EF5ECF">
        <w:t>.  </w:t>
      </w:r>
      <w:r w:rsidR="00EF5ECF">
        <w:rPr>
          <w:rStyle w:val="JuParaChar"/>
        </w:rPr>
        <w:t>Curtea subliniază că la baza condamnării reclamantei se afla caracterizarea infracțiunii de exhibiționism. Conform Guvernului, aceasta nu viza sancționarea ideilor și a opiniilor sale critice asupra doctrinei Bisericii Catolice.</w:t>
      </w:r>
    </w:p>
    <w:p w14:paraId="53EF7965" w14:textId="35833FA7" w:rsidR="00EF5ECF" w:rsidRPr="00954406" w:rsidRDefault="00E21F88" w:rsidP="00954406">
      <w:pPr>
        <w:pStyle w:val="JuPara"/>
      </w:pPr>
      <w:fldSimple w:instr=" SEQ level0 \*arabic \* MERGEFORMAT ">
        <w:r w:rsidR="00954406" w:rsidRPr="00954406">
          <w:t>48</w:t>
        </w:r>
      </w:fldSimple>
      <w:r w:rsidR="00EF5ECF">
        <w:t xml:space="preserve">.  Curtea, cu toate acestea, consideră că, așa cum a menționat mai sus (a se vedea pct. </w:t>
      </w:r>
      <w:r w:rsidR="00EF5ECF" w:rsidRPr="00954406">
        <w:fldChar w:fldCharType="begin"/>
      </w:r>
      <w:r w:rsidR="00EF5ECF" w:rsidRPr="00954406">
        <w:instrText xml:space="preserve">REF paragraph00031 \h \* CharFormat  \* MERGEFORMAT </w:instrText>
      </w:r>
      <w:r w:rsidR="00EF5ECF" w:rsidRPr="00954406">
        <w:fldChar w:fldCharType="separate"/>
      </w:r>
      <w:r w:rsidR="00954406" w:rsidRPr="00954406">
        <w:t>31</w:t>
      </w:r>
      <w:r w:rsidR="00EF5ECF" w:rsidRPr="00954406">
        <w:fldChar w:fldCharType="end"/>
      </w:r>
      <w:r w:rsidR="00EF5ECF">
        <w:t>), având în vedere caracterul său militant, acțiunea reclamantei, care încerca să-și exprime convingerile politice, în linia pozițiilor apărate de mișcarea Femen în numele căreia acționa, trebuie privită ca fiind un „performance” care intră sub incidența art. 10. Punerea în scenă a reclamantei, cu pieptul gol, organizată după modalitățile stabilite de mișcarea Femen, avea într-adevăr scopul de a vehicula, într-un lăcaș de cult simbolic, un mesaj referitor la o dezbatere publică și societală privind poziționarea Bisericii Catolice într-o chestiune sensibilă și controversată, și anume dreptul femeilor de a dispune liber de propriul corp, inclusiv cel de a recurge la avort.</w:t>
      </w:r>
    </w:p>
    <w:p w14:paraId="2510E984" w14:textId="672CA689" w:rsidR="00EF5ECF" w:rsidRPr="00954406" w:rsidRDefault="00E21F88" w:rsidP="00954406">
      <w:pPr>
        <w:pStyle w:val="JuPara"/>
      </w:pPr>
      <w:fldSimple w:instr=" SEQ level0 \*arabic \* MERGEFORMAT ">
        <w:r w:rsidR="00954406" w:rsidRPr="00954406">
          <w:t>49</w:t>
        </w:r>
      </w:fldSimple>
      <w:r w:rsidR="00EF5ECF">
        <w:t xml:space="preserve">.  În aceste condiții, Curtea consideră că, chiar și atunci când a fost exercitată, în prezenta cauză, într-un mod susceptibil să ofenseze convingeri personale intime care țin de morală sau chiar de religie, având în vedere locul ales pentru a realiza spectacolul, unde prin definiție se puteau afla mai mulți credincioși decât în oricare alt loc (a se vedea, </w:t>
      </w:r>
      <w:r w:rsidR="00EF5ECF">
        <w:rPr>
          <w:i/>
        </w:rPr>
        <w:t>Otto-</w:t>
      </w:r>
      <w:proofErr w:type="spellStart"/>
      <w:r w:rsidR="00EF5ECF">
        <w:rPr>
          <w:i/>
        </w:rPr>
        <w:t>Preminger</w:t>
      </w:r>
      <w:proofErr w:type="spellEnd"/>
      <w:r w:rsidR="00EF5ECF">
        <w:rPr>
          <w:i/>
        </w:rPr>
        <w:t>-Institut împotriva Austriei</w:t>
      </w:r>
      <w:r w:rsidR="00EF5ECF">
        <w:t xml:space="preserve">, 20 septembrie 1994, pct. 50, seria A nr. 295-A, </w:t>
      </w:r>
      <w:proofErr w:type="spellStart"/>
      <w:r w:rsidR="00EF5ECF">
        <w:rPr>
          <w:i/>
        </w:rPr>
        <w:t>Wingrove</w:t>
      </w:r>
      <w:proofErr w:type="spellEnd"/>
      <w:r w:rsidR="00EF5ECF">
        <w:t>,</w:t>
      </w:r>
      <w:r w:rsidR="00EF5ECF">
        <w:rPr>
          <w:i/>
        </w:rPr>
        <w:t xml:space="preserve"> </w:t>
      </w:r>
      <w:r w:rsidR="00EF5ECF">
        <w:t xml:space="preserve">citată anterior, pct. 58, și </w:t>
      </w:r>
      <w:r w:rsidR="00EF5ECF">
        <w:rPr>
          <w:i/>
        </w:rPr>
        <w:t>Murphy</w:t>
      </w:r>
      <w:r w:rsidR="00EF5ECF">
        <w:t xml:space="preserve">, citată anterior, pct. 67), libertatea de </w:t>
      </w:r>
      <w:r w:rsidR="00EF5ECF">
        <w:lastRenderedPageBreak/>
        <w:t>exprimare a reclamantei trebuia să beneficieze de un nivel suficient de protecție, alături de o marjă de apreciere redusă a autorităților naționale, din moment ce conținutul mesajului său făceau parte dintr-un subiect de interes general (</w:t>
      </w:r>
      <w:proofErr w:type="spellStart"/>
      <w:r w:rsidR="00EF5ECF">
        <w:rPr>
          <w:i/>
        </w:rPr>
        <w:t>Morice</w:t>
      </w:r>
      <w:proofErr w:type="spellEnd"/>
      <w:r w:rsidR="00EF5ECF">
        <w:t xml:space="preserve">, citată anterior, pct. 125, și cauzele citate, </w:t>
      </w:r>
      <w:proofErr w:type="spellStart"/>
      <w:r w:rsidR="00EF5ECF">
        <w:rPr>
          <w:rStyle w:val="JuParaChar"/>
          <w:i/>
        </w:rPr>
        <w:t>Mariya</w:t>
      </w:r>
      <w:proofErr w:type="spellEnd"/>
      <w:r w:rsidR="00EF5ECF">
        <w:rPr>
          <w:rStyle w:val="JuParaChar"/>
          <w:i/>
        </w:rPr>
        <w:t xml:space="preserve"> </w:t>
      </w:r>
      <w:proofErr w:type="spellStart"/>
      <w:r w:rsidR="00EF5ECF">
        <w:rPr>
          <w:rStyle w:val="JuParaChar"/>
          <w:i/>
        </w:rPr>
        <w:t>Alekhina</w:t>
      </w:r>
      <w:proofErr w:type="spellEnd"/>
      <w:r w:rsidR="00EF5ECF">
        <w:rPr>
          <w:rStyle w:val="JuParaChar"/>
          <w:i/>
        </w:rPr>
        <w:t xml:space="preserve"> și alții</w:t>
      </w:r>
      <w:r w:rsidR="00EF5ECF">
        <w:rPr>
          <w:rStyle w:val="JuParaChar"/>
        </w:rPr>
        <w:t>, citată anterior, pct. 212</w:t>
      </w:r>
      <w:r w:rsidR="00EF5ECF">
        <w:t>).</w:t>
      </w:r>
    </w:p>
    <w:p w14:paraId="14DB2DEB" w14:textId="2F105FD1" w:rsidR="00EF5ECF" w:rsidRPr="00954406" w:rsidRDefault="00E21F88" w:rsidP="00954406">
      <w:pPr>
        <w:pStyle w:val="JuPara"/>
      </w:pPr>
      <w:fldSimple w:instr=" SEQ level0 \*arabic \* MERGEFORMAT ">
        <w:r w:rsidR="00954406" w:rsidRPr="00954406">
          <w:t>50</w:t>
        </w:r>
      </w:fldSimple>
      <w:r w:rsidR="00EF5ECF">
        <w:t xml:space="preserve">.  Curtea reamintește că nu trebuie să se pronunțe cu privire la elementele constitutive ale infracțiunii de exhibiționism. În speță, și contrar a ceea ce reclamanta solicită, nu este de competența sa să determine dacă trebuie să țină seama de mobilurile persoanei urmărite penal pentru a caracteriza infracțiunea. Le revine, într-adevăr, în primul rând autorităților naționale, mai exact instanțelor, sarcina de a interpreta și de a aplica dreptul național și, după ce au apreciat faptele în litigiu și contextul lor și au verificat dacă erau întrunite elementele constitutive ale infracțiunii, să concluzioneze în privința stabilirii vinovăției inculpatului (a se vedea, printre multe altele, </w:t>
      </w:r>
      <w:proofErr w:type="spellStart"/>
      <w:r w:rsidR="00EF5ECF">
        <w:rPr>
          <w:i/>
        </w:rPr>
        <w:t>Lehideux</w:t>
      </w:r>
      <w:proofErr w:type="spellEnd"/>
      <w:r w:rsidR="00EF5ECF">
        <w:rPr>
          <w:i/>
        </w:rPr>
        <w:t xml:space="preserve"> și </w:t>
      </w:r>
      <w:proofErr w:type="spellStart"/>
      <w:r w:rsidR="00EF5ECF">
        <w:rPr>
          <w:i/>
        </w:rPr>
        <w:t>Isorni</w:t>
      </w:r>
      <w:proofErr w:type="spellEnd"/>
      <w:r w:rsidR="00EF5ECF">
        <w:rPr>
          <w:i/>
        </w:rPr>
        <w:t xml:space="preserve"> împotriva Franței</w:t>
      </w:r>
      <w:r w:rsidR="00EF5ECF">
        <w:t xml:space="preserve">, 23 septembrie 1998, pct. 50, </w:t>
      </w:r>
      <w:r w:rsidR="00EF5ECF">
        <w:rPr>
          <w:i/>
          <w:iCs/>
        </w:rPr>
        <w:t>Culegere de hotărâri și decizii</w:t>
      </w:r>
      <w:r w:rsidR="00EF5ECF">
        <w:t xml:space="preserve"> 1998-VII). La fel, stabilirea pedepselor este în principiu apanajul instanțele interne (</w:t>
      </w:r>
      <w:r w:rsidR="00EF5ECF">
        <w:rPr>
          <w:i/>
        </w:rPr>
        <w:t>Cumpănă și Mazăre</w:t>
      </w:r>
      <w:r w:rsidR="00EF5ECF">
        <w:t>, citată anterior, pct. 115).</w:t>
      </w:r>
    </w:p>
    <w:p w14:paraId="377D565B" w14:textId="514789FC" w:rsidR="00EF5ECF" w:rsidRPr="00954406" w:rsidRDefault="00E21F88" w:rsidP="00954406">
      <w:pPr>
        <w:pStyle w:val="JuPara"/>
      </w:pPr>
      <w:fldSimple w:instr=" SEQ level0 \*arabic \* MERGEFORMAT ">
        <w:r w:rsidR="00954406" w:rsidRPr="00954406">
          <w:t>51</w:t>
        </w:r>
      </w:fldSimple>
      <w:r w:rsidR="00EF5ECF">
        <w:t>.  În prezenta cauză, Curtea subliniază că performance-</w:t>
      </w:r>
      <w:proofErr w:type="spellStart"/>
      <w:r w:rsidR="00EF5ECF">
        <w:t>ul</w:t>
      </w:r>
      <w:proofErr w:type="spellEnd"/>
      <w:r w:rsidR="00EF5ECF">
        <w:t xml:space="preserve"> reclamantei s</w:t>
      </w:r>
      <w:r w:rsidR="008D0420">
        <w:noBreakHyphen/>
      </w:r>
      <w:r w:rsidR="00EF5ECF">
        <w:t xml:space="preserve">a desfășurat într-o biserică și amintește că a admis deja, într-o situație asemănătoare, că un astfel de comportament putea fi privit ca nerespectând normele de conduită acceptabile într-un lăcaș de cult și că a dedus de aici că aplicarea anumitor sancțiuni putea fi în principiu justificată de imperativele protecției drepturilor altora (a se vedea </w:t>
      </w:r>
      <w:proofErr w:type="spellStart"/>
      <w:r w:rsidR="00EF5ECF">
        <w:rPr>
          <w:i/>
        </w:rPr>
        <w:t>Mariya</w:t>
      </w:r>
      <w:proofErr w:type="spellEnd"/>
      <w:r w:rsidR="00EF5ECF">
        <w:rPr>
          <w:i/>
        </w:rPr>
        <w:t xml:space="preserve"> </w:t>
      </w:r>
      <w:proofErr w:type="spellStart"/>
      <w:r w:rsidR="00EF5ECF">
        <w:rPr>
          <w:i/>
        </w:rPr>
        <w:t>Alekhina</w:t>
      </w:r>
      <w:proofErr w:type="spellEnd"/>
      <w:r w:rsidR="00EF5ECF">
        <w:rPr>
          <w:i/>
        </w:rPr>
        <w:t xml:space="preserve"> și alții</w:t>
      </w:r>
      <w:r w:rsidR="00EF5ECF">
        <w:t>, citată anterior, pct. 214). Cu toate acestea, în prezenta cauză, în ceea ce privește pedeapsa pronunțată împotriva reclamantei, Curtea este, în primul rând, surprinsă de severitatea sancțiunii pe care instanțele interne au aplicat-o persoanei în cauză fără a explica însă de ce se impunea pedeapsa cu închisoarea pentru a garanta protecția ordinii publice, a moralei și a drepturilor altora în împrejurările cauzei.</w:t>
      </w:r>
    </w:p>
    <w:p w14:paraId="480F197D" w14:textId="2E1F8284" w:rsidR="00EF5ECF" w:rsidRPr="00954406" w:rsidRDefault="00E21F88" w:rsidP="00954406">
      <w:pPr>
        <w:pStyle w:val="JuPara"/>
      </w:pPr>
      <w:fldSimple w:instr=" SEQ level0 \*arabic \* MERGEFORMAT ">
        <w:r w:rsidR="00954406" w:rsidRPr="00954406">
          <w:t>52</w:t>
        </w:r>
      </w:fldSimple>
      <w:r w:rsidR="00EF5ECF">
        <w:t xml:space="preserve">.  Subliniază, în această privință, că pedeapsa de o lună cu închisoarea cu suspendarea executării stabilită împotriva reclamantei este o pedeapsă privativă de libertate care putea fi pusă în executare în cazul unei noi condamnări și care a fost înscrisă în cazierul judiciar. La gravitatea sancțiunii penale pronunțate s-a adăugat cuantumul relativ ridicat al sumei stabilite în sarcina reclamantei cu titlu de daune-interese civile (a se vedea pct. </w:t>
      </w:r>
      <w:r w:rsidR="00EF5ECF" w:rsidRPr="00954406">
        <w:fldChar w:fldCharType="begin"/>
      </w:r>
      <w:r w:rsidR="00EF5ECF" w:rsidRPr="00954406">
        <w:instrText xml:space="preserve">REF paragraph00009 \h \* CharFormat </w:instrText>
      </w:r>
      <w:r w:rsidR="00EF5ECF" w:rsidRPr="00954406">
        <w:fldChar w:fldCharType="separate"/>
      </w:r>
      <w:r w:rsidR="00954406" w:rsidRPr="00954406">
        <w:t>9</w:t>
      </w:r>
      <w:r w:rsidR="00EF5ECF" w:rsidRPr="00954406">
        <w:fldChar w:fldCharType="end"/>
      </w:r>
      <w:r w:rsidR="00EF5ECF">
        <w:t>).</w:t>
      </w:r>
    </w:p>
    <w:p w14:paraId="241D3240" w14:textId="401D7A7B" w:rsidR="00EF5ECF" w:rsidRPr="00954406" w:rsidRDefault="00E21F88" w:rsidP="00954406">
      <w:pPr>
        <w:pStyle w:val="JuPara"/>
      </w:pPr>
      <w:fldSimple w:instr=" SEQ level0 \*arabic \* MERGEFORMAT ">
        <w:r w:rsidR="00954406" w:rsidRPr="00954406">
          <w:t>53</w:t>
        </w:r>
      </w:fldSimple>
      <w:r w:rsidR="00EF5ECF">
        <w:t xml:space="preserve">.  Curtea reamintește că o pedeapsă cu închisoarea aplicată în cadrul unei dezbateri politice sau de interes general nu este compatibilă cu libertatea de exprimare garantată de art. 10 din Convenție decât în circumstanțe excepționale, mai cu seamă atunci când alte drepturi fundamentale au fost grav încălcate, ca, de exemplu, în ipoteza difuzării unui discurs al urii sau a incitării la violență (a se vedea, între altele, </w:t>
      </w:r>
      <w:proofErr w:type="spellStart"/>
      <w:r w:rsidR="00EF5ECF">
        <w:rPr>
          <w:i/>
        </w:rPr>
        <w:t>Otegi</w:t>
      </w:r>
      <w:proofErr w:type="spellEnd"/>
      <w:r w:rsidR="00EF5ECF">
        <w:rPr>
          <w:i/>
        </w:rPr>
        <w:t xml:space="preserve"> Mondragon împotriva Spaniei</w:t>
      </w:r>
      <w:r w:rsidR="00EF5ECF">
        <w:t xml:space="preserve">, nr. 2034/07, pct. 59, 15 martie 2011, </w:t>
      </w:r>
      <w:r w:rsidR="00EF5ECF">
        <w:rPr>
          <w:i/>
        </w:rPr>
        <w:t xml:space="preserve">Stern </w:t>
      </w:r>
      <w:proofErr w:type="spellStart"/>
      <w:r w:rsidR="00EF5ECF">
        <w:rPr>
          <w:i/>
        </w:rPr>
        <w:t>Taulats</w:t>
      </w:r>
      <w:proofErr w:type="spellEnd"/>
      <w:r w:rsidR="00EF5ECF">
        <w:rPr>
          <w:i/>
        </w:rPr>
        <w:t xml:space="preserve"> și Roura </w:t>
      </w:r>
      <w:proofErr w:type="spellStart"/>
      <w:r w:rsidR="00EF5ECF">
        <w:rPr>
          <w:i/>
        </w:rPr>
        <w:t>Capellera</w:t>
      </w:r>
      <w:proofErr w:type="spellEnd"/>
      <w:r w:rsidR="00EF5ECF">
        <w:rPr>
          <w:i/>
        </w:rPr>
        <w:t xml:space="preserve"> împotriva Spaniei</w:t>
      </w:r>
      <w:r w:rsidR="00EF5ECF">
        <w:t xml:space="preserve">, nr. 51168/15, pct. 34, 13 martie 2018). În speță, acțiunea reclamantei, pentru care nu a fost acuzată de comportament injurios </w:t>
      </w:r>
      <w:r w:rsidR="00EF5ECF">
        <w:lastRenderedPageBreak/>
        <w:t xml:space="preserve">sau de ură, oricât de șocantă ar fi putut fi pentru alții având în vedere nuditatea pe care a impus-o într-un loc public, comportament sancționat în temeiul dreptului penal intern, avea ca obiectiv doar să contribuie, printr-un performance provocator în mod deliberat, la dezbaterea publică privind drepturile femeilor, mai specific dreptul la avort. Nicio condamnare anterioară nu era înscrisă în cazierul judiciar al reclamantei. Era integrată din punct de vedere social și profesional, obținea venituri, astfel încât referința la „personalitatea autorului” pentru a justifica pedeapsa nu trimitea la niciun element precis și defavorabil (a se vedea pct. </w:t>
      </w:r>
      <w:r w:rsidR="00EF5ECF" w:rsidRPr="00954406">
        <w:fldChar w:fldCharType="begin"/>
      </w:r>
      <w:r w:rsidR="00EF5ECF" w:rsidRPr="00954406">
        <w:instrText xml:space="preserve"> REF paragraph00012 \h  \* CharFormat  \* MERGEFORMAT </w:instrText>
      </w:r>
      <w:r w:rsidR="00EF5ECF" w:rsidRPr="00954406">
        <w:fldChar w:fldCharType="separate"/>
      </w:r>
      <w:r w:rsidR="00954406" w:rsidRPr="00954406">
        <w:t>12</w:t>
      </w:r>
      <w:r w:rsidR="00EF5ECF" w:rsidRPr="00954406">
        <w:fldChar w:fldCharType="end"/>
      </w:r>
      <w:r w:rsidR="00EF5ECF">
        <w:t>) și nici nu justifica alegerea de a nu reține o pedeapsă neprivativă de libertate.</w:t>
      </w:r>
    </w:p>
    <w:p w14:paraId="0F1D78ED" w14:textId="6864B571" w:rsidR="00EF5ECF" w:rsidRPr="00954406" w:rsidRDefault="00E21F88" w:rsidP="00954406">
      <w:pPr>
        <w:pStyle w:val="JuPara"/>
      </w:pPr>
      <w:fldSimple w:instr=" SEQ level0 \*arabic \* MERGEFORMAT ">
        <w:r w:rsidR="00954406" w:rsidRPr="00954406">
          <w:t>54</w:t>
        </w:r>
      </w:fldSimple>
      <w:r w:rsidR="00EF5ECF">
        <w:t>.  Curtea constată, în speță, că instanțele interne au optat pentru o pedeapsă cu închisoarea care, chiar și cu suspendare, nu poate fi considerată ca fiind pedeapsa cea mai redusă impusă de jurisprudența Curții atunci când este în joc libertatea de exprimare a persoanei condamnate (</w:t>
      </w:r>
      <w:proofErr w:type="spellStart"/>
      <w:r w:rsidR="00EF5ECF">
        <w:rPr>
          <w:i/>
        </w:rPr>
        <w:t>Morice</w:t>
      </w:r>
      <w:proofErr w:type="spellEnd"/>
      <w:r w:rsidR="00EF5ECF">
        <w:t xml:space="preserve">, citată anterior, pct. 176, </w:t>
      </w:r>
      <w:proofErr w:type="spellStart"/>
      <w:r w:rsidR="00EF5ECF">
        <w:rPr>
          <w:i/>
        </w:rPr>
        <w:t>Reichman</w:t>
      </w:r>
      <w:proofErr w:type="spellEnd"/>
      <w:r w:rsidR="00EF5ECF">
        <w:t xml:space="preserve">, citată anterior, pct. 73), domeniu în care, după cum s-a reamintit mai sus (a se vedea pct. </w:t>
      </w:r>
      <w:r w:rsidR="00EF5ECF" w:rsidRPr="00954406">
        <w:fldChar w:fldCharType="begin"/>
      </w:r>
      <w:r w:rsidR="00EF5ECF" w:rsidRPr="00954406">
        <w:instrText xml:space="preserve">REF paragraph00046 \h \* CharFormat  \* MERGEFORMAT </w:instrText>
      </w:r>
      <w:r w:rsidR="00EF5ECF" w:rsidRPr="00954406">
        <w:fldChar w:fldCharType="separate"/>
      </w:r>
      <w:r w:rsidR="00954406" w:rsidRPr="00954406">
        <w:t>46</w:t>
      </w:r>
      <w:r w:rsidR="00EF5ECF" w:rsidRPr="00954406">
        <w:fldChar w:fldCharType="end"/>
      </w:r>
      <w:r w:rsidR="00EF5ECF">
        <w:t>), instanțele naționale trebuie să dea dovadă de moderație în utilizarea căii penale.</w:t>
      </w:r>
    </w:p>
    <w:p w14:paraId="05C0CDA4" w14:textId="2D3E1AA8" w:rsidR="00EF5ECF" w:rsidRPr="00954406" w:rsidRDefault="00E21F88" w:rsidP="00954406">
      <w:pPr>
        <w:pStyle w:val="JuPara"/>
      </w:pPr>
      <w:fldSimple w:instr=" SEQ level0 \*arabic \* MERGEFORMAT ">
        <w:r w:rsidR="00954406" w:rsidRPr="00954406">
          <w:t>55</w:t>
        </w:r>
      </w:fldSimple>
      <w:r w:rsidR="00EF5ECF">
        <w:t xml:space="preserve">.  Având în vedere considerațiile care precedă și pentru a examina dacă natura și asprimea pedepsei aplicate reclamantei se justificau totuși în împrejurările cauzei, Curtea trebuie, în al doilea rând, să examineze, așa cum a enunțat anterior (a se vedea pct. </w:t>
      </w:r>
      <w:r w:rsidR="00EF5ECF" w:rsidRPr="00954406">
        <w:fldChar w:fldCharType="begin"/>
      </w:r>
      <w:r w:rsidR="00EF5ECF" w:rsidRPr="00954406">
        <w:instrText xml:space="preserve"> REF paragraph00044 \h  \* CharFormat  \* MERGEFORMAT </w:instrText>
      </w:r>
      <w:r w:rsidR="00EF5ECF" w:rsidRPr="00954406">
        <w:fldChar w:fldCharType="separate"/>
      </w:r>
      <w:r w:rsidR="00954406" w:rsidRPr="00954406">
        <w:t>44</w:t>
      </w:r>
      <w:r w:rsidR="00EF5ECF" w:rsidRPr="00954406">
        <w:fldChar w:fldCharType="end"/>
      </w:r>
      <w:r w:rsidR="00EF5ECF">
        <w:t>-</w:t>
      </w:r>
      <w:r w:rsidR="00EF5ECF" w:rsidRPr="00954406">
        <w:fldChar w:fldCharType="begin"/>
      </w:r>
      <w:r w:rsidR="00EF5ECF" w:rsidRPr="00954406">
        <w:instrText xml:space="preserve"> REF paragraph00045 \h  \* CharFormat  \* MERGEFORMAT </w:instrText>
      </w:r>
      <w:r w:rsidR="00EF5ECF" w:rsidRPr="00954406">
        <w:fldChar w:fldCharType="separate"/>
      </w:r>
      <w:r w:rsidR="00954406" w:rsidRPr="00954406">
        <w:t>45</w:t>
      </w:r>
      <w:r w:rsidR="00EF5ECF" w:rsidRPr="00954406">
        <w:fldChar w:fldCharType="end"/>
      </w:r>
      <w:r w:rsidR="00EF5ECF">
        <w:t>), existența unor motive relevante și suficiente dezvoltate de instanțele interne.</w:t>
      </w:r>
    </w:p>
    <w:p w14:paraId="4B4FAECA" w14:textId="19BC91D6" w:rsidR="00EF5ECF" w:rsidRPr="00954406" w:rsidRDefault="00E21F88" w:rsidP="00954406">
      <w:pPr>
        <w:pStyle w:val="JuPara"/>
      </w:pPr>
      <w:fldSimple w:instr=" SEQ level0 \*arabic \* MERGEFORMAT ">
        <w:r w:rsidR="00954406" w:rsidRPr="00954406">
          <w:t>56</w:t>
        </w:r>
      </w:fldSimple>
      <w:r w:rsidR="00EF5ECF">
        <w:t xml:space="preserve">.  În această privință, se reamintește că, în măsura în care instanțele interne au examinat cu atenție faptele, au aplicat, cu respectarea Convenției și a jurisprudenței aferente, normele aplicabile în materia protejării drepturilor omului și au asigurat un just echilibru între interesele persoanei și interesul general în cauza respectivă, trebuie să existe motive serioase care să determine Curtea să înlocuiască opinia instanțelor naționale cu cea proprie [a se vedea jurisprudența recentă în domeniul art. 8, </w:t>
      </w:r>
      <w:r w:rsidR="00EF5ECF">
        <w:rPr>
          <w:i/>
        </w:rPr>
        <w:t>I.M. împotriva Elveției</w:t>
      </w:r>
      <w:r w:rsidR="00EF5ECF">
        <w:t xml:space="preserve">, nr. 23887/16, pct. 72, 9 aprilie 2019, </w:t>
      </w:r>
      <w:r w:rsidR="00EF5ECF">
        <w:rPr>
          <w:i/>
        </w:rPr>
        <w:t>M.A. împotriva Danemarcei</w:t>
      </w:r>
      <w:r w:rsidR="00EF5ECF">
        <w:t xml:space="preserve"> (MC), nr. 6697/18, pct. 149, 9 iulie 2021, și din perspectiva art. 10, </w:t>
      </w:r>
      <w:proofErr w:type="spellStart"/>
      <w:r w:rsidR="00EF5ECF">
        <w:rPr>
          <w:i/>
        </w:rPr>
        <w:t>Sellami</w:t>
      </w:r>
      <w:proofErr w:type="spellEnd"/>
      <w:r w:rsidR="00EF5ECF">
        <w:rPr>
          <w:i/>
        </w:rPr>
        <w:t xml:space="preserve"> împotriva Franței</w:t>
      </w:r>
      <w:r w:rsidR="00EF5ECF">
        <w:t xml:space="preserve">, nr. 61470/15, pct. 46, 17 decembrie 2020]. </w:t>
      </w:r>
    </w:p>
    <w:p w14:paraId="5044FA97" w14:textId="635A2080" w:rsidR="00EF5ECF" w:rsidRPr="00954406" w:rsidRDefault="00E21F88" w:rsidP="00954406">
      <w:pPr>
        <w:pStyle w:val="JuPara"/>
      </w:pPr>
      <w:fldSimple w:instr=" SEQ level0 \*arabic \* MERGEFORMAT ">
        <w:r w:rsidR="00954406" w:rsidRPr="00954406">
          <w:t>57</w:t>
        </w:r>
      </w:fldSimple>
      <w:r w:rsidR="00EF5ECF">
        <w:t xml:space="preserve">.  Curtea subliniază că această punere în balanță a intereselor respective se deosebește de controlul pe care trebuie să îl efectueze, în alte situații, asupra motivelor reținute de instanța națională atunci când împrejurările cauzei duc la efectuarea punerii în balanță a două libertăți în mod egal protejate de Convenție [a se vedea, având ca obiect o punere în balanță a art. 10 și art. 8 din Convenție, </w:t>
      </w:r>
      <w:r w:rsidR="00EF5ECF">
        <w:rPr>
          <w:i/>
        </w:rPr>
        <w:t>MGN Limited împotriva Regatului Unit</w:t>
      </w:r>
      <w:r w:rsidR="00EF5ECF">
        <w:t xml:space="preserve">, nr. 39401/04, pct. 142, 18 ianuarie 2011, </w:t>
      </w:r>
      <w:proofErr w:type="spellStart"/>
      <w:r w:rsidR="00EF5ECF">
        <w:rPr>
          <w:i/>
        </w:rPr>
        <w:t>Couderc</w:t>
      </w:r>
      <w:proofErr w:type="spellEnd"/>
      <w:r w:rsidR="00EF5ECF">
        <w:rPr>
          <w:i/>
        </w:rPr>
        <w:t xml:space="preserve"> și Hachette </w:t>
      </w:r>
      <w:proofErr w:type="spellStart"/>
      <w:r w:rsidR="00EF5ECF">
        <w:rPr>
          <w:i/>
        </w:rPr>
        <w:t>Filipacchi</w:t>
      </w:r>
      <w:proofErr w:type="spellEnd"/>
      <w:r w:rsidR="00EF5ECF">
        <w:rPr>
          <w:i/>
        </w:rPr>
        <w:t xml:space="preserve"> </w:t>
      </w:r>
      <w:proofErr w:type="spellStart"/>
      <w:r w:rsidR="00EF5ECF">
        <w:rPr>
          <w:i/>
        </w:rPr>
        <w:t>Associés</w:t>
      </w:r>
      <w:proofErr w:type="spellEnd"/>
      <w:r w:rsidR="00EF5ECF">
        <w:rPr>
          <w:i/>
        </w:rPr>
        <w:t xml:space="preserve"> împotriva Franței</w:t>
      </w:r>
      <w:r w:rsidR="00EF5ECF">
        <w:t xml:space="preserve"> (MC), nr. 40454/07, pct. 79, CEDO 2015 (extrase), </w:t>
      </w:r>
      <w:proofErr w:type="spellStart"/>
      <w:r w:rsidR="00EF5ECF">
        <w:rPr>
          <w:i/>
        </w:rPr>
        <w:t>Ergündoğan</w:t>
      </w:r>
      <w:proofErr w:type="spellEnd"/>
      <w:r w:rsidR="00EF5ECF">
        <w:rPr>
          <w:i/>
        </w:rPr>
        <w:t xml:space="preserve"> împotriva Turciei</w:t>
      </w:r>
      <w:r w:rsidR="00EF5ECF">
        <w:t xml:space="preserve">, citată anterior, pct. 30, sau a libertăților protejate de art. 10 și art. 9 din Convenție, </w:t>
      </w:r>
      <w:r w:rsidR="00EF5ECF">
        <w:rPr>
          <w:i/>
        </w:rPr>
        <w:t>Otto-</w:t>
      </w:r>
      <w:proofErr w:type="spellStart"/>
      <w:r w:rsidR="00EF5ECF">
        <w:rPr>
          <w:i/>
        </w:rPr>
        <w:t>Preminger</w:t>
      </w:r>
      <w:proofErr w:type="spellEnd"/>
      <w:r w:rsidR="00EF5ECF">
        <w:rPr>
          <w:i/>
        </w:rPr>
        <w:t>-Institut împotriva Austriei</w:t>
      </w:r>
      <w:r w:rsidR="00EF5ECF">
        <w:t xml:space="preserve">, citată anterior, pct. 55, </w:t>
      </w:r>
      <w:proofErr w:type="spellStart"/>
      <w:r w:rsidR="00EF5ECF">
        <w:rPr>
          <w:i/>
        </w:rPr>
        <w:t>Aydın</w:t>
      </w:r>
      <w:proofErr w:type="spellEnd"/>
      <w:r w:rsidR="00EF5ECF">
        <w:rPr>
          <w:i/>
        </w:rPr>
        <w:t xml:space="preserve"> </w:t>
      </w:r>
      <w:proofErr w:type="spellStart"/>
      <w:r w:rsidR="00EF5ECF">
        <w:rPr>
          <w:i/>
        </w:rPr>
        <w:t>Tatlav</w:t>
      </w:r>
      <w:proofErr w:type="spellEnd"/>
      <w:r w:rsidR="00EF5ECF">
        <w:rPr>
          <w:i/>
        </w:rPr>
        <w:t xml:space="preserve"> împotriva Turciei</w:t>
      </w:r>
      <w:r w:rsidR="00EF5ECF">
        <w:t>, nr. 50692/99, pct. 26, 2 mai 2006].</w:t>
      </w:r>
    </w:p>
    <w:p w14:paraId="28C96D16" w14:textId="53AFB5DC" w:rsidR="00EF5ECF" w:rsidRPr="00954406" w:rsidRDefault="00E21F88" w:rsidP="00954406">
      <w:pPr>
        <w:pStyle w:val="JuPara"/>
      </w:pPr>
      <w:fldSimple w:instr=" SEQ level0 \*arabic \* MERGEFORMAT ">
        <w:r w:rsidR="00954406" w:rsidRPr="00954406">
          <w:t>58</w:t>
        </w:r>
      </w:fldSimple>
      <w:r w:rsidR="00EF5ECF">
        <w:t xml:space="preserve">.  În speță, pentru a aprecia necesitatea ingerinței în exercitarea libertății de exprimare a reclamantei și pentru a stabili dacă comportamentul său justifica o sancțiune, instanțele naționale au făcut trimitere, așa cum rezultă din motivările deciziilor lor, la anumite principii stabilite de Curte în jurisprudența referitoare la art. 10 din Convenție. Astfel, acestea au invocat atât în primă instanță, cât și în apel, proporționalitatea ingerinței cu „nevoia socială imperioasă de protejare a altora de a vedea, într-un lăcaș de cult, o acțiune executată pe jumătate dezbrăcată, ceea ce poate fi ofensator pentru unii” (a se vedea supra, pct. </w:t>
      </w:r>
      <w:r w:rsidR="00EF5ECF" w:rsidRPr="00954406">
        <w:fldChar w:fldCharType="begin"/>
      </w:r>
      <w:r w:rsidR="00EF5ECF" w:rsidRPr="00954406">
        <w:instrText xml:space="preserve">REF paragraph00008 \h \* CharFormat </w:instrText>
      </w:r>
      <w:r w:rsidR="00EF5ECF" w:rsidRPr="00954406">
        <w:fldChar w:fldCharType="separate"/>
      </w:r>
      <w:r w:rsidR="00954406" w:rsidRPr="00954406">
        <w:t>8</w:t>
      </w:r>
      <w:r w:rsidR="00EF5ECF" w:rsidRPr="00954406">
        <w:fldChar w:fldCharType="end"/>
      </w:r>
      <w:r w:rsidR="00EF5ECF">
        <w:t xml:space="preserve"> și </w:t>
      </w:r>
      <w:r w:rsidR="00EF5ECF" w:rsidRPr="00954406">
        <w:fldChar w:fldCharType="begin"/>
      </w:r>
      <w:r w:rsidR="00EF5ECF" w:rsidRPr="00954406">
        <w:instrText xml:space="preserve">REF paragraph00011 \h \* CharFormat </w:instrText>
      </w:r>
      <w:r w:rsidR="00EF5ECF" w:rsidRPr="00954406">
        <w:fldChar w:fldCharType="separate"/>
      </w:r>
      <w:r w:rsidR="00954406" w:rsidRPr="00954406">
        <w:t>11</w:t>
      </w:r>
      <w:r w:rsidR="00EF5ECF" w:rsidRPr="00954406">
        <w:fldChar w:fldCharType="end"/>
      </w:r>
      <w:r w:rsidR="008D0420">
        <w:t>).</w:t>
      </w:r>
      <w:r w:rsidR="00EF5ECF">
        <w:t xml:space="preserve"> Curtea de Apel a hotărât și că „ceea ce inculpata aprecia[...] ca fiind libertatea sa de exprimare a avut ca efect aducerea unei grave atingeri libertății de gândire a altora, ca și libertății religioase în general” (a se vedea pct. </w:t>
      </w:r>
      <w:r w:rsidR="00EF5ECF" w:rsidRPr="00954406">
        <w:fldChar w:fldCharType="begin"/>
      </w:r>
      <w:r w:rsidR="00EF5ECF" w:rsidRPr="00954406">
        <w:instrText xml:space="preserve">REF paragraph00011 \h \* CharFormat </w:instrText>
      </w:r>
      <w:r w:rsidR="00EF5ECF" w:rsidRPr="00954406">
        <w:fldChar w:fldCharType="separate"/>
      </w:r>
      <w:r w:rsidR="00954406" w:rsidRPr="00954406">
        <w:t>11</w:t>
      </w:r>
      <w:r w:rsidR="00EF5ECF" w:rsidRPr="00954406">
        <w:fldChar w:fldCharType="end"/>
      </w:r>
      <w:r w:rsidR="00EF5ECF">
        <w:t xml:space="preserve">). Curtea de Casație a confirmat ulterior această analiză, motivând respingerea recursului reclamantei prin necesitatea de a concilia două libertăți protejate de Convenție, și anume libertatea de exprimare, pe de o parte, și libertatea de conștiință și de religie protejată de art. 9, pe de altă parte, descrisă în speță ca fiind dreptul „de a nu fi tulburat în practicarea religiei”. (a se vedea pct. </w:t>
      </w:r>
      <w:r w:rsidR="00EF5ECF" w:rsidRPr="00954406">
        <w:fldChar w:fldCharType="begin"/>
      </w:r>
      <w:r w:rsidR="00EF5ECF" w:rsidRPr="00954406">
        <w:instrText xml:space="preserve">REF paragraph00013 \h \* CharFormat </w:instrText>
      </w:r>
      <w:r w:rsidR="00EF5ECF" w:rsidRPr="00954406">
        <w:fldChar w:fldCharType="separate"/>
      </w:r>
      <w:r w:rsidR="00954406" w:rsidRPr="00954406">
        <w:t>13</w:t>
      </w:r>
      <w:r w:rsidR="00EF5ECF" w:rsidRPr="00954406">
        <w:fldChar w:fldCharType="end"/>
      </w:r>
      <w:r w:rsidR="00EF5ECF">
        <w:t>).</w:t>
      </w:r>
    </w:p>
    <w:p w14:paraId="4D816781" w14:textId="7AAB4B42" w:rsidR="00305385" w:rsidRPr="00954406" w:rsidRDefault="00E21F88" w:rsidP="00954406">
      <w:pPr>
        <w:pStyle w:val="JuPara"/>
      </w:pPr>
      <w:fldSimple w:instr=" SEQ level0 \*arabic \* MERGEFORMAT ">
        <w:r w:rsidR="00954406" w:rsidRPr="00954406">
          <w:t>59</w:t>
        </w:r>
      </w:fldSimple>
      <w:r w:rsidR="00EF5ECF">
        <w:t>.  Curtea subliniază, mai întâi, că din aceste motivări rezultă că atât Curtea de Apel, cât și Curtea de Casație au efectuat o punere în balanță nu numai a intereselor divergente aflate în joc, ci și a celor două libertăți protejate de Convenție, și anume libertatea de exprimare, pe de o parte, și libertatea de conștiință și de religie, pe de altă parte.</w:t>
      </w:r>
    </w:p>
    <w:p w14:paraId="6102E743" w14:textId="41A01AAA" w:rsidR="00EF5ECF" w:rsidRPr="00954406" w:rsidRDefault="00E21F88" w:rsidP="00954406">
      <w:pPr>
        <w:pStyle w:val="JuPara"/>
      </w:pPr>
      <w:fldSimple w:instr=" SEQ level0 \*arabic \* MERGEFORMAT ">
        <w:r w:rsidR="00954406" w:rsidRPr="00954406">
          <w:t>60</w:t>
        </w:r>
      </w:fldSimple>
      <w:r w:rsidR="00EF5ECF">
        <w:t xml:space="preserve">.  Or, Curtea constată, după cum subliniază reclamanta în observațiile sale (a se vedea pct. </w:t>
      </w:r>
      <w:r w:rsidR="00EF5ECF" w:rsidRPr="00954406">
        <w:fldChar w:fldCharType="begin"/>
      </w:r>
      <w:r w:rsidR="00EF5ECF" w:rsidRPr="00954406">
        <w:instrText xml:space="preserve">REF paragraph00024 \h \* CharFormat  \* MERGEFORMAT </w:instrText>
      </w:r>
      <w:r w:rsidR="00EF5ECF" w:rsidRPr="00954406">
        <w:fldChar w:fldCharType="separate"/>
      </w:r>
      <w:r w:rsidR="00954406" w:rsidRPr="00954406">
        <w:t>24</w:t>
      </w:r>
      <w:r w:rsidR="00EF5ECF" w:rsidRPr="00954406">
        <w:fldChar w:fldCharType="end"/>
      </w:r>
      <w:r w:rsidR="00EF5ECF">
        <w:t>), că obiectul sancțiunii penale care i-a fost aplicată ca pedeapsă pentru infracțiunea de exhibiționism, pentru că a rămas topless într-un loc public, nu era să pedepsească o atingere adusă libertății de conștiință și de religie. Desigur, prin alegerea locului pentru performance-</w:t>
      </w:r>
      <w:proofErr w:type="spellStart"/>
      <w:r w:rsidR="00EF5ECF">
        <w:t>ul</w:t>
      </w:r>
      <w:proofErr w:type="spellEnd"/>
      <w:r w:rsidR="00EF5ECF">
        <w:t xml:space="preserve"> său (o biserică) și prin simbolurile în relație cu religia evocate în spectacol (poziționarea în fața altarului, brațele în forma crucii, înfățișarea unei rugăciuni, părul acoperit de voal), reclamanta adoptase un comportament care putea ofensa nu doar convingerile morale ale slujitorilor cultului și ale persoanelor prezente, ci totodată credințele lor religioase. Rezultă că, dacă circumstanțele locului, precum și simbolurile la care recursese reclamanta trebuia să fie luate în calcul, pentru aprecierea  intereselor divergente aflate în joc, ca elemente de context, instanțele naționale, în raport cu obiectul incriminării în cauză, nu erau obligate să procedeze la o punere în balanță între libertatea de exprimare revendicată de reclamantă și dreptul la libertatea de conștiință și de religie protejat de art. 9 din Convenție.</w:t>
      </w:r>
    </w:p>
    <w:p w14:paraId="476ED1BA" w14:textId="2CBF773B" w:rsidR="00EF5ECF" w:rsidRPr="00954406" w:rsidRDefault="00E21F88" w:rsidP="00954406">
      <w:pPr>
        <w:pStyle w:val="JuPara"/>
      </w:pPr>
      <w:fldSimple w:instr=" SEQ level0 \*arabic \* MERGEFORMAT ">
        <w:r w:rsidR="00954406" w:rsidRPr="00954406">
          <w:t>61</w:t>
        </w:r>
      </w:fldSimple>
      <w:r w:rsidR="00EF5ECF">
        <w:t>.  De altfel, Curtea observă că instanțele naționale, întrucât au ales să abordeze chestiunea din perspectiva libertății de religie, nu au cercetat dacă acțiunea reclamantei avea un caracter „în mod gratuit ofensator” pentru credințele religioase (</w:t>
      </w:r>
      <w:r w:rsidR="00EF5ECF">
        <w:rPr>
          <w:i/>
        </w:rPr>
        <w:t>Otto-</w:t>
      </w:r>
      <w:proofErr w:type="spellStart"/>
      <w:r w:rsidR="00EF5ECF">
        <w:rPr>
          <w:i/>
        </w:rPr>
        <w:t>Preminger</w:t>
      </w:r>
      <w:proofErr w:type="spellEnd"/>
      <w:r w:rsidR="00EF5ECF">
        <w:rPr>
          <w:i/>
        </w:rPr>
        <w:t>-Institut</w:t>
      </w:r>
      <w:r w:rsidR="00EF5ECF">
        <w:t xml:space="preserve">, citată anterior, pct. 49), dacă aceasta era injurioasă sau dacă incita la lipsă de respect sau la ură față de Biserica Catolică (a se vedea, </w:t>
      </w:r>
      <w:r w:rsidR="00EF5ECF">
        <w:rPr>
          <w:i/>
        </w:rPr>
        <w:t>mutatis mutandis</w:t>
      </w:r>
      <w:r w:rsidR="00EF5ECF">
        <w:t xml:space="preserve">, </w:t>
      </w:r>
      <w:proofErr w:type="spellStart"/>
      <w:r w:rsidR="00EF5ECF">
        <w:rPr>
          <w:i/>
        </w:rPr>
        <w:t>Giniewski</w:t>
      </w:r>
      <w:proofErr w:type="spellEnd"/>
      <w:r w:rsidR="00EF5ECF">
        <w:rPr>
          <w:i/>
        </w:rPr>
        <w:t xml:space="preserve"> împotriva Franței</w:t>
      </w:r>
      <w:r w:rsidR="00EF5ECF">
        <w:t xml:space="preserve">, </w:t>
      </w:r>
      <w:r w:rsidR="00EF5ECF">
        <w:lastRenderedPageBreak/>
        <w:t xml:space="preserve">nr. 64016/00, pct. 52, 31 ianuarie 2006, și </w:t>
      </w:r>
      <w:proofErr w:type="spellStart"/>
      <w:r w:rsidR="00EF5ECF">
        <w:rPr>
          <w:i/>
        </w:rPr>
        <w:t>Mariya</w:t>
      </w:r>
      <w:proofErr w:type="spellEnd"/>
      <w:r w:rsidR="00EF5ECF">
        <w:rPr>
          <w:i/>
        </w:rPr>
        <w:t xml:space="preserve"> </w:t>
      </w:r>
      <w:proofErr w:type="spellStart"/>
      <w:r w:rsidR="00EF5ECF">
        <w:rPr>
          <w:i/>
        </w:rPr>
        <w:t>Alekhina</w:t>
      </w:r>
      <w:proofErr w:type="spellEnd"/>
      <w:r w:rsidR="00EF5ECF">
        <w:rPr>
          <w:i/>
        </w:rPr>
        <w:t xml:space="preserve"> și alții</w:t>
      </w:r>
      <w:r w:rsidR="00EF5ECF">
        <w:t>, citată anterior, pct. 217-226 și numeroasele cauzele citate).</w:t>
      </w:r>
    </w:p>
    <w:p w14:paraId="0170A4FD" w14:textId="65D2DAA5" w:rsidR="00EF5ECF" w:rsidRPr="00954406" w:rsidRDefault="00E21F88" w:rsidP="00954406">
      <w:pPr>
        <w:pStyle w:val="JuPara"/>
      </w:pPr>
      <w:fldSimple w:instr=" SEQ level0 \*arabic \* MERGEFORMAT ">
        <w:r w:rsidR="00954406" w:rsidRPr="00954406">
          <w:t>62</w:t>
        </w:r>
      </w:fldSimple>
      <w:r w:rsidR="00EF5ECF">
        <w:t xml:space="preserve">.  La fel, constată că deși instanțele naționale au apreciat că reclamanta i-a tulburat pe alții în practicarea religiei (a se vedea pct. </w:t>
      </w:r>
      <w:r w:rsidR="00EF5ECF" w:rsidRPr="00954406">
        <w:fldChar w:fldCharType="begin"/>
      </w:r>
      <w:r w:rsidR="00EF5ECF" w:rsidRPr="00954406">
        <w:instrText xml:space="preserve">REF paragraph00011 \h \* CharFormat </w:instrText>
      </w:r>
      <w:r w:rsidR="00EF5ECF" w:rsidRPr="00954406">
        <w:fldChar w:fldCharType="separate"/>
      </w:r>
      <w:r w:rsidR="00954406" w:rsidRPr="00954406">
        <w:t>11</w:t>
      </w:r>
      <w:r w:rsidR="00EF5ECF" w:rsidRPr="00954406">
        <w:fldChar w:fldCharType="end"/>
      </w:r>
      <w:r w:rsidR="00EF5ECF">
        <w:t xml:space="preserve"> și </w:t>
      </w:r>
      <w:r w:rsidR="00EF5ECF" w:rsidRPr="00954406">
        <w:fldChar w:fldCharType="begin"/>
      </w:r>
      <w:r w:rsidR="00EF5ECF" w:rsidRPr="00954406">
        <w:instrText xml:space="preserve">REF paragraph00013 \h \* CharFormat </w:instrText>
      </w:r>
      <w:r w:rsidR="00EF5ECF" w:rsidRPr="00954406">
        <w:fldChar w:fldCharType="separate"/>
      </w:r>
      <w:r w:rsidR="00954406" w:rsidRPr="00954406">
        <w:t>13</w:t>
      </w:r>
      <w:r w:rsidR="00EF5ECF" w:rsidRPr="00954406">
        <w:fldChar w:fldCharType="end"/>
      </w:r>
      <w:r w:rsidR="00EF5ECF">
        <w:t>), acestea nu au luat în considerare nici faptul că reclamanta acționase în afara slujbei cultului – la momentul producerii faptelor nu era în desfășurare nicio mesă, iar un cor repeta fără ca reclamanta să fie la vedere –, că nu se contesta că acțiunea fusese de scurtă durată, fără declamarea sloganurilor afișate pe corpul său și că reclamanta a părăsit biserica de îndată ce i s-a cerut.</w:t>
      </w:r>
    </w:p>
    <w:p w14:paraId="49E3C0BC" w14:textId="22204C10" w:rsidR="00EF5ECF" w:rsidRPr="00954406" w:rsidRDefault="00E21F88" w:rsidP="00954406">
      <w:pPr>
        <w:pStyle w:val="JuPara"/>
      </w:pPr>
      <w:fldSimple w:instr=" SEQ level0 \*arabic \* MERGEFORMAT ">
        <w:r w:rsidR="00954406" w:rsidRPr="00954406">
          <w:t>63</w:t>
        </w:r>
      </w:fldSimple>
      <w:r w:rsidR="00EF5ECF">
        <w:t>.  Curtea trebuie, în continuare, să verifice dacă, în cadrul controlului pe care instanța internă trebuia să-l efectueze în temeiul celui de-al doilea paragraf al art. 10, aceasta a pus în balanță în mod adecvat interesele divergente dintre, pe de o parte, dreptul reclamantei de a comunica publicului ideile sale cu privire la drepturile care trebuie recunoscute femeilor, între care cel de a dispune de propriul corp, și, pe de altă parte, dreptul altora la respectarea moralei și a ordinii publice. Or, Curtea subliniază că această examinare nu putea fi efectuată în mod valid de către instanțele naționale decât printr-o analiză a ansamblului elementelor în litigiu cu privire la contextul în care se afla acțiunea în litigiu, precum și mobilurile reclamantei.</w:t>
      </w:r>
    </w:p>
    <w:p w14:paraId="283FDE65" w14:textId="01BEE024" w:rsidR="00EF5ECF" w:rsidRPr="00954406" w:rsidRDefault="00E21F88" w:rsidP="00954406">
      <w:pPr>
        <w:pStyle w:val="JuPara"/>
      </w:pPr>
      <w:fldSimple w:instr=" SEQ level0 \*arabic \* MERGEFORMAT ">
        <w:r w:rsidR="00954406" w:rsidRPr="00954406">
          <w:t>64</w:t>
        </w:r>
      </w:fldSimple>
      <w:r w:rsidR="00EF5ECF">
        <w:t xml:space="preserve">.  În această privință, Curtea observă că, în speță, instanțele interne, și mai ales Curtea de Apel, nu au ignorat declarațiile reclamantei în cursul anchetei penale, care descriau motivațiile politice și feministe ale acțiunii sale, care se înscriau într-o mișcare colectivă și internațională menită să conteste, într-o manieră deliberat tranșantă și șocantă pentru convingerile altora, poziția Bisericii Catolice în materie de drepturi ale femeilor (a se vedea pct. </w:t>
      </w:r>
      <w:r w:rsidR="00EF5ECF" w:rsidRPr="00954406">
        <w:fldChar w:fldCharType="begin"/>
      </w:r>
      <w:r w:rsidR="00EF5ECF" w:rsidRPr="00954406">
        <w:instrText xml:space="preserve">REF paragraph00010 \h \* CharFormat  \* MERGEFORMAT </w:instrText>
      </w:r>
      <w:r w:rsidR="00EF5ECF" w:rsidRPr="00954406">
        <w:fldChar w:fldCharType="separate"/>
      </w:r>
      <w:r w:rsidR="00954406" w:rsidRPr="00954406">
        <w:t>10</w:t>
      </w:r>
      <w:r w:rsidR="00EF5ECF" w:rsidRPr="00954406">
        <w:fldChar w:fldCharType="end"/>
      </w:r>
      <w:r w:rsidR="00EF5ECF">
        <w:t>-</w:t>
      </w:r>
      <w:r w:rsidR="00EF5ECF" w:rsidRPr="00954406">
        <w:fldChar w:fldCharType="begin"/>
      </w:r>
      <w:r w:rsidR="00EF5ECF" w:rsidRPr="00954406">
        <w:instrText xml:space="preserve">REF paragraph00011 \h \* CharFormat  \* MERGEFORMAT </w:instrText>
      </w:r>
      <w:r w:rsidR="00EF5ECF" w:rsidRPr="00954406">
        <w:fldChar w:fldCharType="separate"/>
      </w:r>
      <w:r w:rsidR="00954406" w:rsidRPr="00954406">
        <w:t>11</w:t>
      </w:r>
      <w:r w:rsidR="00EF5ECF" w:rsidRPr="00954406">
        <w:fldChar w:fldCharType="end"/>
      </w:r>
      <w:r w:rsidR="00EF5ECF">
        <w:t>). Totodată, s-au limitat să examineze doar chestiunea nudității pieptului acesteia într-un lăcaș de cult, fără referire la performance-</w:t>
      </w:r>
      <w:proofErr w:type="spellStart"/>
      <w:r w:rsidR="00EF5ECF">
        <w:t>ul</w:t>
      </w:r>
      <w:proofErr w:type="spellEnd"/>
      <w:r w:rsidR="00EF5ECF">
        <w:t xml:space="preserve"> global din care făcea parte aceasta, fără a lua în considerare, în balanța dintre interesele respective, sensul dat de reclamantă comportamentului său. În special, instanțele interne au refuzat să ia în considerare semnificația inscripțiilor care apăreau pe trunchiul și spatele reclamantei, cu un mesaj feminist făcând trimitere la manifestul pro-avort din 1971 numit „manifestul celor 343 de târfe”. Instanțele au relatat, fără o punere în perspectivă cu ideile promovate de reclamantă, punerea în scenă a unei „avortări a lui Iisus”. Nu au luat în considerare explicațiile furnizate de reclamantă nici despre sensul pe care îl atribuiau nudității militantele Femen, dintre care făcea și ea parte, al căror piept gol servește ca „stindard politic”, nici despre locul acțiunii sale, și anume un lăcaș de cult foarte cunoscut publicului, ales în scopul de a stimula la mediatizarea acestei acțiuni.</w:t>
      </w:r>
    </w:p>
    <w:p w14:paraId="35439B43" w14:textId="7426D47E" w:rsidR="00EF5ECF" w:rsidRPr="00954406" w:rsidRDefault="00E21F88" w:rsidP="00954406">
      <w:pPr>
        <w:pStyle w:val="JuPara"/>
      </w:pPr>
      <w:fldSimple w:instr=" SEQ level0 \*arabic \* MERGEFORMAT ">
        <w:r w:rsidR="00954406" w:rsidRPr="00954406">
          <w:t>65</w:t>
        </w:r>
      </w:fldSimple>
      <w:r w:rsidR="00EF5ECF">
        <w:t>.  Curtea concluzionează că motivarea instanțelor interne nu este de natură să îi permită să considere că, în speță, acestea au procedat la o punere în balanță adecvată a intereselor aflate în joc și în conformitate cu criteriile stabilite prin jurisprudența sa.</w:t>
      </w:r>
    </w:p>
    <w:p w14:paraId="7DA8399F" w14:textId="0F874D22" w:rsidR="00EF5ECF" w:rsidRPr="00954406" w:rsidRDefault="00E21F88" w:rsidP="00954406">
      <w:pPr>
        <w:pStyle w:val="JuPara"/>
      </w:pPr>
      <w:fldSimple w:instr=" SEQ level0 \*arabic \* MERGEFORMAT ">
        <w:r w:rsidR="00954406" w:rsidRPr="00954406">
          <w:t>66</w:t>
        </w:r>
      </w:fldSimple>
      <w:r w:rsidR="00EF5ECF">
        <w:t xml:space="preserve">.  Având în vedere toate elementele de mai sus, </w:t>
      </w:r>
      <w:r w:rsidR="00EF5ECF">
        <w:rPr>
          <w:rFonts w:ascii="Times New Roman" w:hAnsi="Times New Roman"/>
        </w:rPr>
        <w:t xml:space="preserve">și în circumstanțele specifice ale speței, Curtea consideră că motivele reținute de instanțele interne nu sunt suficiente pentru ca pedeapsa aplicată reclamantei să poată fi privită, ținând seama de natura sa, precum și de asprimea sa și de gravitatea efectelor sale, ca fiind proporțională cu scopurile legitime urmărite. </w:t>
      </w:r>
    </w:p>
    <w:p w14:paraId="78E1F936" w14:textId="2257DA38" w:rsidR="00EF5ECF" w:rsidRPr="00954406" w:rsidRDefault="00E21F88" w:rsidP="00954406">
      <w:pPr>
        <w:pStyle w:val="JuPara"/>
      </w:pPr>
      <w:fldSimple w:instr=" SEQ level0 \*arabic \* MERGEFORMAT ">
        <w:r w:rsidR="00954406" w:rsidRPr="00954406">
          <w:t>67</w:t>
        </w:r>
      </w:fldSimple>
      <w:r w:rsidR="00EF5ECF">
        <w:t>.  În aceste condiții, Curtea apreciază că ingerința în exercitarea libertății de exprimare a reclamantei, pe care o constituie pedeapsa cu închisoarea cu su</w:t>
      </w:r>
      <w:r w:rsidR="006C0311">
        <w:t>spendarea executării pronunțată</w:t>
      </w:r>
      <w:r w:rsidR="00EF5ECF">
        <w:t xml:space="preserve"> împotriva sa nu a fost „necesară într-o societate democratică”.</w:t>
      </w:r>
    </w:p>
    <w:p w14:paraId="4DA74496" w14:textId="0CA5BF4D" w:rsidR="00EF5ECF" w:rsidRPr="00954406" w:rsidRDefault="00E21F88" w:rsidP="00954406">
      <w:pPr>
        <w:pStyle w:val="JuPara"/>
      </w:pPr>
      <w:fldSimple w:instr=" SEQ level0 \*arabic \* MERGEFORMAT ">
        <w:r w:rsidR="00954406" w:rsidRPr="00954406">
          <w:t>68</w:t>
        </w:r>
      </w:fldSimple>
      <w:r w:rsidR="00D1567A">
        <w:t>.  Prin urmare, a fost încălcat art. 10 din Convenție.</w:t>
      </w:r>
    </w:p>
    <w:p w14:paraId="24FF1CF0" w14:textId="5AD239EB" w:rsidR="00EF5ECF" w:rsidRPr="00954406" w:rsidRDefault="00EF5ECF" w:rsidP="00954406">
      <w:pPr>
        <w:pStyle w:val="JuHIRoman"/>
        <w:numPr>
          <w:ilvl w:val="1"/>
          <w:numId w:val="22"/>
        </w:numPr>
      </w:pPr>
      <w:r>
        <w:t>CU PRIVIRE LA PRETINSA ÎNCĂLCARE A ART. 7 DIN CONVENȚIE</w:t>
      </w:r>
    </w:p>
    <w:p w14:paraId="6A05F2FC" w14:textId="5B6213E1" w:rsidR="00EF5ECF" w:rsidRPr="00954406" w:rsidRDefault="00E21F88" w:rsidP="00954406">
      <w:pPr>
        <w:pStyle w:val="JuPara"/>
      </w:pPr>
      <w:fldSimple w:instr=" SEQ level0 \*arabic ">
        <w:r w:rsidR="00954406" w:rsidRPr="00954406">
          <w:t>69</w:t>
        </w:r>
      </w:fldSimple>
      <w:r w:rsidR="00EF5ECF">
        <w:t>.  Reclamanta se plânge de lipsa de precizie și de aplicarea extensivă a infracțiunii de exhibiționism. Aceasta invocă încălcarea art. 7 din Convenție, potrivit căruia:</w:t>
      </w:r>
    </w:p>
    <w:p w14:paraId="0147988C" w14:textId="285C9A40" w:rsidR="00EF5ECF" w:rsidRPr="00954406" w:rsidRDefault="00EF5ECF" w:rsidP="00954406">
      <w:pPr>
        <w:pStyle w:val="JuQuot"/>
      </w:pPr>
      <w:r>
        <w:t>„1.  Nimeni nu poate fi condamnat pentru o acțiune sau o omisiune care, în momentul în care a fost săvârșită, nu constituia o infracțiune, potrivit dreptului național și internațional. De asemenea, nu se poate aplica o pedeapsă mai severă decât aceea care era aplicabilă în momentul săvârșirii infracțiunii.</w:t>
      </w:r>
    </w:p>
    <w:p w14:paraId="32B3F506" w14:textId="51209922" w:rsidR="00EF5ECF" w:rsidRPr="00954406" w:rsidRDefault="00EF5ECF" w:rsidP="00954406">
      <w:pPr>
        <w:pStyle w:val="JuQuot"/>
      </w:pPr>
      <w:r>
        <w:t>2.  Prezentul articol nu va aduce atingere judecării și pedepsirii unei persoane vinovate de o acțiune sau de o omisiune care, în momentul săvârșirii sale, era considerată infracțiune potrivit principiilor generale de drept recunoscute de națiunile civilizate. ”</w:t>
      </w:r>
    </w:p>
    <w:p w14:paraId="3CCBA991" w14:textId="073CFB84" w:rsidR="00EF5ECF" w:rsidRPr="00954406" w:rsidRDefault="00E21F88" w:rsidP="00954406">
      <w:pPr>
        <w:pStyle w:val="JuPara"/>
      </w:pPr>
      <w:fldSimple w:instr=" SEQ level0 \*arabic ">
        <w:r w:rsidR="00954406" w:rsidRPr="00954406">
          <w:t>70</w:t>
        </w:r>
      </w:fldSimple>
      <w:r w:rsidR="00EF5ECF">
        <w:t xml:space="preserve">.  Guvernul contestă acest argument pentru aceleași motive ca cele în privința art. 10 (a se vedea supra, pct. </w:t>
      </w:r>
      <w:r w:rsidR="00365853" w:rsidRPr="00954406">
        <w:fldChar w:fldCharType="begin"/>
      </w:r>
      <w:r w:rsidR="00365853" w:rsidRPr="00954406">
        <w:instrText xml:space="preserve"> REF paragraph00025 \h  \* CharFormat </w:instrText>
      </w:r>
      <w:r w:rsidR="00365853" w:rsidRPr="00954406">
        <w:fldChar w:fldCharType="separate"/>
      </w:r>
      <w:r w:rsidR="00954406" w:rsidRPr="00954406">
        <w:t>25</w:t>
      </w:r>
      <w:r w:rsidR="00365853" w:rsidRPr="00954406">
        <w:fldChar w:fldCharType="end"/>
      </w:r>
      <w:r w:rsidR="00EF5ECF">
        <w:t>).</w:t>
      </w:r>
    </w:p>
    <w:p w14:paraId="6C350277" w14:textId="1F24E790" w:rsidR="00EF5ECF" w:rsidRPr="00954406" w:rsidRDefault="00E21F88" w:rsidP="00954406">
      <w:pPr>
        <w:pStyle w:val="JuPara"/>
      </w:pPr>
      <w:fldSimple w:instr=" SEQ level0 \*arabic ">
        <w:r w:rsidR="00954406" w:rsidRPr="00954406">
          <w:t>71</w:t>
        </w:r>
      </w:fldSimple>
      <w:r w:rsidR="00EF5ECF">
        <w:t>.  Constatând că acest capăt de cerere nu este în mod vădit nefondat în sensul art. 35 § 3 lit. a) din Convenție și nu prezintă niciun alt motiv de inadmisibilitate, Curtea îl declară admisibil.</w:t>
      </w:r>
    </w:p>
    <w:p w14:paraId="48AC8F35" w14:textId="0CBC4348" w:rsidR="00EF5ECF" w:rsidRPr="00954406" w:rsidRDefault="00E21F88" w:rsidP="00954406">
      <w:pPr>
        <w:pStyle w:val="JuPara"/>
      </w:pPr>
      <w:fldSimple w:instr=" SEQ level0 \*arabic \* MERGEFORMAT ">
        <w:r w:rsidR="00954406" w:rsidRPr="00954406">
          <w:t>72</w:t>
        </w:r>
      </w:fldSimple>
      <w:r w:rsidR="00D1567A">
        <w:t>.  Curtea apreciază, după ce a concluzionat că a fost încălcat art. 10 din Convenție în privința reclamantei, că nu este necesar să se pronunțe separat, în împrejurările speței, asupra capătului de cerere întemeiat pe art. 7 din Convenție [a se vedea, în acest sens, </w:t>
      </w:r>
      <w:r w:rsidR="00D1567A">
        <w:rPr>
          <w:i/>
          <w:iCs/>
        </w:rPr>
        <w:t>Centrul de Resurse Juridice în numele lui Valentin Câmpeanu împotriva României</w:t>
      </w:r>
      <w:r w:rsidR="00D1567A">
        <w:t xml:space="preserve"> (MC), nr. 47848/08, pct. 156, CEDO 2014, </w:t>
      </w:r>
      <w:r w:rsidR="00D1567A">
        <w:rPr>
          <w:i/>
        </w:rPr>
        <w:t>M.D. și A.D. împotriva Franței</w:t>
      </w:r>
      <w:r w:rsidR="00D1567A">
        <w:t>, nr. 57035/18, pct. 106, 22 iulie 2021].</w:t>
      </w:r>
    </w:p>
    <w:p w14:paraId="1EFEC763" w14:textId="28456769" w:rsidR="00EF5ECF" w:rsidRPr="00954406" w:rsidRDefault="00EF5ECF" w:rsidP="00954406">
      <w:pPr>
        <w:pStyle w:val="JuHIRoman"/>
        <w:numPr>
          <w:ilvl w:val="1"/>
          <w:numId w:val="22"/>
        </w:numPr>
      </w:pPr>
      <w:r>
        <w:t>CU PRIVIRE LA APLICAREA ART. 41 DIN CONVENȚIE</w:t>
      </w:r>
    </w:p>
    <w:p w14:paraId="2F33E05B" w14:textId="65EE2438" w:rsidR="00EF5ECF" w:rsidRPr="00954406" w:rsidRDefault="00E21F88" w:rsidP="00954406">
      <w:pPr>
        <w:pStyle w:val="JuPara"/>
      </w:pPr>
      <w:fldSimple w:instr=" SEQ level0 \*arabic ">
        <w:r w:rsidR="00954406" w:rsidRPr="00954406">
          <w:t>73</w:t>
        </w:r>
      </w:fldSimple>
      <w:r w:rsidR="00EF5ECF">
        <w:t>.  Art. 41 din Convenție prevede:</w:t>
      </w:r>
    </w:p>
    <w:p w14:paraId="7432D028" w14:textId="3C98C8A7" w:rsidR="00EF5ECF" w:rsidRPr="00954406" w:rsidRDefault="00EF5ECF" w:rsidP="00954406">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 ”</w:t>
      </w:r>
    </w:p>
    <w:p w14:paraId="5C688B36" w14:textId="77777777" w:rsidR="00EF5ECF" w:rsidRPr="00954406" w:rsidRDefault="00EF5ECF" w:rsidP="00954406">
      <w:pPr>
        <w:pStyle w:val="JuHA"/>
        <w:numPr>
          <w:ilvl w:val="2"/>
          <w:numId w:val="22"/>
        </w:numPr>
      </w:pPr>
      <w:r>
        <w:lastRenderedPageBreak/>
        <w:t>Prejudiciu</w:t>
      </w:r>
    </w:p>
    <w:p w14:paraId="31B17A0C" w14:textId="7CA7EB22" w:rsidR="00EF5ECF" w:rsidRPr="00954406" w:rsidRDefault="00E21F88" w:rsidP="00954406">
      <w:pPr>
        <w:pStyle w:val="JuPara"/>
      </w:pPr>
      <w:fldSimple w:instr=" SEQ level0 \*arabic ">
        <w:r w:rsidR="00954406" w:rsidRPr="00954406">
          <w:t>74</w:t>
        </w:r>
      </w:fldSimple>
      <w:r w:rsidR="00EF5ECF">
        <w:t>.  Reclamanta solicită acordarea sumei de 10 000 euro (EUR) cu titlu de despăgubire pentru prejudiciul moral pe care consideră că l-a suferit ca urmare a condamnării sale la o pedeapsă cu închisoarea pentru o infracțiune de natură sexuală care a stigmatizat-o pe toată durata procedurii, și anume începând din 2014.</w:t>
      </w:r>
    </w:p>
    <w:p w14:paraId="00A3F9A0" w14:textId="591DE3DB" w:rsidR="00EF5ECF" w:rsidRPr="00954406" w:rsidRDefault="00E21F88" w:rsidP="00954406">
      <w:pPr>
        <w:pStyle w:val="JuPara"/>
      </w:pPr>
      <w:fldSimple w:instr=" SEQ level0 \*arabic ">
        <w:r w:rsidR="00954406" w:rsidRPr="00954406">
          <w:t>75</w:t>
        </w:r>
      </w:fldSimple>
      <w:r w:rsidR="00EF5ECF">
        <w:t>.  Guvernul se opune acestei solicitări, considerând că constatarea încălcării constituia o reparație suficientă din moment c</w:t>
      </w:r>
      <w:r w:rsidR="006C0311">
        <w:t>e reclamanta avea la dispoziție</w:t>
      </w:r>
      <w:r w:rsidR="00EF5ECF">
        <w:t xml:space="preserve"> posibilitatea de a solicita revizuirea condamnării sale în temeiul art. 622-1 din Codul de procedură penală.</w:t>
      </w:r>
    </w:p>
    <w:p w14:paraId="2DAC2BBE" w14:textId="081D88CB" w:rsidR="00EF5ECF" w:rsidRPr="00954406" w:rsidRDefault="00E21F88" w:rsidP="00954406">
      <w:pPr>
        <w:pStyle w:val="JuPara"/>
      </w:pPr>
      <w:fldSimple w:instr=" SEQ level0 \*arabic ">
        <w:r w:rsidR="00954406" w:rsidRPr="00954406">
          <w:t>76</w:t>
        </w:r>
      </w:fldSimple>
      <w:r w:rsidR="00EF5ECF">
        <w:t>.  Curtea, pronunțându-se în echitate, apreciază că este oportun, având în vedere contextul cauzei și natura încălcării constatate, să acorde reclamantei 2 000 EUR pentru prejudiciul moral, plus orice sumă ce poate fi datorată pentru acest cuantum cu titlu de impozit.</w:t>
      </w:r>
    </w:p>
    <w:p w14:paraId="4116EFD7" w14:textId="77777777" w:rsidR="00EF5ECF" w:rsidRPr="00954406" w:rsidRDefault="00EF5ECF" w:rsidP="00954406">
      <w:pPr>
        <w:pStyle w:val="JuHA"/>
        <w:numPr>
          <w:ilvl w:val="2"/>
          <w:numId w:val="22"/>
        </w:numPr>
      </w:pPr>
      <w:r>
        <w:t>Cheltuieli de judecată</w:t>
      </w:r>
    </w:p>
    <w:p w14:paraId="27FBEBF4" w14:textId="0E110931" w:rsidR="00EF5ECF" w:rsidRPr="00954406" w:rsidRDefault="00E21F88" w:rsidP="00954406">
      <w:pPr>
        <w:pStyle w:val="JuPara"/>
      </w:pPr>
      <w:fldSimple w:instr=" SEQ level0 \*arabic \* MERGEFORMAT ">
        <w:r w:rsidR="00954406" w:rsidRPr="00954406">
          <w:t>77</w:t>
        </w:r>
      </w:fldSimple>
      <w:r w:rsidR="00D1567A">
        <w:t>.  Reclamanta solicită 9 500 EUR pentru cheltuielile de judecată efectuate în scopul procedurii în fața Curții, dintre care 500 EUR cu titlu de cheltuieli de transport și cazare ale avocatului său pentru a se deplasa la Strasbourg.</w:t>
      </w:r>
    </w:p>
    <w:p w14:paraId="0697AD89" w14:textId="64FC2972" w:rsidR="00EF5ECF" w:rsidRPr="00954406" w:rsidRDefault="00E21F88" w:rsidP="00954406">
      <w:pPr>
        <w:pStyle w:val="JuPara"/>
      </w:pPr>
      <w:fldSimple w:instr=" SEQ level0 \*arabic ">
        <w:r w:rsidR="00954406" w:rsidRPr="00954406">
          <w:t>78</w:t>
        </w:r>
      </w:fldSimple>
      <w:r w:rsidR="00EF5ECF">
        <w:t>.  Guvernul apreciază că documentul justificativ prezentat nu are valoare probatorie și că o sumă totală de 4 000 EUR este suficientă, în subsidiar, pentru toate demersurile efectuate în fața Curții.</w:t>
      </w:r>
    </w:p>
    <w:p w14:paraId="03E91599" w14:textId="785B1DFF" w:rsidR="00EF5ECF" w:rsidRPr="00954406" w:rsidRDefault="00E21F88" w:rsidP="00954406">
      <w:pPr>
        <w:pStyle w:val="JuPara"/>
      </w:pPr>
      <w:fldSimple w:instr=" SEQ level0 \*arabic ">
        <w:r w:rsidR="00954406" w:rsidRPr="00954406">
          <w:t>79</w:t>
        </w:r>
      </w:fldSimple>
      <w:r w:rsidR="00EF5ECF">
        <w:t>.  Conform jurisprudenței Curții, un reclamant nu poate obține rambursarea cheltuielilor de judecată decât în măsura în care se stabilește caracterul real, necesar și rezonabil al acestora. În speță, având în vedere documentele aflate în posesia sa și criteriile menționate mai sus, Curtea, constatând că nu există niciun element care să pună în discuție factura întocmită de avocatul reclamantei în fața Curții, cu excepția cuantumului cheltuielilor de judecată aferente unei ședințe publice care nu a avut loc, consideră că este rezonabil să acorde reclamantei suma de 7 800 EUR pentru procedura în fața sa, plus orice sumă ce poate fi datorată pentru acest cuantum cu titlu de impozit.</w:t>
      </w:r>
    </w:p>
    <w:p w14:paraId="1FEE443C" w14:textId="77777777" w:rsidR="00EF5ECF" w:rsidRPr="00954406" w:rsidRDefault="00EF5ECF" w:rsidP="00954406">
      <w:pPr>
        <w:pStyle w:val="JuHA"/>
        <w:numPr>
          <w:ilvl w:val="2"/>
          <w:numId w:val="22"/>
        </w:numPr>
      </w:pPr>
      <w:r>
        <w:t>Dobânzi moratorii</w:t>
      </w:r>
    </w:p>
    <w:p w14:paraId="12BC6760" w14:textId="79BF1AE4" w:rsidR="00EF5ECF" w:rsidRPr="00954406" w:rsidRDefault="00E21F88" w:rsidP="00954406">
      <w:pPr>
        <w:pStyle w:val="JuPara"/>
      </w:pPr>
      <w:fldSimple w:instr=" SEQ level0 \*arabic \* MERGEFORMAT ">
        <w:r w:rsidR="00954406" w:rsidRPr="00954406">
          <w:t>80</w:t>
        </w:r>
      </w:fldSimple>
      <w:r w:rsidR="00D1567A">
        <w:t>.  Curtea consideră necesar ca rata dobânzilor moratorii să se întemeieze pe rata dobânzii facilității de împrumut marginal practicată de Banca Centrală Europeană, majorată cu trei puncte procentuale.</w:t>
      </w:r>
    </w:p>
    <w:p w14:paraId="60D67C7B" w14:textId="0B6ED4A9" w:rsidR="00EF5ECF" w:rsidRPr="00954406" w:rsidRDefault="00EF5ECF" w:rsidP="00954406">
      <w:pPr>
        <w:pStyle w:val="JuHHead"/>
      </w:pPr>
      <w:r>
        <w:lastRenderedPageBreak/>
        <w:t>PENTRU ACESTE MOTIVE, CURTEA, ÎN UNANIMITATE,</w:t>
      </w:r>
    </w:p>
    <w:p w14:paraId="1F7253C7" w14:textId="77777777" w:rsidR="00EF5ECF" w:rsidRPr="00954406" w:rsidRDefault="00EF5ECF" w:rsidP="00954406">
      <w:pPr>
        <w:pStyle w:val="JuList"/>
        <w:numPr>
          <w:ilvl w:val="0"/>
          <w:numId w:val="5"/>
        </w:numPr>
      </w:pPr>
      <w:r>
        <w:rPr>
          <w:i/>
        </w:rPr>
        <w:t>Declară</w:t>
      </w:r>
      <w:r>
        <w:t xml:space="preserve"> cererea admisibilă;</w:t>
      </w:r>
    </w:p>
    <w:p w14:paraId="0004ABA6" w14:textId="0ADF3950" w:rsidR="00EF5ECF" w:rsidRPr="00954406" w:rsidRDefault="00EF5ECF" w:rsidP="00954406">
      <w:pPr>
        <w:pStyle w:val="JuList"/>
        <w:numPr>
          <w:ilvl w:val="0"/>
          <w:numId w:val="5"/>
        </w:numPr>
      </w:pPr>
      <w:r>
        <w:rPr>
          <w:i/>
          <w:iCs/>
        </w:rPr>
        <w:t>Hotărăște</w:t>
      </w:r>
      <w:r>
        <w:t xml:space="preserve"> că a fost încălcat art. 10 din Convenție;</w:t>
      </w:r>
    </w:p>
    <w:p w14:paraId="4E39B52D" w14:textId="6DD79E80" w:rsidR="00EF5ECF" w:rsidRPr="00954406" w:rsidRDefault="00EF5ECF" w:rsidP="00954406">
      <w:pPr>
        <w:pStyle w:val="JuList"/>
        <w:numPr>
          <w:ilvl w:val="0"/>
          <w:numId w:val="5"/>
        </w:numPr>
      </w:pPr>
      <w:r>
        <w:rPr>
          <w:i/>
        </w:rPr>
        <w:t>Hotărăște</w:t>
      </w:r>
      <w:r>
        <w:t xml:space="preserve"> că nu este necesar să examineze capătul de cerere formulat în temeiul art. 7 din Convenție;</w:t>
      </w:r>
    </w:p>
    <w:p w14:paraId="7A60764E" w14:textId="7F7082A1" w:rsidR="00954406" w:rsidRPr="00954406" w:rsidRDefault="00954406" w:rsidP="00954406">
      <w:pPr>
        <w:pStyle w:val="JuList"/>
        <w:numPr>
          <w:ilvl w:val="0"/>
          <w:numId w:val="5"/>
        </w:numPr>
      </w:pPr>
      <w:r>
        <w:rPr>
          <w:i/>
          <w:iCs/>
        </w:rPr>
        <w:t>Hotărăște</w:t>
      </w:r>
    </w:p>
    <w:p w14:paraId="63426AEA" w14:textId="1917EADC" w:rsidR="00D52F0E" w:rsidRPr="00954406" w:rsidRDefault="00EF5ECF" w:rsidP="00954406">
      <w:pPr>
        <w:pStyle w:val="JuLista"/>
      </w:pPr>
      <w:r>
        <w:t>că statul pârât trebuie să plătească reclamantei, în termen de trei luni de la data la care hotărârea devine definitivă, în conformitate cu art. 44 § 2 din Convenție, următoarele sume:</w:t>
      </w:r>
    </w:p>
    <w:p w14:paraId="5053F262" w14:textId="33F70FB8" w:rsidR="00D52F0E" w:rsidRPr="00954406" w:rsidRDefault="00EF5ECF" w:rsidP="00954406">
      <w:pPr>
        <w:pStyle w:val="JuListi"/>
      </w:pPr>
      <w:r>
        <w:t>2 000 EUR (două mii de euro), plus orice sumă ce poate fi datorată cu titlu de impozit, pentru prejudiciul moral;</w:t>
      </w:r>
    </w:p>
    <w:p w14:paraId="18D57596" w14:textId="5AF504E0" w:rsidR="00D52F0E" w:rsidRPr="00954406" w:rsidRDefault="00D52F0E" w:rsidP="00954406">
      <w:pPr>
        <w:pStyle w:val="JuListi"/>
      </w:pPr>
      <w:r>
        <w:t>7 800 EUR (șapte mii opt sute euro), plus orice sumă ce poate fi datorată pentru acest cuantum de reclamantă cu titlu de impozit, pentru cheltuielile de judecată;</w:t>
      </w:r>
    </w:p>
    <w:p w14:paraId="62F28A8C" w14:textId="4F7C8DE0" w:rsidR="00EF5ECF" w:rsidRPr="00954406" w:rsidRDefault="00EF5ECF" w:rsidP="00954406">
      <w:pPr>
        <w:pStyle w:val="JuLista"/>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0DBA0FE1" w14:textId="77777777" w:rsidR="00876F03" w:rsidRPr="00954406" w:rsidRDefault="00EF5ECF" w:rsidP="00954406">
      <w:pPr>
        <w:pStyle w:val="JuList"/>
        <w:numPr>
          <w:ilvl w:val="0"/>
          <w:numId w:val="5"/>
        </w:numPr>
        <w:rPr>
          <w:iCs/>
        </w:rPr>
      </w:pPr>
      <w:r>
        <w:rPr>
          <w:i/>
          <w:iCs/>
        </w:rPr>
        <w:t>Respinge</w:t>
      </w:r>
      <w:r>
        <w:t xml:space="preserve"> cererea de acordare a unei reparații echitabile pentru celelalte capete de cerere.</w:t>
      </w:r>
    </w:p>
    <w:p w14:paraId="35FFD73F" w14:textId="6CEE9836" w:rsidR="00893F30" w:rsidRPr="00954406" w:rsidRDefault="00893F30" w:rsidP="004D7C0A">
      <w:pPr>
        <w:pStyle w:val="JuParaLast"/>
        <w:keepNext w:val="0"/>
        <w:keepLines w:val="0"/>
        <w:widowControl w:val="0"/>
      </w:pPr>
      <w:r>
        <w:t>Redactată în limba franceză, apoi comunicată în scris la 13 octombrie 2022, în temeiul art. 77 § 2 și art. 77 § 3 din Regulament.</w:t>
      </w:r>
    </w:p>
    <w:p w14:paraId="32F161AE" w14:textId="7C11A060" w:rsidR="00F94531" w:rsidRPr="00954406" w:rsidRDefault="00510D77" w:rsidP="004D7C0A">
      <w:pPr>
        <w:pStyle w:val="JuSigned"/>
        <w:widowControl w:val="0"/>
        <w:rPr>
          <w:color w:val="F8F8F8" w:themeColor="background2"/>
        </w:rPr>
      </w:pPr>
      <w:r>
        <w:rPr>
          <w:color w:val="F8F8F8" w:themeColor="background2"/>
        </w:rPr>
        <w:tab/>
      </w:r>
    </w:p>
    <w:p w14:paraId="1C6EE21E" w14:textId="29347862" w:rsidR="00876F03" w:rsidRPr="00954406" w:rsidRDefault="00EF5ECF" w:rsidP="004D7C0A">
      <w:pPr>
        <w:pStyle w:val="JuSigned"/>
        <w:widowControl w:val="0"/>
      </w:pPr>
      <w:r>
        <w:tab/>
        <w:t xml:space="preserve">Victor </w:t>
      </w:r>
      <w:proofErr w:type="spellStart"/>
      <w:r>
        <w:t>Soloveytchik</w:t>
      </w:r>
      <w:proofErr w:type="spellEnd"/>
      <w:r>
        <w:tab/>
      </w:r>
      <w:proofErr w:type="spellStart"/>
      <w:r>
        <w:t>Síofra</w:t>
      </w:r>
      <w:proofErr w:type="spellEnd"/>
      <w:r>
        <w:t xml:space="preserve"> </w:t>
      </w:r>
      <w:proofErr w:type="spellStart"/>
      <w:r>
        <w:t>O’Leary</w:t>
      </w:r>
      <w:proofErr w:type="spellEnd"/>
      <w:r>
        <w:br/>
      </w:r>
      <w:r>
        <w:tab/>
        <w:t>Grefier</w:t>
      </w:r>
      <w:r>
        <w:tab/>
        <w:t>Președinte</w:t>
      </w:r>
    </w:p>
    <w:p w14:paraId="4E16A036" w14:textId="77777777" w:rsidR="00A976AC" w:rsidRPr="00954406" w:rsidRDefault="00A976AC" w:rsidP="004D7C0A">
      <w:pPr>
        <w:pStyle w:val="JuPara"/>
        <w:widowControl w:val="0"/>
      </w:pPr>
    </w:p>
    <w:p w14:paraId="216C99B6" w14:textId="1BEC526C" w:rsidR="002940A4" w:rsidRPr="00954406" w:rsidRDefault="002940A4" w:rsidP="00954406">
      <w:pPr>
        <w:pStyle w:val="JuParaLast"/>
      </w:pPr>
      <w:r>
        <w:lastRenderedPageBreak/>
        <w:t xml:space="preserve">În conformitate cu art. 45 § 2 din Convenție și art. 74 § 2 din Regulament, la prezenta hotărâre se anexează opinia separată a doamnei judecător </w:t>
      </w:r>
      <w:proofErr w:type="spellStart"/>
      <w:r>
        <w:t>Kateřina</w:t>
      </w:r>
      <w:proofErr w:type="spellEnd"/>
      <w:r>
        <w:t xml:space="preserve"> </w:t>
      </w:r>
      <w:proofErr w:type="spellStart"/>
      <w:r>
        <w:t>Šimáčková</w:t>
      </w:r>
      <w:proofErr w:type="spellEnd"/>
      <w:r>
        <w:t>.</w:t>
      </w:r>
    </w:p>
    <w:p w14:paraId="5E51A405" w14:textId="11E21DE1" w:rsidR="002940A4" w:rsidRPr="00954406" w:rsidRDefault="00B27B81" w:rsidP="00954406">
      <w:pPr>
        <w:pStyle w:val="JuInitialled"/>
      </w:pPr>
      <w:r>
        <w:t>S.O.L.</w:t>
      </w:r>
      <w:r>
        <w:br/>
        <w:t>V.S.</w:t>
      </w:r>
      <w:r>
        <w:br/>
      </w:r>
    </w:p>
    <w:p w14:paraId="37FC5C32" w14:textId="77777777" w:rsidR="002940A4" w:rsidRPr="00954406" w:rsidRDefault="002940A4" w:rsidP="00954406">
      <w:pPr>
        <w:sectPr w:rsidR="002940A4" w:rsidRPr="00954406">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noEndnote/>
        </w:sectPr>
      </w:pPr>
    </w:p>
    <w:p w14:paraId="18BBDD9D" w14:textId="77777777" w:rsidR="00A264F3" w:rsidRPr="00954406" w:rsidRDefault="00A264F3" w:rsidP="00954406">
      <w:pPr>
        <w:pStyle w:val="DecHTitle"/>
      </w:pPr>
      <w:r>
        <w:lastRenderedPageBreak/>
        <w:t>OPINIA CONCORDANTĂ A DOAMNEI JUDECĂTOR ŠIMÁČKOVÁ</w:t>
      </w:r>
    </w:p>
    <w:p w14:paraId="7A319185" w14:textId="539B9905" w:rsidR="00A264F3" w:rsidRPr="00954406" w:rsidRDefault="00E21F88" w:rsidP="00954406">
      <w:pPr>
        <w:pStyle w:val="JuPara"/>
      </w:pPr>
      <w:fldSimple w:instr=" SEQ level0 \*arabic \r1 ">
        <w:r w:rsidR="00954406" w:rsidRPr="00954406">
          <w:t>1</w:t>
        </w:r>
      </w:fldSimple>
      <w:r w:rsidR="006309AB">
        <w:t>.  Sunt de acord pe deplin cu concluzia camerei, potrivit căreia libertatea de exprimare a reclamantei a fost încălcată în cauză.</w:t>
      </w:r>
    </w:p>
    <w:p w14:paraId="0FF8DF5D" w14:textId="76A47256" w:rsidR="00A264F3" w:rsidRPr="00954406" w:rsidRDefault="00A264F3" w:rsidP="00954406">
      <w:pPr>
        <w:pStyle w:val="JuPara"/>
        <w:rPr>
          <w:rFonts w:ascii="Times New Roman" w:eastAsia="Calibri" w:hAnsi="Times New Roman" w:cs="Times New Roman"/>
        </w:rPr>
      </w:pPr>
      <w:r w:rsidRPr="00954406">
        <w:rPr>
          <w:rFonts w:ascii="Times New Roman" w:eastAsia="Times New Roman" w:hAnsi="Times New Roman" w:cs="Times New Roman"/>
        </w:rPr>
        <w:fldChar w:fldCharType="begin"/>
      </w:r>
      <w:r w:rsidRPr="00954406">
        <w:rPr>
          <w:rFonts w:ascii="Times New Roman" w:eastAsia="Times New Roman" w:hAnsi="Times New Roman" w:cs="Times New Roman"/>
        </w:rPr>
        <w:instrText xml:space="preserve"> SEQ level0 \*arabic \* MERGEFORMAT </w:instrText>
      </w:r>
      <w:r w:rsidRPr="00954406">
        <w:rPr>
          <w:rFonts w:ascii="Times New Roman" w:eastAsia="Times New Roman" w:hAnsi="Times New Roman" w:cs="Times New Roman"/>
        </w:rPr>
        <w:fldChar w:fldCharType="separate"/>
      </w:r>
      <w:r w:rsidR="00954406" w:rsidRPr="00954406">
        <w:rPr>
          <w:rFonts w:ascii="Times New Roman" w:eastAsia="Times New Roman" w:hAnsi="Times New Roman" w:cs="Times New Roman"/>
        </w:rPr>
        <w:t>2</w:t>
      </w:r>
      <w:r w:rsidRPr="00954406">
        <w:rPr>
          <w:rFonts w:ascii="Times New Roman" w:eastAsia="Times New Roman" w:hAnsi="Times New Roman" w:cs="Times New Roman"/>
        </w:rPr>
        <w:fldChar w:fldCharType="end"/>
      </w:r>
      <w:r>
        <w:rPr>
          <w:rFonts w:ascii="Times New Roman" w:hAnsi="Times New Roman"/>
        </w:rPr>
        <w:t>.  Constatarea încălcării se întemeiază pe caracterul excesiv al sancțiunii aplicate reclamantei (în special pedeapsa cu închisoarea cu suspendarea executării) pentru performance-</w:t>
      </w:r>
      <w:proofErr w:type="spellStart"/>
      <w:r>
        <w:rPr>
          <w:rFonts w:ascii="Times New Roman" w:hAnsi="Times New Roman"/>
        </w:rPr>
        <w:t>ul</w:t>
      </w:r>
      <w:proofErr w:type="spellEnd"/>
      <w:r>
        <w:rPr>
          <w:rFonts w:ascii="Times New Roman" w:hAnsi="Times New Roman"/>
        </w:rPr>
        <w:t xml:space="preserve"> efectuat de ea în biserică. Cu tot respectul datorat colegilor mei, am rezerve față de concluzia conform căreia această sancțiune era prevăzută de lege. Nu sunt convinsă de concluzia că ingerința în exercitarea libertății de exprimare a reclamantei era prevăzută de lege și că aceasta urmărea un scop legal și legitim.</w:t>
      </w:r>
    </w:p>
    <w:p w14:paraId="0E4E1D8B" w14:textId="45727B14" w:rsidR="00A264F3" w:rsidRPr="00954406" w:rsidRDefault="00A264F3" w:rsidP="00954406">
      <w:pPr>
        <w:pStyle w:val="JuPara"/>
        <w:rPr>
          <w:rFonts w:ascii="Times New Roman" w:eastAsia="Calibri" w:hAnsi="Times New Roman" w:cs="Times New Roman"/>
        </w:rPr>
      </w:pPr>
      <w:r w:rsidRPr="00954406">
        <w:rPr>
          <w:rFonts w:ascii="Times New Roman" w:eastAsia="Calibri" w:hAnsi="Times New Roman" w:cs="Times New Roman"/>
        </w:rPr>
        <w:fldChar w:fldCharType="begin"/>
      </w:r>
      <w:r w:rsidRPr="00954406">
        <w:rPr>
          <w:rFonts w:ascii="Times New Roman" w:eastAsia="Calibri" w:hAnsi="Times New Roman" w:cs="Times New Roman"/>
        </w:rPr>
        <w:instrText xml:space="preserve"> SEQ level0 \*arabic \* MERGEFORMAT </w:instrText>
      </w:r>
      <w:r w:rsidRPr="00954406">
        <w:rPr>
          <w:rFonts w:ascii="Times New Roman" w:eastAsia="Calibri" w:hAnsi="Times New Roman" w:cs="Times New Roman"/>
        </w:rPr>
        <w:fldChar w:fldCharType="separate"/>
      </w:r>
      <w:r w:rsidR="00954406" w:rsidRPr="00954406">
        <w:rPr>
          <w:rFonts w:ascii="Times New Roman" w:eastAsia="Calibri" w:hAnsi="Times New Roman" w:cs="Times New Roman"/>
        </w:rPr>
        <w:t>3</w:t>
      </w:r>
      <w:r w:rsidRPr="00954406">
        <w:rPr>
          <w:rFonts w:ascii="Times New Roman" w:eastAsia="Calibri" w:hAnsi="Times New Roman" w:cs="Times New Roman"/>
        </w:rPr>
        <w:fldChar w:fldCharType="end"/>
      </w:r>
      <w:r>
        <w:rPr>
          <w:rFonts w:ascii="Times New Roman" w:hAnsi="Times New Roman"/>
        </w:rPr>
        <w:t>.  Obiectivul incriminării exhibiționismului, infracțiune prevăzută la art. 222-32 din Codul penal, este, în temeiul capitolului din care face parte acest articol, și anume în raport cu economia acestui cod, să ofere o protecție împotriva agresiunilor sexuale. Astfel, sancționarea penală a exhibiționismului are ca scop să protejeze integritatea mentală și fizică și demnitatea victimei agresiunii, și nu să protejeze libertatea de conștiință și de religie.</w:t>
      </w:r>
    </w:p>
    <w:p w14:paraId="7B5B844A" w14:textId="1ABA457C" w:rsidR="00A264F3" w:rsidRPr="00954406" w:rsidRDefault="00A264F3" w:rsidP="00954406">
      <w:pPr>
        <w:pStyle w:val="JuPara"/>
        <w:rPr>
          <w:rFonts w:ascii="Times New Roman" w:eastAsia="Calibri" w:hAnsi="Times New Roman" w:cs="Times New Roman"/>
        </w:rPr>
      </w:pPr>
      <w:r w:rsidRPr="00954406">
        <w:rPr>
          <w:rFonts w:ascii="Times New Roman" w:eastAsia="Calibri" w:hAnsi="Times New Roman" w:cs="Times New Roman"/>
        </w:rPr>
        <w:fldChar w:fldCharType="begin"/>
      </w:r>
      <w:r w:rsidRPr="00954406">
        <w:rPr>
          <w:rFonts w:ascii="Times New Roman" w:eastAsia="Calibri" w:hAnsi="Times New Roman" w:cs="Times New Roman"/>
        </w:rPr>
        <w:instrText xml:space="preserve"> SEQ level0 \*arabic \* MERGEFORMAT </w:instrText>
      </w:r>
      <w:r w:rsidRPr="00954406">
        <w:rPr>
          <w:rFonts w:ascii="Times New Roman" w:eastAsia="Calibri" w:hAnsi="Times New Roman" w:cs="Times New Roman"/>
        </w:rPr>
        <w:fldChar w:fldCharType="separate"/>
      </w:r>
      <w:r w:rsidR="00954406" w:rsidRPr="00954406">
        <w:rPr>
          <w:rFonts w:ascii="Times New Roman" w:eastAsia="Calibri" w:hAnsi="Times New Roman" w:cs="Times New Roman"/>
        </w:rPr>
        <w:t>4</w:t>
      </w:r>
      <w:r w:rsidRPr="00954406">
        <w:rPr>
          <w:rFonts w:ascii="Times New Roman" w:eastAsia="Calibri" w:hAnsi="Times New Roman" w:cs="Times New Roman"/>
        </w:rPr>
        <w:fldChar w:fldCharType="end"/>
      </w:r>
      <w:r>
        <w:rPr>
          <w:rFonts w:ascii="Times New Roman" w:hAnsi="Times New Roman"/>
        </w:rPr>
        <w:t>.  Adevăratul motiv pentru care reclamanta a fost sancționată era protejarea credincioșilor și a libertății lor de conștiință și de religie (a se vedea conținutul hotărârilor judecătorești naționale la pct. 9 – 12 și rezumatul de la pct. 59). Or, art. 222-32 din Codul penal nu urmărește niciun obiectiv de acest tip. Dreptul francez nu conține nicio interzicere a blasfemiei.</w:t>
      </w:r>
    </w:p>
    <w:p w14:paraId="6AA09E28" w14:textId="164DFC21" w:rsidR="00A264F3" w:rsidRPr="00954406" w:rsidRDefault="00A264F3" w:rsidP="00954406">
      <w:pPr>
        <w:pStyle w:val="JuPara"/>
        <w:rPr>
          <w:rFonts w:ascii="Times New Roman" w:eastAsia="Calibri" w:hAnsi="Times New Roman" w:cs="Times New Roman"/>
        </w:rPr>
      </w:pPr>
      <w:r w:rsidRPr="00954406">
        <w:rPr>
          <w:rFonts w:ascii="Times New Roman" w:eastAsia="Calibri" w:hAnsi="Times New Roman" w:cs="Times New Roman"/>
        </w:rPr>
        <w:fldChar w:fldCharType="begin"/>
      </w:r>
      <w:r w:rsidRPr="00954406">
        <w:rPr>
          <w:rFonts w:ascii="Times New Roman" w:eastAsia="Calibri" w:hAnsi="Times New Roman" w:cs="Times New Roman"/>
        </w:rPr>
        <w:instrText xml:space="preserve"> SEQ level0 \*arabic \* MERGEFORMAT </w:instrText>
      </w:r>
      <w:r w:rsidRPr="00954406">
        <w:rPr>
          <w:rFonts w:ascii="Times New Roman" w:eastAsia="Calibri" w:hAnsi="Times New Roman" w:cs="Times New Roman"/>
        </w:rPr>
        <w:fldChar w:fldCharType="separate"/>
      </w:r>
      <w:r w:rsidR="00954406" w:rsidRPr="00954406">
        <w:rPr>
          <w:rFonts w:ascii="Times New Roman" w:eastAsia="Calibri" w:hAnsi="Times New Roman" w:cs="Times New Roman"/>
        </w:rPr>
        <w:t>5</w:t>
      </w:r>
      <w:r w:rsidRPr="00954406">
        <w:rPr>
          <w:rFonts w:ascii="Times New Roman" w:eastAsia="Calibri" w:hAnsi="Times New Roman" w:cs="Times New Roman"/>
        </w:rPr>
        <w:fldChar w:fldCharType="end"/>
      </w:r>
      <w:r>
        <w:rPr>
          <w:rFonts w:ascii="Times New Roman" w:hAnsi="Times New Roman"/>
        </w:rPr>
        <w:t>.  Cred, prin urmare, că era nelegală sancțiunea aplicată reclamantei pentru comportamentul său în baza dispoziției din Codul penal astfel cum era citată de autoritățile naționale. Această sancțiune penală nu se sprijină pe dispoziții juridice potrivite.</w:t>
      </w:r>
    </w:p>
    <w:p w14:paraId="706E89FA" w14:textId="05A43E4C" w:rsidR="00A264F3" w:rsidRPr="00954406" w:rsidRDefault="00A264F3" w:rsidP="00954406">
      <w:pPr>
        <w:pStyle w:val="JuPara"/>
        <w:rPr>
          <w:rFonts w:ascii="Times New Roman" w:eastAsia="Calibri" w:hAnsi="Times New Roman" w:cs="Times New Roman"/>
        </w:rPr>
      </w:pPr>
      <w:r w:rsidRPr="00954406">
        <w:rPr>
          <w:rFonts w:ascii="Times New Roman" w:eastAsia="Calibri" w:hAnsi="Times New Roman" w:cs="Times New Roman"/>
        </w:rPr>
        <w:fldChar w:fldCharType="begin"/>
      </w:r>
      <w:r w:rsidRPr="00954406">
        <w:rPr>
          <w:rFonts w:ascii="Times New Roman" w:eastAsia="Calibri" w:hAnsi="Times New Roman" w:cs="Times New Roman"/>
        </w:rPr>
        <w:instrText xml:space="preserve"> SEQ level0 \*arabic \* MERGEFORMAT </w:instrText>
      </w:r>
      <w:r w:rsidRPr="00954406">
        <w:rPr>
          <w:rFonts w:ascii="Times New Roman" w:eastAsia="Calibri" w:hAnsi="Times New Roman" w:cs="Times New Roman"/>
        </w:rPr>
        <w:fldChar w:fldCharType="separate"/>
      </w:r>
      <w:r w:rsidR="00954406" w:rsidRPr="00954406">
        <w:rPr>
          <w:rFonts w:ascii="Times New Roman" w:eastAsia="Calibri" w:hAnsi="Times New Roman" w:cs="Times New Roman"/>
        </w:rPr>
        <w:t>6</w:t>
      </w:r>
      <w:r w:rsidRPr="00954406">
        <w:rPr>
          <w:rFonts w:ascii="Times New Roman" w:eastAsia="Calibri" w:hAnsi="Times New Roman" w:cs="Times New Roman"/>
        </w:rPr>
        <w:fldChar w:fldCharType="end"/>
      </w:r>
      <w:r>
        <w:rPr>
          <w:rFonts w:ascii="Times New Roman" w:hAnsi="Times New Roman"/>
        </w:rPr>
        <w:t>.  Obiectivul real al sancționării reclamantei pentru agresiune sexuală era de a o pedepsi pentru că și-a expus pieptul gol în biserică și pentru că a ofensat astfel congregația, adică un alt obiectiv decât cel prevăzut de lege. Acuzația de agresiune sexuală reținută de acuzare pentru sancționarea reclamantei nu poate fi acceptată pur și simplu; persoanele prezente în biserică au fost probabil ofensate, dar nimeni nu a fost amenințat sexual. Într-o cauză similară citată în hotărârea (</w:t>
      </w:r>
      <w:proofErr w:type="spellStart"/>
      <w:r>
        <w:rPr>
          <w:rFonts w:ascii="Times New Roman" w:hAnsi="Times New Roman"/>
          <w:i/>
        </w:rPr>
        <w:t>Mariya</w:t>
      </w:r>
      <w:proofErr w:type="spellEnd"/>
      <w:r>
        <w:rPr>
          <w:rFonts w:ascii="Times New Roman" w:hAnsi="Times New Roman"/>
          <w:i/>
        </w:rPr>
        <w:t xml:space="preserve"> </w:t>
      </w:r>
      <w:proofErr w:type="spellStart"/>
      <w:r>
        <w:rPr>
          <w:rFonts w:ascii="Times New Roman" w:hAnsi="Times New Roman"/>
          <w:i/>
        </w:rPr>
        <w:t>Alekhina</w:t>
      </w:r>
      <w:proofErr w:type="spellEnd"/>
      <w:r>
        <w:rPr>
          <w:rFonts w:ascii="Times New Roman" w:hAnsi="Times New Roman"/>
          <w:i/>
        </w:rPr>
        <w:t xml:space="preserve"> și alții</w:t>
      </w:r>
      <w:r>
        <w:rPr>
          <w:rFonts w:ascii="Times New Roman" w:hAnsi="Times New Roman"/>
        </w:rPr>
        <w:t>), femeile din Rusia care își dezgoleau pieptul chiar în timpul liturghiei erau pedepsite pentru huliganism, și anume pentru că au tulburat ordinea publică, și nu pentru agresiune sexuală. În materie de acuzații penale, trebuie să se spună lucrurilor pe nume și nu să se ascundă un obiectiv sub altul.</w:t>
      </w:r>
    </w:p>
    <w:p w14:paraId="5BB01D4D" w14:textId="79CDEB46" w:rsidR="00A264F3" w:rsidRPr="00954406" w:rsidRDefault="00A264F3" w:rsidP="00954406">
      <w:pPr>
        <w:pStyle w:val="JuPara"/>
        <w:rPr>
          <w:rFonts w:ascii="Times New Roman" w:eastAsia="Calibri" w:hAnsi="Times New Roman" w:cs="Times New Roman"/>
        </w:rPr>
      </w:pPr>
      <w:r w:rsidRPr="00954406">
        <w:rPr>
          <w:rFonts w:ascii="Times New Roman" w:eastAsia="Calibri" w:hAnsi="Times New Roman" w:cs="Times New Roman"/>
        </w:rPr>
        <w:fldChar w:fldCharType="begin"/>
      </w:r>
      <w:r w:rsidRPr="00954406">
        <w:rPr>
          <w:rFonts w:ascii="Times New Roman" w:eastAsia="Calibri" w:hAnsi="Times New Roman" w:cs="Times New Roman"/>
        </w:rPr>
        <w:instrText xml:space="preserve"> SEQ level0 \*arabic \* MERGEFORMAT </w:instrText>
      </w:r>
      <w:r w:rsidRPr="00954406">
        <w:rPr>
          <w:rFonts w:ascii="Times New Roman" w:eastAsia="Calibri" w:hAnsi="Times New Roman" w:cs="Times New Roman"/>
        </w:rPr>
        <w:fldChar w:fldCharType="separate"/>
      </w:r>
      <w:r w:rsidR="00954406" w:rsidRPr="00954406">
        <w:rPr>
          <w:rFonts w:ascii="Times New Roman" w:eastAsia="Calibri" w:hAnsi="Times New Roman" w:cs="Times New Roman"/>
        </w:rPr>
        <w:t>7</w:t>
      </w:r>
      <w:r w:rsidRPr="00954406">
        <w:rPr>
          <w:rFonts w:ascii="Times New Roman" w:eastAsia="Calibri" w:hAnsi="Times New Roman" w:cs="Times New Roman"/>
        </w:rPr>
        <w:fldChar w:fldCharType="end"/>
      </w:r>
      <w:r>
        <w:rPr>
          <w:rFonts w:ascii="Times New Roman" w:hAnsi="Times New Roman"/>
        </w:rPr>
        <w:t>.  După cum se indică supra, esența sancționării reclamantei nu consta în faptul că își expusese pieptul gol, ci că o făcuse la biserică. Înțeleg că uneori scopul unei norme juridice est</w:t>
      </w:r>
      <w:bookmarkStart w:id="29" w:name="_GoBack"/>
      <w:bookmarkEnd w:id="29"/>
      <w:r>
        <w:rPr>
          <w:rFonts w:ascii="Times New Roman" w:hAnsi="Times New Roman"/>
        </w:rPr>
        <w:t>e reconcili</w:t>
      </w:r>
      <w:r w:rsidR="00425642">
        <w:rPr>
          <w:rFonts w:ascii="Times New Roman" w:hAnsi="Times New Roman"/>
        </w:rPr>
        <w:t>erea religioasă într-o țară (a se vedea</w:t>
      </w:r>
      <w:r>
        <w:rPr>
          <w:rFonts w:ascii="Times New Roman" w:hAnsi="Times New Roman"/>
        </w:rPr>
        <w:t xml:space="preserve"> </w:t>
      </w:r>
      <w:proofErr w:type="spellStart"/>
      <w:r>
        <w:rPr>
          <w:rFonts w:ascii="Times New Roman" w:hAnsi="Times New Roman"/>
          <w:i/>
        </w:rPr>
        <w:t>Leyla</w:t>
      </w:r>
      <w:proofErr w:type="spellEnd"/>
      <w:r>
        <w:rPr>
          <w:rFonts w:ascii="Times New Roman" w:hAnsi="Times New Roman"/>
          <w:i/>
        </w:rPr>
        <w:t xml:space="preserve"> </w:t>
      </w:r>
      <w:proofErr w:type="spellStart"/>
      <w:r>
        <w:rPr>
          <w:rFonts w:ascii="Times New Roman" w:hAnsi="Times New Roman"/>
          <w:i/>
        </w:rPr>
        <w:t>Sahin</w:t>
      </w:r>
      <w:proofErr w:type="spellEnd"/>
      <w:r>
        <w:rPr>
          <w:rFonts w:ascii="Times New Roman" w:hAnsi="Times New Roman"/>
          <w:i/>
        </w:rPr>
        <w:t xml:space="preserve"> împotriva Turciei</w:t>
      </w:r>
      <w:r>
        <w:rPr>
          <w:rFonts w:ascii="Times New Roman" w:hAnsi="Times New Roman"/>
        </w:rPr>
        <w:t>,</w:t>
      </w:r>
      <w:r>
        <w:rPr>
          <w:rFonts w:ascii="Times New Roman" w:hAnsi="Times New Roman"/>
          <w:b/>
        </w:rPr>
        <w:t xml:space="preserve"> </w:t>
      </w:r>
      <w:r>
        <w:rPr>
          <w:rFonts w:ascii="Times New Roman" w:hAnsi="Times New Roman"/>
        </w:rPr>
        <w:t>nr.</w:t>
      </w:r>
      <w:r>
        <w:rPr>
          <w:rFonts w:ascii="Times New Roman" w:hAnsi="Times New Roman"/>
          <w:vertAlign w:val="superscript"/>
        </w:rPr>
        <w:t xml:space="preserve"> </w:t>
      </w:r>
      <w:r>
        <w:rPr>
          <w:rFonts w:ascii="Times New Roman" w:hAnsi="Times New Roman"/>
        </w:rPr>
        <w:t xml:space="preserve">44774/98, pct. 106 și 107, 10 noiembrie 2005) și crearea unui cadru sigur pentru adepții unor religii diferite, mai cu </w:t>
      </w:r>
      <w:r>
        <w:rPr>
          <w:rFonts w:ascii="Times New Roman" w:hAnsi="Times New Roman"/>
        </w:rPr>
        <w:lastRenderedPageBreak/>
        <w:t>seamă când mai multe religii se ciocnesc sau când credința este ridiculizată sau insultată. O asemenea politică nu este eficientă decât dacă tratează cu aceeași sensibilitate toate confesiunile religioase avute în vedere pe teritoriul său.</w:t>
      </w:r>
    </w:p>
    <w:p w14:paraId="393B6449" w14:textId="3BE44907" w:rsidR="00A264F3" w:rsidRPr="00954406" w:rsidRDefault="00A264F3" w:rsidP="00954406">
      <w:pPr>
        <w:pStyle w:val="JuPara"/>
        <w:rPr>
          <w:rFonts w:ascii="Times New Roman" w:eastAsia="Calibri" w:hAnsi="Times New Roman" w:cs="Times New Roman"/>
        </w:rPr>
      </w:pPr>
      <w:r w:rsidRPr="00954406">
        <w:rPr>
          <w:rFonts w:ascii="Times New Roman" w:eastAsia="Calibri" w:hAnsi="Times New Roman" w:cs="Times New Roman"/>
        </w:rPr>
        <w:fldChar w:fldCharType="begin"/>
      </w:r>
      <w:r w:rsidRPr="00954406">
        <w:rPr>
          <w:rFonts w:ascii="Times New Roman" w:eastAsia="Calibri" w:hAnsi="Times New Roman" w:cs="Times New Roman"/>
        </w:rPr>
        <w:instrText xml:space="preserve"> SEQ level0 \*arabic \* MERGEFORMAT </w:instrText>
      </w:r>
      <w:r w:rsidRPr="00954406">
        <w:rPr>
          <w:rFonts w:ascii="Times New Roman" w:eastAsia="Calibri" w:hAnsi="Times New Roman" w:cs="Times New Roman"/>
        </w:rPr>
        <w:fldChar w:fldCharType="separate"/>
      </w:r>
      <w:r w:rsidR="00954406" w:rsidRPr="00954406">
        <w:rPr>
          <w:rFonts w:ascii="Times New Roman" w:eastAsia="Calibri" w:hAnsi="Times New Roman" w:cs="Times New Roman"/>
        </w:rPr>
        <w:t>8</w:t>
      </w:r>
      <w:r w:rsidRPr="00954406">
        <w:rPr>
          <w:rFonts w:ascii="Times New Roman" w:eastAsia="Calibri" w:hAnsi="Times New Roman" w:cs="Times New Roman"/>
        </w:rPr>
        <w:fldChar w:fldCharType="end"/>
      </w:r>
      <w:r>
        <w:rPr>
          <w:rFonts w:ascii="Times New Roman" w:hAnsi="Times New Roman"/>
        </w:rPr>
        <w:t>.  Cu toate acestea, esența statului de drept este că acest scop, protecția pudorii credincioșilor (care, în opinia mea, era motivul real al pedepsirii reclamantei în această cauză), trebuia să se întemeieze pe lege și nu poate fi adaptat în funcție de nevoile cauzei. Pe scurt, consider așadar că, în prezenta cauză, ingerința în exercitarea libertății de exprimare este ilegală pentru că reclamanta a fost pedepsită pentru o faptă care nu este o infracțiune și pe care autoritățile naționale au sancționat-o printr-un procedeu având un obiectiv foarte diferit.</w:t>
      </w:r>
    </w:p>
    <w:p w14:paraId="1040396A" w14:textId="4A6AD62A" w:rsidR="00F937CB" w:rsidRPr="00954406" w:rsidRDefault="00A264F3" w:rsidP="00954406">
      <w:pPr>
        <w:pStyle w:val="JuPara"/>
        <w:rPr>
          <w:rFonts w:ascii="Times New Roman" w:eastAsia="Calibri" w:hAnsi="Times New Roman" w:cs="Times New Roman"/>
        </w:rPr>
      </w:pPr>
      <w:r w:rsidRPr="00954406">
        <w:rPr>
          <w:rFonts w:ascii="Times New Roman" w:eastAsia="Calibri" w:hAnsi="Times New Roman" w:cs="Times New Roman"/>
        </w:rPr>
        <w:fldChar w:fldCharType="begin"/>
      </w:r>
      <w:r w:rsidRPr="00954406">
        <w:rPr>
          <w:rFonts w:ascii="Times New Roman" w:eastAsia="Calibri" w:hAnsi="Times New Roman" w:cs="Times New Roman"/>
        </w:rPr>
        <w:instrText xml:space="preserve"> SEQ level0 \*arabic \* MERGEFORMAT </w:instrText>
      </w:r>
      <w:r w:rsidRPr="00954406">
        <w:rPr>
          <w:rFonts w:ascii="Times New Roman" w:eastAsia="Calibri" w:hAnsi="Times New Roman" w:cs="Times New Roman"/>
        </w:rPr>
        <w:fldChar w:fldCharType="separate"/>
      </w:r>
      <w:r w:rsidR="00954406" w:rsidRPr="00954406">
        <w:rPr>
          <w:rFonts w:ascii="Times New Roman" w:eastAsia="Calibri" w:hAnsi="Times New Roman" w:cs="Times New Roman"/>
        </w:rPr>
        <w:t>9</w:t>
      </w:r>
      <w:r w:rsidRPr="00954406">
        <w:rPr>
          <w:rFonts w:ascii="Times New Roman" w:eastAsia="Calibri" w:hAnsi="Times New Roman" w:cs="Times New Roman"/>
        </w:rPr>
        <w:fldChar w:fldCharType="end"/>
      </w:r>
      <w:r>
        <w:rPr>
          <w:rFonts w:ascii="Times New Roman" w:hAnsi="Times New Roman"/>
        </w:rPr>
        <w:t>.  Cu privire la scopul urmărit de performance-</w:t>
      </w:r>
      <w:proofErr w:type="spellStart"/>
      <w:r>
        <w:rPr>
          <w:rFonts w:ascii="Times New Roman" w:hAnsi="Times New Roman"/>
        </w:rPr>
        <w:t>ul</w:t>
      </w:r>
      <w:proofErr w:type="spellEnd"/>
      <w:r>
        <w:rPr>
          <w:rFonts w:ascii="Times New Roman" w:hAnsi="Times New Roman"/>
        </w:rPr>
        <w:t xml:space="preserve"> reclamantei, trebuie adăugat că cultura franceză este cunoscută pentru numeroase exemple de piept feminin dezgolit ca expresie a libertății – fie că este vorba de </w:t>
      </w:r>
      <w:r>
        <w:rPr>
          <w:rFonts w:ascii="Times New Roman" w:hAnsi="Times New Roman"/>
          <w:i/>
        </w:rPr>
        <w:t>Dejun pe iarbă</w:t>
      </w:r>
      <w:r>
        <w:rPr>
          <w:rFonts w:ascii="Times New Roman" w:hAnsi="Times New Roman"/>
        </w:rPr>
        <w:t xml:space="preserve"> de Manet sau de sânul gol al </w:t>
      </w:r>
      <w:proofErr w:type="spellStart"/>
      <w:r>
        <w:rPr>
          <w:rFonts w:ascii="Times New Roman" w:hAnsi="Times New Roman"/>
        </w:rPr>
        <w:t>Mariannei</w:t>
      </w:r>
      <w:proofErr w:type="spellEnd"/>
      <w:r>
        <w:rPr>
          <w:rFonts w:ascii="Times New Roman" w:hAnsi="Times New Roman"/>
        </w:rPr>
        <w:t xml:space="preserve"> [reprezentarea alegorică a Republicii Franceze]. În plus, civilizația franceză nu este puritană. Pentru exact același motiv, nu se poate susține că un mijloc de exprimare pur politic, care nu a fost </w:t>
      </w:r>
      <w:proofErr w:type="spellStart"/>
      <w:r>
        <w:rPr>
          <w:rFonts w:ascii="Times New Roman" w:hAnsi="Times New Roman"/>
        </w:rPr>
        <w:t>sexualizat</w:t>
      </w:r>
      <w:proofErr w:type="spellEnd"/>
      <w:r>
        <w:rPr>
          <w:rFonts w:ascii="Times New Roman" w:hAnsi="Times New Roman"/>
        </w:rPr>
        <w:t xml:space="preserve"> în niciun mod, reprezintă o ingerință în exercitarea dreptului de a fi protejat împotriva agresiunilor sexuale (sau chiar că ar fi contrar moralei în general). Această cauză, ca și cauza </w:t>
      </w:r>
      <w:r>
        <w:rPr>
          <w:rFonts w:ascii="Times New Roman" w:hAnsi="Times New Roman"/>
          <w:i/>
        </w:rPr>
        <w:t>S.A.S. împotriva Franței</w:t>
      </w:r>
      <w:r>
        <w:rPr>
          <w:rFonts w:ascii="Times New Roman" w:hAnsi="Times New Roman"/>
        </w:rPr>
        <w:t xml:space="preserve"> (nr. </w:t>
      </w:r>
      <w:hyperlink r:id="rId19" w:anchor="{%22appno%22:[%2243835/11%22]}" w:tgtFrame="_blank" w:history="1">
        <w:r>
          <w:rPr>
            <w:rFonts w:ascii="Times New Roman" w:hAnsi="Times New Roman"/>
          </w:rPr>
          <w:t>43835/11</w:t>
        </w:r>
      </w:hyperlink>
      <w:r>
        <w:rPr>
          <w:rFonts w:ascii="Times New Roman" w:hAnsi="Times New Roman"/>
        </w:rPr>
        <w:t>, 1 iulie 2014), ilustrează problema către care tinde unul dintre obiectivele performance-ului reclamantei. Societatea admite și chiar cere ca legiuitorul să disciplineze femeile cu privire la ceea ce ele pot sau nu pot arăta și folosește aceleași instrumente ca dreptul penal în acest scop. Într-adevăr, femeile nu au dreptul de a fi îmbrăcate nici prea mult, nici prea puțin. Toată lumea este liberă, dar femeile trebuie să acorde atenție la ceea ce dezvăluie și la ceea ce ascund.</w:t>
      </w:r>
    </w:p>
    <w:p w14:paraId="19F8886C" w14:textId="77777777" w:rsidR="00305385" w:rsidRPr="00954406" w:rsidRDefault="00305385" w:rsidP="00954406">
      <w:pPr>
        <w:pStyle w:val="JuPara"/>
      </w:pPr>
    </w:p>
    <w:sectPr w:rsidR="00305385" w:rsidRPr="00954406" w:rsidSect="002940A4">
      <w:headerReference w:type="default" r:id="rId20"/>
      <w:footnotePr>
        <w:numRestart w:val="eachSect"/>
      </w:footnotePr>
      <w:pgSz w:w="11906" w:h="16838" w:code="9"/>
      <w:pgMar w:top="2274" w:right="2274" w:bottom="2274" w:left="2274" w:header="1701"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0A12B" w14:textId="77777777" w:rsidR="008C62FE" w:rsidRPr="00F25EFC" w:rsidRDefault="008C62FE" w:rsidP="00516B59">
      <w:r w:rsidRPr="00F25EFC">
        <w:separator/>
      </w:r>
    </w:p>
  </w:endnote>
  <w:endnote w:type="continuationSeparator" w:id="0">
    <w:p w14:paraId="63EABBBC" w14:textId="77777777" w:rsidR="008C62FE" w:rsidRPr="00F25EFC" w:rsidRDefault="008C62FE" w:rsidP="00516B59">
      <w:r w:rsidRPr="00F25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639E2" w14:textId="45D1CCD0" w:rsidR="00514D7E" w:rsidRPr="00F25EFC" w:rsidRDefault="00514D7E" w:rsidP="00954AD6">
    <w:pPr>
      <w:pStyle w:val="JuHeader"/>
    </w:pPr>
    <w:r>
      <w:fldChar w:fldCharType="begin"/>
    </w:r>
    <w:r>
      <w:instrText xml:space="preserve"> PAGE </w:instrText>
    </w:r>
    <w:r>
      <w:fldChar w:fldCharType="separate"/>
    </w:r>
    <w:r w:rsidR="00425642">
      <w:rPr>
        <w:noProof/>
      </w:rPr>
      <w:t>28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C02B5" w14:textId="640ABC8D" w:rsidR="00514D7E" w:rsidRPr="00150BFA" w:rsidRDefault="00514D7E" w:rsidP="00514D7E">
    <w:pPr>
      <w:jc w:val="center"/>
    </w:pPr>
    <w:r>
      <w:rPr>
        <w:noProof/>
        <w:lang w:eastAsia="ro-RO"/>
      </w:rPr>
      <w:drawing>
        <wp:inline distT="0" distB="0" distL="0" distR="0" wp14:anchorId="1A299AB8" wp14:editId="492152D8">
          <wp:extent cx="771525" cy="619125"/>
          <wp:effectExtent l="0" t="0" r="9525" b="9525"/>
          <wp:docPr id="73" name="Picture 7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434A9F1D" w14:textId="1E7405AF" w:rsidR="00514D7E" w:rsidRPr="00F25EFC" w:rsidRDefault="00514D7E"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4151C" w14:textId="6E2A5B36" w:rsidR="00514D7E" w:rsidRPr="00150BFA" w:rsidRDefault="00514D7E" w:rsidP="00514D7E">
    <w:pPr>
      <w:jc w:val="center"/>
    </w:pPr>
    <w:r>
      <w:rPr>
        <w:noProof/>
        <w:lang w:eastAsia="ro-RO"/>
      </w:rPr>
      <w:drawing>
        <wp:inline distT="0" distB="0" distL="0" distR="0" wp14:anchorId="76333187" wp14:editId="250011D7">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4A2A1623" w14:textId="0EB91A15" w:rsidR="00514D7E" w:rsidRPr="00F25EFC" w:rsidRDefault="00514D7E"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1F0DE" w14:textId="3D59BB86" w:rsidR="00514D7E" w:rsidRPr="00D01935" w:rsidRDefault="00514D7E" w:rsidP="00662882">
    <w:pPr>
      <w:pStyle w:val="JuHeader"/>
    </w:pPr>
    <w:r>
      <w:fldChar w:fldCharType="begin"/>
    </w:r>
    <w:r>
      <w:instrText xml:space="preserve"> PAGE </w:instrText>
    </w:r>
    <w:r>
      <w:fldChar w:fldCharType="separate"/>
    </w:r>
    <w:r w:rsidR="00425642">
      <w:rPr>
        <w:noProof/>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1A711" w14:textId="77777777" w:rsidR="008C62FE" w:rsidRPr="00F25EFC" w:rsidRDefault="008C62FE" w:rsidP="00516B59">
      <w:r w:rsidRPr="00F25EFC">
        <w:separator/>
      </w:r>
    </w:p>
  </w:footnote>
  <w:footnote w:type="continuationSeparator" w:id="0">
    <w:p w14:paraId="781F16C2" w14:textId="77777777" w:rsidR="008C62FE" w:rsidRPr="00F25EFC" w:rsidRDefault="008C62FE" w:rsidP="00516B59">
      <w:r w:rsidRPr="00F25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521CD" w14:textId="5E8A8F9C" w:rsidR="00514D7E" w:rsidRPr="00A45145" w:rsidRDefault="00514D7E" w:rsidP="00514D7E">
    <w:pPr>
      <w:jc w:val="center"/>
    </w:pPr>
    <w:r>
      <w:rPr>
        <w:noProof/>
        <w:lang w:eastAsia="ro-RO"/>
      </w:rPr>
      <w:drawing>
        <wp:inline distT="0" distB="0" distL="0" distR="0" wp14:anchorId="626C7B44" wp14:editId="76C1D137">
          <wp:extent cx="2962275" cy="1219200"/>
          <wp:effectExtent l="0" t="0" r="9525" b="0"/>
          <wp:docPr id="70" name="Picture 7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610F057D" w14:textId="0484324E" w:rsidR="00514D7E" w:rsidRPr="00F25EFC" w:rsidRDefault="00514D7E" w:rsidP="00514D7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E665E" w14:textId="77777777" w:rsidR="00514D7E" w:rsidRDefault="00514D7E" w:rsidP="00863A17">
    <w:pPr>
      <w:jc w:val="right"/>
    </w:pPr>
    <w:r>
      <w:t>Tradus și revizuit de IER (</w:t>
    </w:r>
    <w:hyperlink r:id="rId1" w:history="1">
      <w:r w:rsidRPr="00F65CF9">
        <w:rPr>
          <w:rStyle w:val="Hyperlink"/>
        </w:rPr>
        <w:t>http://ier.gov.ro/</w:t>
      </w:r>
    </w:hyperlink>
    <w:r>
      <w:t>)</w:t>
    </w:r>
  </w:p>
  <w:p w14:paraId="7715414C" w14:textId="77777777" w:rsidR="00514D7E" w:rsidRDefault="00514D7E" w:rsidP="00514D7E">
    <w:pPr>
      <w:jc w:val="center"/>
      <w:rPr>
        <w:noProof/>
        <w:lang w:eastAsia="ro-RO"/>
      </w:rPr>
    </w:pPr>
  </w:p>
  <w:p w14:paraId="65240978" w14:textId="2D642CBE" w:rsidR="00514D7E" w:rsidRPr="00A45145" w:rsidRDefault="00514D7E" w:rsidP="00514D7E">
    <w:pPr>
      <w:jc w:val="center"/>
    </w:pPr>
    <w:r>
      <w:rPr>
        <w:noProof/>
        <w:lang w:eastAsia="ro-RO"/>
      </w:rPr>
      <w:drawing>
        <wp:inline distT="0" distB="0" distL="0" distR="0" wp14:anchorId="487970F9" wp14:editId="75EFD832">
          <wp:extent cx="2962275" cy="1219200"/>
          <wp:effectExtent l="0" t="0" r="9525" b="0"/>
          <wp:docPr id="64" name="Picture 6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0B27245D" w14:textId="0D45EAE8" w:rsidR="00514D7E" w:rsidRPr="00F25EFC" w:rsidRDefault="00514D7E"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F0352" w14:textId="07EDC410" w:rsidR="00514D7E" w:rsidRPr="00380B07" w:rsidRDefault="00514D7E" w:rsidP="00A21624">
    <w:pPr>
      <w:pStyle w:val="JuHeader"/>
    </w:pPr>
    <w:r>
      <w:t>HOTĂRÂREA BOUTON ÎMPOTRIVA FRANŢEI – OPINIE SEPARATĂ</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EC83A" w14:textId="03D3E1B8" w:rsidR="00514D7E" w:rsidRPr="00662882" w:rsidRDefault="00514D7E" w:rsidP="00662882">
    <w:pPr>
      <w:pStyle w:val="JuHeader"/>
    </w:pPr>
    <w:r>
      <w:t xml:space="preserve">HOTĂRÂREA BOUTON ÎMPOTRIVA FRANŢEI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7056F" w14:textId="3703D6AA" w:rsidR="00514D7E" w:rsidRPr="00662882" w:rsidRDefault="00514D7E" w:rsidP="002940A4">
    <w:pPr>
      <w:pStyle w:val="JuHeader"/>
      <w:tabs>
        <w:tab w:val="center" w:pos="3685"/>
        <w:tab w:val="right" w:pos="7370"/>
      </w:tabs>
    </w:pPr>
    <w:r>
      <w:t>HOTĂRÂREA BOUTON ÎMPOTRIVA FRANŢEI – OPINIE SEPARATĂ</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6B9429C"/>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18C54F2"/>
    <w:multiLevelType w:val="multilevel"/>
    <w:tmpl w:val="7222064C"/>
    <w:numStyleLink w:val="ECHRA1StyleList"/>
  </w:abstractNum>
  <w:num w:numId="1">
    <w:abstractNumId w:val="13"/>
  </w:num>
  <w:num w:numId="2">
    <w:abstractNumId w:val="11"/>
  </w:num>
  <w:num w:numId="3">
    <w:abstractNumId w:val="10"/>
  </w:num>
  <w:num w:numId="4">
    <w:abstractNumId w:val="14"/>
  </w:num>
  <w:num w:numId="5">
    <w:abstractNumId w:val="12"/>
  </w:num>
  <w:num w:numId="6">
    <w:abstractNumId w:val="15"/>
  </w:num>
  <w:num w:numId="7">
    <w:abstractNumId w:val="14"/>
  </w:num>
  <w:num w:numId="8">
    <w:abstractNumId w:val="15"/>
  </w:num>
  <w:num w:numId="9">
    <w:abstractNumId w:val="9"/>
  </w:num>
  <w:num w:numId="10">
    <w:abstractNumId w:val="18"/>
  </w:num>
  <w:num w:numId="11">
    <w:abstractNumId w:val="17"/>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6"/>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8"/>
  </w:num>
  <w:num w:numId="25">
    <w:abstractNumId w:val="9"/>
  </w:num>
  <w:num w:numId="26">
    <w:abstractNumId w:val="9"/>
  </w:num>
  <w:num w:numId="27">
    <w:abstractNumId w:val="9"/>
  </w:num>
  <w:num w:numId="28">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EF5ECF"/>
    <w:rsid w:val="000041F8"/>
    <w:rsid w:val="000042A8"/>
    <w:rsid w:val="00004308"/>
    <w:rsid w:val="00005BF0"/>
    <w:rsid w:val="00007154"/>
    <w:rsid w:val="000103AE"/>
    <w:rsid w:val="00011D69"/>
    <w:rsid w:val="00012AD3"/>
    <w:rsid w:val="00012F58"/>
    <w:rsid w:val="00015C2D"/>
    <w:rsid w:val="00015F00"/>
    <w:rsid w:val="00022C1D"/>
    <w:rsid w:val="00034987"/>
    <w:rsid w:val="000405AE"/>
    <w:rsid w:val="00051015"/>
    <w:rsid w:val="000602DF"/>
    <w:rsid w:val="00061B05"/>
    <w:rsid w:val="000632D5"/>
    <w:rsid w:val="000644EE"/>
    <w:rsid w:val="000675A9"/>
    <w:rsid w:val="00080ECE"/>
    <w:rsid w:val="00086E4E"/>
    <w:rsid w:val="0009057B"/>
    <w:rsid w:val="000925AD"/>
    <w:rsid w:val="000A20EB"/>
    <w:rsid w:val="000A24EB"/>
    <w:rsid w:val="000B0E1C"/>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1A2F"/>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D63ED"/>
    <w:rsid w:val="001D7348"/>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0A4"/>
    <w:rsid w:val="002948AD"/>
    <w:rsid w:val="0029739C"/>
    <w:rsid w:val="002A01CC"/>
    <w:rsid w:val="002A0ADC"/>
    <w:rsid w:val="002A61B1"/>
    <w:rsid w:val="002A663C"/>
    <w:rsid w:val="002B444B"/>
    <w:rsid w:val="002B5887"/>
    <w:rsid w:val="002B7E83"/>
    <w:rsid w:val="002C0E27"/>
    <w:rsid w:val="002C3040"/>
    <w:rsid w:val="002D022D"/>
    <w:rsid w:val="002D24BB"/>
    <w:rsid w:val="002F29AA"/>
    <w:rsid w:val="002F2AF7"/>
    <w:rsid w:val="002F7E1C"/>
    <w:rsid w:val="0030063C"/>
    <w:rsid w:val="00301A75"/>
    <w:rsid w:val="00302F70"/>
    <w:rsid w:val="0030336F"/>
    <w:rsid w:val="0030375E"/>
    <w:rsid w:val="00305385"/>
    <w:rsid w:val="0030660C"/>
    <w:rsid w:val="00312A30"/>
    <w:rsid w:val="00316323"/>
    <w:rsid w:val="00320F72"/>
    <w:rsid w:val="0032463E"/>
    <w:rsid w:val="00326224"/>
    <w:rsid w:val="00337EE4"/>
    <w:rsid w:val="00340FFD"/>
    <w:rsid w:val="0034289D"/>
    <w:rsid w:val="003471AF"/>
    <w:rsid w:val="003506B1"/>
    <w:rsid w:val="00351964"/>
    <w:rsid w:val="00356AC7"/>
    <w:rsid w:val="003609FA"/>
    <w:rsid w:val="00361D45"/>
    <w:rsid w:val="00365853"/>
    <w:rsid w:val="00367B4F"/>
    <w:rsid w:val="003710C8"/>
    <w:rsid w:val="003722CE"/>
    <w:rsid w:val="003750BE"/>
    <w:rsid w:val="00380B07"/>
    <w:rsid w:val="00387B9D"/>
    <w:rsid w:val="0039364F"/>
    <w:rsid w:val="00396686"/>
    <w:rsid w:val="0039778E"/>
    <w:rsid w:val="003A37B8"/>
    <w:rsid w:val="003B4941"/>
    <w:rsid w:val="003B6A2E"/>
    <w:rsid w:val="003C5714"/>
    <w:rsid w:val="003C6B9F"/>
    <w:rsid w:val="003C6E2A"/>
    <w:rsid w:val="003D0299"/>
    <w:rsid w:val="003D32BE"/>
    <w:rsid w:val="003E20A9"/>
    <w:rsid w:val="003E3FE3"/>
    <w:rsid w:val="003E6D80"/>
    <w:rsid w:val="003E7A9C"/>
    <w:rsid w:val="003F05FA"/>
    <w:rsid w:val="003F244A"/>
    <w:rsid w:val="003F30B8"/>
    <w:rsid w:val="003F4C45"/>
    <w:rsid w:val="003F5F7B"/>
    <w:rsid w:val="003F7D64"/>
    <w:rsid w:val="00401F7D"/>
    <w:rsid w:val="0041177B"/>
    <w:rsid w:val="00414300"/>
    <w:rsid w:val="00425642"/>
    <w:rsid w:val="00425C67"/>
    <w:rsid w:val="00427E7A"/>
    <w:rsid w:val="00431C07"/>
    <w:rsid w:val="004344E6"/>
    <w:rsid w:val="00436C49"/>
    <w:rsid w:val="00445366"/>
    <w:rsid w:val="00447F5B"/>
    <w:rsid w:val="00456549"/>
    <w:rsid w:val="004604A0"/>
    <w:rsid w:val="00461DB0"/>
    <w:rsid w:val="00463926"/>
    <w:rsid w:val="00463F25"/>
    <w:rsid w:val="00464C9A"/>
    <w:rsid w:val="00474F3D"/>
    <w:rsid w:val="00477E3A"/>
    <w:rsid w:val="00483E5F"/>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311"/>
    <w:rsid w:val="004D5DCC"/>
    <w:rsid w:val="004D7C0A"/>
    <w:rsid w:val="004E22F1"/>
    <w:rsid w:val="004F10AF"/>
    <w:rsid w:val="004F11A4"/>
    <w:rsid w:val="004F2389"/>
    <w:rsid w:val="004F304D"/>
    <w:rsid w:val="004F61BE"/>
    <w:rsid w:val="004F66B1"/>
    <w:rsid w:val="00510D77"/>
    <w:rsid w:val="00511C07"/>
    <w:rsid w:val="00514D7E"/>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2772"/>
    <w:rsid w:val="00592C8D"/>
    <w:rsid w:val="0059574A"/>
    <w:rsid w:val="005A1B9B"/>
    <w:rsid w:val="005A6751"/>
    <w:rsid w:val="005B092E"/>
    <w:rsid w:val="005B152C"/>
    <w:rsid w:val="005B1EE0"/>
    <w:rsid w:val="005B2B24"/>
    <w:rsid w:val="005B4425"/>
    <w:rsid w:val="005B4B94"/>
    <w:rsid w:val="005C353F"/>
    <w:rsid w:val="005C3EE8"/>
    <w:rsid w:val="005D34F9"/>
    <w:rsid w:val="005D4190"/>
    <w:rsid w:val="005D67A3"/>
    <w:rsid w:val="005E2988"/>
    <w:rsid w:val="005E3085"/>
    <w:rsid w:val="005E4C69"/>
    <w:rsid w:val="005F51E1"/>
    <w:rsid w:val="005F59B6"/>
    <w:rsid w:val="00607C46"/>
    <w:rsid w:val="00610F7A"/>
    <w:rsid w:val="00611C80"/>
    <w:rsid w:val="00613B21"/>
    <w:rsid w:val="00620692"/>
    <w:rsid w:val="006242CA"/>
    <w:rsid w:val="00627507"/>
    <w:rsid w:val="006309AB"/>
    <w:rsid w:val="006329D9"/>
    <w:rsid w:val="00633717"/>
    <w:rsid w:val="006344E1"/>
    <w:rsid w:val="006361FD"/>
    <w:rsid w:val="006545C4"/>
    <w:rsid w:val="00654B7E"/>
    <w:rsid w:val="00661971"/>
    <w:rsid w:val="00661CE8"/>
    <w:rsid w:val="006623D9"/>
    <w:rsid w:val="00662882"/>
    <w:rsid w:val="0066550C"/>
    <w:rsid w:val="006716F2"/>
    <w:rsid w:val="00682BF2"/>
    <w:rsid w:val="006859CE"/>
    <w:rsid w:val="00691270"/>
    <w:rsid w:val="00694BA8"/>
    <w:rsid w:val="006A037C"/>
    <w:rsid w:val="006A0DBE"/>
    <w:rsid w:val="006A36F4"/>
    <w:rsid w:val="006A406F"/>
    <w:rsid w:val="006A5D3A"/>
    <w:rsid w:val="006C0311"/>
    <w:rsid w:val="006C23D4"/>
    <w:rsid w:val="006C475E"/>
    <w:rsid w:val="006C7BB0"/>
    <w:rsid w:val="006D3237"/>
    <w:rsid w:val="006E2E37"/>
    <w:rsid w:val="006E3CF1"/>
    <w:rsid w:val="006E7E80"/>
    <w:rsid w:val="006F48CA"/>
    <w:rsid w:val="006F64DD"/>
    <w:rsid w:val="00704524"/>
    <w:rsid w:val="00715127"/>
    <w:rsid w:val="00715E8E"/>
    <w:rsid w:val="007172B0"/>
    <w:rsid w:val="00723580"/>
    <w:rsid w:val="00723755"/>
    <w:rsid w:val="00724AE2"/>
    <w:rsid w:val="00730B5C"/>
    <w:rsid w:val="0073136C"/>
    <w:rsid w:val="00731F0F"/>
    <w:rsid w:val="00733250"/>
    <w:rsid w:val="00735951"/>
    <w:rsid w:val="00741404"/>
    <w:rsid w:val="007449E5"/>
    <w:rsid w:val="00744B20"/>
    <w:rsid w:val="00747FF0"/>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204C7"/>
    <w:rsid w:val="00820992"/>
    <w:rsid w:val="00823602"/>
    <w:rsid w:val="008255F5"/>
    <w:rsid w:val="0083014E"/>
    <w:rsid w:val="0083214A"/>
    <w:rsid w:val="00834220"/>
    <w:rsid w:val="00841429"/>
    <w:rsid w:val="00845723"/>
    <w:rsid w:val="00851EF9"/>
    <w:rsid w:val="008577FD"/>
    <w:rsid w:val="00860B03"/>
    <w:rsid w:val="00863A17"/>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C62FE"/>
    <w:rsid w:val="008D0420"/>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142F"/>
    <w:rsid w:val="009259AC"/>
    <w:rsid w:val="00926F38"/>
    <w:rsid w:val="00934301"/>
    <w:rsid w:val="00936CD1"/>
    <w:rsid w:val="009375A5"/>
    <w:rsid w:val="00941747"/>
    <w:rsid w:val="00941EFB"/>
    <w:rsid w:val="00947AFB"/>
    <w:rsid w:val="00951D7D"/>
    <w:rsid w:val="00954406"/>
    <w:rsid w:val="00954AD6"/>
    <w:rsid w:val="009630C7"/>
    <w:rsid w:val="00971FF3"/>
    <w:rsid w:val="00972B55"/>
    <w:rsid w:val="009743B7"/>
    <w:rsid w:val="00975039"/>
    <w:rsid w:val="00977227"/>
    <w:rsid w:val="0098228B"/>
    <w:rsid w:val="009828DA"/>
    <w:rsid w:val="00985BAB"/>
    <w:rsid w:val="009B1B5F"/>
    <w:rsid w:val="009B6673"/>
    <w:rsid w:val="009C191B"/>
    <w:rsid w:val="009C2BD6"/>
    <w:rsid w:val="009D2F52"/>
    <w:rsid w:val="009E16D2"/>
    <w:rsid w:val="009E1F32"/>
    <w:rsid w:val="009E776C"/>
    <w:rsid w:val="00A00672"/>
    <w:rsid w:val="00A132AD"/>
    <w:rsid w:val="00A1726E"/>
    <w:rsid w:val="00A204CF"/>
    <w:rsid w:val="00A21624"/>
    <w:rsid w:val="00A23D49"/>
    <w:rsid w:val="00A264F3"/>
    <w:rsid w:val="00A27004"/>
    <w:rsid w:val="00A30C29"/>
    <w:rsid w:val="00A34DD6"/>
    <w:rsid w:val="00A36819"/>
    <w:rsid w:val="00A36989"/>
    <w:rsid w:val="00A40733"/>
    <w:rsid w:val="00A43628"/>
    <w:rsid w:val="00A436B2"/>
    <w:rsid w:val="00A43AA3"/>
    <w:rsid w:val="00A455EB"/>
    <w:rsid w:val="00A4783F"/>
    <w:rsid w:val="00A54192"/>
    <w:rsid w:val="00A6035E"/>
    <w:rsid w:val="00A6144C"/>
    <w:rsid w:val="00A66617"/>
    <w:rsid w:val="00A671F8"/>
    <w:rsid w:val="00A673A4"/>
    <w:rsid w:val="00A724AE"/>
    <w:rsid w:val="00A73329"/>
    <w:rsid w:val="00A75785"/>
    <w:rsid w:val="00A8094B"/>
    <w:rsid w:val="00A82359"/>
    <w:rsid w:val="00A865D2"/>
    <w:rsid w:val="00A87E82"/>
    <w:rsid w:val="00A94C20"/>
    <w:rsid w:val="00A976AC"/>
    <w:rsid w:val="00AA227F"/>
    <w:rsid w:val="00AA3BC7"/>
    <w:rsid w:val="00AA754A"/>
    <w:rsid w:val="00AB099E"/>
    <w:rsid w:val="00AB4328"/>
    <w:rsid w:val="00AB5628"/>
    <w:rsid w:val="00AC00C2"/>
    <w:rsid w:val="00AC5872"/>
    <w:rsid w:val="00AD2473"/>
    <w:rsid w:val="00AE0A2E"/>
    <w:rsid w:val="00AE354C"/>
    <w:rsid w:val="00AF2E73"/>
    <w:rsid w:val="00AF4B07"/>
    <w:rsid w:val="00AF6186"/>
    <w:rsid w:val="00AF7A3A"/>
    <w:rsid w:val="00B009F4"/>
    <w:rsid w:val="00B160DB"/>
    <w:rsid w:val="00B20836"/>
    <w:rsid w:val="00B235BB"/>
    <w:rsid w:val="00B25320"/>
    <w:rsid w:val="00B25943"/>
    <w:rsid w:val="00B25D3B"/>
    <w:rsid w:val="00B27A44"/>
    <w:rsid w:val="00B27B81"/>
    <w:rsid w:val="00B30BBF"/>
    <w:rsid w:val="00B33C03"/>
    <w:rsid w:val="00B44E56"/>
    <w:rsid w:val="00B45DBD"/>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1AB5"/>
    <w:rsid w:val="00BB345F"/>
    <w:rsid w:val="00BB5CA3"/>
    <w:rsid w:val="00BB68EA"/>
    <w:rsid w:val="00BC0FD8"/>
    <w:rsid w:val="00BC1C27"/>
    <w:rsid w:val="00BC1F03"/>
    <w:rsid w:val="00BC4A35"/>
    <w:rsid w:val="00BC6BBF"/>
    <w:rsid w:val="00BD1572"/>
    <w:rsid w:val="00BE14E3"/>
    <w:rsid w:val="00BE3774"/>
    <w:rsid w:val="00BE41E5"/>
    <w:rsid w:val="00BE4656"/>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39FE"/>
    <w:rsid w:val="00CA4BDA"/>
    <w:rsid w:val="00CA7C61"/>
    <w:rsid w:val="00CB1F66"/>
    <w:rsid w:val="00CB2951"/>
    <w:rsid w:val="00CB6778"/>
    <w:rsid w:val="00CC63E0"/>
    <w:rsid w:val="00CD282B"/>
    <w:rsid w:val="00CD4C35"/>
    <w:rsid w:val="00CD7369"/>
    <w:rsid w:val="00CE0B0E"/>
    <w:rsid w:val="00CE3831"/>
    <w:rsid w:val="00D00ABB"/>
    <w:rsid w:val="00D02781"/>
    <w:rsid w:val="00D02EEC"/>
    <w:rsid w:val="00D03551"/>
    <w:rsid w:val="00D06221"/>
    <w:rsid w:val="00D06A63"/>
    <w:rsid w:val="00D07E0E"/>
    <w:rsid w:val="00D11478"/>
    <w:rsid w:val="00D1567A"/>
    <w:rsid w:val="00D15ED0"/>
    <w:rsid w:val="00D21B3E"/>
    <w:rsid w:val="00D21C26"/>
    <w:rsid w:val="00D21FED"/>
    <w:rsid w:val="00D24251"/>
    <w:rsid w:val="00D343E2"/>
    <w:rsid w:val="00D361A2"/>
    <w:rsid w:val="00D44C2E"/>
    <w:rsid w:val="00D45414"/>
    <w:rsid w:val="00D52F0E"/>
    <w:rsid w:val="00D54FF1"/>
    <w:rsid w:val="00D55E2C"/>
    <w:rsid w:val="00D566BD"/>
    <w:rsid w:val="00D57A4D"/>
    <w:rsid w:val="00D60AA7"/>
    <w:rsid w:val="00D6181D"/>
    <w:rsid w:val="00D62A67"/>
    <w:rsid w:val="00D6435F"/>
    <w:rsid w:val="00D75E28"/>
    <w:rsid w:val="00D772C2"/>
    <w:rsid w:val="00D8008E"/>
    <w:rsid w:val="00D82C45"/>
    <w:rsid w:val="00D908A8"/>
    <w:rsid w:val="00D977B6"/>
    <w:rsid w:val="00DA3634"/>
    <w:rsid w:val="00DA4A31"/>
    <w:rsid w:val="00DA6BA1"/>
    <w:rsid w:val="00DA7B04"/>
    <w:rsid w:val="00DB36C2"/>
    <w:rsid w:val="00DB5CBD"/>
    <w:rsid w:val="00DC169B"/>
    <w:rsid w:val="00DC2AB9"/>
    <w:rsid w:val="00DC63F0"/>
    <w:rsid w:val="00DD5382"/>
    <w:rsid w:val="00DD6EE5"/>
    <w:rsid w:val="00DE2362"/>
    <w:rsid w:val="00DE386C"/>
    <w:rsid w:val="00DE4D35"/>
    <w:rsid w:val="00DF098B"/>
    <w:rsid w:val="00DF11C4"/>
    <w:rsid w:val="00DF210C"/>
    <w:rsid w:val="00DF4B6A"/>
    <w:rsid w:val="00E01A83"/>
    <w:rsid w:val="00E02C09"/>
    <w:rsid w:val="00E04D59"/>
    <w:rsid w:val="00E07DA1"/>
    <w:rsid w:val="00E123CB"/>
    <w:rsid w:val="00E20E13"/>
    <w:rsid w:val="00E21DBC"/>
    <w:rsid w:val="00E21F88"/>
    <w:rsid w:val="00E25724"/>
    <w:rsid w:val="00E275D7"/>
    <w:rsid w:val="00E27DBE"/>
    <w:rsid w:val="00E32AB1"/>
    <w:rsid w:val="00E36C71"/>
    <w:rsid w:val="00E40404"/>
    <w:rsid w:val="00E459C6"/>
    <w:rsid w:val="00E47589"/>
    <w:rsid w:val="00E55CE1"/>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EF5ECF"/>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56A6F"/>
    <w:rsid w:val="00F5709C"/>
    <w:rsid w:val="00F626DA"/>
    <w:rsid w:val="00F64EF1"/>
    <w:rsid w:val="00F6521C"/>
    <w:rsid w:val="00F659F3"/>
    <w:rsid w:val="00F83589"/>
    <w:rsid w:val="00F8765F"/>
    <w:rsid w:val="00F90767"/>
    <w:rsid w:val="00F912E4"/>
    <w:rsid w:val="00F937CB"/>
    <w:rsid w:val="00F94531"/>
    <w:rsid w:val="00F9588E"/>
    <w:rsid w:val="00FA1628"/>
    <w:rsid w:val="00FA685B"/>
    <w:rsid w:val="00FA6B7B"/>
    <w:rsid w:val="00FB0C01"/>
    <w:rsid w:val="00FC04E5"/>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456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794E99"/>
    <w:rPr>
      <w:sz w:val="24"/>
      <w:szCs w:val="24"/>
    </w:rPr>
  </w:style>
  <w:style w:type="paragraph" w:styleId="Heading1">
    <w:name w:val="heading 1"/>
    <w:basedOn w:val="Normal"/>
    <w:next w:val="Normal"/>
    <w:link w:val="Heading1Char"/>
    <w:uiPriority w:val="98"/>
    <w:rsid w:val="00794E99"/>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794E99"/>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794E99"/>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794E99"/>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794E99"/>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794E99"/>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794E99"/>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794E99"/>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794E99"/>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794E99"/>
    <w:rPr>
      <w:rFonts w:ascii="Tahoma" w:hAnsi="Tahoma" w:cs="Tahoma"/>
      <w:sz w:val="16"/>
      <w:szCs w:val="16"/>
    </w:rPr>
  </w:style>
  <w:style w:type="character" w:customStyle="1" w:styleId="BalloonTextChar">
    <w:name w:val="Balloon Text Char"/>
    <w:basedOn w:val="DefaultParagraphFont"/>
    <w:link w:val="BalloonText"/>
    <w:uiPriority w:val="98"/>
    <w:semiHidden/>
    <w:rsid w:val="00794E99"/>
    <w:rPr>
      <w:rFonts w:ascii="Tahoma" w:hAnsi="Tahoma" w:cs="Tahoma"/>
      <w:sz w:val="16"/>
      <w:szCs w:val="16"/>
      <w:lang w:val="ro-RO"/>
    </w:rPr>
  </w:style>
  <w:style w:type="character" w:styleId="BookTitle">
    <w:name w:val="Book Title"/>
    <w:uiPriority w:val="98"/>
    <w:qFormat/>
    <w:rsid w:val="00794E99"/>
    <w:rPr>
      <w:i/>
      <w:iCs/>
      <w:smallCaps/>
      <w:spacing w:val="5"/>
    </w:rPr>
  </w:style>
  <w:style w:type="paragraph" w:customStyle="1" w:styleId="JuHeader">
    <w:name w:val="Ju_Header"/>
    <w:aliases w:val="_Header"/>
    <w:basedOn w:val="Header"/>
    <w:uiPriority w:val="29"/>
    <w:qFormat/>
    <w:rsid w:val="00794E99"/>
    <w:pPr>
      <w:tabs>
        <w:tab w:val="clear" w:pos="4536"/>
        <w:tab w:val="clear" w:pos="9072"/>
      </w:tabs>
      <w:jc w:val="center"/>
    </w:pPr>
    <w:rPr>
      <w:sz w:val="18"/>
    </w:rPr>
  </w:style>
  <w:style w:type="paragraph" w:customStyle="1" w:styleId="DummyStyle">
    <w:name w:val="Dummy_Style"/>
    <w:aliases w:val="_Dummy"/>
    <w:basedOn w:val="Normal"/>
    <w:semiHidden/>
    <w:qFormat/>
    <w:rsid w:val="00794E99"/>
    <w:rPr>
      <w:color w:val="00B050"/>
      <w:sz w:val="22"/>
    </w:rPr>
  </w:style>
  <w:style w:type="character" w:styleId="Strong">
    <w:name w:val="Strong"/>
    <w:uiPriority w:val="98"/>
    <w:qFormat/>
    <w:rsid w:val="00794E99"/>
    <w:rPr>
      <w:b/>
      <w:bCs/>
    </w:rPr>
  </w:style>
  <w:style w:type="paragraph" w:styleId="NoSpacing">
    <w:name w:val="No Spacing"/>
    <w:basedOn w:val="Normal"/>
    <w:link w:val="NoSpacingChar"/>
    <w:uiPriority w:val="98"/>
    <w:qFormat/>
    <w:rsid w:val="00794E99"/>
  </w:style>
  <w:style w:type="character" w:customStyle="1" w:styleId="NoSpacingChar">
    <w:name w:val="No Spacing Char"/>
    <w:basedOn w:val="DefaultParagraphFont"/>
    <w:link w:val="NoSpacing"/>
    <w:uiPriority w:val="98"/>
    <w:rsid w:val="00794E99"/>
    <w:rPr>
      <w:sz w:val="24"/>
      <w:szCs w:val="24"/>
      <w:lang w:val="ro-RO"/>
    </w:rPr>
  </w:style>
  <w:style w:type="paragraph" w:customStyle="1" w:styleId="JuQuot">
    <w:name w:val="Ju_Quot"/>
    <w:aliases w:val="_Quote"/>
    <w:basedOn w:val="NormalJustified"/>
    <w:uiPriority w:val="20"/>
    <w:qFormat/>
    <w:rsid w:val="00794E99"/>
    <w:pPr>
      <w:spacing w:before="120" w:after="120"/>
      <w:ind w:left="425" w:firstLine="142"/>
    </w:pPr>
    <w:rPr>
      <w:sz w:val="20"/>
    </w:rPr>
  </w:style>
  <w:style w:type="paragraph" w:customStyle="1" w:styleId="JuList">
    <w:name w:val="Ju_List"/>
    <w:aliases w:val="_List_1"/>
    <w:basedOn w:val="NormalJustified"/>
    <w:uiPriority w:val="23"/>
    <w:qFormat/>
    <w:rsid w:val="00794E99"/>
    <w:pPr>
      <w:numPr>
        <w:numId w:val="10"/>
      </w:numPr>
      <w:spacing w:before="280" w:after="60"/>
    </w:pPr>
  </w:style>
  <w:style w:type="paragraph" w:customStyle="1" w:styleId="JuLista">
    <w:name w:val="Ju_List_a"/>
    <w:aliases w:val="_List_2"/>
    <w:basedOn w:val="NormalJustified"/>
    <w:uiPriority w:val="23"/>
    <w:rsid w:val="00794E99"/>
    <w:pPr>
      <w:numPr>
        <w:ilvl w:val="1"/>
        <w:numId w:val="10"/>
      </w:numPr>
    </w:pPr>
  </w:style>
  <w:style w:type="paragraph" w:customStyle="1" w:styleId="JuListi">
    <w:name w:val="Ju_List_i"/>
    <w:aliases w:val="_List_3"/>
    <w:basedOn w:val="NormalJustified"/>
    <w:uiPriority w:val="23"/>
    <w:rsid w:val="00794E99"/>
    <w:pPr>
      <w:numPr>
        <w:ilvl w:val="2"/>
        <w:numId w:val="10"/>
      </w:numPr>
    </w:pPr>
  </w:style>
  <w:style w:type="paragraph" w:customStyle="1" w:styleId="DecHTitle">
    <w:name w:val="Dec_H_Title"/>
    <w:aliases w:val="_Title_1"/>
    <w:basedOn w:val="JuPara"/>
    <w:next w:val="JuPara"/>
    <w:uiPriority w:val="38"/>
    <w:qFormat/>
    <w:rsid w:val="00794E99"/>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794E99"/>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794E99"/>
    <w:pPr>
      <w:keepNext/>
      <w:keepLines/>
      <w:tabs>
        <w:tab w:val="right" w:pos="7938"/>
      </w:tabs>
      <w:ind w:firstLine="0"/>
      <w:jc w:val="center"/>
    </w:pPr>
    <w:rPr>
      <w:i/>
    </w:rPr>
  </w:style>
  <w:style w:type="numbering" w:customStyle="1" w:styleId="ECHRA1StyleBulletedSquare">
    <w:name w:val="ECHR_A1_Style_Bulleted_Square"/>
    <w:basedOn w:val="NoList"/>
    <w:rsid w:val="00794E99"/>
    <w:pPr>
      <w:numPr>
        <w:numId w:val="4"/>
      </w:numPr>
    </w:pPr>
  </w:style>
  <w:style w:type="paragraph" w:customStyle="1" w:styleId="JuHHead">
    <w:name w:val="Ju_H_Head"/>
    <w:aliases w:val="_Head_1"/>
    <w:basedOn w:val="Heading1"/>
    <w:next w:val="JuPara"/>
    <w:uiPriority w:val="17"/>
    <w:qFormat/>
    <w:rsid w:val="00794E99"/>
    <w:pPr>
      <w:keepNext/>
      <w:keepLines/>
      <w:numPr>
        <w:numId w:val="9"/>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794E99"/>
    <w:pPr>
      <w:numPr>
        <w:numId w:val="5"/>
      </w:numPr>
    </w:pPr>
  </w:style>
  <w:style w:type="paragraph" w:customStyle="1" w:styleId="JuSigned">
    <w:name w:val="Ju_Signed"/>
    <w:aliases w:val="_Signature"/>
    <w:basedOn w:val="Normal"/>
    <w:next w:val="JuPara"/>
    <w:uiPriority w:val="31"/>
    <w:qFormat/>
    <w:rsid w:val="00794E99"/>
    <w:pPr>
      <w:tabs>
        <w:tab w:val="center" w:pos="1418"/>
        <w:tab w:val="center" w:pos="5954"/>
      </w:tabs>
      <w:spacing w:before="720"/>
    </w:pPr>
  </w:style>
  <w:style w:type="paragraph" w:styleId="Title">
    <w:name w:val="Title"/>
    <w:basedOn w:val="Normal"/>
    <w:next w:val="Normal"/>
    <w:link w:val="TitleChar"/>
    <w:uiPriority w:val="98"/>
    <w:qFormat/>
    <w:rsid w:val="00794E9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794E99"/>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794E99"/>
    <w:pPr>
      <w:numPr>
        <w:numId w:val="6"/>
      </w:numPr>
    </w:pPr>
  </w:style>
  <w:style w:type="table" w:customStyle="1" w:styleId="ECHRTable2019">
    <w:name w:val="ECHR_Table_2019"/>
    <w:basedOn w:val="TableNormal"/>
    <w:uiPriority w:val="99"/>
    <w:rsid w:val="00794E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794E99"/>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794E99"/>
    <w:pPr>
      <w:tabs>
        <w:tab w:val="center" w:pos="6407"/>
      </w:tabs>
      <w:spacing w:before="720"/>
      <w:jc w:val="right"/>
    </w:pPr>
  </w:style>
  <w:style w:type="paragraph" w:customStyle="1" w:styleId="JuHIRoman">
    <w:name w:val="Ju_H_I_Roman"/>
    <w:aliases w:val="_Head_2"/>
    <w:basedOn w:val="Heading2"/>
    <w:next w:val="JuPara"/>
    <w:uiPriority w:val="17"/>
    <w:qFormat/>
    <w:rsid w:val="00794E99"/>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794E99"/>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794E99"/>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794E99"/>
    <w:pPr>
      <w:tabs>
        <w:tab w:val="center" w:pos="4536"/>
        <w:tab w:val="right" w:pos="9072"/>
      </w:tabs>
    </w:pPr>
  </w:style>
  <w:style w:type="character" w:customStyle="1" w:styleId="HeaderChar">
    <w:name w:val="Header Char"/>
    <w:basedOn w:val="DefaultParagraphFont"/>
    <w:link w:val="Header"/>
    <w:uiPriority w:val="98"/>
    <w:semiHidden/>
    <w:rsid w:val="00794E99"/>
    <w:rPr>
      <w:sz w:val="24"/>
      <w:szCs w:val="24"/>
      <w:lang w:val="ro-RO"/>
    </w:rPr>
  </w:style>
  <w:style w:type="character" w:customStyle="1" w:styleId="Heading1Char">
    <w:name w:val="Heading 1 Char"/>
    <w:basedOn w:val="DefaultParagraphFont"/>
    <w:link w:val="Heading1"/>
    <w:uiPriority w:val="98"/>
    <w:rsid w:val="00794E99"/>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794E99"/>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794E99"/>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794E99"/>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794E99"/>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794E99"/>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794E99"/>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794E99"/>
    <w:pPr>
      <w:keepNext/>
      <w:keepLines/>
      <w:spacing w:before="240" w:after="240"/>
      <w:ind w:firstLine="284"/>
    </w:pPr>
  </w:style>
  <w:style w:type="paragraph" w:customStyle="1" w:styleId="JuJudges">
    <w:name w:val="Ju_Judges"/>
    <w:aliases w:val="_Judges"/>
    <w:basedOn w:val="Normal"/>
    <w:uiPriority w:val="32"/>
    <w:qFormat/>
    <w:rsid w:val="00794E99"/>
    <w:pPr>
      <w:tabs>
        <w:tab w:val="left" w:pos="567"/>
        <w:tab w:val="left" w:pos="1134"/>
      </w:tabs>
    </w:pPr>
  </w:style>
  <w:style w:type="character" w:customStyle="1" w:styleId="Heading4Char">
    <w:name w:val="Heading 4 Char"/>
    <w:basedOn w:val="DefaultParagraphFont"/>
    <w:link w:val="Heading4"/>
    <w:uiPriority w:val="98"/>
    <w:semiHidden/>
    <w:rsid w:val="00794E99"/>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794E99"/>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794E99"/>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794E99"/>
    <w:rPr>
      <w:caps w:val="0"/>
      <w:smallCaps/>
    </w:rPr>
  </w:style>
  <w:style w:type="paragraph" w:customStyle="1" w:styleId="NormalJustified">
    <w:name w:val="Normal_Justified"/>
    <w:basedOn w:val="Normal"/>
    <w:semiHidden/>
    <w:rsid w:val="00794E99"/>
    <w:pPr>
      <w:jc w:val="both"/>
    </w:pPr>
  </w:style>
  <w:style w:type="character" w:styleId="SubtleEmphasis">
    <w:name w:val="Subtle Emphasis"/>
    <w:uiPriority w:val="98"/>
    <w:qFormat/>
    <w:rsid w:val="00794E99"/>
    <w:rPr>
      <w:i/>
      <w:iCs/>
    </w:rPr>
  </w:style>
  <w:style w:type="table" w:customStyle="1" w:styleId="ECHRTable">
    <w:name w:val="ECHR_Table"/>
    <w:basedOn w:val="TableNormal"/>
    <w:rsid w:val="00794E99"/>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794E99"/>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qFormat/>
    <w:rsid w:val="00794E99"/>
    <w:rPr>
      <w:b/>
      <w:bCs/>
      <w:i/>
      <w:iCs/>
      <w:spacing w:val="10"/>
      <w:bdr w:val="none" w:sz="0" w:space="0" w:color="auto"/>
      <w:shd w:val="clear" w:color="auto" w:fill="auto"/>
    </w:rPr>
  </w:style>
  <w:style w:type="paragraph" w:styleId="Footer0">
    <w:name w:val="footer"/>
    <w:basedOn w:val="Normal"/>
    <w:link w:val="FooterChar"/>
    <w:uiPriority w:val="98"/>
    <w:semiHidden/>
    <w:rsid w:val="00794E99"/>
    <w:pPr>
      <w:tabs>
        <w:tab w:val="center" w:pos="3686"/>
        <w:tab w:val="right" w:pos="7371"/>
      </w:tabs>
    </w:pPr>
  </w:style>
  <w:style w:type="character" w:customStyle="1" w:styleId="FooterChar">
    <w:name w:val="Footer Char"/>
    <w:basedOn w:val="DefaultParagraphFont"/>
    <w:link w:val="Footer0"/>
    <w:uiPriority w:val="98"/>
    <w:semiHidden/>
    <w:rsid w:val="00794E99"/>
    <w:rPr>
      <w:sz w:val="24"/>
      <w:szCs w:val="24"/>
      <w:lang w:val="ro-RO"/>
    </w:rPr>
  </w:style>
  <w:style w:type="character" w:styleId="FootnoteReference">
    <w:name w:val="footnote reference"/>
    <w:basedOn w:val="DefaultParagraphFont"/>
    <w:uiPriority w:val="98"/>
    <w:semiHidden/>
    <w:rsid w:val="00794E99"/>
    <w:rPr>
      <w:vertAlign w:val="superscript"/>
    </w:rPr>
  </w:style>
  <w:style w:type="paragraph" w:styleId="FootnoteText">
    <w:name w:val="footnote text"/>
    <w:basedOn w:val="Normal"/>
    <w:link w:val="FootnoteTextChar"/>
    <w:uiPriority w:val="98"/>
    <w:semiHidden/>
    <w:rsid w:val="00794E99"/>
    <w:rPr>
      <w:sz w:val="20"/>
      <w:szCs w:val="20"/>
    </w:rPr>
  </w:style>
  <w:style w:type="character" w:customStyle="1" w:styleId="FootnoteTextChar">
    <w:name w:val="Footnote Text Char"/>
    <w:basedOn w:val="DefaultParagraphFont"/>
    <w:link w:val="FootnoteText"/>
    <w:uiPriority w:val="98"/>
    <w:semiHidden/>
    <w:rsid w:val="00794E99"/>
    <w:rPr>
      <w:sz w:val="20"/>
      <w:szCs w:val="20"/>
      <w:lang w:val="ro-RO"/>
    </w:rPr>
  </w:style>
  <w:style w:type="character" w:customStyle="1" w:styleId="Heading6Char">
    <w:name w:val="Heading 6 Char"/>
    <w:basedOn w:val="DefaultParagraphFont"/>
    <w:link w:val="Heading6"/>
    <w:uiPriority w:val="98"/>
    <w:semiHidden/>
    <w:rsid w:val="00794E99"/>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794E99"/>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794E99"/>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794E99"/>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794E99"/>
    <w:rPr>
      <w:color w:val="0072BC" w:themeColor="hyperlink"/>
      <w:u w:val="single"/>
    </w:rPr>
  </w:style>
  <w:style w:type="character" w:styleId="IntenseEmphasis">
    <w:name w:val="Intense Emphasis"/>
    <w:uiPriority w:val="98"/>
    <w:qFormat/>
    <w:rsid w:val="00794E99"/>
    <w:rPr>
      <w:b/>
      <w:bCs/>
    </w:rPr>
  </w:style>
  <w:style w:type="paragraph" w:styleId="IntenseQuote">
    <w:name w:val="Intense Quote"/>
    <w:basedOn w:val="Normal"/>
    <w:next w:val="Normal"/>
    <w:link w:val="IntenseQuoteChar"/>
    <w:uiPriority w:val="98"/>
    <w:qFormat/>
    <w:rsid w:val="00794E99"/>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794E99"/>
    <w:rPr>
      <w:b/>
      <w:bCs/>
      <w:i/>
      <w:iCs/>
      <w:sz w:val="24"/>
      <w:szCs w:val="24"/>
      <w:lang w:val="ro-RO" w:bidi="en-US"/>
    </w:rPr>
  </w:style>
  <w:style w:type="character" w:styleId="IntenseReference">
    <w:name w:val="Intense Reference"/>
    <w:uiPriority w:val="98"/>
    <w:qFormat/>
    <w:rsid w:val="00794E99"/>
    <w:rPr>
      <w:smallCaps/>
      <w:spacing w:val="5"/>
      <w:u w:val="single"/>
    </w:rPr>
  </w:style>
  <w:style w:type="paragraph" w:styleId="ListParagraph">
    <w:name w:val="List Paragraph"/>
    <w:basedOn w:val="Normal"/>
    <w:uiPriority w:val="98"/>
    <w:qFormat/>
    <w:rsid w:val="00794E99"/>
    <w:pPr>
      <w:ind w:left="720"/>
      <w:contextualSpacing/>
    </w:pPr>
  </w:style>
  <w:style w:type="table" w:customStyle="1" w:styleId="LtrTableAddress">
    <w:name w:val="Ltr_Table_Address"/>
    <w:aliases w:val="ECHR_Ltr_Table_Address"/>
    <w:basedOn w:val="TableNormal"/>
    <w:uiPriority w:val="99"/>
    <w:rsid w:val="00794E99"/>
    <w:rPr>
      <w:sz w:val="24"/>
      <w:szCs w:val="24"/>
    </w:rPr>
    <w:tblPr>
      <w:tblInd w:w="5103" w:type="dxa"/>
    </w:tblPr>
  </w:style>
  <w:style w:type="paragraph" w:styleId="Quote">
    <w:name w:val="Quote"/>
    <w:basedOn w:val="Normal"/>
    <w:next w:val="Normal"/>
    <w:link w:val="QuoteChar"/>
    <w:uiPriority w:val="98"/>
    <w:qFormat/>
    <w:rsid w:val="00794E99"/>
    <w:pPr>
      <w:spacing w:before="200"/>
      <w:ind w:left="360" w:right="360"/>
    </w:pPr>
    <w:rPr>
      <w:i/>
      <w:iCs/>
      <w:lang w:bidi="en-US"/>
    </w:rPr>
  </w:style>
  <w:style w:type="character" w:customStyle="1" w:styleId="QuoteChar">
    <w:name w:val="Quote Char"/>
    <w:basedOn w:val="DefaultParagraphFont"/>
    <w:link w:val="Quote"/>
    <w:uiPriority w:val="98"/>
    <w:rsid w:val="00794E99"/>
    <w:rPr>
      <w:i/>
      <w:iCs/>
      <w:sz w:val="24"/>
      <w:szCs w:val="24"/>
      <w:lang w:val="ro-RO" w:bidi="en-US"/>
    </w:rPr>
  </w:style>
  <w:style w:type="character" w:styleId="SubtleReference">
    <w:name w:val="Subtle Reference"/>
    <w:uiPriority w:val="98"/>
    <w:qFormat/>
    <w:rsid w:val="00794E99"/>
    <w:rPr>
      <w:smallCaps/>
    </w:rPr>
  </w:style>
  <w:style w:type="table" w:styleId="TableGrid">
    <w:name w:val="Table Grid"/>
    <w:basedOn w:val="TableNormal"/>
    <w:uiPriority w:val="59"/>
    <w:rsid w:val="00794E9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794E99"/>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794E99"/>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794E99"/>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794E99"/>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794E99"/>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794E99"/>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794E99"/>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794E99"/>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794E99"/>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794E99"/>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794E99"/>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794E99"/>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794E99"/>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qFormat/>
    <w:rsid w:val="00794E99"/>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794E99"/>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794E99"/>
    <w:pPr>
      <w:numPr>
        <w:numId w:val="1"/>
      </w:numPr>
    </w:pPr>
  </w:style>
  <w:style w:type="paragraph" w:customStyle="1" w:styleId="JuPara">
    <w:name w:val="Ju_Para"/>
    <w:aliases w:val="_Para"/>
    <w:basedOn w:val="NormalJustified"/>
    <w:link w:val="JuParaChar"/>
    <w:uiPriority w:val="4"/>
    <w:qFormat/>
    <w:rsid w:val="00794E99"/>
    <w:pPr>
      <w:ind w:firstLine="284"/>
    </w:pPr>
  </w:style>
  <w:style w:type="numbering" w:styleId="1ai">
    <w:name w:val="Outline List 1"/>
    <w:basedOn w:val="NoList"/>
    <w:uiPriority w:val="99"/>
    <w:semiHidden/>
    <w:unhideWhenUsed/>
    <w:rsid w:val="00794E99"/>
    <w:pPr>
      <w:numPr>
        <w:numId w:val="2"/>
      </w:numPr>
    </w:pPr>
  </w:style>
  <w:style w:type="table" w:customStyle="1" w:styleId="ECHRTableSimpleBox">
    <w:name w:val="ECHR_Table_Simple_Box"/>
    <w:basedOn w:val="TableNormal"/>
    <w:uiPriority w:val="99"/>
    <w:rsid w:val="00794E99"/>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794E99"/>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794E99"/>
    <w:pPr>
      <w:numPr>
        <w:numId w:val="3"/>
      </w:numPr>
    </w:pPr>
  </w:style>
  <w:style w:type="table" w:customStyle="1" w:styleId="ECHRTableForInternalUse">
    <w:name w:val="ECHR_Table_For_Internal_Use"/>
    <w:basedOn w:val="TableNormal"/>
    <w:uiPriority w:val="99"/>
    <w:rsid w:val="00794E99"/>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794E99"/>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794E99"/>
  </w:style>
  <w:style w:type="paragraph" w:styleId="BlockText">
    <w:name w:val="Block Text"/>
    <w:basedOn w:val="Normal"/>
    <w:uiPriority w:val="98"/>
    <w:semiHidden/>
    <w:rsid w:val="00794E99"/>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794E99"/>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794E99"/>
    <w:pPr>
      <w:spacing w:after="120"/>
    </w:pPr>
  </w:style>
  <w:style w:type="character" w:customStyle="1" w:styleId="BodyTextChar">
    <w:name w:val="Body Text Char"/>
    <w:basedOn w:val="DefaultParagraphFont"/>
    <w:link w:val="BodyText"/>
    <w:uiPriority w:val="98"/>
    <w:semiHidden/>
    <w:rsid w:val="00794E99"/>
    <w:rPr>
      <w:sz w:val="24"/>
      <w:szCs w:val="24"/>
      <w:lang w:val="ro-RO"/>
    </w:rPr>
  </w:style>
  <w:style w:type="table" w:customStyle="1" w:styleId="ECHRTableOddBanded">
    <w:name w:val="ECHR_Table_Odd_Banded"/>
    <w:basedOn w:val="TableNormal"/>
    <w:uiPriority w:val="99"/>
    <w:rsid w:val="00794E99"/>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794E99"/>
    <w:pPr>
      <w:spacing w:after="120" w:line="480" w:lineRule="auto"/>
    </w:pPr>
  </w:style>
  <w:style w:type="table" w:customStyle="1" w:styleId="ECHRHeaderTableReduced">
    <w:name w:val="ECHR_Header_Table_Reduced"/>
    <w:basedOn w:val="TableNormal"/>
    <w:uiPriority w:val="99"/>
    <w:rsid w:val="00794E99"/>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794E99"/>
    <w:pPr>
      <w:ind w:firstLine="284"/>
      <w:jc w:val="both"/>
    </w:pPr>
    <w:rPr>
      <w:b/>
    </w:rPr>
  </w:style>
  <w:style w:type="character" w:styleId="PageNumber">
    <w:name w:val="page number"/>
    <w:uiPriority w:val="98"/>
    <w:semiHidden/>
    <w:rsid w:val="00794E99"/>
    <w:rPr>
      <w:sz w:val="18"/>
    </w:rPr>
  </w:style>
  <w:style w:type="paragraph" w:styleId="ListBullet2">
    <w:name w:val="List Bullet 2"/>
    <w:basedOn w:val="Normal"/>
    <w:uiPriority w:val="98"/>
    <w:semiHidden/>
    <w:rsid w:val="00794E99"/>
    <w:pPr>
      <w:numPr>
        <w:numId w:val="12"/>
      </w:numPr>
      <w:contextualSpacing/>
    </w:pPr>
  </w:style>
  <w:style w:type="character" w:customStyle="1" w:styleId="BodyText2Char">
    <w:name w:val="Body Text 2 Char"/>
    <w:basedOn w:val="DefaultParagraphFont"/>
    <w:link w:val="BodyText2"/>
    <w:uiPriority w:val="98"/>
    <w:semiHidden/>
    <w:rsid w:val="00794E99"/>
    <w:rPr>
      <w:sz w:val="24"/>
      <w:szCs w:val="24"/>
      <w:lang w:val="ro-RO"/>
    </w:rPr>
  </w:style>
  <w:style w:type="paragraph" w:styleId="BodyText3">
    <w:name w:val="Body Text 3"/>
    <w:basedOn w:val="Normal"/>
    <w:link w:val="BodyText3Char"/>
    <w:uiPriority w:val="98"/>
    <w:semiHidden/>
    <w:rsid w:val="00794E99"/>
    <w:pPr>
      <w:spacing w:after="120"/>
    </w:pPr>
    <w:rPr>
      <w:sz w:val="16"/>
      <w:szCs w:val="16"/>
    </w:rPr>
  </w:style>
  <w:style w:type="character" w:customStyle="1" w:styleId="BodyText3Char">
    <w:name w:val="Body Text 3 Char"/>
    <w:basedOn w:val="DefaultParagraphFont"/>
    <w:link w:val="BodyText3"/>
    <w:uiPriority w:val="98"/>
    <w:semiHidden/>
    <w:rsid w:val="00794E99"/>
    <w:rPr>
      <w:sz w:val="16"/>
      <w:szCs w:val="16"/>
      <w:lang w:val="ro-RO"/>
    </w:rPr>
  </w:style>
  <w:style w:type="paragraph" w:styleId="BodyTextFirstIndent">
    <w:name w:val="Body Text First Indent"/>
    <w:basedOn w:val="BodyText"/>
    <w:link w:val="BodyTextFirstIndentChar"/>
    <w:uiPriority w:val="98"/>
    <w:semiHidden/>
    <w:rsid w:val="00794E99"/>
    <w:pPr>
      <w:spacing w:after="0"/>
      <w:ind w:firstLine="360"/>
    </w:pPr>
  </w:style>
  <w:style w:type="character" w:customStyle="1" w:styleId="BodyTextFirstIndentChar">
    <w:name w:val="Body Text First Indent Char"/>
    <w:basedOn w:val="BodyTextChar"/>
    <w:link w:val="BodyTextFirstIndent"/>
    <w:uiPriority w:val="98"/>
    <w:semiHidden/>
    <w:rsid w:val="00794E99"/>
    <w:rPr>
      <w:sz w:val="24"/>
      <w:szCs w:val="24"/>
      <w:lang w:val="ro-RO"/>
    </w:rPr>
  </w:style>
  <w:style w:type="paragraph" w:styleId="BodyTextIndent">
    <w:name w:val="Body Text Indent"/>
    <w:basedOn w:val="Normal"/>
    <w:link w:val="BodyTextIndentChar"/>
    <w:uiPriority w:val="98"/>
    <w:semiHidden/>
    <w:rsid w:val="00794E99"/>
    <w:pPr>
      <w:spacing w:after="120"/>
      <w:ind w:left="283"/>
    </w:pPr>
  </w:style>
  <w:style w:type="character" w:customStyle="1" w:styleId="BodyTextIndentChar">
    <w:name w:val="Body Text Indent Char"/>
    <w:basedOn w:val="DefaultParagraphFont"/>
    <w:link w:val="BodyTextIndent"/>
    <w:uiPriority w:val="98"/>
    <w:semiHidden/>
    <w:rsid w:val="00794E99"/>
    <w:rPr>
      <w:sz w:val="24"/>
      <w:szCs w:val="24"/>
      <w:lang w:val="ro-RO"/>
    </w:rPr>
  </w:style>
  <w:style w:type="paragraph" w:styleId="BodyTextFirstIndent2">
    <w:name w:val="Body Text First Indent 2"/>
    <w:basedOn w:val="BodyTextIndent"/>
    <w:link w:val="BodyTextFirstIndent2Char"/>
    <w:uiPriority w:val="98"/>
    <w:semiHidden/>
    <w:rsid w:val="00794E99"/>
    <w:pPr>
      <w:spacing w:after="0"/>
      <w:ind w:left="360" w:firstLine="360"/>
    </w:pPr>
  </w:style>
  <w:style w:type="character" w:customStyle="1" w:styleId="BodyTextFirstIndent2Char">
    <w:name w:val="Body Text First Indent 2 Char"/>
    <w:basedOn w:val="BodyTextIndentChar"/>
    <w:link w:val="BodyTextFirstIndent2"/>
    <w:uiPriority w:val="98"/>
    <w:semiHidden/>
    <w:rsid w:val="00794E99"/>
    <w:rPr>
      <w:sz w:val="24"/>
      <w:szCs w:val="24"/>
      <w:lang w:val="ro-RO"/>
    </w:rPr>
  </w:style>
  <w:style w:type="paragraph" w:styleId="BodyTextIndent2">
    <w:name w:val="Body Text Indent 2"/>
    <w:basedOn w:val="Normal"/>
    <w:link w:val="BodyTextIndent2Char"/>
    <w:uiPriority w:val="98"/>
    <w:semiHidden/>
    <w:rsid w:val="00794E99"/>
    <w:pPr>
      <w:spacing w:after="120" w:line="480" w:lineRule="auto"/>
      <w:ind w:left="283"/>
    </w:pPr>
  </w:style>
  <w:style w:type="character" w:customStyle="1" w:styleId="BodyTextIndent2Char">
    <w:name w:val="Body Text Indent 2 Char"/>
    <w:basedOn w:val="DefaultParagraphFont"/>
    <w:link w:val="BodyTextIndent2"/>
    <w:uiPriority w:val="98"/>
    <w:semiHidden/>
    <w:rsid w:val="00794E99"/>
    <w:rPr>
      <w:sz w:val="24"/>
      <w:szCs w:val="24"/>
      <w:lang w:val="ro-RO"/>
    </w:rPr>
  </w:style>
  <w:style w:type="paragraph" w:styleId="BodyTextIndent3">
    <w:name w:val="Body Text Indent 3"/>
    <w:basedOn w:val="Normal"/>
    <w:link w:val="BodyTextIndent3Char"/>
    <w:uiPriority w:val="98"/>
    <w:semiHidden/>
    <w:rsid w:val="00794E99"/>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794E99"/>
    <w:rPr>
      <w:sz w:val="16"/>
      <w:szCs w:val="16"/>
      <w:lang w:val="ro-RO"/>
    </w:rPr>
  </w:style>
  <w:style w:type="paragraph" w:styleId="Caption">
    <w:name w:val="caption"/>
    <w:basedOn w:val="Normal"/>
    <w:next w:val="Normal"/>
    <w:uiPriority w:val="98"/>
    <w:semiHidden/>
    <w:qFormat/>
    <w:rsid w:val="00794E99"/>
    <w:pPr>
      <w:spacing w:after="200"/>
    </w:pPr>
    <w:rPr>
      <w:b/>
      <w:bCs/>
      <w:color w:val="0072BC" w:themeColor="accent1"/>
      <w:sz w:val="18"/>
      <w:szCs w:val="18"/>
    </w:rPr>
  </w:style>
  <w:style w:type="paragraph" w:styleId="Closing">
    <w:name w:val="Closing"/>
    <w:basedOn w:val="Normal"/>
    <w:link w:val="ClosingChar"/>
    <w:uiPriority w:val="98"/>
    <w:semiHidden/>
    <w:rsid w:val="00794E99"/>
    <w:pPr>
      <w:ind w:left="4252"/>
    </w:pPr>
  </w:style>
  <w:style w:type="character" w:customStyle="1" w:styleId="ClosingChar">
    <w:name w:val="Closing Char"/>
    <w:basedOn w:val="DefaultParagraphFont"/>
    <w:link w:val="Closing"/>
    <w:uiPriority w:val="98"/>
    <w:semiHidden/>
    <w:rsid w:val="00794E99"/>
    <w:rPr>
      <w:sz w:val="24"/>
      <w:szCs w:val="24"/>
      <w:lang w:val="ro-RO"/>
    </w:rPr>
  </w:style>
  <w:style w:type="table" w:styleId="ColorfulGrid">
    <w:name w:val="Colorful Grid"/>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794E99"/>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794E99"/>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794E99"/>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794E99"/>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794E99"/>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794E99"/>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794E99"/>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794E99"/>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794E99"/>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794E99"/>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794E99"/>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794E99"/>
    <w:rPr>
      <w:sz w:val="16"/>
      <w:szCs w:val="16"/>
    </w:rPr>
  </w:style>
  <w:style w:type="paragraph" w:styleId="CommentText">
    <w:name w:val="annotation text"/>
    <w:basedOn w:val="Normal"/>
    <w:link w:val="CommentTextChar"/>
    <w:uiPriority w:val="98"/>
    <w:semiHidden/>
    <w:rsid w:val="00794E99"/>
    <w:rPr>
      <w:sz w:val="20"/>
      <w:szCs w:val="20"/>
    </w:rPr>
  </w:style>
  <w:style w:type="character" w:customStyle="1" w:styleId="CommentTextChar">
    <w:name w:val="Comment Text Char"/>
    <w:basedOn w:val="DefaultParagraphFont"/>
    <w:link w:val="CommentText"/>
    <w:uiPriority w:val="98"/>
    <w:semiHidden/>
    <w:rsid w:val="00794E99"/>
    <w:rPr>
      <w:sz w:val="20"/>
      <w:szCs w:val="20"/>
      <w:lang w:val="ro-RO"/>
    </w:rPr>
  </w:style>
  <w:style w:type="paragraph" w:styleId="CommentSubject">
    <w:name w:val="annotation subject"/>
    <w:basedOn w:val="CommentText"/>
    <w:next w:val="CommentText"/>
    <w:link w:val="CommentSubjectChar"/>
    <w:uiPriority w:val="98"/>
    <w:semiHidden/>
    <w:rsid w:val="00794E99"/>
    <w:rPr>
      <w:b/>
      <w:bCs/>
    </w:rPr>
  </w:style>
  <w:style w:type="character" w:customStyle="1" w:styleId="CommentSubjectChar">
    <w:name w:val="Comment Subject Char"/>
    <w:basedOn w:val="CommentTextChar"/>
    <w:link w:val="CommentSubject"/>
    <w:uiPriority w:val="98"/>
    <w:semiHidden/>
    <w:rsid w:val="00794E99"/>
    <w:rPr>
      <w:b/>
      <w:bCs/>
      <w:sz w:val="20"/>
      <w:szCs w:val="20"/>
      <w:lang w:val="ro-RO"/>
    </w:rPr>
  </w:style>
  <w:style w:type="table" w:styleId="DarkList">
    <w:name w:val="Dark List"/>
    <w:basedOn w:val="TableNormal"/>
    <w:uiPriority w:val="70"/>
    <w:semiHidden/>
    <w:rsid w:val="00794E99"/>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794E99"/>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794E99"/>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794E99"/>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794E99"/>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794E99"/>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794E99"/>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794E99"/>
  </w:style>
  <w:style w:type="character" w:customStyle="1" w:styleId="DateChar">
    <w:name w:val="Date Char"/>
    <w:basedOn w:val="DefaultParagraphFont"/>
    <w:link w:val="Date"/>
    <w:uiPriority w:val="98"/>
    <w:semiHidden/>
    <w:rsid w:val="00794E99"/>
    <w:rPr>
      <w:sz w:val="24"/>
      <w:szCs w:val="24"/>
      <w:lang w:val="ro-RO"/>
    </w:rPr>
  </w:style>
  <w:style w:type="paragraph" w:styleId="DocumentMap">
    <w:name w:val="Document Map"/>
    <w:basedOn w:val="Normal"/>
    <w:link w:val="DocumentMapChar"/>
    <w:uiPriority w:val="98"/>
    <w:semiHidden/>
    <w:rsid w:val="00794E99"/>
    <w:rPr>
      <w:rFonts w:ascii="Tahoma" w:hAnsi="Tahoma" w:cs="Tahoma"/>
      <w:sz w:val="16"/>
      <w:szCs w:val="16"/>
    </w:rPr>
  </w:style>
  <w:style w:type="character" w:customStyle="1" w:styleId="DocumentMapChar">
    <w:name w:val="Document Map Char"/>
    <w:basedOn w:val="DefaultParagraphFont"/>
    <w:link w:val="DocumentMap"/>
    <w:uiPriority w:val="98"/>
    <w:semiHidden/>
    <w:rsid w:val="00794E99"/>
    <w:rPr>
      <w:rFonts w:ascii="Tahoma" w:hAnsi="Tahoma" w:cs="Tahoma"/>
      <w:sz w:val="16"/>
      <w:szCs w:val="16"/>
      <w:lang w:val="ro-RO"/>
    </w:rPr>
  </w:style>
  <w:style w:type="paragraph" w:styleId="E-mailSignature">
    <w:name w:val="E-mail Signature"/>
    <w:basedOn w:val="Normal"/>
    <w:link w:val="E-mailSignatureChar"/>
    <w:uiPriority w:val="98"/>
    <w:semiHidden/>
    <w:rsid w:val="00794E99"/>
  </w:style>
  <w:style w:type="character" w:customStyle="1" w:styleId="E-mailSignatureChar">
    <w:name w:val="E-mail Signature Char"/>
    <w:basedOn w:val="DefaultParagraphFont"/>
    <w:link w:val="E-mailSignature"/>
    <w:uiPriority w:val="98"/>
    <w:semiHidden/>
    <w:rsid w:val="00794E99"/>
    <w:rPr>
      <w:sz w:val="24"/>
      <w:szCs w:val="24"/>
      <w:lang w:val="ro-RO"/>
    </w:rPr>
  </w:style>
  <w:style w:type="character" w:styleId="EndnoteReference">
    <w:name w:val="endnote reference"/>
    <w:basedOn w:val="DefaultParagraphFont"/>
    <w:uiPriority w:val="98"/>
    <w:semiHidden/>
    <w:rsid w:val="00794E99"/>
    <w:rPr>
      <w:vertAlign w:val="superscript"/>
    </w:rPr>
  </w:style>
  <w:style w:type="paragraph" w:styleId="EndnoteText">
    <w:name w:val="endnote text"/>
    <w:basedOn w:val="Normal"/>
    <w:link w:val="EndnoteTextChar"/>
    <w:uiPriority w:val="98"/>
    <w:semiHidden/>
    <w:rsid w:val="00794E99"/>
    <w:rPr>
      <w:sz w:val="20"/>
      <w:szCs w:val="20"/>
    </w:rPr>
  </w:style>
  <w:style w:type="character" w:customStyle="1" w:styleId="EndnoteTextChar">
    <w:name w:val="Endnote Text Char"/>
    <w:basedOn w:val="DefaultParagraphFont"/>
    <w:link w:val="EndnoteText"/>
    <w:uiPriority w:val="98"/>
    <w:semiHidden/>
    <w:rsid w:val="00794E99"/>
    <w:rPr>
      <w:sz w:val="20"/>
      <w:szCs w:val="20"/>
      <w:lang w:val="ro-RO"/>
    </w:rPr>
  </w:style>
  <w:style w:type="paragraph" w:styleId="EnvelopeAddress">
    <w:name w:val="envelope address"/>
    <w:basedOn w:val="Normal"/>
    <w:uiPriority w:val="98"/>
    <w:semiHidden/>
    <w:rsid w:val="00794E99"/>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794E99"/>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794E99"/>
    <w:rPr>
      <w:color w:val="7030A0" w:themeColor="followedHyperlink"/>
      <w:u w:val="single"/>
    </w:rPr>
  </w:style>
  <w:style w:type="character" w:styleId="HTMLAcronym">
    <w:name w:val="HTML Acronym"/>
    <w:basedOn w:val="DefaultParagraphFont"/>
    <w:uiPriority w:val="98"/>
    <w:semiHidden/>
    <w:rsid w:val="00794E99"/>
  </w:style>
  <w:style w:type="paragraph" w:styleId="HTMLAddress">
    <w:name w:val="HTML Address"/>
    <w:basedOn w:val="Normal"/>
    <w:link w:val="HTMLAddressChar"/>
    <w:uiPriority w:val="98"/>
    <w:semiHidden/>
    <w:rsid w:val="00794E99"/>
    <w:rPr>
      <w:i/>
      <w:iCs/>
    </w:rPr>
  </w:style>
  <w:style w:type="character" w:customStyle="1" w:styleId="HTMLAddressChar">
    <w:name w:val="HTML Address Char"/>
    <w:basedOn w:val="DefaultParagraphFont"/>
    <w:link w:val="HTMLAddress"/>
    <w:uiPriority w:val="98"/>
    <w:semiHidden/>
    <w:rsid w:val="00794E99"/>
    <w:rPr>
      <w:i/>
      <w:iCs/>
      <w:sz w:val="24"/>
      <w:szCs w:val="24"/>
      <w:lang w:val="ro-RO"/>
    </w:rPr>
  </w:style>
  <w:style w:type="character" w:styleId="HTMLCite">
    <w:name w:val="HTML Cite"/>
    <w:basedOn w:val="DefaultParagraphFont"/>
    <w:uiPriority w:val="98"/>
    <w:semiHidden/>
    <w:rsid w:val="00794E99"/>
    <w:rPr>
      <w:i/>
      <w:iCs/>
    </w:rPr>
  </w:style>
  <w:style w:type="character" w:styleId="HTMLCode">
    <w:name w:val="HTML Code"/>
    <w:basedOn w:val="DefaultParagraphFont"/>
    <w:uiPriority w:val="98"/>
    <w:semiHidden/>
    <w:rsid w:val="00794E99"/>
    <w:rPr>
      <w:rFonts w:ascii="Consolas" w:hAnsi="Consolas" w:cs="Consolas"/>
      <w:sz w:val="20"/>
      <w:szCs w:val="20"/>
    </w:rPr>
  </w:style>
  <w:style w:type="character" w:styleId="HTMLDefinition">
    <w:name w:val="HTML Definition"/>
    <w:basedOn w:val="DefaultParagraphFont"/>
    <w:uiPriority w:val="98"/>
    <w:semiHidden/>
    <w:rsid w:val="00794E99"/>
    <w:rPr>
      <w:i/>
      <w:iCs/>
    </w:rPr>
  </w:style>
  <w:style w:type="character" w:styleId="HTMLKeyboard">
    <w:name w:val="HTML Keyboard"/>
    <w:basedOn w:val="DefaultParagraphFont"/>
    <w:uiPriority w:val="98"/>
    <w:semiHidden/>
    <w:rsid w:val="00794E99"/>
    <w:rPr>
      <w:rFonts w:ascii="Consolas" w:hAnsi="Consolas" w:cs="Consolas"/>
      <w:sz w:val="20"/>
      <w:szCs w:val="20"/>
    </w:rPr>
  </w:style>
  <w:style w:type="paragraph" w:styleId="HTMLPreformatted">
    <w:name w:val="HTML Preformatted"/>
    <w:basedOn w:val="Normal"/>
    <w:link w:val="HTMLPreformattedChar"/>
    <w:uiPriority w:val="98"/>
    <w:semiHidden/>
    <w:rsid w:val="00794E99"/>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794E99"/>
    <w:rPr>
      <w:rFonts w:ascii="Consolas" w:hAnsi="Consolas" w:cs="Consolas"/>
      <w:sz w:val="20"/>
      <w:szCs w:val="20"/>
      <w:lang w:val="ro-RO"/>
    </w:rPr>
  </w:style>
  <w:style w:type="character" w:styleId="HTMLSample">
    <w:name w:val="HTML Sample"/>
    <w:basedOn w:val="DefaultParagraphFont"/>
    <w:uiPriority w:val="98"/>
    <w:semiHidden/>
    <w:rsid w:val="00794E99"/>
    <w:rPr>
      <w:rFonts w:ascii="Consolas" w:hAnsi="Consolas" w:cs="Consolas"/>
      <w:sz w:val="24"/>
      <w:szCs w:val="24"/>
    </w:rPr>
  </w:style>
  <w:style w:type="character" w:styleId="HTMLTypewriter">
    <w:name w:val="HTML Typewriter"/>
    <w:basedOn w:val="DefaultParagraphFont"/>
    <w:uiPriority w:val="98"/>
    <w:semiHidden/>
    <w:rsid w:val="00794E99"/>
    <w:rPr>
      <w:rFonts w:ascii="Consolas" w:hAnsi="Consolas" w:cs="Consolas"/>
      <w:sz w:val="20"/>
      <w:szCs w:val="20"/>
    </w:rPr>
  </w:style>
  <w:style w:type="character" w:styleId="HTMLVariable">
    <w:name w:val="HTML Variable"/>
    <w:basedOn w:val="DefaultParagraphFont"/>
    <w:uiPriority w:val="98"/>
    <w:semiHidden/>
    <w:rsid w:val="00794E99"/>
    <w:rPr>
      <w:i/>
      <w:iCs/>
    </w:rPr>
  </w:style>
  <w:style w:type="paragraph" w:styleId="Index1">
    <w:name w:val="index 1"/>
    <w:basedOn w:val="Normal"/>
    <w:next w:val="Normal"/>
    <w:autoRedefine/>
    <w:uiPriority w:val="98"/>
    <w:semiHidden/>
    <w:rsid w:val="00794E99"/>
    <w:pPr>
      <w:ind w:left="240" w:hanging="240"/>
    </w:pPr>
  </w:style>
  <w:style w:type="paragraph" w:styleId="Index2">
    <w:name w:val="index 2"/>
    <w:basedOn w:val="Normal"/>
    <w:next w:val="Normal"/>
    <w:autoRedefine/>
    <w:uiPriority w:val="98"/>
    <w:semiHidden/>
    <w:rsid w:val="00794E99"/>
    <w:pPr>
      <w:ind w:left="480" w:hanging="240"/>
    </w:pPr>
  </w:style>
  <w:style w:type="paragraph" w:styleId="Index3">
    <w:name w:val="index 3"/>
    <w:basedOn w:val="Normal"/>
    <w:next w:val="Normal"/>
    <w:autoRedefine/>
    <w:uiPriority w:val="98"/>
    <w:semiHidden/>
    <w:rsid w:val="00794E99"/>
    <w:pPr>
      <w:ind w:left="720" w:hanging="240"/>
    </w:pPr>
  </w:style>
  <w:style w:type="paragraph" w:styleId="Index4">
    <w:name w:val="index 4"/>
    <w:basedOn w:val="Normal"/>
    <w:next w:val="Normal"/>
    <w:autoRedefine/>
    <w:uiPriority w:val="98"/>
    <w:semiHidden/>
    <w:rsid w:val="00794E99"/>
    <w:pPr>
      <w:ind w:left="960" w:hanging="240"/>
    </w:pPr>
  </w:style>
  <w:style w:type="paragraph" w:styleId="Index5">
    <w:name w:val="index 5"/>
    <w:basedOn w:val="Normal"/>
    <w:next w:val="Normal"/>
    <w:autoRedefine/>
    <w:uiPriority w:val="98"/>
    <w:semiHidden/>
    <w:rsid w:val="00794E99"/>
    <w:pPr>
      <w:ind w:left="1200" w:hanging="240"/>
    </w:pPr>
  </w:style>
  <w:style w:type="paragraph" w:styleId="Index6">
    <w:name w:val="index 6"/>
    <w:basedOn w:val="Normal"/>
    <w:next w:val="Normal"/>
    <w:autoRedefine/>
    <w:uiPriority w:val="98"/>
    <w:semiHidden/>
    <w:rsid w:val="00794E99"/>
    <w:pPr>
      <w:ind w:left="1440" w:hanging="240"/>
    </w:pPr>
  </w:style>
  <w:style w:type="paragraph" w:styleId="Index7">
    <w:name w:val="index 7"/>
    <w:basedOn w:val="Normal"/>
    <w:next w:val="Normal"/>
    <w:autoRedefine/>
    <w:uiPriority w:val="98"/>
    <w:semiHidden/>
    <w:rsid w:val="00794E99"/>
    <w:pPr>
      <w:ind w:left="1680" w:hanging="240"/>
    </w:pPr>
  </w:style>
  <w:style w:type="paragraph" w:styleId="Index8">
    <w:name w:val="index 8"/>
    <w:basedOn w:val="Normal"/>
    <w:next w:val="Normal"/>
    <w:autoRedefine/>
    <w:uiPriority w:val="98"/>
    <w:semiHidden/>
    <w:rsid w:val="00794E99"/>
    <w:pPr>
      <w:ind w:left="1920" w:hanging="240"/>
    </w:pPr>
  </w:style>
  <w:style w:type="paragraph" w:styleId="Index9">
    <w:name w:val="index 9"/>
    <w:basedOn w:val="Normal"/>
    <w:next w:val="Normal"/>
    <w:autoRedefine/>
    <w:uiPriority w:val="98"/>
    <w:semiHidden/>
    <w:rsid w:val="00794E99"/>
    <w:pPr>
      <w:ind w:left="2160" w:hanging="240"/>
    </w:pPr>
  </w:style>
  <w:style w:type="paragraph" w:styleId="IndexHeading">
    <w:name w:val="index heading"/>
    <w:basedOn w:val="Normal"/>
    <w:next w:val="Index1"/>
    <w:uiPriority w:val="98"/>
    <w:semiHidden/>
    <w:rsid w:val="00794E99"/>
    <w:rPr>
      <w:rFonts w:asciiTheme="majorHAnsi" w:eastAsiaTheme="majorEastAsia" w:hAnsiTheme="majorHAnsi" w:cstheme="majorBidi"/>
      <w:b/>
      <w:bCs/>
    </w:rPr>
  </w:style>
  <w:style w:type="table" w:styleId="LightGrid">
    <w:name w:val="Light Grid"/>
    <w:basedOn w:val="TableNormal"/>
    <w:uiPriority w:val="62"/>
    <w:semiHidden/>
    <w:rsid w:val="00794E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794E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794E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794E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794E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794E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794E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794E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794E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794E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794E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794E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794E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794E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794E99"/>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794E99"/>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794E99"/>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794E99"/>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794E99"/>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794E99"/>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794E99"/>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794E99"/>
  </w:style>
  <w:style w:type="paragraph" w:styleId="List">
    <w:name w:val="List"/>
    <w:basedOn w:val="Normal"/>
    <w:uiPriority w:val="98"/>
    <w:semiHidden/>
    <w:rsid w:val="00794E99"/>
    <w:pPr>
      <w:ind w:left="283" w:hanging="283"/>
      <w:contextualSpacing/>
    </w:pPr>
  </w:style>
  <w:style w:type="paragraph" w:styleId="List2">
    <w:name w:val="List 2"/>
    <w:basedOn w:val="Normal"/>
    <w:uiPriority w:val="98"/>
    <w:semiHidden/>
    <w:rsid w:val="00794E99"/>
    <w:pPr>
      <w:ind w:left="566" w:hanging="283"/>
      <w:contextualSpacing/>
    </w:pPr>
  </w:style>
  <w:style w:type="paragraph" w:styleId="List3">
    <w:name w:val="List 3"/>
    <w:basedOn w:val="Normal"/>
    <w:uiPriority w:val="98"/>
    <w:semiHidden/>
    <w:rsid w:val="00794E99"/>
    <w:pPr>
      <w:ind w:left="849" w:hanging="283"/>
      <w:contextualSpacing/>
    </w:pPr>
  </w:style>
  <w:style w:type="paragraph" w:styleId="List4">
    <w:name w:val="List 4"/>
    <w:basedOn w:val="Normal"/>
    <w:uiPriority w:val="98"/>
    <w:semiHidden/>
    <w:rsid w:val="00794E99"/>
    <w:pPr>
      <w:ind w:left="1132" w:hanging="283"/>
      <w:contextualSpacing/>
    </w:pPr>
  </w:style>
  <w:style w:type="paragraph" w:styleId="List5">
    <w:name w:val="List 5"/>
    <w:basedOn w:val="Normal"/>
    <w:uiPriority w:val="98"/>
    <w:semiHidden/>
    <w:rsid w:val="00794E99"/>
    <w:pPr>
      <w:ind w:left="1415" w:hanging="283"/>
      <w:contextualSpacing/>
    </w:pPr>
  </w:style>
  <w:style w:type="paragraph" w:styleId="ListBullet">
    <w:name w:val="List Bullet"/>
    <w:basedOn w:val="Normal"/>
    <w:uiPriority w:val="98"/>
    <w:semiHidden/>
    <w:rsid w:val="00794E99"/>
    <w:pPr>
      <w:numPr>
        <w:numId w:val="11"/>
      </w:numPr>
    </w:pPr>
  </w:style>
  <w:style w:type="paragraph" w:styleId="ListBullet3">
    <w:name w:val="List Bullet 3"/>
    <w:basedOn w:val="Normal"/>
    <w:uiPriority w:val="98"/>
    <w:semiHidden/>
    <w:rsid w:val="00794E99"/>
    <w:pPr>
      <w:numPr>
        <w:numId w:val="13"/>
      </w:numPr>
      <w:contextualSpacing/>
    </w:pPr>
  </w:style>
  <w:style w:type="paragraph" w:styleId="ListBullet4">
    <w:name w:val="List Bullet 4"/>
    <w:basedOn w:val="Normal"/>
    <w:uiPriority w:val="98"/>
    <w:semiHidden/>
    <w:rsid w:val="00794E99"/>
    <w:pPr>
      <w:numPr>
        <w:numId w:val="14"/>
      </w:numPr>
      <w:contextualSpacing/>
    </w:pPr>
  </w:style>
  <w:style w:type="paragraph" w:styleId="ListBullet5">
    <w:name w:val="List Bullet 5"/>
    <w:basedOn w:val="Normal"/>
    <w:uiPriority w:val="98"/>
    <w:semiHidden/>
    <w:rsid w:val="00794E99"/>
    <w:pPr>
      <w:numPr>
        <w:numId w:val="15"/>
      </w:numPr>
      <w:contextualSpacing/>
    </w:pPr>
  </w:style>
  <w:style w:type="paragraph" w:styleId="ListContinue">
    <w:name w:val="List Continue"/>
    <w:basedOn w:val="Normal"/>
    <w:uiPriority w:val="98"/>
    <w:semiHidden/>
    <w:rsid w:val="00794E99"/>
    <w:pPr>
      <w:spacing w:after="120"/>
      <w:ind w:left="283"/>
      <w:contextualSpacing/>
    </w:pPr>
  </w:style>
  <w:style w:type="paragraph" w:styleId="ListContinue2">
    <w:name w:val="List Continue 2"/>
    <w:basedOn w:val="Normal"/>
    <w:uiPriority w:val="98"/>
    <w:semiHidden/>
    <w:rsid w:val="00794E99"/>
    <w:pPr>
      <w:spacing w:after="120"/>
      <w:ind w:left="566"/>
      <w:contextualSpacing/>
    </w:pPr>
  </w:style>
  <w:style w:type="paragraph" w:styleId="ListContinue3">
    <w:name w:val="List Continue 3"/>
    <w:basedOn w:val="Normal"/>
    <w:uiPriority w:val="98"/>
    <w:semiHidden/>
    <w:rsid w:val="00794E99"/>
    <w:pPr>
      <w:spacing w:after="120"/>
      <w:ind w:left="849"/>
      <w:contextualSpacing/>
    </w:pPr>
  </w:style>
  <w:style w:type="paragraph" w:styleId="ListContinue4">
    <w:name w:val="List Continue 4"/>
    <w:basedOn w:val="Normal"/>
    <w:uiPriority w:val="98"/>
    <w:semiHidden/>
    <w:rsid w:val="00794E99"/>
    <w:pPr>
      <w:spacing w:after="120"/>
      <w:ind w:left="1132"/>
      <w:contextualSpacing/>
    </w:pPr>
  </w:style>
  <w:style w:type="paragraph" w:styleId="ListContinue5">
    <w:name w:val="List Continue 5"/>
    <w:basedOn w:val="Normal"/>
    <w:uiPriority w:val="98"/>
    <w:semiHidden/>
    <w:rsid w:val="00794E99"/>
    <w:pPr>
      <w:spacing w:after="120"/>
      <w:ind w:left="1415"/>
      <w:contextualSpacing/>
    </w:pPr>
  </w:style>
  <w:style w:type="paragraph" w:styleId="ListNumber">
    <w:name w:val="List Number"/>
    <w:basedOn w:val="Normal"/>
    <w:uiPriority w:val="98"/>
    <w:semiHidden/>
    <w:rsid w:val="00794E99"/>
    <w:pPr>
      <w:numPr>
        <w:numId w:val="16"/>
      </w:numPr>
      <w:contextualSpacing/>
    </w:pPr>
  </w:style>
  <w:style w:type="paragraph" w:styleId="ListNumber2">
    <w:name w:val="List Number 2"/>
    <w:basedOn w:val="Normal"/>
    <w:uiPriority w:val="98"/>
    <w:semiHidden/>
    <w:rsid w:val="00794E99"/>
    <w:pPr>
      <w:numPr>
        <w:numId w:val="17"/>
      </w:numPr>
      <w:contextualSpacing/>
    </w:pPr>
  </w:style>
  <w:style w:type="paragraph" w:styleId="ListNumber3">
    <w:name w:val="List Number 3"/>
    <w:basedOn w:val="Normal"/>
    <w:uiPriority w:val="98"/>
    <w:semiHidden/>
    <w:rsid w:val="00794E99"/>
    <w:pPr>
      <w:numPr>
        <w:numId w:val="18"/>
      </w:numPr>
      <w:contextualSpacing/>
    </w:pPr>
  </w:style>
  <w:style w:type="paragraph" w:styleId="ListNumber4">
    <w:name w:val="List Number 4"/>
    <w:basedOn w:val="Normal"/>
    <w:uiPriority w:val="98"/>
    <w:semiHidden/>
    <w:rsid w:val="00794E99"/>
    <w:pPr>
      <w:numPr>
        <w:numId w:val="19"/>
      </w:numPr>
      <w:contextualSpacing/>
    </w:pPr>
  </w:style>
  <w:style w:type="paragraph" w:styleId="ListNumber5">
    <w:name w:val="List Number 5"/>
    <w:basedOn w:val="Normal"/>
    <w:uiPriority w:val="98"/>
    <w:semiHidden/>
    <w:rsid w:val="00794E99"/>
    <w:pPr>
      <w:numPr>
        <w:numId w:val="20"/>
      </w:numPr>
      <w:contextualSpacing/>
    </w:pPr>
  </w:style>
  <w:style w:type="paragraph" w:styleId="MacroText">
    <w:name w:val="macro"/>
    <w:link w:val="MacroTextChar"/>
    <w:uiPriority w:val="98"/>
    <w:semiHidden/>
    <w:rsid w:val="00794E99"/>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794E99"/>
    <w:rPr>
      <w:rFonts w:ascii="Consolas" w:eastAsiaTheme="minorEastAsia" w:hAnsi="Consolas" w:cs="Consolas"/>
      <w:sz w:val="20"/>
      <w:szCs w:val="20"/>
    </w:rPr>
  </w:style>
  <w:style w:type="table" w:styleId="MediumGrid1">
    <w:name w:val="Medium Grid 1"/>
    <w:basedOn w:val="TableNormal"/>
    <w:uiPriority w:val="67"/>
    <w:semiHidden/>
    <w:rsid w:val="00794E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794E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794E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794E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794E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794E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794E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794E99"/>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794E99"/>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794E99"/>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794E99"/>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794E99"/>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794E99"/>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794E99"/>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794E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794E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794E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794E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794E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794E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794E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794E9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794E99"/>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794E99"/>
    <w:rPr>
      <w:rFonts w:ascii="Times New Roman" w:hAnsi="Times New Roman" w:cs="Times New Roman"/>
    </w:rPr>
  </w:style>
  <w:style w:type="paragraph" w:styleId="NormalIndent">
    <w:name w:val="Normal Indent"/>
    <w:basedOn w:val="Normal"/>
    <w:uiPriority w:val="98"/>
    <w:semiHidden/>
    <w:rsid w:val="00794E99"/>
    <w:pPr>
      <w:ind w:left="720"/>
    </w:pPr>
  </w:style>
  <w:style w:type="paragraph" w:styleId="NoteHeading">
    <w:name w:val="Note Heading"/>
    <w:basedOn w:val="Normal"/>
    <w:next w:val="Normal"/>
    <w:link w:val="NoteHeadingChar"/>
    <w:uiPriority w:val="98"/>
    <w:semiHidden/>
    <w:rsid w:val="00794E99"/>
  </w:style>
  <w:style w:type="character" w:customStyle="1" w:styleId="NoteHeadingChar">
    <w:name w:val="Note Heading Char"/>
    <w:basedOn w:val="DefaultParagraphFont"/>
    <w:link w:val="NoteHeading"/>
    <w:uiPriority w:val="98"/>
    <w:semiHidden/>
    <w:rsid w:val="00794E99"/>
    <w:rPr>
      <w:sz w:val="24"/>
      <w:szCs w:val="24"/>
      <w:lang w:val="ro-RO"/>
    </w:rPr>
  </w:style>
  <w:style w:type="character" w:styleId="PlaceholderText">
    <w:name w:val="Placeholder Text"/>
    <w:basedOn w:val="DefaultParagraphFont"/>
    <w:uiPriority w:val="98"/>
    <w:semiHidden/>
    <w:rsid w:val="00794E99"/>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794E99"/>
    <w:rPr>
      <w:rFonts w:ascii="Consolas" w:hAnsi="Consolas" w:cs="Consolas"/>
      <w:sz w:val="21"/>
      <w:szCs w:val="21"/>
    </w:rPr>
  </w:style>
  <w:style w:type="character" w:customStyle="1" w:styleId="PlainTextChar">
    <w:name w:val="Plain Text Char"/>
    <w:basedOn w:val="DefaultParagraphFont"/>
    <w:link w:val="PlainText"/>
    <w:uiPriority w:val="98"/>
    <w:semiHidden/>
    <w:rsid w:val="00794E99"/>
    <w:rPr>
      <w:rFonts w:ascii="Consolas" w:hAnsi="Consolas" w:cs="Consolas"/>
      <w:sz w:val="21"/>
      <w:szCs w:val="21"/>
      <w:lang w:val="ro-RO"/>
    </w:rPr>
  </w:style>
  <w:style w:type="paragraph" w:styleId="Salutation">
    <w:name w:val="Salutation"/>
    <w:basedOn w:val="Normal"/>
    <w:next w:val="Normal"/>
    <w:link w:val="SalutationChar"/>
    <w:uiPriority w:val="98"/>
    <w:semiHidden/>
    <w:rsid w:val="00794E99"/>
  </w:style>
  <w:style w:type="character" w:customStyle="1" w:styleId="SalutationChar">
    <w:name w:val="Salutation Char"/>
    <w:basedOn w:val="DefaultParagraphFont"/>
    <w:link w:val="Salutation"/>
    <w:uiPriority w:val="98"/>
    <w:semiHidden/>
    <w:rsid w:val="00794E99"/>
    <w:rPr>
      <w:sz w:val="24"/>
      <w:szCs w:val="24"/>
      <w:lang w:val="ro-RO"/>
    </w:rPr>
  </w:style>
  <w:style w:type="paragraph" w:styleId="Signature">
    <w:name w:val="Signature"/>
    <w:basedOn w:val="Normal"/>
    <w:link w:val="SignatureChar"/>
    <w:uiPriority w:val="98"/>
    <w:semiHidden/>
    <w:rsid w:val="00794E99"/>
    <w:pPr>
      <w:ind w:left="4252"/>
    </w:pPr>
  </w:style>
  <w:style w:type="character" w:customStyle="1" w:styleId="SignatureChar">
    <w:name w:val="Signature Char"/>
    <w:basedOn w:val="DefaultParagraphFont"/>
    <w:link w:val="Signature"/>
    <w:uiPriority w:val="98"/>
    <w:semiHidden/>
    <w:rsid w:val="00794E99"/>
    <w:rPr>
      <w:sz w:val="24"/>
      <w:szCs w:val="24"/>
      <w:lang w:val="ro-RO"/>
    </w:rPr>
  </w:style>
  <w:style w:type="table" w:styleId="Table3Deffects1">
    <w:name w:val="Table 3D effects 1"/>
    <w:basedOn w:val="TableNormal"/>
    <w:uiPriority w:val="99"/>
    <w:semiHidden/>
    <w:unhideWhenUsed/>
    <w:rsid w:val="00794E99"/>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94E99"/>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94E99"/>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94E99"/>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94E99"/>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94E99"/>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94E99"/>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94E99"/>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94E99"/>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94E99"/>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94E99"/>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94E99"/>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94E99"/>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94E99"/>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94E99"/>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94E99"/>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94E99"/>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94E99"/>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94E99"/>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94E99"/>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94E99"/>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94E99"/>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94E99"/>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94E99"/>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94E99"/>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94E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94E99"/>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94E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794E99"/>
    <w:pPr>
      <w:ind w:left="240" w:hanging="240"/>
    </w:pPr>
  </w:style>
  <w:style w:type="paragraph" w:styleId="TableofFigures">
    <w:name w:val="table of figures"/>
    <w:basedOn w:val="Normal"/>
    <w:next w:val="Normal"/>
    <w:uiPriority w:val="98"/>
    <w:semiHidden/>
    <w:rsid w:val="00794E99"/>
  </w:style>
  <w:style w:type="table" w:styleId="TableProfessional">
    <w:name w:val="Table Professional"/>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94E99"/>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94E99"/>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94E99"/>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94E99"/>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94E99"/>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94E99"/>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94E99"/>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94E99"/>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794E99"/>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794E99"/>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794E99"/>
    <w:pPr>
      <w:spacing w:after="100"/>
      <w:ind w:left="1680"/>
    </w:pPr>
  </w:style>
  <w:style w:type="paragraph" w:styleId="TOC9">
    <w:name w:val="toc 9"/>
    <w:basedOn w:val="Normal"/>
    <w:next w:val="Normal"/>
    <w:autoRedefine/>
    <w:uiPriority w:val="98"/>
    <w:semiHidden/>
    <w:rsid w:val="00794E99"/>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794E99"/>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794E99"/>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794E99"/>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794E99"/>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794E99"/>
    <w:pPr>
      <w:numPr>
        <w:numId w:val="7"/>
      </w:numPr>
      <w:spacing w:before="60" w:after="60"/>
    </w:pPr>
  </w:style>
  <w:style w:type="paragraph" w:customStyle="1" w:styleId="ECHRBullet2">
    <w:name w:val="ECHR_Bullet_2"/>
    <w:aliases w:val="_Bul_2"/>
    <w:basedOn w:val="ECHRBullet1"/>
    <w:uiPriority w:val="23"/>
    <w:semiHidden/>
    <w:rsid w:val="00794E99"/>
    <w:pPr>
      <w:numPr>
        <w:ilvl w:val="1"/>
      </w:numPr>
    </w:pPr>
  </w:style>
  <w:style w:type="paragraph" w:customStyle="1" w:styleId="ECHRBullet3">
    <w:name w:val="ECHR_Bullet_3"/>
    <w:aliases w:val="_Bul_3"/>
    <w:basedOn w:val="ECHRBullet2"/>
    <w:uiPriority w:val="23"/>
    <w:semiHidden/>
    <w:rsid w:val="00794E99"/>
    <w:pPr>
      <w:numPr>
        <w:ilvl w:val="2"/>
      </w:numPr>
    </w:pPr>
  </w:style>
  <w:style w:type="paragraph" w:customStyle="1" w:styleId="ECHRBullet4">
    <w:name w:val="ECHR_Bullet_4"/>
    <w:aliases w:val="_Bul_4"/>
    <w:basedOn w:val="ECHRBullet3"/>
    <w:uiPriority w:val="23"/>
    <w:semiHidden/>
    <w:rsid w:val="00794E99"/>
    <w:pPr>
      <w:numPr>
        <w:ilvl w:val="3"/>
      </w:numPr>
    </w:pPr>
  </w:style>
  <w:style w:type="paragraph" w:customStyle="1" w:styleId="ECHRConfidential">
    <w:name w:val="ECHR_Confidential"/>
    <w:aliases w:val="_Confidential"/>
    <w:basedOn w:val="Normal"/>
    <w:next w:val="Normal"/>
    <w:uiPriority w:val="42"/>
    <w:semiHidden/>
    <w:qFormat/>
    <w:rsid w:val="00794E99"/>
    <w:pPr>
      <w:jc w:val="right"/>
    </w:pPr>
    <w:rPr>
      <w:color w:val="C00000"/>
      <w:sz w:val="20"/>
    </w:rPr>
  </w:style>
  <w:style w:type="paragraph" w:customStyle="1" w:styleId="ECHRDecisionBody">
    <w:name w:val="ECHR_Decision_Body"/>
    <w:aliases w:val="_Decision_Body"/>
    <w:basedOn w:val="NormalJustified"/>
    <w:uiPriority w:val="54"/>
    <w:semiHidden/>
    <w:rsid w:val="00794E99"/>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794E99"/>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794E99"/>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794E99"/>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794E99"/>
    <w:pPr>
      <w:jc w:val="right"/>
    </w:pPr>
    <w:rPr>
      <w:sz w:val="20"/>
    </w:rPr>
  </w:style>
  <w:style w:type="paragraph" w:customStyle="1" w:styleId="ECHRHeaderRefIt">
    <w:name w:val="ECHR_Header_Ref_It"/>
    <w:aliases w:val="_Ref_Ital"/>
    <w:basedOn w:val="Normal"/>
    <w:next w:val="ECHRHeaderDate"/>
    <w:uiPriority w:val="43"/>
    <w:qFormat/>
    <w:rsid w:val="00794E99"/>
    <w:pPr>
      <w:jc w:val="right"/>
    </w:pPr>
    <w:rPr>
      <w:i/>
      <w:sz w:val="20"/>
    </w:rPr>
  </w:style>
  <w:style w:type="paragraph" w:customStyle="1" w:styleId="ECHRHeading9">
    <w:name w:val="ECHR_Heading_9"/>
    <w:aliases w:val="_Head_9"/>
    <w:basedOn w:val="Heading9"/>
    <w:uiPriority w:val="17"/>
    <w:semiHidden/>
    <w:rsid w:val="00794E99"/>
    <w:pPr>
      <w:keepNext/>
      <w:keepLines/>
      <w:numPr>
        <w:ilvl w:val="8"/>
        <w:numId w:val="9"/>
      </w:numPr>
      <w:tabs>
        <w:tab w:val="num" w:pos="360"/>
      </w:tabs>
      <w:spacing w:before="100" w:beforeAutospacing="1"/>
      <w:ind w:left="0" w:firstLine="0"/>
      <w:contextualSpacing/>
      <w:jc w:val="both"/>
    </w:pPr>
    <w:rPr>
      <w:i w:val="0"/>
      <w:sz w:val="18"/>
    </w:rPr>
  </w:style>
  <w:style w:type="paragraph" w:customStyle="1" w:styleId="ECHRLine">
    <w:name w:val="ECHR_Line"/>
    <w:aliases w:val="_Line"/>
    <w:basedOn w:val="NormalJustified"/>
    <w:next w:val="Normal"/>
    <w:uiPriority w:val="46"/>
    <w:semiHidden/>
    <w:rsid w:val="00794E99"/>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semiHidden/>
    <w:qFormat/>
    <w:rsid w:val="00794E99"/>
    <w:pPr>
      <w:numPr>
        <w:numId w:val="8"/>
      </w:numPr>
      <w:spacing w:before="60" w:after="60"/>
    </w:pPr>
  </w:style>
  <w:style w:type="paragraph" w:customStyle="1" w:styleId="ECHRNumberedList2">
    <w:name w:val="ECHR_Numbered_List_2"/>
    <w:aliases w:val="_Num_2"/>
    <w:basedOn w:val="ECHRNumberedList1"/>
    <w:uiPriority w:val="23"/>
    <w:semiHidden/>
    <w:rsid w:val="00794E99"/>
    <w:pPr>
      <w:numPr>
        <w:ilvl w:val="1"/>
      </w:numPr>
    </w:pPr>
  </w:style>
  <w:style w:type="paragraph" w:customStyle="1" w:styleId="ECHRNumberedList3">
    <w:name w:val="ECHR_Numbered_List_3"/>
    <w:aliases w:val="_Num_3"/>
    <w:basedOn w:val="ECHRNumberedList2"/>
    <w:uiPriority w:val="23"/>
    <w:semiHidden/>
    <w:rsid w:val="00794E99"/>
    <w:pPr>
      <w:numPr>
        <w:ilvl w:val="2"/>
      </w:numPr>
    </w:pPr>
  </w:style>
  <w:style w:type="paragraph" w:customStyle="1" w:styleId="ECHRParaHanging">
    <w:name w:val="ECHR_Para_Hanging"/>
    <w:aliases w:val="_Hanging"/>
    <w:basedOn w:val="Normal"/>
    <w:uiPriority w:val="8"/>
    <w:semiHidden/>
    <w:qFormat/>
    <w:rsid w:val="00794E99"/>
    <w:pPr>
      <w:ind w:left="567" w:hanging="567"/>
      <w:jc w:val="both"/>
    </w:pPr>
  </w:style>
  <w:style w:type="paragraph" w:customStyle="1" w:styleId="ECHRParaIndent">
    <w:name w:val="ECHR_Para_Indent"/>
    <w:aliases w:val="_Indent"/>
    <w:basedOn w:val="Normal"/>
    <w:uiPriority w:val="7"/>
    <w:semiHidden/>
    <w:qFormat/>
    <w:rsid w:val="00794E99"/>
    <w:pPr>
      <w:spacing w:before="120" w:after="120"/>
      <w:ind w:left="567"/>
      <w:jc w:val="both"/>
    </w:pPr>
  </w:style>
  <w:style w:type="character" w:customStyle="1" w:styleId="ECHRRed">
    <w:name w:val="ECHR_Red"/>
    <w:aliases w:val="_Red"/>
    <w:basedOn w:val="DefaultParagraphFont"/>
    <w:uiPriority w:val="15"/>
    <w:semiHidden/>
    <w:qFormat/>
    <w:rsid w:val="00794E99"/>
    <w:rPr>
      <w:color w:val="C00000" w:themeColor="accent2"/>
    </w:rPr>
  </w:style>
  <w:style w:type="paragraph" w:customStyle="1" w:styleId="DecList">
    <w:name w:val="Dec_List"/>
    <w:aliases w:val="_List"/>
    <w:basedOn w:val="JuList"/>
    <w:uiPriority w:val="22"/>
    <w:rsid w:val="00794E99"/>
    <w:pPr>
      <w:numPr>
        <w:numId w:val="0"/>
      </w:numPr>
      <w:ind w:left="284"/>
    </w:pPr>
  </w:style>
  <w:style w:type="table" w:customStyle="1" w:styleId="ECHRTable2">
    <w:name w:val="ECHR_Table_2"/>
    <w:basedOn w:val="TableNormal"/>
    <w:uiPriority w:val="99"/>
    <w:rsid w:val="00794E99"/>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794E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794E99"/>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794E99"/>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794E99"/>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794E99"/>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794E99"/>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794E99"/>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794E99"/>
    <w:pPr>
      <w:outlineLvl w:val="0"/>
    </w:pPr>
  </w:style>
  <w:style w:type="paragraph" w:customStyle="1" w:styleId="ECHRTitleTOC1">
    <w:name w:val="ECHR_Title_TOC_1"/>
    <w:aliases w:val="_Title_L_TOC"/>
    <w:basedOn w:val="ECHRTitle1"/>
    <w:next w:val="Normal"/>
    <w:uiPriority w:val="27"/>
    <w:semiHidden/>
    <w:qFormat/>
    <w:rsid w:val="00794E99"/>
    <w:pPr>
      <w:outlineLvl w:val="0"/>
    </w:pPr>
  </w:style>
  <w:style w:type="paragraph" w:customStyle="1" w:styleId="ECHRPlaceholder">
    <w:name w:val="ECHR_Placeholder"/>
    <w:aliases w:val="_Placeholder"/>
    <w:basedOn w:val="JuSigned"/>
    <w:uiPriority w:val="31"/>
    <w:rsid w:val="00794E99"/>
    <w:rPr>
      <w:color w:val="FFFFFF"/>
    </w:rPr>
  </w:style>
  <w:style w:type="paragraph" w:customStyle="1" w:styleId="ECHRSpacer">
    <w:name w:val="ECHR_Spacer"/>
    <w:aliases w:val="_Spacer"/>
    <w:basedOn w:val="Normal"/>
    <w:uiPriority w:val="45"/>
    <w:semiHidden/>
    <w:rsid w:val="00794E99"/>
    <w:rPr>
      <w:sz w:val="4"/>
    </w:rPr>
  </w:style>
  <w:style w:type="table" w:customStyle="1" w:styleId="ECHRTableGrey">
    <w:name w:val="ECHR_Table_Grey"/>
    <w:basedOn w:val="TableNormal"/>
    <w:uiPriority w:val="99"/>
    <w:rsid w:val="00794E99"/>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EF5ECF"/>
    <w:rPr>
      <w:sz w:val="24"/>
      <w:szCs w:val="24"/>
      <w:lang w:val="ro-RO"/>
    </w:rPr>
  </w:style>
  <w:style w:type="character" w:customStyle="1" w:styleId="JuNames0">
    <w:name w:val="Ju_Names"/>
    <w:rsid w:val="00EF5ECF"/>
    <w:rPr>
      <w:smallCaps/>
    </w:rPr>
  </w:style>
  <w:style w:type="paragraph" w:customStyle="1" w:styleId="JuList4">
    <w:name w:val="Ju_List_4"/>
    <w:aliases w:val="N_Bul_4"/>
    <w:basedOn w:val="JuListi"/>
    <w:uiPriority w:val="19"/>
    <w:rsid w:val="00EF5ECF"/>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rsid w:val="00EF5EC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5ECF"/>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5ECF"/>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5ECF"/>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5ECF"/>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5ECF"/>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5ECF"/>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5EC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5ECF"/>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rsid w:val="00EF5ECF"/>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rsid w:val="00EF5ECF"/>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rsid w:val="00EF5ECF"/>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rsid w:val="00EF5ECF"/>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EF5ECF"/>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EF5E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5ECF"/>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rsid w:val="00EF5ECF"/>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rsid w:val="00EF5ECF"/>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rsid w:val="00EF5ECF"/>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rsid w:val="00EF5ECF"/>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EF5ECF"/>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EF5E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5ECF"/>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rsid w:val="00EF5ECF"/>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rsid w:val="00EF5ECF"/>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rsid w:val="00EF5ECF"/>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rsid w:val="00EF5ECF"/>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EF5ECF"/>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EF5EC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5EC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rsid w:val="00EF5EC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rsid w:val="00EF5EC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rsid w:val="00EF5EC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rsid w:val="00EF5EC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EF5EC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EF5EC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5ECF"/>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rsid w:val="00EF5ECF"/>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rsid w:val="00EF5ECF"/>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rsid w:val="00EF5ECF"/>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rsid w:val="00EF5ECF"/>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EF5ECF"/>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EF5EC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5ECF"/>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rsid w:val="00EF5ECF"/>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rsid w:val="00EF5ECF"/>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rsid w:val="00EF5ECF"/>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rsid w:val="00EF5ECF"/>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EF5ECF"/>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EF5ECF"/>
    <w:rPr>
      <w:color w:val="2B579A"/>
      <w:shd w:val="clear" w:color="auto" w:fill="E1DFDD"/>
    </w:rPr>
  </w:style>
  <w:style w:type="table" w:styleId="ListTable1Light">
    <w:name w:val="List Table 1 Light"/>
    <w:basedOn w:val="TableNormal"/>
    <w:uiPriority w:val="46"/>
    <w:rsid w:val="00EF5EC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5ECF"/>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rsid w:val="00EF5ECF"/>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rsid w:val="00EF5ECF"/>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rsid w:val="00EF5ECF"/>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rsid w:val="00EF5ECF"/>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EF5ECF"/>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EF5EC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5ECF"/>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rsid w:val="00EF5ECF"/>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rsid w:val="00EF5ECF"/>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rsid w:val="00EF5ECF"/>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rsid w:val="00EF5ECF"/>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EF5ECF"/>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EF5EC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5ECF"/>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rsid w:val="00EF5ECF"/>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rsid w:val="00EF5ECF"/>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rsid w:val="00EF5ECF"/>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rsid w:val="00EF5ECF"/>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EF5ECF"/>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EF5E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5ECF"/>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rsid w:val="00EF5ECF"/>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rsid w:val="00EF5ECF"/>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rsid w:val="00EF5ECF"/>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rsid w:val="00EF5ECF"/>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EF5ECF"/>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EF5ECF"/>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5ECF"/>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5ECF"/>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5ECF"/>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5ECF"/>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5ECF"/>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5ECF"/>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5EC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5ECF"/>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rsid w:val="00EF5ECF"/>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rsid w:val="00EF5ECF"/>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rsid w:val="00EF5ECF"/>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rsid w:val="00EF5ECF"/>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EF5ECF"/>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EF5EC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5ECF"/>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5ECF"/>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5ECF"/>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5ECF"/>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5ECF"/>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5ECF"/>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EF5ECF"/>
    <w:rPr>
      <w:color w:val="2B579A"/>
      <w:shd w:val="clear" w:color="auto" w:fill="E1DFDD"/>
    </w:rPr>
  </w:style>
  <w:style w:type="table" w:styleId="PlainTable1">
    <w:name w:val="Plain Table 1"/>
    <w:basedOn w:val="TableNormal"/>
    <w:uiPriority w:val="41"/>
    <w:rsid w:val="00EF5ECF"/>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rsid w:val="00EF5EC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5EC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5E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rsid w:val="00EF5EC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5ECF"/>
    <w:rPr>
      <w:u w:val="dotted"/>
    </w:rPr>
  </w:style>
  <w:style w:type="character" w:customStyle="1" w:styleId="SmartLink1">
    <w:name w:val="SmartLink1"/>
    <w:basedOn w:val="DefaultParagraphFont"/>
    <w:uiPriority w:val="99"/>
    <w:semiHidden/>
    <w:unhideWhenUsed/>
    <w:rsid w:val="00EF5ECF"/>
    <w:rPr>
      <w:color w:val="0000FF"/>
      <w:u w:val="single"/>
      <w:shd w:val="clear" w:color="auto" w:fill="F3F2F1"/>
    </w:rPr>
  </w:style>
  <w:style w:type="table" w:styleId="TableGridLight">
    <w:name w:val="Grid Table Light"/>
    <w:basedOn w:val="TableNormal"/>
    <w:uiPriority w:val="40"/>
    <w:rsid w:val="00EF5ECF"/>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EF5ECF"/>
    <w:rPr>
      <w:sz w:val="24"/>
      <w:szCs w:val="24"/>
    </w:rPr>
  </w:style>
  <w:style w:type="paragraph" w:customStyle="1" w:styleId="jupara0">
    <w:name w:val="jupara"/>
    <w:basedOn w:val="Normal"/>
    <w:rsid w:val="00BC0FD8"/>
    <w:pPr>
      <w:ind w:firstLine="284"/>
      <w:jc w:val="both"/>
    </w:pPr>
    <w:rPr>
      <w:rFonts w:ascii="Times New Roman" w:eastAsia="Times New Roman" w:hAnsi="Times New Roman" w:cs="Times New Roman"/>
      <w:lang w:eastAsia="en-GB"/>
    </w:rPr>
  </w:style>
  <w:style w:type="paragraph" w:customStyle="1" w:styleId="jucase0">
    <w:name w:val="jucase"/>
    <w:basedOn w:val="Normal"/>
    <w:rsid w:val="00BC0FD8"/>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hudoc.echr.coe.int/e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39477-F289-4196-B54E-86107E1249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8A9BF8-87B9-4664-B8D5-09D9EE35754D}">
  <ds:schemaRefs>
    <ds:schemaRef ds:uri="http://schemas.microsoft.com/sharepoint/v3/contenttype/forms"/>
  </ds:schemaRefs>
</ds:datastoreItem>
</file>

<file path=customXml/itemProps3.xml><?xml version="1.0" encoding="utf-8"?>
<ds:datastoreItem xmlns:ds="http://schemas.openxmlformats.org/officeDocument/2006/customXml" ds:itemID="{F2051D41-60BD-43DA-A4BD-4B428CFBC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F0EDE57-5CD1-44D7-A87D-817406E21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12688</Words>
  <Characters>73597</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86113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2023-02-13T10:52:00Z</dcterms:created>
  <dcterms:modified xsi:type="dcterms:W3CDTF">2024-04-22T14:41:00Z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22636/19</vt:lpwstr>
  </property>
  <property fmtid="{D5CDD505-2E9C-101B-9397-08002B2CF9AE}" pid="4" name="CASEID">
    <vt:lpwstr>1450661</vt:lpwstr>
  </property>
  <property fmtid="{D5CDD505-2E9C-101B-9397-08002B2CF9AE}" pid="5" name="ContentTypeId">
    <vt:lpwstr>0x010100558EB02BDB9E204AB350EDD385B68E10</vt:lpwstr>
  </property>
</Properties>
</file>