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1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3.xml" ContentType="application/vnd.openxmlformats-officedocument.themeOverride+xml"/>
  <Override PartName="/word/charts/chart19.xml" ContentType="application/vnd.openxmlformats-officedocument.drawingml.chart+xml"/>
  <Override PartName="/word/theme/themeOverride4.xml" ContentType="application/vnd.openxmlformats-officedocument.themeOverride+xml"/>
  <Override PartName="/word/charts/chart20.xml" ContentType="application/vnd.openxmlformats-officedocument.drawingml.chart+xml"/>
  <Override PartName="/word/theme/themeOverride5.xml" ContentType="application/vnd.openxmlformats-officedocument.themeOverride+xml"/>
  <Override PartName="/word/charts/chart21.xml" ContentType="application/vnd.openxmlformats-officedocument.drawingml.chart+xml"/>
  <Override PartName="/word/theme/themeOverride6.xml" ContentType="application/vnd.openxmlformats-officedocument.themeOverride+xml"/>
  <Override PartName="/word/charts/chart22.xml" ContentType="application/vnd.openxmlformats-officedocument.drawingml.chart+xml"/>
  <Override PartName="/word/theme/themeOverride7.xml" ContentType="application/vnd.openxmlformats-officedocument.themeOverride+xml"/>
  <Override PartName="/word/charts/chart23.xml" ContentType="application/vnd.openxmlformats-officedocument.drawingml.chart+xml"/>
  <Override PartName="/word/theme/themeOverride8.xml" ContentType="application/vnd.openxmlformats-officedocument.themeOverride+xml"/>
  <Override PartName="/word/charts/chart24.xml" ContentType="application/vnd.openxmlformats-officedocument.drawingml.chart+xml"/>
  <Override PartName="/word/theme/themeOverride9.xml" ContentType="application/vnd.openxmlformats-officedocument.themeOverride+xml"/>
  <Override PartName="/word/charts/chart25.xml" ContentType="application/vnd.openxmlformats-officedocument.drawingml.chart+xml"/>
  <Override PartName="/word/theme/themeOverride10.xml" ContentType="application/vnd.openxmlformats-officedocument.themeOverride+xml"/>
  <Override PartName="/word/charts/chart26.xml" ContentType="application/vnd.openxmlformats-officedocument.drawingml.chart+xml"/>
  <Override PartName="/word/theme/themeOverride11.xml" ContentType="application/vnd.openxmlformats-officedocument.themeOverride+xml"/>
  <Override PartName="/word/charts/chart27.xml" ContentType="application/vnd.openxmlformats-officedocument.drawingml.chart+xml"/>
  <Override PartName="/word/theme/themeOverride12.xml" ContentType="application/vnd.openxmlformats-officedocument.themeOverride+xml"/>
  <Override PartName="/word/charts/chart28.xml" ContentType="application/vnd.openxmlformats-officedocument.drawingml.chart+xml"/>
  <Override PartName="/word/theme/themeOverride13.xml" ContentType="application/vnd.openxmlformats-officedocument.themeOverride+xml"/>
  <Override PartName="/word/charts/chart29.xml" ContentType="application/vnd.openxmlformats-officedocument.drawingml.chart+xml"/>
  <Override PartName="/word/theme/themeOverride14.xml" ContentType="application/vnd.openxmlformats-officedocument.themeOverride+xml"/>
  <Override PartName="/word/charts/chart30.xml" ContentType="application/vnd.openxmlformats-officedocument.drawingml.chart+xml"/>
  <Override PartName="/word/theme/themeOverride15.xml" ContentType="application/vnd.openxmlformats-officedocument.themeOverride+xml"/>
  <Override PartName="/word/charts/chart31.xml" ContentType="application/vnd.openxmlformats-officedocument.drawingml.chart+xml"/>
  <Override PartName="/word/theme/themeOverride16.xml" ContentType="application/vnd.openxmlformats-officedocument.themeOverride+xml"/>
  <Override PartName="/word/charts/chart32.xml" ContentType="application/vnd.openxmlformats-officedocument.drawingml.chart+xml"/>
  <Override PartName="/word/theme/themeOverride17.xml" ContentType="application/vnd.openxmlformats-officedocument.themeOverride+xml"/>
  <Override PartName="/word/charts/chart33.xml" ContentType="application/vnd.openxmlformats-officedocument.drawingml.chart+xml"/>
  <Override PartName="/word/theme/themeOverride18.xml" ContentType="application/vnd.openxmlformats-officedocument.themeOverride+xml"/>
  <Override PartName="/word/charts/chart34.xml" ContentType="application/vnd.openxmlformats-officedocument.drawingml.chart+xml"/>
  <Override PartName="/word/theme/themeOverride19.xml" ContentType="application/vnd.openxmlformats-officedocument.themeOverride+xml"/>
  <Override PartName="/word/charts/chart35.xml" ContentType="application/vnd.openxmlformats-officedocument.drawingml.chart+xml"/>
  <Override PartName="/word/theme/themeOverride20.xml" ContentType="application/vnd.openxmlformats-officedocument.themeOverride+xml"/>
  <Override PartName="/word/charts/chart36.xml" ContentType="application/vnd.openxmlformats-officedocument.drawingml.chart+xml"/>
  <Override PartName="/word/theme/themeOverride21.xml" ContentType="application/vnd.openxmlformats-officedocument.themeOverride+xml"/>
  <Override PartName="/word/charts/chart37.xml" ContentType="application/vnd.openxmlformats-officedocument.drawingml.chart+xml"/>
  <Override PartName="/word/theme/themeOverride22.xml" ContentType="application/vnd.openxmlformats-officedocument.themeOverride+xml"/>
  <Override PartName="/word/charts/chart38.xml" ContentType="application/vnd.openxmlformats-officedocument.drawingml.chart+xml"/>
  <Override PartName="/word/theme/themeOverride23.xml" ContentType="application/vnd.openxmlformats-officedocument.themeOverride+xml"/>
  <Override PartName="/word/charts/chart39.xml" ContentType="application/vnd.openxmlformats-officedocument.drawingml.chart+xml"/>
  <Override PartName="/word/theme/themeOverride24.xml" ContentType="application/vnd.openxmlformats-officedocument.themeOverride+xml"/>
  <Override PartName="/word/charts/chart40.xml" ContentType="application/vnd.openxmlformats-officedocument.drawingml.chart+xml"/>
  <Override PartName="/word/theme/themeOverride25.xml" ContentType="application/vnd.openxmlformats-officedocument.themeOverride+xml"/>
  <Override PartName="/word/charts/chart41.xml" ContentType="application/vnd.openxmlformats-officedocument.drawingml.chart+xml"/>
  <Override PartName="/word/theme/themeOverride2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2FD" w:rsidRDefault="00C742FD" w:rsidP="00C742FD">
      <w:pPr>
        <w:spacing w:before="2400" w:after="1200" w:line="360" w:lineRule="auto"/>
        <w:jc w:val="center"/>
        <w:rPr>
          <w:b/>
          <w:sz w:val="40"/>
          <w:szCs w:val="40"/>
        </w:rPr>
      </w:pPr>
      <w:bookmarkStart w:id="0" w:name="_Toc411333473"/>
      <w:bookmarkStart w:id="1" w:name="_Toc411429408"/>
      <w:r>
        <w:rPr>
          <w:b/>
          <w:sz w:val="40"/>
          <w:szCs w:val="40"/>
        </w:rPr>
        <w:t>ROMÂNIA</w:t>
      </w:r>
    </w:p>
    <w:p w:rsidR="00C742FD" w:rsidRDefault="00C742FD" w:rsidP="00C742FD">
      <w:pPr>
        <w:spacing w:line="360" w:lineRule="auto"/>
        <w:jc w:val="center"/>
        <w:rPr>
          <w:b/>
          <w:sz w:val="40"/>
          <w:szCs w:val="40"/>
        </w:rPr>
      </w:pPr>
      <w:r>
        <w:rPr>
          <w:b/>
          <w:sz w:val="40"/>
          <w:szCs w:val="40"/>
        </w:rPr>
        <w:t xml:space="preserve">CONSILIUL </w:t>
      </w:r>
      <w:smartTag w:uri="urn:schemas-microsoft-com:office:smarttags" w:element="place">
        <w:r>
          <w:rPr>
            <w:b/>
            <w:sz w:val="40"/>
            <w:szCs w:val="40"/>
          </w:rPr>
          <w:t>SUPERIOR</w:t>
        </w:r>
      </w:smartTag>
      <w:r>
        <w:rPr>
          <w:b/>
          <w:sz w:val="40"/>
          <w:szCs w:val="40"/>
        </w:rPr>
        <w:t xml:space="preserve"> AL MAGISTRATURII</w:t>
      </w:r>
    </w:p>
    <w:p w:rsidR="00C742FD" w:rsidRDefault="00C742FD" w:rsidP="00C742FD">
      <w:pPr>
        <w:spacing w:line="360" w:lineRule="auto"/>
        <w:jc w:val="center"/>
        <w:rPr>
          <w:b/>
          <w:sz w:val="40"/>
          <w:szCs w:val="40"/>
        </w:rPr>
      </w:pPr>
      <w:r>
        <w:rPr>
          <w:b/>
          <w:sz w:val="40"/>
          <w:szCs w:val="40"/>
        </w:rPr>
        <w:t>RAPORT PRIVIND STAREA JUSTIŢIEI</w:t>
      </w:r>
    </w:p>
    <w:p w:rsidR="00C742FD" w:rsidRDefault="00C742FD" w:rsidP="00C742FD">
      <w:pPr>
        <w:spacing w:after="600" w:line="360" w:lineRule="auto"/>
        <w:jc w:val="center"/>
        <w:rPr>
          <w:b/>
          <w:sz w:val="40"/>
          <w:szCs w:val="40"/>
        </w:rPr>
      </w:pPr>
      <w:r>
        <w:rPr>
          <w:b/>
          <w:sz w:val="40"/>
          <w:szCs w:val="40"/>
        </w:rPr>
        <w:t>2016</w:t>
      </w:r>
    </w:p>
    <w:p w:rsidR="00C742FD" w:rsidRDefault="00C742FD" w:rsidP="00C742FD">
      <w:pPr>
        <w:spacing w:before="1200" w:after="1200"/>
        <w:jc w:val="center"/>
      </w:pPr>
      <w:r>
        <w:rPr>
          <w:rFonts w:cs="Calibri"/>
          <w:noProof/>
        </w:rPr>
        <w:drawing>
          <wp:inline distT="0" distB="0" distL="0" distR="0" wp14:anchorId="10618DDC" wp14:editId="098BDC4F">
            <wp:extent cx="3135401" cy="1650512"/>
            <wp:effectExtent l="38100" t="19050" r="636905" b="559435"/>
            <wp:docPr id="1027" name="Picture 1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 cstate="print"/>
                    <a:srcRect/>
                    <a:stretch>
                      <a:fillRect/>
                    </a:stretch>
                  </pic:blipFill>
                  <pic:spPr bwMode="auto">
                    <a:xfrm>
                      <a:off x="0" y="0"/>
                      <a:ext cx="3134995" cy="1650365"/>
                    </a:xfrm>
                    <a:prstGeom prst="rect">
                      <a:avLst/>
                    </a:prstGeom>
                    <a:noFill/>
                    <a:ln w="9525">
                      <a:noFill/>
                      <a:miter lim="800000"/>
                      <a:headEnd/>
                      <a:tailEnd/>
                    </a:ln>
                    <a:effectLst>
                      <a:outerShdw blurRad="76200" dir="18900000" sy="23000" kx="-1200000" algn="bl" rotWithShape="0">
                        <a:prstClr val="black">
                          <a:alpha val="20000"/>
                        </a:prstClr>
                      </a:outerShdw>
                      <a:reflection blurRad="6350" stA="52000" endA="300" endPos="35000" dir="5400000" sy="-100000" algn="bl" rotWithShape="0"/>
                      <a:softEdge rad="31750"/>
                    </a:effectLst>
                    <a:scene3d>
                      <a:camera prst="obliqueBottomLeft"/>
                      <a:lightRig rig="threePt" dir="t"/>
                    </a:scene3d>
                  </pic:spPr>
                </pic:pic>
              </a:graphicData>
            </a:graphic>
          </wp:inline>
        </w:drawing>
      </w:r>
    </w:p>
    <w:p w:rsidR="00C742FD" w:rsidRDefault="00C742FD" w:rsidP="00C742FD">
      <w:pPr>
        <w:spacing w:line="360" w:lineRule="auto"/>
        <w:jc w:val="center"/>
        <w:rPr>
          <w:b/>
          <w:sz w:val="28"/>
          <w:szCs w:val="28"/>
        </w:rPr>
      </w:pPr>
      <w:r>
        <w:rPr>
          <w:b/>
          <w:sz w:val="28"/>
          <w:szCs w:val="28"/>
        </w:rPr>
        <w:t xml:space="preserve">˝Consiliul </w:t>
      </w:r>
      <w:smartTag w:uri="urn:schemas-microsoft-com:office:smarttags" w:element="place">
        <w:r>
          <w:rPr>
            <w:b/>
            <w:sz w:val="28"/>
            <w:szCs w:val="28"/>
          </w:rPr>
          <w:t>Superior</w:t>
        </w:r>
      </w:smartTag>
      <w:r>
        <w:rPr>
          <w:b/>
          <w:sz w:val="28"/>
          <w:szCs w:val="28"/>
        </w:rPr>
        <w:t xml:space="preserve"> al Magistraturii este garantul independenţei justiţiei˝ </w:t>
      </w:r>
    </w:p>
    <w:p w:rsidR="00C742FD" w:rsidRDefault="00C742FD" w:rsidP="00C742FD">
      <w:pPr>
        <w:ind w:firstLine="284"/>
        <w:jc w:val="center"/>
        <w:rPr>
          <w:rFonts w:cs="Calibri"/>
          <w:lang w:val="ro-RO"/>
        </w:rPr>
      </w:pPr>
      <w:r>
        <w:rPr>
          <w:b/>
          <w:sz w:val="28"/>
          <w:szCs w:val="28"/>
        </w:rPr>
        <w:t>(art. 133 alin. (1) din Constituţia României, republicată)</w:t>
      </w:r>
    </w:p>
    <w:p w:rsidR="00C742FD" w:rsidRDefault="00C742FD" w:rsidP="00C742FD">
      <w:pPr>
        <w:rPr>
          <w:rFonts w:cs="Calibri"/>
          <w:lang w:val="ro-RO"/>
        </w:rPr>
        <w:sectPr w:rsidR="00C742FD" w:rsidSect="00C742FD">
          <w:type w:val="continuous"/>
          <w:pgSz w:w="11906" w:h="16838"/>
          <w:pgMar w:top="567" w:right="567" w:bottom="567" w:left="1418" w:header="709" w:footer="709" w:gutter="0"/>
          <w:pgNumType w:start="0"/>
          <w:cols w:space="720"/>
        </w:sectPr>
      </w:pPr>
    </w:p>
    <w:p w:rsidR="00C742FD" w:rsidRDefault="00C742FD" w:rsidP="00A202F1">
      <w:pPr>
        <w:pStyle w:val="TOC1"/>
      </w:pPr>
    </w:p>
    <w:p w:rsidR="00C742FD" w:rsidRDefault="00C742FD" w:rsidP="00A202F1">
      <w:pPr>
        <w:pStyle w:val="TOC1"/>
      </w:pPr>
    </w:p>
    <w:p w:rsidR="00C742FD" w:rsidRDefault="00C742FD" w:rsidP="00A202F1">
      <w:pPr>
        <w:pStyle w:val="TOC1"/>
      </w:pPr>
    </w:p>
    <w:p w:rsidR="00C742FD" w:rsidRDefault="00C742FD" w:rsidP="00A202F1">
      <w:pPr>
        <w:pStyle w:val="TOC1"/>
      </w:pPr>
    </w:p>
    <w:p w:rsidR="00372D6B" w:rsidRDefault="00372D6B" w:rsidP="00A202F1">
      <w:pPr>
        <w:pStyle w:val="TOC1"/>
      </w:pPr>
      <w:r>
        <w:lastRenderedPageBreak/>
        <w:t>CUPRINS</w:t>
      </w:r>
    </w:p>
    <w:p w:rsidR="00372D6B" w:rsidRPr="00A202F1" w:rsidRDefault="00372D6B" w:rsidP="00A202F1">
      <w:pPr>
        <w:pStyle w:val="TOC1"/>
      </w:pPr>
      <w:r w:rsidRPr="00A202F1">
        <w:t xml:space="preserve"> I. Introducere</w:t>
      </w:r>
      <w:r w:rsidRPr="00A202F1">
        <w:tab/>
        <w:t>3</w:t>
      </w:r>
    </w:p>
    <w:p w:rsidR="00C742FD" w:rsidRDefault="00372D6B">
      <w:pPr>
        <w:pStyle w:val="TOC1"/>
        <w:rPr>
          <w:rFonts w:eastAsiaTheme="minorEastAsia" w:cstheme="minorBidi"/>
          <w:b w:val="0"/>
          <w:bCs w:val="0"/>
          <w:sz w:val="22"/>
          <w:szCs w:val="22"/>
          <w:lang w:val="en-US" w:eastAsia="en-US"/>
        </w:rPr>
      </w:pPr>
      <w:r w:rsidRPr="00A202F1">
        <w:rPr>
          <w:noProof w:val="0"/>
        </w:rPr>
        <w:fldChar w:fldCharType="begin"/>
      </w:r>
      <w:r w:rsidRPr="00A202F1">
        <w:instrText xml:space="preserve"> TOC \o "1-3" \h \z \u </w:instrText>
      </w:r>
      <w:r w:rsidRPr="00A202F1">
        <w:rPr>
          <w:noProof w:val="0"/>
        </w:rPr>
        <w:fldChar w:fldCharType="separate"/>
      </w:r>
      <w:hyperlink w:anchor="_Toc486576514" w:history="1">
        <w:r w:rsidR="00C742FD" w:rsidRPr="00D96B2C">
          <w:rPr>
            <w:rStyle w:val="Hyperlink"/>
          </w:rPr>
          <w:t>II. Date statistice privind activitatea instanţelor judecătoreşti</w:t>
        </w:r>
        <w:r w:rsidR="00C742FD">
          <w:rPr>
            <w:webHidden/>
          </w:rPr>
          <w:tab/>
        </w:r>
        <w:r w:rsidR="00C742FD">
          <w:rPr>
            <w:webHidden/>
          </w:rPr>
          <w:fldChar w:fldCharType="begin"/>
        </w:r>
        <w:r w:rsidR="00C742FD">
          <w:rPr>
            <w:webHidden/>
          </w:rPr>
          <w:instrText xml:space="preserve"> PAGEREF _Toc486576514 \h </w:instrText>
        </w:r>
        <w:r w:rsidR="00C742FD">
          <w:rPr>
            <w:webHidden/>
          </w:rPr>
        </w:r>
        <w:r w:rsidR="00C742FD">
          <w:rPr>
            <w:webHidden/>
          </w:rPr>
          <w:fldChar w:fldCharType="separate"/>
        </w:r>
        <w:r w:rsidR="00C742FD">
          <w:rPr>
            <w:webHidden/>
          </w:rPr>
          <w:t>4</w:t>
        </w:r>
        <w:r w:rsidR="00C742FD">
          <w:rPr>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15" w:history="1">
        <w:r w:rsidRPr="00D96B2C">
          <w:rPr>
            <w:rStyle w:val="Hyperlink"/>
            <w:noProof/>
          </w:rPr>
          <w:t>II.1. Volumul de activitate la nivelul instanţelor judecătoreşti</w:t>
        </w:r>
        <w:r>
          <w:rPr>
            <w:noProof/>
            <w:webHidden/>
          </w:rPr>
          <w:tab/>
        </w:r>
        <w:r>
          <w:rPr>
            <w:noProof/>
            <w:webHidden/>
          </w:rPr>
          <w:fldChar w:fldCharType="begin"/>
        </w:r>
        <w:r>
          <w:rPr>
            <w:noProof/>
            <w:webHidden/>
          </w:rPr>
          <w:instrText xml:space="preserve"> PAGEREF _Toc486576515 \h </w:instrText>
        </w:r>
        <w:r>
          <w:rPr>
            <w:noProof/>
            <w:webHidden/>
          </w:rPr>
        </w:r>
        <w:r>
          <w:rPr>
            <w:noProof/>
            <w:webHidden/>
          </w:rPr>
          <w:fldChar w:fldCharType="separate"/>
        </w:r>
        <w:r>
          <w:rPr>
            <w:noProof/>
            <w:webHidden/>
          </w:rPr>
          <w:t>4</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16" w:history="1">
        <w:r w:rsidRPr="00D96B2C">
          <w:rPr>
            <w:rStyle w:val="Hyperlink"/>
            <w:noProof/>
          </w:rPr>
          <w:t>II.1.1. Volumul de activitatea la nivelul Înaltei Curţi de Casaţie şi Justiţie</w:t>
        </w:r>
        <w:r>
          <w:rPr>
            <w:noProof/>
            <w:webHidden/>
          </w:rPr>
          <w:tab/>
        </w:r>
        <w:r>
          <w:rPr>
            <w:noProof/>
            <w:webHidden/>
          </w:rPr>
          <w:fldChar w:fldCharType="begin"/>
        </w:r>
        <w:r>
          <w:rPr>
            <w:noProof/>
            <w:webHidden/>
          </w:rPr>
          <w:instrText xml:space="preserve"> PAGEREF _Toc486576516 \h </w:instrText>
        </w:r>
        <w:r>
          <w:rPr>
            <w:noProof/>
            <w:webHidden/>
          </w:rPr>
        </w:r>
        <w:r>
          <w:rPr>
            <w:noProof/>
            <w:webHidden/>
          </w:rPr>
          <w:fldChar w:fldCharType="separate"/>
        </w:r>
        <w:r>
          <w:rPr>
            <w:noProof/>
            <w:webHidden/>
          </w:rPr>
          <w:t>6</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17" w:history="1">
        <w:r w:rsidRPr="00D96B2C">
          <w:rPr>
            <w:rStyle w:val="Hyperlink"/>
            <w:noProof/>
          </w:rPr>
          <w:t>II.1.2. Volumul de activitate la nivelul curţilor de apel</w:t>
        </w:r>
        <w:r>
          <w:rPr>
            <w:noProof/>
            <w:webHidden/>
          </w:rPr>
          <w:tab/>
        </w:r>
        <w:r>
          <w:rPr>
            <w:noProof/>
            <w:webHidden/>
          </w:rPr>
          <w:fldChar w:fldCharType="begin"/>
        </w:r>
        <w:r>
          <w:rPr>
            <w:noProof/>
            <w:webHidden/>
          </w:rPr>
          <w:instrText xml:space="preserve"> PAGEREF _Toc486576517 \h </w:instrText>
        </w:r>
        <w:r>
          <w:rPr>
            <w:noProof/>
            <w:webHidden/>
          </w:rPr>
        </w:r>
        <w:r>
          <w:rPr>
            <w:noProof/>
            <w:webHidden/>
          </w:rPr>
          <w:fldChar w:fldCharType="separate"/>
        </w:r>
        <w:r>
          <w:rPr>
            <w:noProof/>
            <w:webHidden/>
          </w:rPr>
          <w:t>12</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18" w:history="1">
        <w:r w:rsidRPr="00D96B2C">
          <w:rPr>
            <w:rStyle w:val="Hyperlink"/>
            <w:noProof/>
          </w:rPr>
          <w:t>II.1.3. Volumul de activitate la nivelul tribunalelor</w:t>
        </w:r>
        <w:r>
          <w:rPr>
            <w:noProof/>
            <w:webHidden/>
          </w:rPr>
          <w:tab/>
        </w:r>
        <w:r>
          <w:rPr>
            <w:noProof/>
            <w:webHidden/>
          </w:rPr>
          <w:fldChar w:fldCharType="begin"/>
        </w:r>
        <w:r>
          <w:rPr>
            <w:noProof/>
            <w:webHidden/>
          </w:rPr>
          <w:instrText xml:space="preserve"> PAGEREF _Toc486576518 \h </w:instrText>
        </w:r>
        <w:r>
          <w:rPr>
            <w:noProof/>
            <w:webHidden/>
          </w:rPr>
        </w:r>
        <w:r>
          <w:rPr>
            <w:noProof/>
            <w:webHidden/>
          </w:rPr>
          <w:fldChar w:fldCharType="separate"/>
        </w:r>
        <w:r>
          <w:rPr>
            <w:noProof/>
            <w:webHidden/>
          </w:rPr>
          <w:t>17</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19" w:history="1">
        <w:r w:rsidRPr="00D96B2C">
          <w:rPr>
            <w:rStyle w:val="Hyperlink"/>
            <w:noProof/>
          </w:rPr>
          <w:t>II.1.4. Volumul de activitate la nivelul judecătoriilor</w:t>
        </w:r>
        <w:r>
          <w:rPr>
            <w:noProof/>
            <w:webHidden/>
          </w:rPr>
          <w:tab/>
        </w:r>
        <w:r>
          <w:rPr>
            <w:noProof/>
            <w:webHidden/>
          </w:rPr>
          <w:fldChar w:fldCharType="begin"/>
        </w:r>
        <w:r>
          <w:rPr>
            <w:noProof/>
            <w:webHidden/>
          </w:rPr>
          <w:instrText xml:space="preserve"> PAGEREF _Toc486576519 \h </w:instrText>
        </w:r>
        <w:r>
          <w:rPr>
            <w:noProof/>
            <w:webHidden/>
          </w:rPr>
        </w:r>
        <w:r>
          <w:rPr>
            <w:noProof/>
            <w:webHidden/>
          </w:rPr>
          <w:fldChar w:fldCharType="separate"/>
        </w:r>
        <w:r>
          <w:rPr>
            <w:noProof/>
            <w:webHidden/>
          </w:rPr>
          <w:t>27</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20" w:history="1">
        <w:r w:rsidRPr="00D96B2C">
          <w:rPr>
            <w:rStyle w:val="Hyperlink"/>
            <w:noProof/>
          </w:rPr>
          <w:t>II.2. Încărcătură pe judecător şi încărcătura pe schemă</w:t>
        </w:r>
        <w:r>
          <w:rPr>
            <w:noProof/>
            <w:webHidden/>
          </w:rPr>
          <w:tab/>
        </w:r>
        <w:r>
          <w:rPr>
            <w:noProof/>
            <w:webHidden/>
          </w:rPr>
          <w:fldChar w:fldCharType="begin"/>
        </w:r>
        <w:r>
          <w:rPr>
            <w:noProof/>
            <w:webHidden/>
          </w:rPr>
          <w:instrText xml:space="preserve"> PAGEREF _Toc486576520 \h </w:instrText>
        </w:r>
        <w:r>
          <w:rPr>
            <w:noProof/>
            <w:webHidden/>
          </w:rPr>
        </w:r>
        <w:r>
          <w:rPr>
            <w:noProof/>
            <w:webHidden/>
          </w:rPr>
          <w:fldChar w:fldCharType="separate"/>
        </w:r>
        <w:r>
          <w:rPr>
            <w:noProof/>
            <w:webHidden/>
          </w:rPr>
          <w:t>3</w:t>
        </w:r>
        <w:r>
          <w:rPr>
            <w:noProof/>
            <w:webHidden/>
          </w:rPr>
          <w:t>1</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21" w:history="1">
        <w:r w:rsidRPr="00D96B2C">
          <w:rPr>
            <w:rStyle w:val="Hyperlink"/>
            <w:noProof/>
          </w:rPr>
          <w:t>II.2.1. Încărcătura la nivelul Înaltei Curţi de Casaţie şi Justiţie</w:t>
        </w:r>
        <w:r>
          <w:rPr>
            <w:noProof/>
            <w:webHidden/>
          </w:rPr>
          <w:tab/>
        </w:r>
        <w:r>
          <w:rPr>
            <w:noProof/>
            <w:webHidden/>
          </w:rPr>
          <w:fldChar w:fldCharType="begin"/>
        </w:r>
        <w:r>
          <w:rPr>
            <w:noProof/>
            <w:webHidden/>
          </w:rPr>
          <w:instrText xml:space="preserve"> PAGEREF _Toc486576521 \h </w:instrText>
        </w:r>
        <w:r>
          <w:rPr>
            <w:noProof/>
            <w:webHidden/>
          </w:rPr>
        </w:r>
        <w:r>
          <w:rPr>
            <w:noProof/>
            <w:webHidden/>
          </w:rPr>
          <w:fldChar w:fldCharType="separate"/>
        </w:r>
        <w:r>
          <w:rPr>
            <w:noProof/>
            <w:webHidden/>
          </w:rPr>
          <w:t>32</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22" w:history="1">
        <w:r w:rsidRPr="00D96B2C">
          <w:rPr>
            <w:rStyle w:val="Hyperlink"/>
            <w:noProof/>
          </w:rPr>
          <w:t>II.2.2. Încărcătura la nivelul curţilor de apel</w:t>
        </w:r>
        <w:r>
          <w:rPr>
            <w:noProof/>
            <w:webHidden/>
          </w:rPr>
          <w:tab/>
        </w:r>
        <w:r>
          <w:rPr>
            <w:noProof/>
            <w:webHidden/>
          </w:rPr>
          <w:fldChar w:fldCharType="begin"/>
        </w:r>
        <w:r>
          <w:rPr>
            <w:noProof/>
            <w:webHidden/>
          </w:rPr>
          <w:instrText xml:space="preserve"> PAGEREF _Toc486576522 \h </w:instrText>
        </w:r>
        <w:r>
          <w:rPr>
            <w:noProof/>
            <w:webHidden/>
          </w:rPr>
        </w:r>
        <w:r>
          <w:rPr>
            <w:noProof/>
            <w:webHidden/>
          </w:rPr>
          <w:fldChar w:fldCharType="separate"/>
        </w:r>
        <w:r>
          <w:rPr>
            <w:noProof/>
            <w:webHidden/>
          </w:rPr>
          <w:t>33</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23" w:history="1">
        <w:r w:rsidRPr="00D96B2C">
          <w:rPr>
            <w:rStyle w:val="Hyperlink"/>
            <w:noProof/>
          </w:rPr>
          <w:t>II.2.3. Încărcătura la nivelul tribunalelor</w:t>
        </w:r>
        <w:r>
          <w:rPr>
            <w:noProof/>
            <w:webHidden/>
          </w:rPr>
          <w:tab/>
        </w:r>
        <w:r>
          <w:rPr>
            <w:noProof/>
            <w:webHidden/>
          </w:rPr>
          <w:fldChar w:fldCharType="begin"/>
        </w:r>
        <w:r>
          <w:rPr>
            <w:noProof/>
            <w:webHidden/>
          </w:rPr>
          <w:instrText xml:space="preserve"> PAGEREF _Toc486576523 \h </w:instrText>
        </w:r>
        <w:r>
          <w:rPr>
            <w:noProof/>
            <w:webHidden/>
          </w:rPr>
        </w:r>
        <w:r>
          <w:rPr>
            <w:noProof/>
            <w:webHidden/>
          </w:rPr>
          <w:fldChar w:fldCharType="separate"/>
        </w:r>
        <w:r>
          <w:rPr>
            <w:noProof/>
            <w:webHidden/>
          </w:rPr>
          <w:t>34</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24" w:history="1">
        <w:r w:rsidRPr="00D96B2C">
          <w:rPr>
            <w:rStyle w:val="Hyperlink"/>
            <w:noProof/>
          </w:rPr>
          <w:t>II.2.4. Încărcătura la nivelul judecătoriilor</w:t>
        </w:r>
        <w:r>
          <w:rPr>
            <w:noProof/>
            <w:webHidden/>
          </w:rPr>
          <w:tab/>
        </w:r>
        <w:r>
          <w:rPr>
            <w:noProof/>
            <w:webHidden/>
          </w:rPr>
          <w:fldChar w:fldCharType="begin"/>
        </w:r>
        <w:r>
          <w:rPr>
            <w:noProof/>
            <w:webHidden/>
          </w:rPr>
          <w:instrText xml:space="preserve"> PAGEREF _Toc486576524 \h </w:instrText>
        </w:r>
        <w:r>
          <w:rPr>
            <w:noProof/>
            <w:webHidden/>
          </w:rPr>
        </w:r>
        <w:r>
          <w:rPr>
            <w:noProof/>
            <w:webHidden/>
          </w:rPr>
          <w:fldChar w:fldCharType="separate"/>
        </w:r>
        <w:r>
          <w:rPr>
            <w:noProof/>
            <w:webHidden/>
          </w:rPr>
          <w:t>35</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25" w:history="1">
        <w:r w:rsidRPr="00D96B2C">
          <w:rPr>
            <w:rStyle w:val="Hyperlink"/>
            <w:noProof/>
          </w:rPr>
          <w:t>II.3. Operativitatea în soluţionarea cauzelor</w:t>
        </w:r>
        <w:r>
          <w:rPr>
            <w:noProof/>
            <w:webHidden/>
          </w:rPr>
          <w:tab/>
        </w:r>
        <w:r>
          <w:rPr>
            <w:noProof/>
            <w:webHidden/>
          </w:rPr>
          <w:fldChar w:fldCharType="begin"/>
        </w:r>
        <w:r>
          <w:rPr>
            <w:noProof/>
            <w:webHidden/>
          </w:rPr>
          <w:instrText xml:space="preserve"> PAGEREF _Toc486576525 \h </w:instrText>
        </w:r>
        <w:r>
          <w:rPr>
            <w:noProof/>
            <w:webHidden/>
          </w:rPr>
        </w:r>
        <w:r>
          <w:rPr>
            <w:noProof/>
            <w:webHidden/>
          </w:rPr>
          <w:fldChar w:fldCharType="separate"/>
        </w:r>
        <w:r>
          <w:rPr>
            <w:noProof/>
            <w:webHidden/>
          </w:rPr>
          <w:t>37</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26" w:history="1">
        <w:r w:rsidRPr="00D96B2C">
          <w:rPr>
            <w:rStyle w:val="Hyperlink"/>
            <w:noProof/>
          </w:rPr>
          <w:t>II.3.1. Operativitatea la nivelul ICCJ</w:t>
        </w:r>
        <w:r>
          <w:rPr>
            <w:noProof/>
            <w:webHidden/>
          </w:rPr>
          <w:tab/>
        </w:r>
        <w:r>
          <w:rPr>
            <w:noProof/>
            <w:webHidden/>
          </w:rPr>
          <w:fldChar w:fldCharType="begin"/>
        </w:r>
        <w:r>
          <w:rPr>
            <w:noProof/>
            <w:webHidden/>
          </w:rPr>
          <w:instrText xml:space="preserve"> PAGEREF _Toc486576526 \h </w:instrText>
        </w:r>
        <w:r>
          <w:rPr>
            <w:noProof/>
            <w:webHidden/>
          </w:rPr>
        </w:r>
        <w:r>
          <w:rPr>
            <w:noProof/>
            <w:webHidden/>
          </w:rPr>
          <w:fldChar w:fldCharType="separate"/>
        </w:r>
        <w:r>
          <w:rPr>
            <w:noProof/>
            <w:webHidden/>
          </w:rPr>
          <w:t>38</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27" w:history="1">
        <w:r w:rsidRPr="00D96B2C">
          <w:rPr>
            <w:rStyle w:val="Hyperlink"/>
            <w:noProof/>
          </w:rPr>
          <w:t>II.3.2. Operativitatea la curţile de apel</w:t>
        </w:r>
        <w:r>
          <w:rPr>
            <w:noProof/>
            <w:webHidden/>
          </w:rPr>
          <w:tab/>
        </w:r>
        <w:r>
          <w:rPr>
            <w:noProof/>
            <w:webHidden/>
          </w:rPr>
          <w:fldChar w:fldCharType="begin"/>
        </w:r>
        <w:r>
          <w:rPr>
            <w:noProof/>
            <w:webHidden/>
          </w:rPr>
          <w:instrText xml:space="preserve"> PAGEREF _Toc486576527 \h </w:instrText>
        </w:r>
        <w:r>
          <w:rPr>
            <w:noProof/>
            <w:webHidden/>
          </w:rPr>
        </w:r>
        <w:r>
          <w:rPr>
            <w:noProof/>
            <w:webHidden/>
          </w:rPr>
          <w:fldChar w:fldCharType="separate"/>
        </w:r>
        <w:r>
          <w:rPr>
            <w:noProof/>
            <w:webHidden/>
          </w:rPr>
          <w:t>38</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28" w:history="1">
        <w:r w:rsidRPr="00D96B2C">
          <w:rPr>
            <w:rStyle w:val="Hyperlink"/>
            <w:noProof/>
          </w:rPr>
          <w:t>II.3.3. Operativitatea la tribunale</w:t>
        </w:r>
        <w:r>
          <w:rPr>
            <w:noProof/>
            <w:webHidden/>
          </w:rPr>
          <w:tab/>
        </w:r>
        <w:r>
          <w:rPr>
            <w:noProof/>
            <w:webHidden/>
          </w:rPr>
          <w:fldChar w:fldCharType="begin"/>
        </w:r>
        <w:r>
          <w:rPr>
            <w:noProof/>
            <w:webHidden/>
          </w:rPr>
          <w:instrText xml:space="preserve"> PAGEREF _Toc486576528 \h </w:instrText>
        </w:r>
        <w:r>
          <w:rPr>
            <w:noProof/>
            <w:webHidden/>
          </w:rPr>
        </w:r>
        <w:r>
          <w:rPr>
            <w:noProof/>
            <w:webHidden/>
          </w:rPr>
          <w:fldChar w:fldCharType="separate"/>
        </w:r>
        <w:r>
          <w:rPr>
            <w:noProof/>
            <w:webHidden/>
          </w:rPr>
          <w:t>39</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29" w:history="1">
        <w:r w:rsidRPr="00D96B2C">
          <w:rPr>
            <w:rStyle w:val="Hyperlink"/>
            <w:noProof/>
          </w:rPr>
          <w:t>II.3.4. Operativitatea la nivelul judecătoriilor</w:t>
        </w:r>
        <w:r>
          <w:rPr>
            <w:noProof/>
            <w:webHidden/>
          </w:rPr>
          <w:tab/>
        </w:r>
        <w:r>
          <w:rPr>
            <w:noProof/>
            <w:webHidden/>
          </w:rPr>
          <w:fldChar w:fldCharType="begin"/>
        </w:r>
        <w:r>
          <w:rPr>
            <w:noProof/>
            <w:webHidden/>
          </w:rPr>
          <w:instrText xml:space="preserve"> PAGEREF _Toc486576529 \h </w:instrText>
        </w:r>
        <w:r>
          <w:rPr>
            <w:noProof/>
            <w:webHidden/>
          </w:rPr>
        </w:r>
        <w:r>
          <w:rPr>
            <w:noProof/>
            <w:webHidden/>
          </w:rPr>
          <w:fldChar w:fldCharType="separate"/>
        </w:r>
        <w:r>
          <w:rPr>
            <w:noProof/>
            <w:webHidden/>
          </w:rPr>
          <w:t>40</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30" w:history="1">
        <w:r w:rsidRPr="00D96B2C">
          <w:rPr>
            <w:rStyle w:val="Hyperlink"/>
            <w:noProof/>
          </w:rPr>
          <w:t>II.4. Analiza activităţii instanţelor din perspectiva indicatorilor de eficienţă</w:t>
        </w:r>
        <w:r>
          <w:rPr>
            <w:noProof/>
            <w:webHidden/>
          </w:rPr>
          <w:tab/>
        </w:r>
        <w:r>
          <w:rPr>
            <w:noProof/>
            <w:webHidden/>
          </w:rPr>
          <w:fldChar w:fldCharType="begin"/>
        </w:r>
        <w:r>
          <w:rPr>
            <w:noProof/>
            <w:webHidden/>
          </w:rPr>
          <w:instrText xml:space="preserve"> PAGEREF _Toc486576530 \h </w:instrText>
        </w:r>
        <w:r>
          <w:rPr>
            <w:noProof/>
            <w:webHidden/>
          </w:rPr>
        </w:r>
        <w:r>
          <w:rPr>
            <w:noProof/>
            <w:webHidden/>
          </w:rPr>
          <w:fldChar w:fldCharType="separate"/>
        </w:r>
        <w:r>
          <w:rPr>
            <w:noProof/>
            <w:webHidden/>
          </w:rPr>
          <w:t>41</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31" w:history="1">
        <w:r w:rsidRPr="00D96B2C">
          <w:rPr>
            <w:rStyle w:val="Hyperlink"/>
            <w:noProof/>
          </w:rPr>
          <w:t>II.5. Indicii de atacabilitate şi desfiinţare a hotărârilor judecătoreşti</w:t>
        </w:r>
        <w:r>
          <w:rPr>
            <w:noProof/>
            <w:webHidden/>
          </w:rPr>
          <w:tab/>
        </w:r>
        <w:r>
          <w:rPr>
            <w:noProof/>
            <w:webHidden/>
          </w:rPr>
          <w:fldChar w:fldCharType="begin"/>
        </w:r>
        <w:r>
          <w:rPr>
            <w:noProof/>
            <w:webHidden/>
          </w:rPr>
          <w:instrText xml:space="preserve"> PAGEREF _Toc486576531 \h </w:instrText>
        </w:r>
        <w:r>
          <w:rPr>
            <w:noProof/>
            <w:webHidden/>
          </w:rPr>
        </w:r>
        <w:r>
          <w:rPr>
            <w:noProof/>
            <w:webHidden/>
          </w:rPr>
          <w:fldChar w:fldCharType="separate"/>
        </w:r>
        <w:r>
          <w:rPr>
            <w:noProof/>
            <w:webHidden/>
          </w:rPr>
          <w:t>44</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32" w:history="1">
        <w:r w:rsidRPr="00D96B2C">
          <w:rPr>
            <w:rStyle w:val="Hyperlink"/>
            <w:noProof/>
          </w:rPr>
          <w:t>II.6. Durata de soluţionare a cauzelor</w:t>
        </w:r>
        <w:r>
          <w:rPr>
            <w:noProof/>
            <w:webHidden/>
          </w:rPr>
          <w:tab/>
        </w:r>
        <w:r>
          <w:rPr>
            <w:noProof/>
            <w:webHidden/>
          </w:rPr>
          <w:fldChar w:fldCharType="begin"/>
        </w:r>
        <w:r>
          <w:rPr>
            <w:noProof/>
            <w:webHidden/>
          </w:rPr>
          <w:instrText xml:space="preserve"> PAGEREF _Toc486576532 \h </w:instrText>
        </w:r>
        <w:r>
          <w:rPr>
            <w:noProof/>
            <w:webHidden/>
          </w:rPr>
        </w:r>
        <w:r>
          <w:rPr>
            <w:noProof/>
            <w:webHidden/>
          </w:rPr>
          <w:fldChar w:fldCharType="separate"/>
        </w:r>
        <w:r>
          <w:rPr>
            <w:noProof/>
            <w:webHidden/>
          </w:rPr>
          <w:t>46</w:t>
        </w:r>
        <w:r>
          <w:rPr>
            <w:noProof/>
            <w:webHidden/>
          </w:rPr>
          <w:fldChar w:fldCharType="end"/>
        </w:r>
      </w:hyperlink>
    </w:p>
    <w:p w:rsidR="00C742FD" w:rsidRDefault="00C742FD">
      <w:pPr>
        <w:pStyle w:val="TOC1"/>
        <w:rPr>
          <w:rFonts w:eastAsiaTheme="minorEastAsia" w:cstheme="minorBidi"/>
          <w:b w:val="0"/>
          <w:bCs w:val="0"/>
          <w:sz w:val="22"/>
          <w:szCs w:val="22"/>
          <w:lang w:val="en-US" w:eastAsia="en-US"/>
        </w:rPr>
      </w:pPr>
      <w:hyperlink w:anchor="_Toc486576533" w:history="1">
        <w:r w:rsidRPr="00D96B2C">
          <w:rPr>
            <w:rStyle w:val="Hyperlink"/>
          </w:rPr>
          <w:t>III. Date statistice privind activitatea parchetelor</w:t>
        </w:r>
        <w:r>
          <w:rPr>
            <w:webHidden/>
          </w:rPr>
          <w:tab/>
        </w:r>
        <w:r>
          <w:rPr>
            <w:webHidden/>
          </w:rPr>
          <w:fldChar w:fldCharType="begin"/>
        </w:r>
        <w:r>
          <w:rPr>
            <w:webHidden/>
          </w:rPr>
          <w:instrText xml:space="preserve"> PAGEREF _Toc486576533 \h </w:instrText>
        </w:r>
        <w:r>
          <w:rPr>
            <w:webHidden/>
          </w:rPr>
        </w:r>
        <w:r>
          <w:rPr>
            <w:webHidden/>
          </w:rPr>
          <w:fldChar w:fldCharType="separate"/>
        </w:r>
        <w:r>
          <w:rPr>
            <w:webHidden/>
          </w:rPr>
          <w:t>49</w:t>
        </w:r>
        <w:r>
          <w:rPr>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34" w:history="1">
        <w:r w:rsidRPr="00D96B2C">
          <w:rPr>
            <w:rStyle w:val="Hyperlink"/>
            <w:noProof/>
          </w:rPr>
          <w:t>III.1. Volumul de activitate la nivelul parchetelor</w:t>
        </w:r>
        <w:r>
          <w:rPr>
            <w:noProof/>
            <w:webHidden/>
          </w:rPr>
          <w:tab/>
        </w:r>
        <w:r>
          <w:rPr>
            <w:noProof/>
            <w:webHidden/>
          </w:rPr>
          <w:fldChar w:fldCharType="begin"/>
        </w:r>
        <w:r>
          <w:rPr>
            <w:noProof/>
            <w:webHidden/>
          </w:rPr>
          <w:instrText xml:space="preserve"> PAGEREF _Toc486576534 \h </w:instrText>
        </w:r>
        <w:r>
          <w:rPr>
            <w:noProof/>
            <w:webHidden/>
          </w:rPr>
        </w:r>
        <w:r>
          <w:rPr>
            <w:noProof/>
            <w:webHidden/>
          </w:rPr>
          <w:fldChar w:fldCharType="separate"/>
        </w:r>
        <w:r>
          <w:rPr>
            <w:noProof/>
            <w:webHidden/>
          </w:rPr>
          <w:t>49</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35" w:history="1">
        <w:r w:rsidRPr="00D96B2C">
          <w:rPr>
            <w:rStyle w:val="Hyperlink"/>
            <w:noProof/>
          </w:rPr>
          <w:t>III.1.1. Activitatea la nivelul Parchetului de pe lângă Înalta Curte de Casaţie şi Justiţie</w:t>
        </w:r>
        <w:r>
          <w:rPr>
            <w:noProof/>
            <w:webHidden/>
          </w:rPr>
          <w:tab/>
        </w:r>
        <w:r>
          <w:rPr>
            <w:noProof/>
            <w:webHidden/>
          </w:rPr>
          <w:fldChar w:fldCharType="begin"/>
        </w:r>
        <w:r>
          <w:rPr>
            <w:noProof/>
            <w:webHidden/>
          </w:rPr>
          <w:instrText xml:space="preserve"> PAGEREF _Toc486576535 \h </w:instrText>
        </w:r>
        <w:r>
          <w:rPr>
            <w:noProof/>
            <w:webHidden/>
          </w:rPr>
        </w:r>
        <w:r>
          <w:rPr>
            <w:noProof/>
            <w:webHidden/>
          </w:rPr>
          <w:fldChar w:fldCharType="separate"/>
        </w:r>
        <w:r>
          <w:rPr>
            <w:noProof/>
            <w:webHidden/>
          </w:rPr>
          <w:t>49</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36" w:history="1">
        <w:r w:rsidRPr="00D96B2C">
          <w:rPr>
            <w:rStyle w:val="Hyperlink"/>
            <w:noProof/>
          </w:rPr>
          <w:t>III.1.2. Activitatea la nivelul parchetelor de pe lângă curţile de apel</w:t>
        </w:r>
        <w:r>
          <w:rPr>
            <w:noProof/>
            <w:webHidden/>
          </w:rPr>
          <w:tab/>
        </w:r>
        <w:r>
          <w:rPr>
            <w:noProof/>
            <w:webHidden/>
          </w:rPr>
          <w:fldChar w:fldCharType="begin"/>
        </w:r>
        <w:r>
          <w:rPr>
            <w:noProof/>
            <w:webHidden/>
          </w:rPr>
          <w:instrText xml:space="preserve"> PAGEREF _Toc486576536 \h </w:instrText>
        </w:r>
        <w:r>
          <w:rPr>
            <w:noProof/>
            <w:webHidden/>
          </w:rPr>
        </w:r>
        <w:r>
          <w:rPr>
            <w:noProof/>
            <w:webHidden/>
          </w:rPr>
          <w:fldChar w:fldCharType="separate"/>
        </w:r>
        <w:r>
          <w:rPr>
            <w:noProof/>
            <w:webHidden/>
          </w:rPr>
          <w:t>50</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37" w:history="1">
        <w:r w:rsidRPr="00D96B2C">
          <w:rPr>
            <w:rStyle w:val="Hyperlink"/>
            <w:noProof/>
          </w:rPr>
          <w:t>III.1.3. Activitatea la nivelul parchetelor de pe lângă tribunale</w:t>
        </w:r>
        <w:r>
          <w:rPr>
            <w:noProof/>
            <w:webHidden/>
          </w:rPr>
          <w:tab/>
        </w:r>
        <w:r>
          <w:rPr>
            <w:noProof/>
            <w:webHidden/>
          </w:rPr>
          <w:fldChar w:fldCharType="begin"/>
        </w:r>
        <w:r>
          <w:rPr>
            <w:noProof/>
            <w:webHidden/>
          </w:rPr>
          <w:instrText xml:space="preserve"> PAGEREF _Toc486576537 \h </w:instrText>
        </w:r>
        <w:r>
          <w:rPr>
            <w:noProof/>
            <w:webHidden/>
          </w:rPr>
        </w:r>
        <w:r>
          <w:rPr>
            <w:noProof/>
            <w:webHidden/>
          </w:rPr>
          <w:fldChar w:fldCharType="separate"/>
        </w:r>
        <w:r>
          <w:rPr>
            <w:noProof/>
            <w:webHidden/>
          </w:rPr>
          <w:t>51</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38" w:history="1">
        <w:r w:rsidRPr="00D96B2C">
          <w:rPr>
            <w:rStyle w:val="Hyperlink"/>
            <w:noProof/>
          </w:rPr>
          <w:t>III.1.4. Activitatea la nivelul parchetelor de pe lângă judecătorii</w:t>
        </w:r>
        <w:r>
          <w:rPr>
            <w:noProof/>
            <w:webHidden/>
          </w:rPr>
          <w:tab/>
        </w:r>
        <w:r>
          <w:rPr>
            <w:noProof/>
            <w:webHidden/>
          </w:rPr>
          <w:fldChar w:fldCharType="begin"/>
        </w:r>
        <w:r>
          <w:rPr>
            <w:noProof/>
            <w:webHidden/>
          </w:rPr>
          <w:instrText xml:space="preserve"> PAGEREF _Toc486576538 \h </w:instrText>
        </w:r>
        <w:r>
          <w:rPr>
            <w:noProof/>
            <w:webHidden/>
          </w:rPr>
        </w:r>
        <w:r>
          <w:rPr>
            <w:noProof/>
            <w:webHidden/>
          </w:rPr>
          <w:fldChar w:fldCharType="separate"/>
        </w:r>
        <w:r>
          <w:rPr>
            <w:noProof/>
            <w:webHidden/>
          </w:rPr>
          <w:t>53</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39" w:history="1">
        <w:r w:rsidRPr="00D96B2C">
          <w:rPr>
            <w:rStyle w:val="Hyperlink"/>
            <w:noProof/>
          </w:rPr>
          <w:t>III.2. Încărcătura pe procuror</w:t>
        </w:r>
        <w:r>
          <w:rPr>
            <w:noProof/>
            <w:webHidden/>
          </w:rPr>
          <w:tab/>
        </w:r>
        <w:r>
          <w:rPr>
            <w:noProof/>
            <w:webHidden/>
          </w:rPr>
          <w:fldChar w:fldCharType="begin"/>
        </w:r>
        <w:r>
          <w:rPr>
            <w:noProof/>
            <w:webHidden/>
          </w:rPr>
          <w:instrText xml:space="preserve"> PAGEREF _Toc486576539 \h </w:instrText>
        </w:r>
        <w:r>
          <w:rPr>
            <w:noProof/>
            <w:webHidden/>
          </w:rPr>
        </w:r>
        <w:r>
          <w:rPr>
            <w:noProof/>
            <w:webHidden/>
          </w:rPr>
          <w:fldChar w:fldCharType="separate"/>
        </w:r>
        <w:r>
          <w:rPr>
            <w:noProof/>
            <w:webHidden/>
          </w:rPr>
          <w:t>5</w:t>
        </w:r>
        <w:r>
          <w:rPr>
            <w:noProof/>
            <w:webHidden/>
          </w:rPr>
          <w:t>6</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40" w:history="1">
        <w:r w:rsidRPr="00D96B2C">
          <w:rPr>
            <w:rStyle w:val="Hyperlink"/>
            <w:noProof/>
          </w:rPr>
          <w:t>III.2.1. Încărcătura de dosare pe procuror la nivelul Parchetului de pe lângă Înalta Curte de Casaţie şi Justiţie</w:t>
        </w:r>
        <w:r>
          <w:rPr>
            <w:noProof/>
            <w:webHidden/>
          </w:rPr>
          <w:tab/>
        </w:r>
        <w:r>
          <w:rPr>
            <w:noProof/>
            <w:webHidden/>
          </w:rPr>
          <w:fldChar w:fldCharType="begin"/>
        </w:r>
        <w:r>
          <w:rPr>
            <w:noProof/>
            <w:webHidden/>
          </w:rPr>
          <w:instrText xml:space="preserve"> PAGEREF _Toc486576540 \h </w:instrText>
        </w:r>
        <w:r>
          <w:rPr>
            <w:noProof/>
            <w:webHidden/>
          </w:rPr>
        </w:r>
        <w:r>
          <w:rPr>
            <w:noProof/>
            <w:webHidden/>
          </w:rPr>
          <w:fldChar w:fldCharType="separate"/>
        </w:r>
        <w:r>
          <w:rPr>
            <w:noProof/>
            <w:webHidden/>
          </w:rPr>
          <w:t>56</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41" w:history="1">
        <w:r w:rsidRPr="00D96B2C">
          <w:rPr>
            <w:rStyle w:val="Hyperlink"/>
            <w:noProof/>
          </w:rPr>
          <w:t>III.2.2. Încărcătura la nivelul parchetelor de pe lângă curţile de apel</w:t>
        </w:r>
        <w:r>
          <w:rPr>
            <w:noProof/>
            <w:webHidden/>
          </w:rPr>
          <w:tab/>
        </w:r>
        <w:r>
          <w:rPr>
            <w:noProof/>
            <w:webHidden/>
          </w:rPr>
          <w:fldChar w:fldCharType="begin"/>
        </w:r>
        <w:r>
          <w:rPr>
            <w:noProof/>
            <w:webHidden/>
          </w:rPr>
          <w:instrText xml:space="preserve"> PAGEREF _Toc486576541 \h </w:instrText>
        </w:r>
        <w:r>
          <w:rPr>
            <w:noProof/>
            <w:webHidden/>
          </w:rPr>
        </w:r>
        <w:r>
          <w:rPr>
            <w:noProof/>
            <w:webHidden/>
          </w:rPr>
          <w:fldChar w:fldCharType="separate"/>
        </w:r>
        <w:r>
          <w:rPr>
            <w:noProof/>
            <w:webHidden/>
          </w:rPr>
          <w:t>57</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42" w:history="1">
        <w:r w:rsidRPr="00D96B2C">
          <w:rPr>
            <w:rStyle w:val="Hyperlink"/>
            <w:noProof/>
          </w:rPr>
          <w:t>III.2.3. Încărcătura la nivelul parchetelor de pe lângă tribunale</w:t>
        </w:r>
        <w:r>
          <w:rPr>
            <w:noProof/>
            <w:webHidden/>
          </w:rPr>
          <w:tab/>
        </w:r>
        <w:r>
          <w:rPr>
            <w:noProof/>
            <w:webHidden/>
          </w:rPr>
          <w:fldChar w:fldCharType="begin"/>
        </w:r>
        <w:r>
          <w:rPr>
            <w:noProof/>
            <w:webHidden/>
          </w:rPr>
          <w:instrText xml:space="preserve"> PAGEREF _Toc486576542 \h </w:instrText>
        </w:r>
        <w:r>
          <w:rPr>
            <w:noProof/>
            <w:webHidden/>
          </w:rPr>
        </w:r>
        <w:r>
          <w:rPr>
            <w:noProof/>
            <w:webHidden/>
          </w:rPr>
          <w:fldChar w:fldCharType="separate"/>
        </w:r>
        <w:r>
          <w:rPr>
            <w:noProof/>
            <w:webHidden/>
          </w:rPr>
          <w:t>58</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43" w:history="1">
        <w:r w:rsidRPr="00D96B2C">
          <w:rPr>
            <w:rStyle w:val="Hyperlink"/>
            <w:noProof/>
          </w:rPr>
          <w:t>III.2.4. Încărcătura la nivelul parchetelor de pe lângă judecătorii</w:t>
        </w:r>
        <w:r>
          <w:rPr>
            <w:noProof/>
            <w:webHidden/>
          </w:rPr>
          <w:tab/>
        </w:r>
        <w:r>
          <w:rPr>
            <w:noProof/>
            <w:webHidden/>
          </w:rPr>
          <w:fldChar w:fldCharType="begin"/>
        </w:r>
        <w:r>
          <w:rPr>
            <w:noProof/>
            <w:webHidden/>
          </w:rPr>
          <w:instrText xml:space="preserve"> PAGEREF _Toc486576543 \h </w:instrText>
        </w:r>
        <w:r>
          <w:rPr>
            <w:noProof/>
            <w:webHidden/>
          </w:rPr>
        </w:r>
        <w:r>
          <w:rPr>
            <w:noProof/>
            <w:webHidden/>
          </w:rPr>
          <w:fldChar w:fldCharType="separate"/>
        </w:r>
        <w:r>
          <w:rPr>
            <w:noProof/>
            <w:webHidden/>
          </w:rPr>
          <w:t>59</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44" w:history="1">
        <w:r w:rsidRPr="00D96B2C">
          <w:rPr>
            <w:rStyle w:val="Hyperlink"/>
            <w:noProof/>
          </w:rPr>
          <w:t>III.3. Operativitatea soluţionării cauzelor</w:t>
        </w:r>
        <w:r>
          <w:rPr>
            <w:noProof/>
            <w:webHidden/>
          </w:rPr>
          <w:tab/>
        </w:r>
        <w:r>
          <w:rPr>
            <w:noProof/>
            <w:webHidden/>
          </w:rPr>
          <w:fldChar w:fldCharType="begin"/>
        </w:r>
        <w:r>
          <w:rPr>
            <w:noProof/>
            <w:webHidden/>
          </w:rPr>
          <w:instrText xml:space="preserve"> PAGEREF _Toc486576544 \h </w:instrText>
        </w:r>
        <w:r>
          <w:rPr>
            <w:noProof/>
            <w:webHidden/>
          </w:rPr>
        </w:r>
        <w:r>
          <w:rPr>
            <w:noProof/>
            <w:webHidden/>
          </w:rPr>
          <w:fldChar w:fldCharType="separate"/>
        </w:r>
        <w:r>
          <w:rPr>
            <w:noProof/>
            <w:webHidden/>
          </w:rPr>
          <w:t>60</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45" w:history="1">
        <w:r w:rsidRPr="00D96B2C">
          <w:rPr>
            <w:rStyle w:val="Hyperlink"/>
            <w:noProof/>
          </w:rPr>
          <w:t>III.3.1. Operativitatea la nivelul Parchetului de pe lângă Înalta Curte de Casaţie şi Justiţie</w:t>
        </w:r>
        <w:r>
          <w:rPr>
            <w:noProof/>
            <w:webHidden/>
          </w:rPr>
          <w:tab/>
        </w:r>
        <w:r>
          <w:rPr>
            <w:noProof/>
            <w:webHidden/>
          </w:rPr>
          <w:fldChar w:fldCharType="begin"/>
        </w:r>
        <w:r>
          <w:rPr>
            <w:noProof/>
            <w:webHidden/>
          </w:rPr>
          <w:instrText xml:space="preserve"> PAGEREF _Toc486576545 \h </w:instrText>
        </w:r>
        <w:r>
          <w:rPr>
            <w:noProof/>
            <w:webHidden/>
          </w:rPr>
        </w:r>
        <w:r>
          <w:rPr>
            <w:noProof/>
            <w:webHidden/>
          </w:rPr>
          <w:fldChar w:fldCharType="separate"/>
        </w:r>
        <w:r>
          <w:rPr>
            <w:noProof/>
            <w:webHidden/>
          </w:rPr>
          <w:t>60</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46" w:history="1">
        <w:r w:rsidRPr="00D96B2C">
          <w:rPr>
            <w:rStyle w:val="Hyperlink"/>
            <w:noProof/>
            <w:kern w:val="28"/>
          </w:rPr>
          <w:t>III.3.2. Operativitatea la nivelul parchetelor de pe lângă curţile de apel</w:t>
        </w:r>
        <w:r>
          <w:rPr>
            <w:noProof/>
            <w:webHidden/>
          </w:rPr>
          <w:tab/>
        </w:r>
        <w:r>
          <w:rPr>
            <w:noProof/>
            <w:webHidden/>
          </w:rPr>
          <w:fldChar w:fldCharType="begin"/>
        </w:r>
        <w:r>
          <w:rPr>
            <w:noProof/>
            <w:webHidden/>
          </w:rPr>
          <w:instrText xml:space="preserve"> PAGEREF _Toc486576546 \h </w:instrText>
        </w:r>
        <w:r>
          <w:rPr>
            <w:noProof/>
            <w:webHidden/>
          </w:rPr>
        </w:r>
        <w:r>
          <w:rPr>
            <w:noProof/>
            <w:webHidden/>
          </w:rPr>
          <w:fldChar w:fldCharType="separate"/>
        </w:r>
        <w:r>
          <w:rPr>
            <w:noProof/>
            <w:webHidden/>
          </w:rPr>
          <w:t>61</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47" w:history="1">
        <w:r w:rsidRPr="00D96B2C">
          <w:rPr>
            <w:rStyle w:val="Hyperlink"/>
            <w:noProof/>
            <w:kern w:val="28"/>
          </w:rPr>
          <w:t>III.3.3. Operativitatea la nivelul parchetelor de pe lângă tribunale</w:t>
        </w:r>
        <w:r>
          <w:rPr>
            <w:noProof/>
            <w:webHidden/>
          </w:rPr>
          <w:tab/>
        </w:r>
        <w:r>
          <w:rPr>
            <w:noProof/>
            <w:webHidden/>
          </w:rPr>
          <w:fldChar w:fldCharType="begin"/>
        </w:r>
        <w:r>
          <w:rPr>
            <w:noProof/>
            <w:webHidden/>
          </w:rPr>
          <w:instrText xml:space="preserve"> PAGEREF _Toc486576547 \h </w:instrText>
        </w:r>
        <w:r>
          <w:rPr>
            <w:noProof/>
            <w:webHidden/>
          </w:rPr>
        </w:r>
        <w:r>
          <w:rPr>
            <w:noProof/>
            <w:webHidden/>
          </w:rPr>
          <w:fldChar w:fldCharType="separate"/>
        </w:r>
        <w:r>
          <w:rPr>
            <w:noProof/>
            <w:webHidden/>
          </w:rPr>
          <w:t>61</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48" w:history="1">
        <w:r w:rsidRPr="00D96B2C">
          <w:rPr>
            <w:rStyle w:val="Hyperlink"/>
            <w:noProof/>
            <w:kern w:val="28"/>
          </w:rPr>
          <w:t>III.3.4. Operativitatea la nivelul parchetelor de pe lângă judecătorii</w:t>
        </w:r>
        <w:r>
          <w:rPr>
            <w:noProof/>
            <w:webHidden/>
          </w:rPr>
          <w:tab/>
        </w:r>
        <w:r>
          <w:rPr>
            <w:noProof/>
            <w:webHidden/>
          </w:rPr>
          <w:fldChar w:fldCharType="begin"/>
        </w:r>
        <w:r>
          <w:rPr>
            <w:noProof/>
            <w:webHidden/>
          </w:rPr>
          <w:instrText xml:space="preserve"> PAGEREF _Toc486576548 \h </w:instrText>
        </w:r>
        <w:r>
          <w:rPr>
            <w:noProof/>
            <w:webHidden/>
          </w:rPr>
        </w:r>
        <w:r>
          <w:rPr>
            <w:noProof/>
            <w:webHidden/>
          </w:rPr>
          <w:fldChar w:fldCharType="separate"/>
        </w:r>
        <w:r>
          <w:rPr>
            <w:noProof/>
            <w:webHidden/>
          </w:rPr>
          <w:t>61</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49" w:history="1">
        <w:r w:rsidRPr="00D96B2C">
          <w:rPr>
            <w:rStyle w:val="Hyperlink"/>
            <w:noProof/>
          </w:rPr>
          <w:t>III.4. Ponderea achitărilor la nivelul tuturor parchetelor:</w:t>
        </w:r>
        <w:r>
          <w:rPr>
            <w:noProof/>
            <w:webHidden/>
          </w:rPr>
          <w:tab/>
        </w:r>
        <w:r>
          <w:rPr>
            <w:noProof/>
            <w:webHidden/>
          </w:rPr>
          <w:fldChar w:fldCharType="begin"/>
        </w:r>
        <w:r>
          <w:rPr>
            <w:noProof/>
            <w:webHidden/>
          </w:rPr>
          <w:instrText xml:space="preserve"> PAGEREF _Toc486576549 \h </w:instrText>
        </w:r>
        <w:r>
          <w:rPr>
            <w:noProof/>
            <w:webHidden/>
          </w:rPr>
        </w:r>
        <w:r>
          <w:rPr>
            <w:noProof/>
            <w:webHidden/>
          </w:rPr>
          <w:fldChar w:fldCharType="separate"/>
        </w:r>
        <w:r>
          <w:rPr>
            <w:noProof/>
            <w:webHidden/>
          </w:rPr>
          <w:t>62</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50" w:history="1">
        <w:r w:rsidRPr="00D96B2C">
          <w:rPr>
            <w:rStyle w:val="Hyperlink"/>
            <w:noProof/>
          </w:rPr>
          <w:t>III.5. Ponderea cauzelor restituite de către instanţele de judecată în vederea refacerii urmăririi penale</w:t>
        </w:r>
        <w:r>
          <w:rPr>
            <w:noProof/>
            <w:webHidden/>
          </w:rPr>
          <w:tab/>
        </w:r>
        <w:r>
          <w:rPr>
            <w:noProof/>
            <w:webHidden/>
          </w:rPr>
          <w:fldChar w:fldCharType="begin"/>
        </w:r>
        <w:r>
          <w:rPr>
            <w:noProof/>
            <w:webHidden/>
          </w:rPr>
          <w:instrText xml:space="preserve"> PAGEREF _Toc486576550 \h </w:instrText>
        </w:r>
        <w:r>
          <w:rPr>
            <w:noProof/>
            <w:webHidden/>
          </w:rPr>
        </w:r>
        <w:r>
          <w:rPr>
            <w:noProof/>
            <w:webHidden/>
          </w:rPr>
          <w:fldChar w:fldCharType="separate"/>
        </w:r>
        <w:r>
          <w:rPr>
            <w:noProof/>
            <w:webHidden/>
          </w:rPr>
          <w:t>63</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51" w:history="1">
        <w:r w:rsidRPr="00D96B2C">
          <w:rPr>
            <w:rStyle w:val="Hyperlink"/>
            <w:noProof/>
          </w:rPr>
          <w:t>III.6. Plângerile împotriva măsurilor procurorului de netrimitere în judecată</w:t>
        </w:r>
        <w:r>
          <w:rPr>
            <w:noProof/>
            <w:webHidden/>
          </w:rPr>
          <w:tab/>
        </w:r>
        <w:r>
          <w:rPr>
            <w:noProof/>
            <w:webHidden/>
          </w:rPr>
          <w:fldChar w:fldCharType="begin"/>
        </w:r>
        <w:r>
          <w:rPr>
            <w:noProof/>
            <w:webHidden/>
          </w:rPr>
          <w:instrText xml:space="preserve"> PAGEREF _Toc486576551 \h </w:instrText>
        </w:r>
        <w:r>
          <w:rPr>
            <w:noProof/>
            <w:webHidden/>
          </w:rPr>
        </w:r>
        <w:r>
          <w:rPr>
            <w:noProof/>
            <w:webHidden/>
          </w:rPr>
          <w:fldChar w:fldCharType="separate"/>
        </w:r>
        <w:r>
          <w:rPr>
            <w:noProof/>
            <w:webHidden/>
          </w:rPr>
          <w:t>64</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52" w:history="1">
        <w:r w:rsidRPr="00D96B2C">
          <w:rPr>
            <w:rStyle w:val="Hyperlink"/>
            <w:noProof/>
          </w:rPr>
          <w:t>III.7. Date statistice relevante privind starea infracțională prin prisma activităţii Parchetelor</w:t>
        </w:r>
        <w:r>
          <w:rPr>
            <w:noProof/>
            <w:webHidden/>
          </w:rPr>
          <w:tab/>
        </w:r>
        <w:r>
          <w:rPr>
            <w:noProof/>
            <w:webHidden/>
          </w:rPr>
          <w:fldChar w:fldCharType="begin"/>
        </w:r>
        <w:r>
          <w:rPr>
            <w:noProof/>
            <w:webHidden/>
          </w:rPr>
          <w:instrText xml:space="preserve"> PAGEREF _Toc486576552 \h </w:instrText>
        </w:r>
        <w:r>
          <w:rPr>
            <w:noProof/>
            <w:webHidden/>
          </w:rPr>
        </w:r>
        <w:r>
          <w:rPr>
            <w:noProof/>
            <w:webHidden/>
          </w:rPr>
          <w:fldChar w:fldCharType="separate"/>
        </w:r>
        <w:r>
          <w:rPr>
            <w:noProof/>
            <w:webHidden/>
          </w:rPr>
          <w:t>65</w:t>
        </w:r>
        <w:r>
          <w:rPr>
            <w:noProof/>
            <w:webHidden/>
          </w:rPr>
          <w:fldChar w:fldCharType="end"/>
        </w:r>
      </w:hyperlink>
    </w:p>
    <w:p w:rsidR="00C742FD" w:rsidRDefault="00C742FD">
      <w:pPr>
        <w:pStyle w:val="TOC1"/>
        <w:rPr>
          <w:rFonts w:eastAsiaTheme="minorEastAsia" w:cstheme="minorBidi"/>
          <w:b w:val="0"/>
          <w:bCs w:val="0"/>
          <w:sz w:val="22"/>
          <w:szCs w:val="22"/>
          <w:lang w:val="en-US" w:eastAsia="en-US"/>
        </w:rPr>
      </w:pPr>
      <w:hyperlink w:anchor="_Toc486576553" w:history="1">
        <w:r w:rsidRPr="00D96B2C">
          <w:rPr>
            <w:rStyle w:val="Hyperlink"/>
          </w:rPr>
          <w:t>ANUL</w:t>
        </w:r>
        <w:r>
          <w:rPr>
            <w:webHidden/>
          </w:rPr>
          <w:tab/>
        </w:r>
        <w:r>
          <w:rPr>
            <w:webHidden/>
          </w:rPr>
          <w:fldChar w:fldCharType="begin"/>
        </w:r>
        <w:r>
          <w:rPr>
            <w:webHidden/>
          </w:rPr>
          <w:instrText xml:space="preserve"> PAGEREF _Toc486576553 \h </w:instrText>
        </w:r>
        <w:r>
          <w:rPr>
            <w:webHidden/>
          </w:rPr>
        </w:r>
        <w:r>
          <w:rPr>
            <w:webHidden/>
          </w:rPr>
          <w:fldChar w:fldCharType="separate"/>
        </w:r>
        <w:r>
          <w:rPr>
            <w:webHidden/>
          </w:rPr>
          <w:t>69</w:t>
        </w:r>
        <w:r>
          <w:rPr>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54" w:history="1">
        <w:r w:rsidRPr="00D96B2C">
          <w:rPr>
            <w:rStyle w:val="Hyperlink"/>
            <w:noProof/>
          </w:rPr>
          <w:t>ANUL</w:t>
        </w:r>
        <w:r>
          <w:rPr>
            <w:noProof/>
            <w:webHidden/>
          </w:rPr>
          <w:tab/>
        </w:r>
        <w:r>
          <w:rPr>
            <w:noProof/>
            <w:webHidden/>
          </w:rPr>
          <w:fldChar w:fldCharType="begin"/>
        </w:r>
        <w:r>
          <w:rPr>
            <w:noProof/>
            <w:webHidden/>
          </w:rPr>
          <w:instrText xml:space="preserve"> PAGEREF _Toc486576554 \h </w:instrText>
        </w:r>
        <w:r>
          <w:rPr>
            <w:noProof/>
            <w:webHidden/>
          </w:rPr>
        </w:r>
        <w:r>
          <w:rPr>
            <w:noProof/>
            <w:webHidden/>
          </w:rPr>
          <w:fldChar w:fldCharType="separate"/>
        </w:r>
        <w:r>
          <w:rPr>
            <w:noProof/>
            <w:webHidden/>
          </w:rPr>
          <w:t>70</w:t>
        </w:r>
        <w:r>
          <w:rPr>
            <w:noProof/>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55" w:history="1">
        <w:r w:rsidRPr="00D96B2C">
          <w:rPr>
            <w:rStyle w:val="Hyperlink"/>
            <w:noProof/>
          </w:rPr>
          <w:t>III.8. Alţi indicatori statistici relevanți pentru activitatea procurorilor</w:t>
        </w:r>
        <w:r>
          <w:rPr>
            <w:noProof/>
            <w:webHidden/>
          </w:rPr>
          <w:tab/>
        </w:r>
        <w:r>
          <w:rPr>
            <w:noProof/>
            <w:webHidden/>
          </w:rPr>
          <w:fldChar w:fldCharType="begin"/>
        </w:r>
        <w:r>
          <w:rPr>
            <w:noProof/>
            <w:webHidden/>
          </w:rPr>
          <w:instrText xml:space="preserve"> PAGEREF _Toc486576555 \h </w:instrText>
        </w:r>
        <w:r>
          <w:rPr>
            <w:noProof/>
            <w:webHidden/>
          </w:rPr>
        </w:r>
        <w:r>
          <w:rPr>
            <w:noProof/>
            <w:webHidden/>
          </w:rPr>
          <w:fldChar w:fldCharType="separate"/>
        </w:r>
        <w:r>
          <w:rPr>
            <w:noProof/>
            <w:webHidden/>
          </w:rPr>
          <w:t>71</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56" w:history="1">
        <w:r w:rsidRPr="00D96B2C">
          <w:rPr>
            <w:rStyle w:val="Hyperlink"/>
            <w:noProof/>
          </w:rPr>
          <w:t>III.8.1. Activitatea judiciară în materie penală</w:t>
        </w:r>
        <w:r>
          <w:rPr>
            <w:noProof/>
            <w:webHidden/>
          </w:rPr>
          <w:tab/>
        </w:r>
        <w:r>
          <w:rPr>
            <w:noProof/>
            <w:webHidden/>
          </w:rPr>
          <w:fldChar w:fldCharType="begin"/>
        </w:r>
        <w:r>
          <w:rPr>
            <w:noProof/>
            <w:webHidden/>
          </w:rPr>
          <w:instrText xml:space="preserve"> PAGEREF _Toc486576556 \h </w:instrText>
        </w:r>
        <w:r>
          <w:rPr>
            <w:noProof/>
            <w:webHidden/>
          </w:rPr>
        </w:r>
        <w:r>
          <w:rPr>
            <w:noProof/>
            <w:webHidden/>
          </w:rPr>
          <w:fldChar w:fldCharType="separate"/>
        </w:r>
        <w:r>
          <w:rPr>
            <w:noProof/>
            <w:webHidden/>
          </w:rPr>
          <w:t>71</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57" w:history="1">
        <w:r w:rsidRPr="00D96B2C">
          <w:rPr>
            <w:rStyle w:val="Hyperlink"/>
            <w:noProof/>
          </w:rPr>
          <w:t>III.8.2. Activitatea judiciară în materie civilă</w:t>
        </w:r>
        <w:r>
          <w:rPr>
            <w:noProof/>
            <w:webHidden/>
          </w:rPr>
          <w:tab/>
        </w:r>
        <w:r>
          <w:rPr>
            <w:noProof/>
            <w:webHidden/>
          </w:rPr>
          <w:fldChar w:fldCharType="begin"/>
        </w:r>
        <w:r>
          <w:rPr>
            <w:noProof/>
            <w:webHidden/>
          </w:rPr>
          <w:instrText xml:space="preserve"> PAGEREF _Toc486576557 \h </w:instrText>
        </w:r>
        <w:r>
          <w:rPr>
            <w:noProof/>
            <w:webHidden/>
          </w:rPr>
        </w:r>
        <w:r>
          <w:rPr>
            <w:noProof/>
            <w:webHidden/>
          </w:rPr>
          <w:fldChar w:fldCharType="separate"/>
        </w:r>
        <w:r>
          <w:rPr>
            <w:noProof/>
            <w:webHidden/>
          </w:rPr>
          <w:t>71</w:t>
        </w:r>
        <w:r>
          <w:rPr>
            <w:noProof/>
            <w:webHidden/>
          </w:rPr>
          <w:fldChar w:fldCharType="end"/>
        </w:r>
      </w:hyperlink>
    </w:p>
    <w:p w:rsidR="00C742FD" w:rsidRDefault="00C742FD">
      <w:pPr>
        <w:pStyle w:val="TOC3"/>
        <w:tabs>
          <w:tab w:val="right" w:leader="dot" w:pos="9911"/>
        </w:tabs>
        <w:rPr>
          <w:rFonts w:asciiTheme="minorHAnsi" w:eastAsiaTheme="minorEastAsia" w:hAnsiTheme="minorHAnsi" w:cstheme="minorBidi"/>
          <w:noProof/>
          <w:sz w:val="22"/>
          <w:szCs w:val="22"/>
        </w:rPr>
      </w:pPr>
      <w:hyperlink w:anchor="_Toc486576558" w:history="1">
        <w:r w:rsidRPr="00D96B2C">
          <w:rPr>
            <w:rStyle w:val="Hyperlink"/>
            <w:noProof/>
          </w:rPr>
          <w:t>III.8.3 Activitatea de rezolvare a plângerilor, cererilor, memoriilor şi sesizărilor cetățenilor</w:t>
        </w:r>
        <w:r>
          <w:rPr>
            <w:noProof/>
            <w:webHidden/>
          </w:rPr>
          <w:tab/>
        </w:r>
        <w:r>
          <w:rPr>
            <w:noProof/>
            <w:webHidden/>
          </w:rPr>
          <w:fldChar w:fldCharType="begin"/>
        </w:r>
        <w:r>
          <w:rPr>
            <w:noProof/>
            <w:webHidden/>
          </w:rPr>
          <w:instrText xml:space="preserve"> PAGEREF _Toc486576558 \h </w:instrText>
        </w:r>
        <w:r>
          <w:rPr>
            <w:noProof/>
            <w:webHidden/>
          </w:rPr>
        </w:r>
        <w:r>
          <w:rPr>
            <w:noProof/>
            <w:webHidden/>
          </w:rPr>
          <w:fldChar w:fldCharType="separate"/>
        </w:r>
        <w:r>
          <w:rPr>
            <w:noProof/>
            <w:webHidden/>
          </w:rPr>
          <w:t>71</w:t>
        </w:r>
        <w:r>
          <w:rPr>
            <w:noProof/>
            <w:webHidden/>
          </w:rPr>
          <w:fldChar w:fldCharType="end"/>
        </w:r>
      </w:hyperlink>
    </w:p>
    <w:p w:rsidR="00C742FD" w:rsidRDefault="00C742FD">
      <w:pPr>
        <w:pStyle w:val="TOC1"/>
        <w:rPr>
          <w:rFonts w:eastAsiaTheme="minorEastAsia" w:cstheme="minorBidi"/>
          <w:b w:val="0"/>
          <w:bCs w:val="0"/>
          <w:sz w:val="22"/>
          <w:szCs w:val="22"/>
          <w:lang w:val="en-US" w:eastAsia="en-US"/>
        </w:rPr>
      </w:pPr>
      <w:hyperlink w:anchor="_Toc486576559" w:history="1">
        <w:r w:rsidRPr="00D96B2C">
          <w:rPr>
            <w:rStyle w:val="Hyperlink"/>
          </w:rPr>
          <w:t>IV. Date statistice referitoare la resursele umane la nivelul instanţelor</w:t>
        </w:r>
        <w:r>
          <w:rPr>
            <w:webHidden/>
          </w:rPr>
          <w:tab/>
        </w:r>
        <w:r>
          <w:rPr>
            <w:webHidden/>
          </w:rPr>
          <w:fldChar w:fldCharType="begin"/>
        </w:r>
        <w:r>
          <w:rPr>
            <w:webHidden/>
          </w:rPr>
          <w:instrText xml:space="preserve"> PAGEREF _Toc486576559 \h </w:instrText>
        </w:r>
        <w:r>
          <w:rPr>
            <w:webHidden/>
          </w:rPr>
        </w:r>
        <w:r>
          <w:rPr>
            <w:webHidden/>
          </w:rPr>
          <w:fldChar w:fldCharType="separate"/>
        </w:r>
        <w:r>
          <w:rPr>
            <w:webHidden/>
          </w:rPr>
          <w:t>72</w:t>
        </w:r>
        <w:r>
          <w:rPr>
            <w:webHidden/>
          </w:rPr>
          <w:fldChar w:fldCharType="end"/>
        </w:r>
      </w:hyperlink>
    </w:p>
    <w:p w:rsidR="00C742FD" w:rsidRDefault="00C742FD">
      <w:pPr>
        <w:pStyle w:val="TOC1"/>
        <w:rPr>
          <w:rFonts w:eastAsiaTheme="minorEastAsia" w:cstheme="minorBidi"/>
          <w:b w:val="0"/>
          <w:bCs w:val="0"/>
          <w:sz w:val="22"/>
          <w:szCs w:val="22"/>
          <w:lang w:val="en-US" w:eastAsia="en-US"/>
        </w:rPr>
      </w:pPr>
      <w:hyperlink w:anchor="_Toc486576560" w:history="1">
        <w:r w:rsidRPr="00D96B2C">
          <w:rPr>
            <w:rStyle w:val="Hyperlink"/>
          </w:rPr>
          <w:t>IV. 1. Situaţia posturilor de judecător, magistrat asistent, personal asimilat din Ministerul Justiţiei, Consiliul Superior al Magistraturii şi instituţiile subordonate, precum şi de personal auxiliar</w:t>
        </w:r>
        <w:r>
          <w:rPr>
            <w:webHidden/>
          </w:rPr>
          <w:tab/>
        </w:r>
        <w:r>
          <w:rPr>
            <w:webHidden/>
          </w:rPr>
          <w:fldChar w:fldCharType="begin"/>
        </w:r>
        <w:r>
          <w:rPr>
            <w:webHidden/>
          </w:rPr>
          <w:instrText xml:space="preserve"> PAGEREF _Toc486576560 \h </w:instrText>
        </w:r>
        <w:r>
          <w:rPr>
            <w:webHidden/>
          </w:rPr>
        </w:r>
        <w:r>
          <w:rPr>
            <w:webHidden/>
          </w:rPr>
          <w:fldChar w:fldCharType="separate"/>
        </w:r>
        <w:r>
          <w:rPr>
            <w:webHidden/>
          </w:rPr>
          <w:t>72</w:t>
        </w:r>
        <w:r>
          <w:rPr>
            <w:webHidden/>
          </w:rPr>
          <w:fldChar w:fldCharType="end"/>
        </w:r>
      </w:hyperlink>
    </w:p>
    <w:p w:rsidR="00C742FD" w:rsidRDefault="00C742FD">
      <w:pPr>
        <w:pStyle w:val="TOC1"/>
        <w:rPr>
          <w:rFonts w:eastAsiaTheme="minorEastAsia" w:cstheme="minorBidi"/>
          <w:b w:val="0"/>
          <w:bCs w:val="0"/>
          <w:sz w:val="22"/>
          <w:szCs w:val="22"/>
          <w:lang w:val="en-US" w:eastAsia="en-US"/>
        </w:rPr>
      </w:pPr>
      <w:hyperlink w:anchor="_Toc486576561" w:history="1">
        <w:r w:rsidRPr="00D96B2C">
          <w:rPr>
            <w:rStyle w:val="Hyperlink"/>
          </w:rPr>
          <w:t>V. Date statistice referitoare la resursele umane la nivelul parchetelor</w:t>
        </w:r>
        <w:r>
          <w:rPr>
            <w:webHidden/>
          </w:rPr>
          <w:tab/>
        </w:r>
        <w:r>
          <w:rPr>
            <w:webHidden/>
          </w:rPr>
          <w:fldChar w:fldCharType="begin"/>
        </w:r>
        <w:r>
          <w:rPr>
            <w:webHidden/>
          </w:rPr>
          <w:instrText xml:space="preserve"> PAGEREF _Toc486576561 \h </w:instrText>
        </w:r>
        <w:r>
          <w:rPr>
            <w:webHidden/>
          </w:rPr>
        </w:r>
        <w:r>
          <w:rPr>
            <w:webHidden/>
          </w:rPr>
          <w:fldChar w:fldCharType="separate"/>
        </w:r>
        <w:r>
          <w:rPr>
            <w:webHidden/>
          </w:rPr>
          <w:t>93</w:t>
        </w:r>
        <w:r>
          <w:rPr>
            <w:webHidden/>
          </w:rPr>
          <w:fldChar w:fldCharType="end"/>
        </w:r>
      </w:hyperlink>
    </w:p>
    <w:p w:rsidR="00C742FD" w:rsidRDefault="00C742FD">
      <w:pPr>
        <w:pStyle w:val="TOC1"/>
        <w:rPr>
          <w:rFonts w:eastAsiaTheme="minorEastAsia" w:cstheme="minorBidi"/>
          <w:b w:val="0"/>
          <w:bCs w:val="0"/>
          <w:sz w:val="22"/>
          <w:szCs w:val="22"/>
          <w:lang w:val="en-US" w:eastAsia="en-US"/>
        </w:rPr>
      </w:pPr>
      <w:hyperlink w:anchor="_Toc486576562" w:history="1">
        <w:r w:rsidRPr="00D96B2C">
          <w:rPr>
            <w:rStyle w:val="Hyperlink"/>
          </w:rPr>
          <w:t>V.1. situaţia posturilor (de procuror, personal asimilat din Ministerul Justiţiei, Consiliul Superior al Magistraturii şi instituţiile subordonate, personal auxiliar)</w:t>
        </w:r>
        <w:r>
          <w:rPr>
            <w:webHidden/>
          </w:rPr>
          <w:tab/>
        </w:r>
        <w:r>
          <w:rPr>
            <w:webHidden/>
          </w:rPr>
          <w:fldChar w:fldCharType="begin"/>
        </w:r>
        <w:r>
          <w:rPr>
            <w:webHidden/>
          </w:rPr>
          <w:instrText xml:space="preserve"> PAGEREF _Toc486576562 \h </w:instrText>
        </w:r>
        <w:r>
          <w:rPr>
            <w:webHidden/>
          </w:rPr>
        </w:r>
        <w:r>
          <w:rPr>
            <w:webHidden/>
          </w:rPr>
          <w:fldChar w:fldCharType="separate"/>
        </w:r>
        <w:r>
          <w:rPr>
            <w:webHidden/>
          </w:rPr>
          <w:t>93</w:t>
        </w:r>
        <w:r>
          <w:rPr>
            <w:webHidden/>
          </w:rPr>
          <w:fldChar w:fldCharType="end"/>
        </w:r>
      </w:hyperlink>
    </w:p>
    <w:p w:rsidR="00C742FD" w:rsidRDefault="00C742FD">
      <w:pPr>
        <w:pStyle w:val="TOC1"/>
        <w:rPr>
          <w:rFonts w:eastAsiaTheme="minorEastAsia" w:cstheme="minorBidi"/>
          <w:b w:val="0"/>
          <w:bCs w:val="0"/>
          <w:sz w:val="22"/>
          <w:szCs w:val="22"/>
          <w:lang w:val="en-US" w:eastAsia="en-US"/>
        </w:rPr>
      </w:pPr>
      <w:hyperlink w:anchor="_Toc486576563" w:history="1">
        <w:r w:rsidRPr="00D96B2C">
          <w:rPr>
            <w:rStyle w:val="Hyperlink"/>
          </w:rPr>
          <w:t>VI. Infrastructura instanţelor</w:t>
        </w:r>
        <w:r>
          <w:rPr>
            <w:webHidden/>
          </w:rPr>
          <w:tab/>
        </w:r>
        <w:r>
          <w:rPr>
            <w:webHidden/>
          </w:rPr>
          <w:fldChar w:fldCharType="begin"/>
        </w:r>
        <w:r>
          <w:rPr>
            <w:webHidden/>
          </w:rPr>
          <w:instrText xml:space="preserve"> PAGEREF _Toc486576563 \h </w:instrText>
        </w:r>
        <w:r>
          <w:rPr>
            <w:webHidden/>
          </w:rPr>
        </w:r>
        <w:r>
          <w:rPr>
            <w:webHidden/>
          </w:rPr>
          <w:fldChar w:fldCharType="separate"/>
        </w:r>
        <w:r>
          <w:rPr>
            <w:webHidden/>
          </w:rPr>
          <w:t>104</w:t>
        </w:r>
        <w:r>
          <w:rPr>
            <w:webHidden/>
          </w:rPr>
          <w:fldChar w:fldCharType="end"/>
        </w:r>
      </w:hyperlink>
    </w:p>
    <w:p w:rsidR="00C742FD" w:rsidRDefault="00C742FD">
      <w:pPr>
        <w:pStyle w:val="TOC1"/>
        <w:rPr>
          <w:rFonts w:eastAsiaTheme="minorEastAsia" w:cstheme="minorBidi"/>
          <w:b w:val="0"/>
          <w:bCs w:val="0"/>
          <w:sz w:val="22"/>
          <w:szCs w:val="22"/>
          <w:lang w:val="en-US" w:eastAsia="en-US"/>
        </w:rPr>
      </w:pPr>
      <w:hyperlink w:anchor="_Toc486576564" w:history="1">
        <w:r w:rsidRPr="00D96B2C">
          <w:rPr>
            <w:rStyle w:val="Hyperlink"/>
          </w:rPr>
          <w:t>VII. Infrastructura parchetelor</w:t>
        </w:r>
        <w:r>
          <w:rPr>
            <w:webHidden/>
          </w:rPr>
          <w:tab/>
        </w:r>
        <w:r>
          <w:rPr>
            <w:webHidden/>
          </w:rPr>
          <w:fldChar w:fldCharType="begin"/>
        </w:r>
        <w:r>
          <w:rPr>
            <w:webHidden/>
          </w:rPr>
          <w:instrText xml:space="preserve"> PAGEREF _Toc486576564 \h </w:instrText>
        </w:r>
        <w:r>
          <w:rPr>
            <w:webHidden/>
          </w:rPr>
        </w:r>
        <w:r>
          <w:rPr>
            <w:webHidden/>
          </w:rPr>
          <w:fldChar w:fldCharType="separate"/>
        </w:r>
        <w:r>
          <w:rPr>
            <w:webHidden/>
          </w:rPr>
          <w:t>109</w:t>
        </w:r>
        <w:r>
          <w:rPr>
            <w:webHidden/>
          </w:rPr>
          <w:fldChar w:fldCharType="end"/>
        </w:r>
      </w:hyperlink>
    </w:p>
    <w:p w:rsidR="00C742FD" w:rsidRDefault="00C742FD">
      <w:pPr>
        <w:pStyle w:val="TOC1"/>
        <w:rPr>
          <w:rFonts w:eastAsiaTheme="minorEastAsia" w:cstheme="minorBidi"/>
          <w:b w:val="0"/>
          <w:bCs w:val="0"/>
          <w:sz w:val="22"/>
          <w:szCs w:val="22"/>
          <w:lang w:val="en-US" w:eastAsia="en-US"/>
        </w:rPr>
      </w:pPr>
      <w:hyperlink w:anchor="_Toc486576565" w:history="1">
        <w:r w:rsidRPr="00D96B2C">
          <w:rPr>
            <w:rStyle w:val="Hyperlink"/>
          </w:rPr>
          <w:t>VIII. Date statistice privind cooperarea internaţională</w:t>
        </w:r>
        <w:r>
          <w:rPr>
            <w:webHidden/>
          </w:rPr>
          <w:tab/>
        </w:r>
        <w:r>
          <w:rPr>
            <w:webHidden/>
          </w:rPr>
          <w:fldChar w:fldCharType="begin"/>
        </w:r>
        <w:r>
          <w:rPr>
            <w:webHidden/>
          </w:rPr>
          <w:instrText xml:space="preserve"> PAGEREF _Toc486576565 \h </w:instrText>
        </w:r>
        <w:r>
          <w:rPr>
            <w:webHidden/>
          </w:rPr>
        </w:r>
        <w:r>
          <w:rPr>
            <w:webHidden/>
          </w:rPr>
          <w:fldChar w:fldCharType="separate"/>
        </w:r>
        <w:r>
          <w:rPr>
            <w:webHidden/>
          </w:rPr>
          <w:t>111</w:t>
        </w:r>
        <w:r>
          <w:rPr>
            <w:webHidden/>
          </w:rPr>
          <w:fldChar w:fldCharType="end"/>
        </w:r>
      </w:hyperlink>
    </w:p>
    <w:p w:rsidR="00C742FD" w:rsidRDefault="00C742FD">
      <w:pPr>
        <w:pStyle w:val="TOC1"/>
        <w:rPr>
          <w:rFonts w:eastAsiaTheme="minorEastAsia" w:cstheme="minorBidi"/>
          <w:b w:val="0"/>
          <w:bCs w:val="0"/>
          <w:sz w:val="22"/>
          <w:szCs w:val="22"/>
          <w:lang w:val="en-US" w:eastAsia="en-US"/>
        </w:rPr>
      </w:pPr>
      <w:hyperlink w:anchor="_Toc486576566" w:history="1">
        <w:r w:rsidRPr="00D96B2C">
          <w:rPr>
            <w:rStyle w:val="Hyperlink"/>
          </w:rPr>
          <w:t xml:space="preserve">IX. </w:t>
        </w:r>
        <w:r w:rsidRPr="00D96B2C">
          <w:rPr>
            <w:rStyle w:val="Hyperlink"/>
            <w:rFonts w:eastAsia="Calibri"/>
          </w:rPr>
          <w:t>Apărarea independenţei şi imparţialităţii sistemului judiciar</w:t>
        </w:r>
        <w:r>
          <w:rPr>
            <w:webHidden/>
          </w:rPr>
          <w:tab/>
        </w:r>
        <w:r>
          <w:rPr>
            <w:webHidden/>
          </w:rPr>
          <w:fldChar w:fldCharType="begin"/>
        </w:r>
        <w:r>
          <w:rPr>
            <w:webHidden/>
          </w:rPr>
          <w:instrText xml:space="preserve"> PAGEREF _Toc486576566 \h </w:instrText>
        </w:r>
        <w:r>
          <w:rPr>
            <w:webHidden/>
          </w:rPr>
        </w:r>
        <w:r>
          <w:rPr>
            <w:webHidden/>
          </w:rPr>
          <w:fldChar w:fldCharType="separate"/>
        </w:r>
        <w:r>
          <w:rPr>
            <w:webHidden/>
          </w:rPr>
          <w:t>118</w:t>
        </w:r>
        <w:r>
          <w:rPr>
            <w:webHidden/>
          </w:rPr>
          <w:fldChar w:fldCharType="end"/>
        </w:r>
      </w:hyperlink>
    </w:p>
    <w:p w:rsidR="00C742FD" w:rsidRDefault="00C742FD">
      <w:pPr>
        <w:pStyle w:val="TOC2"/>
        <w:tabs>
          <w:tab w:val="right" w:leader="dot" w:pos="9911"/>
        </w:tabs>
        <w:rPr>
          <w:rFonts w:asciiTheme="minorHAnsi" w:eastAsiaTheme="minorEastAsia" w:hAnsiTheme="minorHAnsi" w:cstheme="minorBidi"/>
          <w:i w:val="0"/>
          <w:iCs w:val="0"/>
          <w:noProof/>
          <w:sz w:val="22"/>
          <w:szCs w:val="22"/>
        </w:rPr>
      </w:pPr>
      <w:hyperlink w:anchor="_Toc486576567" w:history="1">
        <w:r w:rsidRPr="00D96B2C">
          <w:rPr>
            <w:rStyle w:val="Hyperlink"/>
            <w:noProof/>
            <w:lang w:val="ro-RO"/>
          </w:rPr>
          <w:t xml:space="preserve">În cadrul </w:t>
        </w:r>
        <w:r w:rsidRPr="00D96B2C">
          <w:rPr>
            <w:rStyle w:val="Hyperlink"/>
            <w:b/>
            <w:noProof/>
            <w:lang w:val="ro-RO"/>
          </w:rPr>
          <w:t>Direcţiei de inspecţie judiciară pentru judecători</w:t>
        </w:r>
        <w:r w:rsidRPr="00D96B2C">
          <w:rPr>
            <w:rStyle w:val="Hyperlink"/>
            <w:noProof/>
            <w:lang w:val="ro-RO"/>
          </w:rPr>
          <w:t xml:space="preserve"> au fost înregistrate </w:t>
        </w:r>
        <w:r w:rsidRPr="00D96B2C">
          <w:rPr>
            <w:rStyle w:val="Hyperlink"/>
            <w:b/>
            <w:noProof/>
            <w:lang w:val="ro-RO"/>
          </w:rPr>
          <w:t>17 cereri</w:t>
        </w:r>
        <w:r w:rsidRPr="00D96B2C">
          <w:rPr>
            <w:rStyle w:val="Hyperlink"/>
            <w:noProof/>
            <w:lang w:val="ro-RO"/>
          </w:rPr>
          <w:t xml:space="preserve"> de apărare a reputaţiei profesionale, independenţei şi imparţialităţii formulate de judecători,  dintre care 5 cereri au fost admise, 6 au fost respinse, 3 au fost retrase,  în 2 cazuri s-a luat act de renunţare la cereri şi o lucrare se află pe rolul Plenului Consiliului Superior al Magistraturii.</w:t>
        </w:r>
        <w:r>
          <w:rPr>
            <w:noProof/>
            <w:webHidden/>
          </w:rPr>
          <w:tab/>
        </w:r>
        <w:r>
          <w:rPr>
            <w:noProof/>
            <w:webHidden/>
          </w:rPr>
          <w:fldChar w:fldCharType="begin"/>
        </w:r>
        <w:r>
          <w:rPr>
            <w:noProof/>
            <w:webHidden/>
          </w:rPr>
          <w:instrText xml:space="preserve"> PAGEREF _Toc486576567 \h </w:instrText>
        </w:r>
        <w:r>
          <w:rPr>
            <w:noProof/>
            <w:webHidden/>
          </w:rPr>
        </w:r>
        <w:r>
          <w:rPr>
            <w:noProof/>
            <w:webHidden/>
          </w:rPr>
          <w:fldChar w:fldCharType="separate"/>
        </w:r>
        <w:r>
          <w:rPr>
            <w:noProof/>
            <w:webHidden/>
          </w:rPr>
          <w:t>121</w:t>
        </w:r>
        <w:r>
          <w:rPr>
            <w:noProof/>
            <w:webHidden/>
          </w:rPr>
          <w:fldChar w:fldCharType="end"/>
        </w:r>
      </w:hyperlink>
    </w:p>
    <w:p w:rsidR="00C742FD" w:rsidRDefault="00C742FD">
      <w:pPr>
        <w:pStyle w:val="TOC1"/>
        <w:rPr>
          <w:rFonts w:eastAsiaTheme="minorEastAsia" w:cstheme="minorBidi"/>
          <w:b w:val="0"/>
          <w:bCs w:val="0"/>
          <w:sz w:val="22"/>
          <w:szCs w:val="22"/>
          <w:lang w:val="en-US" w:eastAsia="en-US"/>
        </w:rPr>
      </w:pPr>
      <w:hyperlink w:anchor="_Toc486576568" w:history="1">
        <w:r w:rsidRPr="00D96B2C">
          <w:rPr>
            <w:rStyle w:val="Hyperlink"/>
          </w:rPr>
          <w:t>X. Propunerile instanţelor şi parchetelor în vederea îmbunătăţirii activităţii</w:t>
        </w:r>
        <w:r>
          <w:rPr>
            <w:webHidden/>
          </w:rPr>
          <w:tab/>
        </w:r>
        <w:r>
          <w:rPr>
            <w:webHidden/>
          </w:rPr>
          <w:fldChar w:fldCharType="begin"/>
        </w:r>
        <w:r>
          <w:rPr>
            <w:webHidden/>
          </w:rPr>
          <w:instrText xml:space="preserve"> PAGEREF _Toc486576568 \h </w:instrText>
        </w:r>
        <w:r>
          <w:rPr>
            <w:webHidden/>
          </w:rPr>
        </w:r>
        <w:r>
          <w:rPr>
            <w:webHidden/>
          </w:rPr>
          <w:fldChar w:fldCharType="separate"/>
        </w:r>
        <w:r>
          <w:rPr>
            <w:webHidden/>
          </w:rPr>
          <w:t>128</w:t>
        </w:r>
        <w:r>
          <w:rPr>
            <w:webHidden/>
          </w:rPr>
          <w:fldChar w:fldCharType="end"/>
        </w:r>
      </w:hyperlink>
    </w:p>
    <w:p w:rsidR="00372D6B" w:rsidRDefault="00372D6B">
      <w:r w:rsidRPr="00A202F1">
        <w:rPr>
          <w:rFonts w:asciiTheme="minorHAnsi" w:hAnsiTheme="minorHAnsi"/>
          <w:b/>
          <w:bCs/>
          <w:noProof/>
        </w:rPr>
        <w:fldChar w:fldCharType="end"/>
      </w:r>
    </w:p>
    <w:p w:rsidR="00CD6117" w:rsidRPr="002152E4" w:rsidRDefault="007C043A" w:rsidP="00CD6117">
      <w:pPr>
        <w:jc w:val="both"/>
        <w:outlineLvl w:val="0"/>
        <w:rPr>
          <w:b/>
          <w:lang w:val="ro-RO" w:eastAsia="ro-RO"/>
        </w:rPr>
      </w:pPr>
      <w:r w:rsidRPr="002152E4">
        <w:rPr>
          <w:rFonts w:ascii="Times New Roman" w:hAnsi="Times New Roman"/>
          <w:b/>
          <w:lang w:val="ro-RO" w:eastAsia="ro-RO"/>
        </w:rPr>
        <w:t xml:space="preserve"> </w:t>
      </w:r>
    </w:p>
    <w:p w:rsidR="00552FE4" w:rsidRPr="002152E4" w:rsidRDefault="00552FE4" w:rsidP="00A202F1">
      <w:pPr>
        <w:pStyle w:val="TOC1"/>
        <w:rPr>
          <w:rStyle w:val="Hyperlink"/>
          <w:color w:val="aut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CD6117" w:rsidRPr="002152E4" w:rsidRDefault="00CD6117" w:rsidP="00CD6117">
      <w:pPr>
        <w:rPr>
          <w:lang w:val="ro-RO"/>
        </w:rPr>
      </w:pPr>
    </w:p>
    <w:p w:rsidR="00372D6B" w:rsidRPr="002152E4" w:rsidRDefault="00372D6B" w:rsidP="00CD6117">
      <w:pPr>
        <w:rPr>
          <w:lang w:val="ro-RO"/>
        </w:rPr>
      </w:pPr>
    </w:p>
    <w:p w:rsidR="00CD6117" w:rsidRDefault="00CD6117" w:rsidP="00CD6117">
      <w:pPr>
        <w:rPr>
          <w:lang w:val="ro-RO"/>
        </w:rPr>
      </w:pPr>
    </w:p>
    <w:p w:rsidR="001A66BB" w:rsidRPr="002152E4" w:rsidRDefault="001A66BB" w:rsidP="00CD6117">
      <w:pPr>
        <w:rPr>
          <w:lang w:val="ro-RO"/>
        </w:rPr>
      </w:pPr>
    </w:p>
    <w:p w:rsidR="00007F22" w:rsidRPr="002152E4" w:rsidRDefault="00007F22" w:rsidP="00007F22">
      <w:pPr>
        <w:rPr>
          <w:lang w:val="ro-RO"/>
        </w:rPr>
      </w:pPr>
    </w:p>
    <w:p w:rsidR="008836B9" w:rsidRDefault="00F32B43" w:rsidP="00F32B43">
      <w:pPr>
        <w:jc w:val="center"/>
        <w:rPr>
          <w:b/>
          <w:sz w:val="28"/>
          <w:szCs w:val="28"/>
          <w:lang w:val="ro-RO"/>
        </w:rPr>
      </w:pPr>
      <w:r w:rsidRPr="002152E4">
        <w:rPr>
          <w:b/>
          <w:sz w:val="28"/>
          <w:szCs w:val="28"/>
          <w:lang w:val="ro-RO"/>
        </w:rPr>
        <w:lastRenderedPageBreak/>
        <w:t>I. INTRODUCERE</w:t>
      </w:r>
    </w:p>
    <w:p w:rsidR="00BB56C0" w:rsidRPr="002152E4" w:rsidRDefault="00BB56C0" w:rsidP="00F32B43">
      <w:pPr>
        <w:jc w:val="center"/>
        <w:rPr>
          <w:b/>
          <w:sz w:val="28"/>
          <w:szCs w:val="28"/>
          <w:lang w:val="ro-RO"/>
        </w:rPr>
      </w:pPr>
    </w:p>
    <w:p w:rsidR="002C1443" w:rsidRPr="002152E4" w:rsidRDefault="002C1443" w:rsidP="002C1443">
      <w:pPr>
        <w:jc w:val="both"/>
        <w:rPr>
          <w:b/>
          <w:sz w:val="28"/>
          <w:szCs w:val="28"/>
          <w:lang w:val="ro-RO"/>
        </w:rPr>
      </w:pPr>
    </w:p>
    <w:p w:rsidR="002C1443" w:rsidRPr="002152E4" w:rsidRDefault="002C1443" w:rsidP="002C1443">
      <w:pPr>
        <w:jc w:val="both"/>
        <w:rPr>
          <w:lang w:val="ro-RO"/>
        </w:rPr>
      </w:pPr>
      <w:r w:rsidRPr="002152E4">
        <w:rPr>
          <w:b/>
          <w:lang w:val="ro-RO"/>
        </w:rPr>
        <w:tab/>
      </w:r>
      <w:r w:rsidRPr="002152E4">
        <w:rPr>
          <w:lang w:val="ro-RO"/>
        </w:rPr>
        <w:t xml:space="preserve">Documentul de faţă îşi propune să prezinte în principal, situaţia statistică a activităţii </w:t>
      </w:r>
      <w:r w:rsidR="002152E4">
        <w:rPr>
          <w:lang w:val="ro-RO"/>
        </w:rPr>
        <w:t>s</w:t>
      </w:r>
      <w:r w:rsidRPr="002152E4">
        <w:rPr>
          <w:lang w:val="ro-RO"/>
        </w:rPr>
        <w:t xml:space="preserve">istemului de justiţie în anul 2016, urmând a reprezenta un instrument în analizele ce vor fi efectuate, în anii următori,  </w:t>
      </w:r>
      <w:r w:rsidR="002152E4" w:rsidRPr="002152E4">
        <w:rPr>
          <w:lang w:val="ro-RO"/>
        </w:rPr>
        <w:t>cu privire la necesitățile de personal şi de infrastructură ale justiţiei, dar şi în scopul identificării unor mecanisme adecvate care să conducă la perfecționarea activităţii.</w:t>
      </w:r>
    </w:p>
    <w:p w:rsidR="002152E4" w:rsidRDefault="002152E4" w:rsidP="002C1443">
      <w:pPr>
        <w:jc w:val="both"/>
        <w:rPr>
          <w:lang w:val="ro-RO"/>
        </w:rPr>
      </w:pPr>
      <w:r w:rsidRPr="002152E4">
        <w:rPr>
          <w:lang w:val="ro-RO"/>
        </w:rPr>
        <w:tab/>
        <w:t>Considerăm că o privire general asupra sistemului de impune inclusiv din perspectiva instanţelor judecătoreşti şi parchetelor, fiind util a observa nu doar în mod punctual activitatea unei instituţii ori a alteia, ci şi activitatea de justiţie în ansamblul său, spre o mai bună înțelegere a necesităţii unor eforturi conjugate de îmbunătăţire a activităţii.</w:t>
      </w:r>
    </w:p>
    <w:p w:rsidR="00BB56C0" w:rsidRDefault="00BB56C0" w:rsidP="002C1443">
      <w:pPr>
        <w:jc w:val="both"/>
        <w:rPr>
          <w:lang w:val="ro-RO"/>
        </w:rPr>
      </w:pPr>
      <w:r>
        <w:rPr>
          <w:lang w:val="ro-RO"/>
        </w:rPr>
        <w:tab/>
        <w:t xml:space="preserve">Aşa cum se va vedea în paginile următoare, activitatea judiciară </w:t>
      </w:r>
      <w:r w:rsidRPr="00BB56C0">
        <w:rPr>
          <w:lang w:val="ro-RO"/>
        </w:rPr>
        <w:t xml:space="preserve">din România </w:t>
      </w:r>
      <w:r>
        <w:rPr>
          <w:lang w:val="ro-RO"/>
        </w:rPr>
        <w:t xml:space="preserve">este încă foarte intensă: în perioada 2013 – 2016, instanţele </w:t>
      </w:r>
      <w:r w:rsidRPr="00BB56C0">
        <w:rPr>
          <w:lang w:val="ro-RO"/>
        </w:rPr>
        <w:t>au avut pe rol, în fiecare an, un număr de</w:t>
      </w:r>
      <w:r>
        <w:rPr>
          <w:lang w:val="ro-RO"/>
        </w:rPr>
        <w:t xml:space="preserve"> circa </w:t>
      </w:r>
      <w:r w:rsidRPr="00BB56C0">
        <w:rPr>
          <w:lang w:val="ro-RO"/>
        </w:rPr>
        <w:t xml:space="preserve"> 3.000.000 de dosare, în timp ce volumul de activitate al parchetelor în aceeaşi perioadă a fost de aseme</w:t>
      </w:r>
      <w:r>
        <w:rPr>
          <w:lang w:val="ro-RO"/>
        </w:rPr>
        <w:t>nea, de peste 3.000.000 lucrări</w:t>
      </w:r>
      <w:r w:rsidRPr="00BB56C0">
        <w:rPr>
          <w:lang w:val="ro-RO"/>
        </w:rPr>
        <w:t xml:space="preserve">. </w:t>
      </w:r>
      <w:r>
        <w:rPr>
          <w:lang w:val="ro-RO"/>
        </w:rPr>
        <w:t>R</w:t>
      </w:r>
      <w:r w:rsidRPr="00BB56C0">
        <w:rPr>
          <w:lang w:val="ro-RO"/>
        </w:rPr>
        <w:t xml:space="preserve">aportat la populaţia ţării, </w:t>
      </w:r>
      <w:r>
        <w:rPr>
          <w:lang w:val="ro-RO"/>
        </w:rPr>
        <w:t xml:space="preserve"> datele atestă faptul </w:t>
      </w:r>
      <w:r w:rsidRPr="00BB56C0">
        <w:rPr>
          <w:lang w:val="ro-RO"/>
        </w:rPr>
        <w:t>că un număr foarte ridicat de persoane sunt anual implicate în proceduri judiciare.</w:t>
      </w:r>
    </w:p>
    <w:p w:rsidR="00BB56C0" w:rsidRDefault="00BB56C0" w:rsidP="002C1443">
      <w:pPr>
        <w:jc w:val="both"/>
        <w:rPr>
          <w:lang w:val="ro-RO"/>
        </w:rPr>
      </w:pPr>
      <w:r>
        <w:rPr>
          <w:lang w:val="ro-RO"/>
        </w:rPr>
        <w:tab/>
        <w:t>Se remarcă în continuare, aşadar, necesitatea instituirii unor pârghii eficiente de reducere a numărului de litigii, creşterea calităţii activităţii nefiind posibilă în condiţiile în care volumul de activitate rămâne foarte ridicat.</w:t>
      </w:r>
    </w:p>
    <w:p w:rsidR="00BB56C0" w:rsidRDefault="00BB56C0" w:rsidP="002C1443">
      <w:pPr>
        <w:jc w:val="both"/>
        <w:rPr>
          <w:lang w:val="ro-RO"/>
        </w:rPr>
      </w:pPr>
      <w:r>
        <w:rPr>
          <w:lang w:val="ro-RO"/>
        </w:rPr>
        <w:tab/>
        <w:t>Prezentul raport se poate dovedi un instrument util în stabilirea direcţiilor de acţiune pe care noul Consiliul şi le prop</w:t>
      </w:r>
      <w:r w:rsidR="00157A82">
        <w:rPr>
          <w:lang w:val="ro-RO"/>
        </w:rPr>
        <w:t>une pe parcursul mandatului 2017</w:t>
      </w:r>
      <w:r>
        <w:rPr>
          <w:lang w:val="ro-RO"/>
        </w:rPr>
        <w:t xml:space="preserve"> – 2022.</w:t>
      </w: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BB56C0" w:rsidRDefault="00BB56C0" w:rsidP="002C1443">
      <w:pPr>
        <w:jc w:val="both"/>
        <w:rPr>
          <w:lang w:val="ro-RO"/>
        </w:rPr>
      </w:pPr>
    </w:p>
    <w:p w:rsidR="00866453" w:rsidRDefault="00866453" w:rsidP="002C1443">
      <w:pPr>
        <w:jc w:val="both"/>
        <w:rPr>
          <w:lang w:val="ro-RO"/>
        </w:rPr>
      </w:pPr>
    </w:p>
    <w:p w:rsidR="00866453" w:rsidRDefault="00866453" w:rsidP="002C1443">
      <w:pPr>
        <w:jc w:val="both"/>
        <w:rPr>
          <w:lang w:val="ro-RO"/>
        </w:rPr>
      </w:pPr>
    </w:p>
    <w:p w:rsidR="00866453" w:rsidRDefault="00866453" w:rsidP="002C1443">
      <w:pPr>
        <w:jc w:val="both"/>
        <w:rPr>
          <w:lang w:val="ro-RO"/>
        </w:rPr>
      </w:pPr>
    </w:p>
    <w:p w:rsidR="00866453" w:rsidRDefault="00866453" w:rsidP="002C1443">
      <w:pPr>
        <w:jc w:val="both"/>
        <w:rPr>
          <w:lang w:val="ro-RO"/>
        </w:rPr>
      </w:pPr>
    </w:p>
    <w:p w:rsidR="00BB56C0" w:rsidRPr="002152E4" w:rsidRDefault="00BB56C0" w:rsidP="002C1443">
      <w:pPr>
        <w:jc w:val="both"/>
        <w:rPr>
          <w:lang w:val="ro-RO"/>
        </w:rPr>
      </w:pPr>
    </w:p>
    <w:p w:rsidR="000802D5" w:rsidRPr="001A66BB" w:rsidRDefault="00035480" w:rsidP="001A66BB">
      <w:pPr>
        <w:pStyle w:val="Heading1"/>
      </w:pPr>
      <w:bookmarkStart w:id="2" w:name="_Toc475363391"/>
      <w:bookmarkStart w:id="3" w:name="_Toc486576514"/>
      <w:r w:rsidRPr="001A66BB">
        <w:lastRenderedPageBreak/>
        <w:t>II</w:t>
      </w:r>
      <w:r w:rsidR="000802D5" w:rsidRPr="001A66BB">
        <w:t xml:space="preserve">. </w:t>
      </w:r>
      <w:r w:rsidRPr="001A66BB">
        <w:t>Date statistice privind a</w:t>
      </w:r>
      <w:r w:rsidR="000802D5" w:rsidRPr="001A66BB">
        <w:t>ctivitatea instanţelor judecătoreşti</w:t>
      </w:r>
      <w:bookmarkEnd w:id="0"/>
      <w:bookmarkEnd w:id="1"/>
      <w:bookmarkEnd w:id="2"/>
      <w:bookmarkEnd w:id="3"/>
    </w:p>
    <w:p w:rsidR="000802D5" w:rsidRPr="002152E4" w:rsidRDefault="00C90B07" w:rsidP="0035671F">
      <w:pPr>
        <w:pStyle w:val="Heading2"/>
      </w:pPr>
      <w:bookmarkStart w:id="4" w:name="_Toc411333474"/>
      <w:bookmarkStart w:id="5" w:name="_Toc411429409"/>
      <w:bookmarkStart w:id="6" w:name="_Toc475363392"/>
      <w:bookmarkStart w:id="7" w:name="_Toc486576515"/>
      <w:r w:rsidRPr="002152E4">
        <w:t>I</w:t>
      </w:r>
      <w:r w:rsidR="0089651D" w:rsidRPr="002152E4">
        <w:t>I</w:t>
      </w:r>
      <w:r w:rsidR="00A9186B" w:rsidRPr="002152E4">
        <w:t>.1.</w:t>
      </w:r>
      <w:r w:rsidRPr="002152E4">
        <w:t xml:space="preserve"> </w:t>
      </w:r>
      <w:r w:rsidR="000802D5" w:rsidRPr="002152E4">
        <w:t>Volumul de activitate la nivelul instanţelor judecătoreşti</w:t>
      </w:r>
      <w:bookmarkEnd w:id="4"/>
      <w:bookmarkEnd w:id="5"/>
      <w:bookmarkEnd w:id="6"/>
      <w:bookmarkEnd w:id="7"/>
    </w:p>
    <w:p w:rsidR="000802D5" w:rsidRPr="002152E4" w:rsidRDefault="000802D5" w:rsidP="000802D5">
      <w:pPr>
        <w:spacing w:before="120" w:line="360" w:lineRule="auto"/>
        <w:ind w:firstLine="708"/>
        <w:jc w:val="both"/>
        <w:rPr>
          <w:b/>
          <w:i/>
          <w:lang w:val="ro-RO"/>
        </w:rPr>
      </w:pPr>
      <w:r w:rsidRPr="002152E4">
        <w:rPr>
          <w:lang w:val="ro-RO"/>
        </w:rPr>
        <w:t xml:space="preserve"> </w:t>
      </w:r>
      <w:r w:rsidRPr="002152E4">
        <w:rPr>
          <w:b/>
          <w:lang w:val="ro-RO"/>
        </w:rPr>
        <w:t>Volumul total de activitate</w:t>
      </w:r>
    </w:p>
    <w:p w:rsidR="000802D5" w:rsidRPr="002152E4" w:rsidRDefault="00A2749A" w:rsidP="007C043A">
      <w:pPr>
        <w:pStyle w:val="AddParagraf"/>
        <w:spacing w:after="0"/>
      </w:pPr>
      <w:r w:rsidRPr="002152E4">
        <w:t>În perioada de referinţă</w:t>
      </w:r>
      <w:r w:rsidR="005914CC" w:rsidRPr="002152E4">
        <w:t>, la nivel naţional</w:t>
      </w:r>
      <w:r w:rsidR="000802D5" w:rsidRPr="002152E4">
        <w:t xml:space="preserve"> </w:t>
      </w:r>
      <w:r w:rsidR="005914CC" w:rsidRPr="002152E4">
        <w:t xml:space="preserve">s-a </w:t>
      </w:r>
      <w:r w:rsidR="000802D5" w:rsidRPr="002152E4">
        <w:t xml:space="preserve">înregistrat un volum total de activitate de </w:t>
      </w:r>
      <w:r w:rsidR="00940F23" w:rsidRPr="002152E4">
        <w:rPr>
          <w:b/>
        </w:rPr>
        <w:t>2.995.276</w:t>
      </w:r>
      <w:r w:rsidR="00153AFC" w:rsidRPr="002152E4">
        <w:rPr>
          <w:b/>
        </w:rPr>
        <w:t xml:space="preserve"> </w:t>
      </w:r>
      <w:r w:rsidR="000802D5" w:rsidRPr="002152E4">
        <w:t>dosare (</w:t>
      </w:r>
      <w:r w:rsidR="00940F23" w:rsidRPr="002152E4">
        <w:t xml:space="preserve">3.040.020 </w:t>
      </w:r>
      <w:r w:rsidR="000802D5" w:rsidRPr="002152E4">
        <w:t>dosare î</w:t>
      </w:r>
      <w:r w:rsidR="00940F23" w:rsidRPr="002152E4">
        <w:t>n anul 2015</w:t>
      </w:r>
      <w:r w:rsidR="000802D5" w:rsidRPr="002152E4">
        <w:rPr>
          <w:bCs/>
        </w:rPr>
        <w:t>)</w:t>
      </w:r>
      <w:r w:rsidR="00397D39" w:rsidRPr="002152E4">
        <w:rPr>
          <w:bCs/>
        </w:rPr>
        <w:t>,</w:t>
      </w:r>
      <w:r w:rsidR="000802D5" w:rsidRPr="002152E4">
        <w:rPr>
          <w:bCs/>
        </w:rPr>
        <w:t xml:space="preserve"> ceea ce corespunde unei </w:t>
      </w:r>
      <w:r w:rsidR="00CF1173" w:rsidRPr="002152E4">
        <w:rPr>
          <w:bCs/>
        </w:rPr>
        <w:t xml:space="preserve">scăderi </w:t>
      </w:r>
      <w:r w:rsidR="000802D5" w:rsidRPr="002152E4">
        <w:t xml:space="preserve">cu </w:t>
      </w:r>
      <w:r w:rsidR="00A0614C" w:rsidRPr="002152E4">
        <w:rPr>
          <w:b/>
        </w:rPr>
        <w:t>1,47</w:t>
      </w:r>
      <w:r w:rsidR="000802D5" w:rsidRPr="002152E4">
        <w:rPr>
          <w:b/>
        </w:rPr>
        <w:t xml:space="preserve"> %</w:t>
      </w:r>
      <w:r w:rsidR="000802D5" w:rsidRPr="002152E4">
        <w:t xml:space="preserve"> comparativ cu perioada anterioară.</w:t>
      </w:r>
    </w:p>
    <w:p w:rsidR="000802D5" w:rsidRPr="002152E4" w:rsidRDefault="000802D5" w:rsidP="007C043A">
      <w:pPr>
        <w:pStyle w:val="AddParagraf"/>
        <w:spacing w:after="0"/>
      </w:pPr>
      <w:r w:rsidRPr="002152E4">
        <w:t xml:space="preserve">Din totalitatea dosarelor înregistrate pe rolul instanţelor naţionale, au fost soluţionate </w:t>
      </w:r>
      <w:r w:rsidR="00EC2B4D" w:rsidRPr="002152E4">
        <w:rPr>
          <w:b/>
        </w:rPr>
        <w:t>2.177.646</w:t>
      </w:r>
      <w:r w:rsidRPr="002152E4">
        <w:t xml:space="preserve"> cauze</w:t>
      </w:r>
      <w:r w:rsidR="00433185" w:rsidRPr="002152E4">
        <w:t xml:space="preserve"> în anul 2016</w:t>
      </w:r>
      <w:r w:rsidRPr="002152E4">
        <w:t xml:space="preserve"> (</w:t>
      </w:r>
      <w:r w:rsidR="00EC2B4D" w:rsidRPr="002152E4">
        <w:rPr>
          <w:b/>
        </w:rPr>
        <w:t>2.237.221</w:t>
      </w:r>
      <w:r w:rsidR="00EC2B4D" w:rsidRPr="002152E4">
        <w:t xml:space="preserve"> cauze în anul 2015</w:t>
      </w:r>
      <w:r w:rsidRPr="002152E4">
        <w:t xml:space="preserve">), ceea ce reprezintă un procent de soluţionare de </w:t>
      </w:r>
      <w:r w:rsidR="005760CF" w:rsidRPr="002152E4">
        <w:rPr>
          <w:b/>
        </w:rPr>
        <w:t>72,7 %</w:t>
      </w:r>
      <w:r w:rsidR="005760CF" w:rsidRPr="002152E4">
        <w:t xml:space="preserve"> </w:t>
      </w:r>
      <w:r w:rsidRPr="002152E4">
        <w:rPr>
          <w:b/>
        </w:rPr>
        <w:t xml:space="preserve"> </w:t>
      </w:r>
      <w:r w:rsidRPr="002152E4">
        <w:t>(</w:t>
      </w:r>
      <w:r w:rsidR="005760CF" w:rsidRPr="002152E4">
        <w:rPr>
          <w:b/>
        </w:rPr>
        <w:t xml:space="preserve">73,59 % </w:t>
      </w:r>
      <w:r w:rsidR="00433185" w:rsidRPr="002152E4">
        <w:t>în perioada anterioară</w:t>
      </w:r>
      <w:r w:rsidRPr="002152E4">
        <w:t>).</w:t>
      </w:r>
    </w:p>
    <w:p w:rsidR="000802D5" w:rsidRDefault="000802D5" w:rsidP="007C043A">
      <w:pPr>
        <w:pStyle w:val="AddParagraf"/>
        <w:spacing w:after="0"/>
      </w:pPr>
      <w:bookmarkStart w:id="8" w:name="_Toc127732387"/>
      <w:bookmarkStart w:id="9" w:name="_Toc127732498"/>
      <w:r w:rsidRPr="002152E4">
        <w:t>Din punct de vedere grafic, situaţia stocurilor şi  a cauzelor nou intrate pe ultimii 5 ani se prezintă după cum urmează:</w:t>
      </w:r>
    </w:p>
    <w:p w:rsidR="000C4C72" w:rsidRDefault="000C4C72" w:rsidP="007C043A">
      <w:pPr>
        <w:pStyle w:val="AddParagraf"/>
        <w:spacing w:after="0"/>
      </w:pPr>
    </w:p>
    <w:p w:rsidR="000C4C72" w:rsidRPr="007037CF" w:rsidRDefault="000C4C72" w:rsidP="000C4C72">
      <w:pPr>
        <w:pStyle w:val="AddParagraf"/>
      </w:pPr>
    </w:p>
    <w:p w:rsidR="000C4C72" w:rsidRPr="000C4C72" w:rsidRDefault="000C4C72" w:rsidP="000C4C72">
      <w:pPr>
        <w:rPr>
          <w:rFonts w:cs="Arial"/>
          <w:lang w:val="ro-RO"/>
        </w:rPr>
      </w:pPr>
      <w:r w:rsidRPr="007037CF">
        <w:fldChar w:fldCharType="begin"/>
      </w:r>
      <w:r w:rsidRPr="007037CF">
        <w:instrText xml:space="preserve"> LINK Excel.Sheet.8 "C:\\Users\\roxana.petcu\\Desktop\\adrese\\rapoarte starea justitie\\2016\\Grafice 2016.xls!Grafic 1![Grafice 2016.xls]Grafic 1 Diagramă 1" "" \a \p \* MERGEFORMAT </w:instrText>
      </w:r>
      <w:r w:rsidRPr="007037CF">
        <w:fldChar w:fldCharType="separate"/>
      </w:r>
      <w:r w:rsidR="00C742FD">
        <w:object w:dxaOrig="12348" w:dyaOrig="6874">
          <v:shape id="_x0000_i1025" type="#_x0000_t75" style="width:495.25pt;height:276.75pt">
            <v:imagedata r:id="rId9" o:title=""/>
          </v:shape>
        </w:object>
      </w:r>
      <w:r w:rsidRPr="007037CF">
        <w:fldChar w:fldCharType="end"/>
      </w:r>
    </w:p>
    <w:p w:rsidR="000C4C72" w:rsidRDefault="000C4C72" w:rsidP="007C043A">
      <w:pPr>
        <w:pStyle w:val="AddParagraf"/>
        <w:spacing w:after="0"/>
      </w:pPr>
    </w:p>
    <w:p w:rsidR="000C4C72" w:rsidRPr="002152E4" w:rsidRDefault="000C4C72" w:rsidP="007C043A">
      <w:pPr>
        <w:pStyle w:val="AddParagraf"/>
        <w:spacing w:after="0"/>
      </w:pPr>
    </w:p>
    <w:bookmarkEnd w:id="8"/>
    <w:bookmarkEnd w:id="9"/>
    <w:p w:rsidR="000802D5" w:rsidRPr="002152E4" w:rsidRDefault="00F002E4" w:rsidP="00D5288F">
      <w:pPr>
        <w:pStyle w:val="AddParagraf"/>
        <w:spacing w:after="0"/>
      </w:pPr>
      <w:r w:rsidRPr="002152E4">
        <w:t>După cum se poate observa</w:t>
      </w:r>
      <w:r w:rsidR="000802D5" w:rsidRPr="002152E4">
        <w:t>,</w:t>
      </w:r>
      <w:r w:rsidR="00FB7F4D" w:rsidRPr="002152E4">
        <w:t xml:space="preserve"> nivelul stocurilor în anul </w:t>
      </w:r>
      <w:smartTag w:uri="urn:schemas-microsoft-com:office:smarttags" w:element="metricconverter">
        <w:smartTagPr>
          <w:attr w:name="ProductID" w:val="2016 a"/>
        </w:smartTagPr>
        <w:r w:rsidR="00FB7F4D" w:rsidRPr="002152E4">
          <w:t>2016</w:t>
        </w:r>
        <w:r w:rsidR="000802D5" w:rsidRPr="002152E4">
          <w:t xml:space="preserve"> a</w:t>
        </w:r>
      </w:smartTag>
      <w:r w:rsidR="000802D5" w:rsidRPr="002152E4">
        <w:t xml:space="preserve"> </w:t>
      </w:r>
      <w:r w:rsidR="00FB7F4D" w:rsidRPr="002152E4">
        <w:t>scăzut faţă de anul 2015</w:t>
      </w:r>
      <w:r w:rsidR="000802D5" w:rsidRPr="002152E4">
        <w:t xml:space="preserve"> cu </w:t>
      </w:r>
      <w:r w:rsidR="00FB7F4D" w:rsidRPr="002152E4">
        <w:rPr>
          <w:b/>
        </w:rPr>
        <w:t>188.583</w:t>
      </w:r>
      <w:r w:rsidR="00FB7F4D" w:rsidRPr="002152E4">
        <w:t xml:space="preserve"> </w:t>
      </w:r>
      <w:r w:rsidR="000802D5" w:rsidRPr="002152E4">
        <w:t>dosare</w:t>
      </w:r>
      <w:r w:rsidR="00397D39" w:rsidRPr="002152E4">
        <w:t>,</w:t>
      </w:r>
      <w:r w:rsidR="000802D5" w:rsidRPr="002152E4">
        <w:t xml:space="preserve"> ceea ce </w:t>
      </w:r>
      <w:r w:rsidRPr="002152E4">
        <w:t>reprezintă</w:t>
      </w:r>
      <w:r w:rsidR="00710EA5" w:rsidRPr="002152E4">
        <w:rPr>
          <w:b/>
        </w:rPr>
        <w:t xml:space="preserve"> </w:t>
      </w:r>
      <w:r w:rsidR="00FB7F4D" w:rsidRPr="002152E4">
        <w:t xml:space="preserve">o scădere cu </w:t>
      </w:r>
      <w:r w:rsidR="00710EA5" w:rsidRPr="002152E4">
        <w:rPr>
          <w:b/>
        </w:rPr>
        <w:t>18</w:t>
      </w:r>
      <w:r w:rsidR="00FB7F4D" w:rsidRPr="002152E4">
        <w:rPr>
          <w:b/>
        </w:rPr>
        <w:t>,78</w:t>
      </w:r>
      <w:r w:rsidR="000802D5" w:rsidRPr="002152E4">
        <w:rPr>
          <w:b/>
        </w:rPr>
        <w:t xml:space="preserve"> %</w:t>
      </w:r>
      <w:r w:rsidR="00710EA5" w:rsidRPr="002152E4">
        <w:t xml:space="preserve">, iar </w:t>
      </w:r>
      <w:r w:rsidRPr="002152E4">
        <w:t>comparativ cu anul</w:t>
      </w:r>
      <w:r w:rsidR="00E67E26" w:rsidRPr="002152E4">
        <w:t xml:space="preserve"> </w:t>
      </w:r>
      <w:smartTag w:uri="urn:schemas-microsoft-com:office:smarttags" w:element="metricconverter">
        <w:smartTagPr>
          <w:attr w:name="ProductID" w:val="2012 a"/>
        </w:smartTagPr>
        <w:r w:rsidR="00E67E26" w:rsidRPr="002152E4">
          <w:t>2012</w:t>
        </w:r>
        <w:r w:rsidR="000802D5" w:rsidRPr="002152E4">
          <w:t xml:space="preserve"> a</w:t>
        </w:r>
      </w:smartTag>
      <w:r w:rsidR="000802D5" w:rsidRPr="002152E4">
        <w:t xml:space="preserve"> </w:t>
      </w:r>
      <w:r w:rsidR="00E67E26" w:rsidRPr="002152E4">
        <w:t xml:space="preserve">scăzut </w:t>
      </w:r>
      <w:r w:rsidR="000802D5" w:rsidRPr="002152E4">
        <w:t>cu</w:t>
      </w:r>
      <w:r w:rsidR="000802D5" w:rsidRPr="002152E4">
        <w:rPr>
          <w:b/>
        </w:rPr>
        <w:t xml:space="preserve"> </w:t>
      </w:r>
      <w:r w:rsidR="00E67E26" w:rsidRPr="002152E4">
        <w:rPr>
          <w:b/>
        </w:rPr>
        <w:t>65.132</w:t>
      </w:r>
      <w:r w:rsidR="000802D5" w:rsidRPr="002152E4">
        <w:rPr>
          <w:b/>
        </w:rPr>
        <w:t xml:space="preserve"> </w:t>
      </w:r>
      <w:r w:rsidR="00F3679C" w:rsidRPr="002152E4">
        <w:t xml:space="preserve"> (</w:t>
      </w:r>
      <w:r w:rsidR="00E67E26" w:rsidRPr="002152E4">
        <w:rPr>
          <w:b/>
        </w:rPr>
        <w:t>7,4</w:t>
      </w:r>
      <w:r w:rsidR="000802D5" w:rsidRPr="002152E4">
        <w:rPr>
          <w:b/>
        </w:rPr>
        <w:t xml:space="preserve"> %</w:t>
      </w:r>
      <w:r w:rsidR="00F3679C" w:rsidRPr="002152E4">
        <w:rPr>
          <w:b/>
        </w:rPr>
        <w:t>)</w:t>
      </w:r>
      <w:r w:rsidR="000802D5" w:rsidRPr="002152E4">
        <w:t>.</w:t>
      </w:r>
    </w:p>
    <w:p w:rsidR="00BA2633" w:rsidRPr="002152E4" w:rsidRDefault="000802D5" w:rsidP="00D5288F">
      <w:pPr>
        <w:pStyle w:val="AddParagraf"/>
        <w:spacing w:after="0"/>
      </w:pPr>
      <w:r w:rsidRPr="002152E4">
        <w:t>Nivelul c</w:t>
      </w:r>
      <w:r w:rsidR="00603E7D" w:rsidRPr="002152E4">
        <w:t xml:space="preserve">auzelor nou intrate în anul </w:t>
      </w:r>
      <w:smartTag w:uri="urn:schemas-microsoft-com:office:smarttags" w:element="metricconverter">
        <w:smartTagPr>
          <w:attr w:name="ProductID" w:val="2016 a"/>
        </w:smartTagPr>
        <w:r w:rsidR="00603E7D" w:rsidRPr="002152E4">
          <w:t>2016</w:t>
        </w:r>
        <w:r w:rsidRPr="002152E4">
          <w:t xml:space="preserve"> a</w:t>
        </w:r>
      </w:smartTag>
      <w:r w:rsidRPr="002152E4">
        <w:t xml:space="preserve"> </w:t>
      </w:r>
      <w:r w:rsidR="00603E7D" w:rsidRPr="002152E4">
        <w:t>crescut faţă de anul 2015</w:t>
      </w:r>
      <w:r w:rsidRPr="002152E4">
        <w:t xml:space="preserve"> cu </w:t>
      </w:r>
      <w:r w:rsidR="00603E7D" w:rsidRPr="002152E4">
        <w:rPr>
          <w:b/>
        </w:rPr>
        <w:t>143.839</w:t>
      </w:r>
      <w:r w:rsidRPr="002152E4">
        <w:t xml:space="preserve"> dosare ceea ce corespunde unei </w:t>
      </w:r>
      <w:r w:rsidR="00603E7D" w:rsidRPr="002152E4">
        <w:t xml:space="preserve">creşteri </w:t>
      </w:r>
      <w:r w:rsidRPr="002152E4">
        <w:t xml:space="preserve">cu </w:t>
      </w:r>
      <w:r w:rsidR="00603E7D" w:rsidRPr="002152E4">
        <w:rPr>
          <w:b/>
        </w:rPr>
        <w:t>7,06</w:t>
      </w:r>
      <w:r w:rsidRPr="002152E4">
        <w:rPr>
          <w:b/>
        </w:rPr>
        <w:t xml:space="preserve"> %</w:t>
      </w:r>
      <w:r w:rsidR="008303E3" w:rsidRPr="002152E4">
        <w:t>, în timp ce</w:t>
      </w:r>
      <w:r w:rsidRPr="002152E4">
        <w:t xml:space="preserve"> </w:t>
      </w:r>
      <w:r w:rsidR="00F46532" w:rsidRPr="002152E4">
        <w:t>faţă d</w:t>
      </w:r>
      <w:r w:rsidR="00685035" w:rsidRPr="002152E4">
        <w:t xml:space="preserve">e anul </w:t>
      </w:r>
      <w:smartTag w:uri="urn:schemas-microsoft-com:office:smarttags" w:element="metricconverter">
        <w:smartTagPr>
          <w:attr w:name="ProductID" w:val="2012 a"/>
        </w:smartTagPr>
        <w:r w:rsidR="00685035" w:rsidRPr="002152E4">
          <w:t>2012</w:t>
        </w:r>
        <w:r w:rsidRPr="002152E4">
          <w:t xml:space="preserve"> a</w:t>
        </w:r>
      </w:smartTag>
      <w:r w:rsidRPr="002152E4">
        <w:t xml:space="preserve"> </w:t>
      </w:r>
      <w:r w:rsidR="00F46532" w:rsidRPr="002152E4">
        <w:t xml:space="preserve">scăzut </w:t>
      </w:r>
      <w:r w:rsidRPr="002152E4">
        <w:t xml:space="preserve">cu </w:t>
      </w:r>
      <w:r w:rsidR="00685035" w:rsidRPr="002152E4">
        <w:rPr>
          <w:b/>
        </w:rPr>
        <w:t>275.264</w:t>
      </w:r>
      <w:r w:rsidRPr="002152E4">
        <w:t xml:space="preserve"> dosare</w:t>
      </w:r>
      <w:r w:rsidR="00F3679C" w:rsidRPr="002152E4">
        <w:t xml:space="preserve"> (</w:t>
      </w:r>
      <w:r w:rsidR="00685035" w:rsidRPr="002152E4">
        <w:rPr>
          <w:b/>
        </w:rPr>
        <w:t>11,21</w:t>
      </w:r>
      <w:r w:rsidR="00F46532" w:rsidRPr="002152E4">
        <w:rPr>
          <w:b/>
        </w:rPr>
        <w:t xml:space="preserve"> </w:t>
      </w:r>
      <w:r w:rsidRPr="002152E4">
        <w:rPr>
          <w:b/>
        </w:rPr>
        <w:t>%</w:t>
      </w:r>
      <w:r w:rsidR="00F3679C" w:rsidRPr="002152E4">
        <w:rPr>
          <w:b/>
        </w:rPr>
        <w:t>)</w:t>
      </w:r>
      <w:r w:rsidRPr="002152E4">
        <w:t>.</w:t>
      </w:r>
    </w:p>
    <w:p w:rsidR="000802D5" w:rsidRPr="002152E4" w:rsidRDefault="000802D5" w:rsidP="00D5288F">
      <w:pPr>
        <w:pStyle w:val="AddParagraf"/>
        <w:spacing w:after="0"/>
      </w:pPr>
      <w:r w:rsidRPr="002152E4">
        <w:t>Distribuţia cauzelor nou intrate pe tipuri de instanţă se prezintă astfel:</w:t>
      </w:r>
    </w:p>
    <w:p w:rsidR="00B97F89" w:rsidRPr="002152E4" w:rsidRDefault="00B97F89" w:rsidP="00D5288F">
      <w:pPr>
        <w:pStyle w:val="AddParagraf"/>
      </w:pPr>
    </w:p>
    <w:p w:rsidR="00B97F89" w:rsidRPr="002152E4" w:rsidRDefault="007041EF" w:rsidP="00D5288F">
      <w:pPr>
        <w:pStyle w:val="AddParagraf"/>
        <w:ind w:firstLine="0"/>
        <w:jc w:val="center"/>
      </w:pPr>
      <w:r w:rsidRPr="002152E4">
        <w:rPr>
          <w:noProof/>
          <w:lang w:val="en-US"/>
        </w:rPr>
        <w:lastRenderedPageBreak/>
        <w:drawing>
          <wp:inline distT="0" distB="0" distL="0" distR="0" wp14:anchorId="558F7CB1" wp14:editId="7CAF82C4">
            <wp:extent cx="6187440" cy="3383280"/>
            <wp:effectExtent l="19050" t="19050" r="22860"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l="25351" t="26422" r="12425" b="28204"/>
                    <a:stretch>
                      <a:fillRect/>
                    </a:stretch>
                  </pic:blipFill>
                  <pic:spPr bwMode="auto">
                    <a:xfrm>
                      <a:off x="0" y="0"/>
                      <a:ext cx="6187440" cy="3383280"/>
                    </a:xfrm>
                    <a:prstGeom prst="rect">
                      <a:avLst/>
                    </a:prstGeom>
                    <a:noFill/>
                    <a:ln w="6350" cmpd="sng">
                      <a:solidFill>
                        <a:srgbClr val="000000"/>
                      </a:solidFill>
                      <a:miter lim="800000"/>
                      <a:headEnd/>
                      <a:tailEnd/>
                    </a:ln>
                    <a:effectLst/>
                  </pic:spPr>
                </pic:pic>
              </a:graphicData>
            </a:graphic>
          </wp:inline>
        </w:drawing>
      </w:r>
    </w:p>
    <w:p w:rsidR="000802D5" w:rsidRPr="002152E4" w:rsidRDefault="000802D5" w:rsidP="000802D5">
      <w:pPr>
        <w:tabs>
          <w:tab w:val="left" w:pos="1305"/>
        </w:tabs>
        <w:spacing w:line="360" w:lineRule="auto"/>
        <w:jc w:val="center"/>
        <w:rPr>
          <w:noProof/>
          <w:lang w:val="ro-RO"/>
        </w:rPr>
      </w:pPr>
    </w:p>
    <w:p w:rsidR="000802D5" w:rsidRPr="002152E4" w:rsidRDefault="00627C65" w:rsidP="000802D5">
      <w:pPr>
        <w:tabs>
          <w:tab w:val="left" w:pos="1305"/>
        </w:tabs>
        <w:spacing w:line="360" w:lineRule="auto"/>
        <w:jc w:val="both"/>
        <w:rPr>
          <w:noProof/>
          <w:lang w:val="ro-RO"/>
        </w:rPr>
      </w:pPr>
      <w:r w:rsidRPr="002152E4">
        <w:rPr>
          <w:noProof/>
          <w:lang w:val="ro-RO"/>
        </w:rPr>
        <w:tab/>
      </w:r>
      <w:r w:rsidR="000802D5" w:rsidRPr="002152E4">
        <w:rPr>
          <w:noProof/>
          <w:lang w:val="ro-RO"/>
        </w:rPr>
        <w:t>De asemenea, sub aspectul stadiilor procesuale, situaţia la nivel naţional se prezintă astfel:</w:t>
      </w:r>
    </w:p>
    <w:p w:rsidR="00722FDB" w:rsidRPr="002152E4" w:rsidRDefault="007041EF" w:rsidP="00722FDB">
      <w:pPr>
        <w:tabs>
          <w:tab w:val="left" w:pos="1305"/>
        </w:tabs>
        <w:spacing w:line="360" w:lineRule="auto"/>
        <w:jc w:val="center"/>
        <w:rPr>
          <w:noProof/>
          <w:lang w:val="ro-RO"/>
        </w:rPr>
      </w:pPr>
      <w:r w:rsidRPr="002152E4">
        <w:rPr>
          <w:noProof/>
        </w:rPr>
        <w:drawing>
          <wp:inline distT="0" distB="0" distL="0" distR="0" wp14:anchorId="74388BB1" wp14:editId="3853F41F">
            <wp:extent cx="6294120" cy="3383280"/>
            <wp:effectExtent l="19050" t="19050" r="11430" b="266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l="24213" t="32889" r="10197" b="20233"/>
                    <a:stretch>
                      <a:fillRect/>
                    </a:stretch>
                  </pic:blipFill>
                  <pic:spPr bwMode="auto">
                    <a:xfrm>
                      <a:off x="0" y="0"/>
                      <a:ext cx="6294120" cy="3383280"/>
                    </a:xfrm>
                    <a:prstGeom prst="rect">
                      <a:avLst/>
                    </a:prstGeom>
                    <a:noFill/>
                    <a:ln w="6350" cmpd="sng">
                      <a:solidFill>
                        <a:srgbClr val="000000"/>
                      </a:solidFill>
                      <a:miter lim="800000"/>
                      <a:headEnd/>
                      <a:tailEnd/>
                    </a:ln>
                    <a:effectLst/>
                  </pic:spPr>
                </pic:pic>
              </a:graphicData>
            </a:graphic>
          </wp:inline>
        </w:drawing>
      </w:r>
    </w:p>
    <w:p w:rsidR="00445AE3" w:rsidRPr="002152E4" w:rsidRDefault="00445AE3" w:rsidP="00445AE3">
      <w:pPr>
        <w:tabs>
          <w:tab w:val="left" w:pos="1305"/>
        </w:tabs>
        <w:spacing w:line="360" w:lineRule="auto"/>
        <w:jc w:val="center"/>
        <w:rPr>
          <w:noProof/>
          <w:lang w:val="ro-RO"/>
        </w:rPr>
      </w:pPr>
    </w:p>
    <w:p w:rsidR="000802D5" w:rsidRPr="002152E4" w:rsidRDefault="000802D5" w:rsidP="000802D5">
      <w:pPr>
        <w:tabs>
          <w:tab w:val="left" w:pos="1305"/>
        </w:tabs>
        <w:spacing w:line="360" w:lineRule="auto"/>
        <w:jc w:val="center"/>
        <w:rPr>
          <w:noProof/>
          <w:lang w:val="ro-RO"/>
        </w:rPr>
      </w:pPr>
    </w:p>
    <w:p w:rsidR="00CF5906" w:rsidRPr="002152E4" w:rsidRDefault="00CF5906" w:rsidP="000802D5">
      <w:pPr>
        <w:tabs>
          <w:tab w:val="left" w:pos="1305"/>
        </w:tabs>
        <w:spacing w:line="360" w:lineRule="auto"/>
        <w:jc w:val="center"/>
        <w:rPr>
          <w:noProof/>
          <w:lang w:val="ro-RO"/>
        </w:rPr>
      </w:pPr>
    </w:p>
    <w:p w:rsidR="00CF5906" w:rsidRPr="002152E4" w:rsidRDefault="00CF5906" w:rsidP="000802D5">
      <w:pPr>
        <w:tabs>
          <w:tab w:val="left" w:pos="1305"/>
        </w:tabs>
        <w:spacing w:line="360" w:lineRule="auto"/>
        <w:jc w:val="center"/>
        <w:rPr>
          <w:noProof/>
          <w:lang w:val="ro-RO"/>
        </w:rPr>
      </w:pPr>
    </w:p>
    <w:p w:rsidR="00284D3A" w:rsidRDefault="000802D5" w:rsidP="00CF5906">
      <w:pPr>
        <w:pStyle w:val="AddParagraf"/>
        <w:rPr>
          <w:noProof/>
        </w:rPr>
      </w:pPr>
      <w:r w:rsidRPr="002152E4">
        <w:rPr>
          <w:noProof/>
        </w:rPr>
        <w:t>În ceea ce priveşte numărul dosarelor soluţionate, evoluţia ultimilor ani se prezintă conform graficului:</w:t>
      </w:r>
    </w:p>
    <w:p w:rsidR="000C4C72" w:rsidRDefault="000C4C72" w:rsidP="00CF5906">
      <w:pPr>
        <w:pStyle w:val="AddParagraf"/>
        <w:rPr>
          <w:noProof/>
        </w:rPr>
      </w:pPr>
    </w:p>
    <w:p w:rsidR="000C4C72" w:rsidRPr="002152E4" w:rsidRDefault="000C4C72" w:rsidP="00CF5906">
      <w:pPr>
        <w:pStyle w:val="AddParagraf"/>
        <w:rPr>
          <w:noProof/>
        </w:rPr>
      </w:pPr>
      <w:r w:rsidRPr="007037CF">
        <w:rPr>
          <w:noProof/>
        </w:rPr>
        <w:lastRenderedPageBreak/>
        <w:fldChar w:fldCharType="begin"/>
      </w:r>
      <w:r w:rsidRPr="007037CF">
        <w:rPr>
          <w:noProof/>
        </w:rPr>
        <w:instrText xml:space="preserve"> LINK Excel.Sheet.8 "C:\\Users\\roxana.petcu\\Desktop\\adrese\\rapoarte starea justitie\\2016\\Grafice 2016.xls!Grafic 2![Grafice 2016.xls]Grafic 2 Diagramă 1" "" \a \p \* MERGEFORMAT </w:instrText>
      </w:r>
      <w:r w:rsidRPr="007037CF">
        <w:rPr>
          <w:noProof/>
        </w:rPr>
        <w:fldChar w:fldCharType="separate"/>
      </w:r>
      <w:r w:rsidR="00C742FD">
        <w:rPr>
          <w:noProof/>
        </w:rPr>
        <w:object w:dxaOrig="11622" w:dyaOrig="6591">
          <v:shape id="_x0000_i1026" type="#_x0000_t75" style="width:485.85pt;height:276.75pt">
            <v:imagedata r:id="rId12" o:title=""/>
          </v:shape>
        </w:object>
      </w:r>
      <w:r w:rsidRPr="007037CF">
        <w:rPr>
          <w:noProof/>
        </w:rPr>
        <w:fldChar w:fldCharType="end"/>
      </w:r>
    </w:p>
    <w:p w:rsidR="007B5BA5" w:rsidRPr="002152E4" w:rsidRDefault="007B5BA5" w:rsidP="000C4C72">
      <w:pPr>
        <w:pStyle w:val="AddParagraf"/>
        <w:tabs>
          <w:tab w:val="center" w:pos="4936"/>
          <w:tab w:val="left" w:pos="6396"/>
        </w:tabs>
        <w:ind w:firstLine="0"/>
        <w:jc w:val="left"/>
        <w:rPr>
          <w:noProof/>
        </w:rPr>
      </w:pPr>
    </w:p>
    <w:p w:rsidR="00FB69CB" w:rsidRPr="002152E4" w:rsidRDefault="00FB69CB" w:rsidP="00FB69CB">
      <w:pPr>
        <w:pStyle w:val="AddParagraf"/>
      </w:pPr>
      <w:r w:rsidRPr="002152E4">
        <w:t xml:space="preserve">Din punct de vedere al circumscripţiilor, </w:t>
      </w:r>
      <w:r w:rsidRPr="002152E4">
        <w:rPr>
          <w:b/>
        </w:rPr>
        <w:t>însumând curţile de apel, tribunalele şi judecătoriile arondate</w:t>
      </w:r>
      <w:r w:rsidRPr="002152E4">
        <w:t>, cele mai multe dosare nou create în anul 2016 au fost înregistrate în următoarele raze teritoriale:</w:t>
      </w:r>
    </w:p>
    <w:p w:rsidR="000802D5" w:rsidRPr="002152E4" w:rsidRDefault="007041EF" w:rsidP="00FB69CB">
      <w:pPr>
        <w:spacing w:line="360" w:lineRule="auto"/>
        <w:jc w:val="both"/>
        <w:rPr>
          <w:lang w:val="ro-RO"/>
        </w:rPr>
      </w:pPr>
      <w:r w:rsidRPr="002152E4">
        <w:rPr>
          <w:noProof/>
        </w:rPr>
        <w:drawing>
          <wp:inline distT="0" distB="0" distL="0" distR="0" wp14:anchorId="07C9159E" wp14:editId="484F0565">
            <wp:extent cx="6187440" cy="2750820"/>
            <wp:effectExtent l="19050" t="19050" r="2286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l="19005" t="33524" r="5017" b="21445"/>
                    <a:stretch>
                      <a:fillRect/>
                    </a:stretch>
                  </pic:blipFill>
                  <pic:spPr bwMode="auto">
                    <a:xfrm>
                      <a:off x="0" y="0"/>
                      <a:ext cx="6187440" cy="2750820"/>
                    </a:xfrm>
                    <a:prstGeom prst="rect">
                      <a:avLst/>
                    </a:prstGeom>
                    <a:noFill/>
                    <a:ln w="6350" cmpd="sng">
                      <a:solidFill>
                        <a:srgbClr val="000000"/>
                      </a:solidFill>
                      <a:miter lim="800000"/>
                      <a:headEnd/>
                      <a:tailEnd/>
                    </a:ln>
                    <a:effectLst/>
                  </pic:spPr>
                </pic:pic>
              </a:graphicData>
            </a:graphic>
          </wp:inline>
        </w:drawing>
      </w:r>
    </w:p>
    <w:p w:rsidR="006F7E50" w:rsidRPr="002152E4" w:rsidRDefault="006F7E50" w:rsidP="00FB69CB">
      <w:pPr>
        <w:spacing w:line="360" w:lineRule="auto"/>
        <w:jc w:val="both"/>
        <w:rPr>
          <w:iCs/>
          <w:lang w:val="ro-RO"/>
        </w:rPr>
      </w:pPr>
    </w:p>
    <w:p w:rsidR="000802D5" w:rsidRPr="002152E4" w:rsidRDefault="002D7A83" w:rsidP="0035671F">
      <w:pPr>
        <w:pStyle w:val="Heading3"/>
      </w:pPr>
      <w:bookmarkStart w:id="10" w:name="_Toc411333475"/>
      <w:bookmarkStart w:id="11" w:name="_Toc411429410"/>
      <w:bookmarkStart w:id="12" w:name="_Toc475363393"/>
      <w:bookmarkStart w:id="13" w:name="_Toc486576516"/>
      <w:r w:rsidRPr="002152E4">
        <w:t>I</w:t>
      </w:r>
      <w:r w:rsidR="0035671F" w:rsidRPr="002152E4">
        <w:t>I.1.1.</w:t>
      </w:r>
      <w:r w:rsidRPr="002152E4">
        <w:t xml:space="preserve"> </w:t>
      </w:r>
      <w:r w:rsidR="000802D5" w:rsidRPr="002152E4">
        <w:t>Volumul de activitatea la nivelul Înaltei Curţi de Casaţie şi Justiţie</w:t>
      </w:r>
      <w:bookmarkEnd w:id="10"/>
      <w:bookmarkEnd w:id="11"/>
      <w:bookmarkEnd w:id="12"/>
      <w:bookmarkEnd w:id="13"/>
    </w:p>
    <w:p w:rsidR="000802D5" w:rsidRPr="002152E4" w:rsidRDefault="000802D5" w:rsidP="00D5288F">
      <w:pPr>
        <w:pStyle w:val="AddParagraf"/>
        <w:spacing w:after="0"/>
      </w:pPr>
      <w:r w:rsidRPr="002152E4">
        <w:t>La nivelul instanţei su</w:t>
      </w:r>
      <w:r w:rsidR="00D21218" w:rsidRPr="002152E4">
        <w:t>preme, conform evidenţelor Statis</w:t>
      </w:r>
      <w:r w:rsidRPr="002152E4">
        <w:t>, a fost în</w:t>
      </w:r>
      <w:r w:rsidR="00301CCA" w:rsidRPr="002152E4">
        <w:t>registrat la</w:t>
      </w:r>
      <w:r w:rsidR="00305826" w:rsidRPr="002152E4">
        <w:t xml:space="preserve"> nivelul anului 2016</w:t>
      </w:r>
      <w:r w:rsidRPr="002152E4">
        <w:t xml:space="preserve"> un număr de </w:t>
      </w:r>
      <w:r w:rsidR="009D04F4" w:rsidRPr="002152E4">
        <w:rPr>
          <w:b/>
        </w:rPr>
        <w:t>34.443</w:t>
      </w:r>
      <w:r w:rsidR="00301CCA" w:rsidRPr="002152E4">
        <w:rPr>
          <w:b/>
        </w:rPr>
        <w:t xml:space="preserve"> </w:t>
      </w:r>
      <w:r w:rsidRPr="002152E4">
        <w:t>dosare de soluţionat</w:t>
      </w:r>
      <w:r w:rsidRPr="002152E4">
        <w:rPr>
          <w:b/>
        </w:rPr>
        <w:t xml:space="preserve"> (</w:t>
      </w:r>
      <w:r w:rsidR="009D04F4" w:rsidRPr="002152E4">
        <w:t>31.724</w:t>
      </w:r>
      <w:bookmarkStart w:id="14" w:name="OLE_LINK1"/>
      <w:bookmarkStart w:id="15" w:name="OLE_LINK2"/>
      <w:r w:rsidR="009D04F4" w:rsidRPr="002152E4">
        <w:t xml:space="preserve"> </w:t>
      </w:r>
      <w:r w:rsidRPr="002152E4">
        <w:t>dosare de soluţionat</w:t>
      </w:r>
      <w:bookmarkEnd w:id="14"/>
      <w:bookmarkEnd w:id="15"/>
      <w:r w:rsidR="009D04F4" w:rsidRPr="002152E4">
        <w:t xml:space="preserve"> în anul 2015</w:t>
      </w:r>
      <w:r w:rsidRPr="002152E4">
        <w:t>).</w:t>
      </w:r>
    </w:p>
    <w:p w:rsidR="000802D5" w:rsidRDefault="000802D5" w:rsidP="00D5288F">
      <w:pPr>
        <w:pStyle w:val="AddParagraf"/>
        <w:spacing w:after="0"/>
      </w:pPr>
      <w:r w:rsidRPr="002152E4">
        <w:t>Sub aspect grafic, evoluţia volumului de activitate în cadrul ultimilor 5 ani la instanţa supremă, se prezi</w:t>
      </w:r>
      <w:r w:rsidR="00181994" w:rsidRPr="002152E4">
        <w:t>ntă astfel (valorile ultimilor 3</w:t>
      </w:r>
      <w:r w:rsidRPr="002152E4">
        <w:t xml:space="preserve"> ani fiind ajustate în funcţie de </w:t>
      </w:r>
      <w:r w:rsidR="00CF5906" w:rsidRPr="002152E4">
        <w:t>baza de date a aplicaţiei</w:t>
      </w:r>
      <w:r w:rsidR="000C4C72">
        <w:t xml:space="preserve"> Ecris</w:t>
      </w:r>
      <w:r w:rsidRPr="002152E4">
        <w:t>:</w:t>
      </w:r>
    </w:p>
    <w:p w:rsidR="000C4C72" w:rsidRDefault="000C4C72" w:rsidP="00D5288F">
      <w:pPr>
        <w:pStyle w:val="AddParagraf"/>
        <w:spacing w:after="0"/>
      </w:pPr>
    </w:p>
    <w:p w:rsidR="000C4C72" w:rsidRDefault="000C4C72" w:rsidP="00D5288F">
      <w:pPr>
        <w:pStyle w:val="AddParagraf"/>
        <w:spacing w:after="0"/>
      </w:pPr>
    </w:p>
    <w:p w:rsidR="000C4C72" w:rsidRDefault="000C4C72" w:rsidP="00D5288F">
      <w:pPr>
        <w:pStyle w:val="AddParagraf"/>
        <w:spacing w:after="0"/>
      </w:pPr>
    </w:p>
    <w:p w:rsidR="000C4C72" w:rsidRDefault="000C4C72" w:rsidP="00D5288F">
      <w:pPr>
        <w:pStyle w:val="AddParagraf"/>
        <w:spacing w:after="0"/>
      </w:pPr>
      <w:r w:rsidRPr="007037CF">
        <w:lastRenderedPageBreak/>
        <w:fldChar w:fldCharType="begin"/>
      </w:r>
      <w:r w:rsidRPr="007037CF">
        <w:instrText xml:space="preserve"> LINK Excel.Sheet.8 "C:\\Users\\roxana.petcu\\Desktop\\adrese\\rapoarte starea justitie\\2016\\Grafice 2016.xls!Grafic 3![Grafice 2016.xls]Grafic 3 Diagramă 1" "" \a \p \* MERGEFORMAT </w:instrText>
      </w:r>
      <w:r w:rsidRPr="007037CF">
        <w:fldChar w:fldCharType="separate"/>
      </w:r>
      <w:r w:rsidR="00C742FD">
        <w:object w:dxaOrig="11852" w:dyaOrig="6591">
          <v:shape id="_x0000_i1027" type="#_x0000_t75" style="width:477.1pt;height:247.3pt">
            <v:imagedata r:id="rId14" o:title=""/>
          </v:shape>
        </w:object>
      </w:r>
      <w:r w:rsidRPr="007037CF">
        <w:fldChar w:fldCharType="end"/>
      </w:r>
    </w:p>
    <w:p w:rsidR="000C4C72" w:rsidRDefault="000C4C72" w:rsidP="00D5288F">
      <w:pPr>
        <w:pStyle w:val="AddParagraf"/>
        <w:spacing w:after="0"/>
      </w:pPr>
    </w:p>
    <w:p w:rsidR="000C4C72" w:rsidRDefault="000C4C72" w:rsidP="00D5288F">
      <w:pPr>
        <w:pStyle w:val="AddParagraf"/>
        <w:spacing w:after="0"/>
      </w:pPr>
    </w:p>
    <w:p w:rsidR="000C4C72" w:rsidRPr="002152E4" w:rsidRDefault="000C4C72" w:rsidP="00D5288F">
      <w:pPr>
        <w:pStyle w:val="AddParagraf"/>
        <w:spacing w:after="0"/>
      </w:pPr>
    </w:p>
    <w:p w:rsidR="000802D5" w:rsidRDefault="000802D5" w:rsidP="008A5BE7">
      <w:pPr>
        <w:pStyle w:val="AddParagraf"/>
      </w:pPr>
      <w:r w:rsidRPr="002152E4">
        <w:t xml:space="preserve">Din punctul de vedere al stocurilor, precum şi al cauzelor nou intrate în toată această perioadă, situaţia se prezintă conform </w:t>
      </w:r>
      <w:r w:rsidR="008A16F6" w:rsidRPr="002152E4">
        <w:t>graficului</w:t>
      </w:r>
      <w:r w:rsidRPr="002152E4">
        <w:t>:</w:t>
      </w:r>
    </w:p>
    <w:p w:rsidR="000C4C72" w:rsidRDefault="000C4C72" w:rsidP="008A5BE7">
      <w:pPr>
        <w:pStyle w:val="AddParagraf"/>
      </w:pPr>
    </w:p>
    <w:p w:rsidR="000802D5" w:rsidRPr="002152E4" w:rsidRDefault="000802D5" w:rsidP="00672A80">
      <w:pPr>
        <w:pStyle w:val="AddParagraf"/>
      </w:pPr>
      <w:r w:rsidRPr="002152E4">
        <w:t xml:space="preserve"> </w:t>
      </w:r>
      <w:r w:rsidR="000C4C72" w:rsidRPr="007037CF">
        <w:fldChar w:fldCharType="begin"/>
      </w:r>
      <w:r w:rsidR="000C4C72" w:rsidRPr="007037CF">
        <w:instrText xml:space="preserve"> LINK Excel.Sheet.8 "C:\\Users\\roxana.petcu\\Desktop\\adrese\\rapoarte starea justitie\\2016\\Grafice 2016.xls!Grafic 4![Grafice 2016.xls]Grafic 4 Diagramă 2" "" \a \p \* MERGEFORMAT </w:instrText>
      </w:r>
      <w:r w:rsidR="000C4C72" w:rsidRPr="007037CF">
        <w:fldChar w:fldCharType="separate"/>
      </w:r>
      <w:r w:rsidR="00C742FD">
        <w:object w:dxaOrig="11959" w:dyaOrig="6307">
          <v:shape id="_x0000_i1028" type="#_x0000_t75" style="width:488.35pt;height:257.95pt">
            <v:imagedata r:id="rId15" o:title=""/>
          </v:shape>
        </w:object>
      </w:r>
      <w:r w:rsidR="000C4C72" w:rsidRPr="007037CF">
        <w:fldChar w:fldCharType="end"/>
      </w:r>
      <w:r w:rsidRPr="002152E4">
        <w:t xml:space="preserve">         </w:t>
      </w:r>
    </w:p>
    <w:p w:rsidR="000C4C72" w:rsidRDefault="000C4C72" w:rsidP="00672A80">
      <w:pPr>
        <w:pStyle w:val="AddParagraf"/>
      </w:pPr>
    </w:p>
    <w:p w:rsidR="000C4C72" w:rsidRDefault="000C4C72" w:rsidP="00672A80">
      <w:pPr>
        <w:pStyle w:val="AddParagraf"/>
      </w:pPr>
    </w:p>
    <w:p w:rsidR="000C4C72" w:rsidRDefault="000C4C72" w:rsidP="00672A80">
      <w:pPr>
        <w:pStyle w:val="AddParagraf"/>
      </w:pPr>
    </w:p>
    <w:p w:rsidR="000C4C72" w:rsidRDefault="000C4C72" w:rsidP="00672A80">
      <w:pPr>
        <w:pStyle w:val="AddParagraf"/>
      </w:pPr>
    </w:p>
    <w:p w:rsidR="000802D5" w:rsidRDefault="000802D5" w:rsidP="00672A80">
      <w:pPr>
        <w:pStyle w:val="AddParagraf"/>
      </w:pPr>
      <w:r w:rsidRPr="002152E4">
        <w:lastRenderedPageBreak/>
        <w:t>În ceea ce priveşte numărului de cau</w:t>
      </w:r>
      <w:r w:rsidR="005261E5" w:rsidRPr="002152E4">
        <w:t>ze nou înregistrate în anul 2016</w:t>
      </w:r>
      <w:r w:rsidRPr="002152E4">
        <w:t>, Înalta Curte de Casaţie şi Justiţie a fost investită pe materii după cum urmează (pe toate stadiile procesuale):</w:t>
      </w:r>
    </w:p>
    <w:p w:rsidR="000C4C72" w:rsidRPr="002152E4" w:rsidRDefault="000C4C72" w:rsidP="00672A80">
      <w:pPr>
        <w:pStyle w:val="AddParagraf"/>
      </w:pPr>
    </w:p>
    <w:p w:rsidR="00805FEB" w:rsidRPr="002152E4" w:rsidRDefault="007041EF" w:rsidP="00805FEB">
      <w:pPr>
        <w:pStyle w:val="AddParagraf"/>
        <w:ind w:firstLine="0"/>
      </w:pPr>
      <w:r w:rsidRPr="002152E4">
        <w:rPr>
          <w:noProof/>
          <w:lang w:val="en-US"/>
        </w:rPr>
        <w:drawing>
          <wp:inline distT="0" distB="0" distL="0" distR="0" wp14:anchorId="1A8ED9F9" wp14:editId="754CD69B">
            <wp:extent cx="6294120" cy="3017520"/>
            <wp:effectExtent l="19050" t="19050" r="11430" b="114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l="19005" t="33722" r="5017" b="21101"/>
                    <a:stretch>
                      <a:fillRect/>
                    </a:stretch>
                  </pic:blipFill>
                  <pic:spPr bwMode="auto">
                    <a:xfrm>
                      <a:off x="0" y="0"/>
                      <a:ext cx="6294120" cy="3017520"/>
                    </a:xfrm>
                    <a:prstGeom prst="rect">
                      <a:avLst/>
                    </a:prstGeom>
                    <a:noFill/>
                    <a:ln w="6350" cmpd="sng">
                      <a:solidFill>
                        <a:srgbClr val="000000"/>
                      </a:solidFill>
                      <a:miter lim="800000"/>
                      <a:headEnd/>
                      <a:tailEnd/>
                    </a:ln>
                    <a:effectLst/>
                  </pic:spPr>
                </pic:pic>
              </a:graphicData>
            </a:graphic>
          </wp:inline>
        </w:drawing>
      </w:r>
    </w:p>
    <w:p w:rsidR="00966EEE" w:rsidRPr="002152E4" w:rsidRDefault="00966EEE" w:rsidP="00672A80">
      <w:pPr>
        <w:pStyle w:val="AddParagraf"/>
        <w:rPr>
          <w:noProof/>
        </w:rPr>
      </w:pPr>
    </w:p>
    <w:p w:rsidR="000802D5" w:rsidRPr="002152E4" w:rsidRDefault="000802D5" w:rsidP="00672A80">
      <w:pPr>
        <w:pStyle w:val="AddParagraf"/>
        <w:rPr>
          <w:noProof/>
        </w:rPr>
      </w:pPr>
      <w:r w:rsidRPr="002152E4">
        <w:rPr>
          <w:noProof/>
        </w:rPr>
        <w:t>De asemenea, distribuţia dosarelor nou create în anul de referinţă pe stadii procesuale indiferent de materie, se prezintă astfel:</w:t>
      </w:r>
    </w:p>
    <w:p w:rsidR="000E3A61" w:rsidRPr="002152E4" w:rsidRDefault="007041EF" w:rsidP="000E3A61">
      <w:pPr>
        <w:pStyle w:val="AddParagraf"/>
        <w:ind w:firstLine="0"/>
        <w:rPr>
          <w:noProof/>
        </w:rPr>
      </w:pPr>
      <w:r w:rsidRPr="002152E4">
        <w:rPr>
          <w:noProof/>
          <w:lang w:val="en-US"/>
        </w:rPr>
        <w:drawing>
          <wp:inline distT="0" distB="0" distL="0" distR="0" wp14:anchorId="1FD1FE82" wp14:editId="561D80FD">
            <wp:extent cx="6187440" cy="3238500"/>
            <wp:effectExtent l="19050" t="19050" r="2286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l="24213" t="33487" r="10197" b="20805"/>
                    <a:stretch>
                      <a:fillRect/>
                    </a:stretch>
                  </pic:blipFill>
                  <pic:spPr bwMode="auto">
                    <a:xfrm>
                      <a:off x="0" y="0"/>
                      <a:ext cx="6187440" cy="3238500"/>
                    </a:xfrm>
                    <a:prstGeom prst="rect">
                      <a:avLst/>
                    </a:prstGeom>
                    <a:noFill/>
                    <a:ln w="6350" cmpd="sng">
                      <a:solidFill>
                        <a:srgbClr val="000000"/>
                      </a:solidFill>
                      <a:miter lim="800000"/>
                      <a:headEnd/>
                      <a:tailEnd/>
                    </a:ln>
                    <a:effectLst/>
                  </pic:spPr>
                </pic:pic>
              </a:graphicData>
            </a:graphic>
          </wp:inline>
        </w:drawing>
      </w:r>
    </w:p>
    <w:p w:rsidR="00966EEE" w:rsidRPr="002152E4" w:rsidRDefault="00966EEE" w:rsidP="00672A80">
      <w:pPr>
        <w:pStyle w:val="AddParagraf"/>
      </w:pPr>
    </w:p>
    <w:p w:rsidR="000802D5" w:rsidRPr="002152E4" w:rsidRDefault="000802D5" w:rsidP="00D5288F">
      <w:pPr>
        <w:pStyle w:val="AddParagraf"/>
        <w:spacing w:after="0"/>
      </w:pPr>
      <w:r w:rsidRPr="002152E4">
        <w:t xml:space="preserve">Sub aspectul repartizării </w:t>
      </w:r>
      <w:r w:rsidRPr="002152E4">
        <w:rPr>
          <w:b/>
        </w:rPr>
        <w:t>volumului de activitate pe secţi</w:t>
      </w:r>
      <w:r w:rsidRPr="002152E4">
        <w:t>i,</w:t>
      </w:r>
      <w:r w:rsidR="005F7215" w:rsidRPr="002152E4">
        <w:t xml:space="preserve"> la nivelul anului 2016</w:t>
      </w:r>
      <w:r w:rsidRPr="002152E4">
        <w:t xml:space="preserve"> </w:t>
      </w:r>
      <w:r w:rsidR="00A05045" w:rsidRPr="002152E4">
        <w:t>cel mai mare volum a înregistrat</w:t>
      </w:r>
      <w:r w:rsidRPr="002152E4">
        <w:t xml:space="preserve"> </w:t>
      </w:r>
      <w:r w:rsidRPr="002152E4">
        <w:rPr>
          <w:b/>
        </w:rPr>
        <w:t>Secţia de contencios administrativ şi fiscal</w:t>
      </w:r>
      <w:r w:rsidRPr="002152E4">
        <w:t>,</w:t>
      </w:r>
      <w:r w:rsidR="005F7215" w:rsidRPr="002152E4">
        <w:t xml:space="preserve"> </w:t>
      </w:r>
      <w:r w:rsidR="005F7215" w:rsidRPr="002152E4">
        <w:rPr>
          <w:b/>
        </w:rPr>
        <w:t>14.621</w:t>
      </w:r>
      <w:r w:rsidR="00ED1347" w:rsidRPr="002152E4">
        <w:t xml:space="preserve"> </w:t>
      </w:r>
      <w:r w:rsidRPr="002152E4">
        <w:t>cauze (</w:t>
      </w:r>
      <w:r w:rsidR="005F7215" w:rsidRPr="002152E4">
        <w:t xml:space="preserve">13.289 </w:t>
      </w:r>
      <w:r w:rsidRPr="002152E4">
        <w:t>cauze în 201</w:t>
      </w:r>
      <w:r w:rsidR="005F7215" w:rsidRPr="002152E4">
        <w:t>5</w:t>
      </w:r>
      <w:r w:rsidRPr="002152E4">
        <w:t xml:space="preserve">), urmată de </w:t>
      </w:r>
      <w:r w:rsidRPr="002152E4">
        <w:rPr>
          <w:b/>
        </w:rPr>
        <w:t>Secţia penală</w:t>
      </w:r>
      <w:r w:rsidRPr="002152E4">
        <w:t xml:space="preserve">, cu </w:t>
      </w:r>
      <w:r w:rsidR="00C7490A" w:rsidRPr="002152E4">
        <w:rPr>
          <w:b/>
        </w:rPr>
        <w:t>11.607</w:t>
      </w:r>
      <w:r w:rsidR="00C7490A" w:rsidRPr="002152E4">
        <w:t xml:space="preserve"> </w:t>
      </w:r>
      <w:r w:rsidRPr="002152E4">
        <w:t>cauze (</w:t>
      </w:r>
      <w:r w:rsidR="00C7490A" w:rsidRPr="002152E4">
        <w:t>9.109 cauze în 2015</w:t>
      </w:r>
      <w:r w:rsidRPr="002152E4">
        <w:t xml:space="preserve">), </w:t>
      </w:r>
      <w:r w:rsidRPr="002152E4">
        <w:rPr>
          <w:b/>
        </w:rPr>
        <w:t>Secţia a II-a Civilă</w:t>
      </w:r>
      <w:r w:rsidRPr="002152E4">
        <w:t xml:space="preserve"> cu </w:t>
      </w:r>
      <w:r w:rsidR="00C7490A" w:rsidRPr="002152E4">
        <w:rPr>
          <w:b/>
        </w:rPr>
        <w:t>3.781</w:t>
      </w:r>
      <w:r w:rsidR="00C7490A" w:rsidRPr="002152E4">
        <w:t xml:space="preserve"> </w:t>
      </w:r>
      <w:r w:rsidRPr="002152E4">
        <w:t>cauze (</w:t>
      </w:r>
      <w:r w:rsidR="00C7490A" w:rsidRPr="002152E4">
        <w:t>4.457 cauze în 2015</w:t>
      </w:r>
      <w:r w:rsidRPr="002152E4">
        <w:t xml:space="preserve">) şi </w:t>
      </w:r>
      <w:r w:rsidRPr="002152E4">
        <w:rPr>
          <w:b/>
        </w:rPr>
        <w:t>Secţia a I-a Civilă</w:t>
      </w:r>
      <w:r w:rsidRPr="002152E4">
        <w:t xml:space="preserve"> cu </w:t>
      </w:r>
      <w:r w:rsidR="00C7490A" w:rsidRPr="002152E4">
        <w:rPr>
          <w:b/>
        </w:rPr>
        <w:t xml:space="preserve">3.200 </w:t>
      </w:r>
      <w:r w:rsidRPr="002152E4">
        <w:t xml:space="preserve"> dosare (</w:t>
      </w:r>
      <w:r w:rsidR="00C7490A" w:rsidRPr="002152E4">
        <w:t>3.944</w:t>
      </w:r>
      <w:r w:rsidR="00C7490A" w:rsidRPr="002152E4">
        <w:rPr>
          <w:b/>
        </w:rPr>
        <w:t xml:space="preserve"> </w:t>
      </w:r>
      <w:r w:rsidR="00C7490A" w:rsidRPr="002152E4">
        <w:t>cauze în 2015</w:t>
      </w:r>
      <w:r w:rsidRPr="002152E4">
        <w:t xml:space="preserve">). </w:t>
      </w:r>
    </w:p>
    <w:p w:rsidR="00CB05F9" w:rsidRPr="002152E4" w:rsidRDefault="00CB05F9" w:rsidP="00D5288F">
      <w:pPr>
        <w:pStyle w:val="AddParagraf"/>
        <w:spacing w:after="0"/>
      </w:pPr>
      <w:r w:rsidRPr="002152E4">
        <w:rPr>
          <w:b/>
        </w:rPr>
        <w:t>Completul de 5 judecători</w:t>
      </w:r>
      <w:r w:rsidRPr="002152E4">
        <w:t xml:space="preserve"> a avut în anul 2016 un volum de activitate de</w:t>
      </w:r>
      <w:r w:rsidRPr="002152E4">
        <w:rPr>
          <w:b/>
        </w:rPr>
        <w:t xml:space="preserve"> 1009  </w:t>
      </w:r>
      <w:r w:rsidRPr="002152E4">
        <w:t xml:space="preserve">cauze. </w:t>
      </w:r>
    </w:p>
    <w:p w:rsidR="00CB05F9" w:rsidRPr="002152E4" w:rsidRDefault="00CB05F9" w:rsidP="00D5288F">
      <w:pPr>
        <w:pStyle w:val="AddParagraf"/>
        <w:spacing w:after="0"/>
      </w:pPr>
      <w:r w:rsidRPr="002152E4">
        <w:rPr>
          <w:b/>
        </w:rPr>
        <w:t>Completul de 9 judecători</w:t>
      </w:r>
      <w:r w:rsidRPr="002152E4">
        <w:t xml:space="preserve"> a înregistrat spre soluţ</w:t>
      </w:r>
      <w:r w:rsidR="0088468E" w:rsidRPr="002152E4">
        <w:t>ionare conform evidenţelor Statis</w:t>
      </w:r>
      <w:r w:rsidRPr="002152E4">
        <w:t xml:space="preserve"> un </w:t>
      </w:r>
      <w:r w:rsidRPr="002152E4">
        <w:rPr>
          <w:b/>
        </w:rPr>
        <w:t xml:space="preserve">1 </w:t>
      </w:r>
      <w:r w:rsidRPr="002152E4">
        <w:t>dosar.</w:t>
      </w:r>
    </w:p>
    <w:p w:rsidR="00CE1117" w:rsidRPr="002152E4" w:rsidRDefault="007041EF" w:rsidP="00F66B56">
      <w:pPr>
        <w:pStyle w:val="AddParagraf"/>
        <w:ind w:firstLine="0"/>
        <w:jc w:val="center"/>
      </w:pPr>
      <w:r w:rsidRPr="002152E4">
        <w:rPr>
          <w:noProof/>
          <w:lang w:val="en-US"/>
        </w:rPr>
        <w:lastRenderedPageBreak/>
        <w:drawing>
          <wp:inline distT="0" distB="0" distL="0" distR="0" wp14:anchorId="44EA59DA" wp14:editId="6D85E845">
            <wp:extent cx="6210300" cy="2918460"/>
            <wp:effectExtent l="19050" t="19050" r="19050" b="152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l="20766" t="35881" r="6744" b="19498"/>
                    <a:stretch>
                      <a:fillRect/>
                    </a:stretch>
                  </pic:blipFill>
                  <pic:spPr bwMode="auto">
                    <a:xfrm>
                      <a:off x="0" y="0"/>
                      <a:ext cx="6210300" cy="2918460"/>
                    </a:xfrm>
                    <a:prstGeom prst="rect">
                      <a:avLst/>
                    </a:prstGeom>
                    <a:noFill/>
                    <a:ln w="6350" cmpd="sng">
                      <a:solidFill>
                        <a:srgbClr val="000000"/>
                      </a:solidFill>
                      <a:miter lim="800000"/>
                      <a:headEnd/>
                      <a:tailEnd/>
                    </a:ln>
                    <a:effectLst/>
                  </pic:spPr>
                </pic:pic>
              </a:graphicData>
            </a:graphic>
          </wp:inline>
        </w:drawing>
      </w:r>
    </w:p>
    <w:p w:rsidR="006B51A6" w:rsidRPr="002152E4" w:rsidRDefault="000802D5" w:rsidP="00672A80">
      <w:pPr>
        <w:pStyle w:val="AddParagraf"/>
      </w:pPr>
      <w:r w:rsidRPr="002152E4">
        <w:t xml:space="preserve">Din punct de vedere al </w:t>
      </w:r>
      <w:r w:rsidRPr="002152E4">
        <w:rPr>
          <w:b/>
        </w:rPr>
        <w:t>cauzelor nou intrate</w:t>
      </w:r>
      <w:r w:rsidR="0004495C" w:rsidRPr="002152E4">
        <w:t>, comparativ cu anul 2015</w:t>
      </w:r>
      <w:r w:rsidRPr="002152E4">
        <w:t xml:space="preserve">, </w:t>
      </w:r>
      <w:r w:rsidRPr="002152E4">
        <w:rPr>
          <w:b/>
        </w:rPr>
        <w:t xml:space="preserve">Secţia de contencios administrativ şi fiscal </w:t>
      </w:r>
      <w:r w:rsidRPr="002152E4">
        <w:t xml:space="preserve">a înregistrat </w:t>
      </w:r>
      <w:r w:rsidR="0004495C" w:rsidRPr="002152E4">
        <w:rPr>
          <w:b/>
        </w:rPr>
        <w:t>5.689</w:t>
      </w:r>
      <w:r w:rsidR="0004495C" w:rsidRPr="002152E4">
        <w:t xml:space="preserve"> </w:t>
      </w:r>
      <w:r w:rsidRPr="002152E4">
        <w:t>dosare (</w:t>
      </w:r>
      <w:r w:rsidR="0004495C" w:rsidRPr="002152E4">
        <w:t>5036</w:t>
      </w:r>
      <w:r w:rsidR="00B26B9A" w:rsidRPr="002152E4">
        <w:rPr>
          <w:b/>
        </w:rPr>
        <w:t xml:space="preserve"> </w:t>
      </w:r>
      <w:r w:rsidR="0004495C" w:rsidRPr="002152E4">
        <w:t>dosare în 2015</w:t>
      </w:r>
      <w:r w:rsidRPr="002152E4">
        <w:t xml:space="preserve">), </w:t>
      </w:r>
      <w:r w:rsidRPr="002152E4">
        <w:rPr>
          <w:b/>
        </w:rPr>
        <w:t>Secţia penală</w:t>
      </w:r>
      <w:r w:rsidRPr="002152E4">
        <w:t xml:space="preserve"> a înregistrat </w:t>
      </w:r>
      <w:r w:rsidR="0004495C" w:rsidRPr="002152E4">
        <w:rPr>
          <w:b/>
        </w:rPr>
        <w:t>3.954</w:t>
      </w:r>
      <w:r w:rsidR="00B26B9A" w:rsidRPr="002152E4">
        <w:t xml:space="preserve"> </w:t>
      </w:r>
      <w:r w:rsidRPr="002152E4">
        <w:t>dosare (</w:t>
      </w:r>
      <w:r w:rsidR="0004495C" w:rsidRPr="002152E4">
        <w:t>4.033</w:t>
      </w:r>
      <w:r w:rsidR="00B26B9A" w:rsidRPr="002152E4">
        <w:rPr>
          <w:b/>
        </w:rPr>
        <w:t xml:space="preserve"> </w:t>
      </w:r>
      <w:r w:rsidR="0004495C" w:rsidRPr="002152E4">
        <w:t>dosare în 2015</w:t>
      </w:r>
      <w:r w:rsidRPr="002152E4">
        <w:t>),</w:t>
      </w:r>
      <w:r w:rsidR="00C91637" w:rsidRPr="002152E4">
        <w:rPr>
          <w:b/>
        </w:rPr>
        <w:t xml:space="preserve"> Secţia a I-a Civilă </w:t>
      </w:r>
      <w:r w:rsidR="00C91637" w:rsidRPr="002152E4">
        <w:t>a înregistrat</w:t>
      </w:r>
      <w:r w:rsidR="00C91637" w:rsidRPr="002152E4">
        <w:rPr>
          <w:b/>
        </w:rPr>
        <w:t xml:space="preserve"> 2.353 </w:t>
      </w:r>
      <w:r w:rsidR="00C91637" w:rsidRPr="002152E4">
        <w:t>dosare</w:t>
      </w:r>
      <w:r w:rsidR="00C91637" w:rsidRPr="002152E4">
        <w:rPr>
          <w:b/>
        </w:rPr>
        <w:t xml:space="preserve"> </w:t>
      </w:r>
      <w:r w:rsidR="00C91637" w:rsidRPr="002152E4">
        <w:t>(2.666</w:t>
      </w:r>
      <w:r w:rsidR="00C91637" w:rsidRPr="002152E4">
        <w:rPr>
          <w:b/>
        </w:rPr>
        <w:t xml:space="preserve"> </w:t>
      </w:r>
      <w:r w:rsidR="00C91637" w:rsidRPr="002152E4">
        <w:t>dosare în 2015)</w:t>
      </w:r>
      <w:r w:rsidRPr="002152E4">
        <w:t xml:space="preserve"> </w:t>
      </w:r>
      <w:r w:rsidR="00193FFB" w:rsidRPr="002152E4">
        <w:t xml:space="preserve">iar </w:t>
      </w:r>
      <w:r w:rsidRPr="002152E4">
        <w:rPr>
          <w:b/>
        </w:rPr>
        <w:t xml:space="preserve">Secţia a II-a Civilă </w:t>
      </w:r>
      <w:r w:rsidRPr="002152E4">
        <w:t>a înregistrat</w:t>
      </w:r>
      <w:r w:rsidRPr="002152E4">
        <w:rPr>
          <w:b/>
        </w:rPr>
        <w:t xml:space="preserve"> </w:t>
      </w:r>
      <w:r w:rsidR="00193FFB" w:rsidRPr="002152E4">
        <w:rPr>
          <w:b/>
        </w:rPr>
        <w:t xml:space="preserve">2.155 </w:t>
      </w:r>
      <w:r w:rsidRPr="002152E4">
        <w:t>dosare</w:t>
      </w:r>
      <w:r w:rsidRPr="002152E4">
        <w:rPr>
          <w:b/>
        </w:rPr>
        <w:t xml:space="preserve"> </w:t>
      </w:r>
      <w:r w:rsidRPr="002152E4">
        <w:t>(</w:t>
      </w:r>
      <w:r w:rsidR="00193FFB" w:rsidRPr="002152E4">
        <w:t>2.570</w:t>
      </w:r>
      <w:r w:rsidR="0032443C" w:rsidRPr="002152E4">
        <w:rPr>
          <w:b/>
        </w:rPr>
        <w:t xml:space="preserve"> </w:t>
      </w:r>
      <w:r w:rsidR="00193FFB" w:rsidRPr="002152E4">
        <w:t>dosare în 2015</w:t>
      </w:r>
      <w:r w:rsidR="00FE0E04" w:rsidRPr="002152E4">
        <w:t>)</w:t>
      </w:r>
      <w:r w:rsidRPr="002152E4">
        <w:t>.</w:t>
      </w:r>
      <w:r w:rsidR="00B27153" w:rsidRPr="002152E4">
        <w:t xml:space="preserve"> </w:t>
      </w:r>
    </w:p>
    <w:p w:rsidR="003E2BA3" w:rsidRPr="002152E4" w:rsidRDefault="007041EF" w:rsidP="006B51A6">
      <w:pPr>
        <w:pStyle w:val="AddParagraf"/>
        <w:ind w:firstLine="0"/>
        <w:jc w:val="center"/>
      </w:pPr>
      <w:r w:rsidRPr="002152E4">
        <w:rPr>
          <w:noProof/>
          <w:lang w:val="en-US"/>
        </w:rPr>
        <w:drawing>
          <wp:inline distT="0" distB="0" distL="0" distR="0" wp14:anchorId="452C845F" wp14:editId="57DEFA2A">
            <wp:extent cx="6263640" cy="2887980"/>
            <wp:effectExtent l="19050" t="19050" r="22860" b="266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l="15555" t="26422" r="5017" b="28622"/>
                    <a:stretch>
                      <a:fillRect/>
                    </a:stretch>
                  </pic:blipFill>
                  <pic:spPr bwMode="auto">
                    <a:xfrm>
                      <a:off x="0" y="0"/>
                      <a:ext cx="6263640" cy="2887980"/>
                    </a:xfrm>
                    <a:prstGeom prst="rect">
                      <a:avLst/>
                    </a:prstGeom>
                    <a:noFill/>
                    <a:ln w="6350" cmpd="sng">
                      <a:solidFill>
                        <a:srgbClr val="000000"/>
                      </a:solidFill>
                      <a:miter lim="800000"/>
                      <a:headEnd/>
                      <a:tailEnd/>
                    </a:ln>
                    <a:effectLst/>
                  </pic:spPr>
                </pic:pic>
              </a:graphicData>
            </a:graphic>
          </wp:inline>
        </w:drawing>
      </w:r>
    </w:p>
    <w:p w:rsidR="000802D5" w:rsidRPr="002152E4" w:rsidRDefault="000802D5" w:rsidP="00672A80">
      <w:pPr>
        <w:pStyle w:val="AddParagraf"/>
      </w:pPr>
      <w:r w:rsidRPr="002152E4">
        <w:t xml:space="preserve">Sub aspectul </w:t>
      </w:r>
      <w:r w:rsidRPr="002152E4">
        <w:rPr>
          <w:b/>
        </w:rPr>
        <w:t>stocurilor</w:t>
      </w:r>
      <w:r w:rsidR="00F2052E" w:rsidRPr="002152E4">
        <w:rPr>
          <w:b/>
        </w:rPr>
        <w:t xml:space="preserve"> iniţiale</w:t>
      </w:r>
      <w:r w:rsidR="005D4BCA" w:rsidRPr="002152E4">
        <w:t>, comparativ cu anul 2015</w:t>
      </w:r>
      <w:r w:rsidRPr="002152E4">
        <w:t xml:space="preserve">, </w:t>
      </w:r>
      <w:r w:rsidRPr="002152E4">
        <w:rPr>
          <w:b/>
        </w:rPr>
        <w:t xml:space="preserve">Secţia de contencios administrativ şi fiscal </w:t>
      </w:r>
      <w:r w:rsidRPr="002152E4">
        <w:t xml:space="preserve">a înregistrat </w:t>
      </w:r>
      <w:r w:rsidR="00F2052E" w:rsidRPr="002152E4">
        <w:rPr>
          <w:b/>
        </w:rPr>
        <w:t>8.932</w:t>
      </w:r>
      <w:r w:rsidR="005D4BCA" w:rsidRPr="002152E4">
        <w:t xml:space="preserve"> </w:t>
      </w:r>
      <w:r w:rsidRPr="002152E4">
        <w:t>dosare (</w:t>
      </w:r>
      <w:r w:rsidR="005D4BCA" w:rsidRPr="002152E4">
        <w:t>8.253</w:t>
      </w:r>
      <w:r w:rsidR="00B77E70" w:rsidRPr="002152E4">
        <w:t xml:space="preserve"> dosare în </w:t>
      </w:r>
      <w:r w:rsidR="005D4BCA" w:rsidRPr="002152E4">
        <w:t>2015</w:t>
      </w:r>
      <w:r w:rsidRPr="002152E4">
        <w:t xml:space="preserve">), </w:t>
      </w:r>
      <w:r w:rsidRPr="002152E4">
        <w:rPr>
          <w:b/>
        </w:rPr>
        <w:t>Secţia penală</w:t>
      </w:r>
      <w:r w:rsidRPr="002152E4">
        <w:t xml:space="preserve"> a înregistrat </w:t>
      </w:r>
      <w:r w:rsidR="00F2052E" w:rsidRPr="002152E4">
        <w:rPr>
          <w:b/>
        </w:rPr>
        <w:t>7.653</w:t>
      </w:r>
      <w:r w:rsidR="005D4BCA" w:rsidRPr="002152E4">
        <w:rPr>
          <w:b/>
        </w:rPr>
        <w:t xml:space="preserve"> </w:t>
      </w:r>
      <w:r w:rsidRPr="002152E4">
        <w:t>dosare (</w:t>
      </w:r>
      <w:r w:rsidR="005D4BCA" w:rsidRPr="002152E4">
        <w:t>5.076</w:t>
      </w:r>
      <w:r w:rsidRPr="002152E4">
        <w:t xml:space="preserve"> dosare </w:t>
      </w:r>
      <w:r w:rsidR="005D4BCA" w:rsidRPr="002152E4">
        <w:t>în 2015</w:t>
      </w:r>
      <w:r w:rsidRPr="002152E4">
        <w:t xml:space="preserve">), </w:t>
      </w:r>
      <w:r w:rsidRPr="002152E4">
        <w:rPr>
          <w:b/>
        </w:rPr>
        <w:t xml:space="preserve">Secţia a II-a Civilă </w:t>
      </w:r>
      <w:r w:rsidRPr="002152E4">
        <w:t>a înregistrat</w:t>
      </w:r>
      <w:r w:rsidRPr="002152E4">
        <w:rPr>
          <w:b/>
        </w:rPr>
        <w:t xml:space="preserve"> </w:t>
      </w:r>
      <w:r w:rsidR="00F2052E" w:rsidRPr="002152E4">
        <w:rPr>
          <w:b/>
        </w:rPr>
        <w:t>1.626</w:t>
      </w:r>
      <w:r w:rsidR="005D4BCA" w:rsidRPr="002152E4">
        <w:rPr>
          <w:b/>
        </w:rPr>
        <w:t xml:space="preserve"> </w:t>
      </w:r>
      <w:r w:rsidRPr="002152E4">
        <w:t>dosare</w:t>
      </w:r>
      <w:r w:rsidRPr="002152E4">
        <w:rPr>
          <w:b/>
        </w:rPr>
        <w:t xml:space="preserve"> </w:t>
      </w:r>
      <w:r w:rsidRPr="002152E4">
        <w:t>(</w:t>
      </w:r>
      <w:r w:rsidR="005D4BCA" w:rsidRPr="002152E4">
        <w:rPr>
          <w:b/>
        </w:rPr>
        <w:t>1.887</w:t>
      </w:r>
      <w:r w:rsidR="005D4BCA" w:rsidRPr="002152E4">
        <w:t xml:space="preserve"> dosare în 2015</w:t>
      </w:r>
      <w:r w:rsidRPr="002152E4">
        <w:t xml:space="preserve">) iar </w:t>
      </w:r>
      <w:r w:rsidRPr="002152E4">
        <w:rPr>
          <w:b/>
        </w:rPr>
        <w:t xml:space="preserve">Secţia a I-a Civilă </w:t>
      </w:r>
      <w:r w:rsidRPr="002152E4">
        <w:t>a înregistrat</w:t>
      </w:r>
      <w:r w:rsidRPr="002152E4">
        <w:rPr>
          <w:b/>
        </w:rPr>
        <w:t xml:space="preserve"> </w:t>
      </w:r>
      <w:r w:rsidR="00F2052E" w:rsidRPr="002152E4">
        <w:rPr>
          <w:b/>
        </w:rPr>
        <w:t>847</w:t>
      </w:r>
      <w:r w:rsidR="005D4BCA" w:rsidRPr="002152E4">
        <w:rPr>
          <w:b/>
        </w:rPr>
        <w:t xml:space="preserve"> </w:t>
      </w:r>
      <w:r w:rsidRPr="002152E4">
        <w:t>dosare</w:t>
      </w:r>
      <w:r w:rsidRPr="002152E4">
        <w:rPr>
          <w:b/>
        </w:rPr>
        <w:t xml:space="preserve"> </w:t>
      </w:r>
      <w:r w:rsidRPr="002152E4">
        <w:t>(</w:t>
      </w:r>
      <w:r w:rsidR="005D4BCA" w:rsidRPr="002152E4">
        <w:t>1.278 dosare în 2015</w:t>
      </w:r>
      <w:r w:rsidRPr="002152E4">
        <w:t>).</w:t>
      </w:r>
    </w:p>
    <w:p w:rsidR="00386C35" w:rsidRPr="002152E4" w:rsidRDefault="000802D5" w:rsidP="00672A80">
      <w:pPr>
        <w:pStyle w:val="AddParagraf"/>
      </w:pPr>
      <w:r w:rsidRPr="002152E4">
        <w:t xml:space="preserve">În cadrul </w:t>
      </w:r>
      <w:r w:rsidR="002152E4" w:rsidRPr="002152E4">
        <w:t>secțiilor</w:t>
      </w:r>
      <w:r w:rsidR="00386C35" w:rsidRPr="002152E4">
        <w:t xml:space="preserve"> </w:t>
      </w:r>
      <w:r w:rsidR="003059FB" w:rsidRPr="002152E4">
        <w:t xml:space="preserve">a </w:t>
      </w:r>
      <w:r w:rsidR="00386C35" w:rsidRPr="002152E4">
        <w:t>I-a civilă şi secţia a I</w:t>
      </w:r>
      <w:r w:rsidR="003059FB" w:rsidRPr="002152E4">
        <w:t>I</w:t>
      </w:r>
      <w:r w:rsidR="007B62B7" w:rsidRPr="002152E4">
        <w:t>-a civilă la nivelul anului 2016</w:t>
      </w:r>
      <w:r w:rsidRPr="002152E4">
        <w:t xml:space="preserve"> s-a înregistrat o scădere a stocurilor de </w:t>
      </w:r>
      <w:r w:rsidR="007B62B7" w:rsidRPr="002152E4">
        <w:t>dosare faţă de anul 2015</w:t>
      </w:r>
      <w:r w:rsidR="00386C35" w:rsidRPr="002152E4">
        <w:t>, în timp ce la secţia de</w:t>
      </w:r>
      <w:r w:rsidR="00386C35" w:rsidRPr="002152E4">
        <w:rPr>
          <w:b/>
        </w:rPr>
        <w:t xml:space="preserve"> </w:t>
      </w:r>
      <w:r w:rsidR="00386C35" w:rsidRPr="002152E4">
        <w:t xml:space="preserve">contencios administrativ şi fiscal </w:t>
      </w:r>
      <w:r w:rsidR="003059FB" w:rsidRPr="002152E4">
        <w:t>şi penal</w:t>
      </w:r>
      <w:r w:rsidR="00CB05F9" w:rsidRPr="002152E4">
        <w:t>ă</w:t>
      </w:r>
      <w:r w:rsidR="003059FB" w:rsidRPr="002152E4">
        <w:t xml:space="preserve"> </w:t>
      </w:r>
      <w:r w:rsidR="00386C35" w:rsidRPr="002152E4">
        <w:t>se constată o creştere a s</w:t>
      </w:r>
      <w:r w:rsidR="007B62B7" w:rsidRPr="002152E4">
        <w:t>t</w:t>
      </w:r>
      <w:r w:rsidR="00386C35" w:rsidRPr="002152E4">
        <w:t>ocului de dosare.</w:t>
      </w:r>
      <w:r w:rsidR="00A05045" w:rsidRPr="002152E4">
        <w:t xml:space="preserve"> Nu este însă foarte clar dacă aceste stocuri </w:t>
      </w:r>
      <w:r w:rsidR="00A15EDB" w:rsidRPr="002152E4">
        <w:t>în creștere sunt cauzate de neînchiderea informatică a unor dosare.</w:t>
      </w:r>
    </w:p>
    <w:p w:rsidR="00E70A18" w:rsidRPr="002152E4" w:rsidRDefault="000802D5" w:rsidP="00672A80">
      <w:pPr>
        <w:pStyle w:val="AddParagraf"/>
      </w:pPr>
      <w:r w:rsidRPr="002152E4">
        <w:t xml:space="preserve">Aşadar, din cele </w:t>
      </w:r>
      <w:r w:rsidR="009F71B6" w:rsidRPr="002152E4">
        <w:rPr>
          <w:b/>
        </w:rPr>
        <w:t>34.443</w:t>
      </w:r>
      <w:r w:rsidR="009F71B6" w:rsidRPr="002152E4">
        <w:t xml:space="preserve"> </w:t>
      </w:r>
      <w:r w:rsidRPr="002152E4">
        <w:t xml:space="preserve">dosare de soluţionat, au fost soluţionate </w:t>
      </w:r>
      <w:r w:rsidRPr="002152E4">
        <w:rPr>
          <w:b/>
        </w:rPr>
        <w:t>1</w:t>
      </w:r>
      <w:r w:rsidR="009F71B6" w:rsidRPr="002152E4">
        <w:rPr>
          <w:b/>
        </w:rPr>
        <w:t>9.264</w:t>
      </w:r>
      <w:r w:rsidRPr="002152E4">
        <w:t xml:space="preserve"> </w:t>
      </w:r>
      <w:r w:rsidRPr="002152E4">
        <w:rPr>
          <w:bCs/>
        </w:rPr>
        <w:t>dosare</w:t>
      </w:r>
      <w:r w:rsidRPr="002152E4">
        <w:t xml:space="preserve">, ceea ce reprezintă un procent de </w:t>
      </w:r>
      <w:r w:rsidR="00C24B94" w:rsidRPr="002152E4">
        <w:rPr>
          <w:b/>
        </w:rPr>
        <w:t>55,93</w:t>
      </w:r>
      <w:r w:rsidR="00E70A18" w:rsidRPr="002152E4">
        <w:rPr>
          <w:b/>
        </w:rPr>
        <w:t xml:space="preserve"> %</w:t>
      </w:r>
      <w:r w:rsidR="00E70A18" w:rsidRPr="002152E4">
        <w:t>.</w:t>
      </w:r>
    </w:p>
    <w:p w:rsidR="000802D5" w:rsidRDefault="000802D5" w:rsidP="00672A80">
      <w:pPr>
        <w:pStyle w:val="AddParagraf"/>
      </w:pPr>
      <w:r w:rsidRPr="002152E4">
        <w:t>Sub aspectul numărului cauzelor soluţionate, în ultimii 5 ani, dinamica se prezintă astfel (valorile ultimilor 3 ani fiind ajustate în funcţie de aplicaţia Ecris):</w:t>
      </w:r>
    </w:p>
    <w:p w:rsidR="000C4C72" w:rsidRDefault="000C4C72" w:rsidP="00672A80">
      <w:pPr>
        <w:pStyle w:val="AddParagraf"/>
      </w:pPr>
      <w:r w:rsidRPr="007037CF">
        <w:lastRenderedPageBreak/>
        <w:fldChar w:fldCharType="begin"/>
      </w:r>
      <w:r w:rsidRPr="007037CF">
        <w:instrText xml:space="preserve"> LINK Excel.Sheet.8 "C:\\Users\\roxana.petcu\\Desktop\\adrese\\rapoarte starea justitie\\2016\\Grafice 2016.xls!Grafic 5![Grafice 2016.xls]Grafic 5 Diagramă 1" "" \a \p \* MERGEFORMAT </w:instrText>
      </w:r>
      <w:r w:rsidRPr="007037CF">
        <w:fldChar w:fldCharType="separate"/>
      </w:r>
      <w:r w:rsidR="00C742FD">
        <w:object w:dxaOrig="11994" w:dyaOrig="6591">
          <v:shape id="_x0000_i1029" type="#_x0000_t75" style="width:485.2pt;height:267.35pt">
            <v:imagedata r:id="rId20" o:title=""/>
          </v:shape>
        </w:object>
      </w:r>
      <w:r w:rsidRPr="007037CF">
        <w:fldChar w:fldCharType="end"/>
      </w:r>
    </w:p>
    <w:p w:rsidR="000C4C72" w:rsidRPr="002152E4" w:rsidRDefault="000C4C72" w:rsidP="00672A80">
      <w:pPr>
        <w:pStyle w:val="AddParagraf"/>
      </w:pPr>
    </w:p>
    <w:p w:rsidR="000802D5" w:rsidRPr="002152E4" w:rsidRDefault="000802D5" w:rsidP="00672A80">
      <w:pPr>
        <w:pStyle w:val="AddParagraf"/>
      </w:pPr>
      <w:r w:rsidRPr="002152E4">
        <w:t>În ceea ce priveşte situaţia celor mai frecvente tipuri de cauze pe rolul I.C.C.J, evidenţiem câteva materii:</w:t>
      </w:r>
    </w:p>
    <w:p w:rsidR="000802D5" w:rsidRPr="002152E4" w:rsidRDefault="000802D5" w:rsidP="00C72B60">
      <w:pPr>
        <w:numPr>
          <w:ilvl w:val="0"/>
          <w:numId w:val="7"/>
        </w:numPr>
        <w:tabs>
          <w:tab w:val="left" w:pos="750"/>
          <w:tab w:val="left" w:pos="840"/>
          <w:tab w:val="left" w:pos="1380"/>
        </w:tabs>
        <w:spacing w:line="360" w:lineRule="auto"/>
        <w:jc w:val="both"/>
        <w:rPr>
          <w:b/>
          <w:lang w:val="ro-RO"/>
        </w:rPr>
      </w:pPr>
      <w:r w:rsidRPr="002152E4">
        <w:rPr>
          <w:b/>
          <w:lang w:val="ro-RO"/>
        </w:rPr>
        <w:t xml:space="preserve">penal – recurs in </w:t>
      </w:r>
      <w:r w:rsidR="002152E4" w:rsidRPr="002152E4">
        <w:rPr>
          <w:b/>
          <w:lang w:val="ro-RO"/>
        </w:rPr>
        <w:t>casație</w:t>
      </w:r>
    </w:p>
    <w:p w:rsidR="00A46DB4" w:rsidRPr="002152E4" w:rsidRDefault="007041EF" w:rsidP="00A46DB4">
      <w:pPr>
        <w:tabs>
          <w:tab w:val="left" w:pos="750"/>
          <w:tab w:val="left" w:pos="840"/>
          <w:tab w:val="left" w:pos="1380"/>
        </w:tabs>
        <w:spacing w:line="360" w:lineRule="auto"/>
        <w:jc w:val="center"/>
        <w:rPr>
          <w:lang w:val="ro-RO"/>
        </w:rPr>
      </w:pPr>
      <w:r w:rsidRPr="002152E4">
        <w:rPr>
          <w:noProof/>
        </w:rPr>
        <w:drawing>
          <wp:inline distT="0" distB="0" distL="0" distR="0" wp14:anchorId="20300C4E" wp14:editId="6E54C727">
            <wp:extent cx="6172200" cy="2804160"/>
            <wp:effectExtent l="19050" t="19050" r="19050" b="152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l="19005" t="41324" r="5017" b="13629"/>
                    <a:stretch>
                      <a:fillRect/>
                    </a:stretch>
                  </pic:blipFill>
                  <pic:spPr bwMode="auto">
                    <a:xfrm>
                      <a:off x="0" y="0"/>
                      <a:ext cx="6172200" cy="2804160"/>
                    </a:xfrm>
                    <a:prstGeom prst="rect">
                      <a:avLst/>
                    </a:prstGeom>
                    <a:noFill/>
                    <a:ln w="6350" cmpd="sng">
                      <a:solidFill>
                        <a:srgbClr val="000000"/>
                      </a:solidFill>
                      <a:miter lim="800000"/>
                      <a:headEnd/>
                      <a:tailEnd/>
                    </a:ln>
                    <a:effectLst/>
                  </pic:spPr>
                </pic:pic>
              </a:graphicData>
            </a:graphic>
          </wp:inline>
        </w:drawing>
      </w:r>
    </w:p>
    <w:p w:rsidR="000C4C72" w:rsidRDefault="000C4C72" w:rsidP="000C4C72">
      <w:pPr>
        <w:tabs>
          <w:tab w:val="left" w:pos="720"/>
        </w:tabs>
        <w:spacing w:line="360" w:lineRule="auto"/>
        <w:ind w:left="1260"/>
        <w:jc w:val="both"/>
        <w:rPr>
          <w:b/>
          <w:lang w:val="ro-RO"/>
        </w:rPr>
      </w:pPr>
    </w:p>
    <w:p w:rsidR="000C4C72" w:rsidRDefault="000C4C72" w:rsidP="000C4C72">
      <w:pPr>
        <w:tabs>
          <w:tab w:val="left" w:pos="720"/>
        </w:tabs>
        <w:spacing w:line="360" w:lineRule="auto"/>
        <w:ind w:left="1260"/>
        <w:jc w:val="both"/>
        <w:rPr>
          <w:b/>
          <w:lang w:val="ro-RO"/>
        </w:rPr>
      </w:pPr>
    </w:p>
    <w:p w:rsidR="000C4C72" w:rsidRDefault="000C4C72" w:rsidP="000C4C72">
      <w:pPr>
        <w:tabs>
          <w:tab w:val="left" w:pos="720"/>
        </w:tabs>
        <w:spacing w:line="360" w:lineRule="auto"/>
        <w:ind w:left="1260"/>
        <w:jc w:val="both"/>
        <w:rPr>
          <w:b/>
          <w:lang w:val="ro-RO"/>
        </w:rPr>
      </w:pPr>
    </w:p>
    <w:p w:rsidR="000C4C72" w:rsidRDefault="000C4C72" w:rsidP="000C4C72">
      <w:pPr>
        <w:tabs>
          <w:tab w:val="left" w:pos="720"/>
        </w:tabs>
        <w:spacing w:line="360" w:lineRule="auto"/>
        <w:ind w:left="1260"/>
        <w:jc w:val="both"/>
        <w:rPr>
          <w:b/>
          <w:lang w:val="ro-RO"/>
        </w:rPr>
      </w:pPr>
    </w:p>
    <w:p w:rsidR="000C4C72" w:rsidRDefault="000C4C72" w:rsidP="000C4C72">
      <w:pPr>
        <w:tabs>
          <w:tab w:val="left" w:pos="720"/>
        </w:tabs>
        <w:spacing w:line="360" w:lineRule="auto"/>
        <w:ind w:left="1260"/>
        <w:jc w:val="both"/>
        <w:rPr>
          <w:b/>
          <w:lang w:val="ro-RO"/>
        </w:rPr>
      </w:pPr>
    </w:p>
    <w:p w:rsidR="000C4C72" w:rsidRDefault="000C4C72" w:rsidP="000C4C72">
      <w:pPr>
        <w:tabs>
          <w:tab w:val="left" w:pos="720"/>
        </w:tabs>
        <w:spacing w:line="360" w:lineRule="auto"/>
        <w:ind w:left="1260"/>
        <w:jc w:val="both"/>
        <w:rPr>
          <w:b/>
          <w:lang w:val="ro-RO"/>
        </w:rPr>
      </w:pPr>
    </w:p>
    <w:p w:rsidR="000C4C72" w:rsidRDefault="000C4C72" w:rsidP="000C4C72">
      <w:pPr>
        <w:tabs>
          <w:tab w:val="left" w:pos="720"/>
        </w:tabs>
        <w:spacing w:line="360" w:lineRule="auto"/>
        <w:ind w:left="1260"/>
        <w:jc w:val="both"/>
        <w:rPr>
          <w:b/>
          <w:lang w:val="ro-RO"/>
        </w:rPr>
      </w:pPr>
    </w:p>
    <w:p w:rsidR="000802D5" w:rsidRPr="002152E4" w:rsidRDefault="000802D5" w:rsidP="00C72B60">
      <w:pPr>
        <w:numPr>
          <w:ilvl w:val="0"/>
          <w:numId w:val="7"/>
        </w:numPr>
        <w:tabs>
          <w:tab w:val="left" w:pos="720"/>
        </w:tabs>
        <w:spacing w:line="360" w:lineRule="auto"/>
        <w:jc w:val="both"/>
        <w:rPr>
          <w:b/>
          <w:lang w:val="ro-RO"/>
        </w:rPr>
      </w:pPr>
      <w:r w:rsidRPr="002152E4">
        <w:rPr>
          <w:b/>
          <w:lang w:val="ro-RO"/>
        </w:rPr>
        <w:lastRenderedPageBreak/>
        <w:t xml:space="preserve">penal </w:t>
      </w:r>
      <w:r w:rsidR="00175511" w:rsidRPr="002152E4">
        <w:rPr>
          <w:b/>
          <w:lang w:val="ro-RO"/>
        </w:rPr>
        <w:t>–</w:t>
      </w:r>
      <w:r w:rsidRPr="002152E4">
        <w:rPr>
          <w:b/>
          <w:lang w:val="ro-RO"/>
        </w:rPr>
        <w:t xml:space="preserve"> fond</w:t>
      </w:r>
    </w:p>
    <w:p w:rsidR="00DB16FC" w:rsidRPr="002152E4" w:rsidRDefault="007041EF" w:rsidP="00DB16FC">
      <w:pPr>
        <w:tabs>
          <w:tab w:val="left" w:pos="720"/>
        </w:tabs>
        <w:spacing w:line="360" w:lineRule="auto"/>
        <w:jc w:val="center"/>
        <w:rPr>
          <w:lang w:val="ro-RO"/>
        </w:rPr>
      </w:pPr>
      <w:r w:rsidRPr="002152E4">
        <w:rPr>
          <w:noProof/>
        </w:rPr>
        <w:drawing>
          <wp:inline distT="0" distB="0" distL="0" distR="0" wp14:anchorId="4569138F" wp14:editId="6B204078">
            <wp:extent cx="6172200" cy="2796540"/>
            <wp:effectExtent l="19050" t="19050" r="19050" b="228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l="19005" t="31569" r="5017" b="22343"/>
                    <a:stretch>
                      <a:fillRect/>
                    </a:stretch>
                  </pic:blipFill>
                  <pic:spPr bwMode="auto">
                    <a:xfrm>
                      <a:off x="0" y="0"/>
                      <a:ext cx="6172200" cy="2796540"/>
                    </a:xfrm>
                    <a:prstGeom prst="rect">
                      <a:avLst/>
                    </a:prstGeom>
                    <a:noFill/>
                    <a:ln w="6350" cmpd="sng">
                      <a:solidFill>
                        <a:srgbClr val="000000"/>
                      </a:solidFill>
                      <a:miter lim="800000"/>
                      <a:headEnd/>
                      <a:tailEnd/>
                    </a:ln>
                    <a:effectLst/>
                  </pic:spPr>
                </pic:pic>
              </a:graphicData>
            </a:graphic>
          </wp:inline>
        </w:drawing>
      </w:r>
    </w:p>
    <w:p w:rsidR="0091752A" w:rsidRPr="002152E4" w:rsidRDefault="000802D5" w:rsidP="00C72B60">
      <w:pPr>
        <w:numPr>
          <w:ilvl w:val="0"/>
          <w:numId w:val="7"/>
        </w:numPr>
        <w:tabs>
          <w:tab w:val="left" w:pos="720"/>
        </w:tabs>
        <w:spacing w:line="360" w:lineRule="auto"/>
        <w:jc w:val="both"/>
        <w:rPr>
          <w:b/>
          <w:noProof/>
          <w:lang w:val="ro-RO"/>
        </w:rPr>
      </w:pPr>
      <w:r w:rsidRPr="002152E4">
        <w:rPr>
          <w:b/>
          <w:noProof/>
          <w:lang w:val="ro-RO"/>
        </w:rPr>
        <w:t xml:space="preserve">civil </w:t>
      </w:r>
      <w:r w:rsidR="0091752A" w:rsidRPr="002152E4">
        <w:rPr>
          <w:b/>
          <w:noProof/>
          <w:lang w:val="ro-RO"/>
        </w:rPr>
        <w:t>–</w:t>
      </w:r>
      <w:r w:rsidRPr="002152E4">
        <w:rPr>
          <w:b/>
          <w:noProof/>
          <w:lang w:val="ro-RO"/>
        </w:rPr>
        <w:t xml:space="preserve"> recurs</w:t>
      </w:r>
    </w:p>
    <w:p w:rsidR="00AE124A" w:rsidRPr="002152E4" w:rsidRDefault="007041EF" w:rsidP="00AE124A">
      <w:pPr>
        <w:tabs>
          <w:tab w:val="left" w:pos="720"/>
        </w:tabs>
        <w:spacing w:line="360" w:lineRule="auto"/>
        <w:jc w:val="both"/>
        <w:rPr>
          <w:noProof/>
          <w:lang w:val="ro-RO"/>
        </w:rPr>
      </w:pPr>
      <w:r w:rsidRPr="002152E4">
        <w:rPr>
          <w:noProof/>
        </w:rPr>
        <w:drawing>
          <wp:inline distT="0" distB="0" distL="0" distR="0" wp14:anchorId="4F562E88" wp14:editId="384409D3">
            <wp:extent cx="6187440" cy="2796540"/>
            <wp:effectExtent l="19050" t="19050" r="22860" b="228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l="19005" t="34221" r="5017" b="19826"/>
                    <a:stretch>
                      <a:fillRect/>
                    </a:stretch>
                  </pic:blipFill>
                  <pic:spPr bwMode="auto">
                    <a:xfrm>
                      <a:off x="0" y="0"/>
                      <a:ext cx="6187440" cy="2796540"/>
                    </a:xfrm>
                    <a:prstGeom prst="rect">
                      <a:avLst/>
                    </a:prstGeom>
                    <a:noFill/>
                    <a:ln w="6350" cmpd="sng">
                      <a:solidFill>
                        <a:srgbClr val="000000"/>
                      </a:solidFill>
                      <a:miter lim="800000"/>
                      <a:headEnd/>
                      <a:tailEnd/>
                    </a:ln>
                    <a:effectLst/>
                  </pic:spPr>
                </pic:pic>
              </a:graphicData>
            </a:graphic>
          </wp:inline>
        </w:drawing>
      </w:r>
    </w:p>
    <w:p w:rsidR="005E6388" w:rsidRPr="002152E4" w:rsidRDefault="005E6388" w:rsidP="00C72B60">
      <w:pPr>
        <w:numPr>
          <w:ilvl w:val="0"/>
          <w:numId w:val="7"/>
        </w:numPr>
        <w:tabs>
          <w:tab w:val="left" w:pos="720"/>
        </w:tabs>
        <w:spacing w:line="360" w:lineRule="auto"/>
        <w:jc w:val="both"/>
        <w:rPr>
          <w:b/>
          <w:noProof/>
          <w:lang w:val="ro-RO"/>
        </w:rPr>
      </w:pPr>
      <w:r w:rsidRPr="002152E4">
        <w:rPr>
          <w:b/>
          <w:noProof/>
          <w:lang w:val="ro-RO"/>
        </w:rPr>
        <w:t>contencios administrativ şi fiscal – recurs</w:t>
      </w:r>
    </w:p>
    <w:p w:rsidR="00AE124A" w:rsidRPr="002152E4" w:rsidRDefault="007041EF" w:rsidP="00AE124A">
      <w:pPr>
        <w:tabs>
          <w:tab w:val="left" w:pos="720"/>
        </w:tabs>
        <w:spacing w:line="360" w:lineRule="auto"/>
        <w:jc w:val="both"/>
        <w:rPr>
          <w:noProof/>
          <w:lang w:val="ro-RO"/>
        </w:rPr>
      </w:pPr>
      <w:r w:rsidRPr="002152E4">
        <w:rPr>
          <w:noProof/>
        </w:rPr>
        <w:drawing>
          <wp:inline distT="0" distB="0" distL="0" distR="0" wp14:anchorId="2539A524" wp14:editId="2F81267A">
            <wp:extent cx="6187440" cy="2819400"/>
            <wp:effectExtent l="19050" t="19050" r="2286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l="19020" t="34856" r="4921" b="19846"/>
                    <a:stretch>
                      <a:fillRect/>
                    </a:stretch>
                  </pic:blipFill>
                  <pic:spPr bwMode="auto">
                    <a:xfrm>
                      <a:off x="0" y="0"/>
                      <a:ext cx="6187440" cy="2819400"/>
                    </a:xfrm>
                    <a:prstGeom prst="rect">
                      <a:avLst/>
                    </a:prstGeom>
                    <a:noFill/>
                    <a:ln w="6350" cmpd="sng">
                      <a:solidFill>
                        <a:srgbClr val="000000"/>
                      </a:solidFill>
                      <a:miter lim="800000"/>
                      <a:headEnd/>
                      <a:tailEnd/>
                    </a:ln>
                    <a:effectLst/>
                  </pic:spPr>
                </pic:pic>
              </a:graphicData>
            </a:graphic>
          </wp:inline>
        </w:drawing>
      </w:r>
    </w:p>
    <w:p w:rsidR="00AA53D4" w:rsidRPr="002152E4" w:rsidRDefault="00AA53D4" w:rsidP="000802D5">
      <w:pPr>
        <w:tabs>
          <w:tab w:val="left" w:pos="720"/>
        </w:tabs>
        <w:spacing w:line="360" w:lineRule="auto"/>
        <w:jc w:val="center"/>
        <w:rPr>
          <w:lang w:val="ro-RO"/>
        </w:rPr>
      </w:pPr>
    </w:p>
    <w:p w:rsidR="000802D5" w:rsidRPr="002152E4" w:rsidRDefault="008C3227" w:rsidP="00FD167E">
      <w:pPr>
        <w:pStyle w:val="Heading3"/>
      </w:pPr>
      <w:bookmarkStart w:id="16" w:name="_Toc411333476"/>
      <w:bookmarkStart w:id="17" w:name="_Toc411429411"/>
      <w:bookmarkStart w:id="18" w:name="_Toc475363394"/>
      <w:bookmarkStart w:id="19" w:name="_Toc486576517"/>
      <w:r w:rsidRPr="002152E4">
        <w:t>I</w:t>
      </w:r>
      <w:r w:rsidR="004C09DE" w:rsidRPr="002152E4">
        <w:t>I.1</w:t>
      </w:r>
      <w:r w:rsidRPr="002152E4">
        <w:t xml:space="preserve">.2. </w:t>
      </w:r>
      <w:r w:rsidR="000802D5" w:rsidRPr="002152E4">
        <w:t>Volumul de activitate la nivelul curţilor de apel</w:t>
      </w:r>
      <w:bookmarkEnd w:id="16"/>
      <w:bookmarkEnd w:id="17"/>
      <w:bookmarkEnd w:id="18"/>
      <w:bookmarkEnd w:id="19"/>
    </w:p>
    <w:p w:rsidR="000802D5" w:rsidRPr="002152E4" w:rsidRDefault="000802D5" w:rsidP="00525E02">
      <w:pPr>
        <w:pStyle w:val="AddParagraf"/>
        <w:rPr>
          <w:b/>
          <w:bCs/>
        </w:rPr>
      </w:pPr>
      <w:r w:rsidRPr="002152E4">
        <w:t xml:space="preserve">În </w:t>
      </w:r>
      <w:r w:rsidR="000E7BEE" w:rsidRPr="002152E4">
        <w:t xml:space="preserve">anul 2016 </w:t>
      </w:r>
      <w:r w:rsidRPr="002152E4">
        <w:t>v</w:t>
      </w:r>
      <w:r w:rsidR="00731D6F" w:rsidRPr="002152E4">
        <w:t>olumul de activitate al celor 16</w:t>
      </w:r>
      <w:r w:rsidRPr="002152E4">
        <w:t xml:space="preserve"> curţi de apel, a fost de </w:t>
      </w:r>
      <w:r w:rsidR="00487660" w:rsidRPr="002152E4">
        <w:rPr>
          <w:b/>
        </w:rPr>
        <w:t xml:space="preserve">203.974 </w:t>
      </w:r>
      <w:r w:rsidR="00A83B82" w:rsidRPr="002152E4">
        <w:t xml:space="preserve"> cauze (</w:t>
      </w:r>
      <w:r w:rsidR="00487660" w:rsidRPr="002152E4">
        <w:t xml:space="preserve">233.157 </w:t>
      </w:r>
      <w:r w:rsidR="00966EEE" w:rsidRPr="002152E4">
        <w:t>cauze în 2015</w:t>
      </w:r>
      <w:r w:rsidRPr="002152E4">
        <w:t xml:space="preserve">) ceea ce reprezintă o scădere cu </w:t>
      </w:r>
      <w:r w:rsidR="00B52E8A" w:rsidRPr="002152E4">
        <w:rPr>
          <w:b/>
        </w:rPr>
        <w:t>29.183</w:t>
      </w:r>
      <w:r w:rsidR="00B52E8A" w:rsidRPr="002152E4">
        <w:t xml:space="preserve"> </w:t>
      </w:r>
      <w:r w:rsidR="00A83B82" w:rsidRPr="002152E4">
        <w:t xml:space="preserve">cauze </w:t>
      </w:r>
      <w:r w:rsidR="00B52E8A" w:rsidRPr="002152E4">
        <w:t xml:space="preserve">ce reprezintă </w:t>
      </w:r>
      <w:r w:rsidR="00B52E8A" w:rsidRPr="002152E4">
        <w:rPr>
          <w:b/>
        </w:rPr>
        <w:t>12,52</w:t>
      </w:r>
      <w:r w:rsidR="000E7BEE" w:rsidRPr="002152E4">
        <w:rPr>
          <w:b/>
        </w:rPr>
        <w:t xml:space="preserve"> %</w:t>
      </w:r>
      <w:r w:rsidR="00B52E8A" w:rsidRPr="002152E4">
        <w:rPr>
          <w:b/>
        </w:rPr>
        <w:t xml:space="preserve"> </w:t>
      </w:r>
      <w:r w:rsidR="00FB69CB" w:rsidRPr="002152E4">
        <w:t>comparativ cu</w:t>
      </w:r>
      <w:r w:rsidR="00B52E8A" w:rsidRPr="002152E4">
        <w:t xml:space="preserve"> an</w:t>
      </w:r>
      <w:r w:rsidR="000E7BEE" w:rsidRPr="002152E4">
        <w:t>ul 2015</w:t>
      </w:r>
      <w:r w:rsidR="00B52E8A" w:rsidRPr="002152E4">
        <w:t>.</w:t>
      </w:r>
    </w:p>
    <w:p w:rsidR="00D82496" w:rsidRDefault="000802D5" w:rsidP="00D82496">
      <w:pPr>
        <w:pStyle w:val="AddParagraf"/>
      </w:pPr>
      <w:r w:rsidRPr="002152E4">
        <w:t>Din punct de vedere grafic, evoluţia volumului de activitate pe ultimii 5 ani, se prezintă astfel:</w:t>
      </w:r>
    </w:p>
    <w:p w:rsidR="000802D5" w:rsidRPr="002152E4" w:rsidRDefault="000C4C72" w:rsidP="000C4C72">
      <w:pPr>
        <w:pStyle w:val="AddParagraf"/>
      </w:pPr>
      <w:r w:rsidRPr="007037CF">
        <w:fldChar w:fldCharType="begin"/>
      </w:r>
      <w:r w:rsidRPr="007037CF">
        <w:instrText xml:space="preserve"> LINK Excel.Sheet.8 "C:\\Users\\roxana.petcu\\Desktop\\adrese\\rapoarte starea justitie\\2016\\Grafice 2016.xls!Grafic 6![Grafice 2016.xls]Grafic 6 Diagramă 1" "" \a \p \* MERGEFORMAT </w:instrText>
      </w:r>
      <w:r w:rsidRPr="007037CF">
        <w:fldChar w:fldCharType="separate"/>
      </w:r>
      <w:r w:rsidR="00C742FD">
        <w:object w:dxaOrig="11852" w:dyaOrig="6591">
          <v:shape id="_x0000_i1030" type="#_x0000_t75" style="width:487.7pt;height:272.35pt">
            <v:imagedata r:id="rId25" o:title=""/>
          </v:shape>
        </w:object>
      </w:r>
      <w:r w:rsidRPr="007037CF">
        <w:fldChar w:fldCharType="end"/>
      </w:r>
    </w:p>
    <w:p w:rsidR="003E69E2" w:rsidRPr="002152E4" w:rsidRDefault="003E69E2" w:rsidP="00525E02">
      <w:pPr>
        <w:pStyle w:val="AddParagraf"/>
      </w:pPr>
    </w:p>
    <w:p w:rsidR="000802D5" w:rsidRPr="002152E4" w:rsidRDefault="00597F16" w:rsidP="00525E02">
      <w:pPr>
        <w:pStyle w:val="AddParagraf"/>
        <w:rPr>
          <w:b/>
        </w:rPr>
      </w:pPr>
      <w:r w:rsidRPr="002152E4">
        <w:t>Comparativ cu a</w:t>
      </w:r>
      <w:r w:rsidR="001447B1" w:rsidRPr="002152E4">
        <w:t>nul 2012</w:t>
      </w:r>
      <w:r w:rsidR="000802D5" w:rsidRPr="002152E4">
        <w:t xml:space="preserve"> se observă că număru</w:t>
      </w:r>
      <w:r w:rsidR="001447B1" w:rsidRPr="002152E4">
        <w:t xml:space="preserve">l cauzelor de soluţionat în </w:t>
      </w:r>
      <w:smartTag w:uri="urn:schemas-microsoft-com:office:smarttags" w:element="metricconverter">
        <w:smartTagPr>
          <w:attr w:name="ProductID" w:val="2016 a"/>
        </w:smartTagPr>
        <w:r w:rsidR="001447B1" w:rsidRPr="002152E4">
          <w:t>2016</w:t>
        </w:r>
        <w:r w:rsidR="000802D5" w:rsidRPr="002152E4">
          <w:t xml:space="preserve"> a</w:t>
        </w:r>
      </w:smartTag>
      <w:r w:rsidR="000802D5" w:rsidRPr="002152E4">
        <w:t xml:space="preserve"> </w:t>
      </w:r>
      <w:r w:rsidRPr="002152E4">
        <w:t>scăzut cu</w:t>
      </w:r>
      <w:r w:rsidRPr="002152E4">
        <w:rPr>
          <w:b/>
        </w:rPr>
        <w:t xml:space="preserve"> </w:t>
      </w:r>
      <w:r w:rsidR="001447B1" w:rsidRPr="002152E4">
        <w:rPr>
          <w:b/>
        </w:rPr>
        <w:t>129.846</w:t>
      </w:r>
      <w:r w:rsidRPr="002152E4">
        <w:t xml:space="preserve"> </w:t>
      </w:r>
      <w:r w:rsidR="000802D5" w:rsidRPr="002152E4">
        <w:t xml:space="preserve">cauze ceea ce reprezintă o </w:t>
      </w:r>
      <w:r w:rsidRPr="002152E4">
        <w:t xml:space="preserve">scădere </w:t>
      </w:r>
      <w:r w:rsidR="000802D5" w:rsidRPr="002152E4">
        <w:t xml:space="preserve">cu </w:t>
      </w:r>
      <w:r w:rsidR="001447B1" w:rsidRPr="002152E4">
        <w:rPr>
          <w:b/>
        </w:rPr>
        <w:t>38,9</w:t>
      </w:r>
      <w:r w:rsidR="000802D5" w:rsidRPr="002152E4">
        <w:rPr>
          <w:b/>
        </w:rPr>
        <w:t xml:space="preserve"> %.</w:t>
      </w:r>
    </w:p>
    <w:p w:rsidR="000802D5" w:rsidRDefault="000802D5" w:rsidP="00525E02">
      <w:pPr>
        <w:pStyle w:val="AddParagraf"/>
      </w:pPr>
      <w:r w:rsidRPr="002152E4">
        <w:t>Sub aspectul dinamicii numărului cauzelor nou intrate şi a stocului la început de perioadă pentru acelaşi interval, situaţia grafică se prezintă după cum urmează:</w:t>
      </w:r>
    </w:p>
    <w:p w:rsidR="000C4C72" w:rsidRPr="002152E4" w:rsidRDefault="000C4C72" w:rsidP="00525E02">
      <w:pPr>
        <w:pStyle w:val="AddParagraf"/>
      </w:pPr>
    </w:p>
    <w:p w:rsidR="000802D5" w:rsidRPr="002152E4" w:rsidRDefault="00BF2149" w:rsidP="00FB69CB">
      <w:pPr>
        <w:pStyle w:val="AddParagraf"/>
      </w:pPr>
      <w:r w:rsidRPr="002152E4">
        <w:t>Aşadar, în raport cu anul 2015, în anul 2016</w:t>
      </w:r>
      <w:r w:rsidR="000802D5" w:rsidRPr="002152E4">
        <w:t xml:space="preserve"> se constată o scădere a numărului de cauze nou intrate cu </w:t>
      </w:r>
      <w:r w:rsidRPr="002152E4">
        <w:rPr>
          <w:b/>
        </w:rPr>
        <w:t>11.128</w:t>
      </w:r>
      <w:r w:rsidR="000802D5" w:rsidRPr="002152E4">
        <w:rPr>
          <w:b/>
        </w:rPr>
        <w:t>,</w:t>
      </w:r>
      <w:r w:rsidR="000802D5" w:rsidRPr="002152E4">
        <w:t xml:space="preserve"> ceea ce reprezintă o scădere cu </w:t>
      </w:r>
      <w:r w:rsidRPr="002152E4">
        <w:rPr>
          <w:b/>
        </w:rPr>
        <w:t>7</w:t>
      </w:r>
      <w:r w:rsidR="00D55AD4" w:rsidRPr="002152E4">
        <w:rPr>
          <w:b/>
        </w:rPr>
        <w:t xml:space="preserve"> </w:t>
      </w:r>
      <w:r w:rsidR="000802D5" w:rsidRPr="002152E4">
        <w:rPr>
          <w:b/>
        </w:rPr>
        <w:t>%</w:t>
      </w:r>
      <w:r w:rsidR="000802D5" w:rsidRPr="002152E4">
        <w:t xml:space="preserve"> în timp ce nivelul stocurilor a scăzut cu </w:t>
      </w:r>
      <w:r w:rsidRPr="002152E4">
        <w:t>18.055</w:t>
      </w:r>
      <w:r w:rsidR="000802D5" w:rsidRPr="002152E4">
        <w:t xml:space="preserve"> cauze ceea ce reprezintă </w:t>
      </w:r>
      <w:r w:rsidR="00D55AD4" w:rsidRPr="002152E4">
        <w:t xml:space="preserve">o scădere cu </w:t>
      </w:r>
      <w:r w:rsidRPr="002152E4">
        <w:rPr>
          <w:b/>
        </w:rPr>
        <w:t>25</w:t>
      </w:r>
      <w:r w:rsidR="000802D5" w:rsidRPr="002152E4">
        <w:rPr>
          <w:b/>
        </w:rPr>
        <w:t xml:space="preserve"> %</w:t>
      </w:r>
      <w:r w:rsidR="000802D5" w:rsidRPr="002152E4">
        <w:t>.</w:t>
      </w:r>
    </w:p>
    <w:p w:rsidR="000802D5" w:rsidRPr="002152E4" w:rsidRDefault="000802D5" w:rsidP="00525E02">
      <w:pPr>
        <w:pStyle w:val="AddParagraf"/>
      </w:pPr>
      <w:r w:rsidRPr="002152E4">
        <w:t>Distribuţia pe materii indiferent de stadiul procesual a dosarelor nou intrate pen</w:t>
      </w:r>
      <w:r w:rsidR="00DC44FD" w:rsidRPr="002152E4">
        <w:t>tru curţile de apel în anul 2016</w:t>
      </w:r>
      <w:r w:rsidRPr="002152E4">
        <w:t xml:space="preserve"> se prezintă conform graficului:</w:t>
      </w:r>
    </w:p>
    <w:p w:rsidR="00D813F4" w:rsidRPr="002152E4" w:rsidRDefault="007041EF" w:rsidP="00D813F4">
      <w:pPr>
        <w:pStyle w:val="AddParagraf"/>
        <w:ind w:firstLine="0"/>
      </w:pPr>
      <w:r w:rsidRPr="002152E4">
        <w:rPr>
          <w:noProof/>
          <w:lang w:val="en-US"/>
        </w:rPr>
        <w:lastRenderedPageBreak/>
        <w:drawing>
          <wp:inline distT="0" distB="0" distL="0" distR="0" wp14:anchorId="08ADEC57" wp14:editId="13508D2A">
            <wp:extent cx="6187440" cy="2811780"/>
            <wp:effectExtent l="19050" t="19050" r="22860" b="266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l="19005" t="29779" r="5017" b="24144"/>
                    <a:stretch>
                      <a:fillRect/>
                    </a:stretch>
                  </pic:blipFill>
                  <pic:spPr bwMode="auto">
                    <a:xfrm>
                      <a:off x="0" y="0"/>
                      <a:ext cx="6187440" cy="2811780"/>
                    </a:xfrm>
                    <a:prstGeom prst="rect">
                      <a:avLst/>
                    </a:prstGeom>
                    <a:noFill/>
                    <a:ln w="6350" cmpd="sng">
                      <a:solidFill>
                        <a:srgbClr val="000000"/>
                      </a:solidFill>
                      <a:miter lim="800000"/>
                      <a:headEnd/>
                      <a:tailEnd/>
                    </a:ln>
                    <a:effectLst/>
                  </pic:spPr>
                </pic:pic>
              </a:graphicData>
            </a:graphic>
          </wp:inline>
        </w:drawing>
      </w:r>
    </w:p>
    <w:p w:rsidR="000802D5" w:rsidRPr="002152E4" w:rsidRDefault="000802D5" w:rsidP="000802D5">
      <w:pPr>
        <w:spacing w:before="120" w:line="360" w:lineRule="auto"/>
        <w:jc w:val="center"/>
        <w:rPr>
          <w:lang w:val="ro-RO"/>
        </w:rPr>
      </w:pPr>
    </w:p>
    <w:p w:rsidR="000802D5" w:rsidRPr="002152E4" w:rsidRDefault="000802D5" w:rsidP="00525E02">
      <w:pPr>
        <w:pStyle w:val="AddParagraf"/>
      </w:pPr>
      <w:r w:rsidRPr="002152E4">
        <w:t>De asemenea, distribuţia cauzelor nou create pe stadii procesuale indiferent de materie se evidenţiază astfel:</w:t>
      </w:r>
    </w:p>
    <w:p w:rsidR="006922B2" w:rsidRPr="002152E4" w:rsidRDefault="007041EF" w:rsidP="00D93D0C">
      <w:pPr>
        <w:pStyle w:val="AddParagraf"/>
        <w:ind w:firstLine="0"/>
        <w:jc w:val="center"/>
      </w:pPr>
      <w:r w:rsidRPr="002152E4">
        <w:rPr>
          <w:noProof/>
          <w:lang w:val="en-US"/>
        </w:rPr>
        <w:drawing>
          <wp:inline distT="0" distB="0" distL="0" distR="0" wp14:anchorId="144449A5" wp14:editId="1AC9FA10">
            <wp:extent cx="6073140" cy="3139440"/>
            <wp:effectExtent l="19050" t="19050" r="22860" b="228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l="24213" t="33693" r="10197" b="21083"/>
                    <a:stretch>
                      <a:fillRect/>
                    </a:stretch>
                  </pic:blipFill>
                  <pic:spPr bwMode="auto">
                    <a:xfrm>
                      <a:off x="0" y="0"/>
                      <a:ext cx="6073140" cy="3139440"/>
                    </a:xfrm>
                    <a:prstGeom prst="rect">
                      <a:avLst/>
                    </a:prstGeom>
                    <a:noFill/>
                    <a:ln w="6350" cmpd="sng">
                      <a:solidFill>
                        <a:srgbClr val="000000"/>
                      </a:solidFill>
                      <a:miter lim="800000"/>
                      <a:headEnd/>
                      <a:tailEnd/>
                    </a:ln>
                    <a:effectLst/>
                  </pic:spPr>
                </pic:pic>
              </a:graphicData>
            </a:graphic>
          </wp:inline>
        </w:drawing>
      </w:r>
    </w:p>
    <w:p w:rsidR="000802D5" w:rsidRPr="002152E4" w:rsidRDefault="000802D5" w:rsidP="00525E02">
      <w:pPr>
        <w:pStyle w:val="AddParagraf"/>
      </w:pPr>
      <w:r w:rsidRPr="002152E4">
        <w:t xml:space="preserve">Se remarcă, la fel ca şi în anii anteriori, unele curţi de apel, cu un număr foarte mare de cauze de soluţionat comparativ cu celelalte, şi anume </w:t>
      </w:r>
      <w:r w:rsidRPr="002152E4">
        <w:rPr>
          <w:b/>
        </w:rPr>
        <w:t>Curtea de Apel Bucureşti</w:t>
      </w:r>
      <w:r w:rsidRPr="002152E4">
        <w:t xml:space="preserve"> cu </w:t>
      </w:r>
      <w:r w:rsidR="00835A19" w:rsidRPr="002152E4">
        <w:rPr>
          <w:b/>
        </w:rPr>
        <w:t>57.483</w:t>
      </w:r>
      <w:r w:rsidR="00835A19" w:rsidRPr="002152E4">
        <w:t xml:space="preserve"> </w:t>
      </w:r>
      <w:r w:rsidR="00670169" w:rsidRPr="002152E4">
        <w:t xml:space="preserve">cauze </w:t>
      </w:r>
      <w:r w:rsidRPr="002152E4">
        <w:t>(</w:t>
      </w:r>
      <w:r w:rsidR="00835A19" w:rsidRPr="002152E4">
        <w:t>62.960 cauze în 2015</w:t>
      </w:r>
      <w:r w:rsidR="00670169" w:rsidRPr="002152E4">
        <w:t>)</w:t>
      </w:r>
      <w:r w:rsidRPr="002152E4">
        <w:t xml:space="preserve">, </w:t>
      </w:r>
      <w:r w:rsidR="00670169" w:rsidRPr="002152E4">
        <w:rPr>
          <w:b/>
        </w:rPr>
        <w:t>Curtea de Apel Craiova</w:t>
      </w:r>
      <w:r w:rsidR="00670169" w:rsidRPr="002152E4">
        <w:t xml:space="preserve"> cu </w:t>
      </w:r>
      <w:r w:rsidR="00AA0082" w:rsidRPr="002152E4">
        <w:rPr>
          <w:b/>
        </w:rPr>
        <w:t>19.098</w:t>
      </w:r>
      <w:r w:rsidR="00AA0082" w:rsidRPr="002152E4">
        <w:t xml:space="preserve"> </w:t>
      </w:r>
      <w:r w:rsidR="00670169" w:rsidRPr="002152E4">
        <w:t>cauze (</w:t>
      </w:r>
      <w:r w:rsidR="00AA0082" w:rsidRPr="002152E4">
        <w:t>22.178 cauze în 2015</w:t>
      </w:r>
      <w:r w:rsidR="00670169" w:rsidRPr="002152E4">
        <w:t xml:space="preserve">), </w:t>
      </w:r>
      <w:r w:rsidR="00B94EE0" w:rsidRPr="002152E4">
        <w:rPr>
          <w:b/>
        </w:rPr>
        <w:t xml:space="preserve">Curtea de apel  Timişoara </w:t>
      </w:r>
      <w:r w:rsidR="00B94EE0" w:rsidRPr="002152E4">
        <w:t>cu</w:t>
      </w:r>
      <w:r w:rsidR="00B94EE0" w:rsidRPr="002152E4">
        <w:rPr>
          <w:b/>
        </w:rPr>
        <w:t xml:space="preserve"> 14.975 </w:t>
      </w:r>
      <w:r w:rsidR="00B94EE0" w:rsidRPr="002152E4">
        <w:t>cauze (</w:t>
      </w:r>
      <w:r w:rsidR="00B94EE0" w:rsidRPr="002152E4">
        <w:rPr>
          <w:b/>
        </w:rPr>
        <w:t xml:space="preserve">18.747 </w:t>
      </w:r>
      <w:r w:rsidR="00B94EE0" w:rsidRPr="002152E4">
        <w:t>cauze</w:t>
      </w:r>
      <w:r w:rsidR="00B94EE0" w:rsidRPr="002152E4">
        <w:rPr>
          <w:b/>
        </w:rPr>
        <w:t xml:space="preserve"> în </w:t>
      </w:r>
      <w:r w:rsidR="00B94EE0" w:rsidRPr="002152E4">
        <w:t>2015)</w:t>
      </w:r>
      <w:r w:rsidR="005D3D42" w:rsidRPr="002152E4">
        <w:t xml:space="preserve"> şi</w:t>
      </w:r>
      <w:r w:rsidR="00B94EE0" w:rsidRPr="002152E4">
        <w:t xml:space="preserve"> </w:t>
      </w:r>
      <w:r w:rsidR="00670169" w:rsidRPr="002152E4">
        <w:rPr>
          <w:b/>
        </w:rPr>
        <w:t>Curtea de apel Cluj</w:t>
      </w:r>
      <w:r w:rsidR="00670169" w:rsidRPr="002152E4">
        <w:t xml:space="preserve"> cu</w:t>
      </w:r>
      <w:r w:rsidR="00670169" w:rsidRPr="002152E4">
        <w:rPr>
          <w:b/>
        </w:rPr>
        <w:t xml:space="preserve"> </w:t>
      </w:r>
      <w:r w:rsidR="005D3D42" w:rsidRPr="002152E4">
        <w:rPr>
          <w:b/>
        </w:rPr>
        <w:t xml:space="preserve">13.557 </w:t>
      </w:r>
      <w:r w:rsidR="00670169" w:rsidRPr="002152E4">
        <w:t>cauze (</w:t>
      </w:r>
      <w:r w:rsidR="005D3D42" w:rsidRPr="002152E4">
        <w:t>20.246 cauze în 2015</w:t>
      </w:r>
      <w:r w:rsidR="00670169" w:rsidRPr="002152E4">
        <w:t>)</w:t>
      </w:r>
      <w:r w:rsidR="005D3D42" w:rsidRPr="002152E4">
        <w:t>.</w:t>
      </w:r>
      <w:r w:rsidR="00670169" w:rsidRPr="002152E4">
        <w:t xml:space="preserve"> </w:t>
      </w:r>
    </w:p>
    <w:p w:rsidR="000802D5" w:rsidRPr="002152E4" w:rsidRDefault="000802D5" w:rsidP="00525E02">
      <w:pPr>
        <w:pStyle w:val="AddParagraf"/>
      </w:pPr>
      <w:r w:rsidRPr="002152E4">
        <w:t xml:space="preserve">La polul opus se află </w:t>
      </w:r>
      <w:r w:rsidR="003F44D1" w:rsidRPr="002152E4">
        <w:rPr>
          <w:b/>
        </w:rPr>
        <w:t xml:space="preserve">Curtea de Apel Târgu Mureş </w:t>
      </w:r>
      <w:r w:rsidR="003F44D1" w:rsidRPr="002152E4">
        <w:t>care a în</w:t>
      </w:r>
      <w:r w:rsidR="00FF450A" w:rsidRPr="002152E4">
        <w:t>registrat la nivelul anului 2016</w:t>
      </w:r>
      <w:r w:rsidR="003F44D1" w:rsidRPr="002152E4">
        <w:t xml:space="preserve"> un volum de activitate de </w:t>
      </w:r>
      <w:r w:rsidR="00FF450A" w:rsidRPr="002152E4">
        <w:rPr>
          <w:b/>
        </w:rPr>
        <w:t>5.190</w:t>
      </w:r>
      <w:r w:rsidR="003F44D1" w:rsidRPr="002152E4">
        <w:rPr>
          <w:b/>
        </w:rPr>
        <w:t xml:space="preserve"> </w:t>
      </w:r>
      <w:r w:rsidR="003F44D1" w:rsidRPr="002152E4">
        <w:t>dosare</w:t>
      </w:r>
      <w:r w:rsidR="003F44D1" w:rsidRPr="002152E4">
        <w:rPr>
          <w:b/>
        </w:rPr>
        <w:t xml:space="preserve"> </w:t>
      </w:r>
      <w:r w:rsidR="003F44D1" w:rsidRPr="002152E4">
        <w:t>(</w:t>
      </w:r>
      <w:r w:rsidR="00FF450A" w:rsidRPr="002152E4">
        <w:t>6.627</w:t>
      </w:r>
      <w:r w:rsidR="00FF450A" w:rsidRPr="002152E4">
        <w:rPr>
          <w:b/>
        </w:rPr>
        <w:t xml:space="preserve"> </w:t>
      </w:r>
      <w:r w:rsidR="00FF450A" w:rsidRPr="002152E4">
        <w:t>cauze în 2015</w:t>
      </w:r>
      <w:r w:rsidR="003F44D1" w:rsidRPr="002152E4">
        <w:t>),</w:t>
      </w:r>
      <w:r w:rsidR="003F44D1" w:rsidRPr="002152E4">
        <w:rPr>
          <w:b/>
        </w:rPr>
        <w:t xml:space="preserve"> </w:t>
      </w:r>
      <w:r w:rsidRPr="002152E4">
        <w:rPr>
          <w:b/>
        </w:rPr>
        <w:t>Curtea de Apel Braşov</w:t>
      </w:r>
      <w:r w:rsidRPr="002152E4">
        <w:t xml:space="preserve"> </w:t>
      </w:r>
      <w:r w:rsidR="00C079AA" w:rsidRPr="002152E4">
        <w:rPr>
          <w:b/>
        </w:rPr>
        <w:t>7.461</w:t>
      </w:r>
      <w:r w:rsidR="00C079AA" w:rsidRPr="002152E4">
        <w:t xml:space="preserve"> </w:t>
      </w:r>
      <w:r w:rsidRPr="002152E4">
        <w:t>dosare (</w:t>
      </w:r>
      <w:r w:rsidR="00C079AA" w:rsidRPr="002152E4">
        <w:t>7.371</w:t>
      </w:r>
      <w:r w:rsidR="00C079AA" w:rsidRPr="002152E4">
        <w:rPr>
          <w:b/>
        </w:rPr>
        <w:t xml:space="preserve"> </w:t>
      </w:r>
      <w:r w:rsidRPr="002152E4">
        <w:t>cauze în 2</w:t>
      </w:r>
      <w:r w:rsidR="00C079AA" w:rsidRPr="002152E4">
        <w:t>015</w:t>
      </w:r>
      <w:r w:rsidRPr="002152E4">
        <w:t xml:space="preserve">) şi </w:t>
      </w:r>
      <w:r w:rsidRPr="002152E4">
        <w:rPr>
          <w:b/>
        </w:rPr>
        <w:t xml:space="preserve">Curtea de Apel </w:t>
      </w:r>
      <w:r w:rsidR="00CD7C1F" w:rsidRPr="002152E4">
        <w:rPr>
          <w:b/>
        </w:rPr>
        <w:t xml:space="preserve">Suceava </w:t>
      </w:r>
      <w:r w:rsidRPr="002152E4">
        <w:t xml:space="preserve">cu un volum de activitate de </w:t>
      </w:r>
      <w:r w:rsidR="00CD7C1F" w:rsidRPr="002152E4">
        <w:rPr>
          <w:b/>
        </w:rPr>
        <w:t>7.946</w:t>
      </w:r>
      <w:r w:rsidR="00CD7C1F" w:rsidRPr="002152E4">
        <w:t xml:space="preserve"> </w:t>
      </w:r>
      <w:r w:rsidR="003F44D1" w:rsidRPr="002152E4">
        <w:t xml:space="preserve">dosare </w:t>
      </w:r>
      <w:r w:rsidRPr="002152E4">
        <w:t>(</w:t>
      </w:r>
      <w:r w:rsidR="0006673E" w:rsidRPr="002152E4">
        <w:t xml:space="preserve">10.040 </w:t>
      </w:r>
      <w:r w:rsidR="00CD7C1F" w:rsidRPr="002152E4">
        <w:t>dosare în 2015</w:t>
      </w:r>
      <w:r w:rsidRPr="002152E4">
        <w:t>).</w:t>
      </w:r>
    </w:p>
    <w:p w:rsidR="000802D5" w:rsidRPr="002152E4" w:rsidRDefault="000802D5" w:rsidP="00525E02">
      <w:pPr>
        <w:pStyle w:val="AddParagraf"/>
      </w:pPr>
      <w:r w:rsidRPr="002152E4">
        <w:t xml:space="preserve">Din cele </w:t>
      </w:r>
      <w:r w:rsidR="00D34912" w:rsidRPr="002152E4">
        <w:rPr>
          <w:b/>
        </w:rPr>
        <w:t>203.974</w:t>
      </w:r>
      <w:r w:rsidR="00D34912" w:rsidRPr="002152E4">
        <w:t xml:space="preserve"> </w:t>
      </w:r>
      <w:r w:rsidRPr="002152E4">
        <w:t>cauze înregistrate pe rolul curţilor de apel în</w:t>
      </w:r>
      <w:r w:rsidR="008759E0" w:rsidRPr="002152E4">
        <w:t xml:space="preserve"> anul 2016</w:t>
      </w:r>
      <w:r w:rsidRPr="002152E4">
        <w:t xml:space="preserve">, au fost soluţionate </w:t>
      </w:r>
      <w:r w:rsidR="00510C4D" w:rsidRPr="002152E4">
        <w:rPr>
          <w:b/>
        </w:rPr>
        <w:t>1</w:t>
      </w:r>
      <w:r w:rsidR="00D34912" w:rsidRPr="002152E4">
        <w:rPr>
          <w:b/>
        </w:rPr>
        <w:t>54.315</w:t>
      </w:r>
      <w:r w:rsidR="00510C4D" w:rsidRPr="002152E4">
        <w:t xml:space="preserve"> cauze</w:t>
      </w:r>
      <w:r w:rsidR="005070D6" w:rsidRPr="002152E4">
        <w:t>,</w:t>
      </w:r>
      <w:r w:rsidR="00510C4D" w:rsidRPr="002152E4">
        <w:t xml:space="preserve"> </w:t>
      </w:r>
      <w:r w:rsidRPr="002152E4">
        <w:t xml:space="preserve">reprezentând </w:t>
      </w:r>
      <w:r w:rsidR="007C7497" w:rsidRPr="002152E4">
        <w:rPr>
          <w:b/>
        </w:rPr>
        <w:t>75,65 %</w:t>
      </w:r>
      <w:r w:rsidR="007C7497" w:rsidRPr="002152E4">
        <w:t xml:space="preserve"> </w:t>
      </w:r>
      <w:r w:rsidR="002C4B04" w:rsidRPr="002152E4">
        <w:t>(</w:t>
      </w:r>
      <w:r w:rsidR="007C7497" w:rsidRPr="002152E4">
        <w:t>77,6 % în anul 2015</w:t>
      </w:r>
      <w:r w:rsidR="002C4B04" w:rsidRPr="002152E4">
        <w:t>)</w:t>
      </w:r>
      <w:r w:rsidRPr="002152E4">
        <w:t>, rămânând totodată un stoc</w:t>
      </w:r>
      <w:r w:rsidR="005B294C" w:rsidRPr="002152E4">
        <w:t xml:space="preserve"> de </w:t>
      </w:r>
      <w:r w:rsidR="00BE373A" w:rsidRPr="002152E4">
        <w:rPr>
          <w:b/>
        </w:rPr>
        <w:t>49</w:t>
      </w:r>
      <w:r w:rsidR="0058483B" w:rsidRPr="002152E4">
        <w:rPr>
          <w:b/>
        </w:rPr>
        <w:t>.</w:t>
      </w:r>
      <w:r w:rsidR="00BE373A" w:rsidRPr="002152E4">
        <w:rPr>
          <w:b/>
        </w:rPr>
        <w:t>659</w:t>
      </w:r>
      <w:r w:rsidR="00211175" w:rsidRPr="002152E4">
        <w:rPr>
          <w:b/>
        </w:rPr>
        <w:t xml:space="preserve"> </w:t>
      </w:r>
      <w:r w:rsidRPr="002152E4">
        <w:t>dosare de</w:t>
      </w:r>
      <w:r w:rsidR="0058483B" w:rsidRPr="002152E4">
        <w:t xml:space="preserve"> </w:t>
      </w:r>
      <w:r w:rsidRPr="002152E4">
        <w:t xml:space="preserve"> soluţionat,</w:t>
      </w:r>
      <w:r w:rsidRPr="002152E4">
        <w:rPr>
          <w:b/>
        </w:rPr>
        <w:t xml:space="preserve"> </w:t>
      </w:r>
      <w:r w:rsidRPr="002152E4">
        <w:t>ce se vor repor</w:t>
      </w:r>
      <w:r w:rsidR="00211175" w:rsidRPr="002152E4">
        <w:t>ta spre soluţionare în anul 2017</w:t>
      </w:r>
      <w:r w:rsidRPr="002152E4">
        <w:t>.</w:t>
      </w:r>
    </w:p>
    <w:p w:rsidR="008B7005" w:rsidRDefault="000802D5" w:rsidP="008B7005">
      <w:pPr>
        <w:pStyle w:val="AddParagraf"/>
      </w:pPr>
      <w:r w:rsidRPr="002152E4">
        <w:lastRenderedPageBreak/>
        <w:t>Grafic, situaţia dosarelor finalizate în ultimii 5 ani se prezintă astfel:</w:t>
      </w:r>
    </w:p>
    <w:p w:rsidR="008B7005" w:rsidRDefault="008B7005" w:rsidP="008B7005">
      <w:pPr>
        <w:pStyle w:val="AddParagraf"/>
      </w:pPr>
      <w:r w:rsidRPr="007037CF">
        <w:fldChar w:fldCharType="begin"/>
      </w:r>
      <w:r w:rsidRPr="007037CF">
        <w:instrText xml:space="preserve"> LINK Excel.Sheet.8 "C:\\Documents and Settings\\bogdan.comaneci.CSM1909\\Desktop\\1 an 2016\\Grafice 2016.xls!Grafic 8![Grafice 2016.xls]Grafic 8 Diagramă 1" "" \a \p \* MERGEFORMAT </w:instrText>
      </w:r>
      <w:r w:rsidRPr="007037CF">
        <w:fldChar w:fldCharType="separate"/>
      </w:r>
      <w:r w:rsidR="00C742FD">
        <w:object w:dxaOrig="12526" w:dyaOrig="6874">
          <v:shape id="_x0000_i1031" type="#_x0000_t75" style="width:487.1pt;height:267.95pt">
            <v:imagedata r:id="rId28" o:title=""/>
          </v:shape>
        </w:object>
      </w:r>
      <w:r w:rsidRPr="007037CF">
        <w:fldChar w:fldCharType="end"/>
      </w:r>
    </w:p>
    <w:p w:rsidR="00D93D0C" w:rsidRPr="002152E4" w:rsidRDefault="008B7005" w:rsidP="008B7005">
      <w:pPr>
        <w:pStyle w:val="AddParagraf"/>
      </w:pPr>
      <w:r w:rsidRPr="002152E4">
        <w:t xml:space="preserve"> </w:t>
      </w:r>
    </w:p>
    <w:p w:rsidR="000802D5" w:rsidRPr="002152E4" w:rsidRDefault="000802D5" w:rsidP="00525E02">
      <w:pPr>
        <w:pStyle w:val="AddParagraf"/>
        <w:rPr>
          <w:b/>
        </w:rPr>
      </w:pPr>
      <w:r w:rsidRPr="002152E4">
        <w:rPr>
          <w:b/>
        </w:rPr>
        <w:t>În ceea ce priveşte cauzele scăderii volumului de activitate, exemplificăm evoluţia numărului cauzelor nou intrate, pentru materiile relevante statistic:</w:t>
      </w:r>
    </w:p>
    <w:p w:rsidR="000802D5" w:rsidRPr="002152E4" w:rsidRDefault="000802D5" w:rsidP="00525E02">
      <w:pPr>
        <w:pStyle w:val="AddParagraf"/>
      </w:pPr>
      <w:r w:rsidRPr="002152E4">
        <w:t xml:space="preserve">Astfel, în materia </w:t>
      </w:r>
      <w:r w:rsidRPr="002152E4">
        <w:rPr>
          <w:b/>
          <w:bCs/>
        </w:rPr>
        <w:t>contenciosului administrativ şi fiscal</w:t>
      </w:r>
      <w:r w:rsidRPr="002152E4">
        <w:t>, numărul cauzelor n</w:t>
      </w:r>
      <w:r w:rsidR="00552F2E" w:rsidRPr="002152E4">
        <w:t xml:space="preserve">ou intrate în anul </w:t>
      </w:r>
      <w:smartTag w:uri="urn:schemas-microsoft-com:office:smarttags" w:element="metricconverter">
        <w:smartTagPr>
          <w:attr w:name="ProductID" w:val="2016 a"/>
        </w:smartTagPr>
        <w:r w:rsidR="00552F2E" w:rsidRPr="002152E4">
          <w:t>2016</w:t>
        </w:r>
        <w:r w:rsidRPr="002152E4">
          <w:t xml:space="preserve"> a</w:t>
        </w:r>
      </w:smartTag>
      <w:r w:rsidRPr="002152E4">
        <w:t xml:space="preserve"> fost de</w:t>
      </w:r>
      <w:r w:rsidR="00F40C3B" w:rsidRPr="002152E4">
        <w:t xml:space="preserve"> </w:t>
      </w:r>
      <w:r w:rsidR="00552F2E" w:rsidRPr="002152E4">
        <w:rPr>
          <w:b/>
        </w:rPr>
        <w:t>43.334</w:t>
      </w:r>
      <w:r w:rsidRPr="002152E4">
        <w:t xml:space="preserve"> </w:t>
      </w:r>
      <w:r w:rsidR="00552F2E" w:rsidRPr="002152E4">
        <w:t xml:space="preserve">dosare </w:t>
      </w:r>
      <w:r w:rsidRPr="002152E4">
        <w:t>(</w:t>
      </w:r>
      <w:r w:rsidR="00552F2E" w:rsidRPr="002152E4">
        <w:t>50.422</w:t>
      </w:r>
      <w:r w:rsidR="00552F2E" w:rsidRPr="002152E4">
        <w:rPr>
          <w:b/>
        </w:rPr>
        <w:t xml:space="preserve"> </w:t>
      </w:r>
      <w:r w:rsidR="00552F2E" w:rsidRPr="002152E4">
        <w:t xml:space="preserve">dosare în 2015 şi </w:t>
      </w:r>
      <w:r w:rsidR="00F40C3B" w:rsidRPr="002152E4">
        <w:t>88.629</w:t>
      </w:r>
      <w:r w:rsidR="0060012C" w:rsidRPr="002152E4">
        <w:t xml:space="preserve"> dosare în 2014</w:t>
      </w:r>
      <w:r w:rsidRPr="002152E4">
        <w:t xml:space="preserve">). </w:t>
      </w:r>
    </w:p>
    <w:p w:rsidR="000802D5" w:rsidRDefault="000802D5" w:rsidP="00525E02">
      <w:pPr>
        <w:pStyle w:val="AddParagraf"/>
        <w:rPr>
          <w:bCs/>
        </w:rPr>
      </w:pPr>
      <w:r w:rsidRPr="002152E4">
        <w:t>Grafic</w:t>
      </w:r>
      <w:r w:rsidRPr="002152E4">
        <w:rPr>
          <w:b/>
        </w:rPr>
        <w:t xml:space="preserve">, </w:t>
      </w:r>
      <w:r w:rsidRPr="002152E4">
        <w:t>variaţia numărului de cauze nou intrate în materia</w:t>
      </w:r>
      <w:r w:rsidRPr="002152E4">
        <w:rPr>
          <w:b/>
          <w:bCs/>
        </w:rPr>
        <w:t xml:space="preserve"> contenciosului administrativ şi fiscal</w:t>
      </w:r>
      <w:r w:rsidRPr="002152E4">
        <w:rPr>
          <w:bCs/>
        </w:rPr>
        <w:t xml:space="preserve"> se prezintă astfel:</w:t>
      </w:r>
    </w:p>
    <w:p w:rsidR="008B7005" w:rsidRPr="002152E4" w:rsidRDefault="008B7005" w:rsidP="00525E02">
      <w:pPr>
        <w:pStyle w:val="AddParagraf"/>
        <w:rPr>
          <w:bCs/>
        </w:rPr>
      </w:pPr>
      <w:r w:rsidRPr="007037CF">
        <w:rPr>
          <w:bCs/>
        </w:rPr>
        <w:fldChar w:fldCharType="begin"/>
      </w:r>
      <w:r w:rsidRPr="007037CF">
        <w:rPr>
          <w:bCs/>
        </w:rPr>
        <w:instrText xml:space="preserve"> LINK Excel.Sheet.8 "C:\\Documents and Settings\\bogdan.comaneci.CSM1909\\Desktop\\1 an 2016\\Grafice 2016.xls!CA Cauze nou intrate contadmsi![Grafice 2016.xls]CA Cauze nou intrate contadmsi Diagramă 1" "" \a \p \* MERGEFORMAT </w:instrText>
      </w:r>
      <w:r w:rsidRPr="007037CF">
        <w:rPr>
          <w:bCs/>
        </w:rPr>
        <w:fldChar w:fldCharType="separate"/>
      </w:r>
      <w:r w:rsidR="00C742FD">
        <w:rPr>
          <w:bCs/>
        </w:rPr>
        <w:object w:dxaOrig="12189" w:dyaOrig="6520">
          <v:shape id="_x0000_i1032" type="#_x0000_t75" style="width:484.6pt;height:206.6pt">
            <v:imagedata r:id="rId29" o:title=""/>
          </v:shape>
        </w:object>
      </w:r>
      <w:r w:rsidRPr="007037CF">
        <w:rPr>
          <w:bCs/>
        </w:rPr>
        <w:fldChar w:fldCharType="end"/>
      </w:r>
    </w:p>
    <w:p w:rsidR="000802D5" w:rsidRPr="002152E4" w:rsidRDefault="000802D5" w:rsidP="002A6DB1">
      <w:pPr>
        <w:pStyle w:val="AddParagraf"/>
      </w:pPr>
      <w:r w:rsidRPr="002152E4">
        <w:t xml:space="preserve">Ponderea materiei </w:t>
      </w:r>
      <w:r w:rsidRPr="002152E4">
        <w:rPr>
          <w:bCs/>
        </w:rPr>
        <w:t xml:space="preserve">contenciosului administrativ şi fiscal </w:t>
      </w:r>
      <w:r w:rsidRPr="002152E4">
        <w:t xml:space="preserve">în totalul cauzelor nou intrate la curţile de apel este de </w:t>
      </w:r>
      <w:r w:rsidR="00263B6B" w:rsidRPr="002152E4">
        <w:rPr>
          <w:b/>
        </w:rPr>
        <w:t>28,67</w:t>
      </w:r>
      <w:r w:rsidR="003F2119" w:rsidRPr="002152E4">
        <w:rPr>
          <w:b/>
        </w:rPr>
        <w:t xml:space="preserve"> %</w:t>
      </w:r>
      <w:r w:rsidR="003F2119" w:rsidRPr="002152E4">
        <w:t xml:space="preserve"> </w:t>
      </w:r>
      <w:r w:rsidRPr="002152E4">
        <w:t>(</w:t>
      </w:r>
      <w:r w:rsidR="002E35B2" w:rsidRPr="002152E4">
        <w:t>31,04 % în anul 2015</w:t>
      </w:r>
      <w:r w:rsidRPr="002152E4">
        <w:t xml:space="preserve">). </w:t>
      </w:r>
    </w:p>
    <w:p w:rsidR="000802D5" w:rsidRDefault="000802D5" w:rsidP="002A6DB1">
      <w:pPr>
        <w:pStyle w:val="AddParagraf"/>
      </w:pPr>
      <w:r w:rsidRPr="002152E4">
        <w:t xml:space="preserve">În materie </w:t>
      </w:r>
      <w:r w:rsidRPr="002152E4">
        <w:rPr>
          <w:bCs/>
        </w:rPr>
        <w:t>penală</w:t>
      </w:r>
      <w:r w:rsidRPr="002152E4">
        <w:t>, numărul cauzelor nou intrate</w:t>
      </w:r>
      <w:r w:rsidR="00E71309" w:rsidRPr="002152E4">
        <w:t xml:space="preserve"> la curţile de apel în anul </w:t>
      </w:r>
      <w:smartTag w:uri="urn:schemas-microsoft-com:office:smarttags" w:element="metricconverter">
        <w:smartTagPr>
          <w:attr w:name="ProductID" w:val="2016 a"/>
        </w:smartTagPr>
        <w:r w:rsidR="00E71309" w:rsidRPr="002152E4">
          <w:t>2016</w:t>
        </w:r>
        <w:r w:rsidRPr="002152E4">
          <w:t xml:space="preserve"> a</w:t>
        </w:r>
      </w:smartTag>
      <w:r w:rsidRPr="002152E4">
        <w:t xml:space="preserve"> fost de </w:t>
      </w:r>
      <w:r w:rsidR="00DA66FD" w:rsidRPr="002152E4">
        <w:rPr>
          <w:b/>
        </w:rPr>
        <w:t>44.771</w:t>
      </w:r>
      <w:r w:rsidR="007B7AB1" w:rsidRPr="002152E4">
        <w:t xml:space="preserve"> </w:t>
      </w:r>
      <w:r w:rsidRPr="002152E4">
        <w:t xml:space="preserve"> dosare (</w:t>
      </w:r>
      <w:r w:rsidR="00DA66FD" w:rsidRPr="002152E4">
        <w:t xml:space="preserve">40.775 dosare </w:t>
      </w:r>
      <w:r w:rsidR="007E3FE3" w:rsidRPr="002152E4">
        <w:t>în 2015 şi</w:t>
      </w:r>
      <w:r w:rsidR="00DA66FD" w:rsidRPr="002152E4">
        <w:t xml:space="preserve"> </w:t>
      </w:r>
      <w:r w:rsidR="007B7AB1" w:rsidRPr="002152E4">
        <w:t>39.930 dosare în 2014</w:t>
      </w:r>
      <w:r w:rsidRPr="002152E4">
        <w:t>).</w:t>
      </w:r>
    </w:p>
    <w:p w:rsidR="008B7005" w:rsidRPr="002152E4" w:rsidRDefault="008B7005" w:rsidP="002A6DB1">
      <w:pPr>
        <w:pStyle w:val="AddParagraf"/>
      </w:pPr>
      <w:r w:rsidRPr="007037CF">
        <w:lastRenderedPageBreak/>
        <w:fldChar w:fldCharType="begin"/>
      </w:r>
      <w:r w:rsidRPr="007037CF">
        <w:instrText xml:space="preserve"> LINK Excel.Sheet.8 "C:\\Documents and Settings\\bogdan.comaneci.CSM1909\\Desktop\\1 an 2016\\Grafice 2016.xls!CA Cauze nou intrate penal![Grafice 2016.xls]CA Cauze nou intrate penal Diagramă 1" "" \a \p \* MERGEFORMAT </w:instrText>
      </w:r>
      <w:r w:rsidRPr="007037CF">
        <w:fldChar w:fldCharType="separate"/>
      </w:r>
      <w:r w:rsidR="00C742FD">
        <w:object w:dxaOrig="12189" w:dyaOrig="6059">
          <v:shape id="_x0000_i1033" type="#_x0000_t75" style="width:487.7pt;height:244.15pt">
            <v:imagedata r:id="rId30" o:title=""/>
          </v:shape>
        </w:object>
      </w:r>
      <w:r w:rsidRPr="007037CF">
        <w:fldChar w:fldCharType="end"/>
      </w:r>
    </w:p>
    <w:p w:rsidR="000802D5" w:rsidRPr="002152E4" w:rsidRDefault="000802D5" w:rsidP="002A6DB1">
      <w:pPr>
        <w:pStyle w:val="AddParagraf"/>
      </w:pPr>
      <w:r w:rsidRPr="002152E4">
        <w:t xml:space="preserve">Ponderea cauzelor nou intrate în materie penală în totalul cauzelor intrate la curţile </w:t>
      </w:r>
      <w:r w:rsidR="00AB7F5D" w:rsidRPr="002152E4">
        <w:t xml:space="preserve">de apel în </w:t>
      </w:r>
      <w:smartTag w:uri="urn:schemas-microsoft-com:office:smarttags" w:element="metricconverter">
        <w:smartTagPr>
          <w:attr w:name="ProductID" w:val="2016 a"/>
        </w:smartTagPr>
        <w:r w:rsidR="00AB7F5D" w:rsidRPr="002152E4">
          <w:t>2016</w:t>
        </w:r>
        <w:r w:rsidRPr="002152E4">
          <w:t xml:space="preserve"> a</w:t>
        </w:r>
      </w:smartTag>
      <w:r w:rsidRPr="002152E4">
        <w:t xml:space="preserve"> fost de </w:t>
      </w:r>
      <w:r w:rsidR="00AB7F5D" w:rsidRPr="002152E4">
        <w:rPr>
          <w:b/>
        </w:rPr>
        <w:t>29,62</w:t>
      </w:r>
      <w:r w:rsidR="00F22B51" w:rsidRPr="002152E4">
        <w:rPr>
          <w:b/>
        </w:rPr>
        <w:t xml:space="preserve"> </w:t>
      </w:r>
      <w:r w:rsidRPr="002152E4">
        <w:rPr>
          <w:b/>
        </w:rPr>
        <w:t>%</w:t>
      </w:r>
      <w:r w:rsidRPr="002152E4">
        <w:t>.</w:t>
      </w:r>
    </w:p>
    <w:p w:rsidR="00BB792B" w:rsidRDefault="002B3C89" w:rsidP="002A6DB1">
      <w:pPr>
        <w:pStyle w:val="AddParagraf"/>
      </w:pPr>
      <w:r w:rsidRPr="002152E4">
        <w:t xml:space="preserve">În materia </w:t>
      </w:r>
      <w:r w:rsidR="00BB792B" w:rsidRPr="002152E4">
        <w:t>litigii de muncă, numărul cauzelor nou intrate</w:t>
      </w:r>
      <w:r w:rsidR="00C22695" w:rsidRPr="002152E4">
        <w:t xml:space="preserve"> la curţile de apel în anul </w:t>
      </w:r>
      <w:smartTag w:uri="urn:schemas-microsoft-com:office:smarttags" w:element="metricconverter">
        <w:smartTagPr>
          <w:attr w:name="ProductID" w:val="2016 a"/>
        </w:smartTagPr>
        <w:r w:rsidR="00C22695" w:rsidRPr="002152E4">
          <w:t>2016</w:t>
        </w:r>
        <w:r w:rsidR="00BB792B" w:rsidRPr="002152E4">
          <w:t xml:space="preserve"> a</w:t>
        </w:r>
      </w:smartTag>
      <w:r w:rsidR="00BB792B" w:rsidRPr="002152E4">
        <w:t xml:space="preserve"> fost de</w:t>
      </w:r>
      <w:r w:rsidR="00C22695" w:rsidRPr="002152E4">
        <w:t xml:space="preserve"> </w:t>
      </w:r>
      <w:r w:rsidR="00C22695" w:rsidRPr="002152E4">
        <w:rPr>
          <w:b/>
        </w:rPr>
        <w:t>18.979</w:t>
      </w:r>
      <w:r w:rsidR="00C22695" w:rsidRPr="002152E4">
        <w:t xml:space="preserve"> </w:t>
      </w:r>
      <w:r w:rsidR="00BB792B" w:rsidRPr="002152E4">
        <w:t xml:space="preserve"> dosare (</w:t>
      </w:r>
      <w:r w:rsidR="00C22695" w:rsidRPr="002152E4">
        <w:t xml:space="preserve">26.786 dosare </w:t>
      </w:r>
      <w:r w:rsidR="007E3FE3" w:rsidRPr="002152E4">
        <w:t>în 2015 şi</w:t>
      </w:r>
      <w:r w:rsidR="00C22695" w:rsidRPr="002152E4">
        <w:t xml:space="preserve"> 22.768 dosare în 2014</w:t>
      </w:r>
      <w:r w:rsidR="00BB792B" w:rsidRPr="002152E4">
        <w:t>).</w:t>
      </w:r>
    </w:p>
    <w:p w:rsidR="008B7005" w:rsidRPr="002152E4" w:rsidRDefault="008B7005" w:rsidP="002A6DB1">
      <w:pPr>
        <w:pStyle w:val="AddParagraf"/>
      </w:pPr>
      <w:r w:rsidRPr="007037CF">
        <w:fldChar w:fldCharType="begin"/>
      </w:r>
      <w:r w:rsidRPr="007037CF">
        <w:instrText xml:space="preserve"> LINK Excel.Sheet.8 "C:\\Documents and Settings\\bogdan.comaneci.CSM1909\\Desktop\\1 an 2016\\Grafice 2016.xls!CA Cauze nou intrate litigiidem![Grafice 2016.xls]CA Cauze nou intrate litigiidem Diagramă 1" "" \a \p \* MERGEFORMAT </w:instrText>
      </w:r>
      <w:r w:rsidRPr="007037CF">
        <w:fldChar w:fldCharType="separate"/>
      </w:r>
      <w:r w:rsidR="00C742FD">
        <w:object w:dxaOrig="12189" w:dyaOrig="6520">
          <v:shape id="_x0000_i1034" type="#_x0000_t75" style="width:495.25pt;height:266.1pt">
            <v:imagedata r:id="rId31" o:title=""/>
          </v:shape>
        </w:object>
      </w:r>
      <w:r w:rsidRPr="007037CF">
        <w:fldChar w:fldCharType="end"/>
      </w:r>
    </w:p>
    <w:p w:rsidR="002B3C89" w:rsidRPr="002152E4" w:rsidRDefault="002B3C89" w:rsidP="002B3C89">
      <w:pPr>
        <w:pStyle w:val="AddParagraf"/>
      </w:pPr>
      <w:r w:rsidRPr="002152E4">
        <w:t>Ponderea cauzelor nou intrate în materia litigii de muncă în totalul cauzelor intra</w:t>
      </w:r>
      <w:r w:rsidR="00F118C1" w:rsidRPr="002152E4">
        <w:t xml:space="preserve">te la curţile de apel în </w:t>
      </w:r>
      <w:smartTag w:uri="urn:schemas-microsoft-com:office:smarttags" w:element="metricconverter">
        <w:smartTagPr>
          <w:attr w:name="ProductID" w:val="2016 a"/>
        </w:smartTagPr>
        <w:r w:rsidR="00F118C1" w:rsidRPr="002152E4">
          <w:t>2016</w:t>
        </w:r>
        <w:r w:rsidRPr="002152E4">
          <w:t xml:space="preserve"> a</w:t>
        </w:r>
      </w:smartTag>
      <w:r w:rsidRPr="002152E4">
        <w:t xml:space="preserve"> fost de </w:t>
      </w:r>
      <w:r w:rsidR="00F118C1" w:rsidRPr="002152E4">
        <w:rPr>
          <w:b/>
        </w:rPr>
        <w:t>12</w:t>
      </w:r>
      <w:r w:rsidRPr="002152E4">
        <w:rPr>
          <w:b/>
        </w:rPr>
        <w:t>,5</w:t>
      </w:r>
      <w:r w:rsidR="00F118C1" w:rsidRPr="002152E4">
        <w:rPr>
          <w:b/>
        </w:rPr>
        <w:t>6</w:t>
      </w:r>
      <w:r w:rsidRPr="002152E4">
        <w:rPr>
          <w:b/>
        </w:rPr>
        <w:t xml:space="preserve"> %</w:t>
      </w:r>
      <w:r w:rsidRPr="002152E4">
        <w:t>.</w:t>
      </w:r>
    </w:p>
    <w:p w:rsidR="00CB4EE5" w:rsidRDefault="00CB4EE5" w:rsidP="00CB4EE5">
      <w:pPr>
        <w:pStyle w:val="AddParagraf"/>
      </w:pPr>
      <w:r w:rsidRPr="002152E4">
        <w:t>În materia faliment, numărul cauzelor nou intrate</w:t>
      </w:r>
      <w:r w:rsidR="002E2FAB" w:rsidRPr="002152E4">
        <w:t xml:space="preserve"> la curţile de apel în anul </w:t>
      </w:r>
      <w:smartTag w:uri="urn:schemas-microsoft-com:office:smarttags" w:element="metricconverter">
        <w:smartTagPr>
          <w:attr w:name="ProductID" w:val="2016 a"/>
        </w:smartTagPr>
        <w:r w:rsidR="002E2FAB" w:rsidRPr="002152E4">
          <w:t>2016</w:t>
        </w:r>
        <w:r w:rsidRPr="002152E4">
          <w:t xml:space="preserve"> a</w:t>
        </w:r>
      </w:smartTag>
      <w:r w:rsidRPr="002152E4">
        <w:t xml:space="preserve"> fost de </w:t>
      </w:r>
      <w:r w:rsidR="002E2FAB" w:rsidRPr="002152E4">
        <w:rPr>
          <w:b/>
        </w:rPr>
        <w:t>12.981</w:t>
      </w:r>
      <w:r w:rsidR="002E2FAB" w:rsidRPr="002152E4">
        <w:t xml:space="preserve"> </w:t>
      </w:r>
      <w:r w:rsidRPr="002152E4">
        <w:t>dosare (</w:t>
      </w:r>
      <w:r w:rsidR="002E2FAB" w:rsidRPr="002152E4">
        <w:t xml:space="preserve">14.794 dosare </w:t>
      </w:r>
      <w:r w:rsidR="007E3FE3" w:rsidRPr="002152E4">
        <w:t>în 2015 şi</w:t>
      </w:r>
      <w:r w:rsidR="002E2FAB" w:rsidRPr="002152E4">
        <w:t xml:space="preserve"> </w:t>
      </w:r>
      <w:r w:rsidR="00320B92" w:rsidRPr="002152E4">
        <w:t xml:space="preserve">15.124 </w:t>
      </w:r>
      <w:r w:rsidR="002E2FAB" w:rsidRPr="002152E4">
        <w:t>dosare în 2014</w:t>
      </w:r>
      <w:r w:rsidRPr="002152E4">
        <w:t>).</w:t>
      </w:r>
    </w:p>
    <w:p w:rsidR="008B7005" w:rsidRDefault="008B7005" w:rsidP="00CB4EE5">
      <w:pPr>
        <w:pStyle w:val="AddParagraf"/>
      </w:pPr>
    </w:p>
    <w:p w:rsidR="008B7005" w:rsidRDefault="008B7005" w:rsidP="00CB4EE5">
      <w:pPr>
        <w:pStyle w:val="AddParagraf"/>
      </w:pPr>
    </w:p>
    <w:p w:rsidR="008B7005" w:rsidRPr="002152E4" w:rsidRDefault="008B7005" w:rsidP="00CB4EE5">
      <w:pPr>
        <w:pStyle w:val="AddParagraf"/>
      </w:pPr>
      <w:r w:rsidRPr="007037CF">
        <w:lastRenderedPageBreak/>
        <w:fldChar w:fldCharType="begin"/>
      </w:r>
      <w:r w:rsidRPr="007037CF">
        <w:instrText xml:space="preserve"> LINK Excel.Sheet.8 "C:\\Documents and Settings\\bogdan.comaneci.CSM1909\\Desktop\\1 an 2016\\Grafice 2016.xls!CA Cauze nou intrate faliment![Grafice 2016.xls]CA Cauze nou intrate faliment Diagramă 1" "" \a \p \* MERGEFORMAT </w:instrText>
      </w:r>
      <w:r w:rsidRPr="007037CF">
        <w:fldChar w:fldCharType="separate"/>
      </w:r>
      <w:r w:rsidR="00C742FD">
        <w:object w:dxaOrig="12189" w:dyaOrig="6520">
          <v:shape id="_x0000_i1035" type="#_x0000_t75" style="width:493.35pt;height:264.85pt">
            <v:imagedata r:id="rId32" o:title=""/>
          </v:shape>
        </w:object>
      </w:r>
      <w:r w:rsidRPr="007037CF">
        <w:fldChar w:fldCharType="end"/>
      </w:r>
    </w:p>
    <w:p w:rsidR="008B7005" w:rsidRDefault="008B7005" w:rsidP="009C68E8">
      <w:pPr>
        <w:pStyle w:val="AddParagraf"/>
      </w:pPr>
    </w:p>
    <w:p w:rsidR="009C68E8" w:rsidRPr="002152E4" w:rsidRDefault="009C68E8" w:rsidP="009C68E8">
      <w:pPr>
        <w:pStyle w:val="AddParagraf"/>
      </w:pPr>
      <w:r w:rsidRPr="002152E4">
        <w:t>Ponderea cauzelor nou intrate în materia faliment în totalul cauzelor in</w:t>
      </w:r>
      <w:r w:rsidR="005434AF" w:rsidRPr="002152E4">
        <w:t xml:space="preserve">trate la curţile de apel în </w:t>
      </w:r>
      <w:smartTag w:uri="urn:schemas-microsoft-com:office:smarttags" w:element="metricconverter">
        <w:smartTagPr>
          <w:attr w:name="ProductID" w:val="2016 a"/>
        </w:smartTagPr>
        <w:r w:rsidR="005434AF" w:rsidRPr="002152E4">
          <w:t>2016</w:t>
        </w:r>
        <w:r w:rsidRPr="002152E4">
          <w:t xml:space="preserve"> a</w:t>
        </w:r>
      </w:smartTag>
      <w:r w:rsidRPr="002152E4">
        <w:t xml:space="preserve"> fost de </w:t>
      </w:r>
      <w:r w:rsidR="005434AF" w:rsidRPr="002152E4">
        <w:rPr>
          <w:b/>
        </w:rPr>
        <w:t>8,59</w:t>
      </w:r>
      <w:r w:rsidRPr="002152E4">
        <w:rPr>
          <w:b/>
        </w:rPr>
        <w:t xml:space="preserve"> %</w:t>
      </w:r>
      <w:r w:rsidRPr="002152E4">
        <w:t>.</w:t>
      </w:r>
    </w:p>
    <w:p w:rsidR="00027316" w:rsidRPr="002152E4" w:rsidRDefault="005070D6" w:rsidP="00027316">
      <w:pPr>
        <w:pStyle w:val="AddParagraf"/>
      </w:pPr>
      <w:r w:rsidRPr="002152E4">
        <w:t>În materie</w:t>
      </w:r>
      <w:r w:rsidR="00027316" w:rsidRPr="002152E4">
        <w:t xml:space="preserve"> civil</w:t>
      </w:r>
      <w:r w:rsidRPr="002152E4">
        <w:t>ă</w:t>
      </w:r>
      <w:r w:rsidR="00027316" w:rsidRPr="002152E4">
        <w:t xml:space="preserve">, numărul cauzelor nou intrate la curţile de apel în anul </w:t>
      </w:r>
      <w:smartTag w:uri="urn:schemas-microsoft-com:office:smarttags" w:element="metricconverter">
        <w:smartTagPr>
          <w:attr w:name="ProductID" w:val="2015 a"/>
        </w:smartTagPr>
        <w:r w:rsidR="00027316" w:rsidRPr="002152E4">
          <w:t>2015 a</w:t>
        </w:r>
      </w:smartTag>
      <w:r w:rsidR="00027316" w:rsidRPr="002152E4">
        <w:t xml:space="preserve"> fost de </w:t>
      </w:r>
      <w:r w:rsidR="00A13801" w:rsidRPr="002152E4">
        <w:rPr>
          <w:b/>
        </w:rPr>
        <w:t>10.419</w:t>
      </w:r>
      <w:r w:rsidR="00A13801" w:rsidRPr="002152E4">
        <w:t xml:space="preserve"> dosare </w:t>
      </w:r>
      <w:r w:rsidR="00027316" w:rsidRPr="002152E4">
        <w:t>(</w:t>
      </w:r>
      <w:r w:rsidR="00A13801" w:rsidRPr="002152E4">
        <w:t xml:space="preserve">11.335 dosare în 2015 şi </w:t>
      </w:r>
      <w:r w:rsidR="00D57374" w:rsidRPr="002152E4">
        <w:t xml:space="preserve">12.678 </w:t>
      </w:r>
      <w:r w:rsidR="00027316" w:rsidRPr="002152E4">
        <w:t>dosare în 2014).</w:t>
      </w:r>
    </w:p>
    <w:p w:rsidR="00ED33BE" w:rsidRDefault="00ED33BE" w:rsidP="00ED33BE">
      <w:pPr>
        <w:pStyle w:val="AddParagraf"/>
      </w:pPr>
      <w:r w:rsidRPr="002152E4">
        <w:t xml:space="preserve">Ponderea cauzelor nou intrate în </w:t>
      </w:r>
      <w:r w:rsidR="00206707" w:rsidRPr="002152E4">
        <w:t xml:space="preserve">materie civilă în </w:t>
      </w:r>
      <w:r w:rsidRPr="002152E4">
        <w:t>totalul cauzelor in</w:t>
      </w:r>
      <w:r w:rsidR="00206707" w:rsidRPr="002152E4">
        <w:t xml:space="preserve">trate la curţile de apel în </w:t>
      </w:r>
      <w:smartTag w:uri="urn:schemas-microsoft-com:office:smarttags" w:element="metricconverter">
        <w:smartTagPr>
          <w:attr w:name="ProductID" w:val="2016 a"/>
        </w:smartTagPr>
        <w:r w:rsidR="00206707" w:rsidRPr="002152E4">
          <w:t>2016</w:t>
        </w:r>
        <w:r w:rsidRPr="002152E4">
          <w:t xml:space="preserve"> a</w:t>
        </w:r>
      </w:smartTag>
      <w:r w:rsidRPr="002152E4">
        <w:t xml:space="preserve"> fost de </w:t>
      </w:r>
      <w:r w:rsidR="00866EB5" w:rsidRPr="002152E4">
        <w:rPr>
          <w:b/>
        </w:rPr>
        <w:t>6,89</w:t>
      </w:r>
      <w:r w:rsidRPr="002152E4">
        <w:rPr>
          <w:b/>
        </w:rPr>
        <w:t xml:space="preserve"> %</w:t>
      </w:r>
      <w:r w:rsidRPr="002152E4">
        <w:t>.</w:t>
      </w:r>
    </w:p>
    <w:p w:rsidR="008B7005" w:rsidRPr="002152E4" w:rsidRDefault="008B7005" w:rsidP="00ED33BE">
      <w:pPr>
        <w:pStyle w:val="AddParagraf"/>
      </w:pPr>
      <w:r w:rsidRPr="007037CF">
        <w:fldChar w:fldCharType="begin"/>
      </w:r>
      <w:r w:rsidRPr="007037CF">
        <w:instrText xml:space="preserve"> LINK Excel.Sheet.8 "C:\\Documents and Settings\\bogdan.comaneci.CSM1909\\Desktop\\1 an 2016\\Grafice 2016.xls!CA Cauze nou intratecivil![Grafice 2016.xls]CA Cauze nou intratecivil Diagramă 1" "" \a \p \* MERGEFORMAT </w:instrText>
      </w:r>
      <w:r w:rsidRPr="007037CF">
        <w:fldChar w:fldCharType="separate"/>
      </w:r>
      <w:r w:rsidR="00C742FD">
        <w:object w:dxaOrig="12189" w:dyaOrig="6520">
          <v:shape id="_x0000_i1036" type="#_x0000_t75" style="width:495.25pt;height:266.1pt">
            <v:imagedata r:id="rId33" o:title=""/>
          </v:shape>
        </w:object>
      </w:r>
      <w:r w:rsidRPr="007037CF">
        <w:fldChar w:fldCharType="end"/>
      </w:r>
    </w:p>
    <w:p w:rsidR="00FC04EE" w:rsidRPr="002152E4" w:rsidRDefault="00FC04EE" w:rsidP="00931F51">
      <w:pPr>
        <w:pStyle w:val="AddParagraf"/>
        <w:ind w:firstLine="0"/>
        <w:jc w:val="center"/>
      </w:pPr>
    </w:p>
    <w:p w:rsidR="00E025D7" w:rsidRPr="002152E4" w:rsidRDefault="00E025D7" w:rsidP="00931F51">
      <w:pPr>
        <w:pStyle w:val="AddParagraf"/>
        <w:ind w:firstLine="0"/>
        <w:jc w:val="center"/>
      </w:pPr>
    </w:p>
    <w:p w:rsidR="00E025D7" w:rsidRPr="002152E4" w:rsidRDefault="00E025D7" w:rsidP="00931F51">
      <w:pPr>
        <w:pStyle w:val="AddParagraf"/>
        <w:ind w:firstLine="0"/>
        <w:jc w:val="center"/>
      </w:pPr>
    </w:p>
    <w:p w:rsidR="000802D5" w:rsidRPr="002152E4" w:rsidRDefault="000802D5" w:rsidP="002A6DB1">
      <w:pPr>
        <w:pStyle w:val="AddParagraf"/>
        <w:rPr>
          <w:noProof/>
        </w:rPr>
      </w:pPr>
      <w:r w:rsidRPr="002152E4">
        <w:rPr>
          <w:noProof/>
        </w:rPr>
        <w:t>Sub aspectul celor mai frectvente obiecte cu care curţile de apel au fost investite în stadiul procesual fond, acestea se prezintă conform competenţei materiale după cum urmează:</w:t>
      </w:r>
    </w:p>
    <w:p w:rsidR="000802D5" w:rsidRPr="002152E4" w:rsidRDefault="001C023E" w:rsidP="00C72B60">
      <w:pPr>
        <w:pStyle w:val="AddParagraf"/>
        <w:numPr>
          <w:ilvl w:val="0"/>
          <w:numId w:val="10"/>
        </w:numPr>
        <w:rPr>
          <w:noProof/>
        </w:rPr>
      </w:pPr>
      <w:r w:rsidRPr="002152E4">
        <w:rPr>
          <w:noProof/>
        </w:rPr>
        <w:t>î</w:t>
      </w:r>
      <w:r w:rsidR="000802D5" w:rsidRPr="002152E4">
        <w:rPr>
          <w:noProof/>
        </w:rPr>
        <w:t>n materia contenciosului administrativ</w:t>
      </w:r>
      <w:r w:rsidR="00E651AB" w:rsidRPr="002152E4">
        <w:rPr>
          <w:noProof/>
        </w:rPr>
        <w:t>;</w:t>
      </w:r>
      <w:r w:rsidR="000802D5" w:rsidRPr="002152E4">
        <w:rPr>
          <w:noProof/>
        </w:rPr>
        <w:t xml:space="preserve"> </w:t>
      </w:r>
    </w:p>
    <w:p w:rsidR="00F63FB5" w:rsidRPr="002152E4" w:rsidRDefault="007041EF" w:rsidP="00931F51">
      <w:pPr>
        <w:pStyle w:val="AddParagraf"/>
        <w:numPr>
          <w:ilvl w:val="0"/>
          <w:numId w:val="0"/>
        </w:numPr>
        <w:jc w:val="center"/>
        <w:rPr>
          <w:noProof/>
        </w:rPr>
      </w:pPr>
      <w:r w:rsidRPr="002152E4">
        <w:rPr>
          <w:noProof/>
          <w:lang w:val="en-US"/>
        </w:rPr>
        <w:drawing>
          <wp:inline distT="0" distB="0" distL="0" distR="0" wp14:anchorId="518AF75A" wp14:editId="5B4012BB">
            <wp:extent cx="5981700" cy="2659380"/>
            <wp:effectExtent l="19050" t="19050" r="19050" b="266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l="19005" t="35413" r="5017" b="19504"/>
                    <a:stretch>
                      <a:fillRect/>
                    </a:stretch>
                  </pic:blipFill>
                  <pic:spPr bwMode="auto">
                    <a:xfrm>
                      <a:off x="0" y="0"/>
                      <a:ext cx="5981700" cy="2659380"/>
                    </a:xfrm>
                    <a:prstGeom prst="rect">
                      <a:avLst/>
                    </a:prstGeom>
                    <a:noFill/>
                    <a:ln w="6350" cmpd="sng">
                      <a:solidFill>
                        <a:srgbClr val="000000"/>
                      </a:solidFill>
                      <a:miter lim="800000"/>
                      <a:headEnd/>
                      <a:tailEnd/>
                    </a:ln>
                    <a:effectLst/>
                  </pic:spPr>
                </pic:pic>
              </a:graphicData>
            </a:graphic>
          </wp:inline>
        </w:drawing>
      </w:r>
    </w:p>
    <w:p w:rsidR="000802D5" w:rsidRPr="002152E4" w:rsidRDefault="001C023E" w:rsidP="00C72B60">
      <w:pPr>
        <w:pStyle w:val="AddParagraf"/>
        <w:numPr>
          <w:ilvl w:val="0"/>
          <w:numId w:val="9"/>
        </w:numPr>
        <w:rPr>
          <w:noProof/>
        </w:rPr>
      </w:pPr>
      <w:r w:rsidRPr="002152E4">
        <w:rPr>
          <w:noProof/>
        </w:rPr>
        <w:t>î</w:t>
      </w:r>
      <w:r w:rsidR="000802D5" w:rsidRPr="002152E4">
        <w:rPr>
          <w:noProof/>
        </w:rPr>
        <w:t>n materie penală</w:t>
      </w:r>
    </w:p>
    <w:p w:rsidR="00A50F49" w:rsidRPr="002152E4" w:rsidRDefault="007041EF" w:rsidP="00933A3A">
      <w:pPr>
        <w:pStyle w:val="AddParagraf"/>
        <w:numPr>
          <w:ilvl w:val="0"/>
          <w:numId w:val="0"/>
        </w:numPr>
        <w:jc w:val="center"/>
        <w:rPr>
          <w:noProof/>
        </w:rPr>
      </w:pPr>
      <w:r w:rsidRPr="002152E4">
        <w:rPr>
          <w:noProof/>
          <w:lang w:val="en-US"/>
        </w:rPr>
        <w:drawing>
          <wp:inline distT="0" distB="0" distL="0" distR="0" wp14:anchorId="441B845F" wp14:editId="6EB214B0">
            <wp:extent cx="5966460" cy="2712720"/>
            <wp:effectExtent l="19050" t="19050" r="15240" b="114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l="19005" t="34259" r="5017" b="19699"/>
                    <a:stretch>
                      <a:fillRect/>
                    </a:stretch>
                  </pic:blipFill>
                  <pic:spPr bwMode="auto">
                    <a:xfrm>
                      <a:off x="0" y="0"/>
                      <a:ext cx="5966460" cy="2712720"/>
                    </a:xfrm>
                    <a:prstGeom prst="rect">
                      <a:avLst/>
                    </a:prstGeom>
                    <a:noFill/>
                    <a:ln w="6350" cmpd="sng">
                      <a:solidFill>
                        <a:srgbClr val="000000"/>
                      </a:solidFill>
                      <a:miter lim="800000"/>
                      <a:headEnd/>
                      <a:tailEnd/>
                    </a:ln>
                    <a:effectLst/>
                  </pic:spPr>
                </pic:pic>
              </a:graphicData>
            </a:graphic>
          </wp:inline>
        </w:drawing>
      </w:r>
    </w:p>
    <w:p w:rsidR="00E025D7" w:rsidRPr="002152E4" w:rsidRDefault="00E025D7" w:rsidP="00D04B80">
      <w:pPr>
        <w:pStyle w:val="Heading4"/>
      </w:pPr>
      <w:bookmarkStart w:id="20" w:name="_Toc411333477"/>
      <w:bookmarkStart w:id="21" w:name="_Toc411429412"/>
    </w:p>
    <w:p w:rsidR="000802D5" w:rsidRPr="002152E4" w:rsidRDefault="00AE723B" w:rsidP="00AE723B">
      <w:pPr>
        <w:pStyle w:val="Heading3"/>
      </w:pPr>
      <w:bookmarkStart w:id="22" w:name="_Toc475363395"/>
      <w:bookmarkStart w:id="23" w:name="_Toc486576518"/>
      <w:r w:rsidRPr="002152E4">
        <w:t>I</w:t>
      </w:r>
      <w:r w:rsidR="00FD167E" w:rsidRPr="002152E4">
        <w:t>I.1</w:t>
      </w:r>
      <w:r w:rsidR="008C3227" w:rsidRPr="002152E4">
        <w:t xml:space="preserve">.3. </w:t>
      </w:r>
      <w:r w:rsidR="000802D5" w:rsidRPr="002152E4">
        <w:t>Volumul de activitate la nivelul tribunalelor</w:t>
      </w:r>
      <w:bookmarkEnd w:id="20"/>
      <w:bookmarkEnd w:id="21"/>
      <w:bookmarkEnd w:id="22"/>
      <w:bookmarkEnd w:id="23"/>
    </w:p>
    <w:p w:rsidR="000802D5" w:rsidRPr="002152E4" w:rsidRDefault="000802D5" w:rsidP="006032AA">
      <w:pPr>
        <w:pStyle w:val="AddParagraf"/>
      </w:pPr>
      <w:r w:rsidRPr="002152E4">
        <w:t xml:space="preserve">La </w:t>
      </w:r>
      <w:r w:rsidR="00795A41" w:rsidRPr="002152E4">
        <w:t>acest nivel</w:t>
      </w:r>
      <w:r w:rsidRPr="002152E4">
        <w:t xml:space="preserve"> a fost înregistrat un număr de </w:t>
      </w:r>
      <w:r w:rsidR="006D2851" w:rsidRPr="002152E4">
        <w:rPr>
          <w:b/>
        </w:rPr>
        <w:t>733.709</w:t>
      </w:r>
      <w:r w:rsidR="006D2851" w:rsidRPr="002152E4">
        <w:t xml:space="preserve"> </w:t>
      </w:r>
      <w:r w:rsidRPr="002152E4">
        <w:t>cauze de soluţionat, în scăd</w:t>
      </w:r>
      <w:r w:rsidR="00AF6FFF" w:rsidRPr="002152E4">
        <w:t>ere comparativ cu anul anterior</w:t>
      </w:r>
      <w:r w:rsidRPr="002152E4">
        <w:t xml:space="preserve">. </w:t>
      </w:r>
    </w:p>
    <w:p w:rsidR="000802D5" w:rsidRDefault="000802D5" w:rsidP="006032AA">
      <w:pPr>
        <w:pStyle w:val="AddParagraf"/>
      </w:pPr>
      <w:r w:rsidRPr="002152E4">
        <w:t>Situaţia dinamicii volumului de activitate pe ultimii 5 ani se prezintă grafic astfel:</w:t>
      </w:r>
    </w:p>
    <w:p w:rsidR="008B7005" w:rsidRPr="002152E4" w:rsidRDefault="008B7005" w:rsidP="006032AA">
      <w:pPr>
        <w:pStyle w:val="AddParagraf"/>
      </w:pPr>
      <w:r w:rsidRPr="007037CF">
        <w:lastRenderedPageBreak/>
        <w:fldChar w:fldCharType="begin"/>
      </w:r>
      <w:r w:rsidRPr="007037CF">
        <w:instrText xml:space="preserve"> LINK Excel.Sheet.8 "C:\\Documents and Settings\\bogdan.comaneci.CSM1909\\Desktop\\1 an 2016\\Grafice 2016.xls!Grafic 9![Grafice 2016.xls]Grafic 9 Diagramă 1" "" \a \p \* MERGEFORMAT </w:instrText>
      </w:r>
      <w:r w:rsidRPr="007037CF">
        <w:fldChar w:fldCharType="separate"/>
      </w:r>
      <w:r w:rsidR="00C742FD">
        <w:object w:dxaOrig="11569" w:dyaOrig="6520">
          <v:shape id="_x0000_i1037" type="#_x0000_t75" style="width:468.3pt;height:264.2pt">
            <v:imagedata r:id="rId36" o:title=""/>
          </v:shape>
        </w:object>
      </w:r>
      <w:r w:rsidRPr="007037CF">
        <w:fldChar w:fldCharType="end"/>
      </w:r>
    </w:p>
    <w:p w:rsidR="000802D5" w:rsidRPr="002152E4" w:rsidRDefault="00975CEA" w:rsidP="00935313">
      <w:pPr>
        <w:pStyle w:val="AddParagraf"/>
      </w:pPr>
      <w:r w:rsidRPr="002152E4">
        <w:t>În anul 2016</w:t>
      </w:r>
      <w:r w:rsidR="000802D5" w:rsidRPr="002152E4">
        <w:t xml:space="preserve"> se înregistrează aşadar o scădere </w:t>
      </w:r>
      <w:r w:rsidR="004F0FBD" w:rsidRPr="002152E4">
        <w:t xml:space="preserve">comparativ cu perioada anterioară </w:t>
      </w:r>
      <w:r w:rsidR="000802D5" w:rsidRPr="002152E4">
        <w:t xml:space="preserve">a cauzelor de soluţionat cu </w:t>
      </w:r>
      <w:r w:rsidRPr="002152E4">
        <w:rPr>
          <w:b/>
        </w:rPr>
        <w:t>47.069</w:t>
      </w:r>
      <w:r w:rsidRPr="002152E4">
        <w:t xml:space="preserve"> </w:t>
      </w:r>
      <w:r w:rsidR="000802D5" w:rsidRPr="002152E4">
        <w:t xml:space="preserve">cauze, ceea ce reprezintă </w:t>
      </w:r>
      <w:r w:rsidRPr="002152E4">
        <w:rPr>
          <w:b/>
        </w:rPr>
        <w:t>6</w:t>
      </w:r>
      <w:r w:rsidR="000802D5" w:rsidRPr="002152E4">
        <w:rPr>
          <w:b/>
        </w:rPr>
        <w:t>,</w:t>
      </w:r>
      <w:r w:rsidRPr="002152E4">
        <w:rPr>
          <w:b/>
        </w:rPr>
        <w:t>03</w:t>
      </w:r>
      <w:r w:rsidR="000802D5" w:rsidRPr="002152E4">
        <w:rPr>
          <w:b/>
        </w:rPr>
        <w:t xml:space="preserve"> %</w:t>
      </w:r>
      <w:r w:rsidR="000802D5" w:rsidRPr="002152E4">
        <w:t>.</w:t>
      </w:r>
    </w:p>
    <w:p w:rsidR="005F6F90" w:rsidRPr="002152E4" w:rsidRDefault="00755C94" w:rsidP="00935313">
      <w:pPr>
        <w:pStyle w:val="AddParagraf"/>
      </w:pPr>
      <w:r w:rsidRPr="002152E4">
        <w:t>Faţă de anul 2012</w:t>
      </w:r>
      <w:r w:rsidR="000802D5" w:rsidRPr="002152E4">
        <w:t xml:space="preserve"> se înregistrează </w:t>
      </w:r>
      <w:r w:rsidR="0026622F" w:rsidRPr="002152E4">
        <w:t>de asemenea</w:t>
      </w:r>
      <w:r w:rsidR="000802D5" w:rsidRPr="002152E4">
        <w:t xml:space="preserve"> o </w:t>
      </w:r>
      <w:r w:rsidR="005F6F90" w:rsidRPr="002152E4">
        <w:t xml:space="preserve">scădere cu </w:t>
      </w:r>
      <w:r w:rsidRPr="002152E4">
        <w:rPr>
          <w:b/>
        </w:rPr>
        <w:t>283.453</w:t>
      </w:r>
      <w:r w:rsidRPr="002152E4">
        <w:t xml:space="preserve"> </w:t>
      </w:r>
      <w:r w:rsidR="000802D5" w:rsidRPr="002152E4">
        <w:t xml:space="preserve">cauze de soluţionat, ceea ce reprezintă </w:t>
      </w:r>
      <w:r w:rsidR="005F6F90" w:rsidRPr="002152E4">
        <w:t xml:space="preserve">o scădere cu </w:t>
      </w:r>
      <w:r w:rsidRPr="002152E4">
        <w:rPr>
          <w:b/>
        </w:rPr>
        <w:t>27,87</w:t>
      </w:r>
      <w:r w:rsidR="005F6F90" w:rsidRPr="002152E4">
        <w:rPr>
          <w:b/>
        </w:rPr>
        <w:t xml:space="preserve"> %</w:t>
      </w:r>
      <w:r w:rsidR="005F6F90" w:rsidRPr="002152E4">
        <w:t>.</w:t>
      </w:r>
    </w:p>
    <w:p w:rsidR="000802D5" w:rsidRDefault="005F6F90" w:rsidP="00935313">
      <w:pPr>
        <w:pStyle w:val="AddParagraf"/>
      </w:pPr>
      <w:r w:rsidRPr="002152E4">
        <w:t xml:space="preserve"> </w:t>
      </w:r>
      <w:r w:rsidR="000802D5" w:rsidRPr="002152E4">
        <w:t>Sub aspectul stocurilor şi al cauzelor nou intrate, situaţia grafică se prezintă după cum urmează:</w:t>
      </w:r>
    </w:p>
    <w:p w:rsidR="008B7005" w:rsidRPr="002152E4" w:rsidRDefault="008B7005" w:rsidP="00935313">
      <w:pPr>
        <w:pStyle w:val="AddParagraf"/>
      </w:pPr>
      <w:r w:rsidRPr="007037CF">
        <w:fldChar w:fldCharType="begin"/>
      </w:r>
      <w:r w:rsidRPr="007037CF">
        <w:instrText xml:space="preserve"> LINK Excel.Sheet.8 "C:\\Documents and Settings\\bogdan.comaneci.CSM1909\\Desktop\\1 an 2016\\Grafice 2016.xls!Grafic 10![Grafice 2016.xls]Grafic 10 Diagramă 1" "" \a \p \* MERGEFORMAT </w:instrText>
      </w:r>
      <w:r w:rsidRPr="007037CF">
        <w:fldChar w:fldCharType="separate"/>
      </w:r>
      <w:r w:rsidR="00C742FD">
        <w:object w:dxaOrig="10825" w:dyaOrig="6148">
          <v:shape id="_x0000_i1038" type="#_x0000_t75" style="width:476.45pt;height:271.7pt">
            <v:imagedata r:id="rId37" o:title=""/>
          </v:shape>
        </w:object>
      </w:r>
      <w:r w:rsidRPr="007037CF">
        <w:fldChar w:fldCharType="end"/>
      </w:r>
    </w:p>
    <w:p w:rsidR="000802D5" w:rsidRPr="002152E4" w:rsidRDefault="003613E4" w:rsidP="00935313">
      <w:pPr>
        <w:pStyle w:val="AddParagraf"/>
      </w:pPr>
      <w:r w:rsidRPr="002152E4">
        <w:t>Comparativ cu anul 2015</w:t>
      </w:r>
      <w:r w:rsidR="000802D5" w:rsidRPr="002152E4">
        <w:t xml:space="preserve"> nivelul stocurilor de dosare a scăzut cu </w:t>
      </w:r>
      <w:r w:rsidR="000802D5" w:rsidRPr="002152E4">
        <w:rPr>
          <w:b/>
        </w:rPr>
        <w:t>6</w:t>
      </w:r>
      <w:r w:rsidR="00B82D26" w:rsidRPr="002152E4">
        <w:rPr>
          <w:b/>
        </w:rPr>
        <w:t>5.7</w:t>
      </w:r>
      <w:r w:rsidRPr="002152E4">
        <w:rPr>
          <w:b/>
        </w:rPr>
        <w:t>15</w:t>
      </w:r>
      <w:r w:rsidR="000802D5" w:rsidRPr="002152E4">
        <w:t xml:space="preserve"> dosare ceea ce reprezintă </w:t>
      </w:r>
      <w:r w:rsidRPr="002152E4">
        <w:rPr>
          <w:b/>
        </w:rPr>
        <w:t>20,98</w:t>
      </w:r>
      <w:r w:rsidR="00B82D26" w:rsidRPr="002152E4">
        <w:rPr>
          <w:b/>
        </w:rPr>
        <w:t xml:space="preserve"> </w:t>
      </w:r>
      <w:r w:rsidR="000802D5" w:rsidRPr="002152E4">
        <w:rPr>
          <w:b/>
        </w:rPr>
        <w:t>%,</w:t>
      </w:r>
      <w:r w:rsidR="000802D5" w:rsidRPr="002152E4">
        <w:t xml:space="preserve"> în timp ce numărul dosarelor nou intrate a </w:t>
      </w:r>
      <w:r w:rsidRPr="002152E4">
        <w:t xml:space="preserve">crescut </w:t>
      </w:r>
      <w:r w:rsidR="000802D5" w:rsidRPr="002152E4">
        <w:t>cu</w:t>
      </w:r>
      <w:r w:rsidR="000802D5" w:rsidRPr="002152E4">
        <w:rPr>
          <w:b/>
        </w:rPr>
        <w:t xml:space="preserve"> </w:t>
      </w:r>
      <w:r w:rsidRPr="002152E4">
        <w:rPr>
          <w:b/>
        </w:rPr>
        <w:t>18.646</w:t>
      </w:r>
      <w:r w:rsidR="000802D5" w:rsidRPr="002152E4">
        <w:t xml:space="preserve"> dosare ceea ce reprezintă </w:t>
      </w:r>
      <w:r w:rsidRPr="002152E4">
        <w:rPr>
          <w:b/>
        </w:rPr>
        <w:t>3,99</w:t>
      </w:r>
      <w:r w:rsidR="000802D5" w:rsidRPr="002152E4">
        <w:rPr>
          <w:b/>
        </w:rPr>
        <w:t xml:space="preserve"> %</w:t>
      </w:r>
      <w:r w:rsidR="000802D5" w:rsidRPr="002152E4">
        <w:t>.</w:t>
      </w:r>
    </w:p>
    <w:p w:rsidR="006904BC" w:rsidRPr="002152E4" w:rsidRDefault="006904BC" w:rsidP="006904BC">
      <w:pPr>
        <w:pStyle w:val="AddParagraf"/>
      </w:pPr>
      <w:r w:rsidRPr="002152E4">
        <w:lastRenderedPageBreak/>
        <w:t xml:space="preserve">Comparativ cu anul 2012 nivelul stocurilor de dosare a scăzut cu </w:t>
      </w:r>
      <w:r w:rsidRPr="002152E4">
        <w:rPr>
          <w:b/>
        </w:rPr>
        <w:t>66.276</w:t>
      </w:r>
      <w:r w:rsidRPr="002152E4">
        <w:t xml:space="preserve"> dosare ceea ce reprezintă </w:t>
      </w:r>
      <w:r w:rsidRPr="002152E4">
        <w:rPr>
          <w:b/>
        </w:rPr>
        <w:t>21,12 %,</w:t>
      </w:r>
      <w:r w:rsidRPr="002152E4">
        <w:t xml:space="preserve"> în timp ce numărul dosarelor nou intrate a scăzut cu</w:t>
      </w:r>
      <w:r w:rsidRPr="002152E4">
        <w:rPr>
          <w:b/>
        </w:rPr>
        <w:t xml:space="preserve"> 217.177</w:t>
      </w:r>
      <w:r w:rsidRPr="002152E4">
        <w:t xml:space="preserve"> dosare ceea ce reprezintă </w:t>
      </w:r>
      <w:r w:rsidRPr="002152E4">
        <w:rPr>
          <w:b/>
        </w:rPr>
        <w:t>30,88 %</w:t>
      </w:r>
      <w:r w:rsidRPr="002152E4">
        <w:t>.</w:t>
      </w:r>
    </w:p>
    <w:p w:rsidR="000802D5" w:rsidRPr="002152E4" w:rsidRDefault="000802D5" w:rsidP="00935313">
      <w:pPr>
        <w:pStyle w:val="AddParagraf"/>
      </w:pPr>
      <w:r w:rsidRPr="002152E4">
        <w:t>Din punct de vedere al circumscripţiilor, însumând tribunalele şi judecătoriile arondate, cele mai mult</w:t>
      </w:r>
      <w:r w:rsidR="005D55FA" w:rsidRPr="002152E4">
        <w:t>e dosare nou create în anul 2016</w:t>
      </w:r>
      <w:r w:rsidRPr="002152E4">
        <w:t xml:space="preserve"> au fost înregistrate în următoarele raze teritoriale:</w:t>
      </w:r>
    </w:p>
    <w:p w:rsidR="001F3F25" w:rsidRPr="002152E4" w:rsidRDefault="007041EF" w:rsidP="001F3F25">
      <w:pPr>
        <w:pStyle w:val="AddParagraf"/>
        <w:ind w:firstLine="0"/>
      </w:pPr>
      <w:r w:rsidRPr="002152E4">
        <w:rPr>
          <w:noProof/>
          <w:lang w:val="en-US"/>
        </w:rPr>
        <w:drawing>
          <wp:inline distT="0" distB="0" distL="0" distR="0" wp14:anchorId="40D09E85" wp14:editId="1E5E3474">
            <wp:extent cx="6301740" cy="2834640"/>
            <wp:effectExtent l="19050" t="19050" r="22860" b="228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l="19005" t="39375" r="5017" b="14677"/>
                    <a:stretch>
                      <a:fillRect/>
                    </a:stretch>
                  </pic:blipFill>
                  <pic:spPr bwMode="auto">
                    <a:xfrm>
                      <a:off x="0" y="0"/>
                      <a:ext cx="6301740" cy="2834640"/>
                    </a:xfrm>
                    <a:prstGeom prst="rect">
                      <a:avLst/>
                    </a:prstGeom>
                    <a:noFill/>
                    <a:ln w="6350" cmpd="sng">
                      <a:solidFill>
                        <a:srgbClr val="000000"/>
                      </a:solidFill>
                      <a:miter lim="800000"/>
                      <a:headEnd/>
                      <a:tailEnd/>
                    </a:ln>
                    <a:effectLst/>
                  </pic:spPr>
                </pic:pic>
              </a:graphicData>
            </a:graphic>
          </wp:inline>
        </w:drawing>
      </w:r>
    </w:p>
    <w:p w:rsidR="00004ED9" w:rsidRPr="002152E4" w:rsidRDefault="00004ED9" w:rsidP="00935313">
      <w:pPr>
        <w:pStyle w:val="AddParagraf"/>
      </w:pPr>
    </w:p>
    <w:p w:rsidR="000802D5" w:rsidRPr="002152E4" w:rsidRDefault="000802D5" w:rsidP="003666A1">
      <w:pPr>
        <w:pStyle w:val="AddParagraf"/>
      </w:pPr>
      <w:r w:rsidRPr="002152E4">
        <w:t>În ceea ce priveşte dinamica dosarelor nou intrate pe materiile importante statistic la nivelul tribunalelor, indiferent de stadiu, situaţia se prezintă după cum urmează:</w:t>
      </w:r>
    </w:p>
    <w:p w:rsidR="001F3F25" w:rsidRPr="002152E4" w:rsidRDefault="007041EF" w:rsidP="00D96E8A">
      <w:pPr>
        <w:pStyle w:val="AddParagraf"/>
        <w:ind w:firstLine="0"/>
        <w:jc w:val="center"/>
        <w:rPr>
          <w:noProof/>
        </w:rPr>
      </w:pPr>
      <w:r w:rsidRPr="002152E4">
        <w:rPr>
          <w:noProof/>
          <w:lang w:val="en-US"/>
        </w:rPr>
        <w:drawing>
          <wp:inline distT="0" distB="0" distL="0" distR="0" wp14:anchorId="1F0EFB58" wp14:editId="1CCD1119">
            <wp:extent cx="6301740" cy="2865120"/>
            <wp:effectExtent l="19050" t="19050" r="22860" b="114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l="19005" t="34016" r="5017" b="20032"/>
                    <a:stretch>
                      <a:fillRect/>
                    </a:stretch>
                  </pic:blipFill>
                  <pic:spPr bwMode="auto">
                    <a:xfrm>
                      <a:off x="0" y="0"/>
                      <a:ext cx="6301740" cy="2865120"/>
                    </a:xfrm>
                    <a:prstGeom prst="rect">
                      <a:avLst/>
                    </a:prstGeom>
                    <a:noFill/>
                    <a:ln w="6350" cmpd="sng">
                      <a:solidFill>
                        <a:srgbClr val="000000"/>
                      </a:solidFill>
                      <a:miter lim="800000"/>
                      <a:headEnd/>
                      <a:tailEnd/>
                    </a:ln>
                    <a:effectLst/>
                  </pic:spPr>
                </pic:pic>
              </a:graphicData>
            </a:graphic>
          </wp:inline>
        </w:drawing>
      </w:r>
    </w:p>
    <w:p w:rsidR="00157B31" w:rsidRPr="002152E4" w:rsidRDefault="00157B31" w:rsidP="00935313">
      <w:pPr>
        <w:pStyle w:val="AddParagraf"/>
        <w:rPr>
          <w:noProof/>
        </w:rPr>
      </w:pPr>
    </w:p>
    <w:p w:rsidR="000802D5" w:rsidRPr="002152E4" w:rsidRDefault="000802D5" w:rsidP="00935313">
      <w:pPr>
        <w:pStyle w:val="AddParagraf"/>
        <w:rPr>
          <w:noProof/>
        </w:rPr>
      </w:pPr>
      <w:r w:rsidRPr="002152E4">
        <w:rPr>
          <w:noProof/>
        </w:rPr>
        <w:t>De asemenea, dosarele nou intrate defalcat pe stadiile procesuale, indiferent de materie sunt contabilizate astfel:</w:t>
      </w:r>
    </w:p>
    <w:p w:rsidR="00F07D80" w:rsidRPr="002152E4" w:rsidRDefault="00F07D80" w:rsidP="00F07D80">
      <w:pPr>
        <w:pStyle w:val="AddParagraf"/>
        <w:ind w:firstLine="0"/>
        <w:rPr>
          <w:noProof/>
        </w:rPr>
      </w:pPr>
    </w:p>
    <w:p w:rsidR="00F07D80" w:rsidRPr="002152E4" w:rsidRDefault="00F07D80" w:rsidP="00F07D80">
      <w:pPr>
        <w:pStyle w:val="AddParagraf"/>
        <w:ind w:firstLine="0"/>
        <w:rPr>
          <w:noProof/>
        </w:rPr>
      </w:pPr>
    </w:p>
    <w:p w:rsidR="00F07D80" w:rsidRPr="002152E4" w:rsidRDefault="00F07D80" w:rsidP="00F07D80">
      <w:pPr>
        <w:pStyle w:val="AddParagraf"/>
        <w:ind w:firstLine="0"/>
        <w:rPr>
          <w:noProof/>
        </w:rPr>
      </w:pPr>
    </w:p>
    <w:p w:rsidR="00F07D80" w:rsidRPr="002152E4" w:rsidRDefault="007041EF" w:rsidP="00F07D80">
      <w:pPr>
        <w:pStyle w:val="AddParagraf"/>
        <w:ind w:firstLine="0"/>
        <w:rPr>
          <w:noProof/>
        </w:rPr>
      </w:pPr>
      <w:r w:rsidRPr="002152E4">
        <w:rPr>
          <w:noProof/>
          <w:lang w:val="en-US"/>
        </w:rPr>
        <w:lastRenderedPageBreak/>
        <w:drawing>
          <wp:inline distT="0" distB="0" distL="0" distR="0" wp14:anchorId="0215B36B" wp14:editId="1590C05A">
            <wp:extent cx="6187440" cy="3154680"/>
            <wp:effectExtent l="19050" t="19050" r="22860" b="266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l="24213" t="32698" r="10197" b="22510"/>
                    <a:stretch>
                      <a:fillRect/>
                    </a:stretch>
                  </pic:blipFill>
                  <pic:spPr bwMode="auto">
                    <a:xfrm>
                      <a:off x="0" y="0"/>
                      <a:ext cx="6187440" cy="3154680"/>
                    </a:xfrm>
                    <a:prstGeom prst="rect">
                      <a:avLst/>
                    </a:prstGeom>
                    <a:noFill/>
                    <a:ln w="6350" cmpd="sng">
                      <a:solidFill>
                        <a:srgbClr val="000000"/>
                      </a:solidFill>
                      <a:miter lim="800000"/>
                      <a:headEnd/>
                      <a:tailEnd/>
                    </a:ln>
                    <a:effectLst/>
                  </pic:spPr>
                </pic:pic>
              </a:graphicData>
            </a:graphic>
          </wp:inline>
        </w:drawing>
      </w:r>
    </w:p>
    <w:p w:rsidR="000802D5" w:rsidRPr="002152E4" w:rsidRDefault="000802D5" w:rsidP="00935313">
      <w:pPr>
        <w:pStyle w:val="AddParagraf"/>
      </w:pPr>
      <w:r w:rsidRPr="002152E4">
        <w:t>Raportat la volumul de activitate al tribunalelor, acestea pot fi grupate astfel:</w:t>
      </w:r>
    </w:p>
    <w:p w:rsidR="000802D5" w:rsidRPr="002152E4" w:rsidRDefault="000802D5" w:rsidP="00C72B60">
      <w:pPr>
        <w:numPr>
          <w:ilvl w:val="0"/>
          <w:numId w:val="5"/>
        </w:numPr>
        <w:tabs>
          <w:tab w:val="num" w:pos="1080"/>
        </w:tabs>
        <w:ind w:left="1077" w:hanging="357"/>
        <w:jc w:val="both"/>
        <w:rPr>
          <w:b/>
          <w:lang w:val="ro-RO"/>
        </w:rPr>
      </w:pPr>
      <w:r w:rsidRPr="002152E4">
        <w:rPr>
          <w:lang w:val="ro-RO"/>
        </w:rPr>
        <w:t>instanţe cu un</w:t>
      </w:r>
      <w:r w:rsidR="00D14BA8" w:rsidRPr="002152E4">
        <w:rPr>
          <w:lang w:val="ro-RO"/>
        </w:rPr>
        <w:t xml:space="preserve"> volum situat sub 5.000 cauze – </w:t>
      </w:r>
      <w:r w:rsidR="00D14BA8" w:rsidRPr="002152E4">
        <w:rPr>
          <w:b/>
          <w:lang w:val="ro-RO"/>
        </w:rPr>
        <w:t>4</w:t>
      </w:r>
      <w:r w:rsidRPr="002152E4">
        <w:rPr>
          <w:lang w:val="ro-RO"/>
        </w:rPr>
        <w:t>;</w:t>
      </w:r>
    </w:p>
    <w:p w:rsidR="000802D5" w:rsidRPr="002152E4" w:rsidRDefault="000802D5" w:rsidP="00C72B60">
      <w:pPr>
        <w:numPr>
          <w:ilvl w:val="0"/>
          <w:numId w:val="5"/>
        </w:numPr>
        <w:tabs>
          <w:tab w:val="num" w:pos="1080"/>
        </w:tabs>
        <w:ind w:left="1077" w:hanging="357"/>
        <w:jc w:val="both"/>
        <w:rPr>
          <w:lang w:val="ro-RO"/>
        </w:rPr>
      </w:pPr>
      <w:r w:rsidRPr="002152E4">
        <w:rPr>
          <w:lang w:val="ro-RO"/>
        </w:rPr>
        <w:t>instanţe cu un volum cuprins între 5.000 -</w:t>
      </w:r>
      <w:r w:rsidR="00F6360D" w:rsidRPr="002152E4">
        <w:rPr>
          <w:lang w:val="ro-RO"/>
        </w:rPr>
        <w:t xml:space="preserve"> </w:t>
      </w:r>
      <w:r w:rsidRPr="002152E4">
        <w:rPr>
          <w:lang w:val="ro-RO"/>
        </w:rPr>
        <w:t xml:space="preserve">10.000 cauze - </w:t>
      </w:r>
      <w:r w:rsidR="00D14BA8" w:rsidRPr="002152E4">
        <w:rPr>
          <w:b/>
          <w:lang w:val="ro-RO"/>
        </w:rPr>
        <w:t>1</w:t>
      </w:r>
      <w:r w:rsidR="00CB1F00" w:rsidRPr="002152E4">
        <w:rPr>
          <w:b/>
          <w:lang w:val="ro-RO"/>
        </w:rPr>
        <w:t>1</w:t>
      </w:r>
      <w:r w:rsidRPr="002152E4">
        <w:rPr>
          <w:lang w:val="ro-RO"/>
        </w:rPr>
        <w:t>;</w:t>
      </w:r>
    </w:p>
    <w:p w:rsidR="000802D5" w:rsidRPr="002152E4" w:rsidRDefault="000802D5" w:rsidP="00C72B60">
      <w:pPr>
        <w:numPr>
          <w:ilvl w:val="0"/>
          <w:numId w:val="5"/>
        </w:numPr>
        <w:tabs>
          <w:tab w:val="num" w:pos="1080"/>
        </w:tabs>
        <w:ind w:left="1077" w:hanging="357"/>
        <w:jc w:val="both"/>
        <w:rPr>
          <w:lang w:val="ro-RO"/>
        </w:rPr>
      </w:pPr>
      <w:r w:rsidRPr="002152E4">
        <w:rPr>
          <w:lang w:val="ro-RO"/>
        </w:rPr>
        <w:t>instanţe cu un volum cuprins între 10.000 -</w:t>
      </w:r>
      <w:r w:rsidR="00F6360D" w:rsidRPr="002152E4">
        <w:rPr>
          <w:lang w:val="ro-RO"/>
        </w:rPr>
        <w:t xml:space="preserve"> </w:t>
      </w:r>
      <w:r w:rsidRPr="002152E4">
        <w:rPr>
          <w:lang w:val="ro-RO"/>
        </w:rPr>
        <w:t>15.000 cauze -</w:t>
      </w:r>
      <w:r w:rsidR="00D14BA8" w:rsidRPr="002152E4">
        <w:rPr>
          <w:lang w:val="ro-RO"/>
        </w:rPr>
        <w:t xml:space="preserve"> </w:t>
      </w:r>
      <w:r w:rsidR="00D14BA8" w:rsidRPr="002152E4">
        <w:rPr>
          <w:b/>
          <w:lang w:val="ro-RO"/>
        </w:rPr>
        <w:t>1</w:t>
      </w:r>
      <w:r w:rsidR="00CB1F00" w:rsidRPr="002152E4">
        <w:rPr>
          <w:b/>
          <w:lang w:val="ro-RO"/>
        </w:rPr>
        <w:t>6</w:t>
      </w:r>
      <w:r w:rsidRPr="002152E4">
        <w:rPr>
          <w:lang w:val="ro-RO"/>
        </w:rPr>
        <w:t>;</w:t>
      </w:r>
    </w:p>
    <w:p w:rsidR="000802D5" w:rsidRPr="002152E4" w:rsidRDefault="000802D5" w:rsidP="00C72B60">
      <w:pPr>
        <w:numPr>
          <w:ilvl w:val="0"/>
          <w:numId w:val="5"/>
        </w:numPr>
        <w:tabs>
          <w:tab w:val="num" w:pos="1080"/>
        </w:tabs>
        <w:ind w:left="1077" w:hanging="357"/>
        <w:jc w:val="both"/>
        <w:rPr>
          <w:lang w:val="ro-RO"/>
        </w:rPr>
      </w:pPr>
      <w:r w:rsidRPr="002152E4">
        <w:rPr>
          <w:lang w:val="ro-RO"/>
        </w:rPr>
        <w:t>instanţe cu un volum cuprins între 15.000 -</w:t>
      </w:r>
      <w:r w:rsidR="00F6360D" w:rsidRPr="002152E4">
        <w:rPr>
          <w:lang w:val="ro-RO"/>
        </w:rPr>
        <w:t xml:space="preserve"> </w:t>
      </w:r>
      <w:r w:rsidRPr="002152E4">
        <w:rPr>
          <w:lang w:val="ro-RO"/>
        </w:rPr>
        <w:t>20.000 cauze -</w:t>
      </w:r>
      <w:r w:rsidR="00D14BA8" w:rsidRPr="002152E4">
        <w:rPr>
          <w:lang w:val="ro-RO"/>
        </w:rPr>
        <w:t xml:space="preserve"> </w:t>
      </w:r>
      <w:r w:rsidR="00CB1F00" w:rsidRPr="002152E4">
        <w:rPr>
          <w:b/>
          <w:lang w:val="ro-RO"/>
        </w:rPr>
        <w:t>7</w:t>
      </w:r>
      <w:r w:rsidRPr="002152E4">
        <w:rPr>
          <w:lang w:val="ro-RO"/>
        </w:rPr>
        <w:t>;</w:t>
      </w:r>
    </w:p>
    <w:p w:rsidR="000802D5" w:rsidRPr="002152E4" w:rsidRDefault="000802D5" w:rsidP="00C72B60">
      <w:pPr>
        <w:numPr>
          <w:ilvl w:val="0"/>
          <w:numId w:val="5"/>
        </w:numPr>
        <w:tabs>
          <w:tab w:val="num" w:pos="1080"/>
        </w:tabs>
        <w:ind w:left="1077" w:hanging="357"/>
        <w:jc w:val="both"/>
        <w:rPr>
          <w:lang w:val="ro-RO"/>
        </w:rPr>
      </w:pPr>
      <w:r w:rsidRPr="002152E4">
        <w:rPr>
          <w:lang w:val="ro-RO"/>
        </w:rPr>
        <w:t>instanţe cu un volum cuprins între 20.000 -</w:t>
      </w:r>
      <w:r w:rsidR="00F6360D" w:rsidRPr="002152E4">
        <w:rPr>
          <w:lang w:val="ro-RO"/>
        </w:rPr>
        <w:t xml:space="preserve"> </w:t>
      </w:r>
      <w:r w:rsidRPr="002152E4">
        <w:rPr>
          <w:lang w:val="ro-RO"/>
        </w:rPr>
        <w:t xml:space="preserve">30.000 cauze - </w:t>
      </w:r>
      <w:r w:rsidR="00CB1F00" w:rsidRPr="002152E4">
        <w:rPr>
          <w:b/>
          <w:lang w:val="ro-RO"/>
        </w:rPr>
        <w:t>6</w:t>
      </w:r>
      <w:r w:rsidRPr="002152E4">
        <w:rPr>
          <w:lang w:val="ro-RO"/>
        </w:rPr>
        <w:t xml:space="preserve">;   </w:t>
      </w:r>
    </w:p>
    <w:p w:rsidR="000802D5" w:rsidRPr="002152E4" w:rsidRDefault="009F2D34" w:rsidP="00C72B60">
      <w:pPr>
        <w:numPr>
          <w:ilvl w:val="0"/>
          <w:numId w:val="5"/>
        </w:numPr>
        <w:tabs>
          <w:tab w:val="num" w:pos="1080"/>
        </w:tabs>
        <w:ind w:left="1077" w:hanging="357"/>
        <w:jc w:val="both"/>
        <w:rPr>
          <w:b/>
          <w:lang w:val="ro-RO"/>
        </w:rPr>
      </w:pPr>
      <w:r w:rsidRPr="002152E4">
        <w:rPr>
          <w:lang w:val="ro-RO"/>
        </w:rPr>
        <w:t>instanţ</w:t>
      </w:r>
      <w:r w:rsidR="000802D5" w:rsidRPr="002152E4">
        <w:rPr>
          <w:lang w:val="ro-RO"/>
        </w:rPr>
        <w:t>e cu un volum de peste 30.000 cauze -</w:t>
      </w:r>
      <w:r w:rsidR="00D14BA8" w:rsidRPr="002152E4">
        <w:rPr>
          <w:lang w:val="ro-RO"/>
        </w:rPr>
        <w:t xml:space="preserve"> </w:t>
      </w:r>
      <w:r w:rsidR="00CB1F00" w:rsidRPr="002152E4">
        <w:rPr>
          <w:b/>
          <w:lang w:val="ro-RO"/>
        </w:rPr>
        <w:t>2</w:t>
      </w:r>
      <w:r w:rsidR="000802D5" w:rsidRPr="002152E4">
        <w:rPr>
          <w:lang w:val="ro-RO"/>
        </w:rPr>
        <w:t>.</w:t>
      </w:r>
    </w:p>
    <w:p w:rsidR="000802D5" w:rsidRPr="002152E4" w:rsidRDefault="000802D5" w:rsidP="00991D30">
      <w:pPr>
        <w:pStyle w:val="AddParagraf"/>
        <w:ind w:firstLine="0"/>
        <w:jc w:val="center"/>
      </w:pPr>
      <w:r w:rsidRPr="002152E4">
        <w:t>Volumul de activitate al tribunalelor – situaţie comparativă</w:t>
      </w:r>
    </w:p>
    <w:p w:rsidR="000802D5" w:rsidRPr="002152E4" w:rsidRDefault="007041EF" w:rsidP="000802D5">
      <w:pPr>
        <w:spacing w:line="360" w:lineRule="auto"/>
        <w:jc w:val="center"/>
        <w:rPr>
          <w:b/>
          <w:i/>
          <w:lang w:val="ro-RO"/>
        </w:rPr>
      </w:pPr>
      <w:r w:rsidRPr="002152E4">
        <w:rPr>
          <w:b/>
          <w:i/>
          <w:noProof/>
        </w:rPr>
        <w:drawing>
          <wp:inline distT="0" distB="0" distL="0" distR="0" wp14:anchorId="6D30042D" wp14:editId="661D2E21">
            <wp:extent cx="6004560" cy="3192780"/>
            <wp:effectExtent l="0" t="0" r="0" b="0"/>
            <wp:docPr id="26" name="Object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C3939" w:rsidRPr="002152E4" w:rsidRDefault="000802D5" w:rsidP="00935313">
      <w:pPr>
        <w:pStyle w:val="AddParagraf"/>
      </w:pPr>
      <w:r w:rsidRPr="002152E4">
        <w:t>După cum se observă în ultimul an exista o scădere a numărului tribunalelor cu u</w:t>
      </w:r>
      <w:r w:rsidR="00723CC1" w:rsidRPr="002152E4">
        <w:t xml:space="preserve">n volum de activitate </w:t>
      </w:r>
      <w:r w:rsidR="0026622F" w:rsidRPr="002152E4">
        <w:t>între</w:t>
      </w:r>
      <w:r w:rsidR="000C3939" w:rsidRPr="002152E4">
        <w:t xml:space="preserve"> 5</w:t>
      </w:r>
      <w:r w:rsidR="00723CC1" w:rsidRPr="002152E4">
        <w:t xml:space="preserve">.000 </w:t>
      </w:r>
      <w:r w:rsidR="000C3939" w:rsidRPr="002152E4">
        <w:t>și 1</w:t>
      </w:r>
      <w:r w:rsidR="0026622F" w:rsidRPr="002152E4">
        <w:t xml:space="preserve">0.000 </w:t>
      </w:r>
      <w:r w:rsidR="000C3939" w:rsidRPr="002152E4">
        <w:t>de dosare de la 12 instanţe în 2015</w:t>
      </w:r>
      <w:r w:rsidRPr="002152E4">
        <w:t xml:space="preserve"> </w:t>
      </w:r>
      <w:r w:rsidR="00723CC1" w:rsidRPr="002152E4">
        <w:t xml:space="preserve">la </w:t>
      </w:r>
      <w:r w:rsidR="000C3939" w:rsidRPr="002152E4">
        <w:rPr>
          <w:b/>
        </w:rPr>
        <w:t>11</w:t>
      </w:r>
      <w:r w:rsidR="00723CC1" w:rsidRPr="002152E4">
        <w:rPr>
          <w:b/>
        </w:rPr>
        <w:t xml:space="preserve"> </w:t>
      </w:r>
      <w:r w:rsidR="00723CC1" w:rsidRPr="002152E4">
        <w:t>instanţe</w:t>
      </w:r>
      <w:r w:rsidRPr="002152E4">
        <w:t xml:space="preserve"> în </w:t>
      </w:r>
      <w:r w:rsidR="000C3939" w:rsidRPr="002152E4">
        <w:t xml:space="preserve">2016, </w:t>
      </w:r>
      <w:r w:rsidR="00723CC1" w:rsidRPr="002152E4">
        <w:t xml:space="preserve">o scădere a numărului </w:t>
      </w:r>
      <w:r w:rsidR="00771E8D" w:rsidRPr="002152E4">
        <w:t xml:space="preserve">de tribunale cu un volum </w:t>
      </w:r>
      <w:r w:rsidR="000C3939" w:rsidRPr="002152E4">
        <w:t xml:space="preserve">de activitate între 15.000 şi 20.000 dosare de la 12 </w:t>
      </w:r>
      <w:r w:rsidR="00C05CE6" w:rsidRPr="002152E4">
        <w:t>instanţe la 7 şi</w:t>
      </w:r>
      <w:r w:rsidR="000C3939" w:rsidRPr="002152E4">
        <w:t xml:space="preserve"> o scădere a numărului de tribunale cu un volum de activitate mai mare de 30.000 dosare de la 4 la 2 instanţe.</w:t>
      </w:r>
    </w:p>
    <w:p w:rsidR="000C3939" w:rsidRPr="002152E4" w:rsidRDefault="00337062" w:rsidP="00935313">
      <w:pPr>
        <w:pStyle w:val="AddParagraf"/>
      </w:pPr>
      <w:r w:rsidRPr="002152E4">
        <w:lastRenderedPageBreak/>
        <w:t xml:space="preserve">De asemenea se constată </w:t>
      </w:r>
      <w:r w:rsidR="002152E4" w:rsidRPr="002152E4">
        <w:t>creşterea</w:t>
      </w:r>
      <w:r w:rsidRPr="002152E4">
        <w:t xml:space="preserve"> numărului de tribunale cu un volum de activitate între 10.000 şi 15.000 dosare de la 10 instanţe la 16 instanţe şi o </w:t>
      </w:r>
      <w:r w:rsidR="002152E4" w:rsidRPr="002152E4">
        <w:t>creştere</w:t>
      </w:r>
      <w:r w:rsidR="00631BB4">
        <w:t xml:space="preserve"> </w:t>
      </w:r>
      <w:r w:rsidR="002152E4" w:rsidRPr="002152E4">
        <w:t>a</w:t>
      </w:r>
      <w:r w:rsidRPr="002152E4">
        <w:t xml:space="preserve"> numărului de tribunale cu un volum de activitate între 20.000 şi 30.000 dosare de la 4 instanţe la 6 instanţe</w:t>
      </w:r>
      <w:r w:rsidR="00C05CE6" w:rsidRPr="002152E4">
        <w:t>.</w:t>
      </w:r>
    </w:p>
    <w:p w:rsidR="000802D5" w:rsidRDefault="00B76AC0" w:rsidP="00935313">
      <w:pPr>
        <w:pStyle w:val="AddParagraf"/>
        <w:rPr>
          <w:bCs/>
        </w:rPr>
      </w:pPr>
      <w:r w:rsidRPr="002152E4">
        <w:t>Se evidenţiază 4</w:t>
      </w:r>
      <w:r w:rsidR="000802D5" w:rsidRPr="002152E4">
        <w:t xml:space="preserve"> tribunale cu un volum excesiv de mare de activitate comparativ cu toate celelalte, </w:t>
      </w:r>
      <w:r w:rsidRPr="002152E4">
        <w:t>și anume</w:t>
      </w:r>
      <w:r w:rsidR="000802D5" w:rsidRPr="002152E4">
        <w:t xml:space="preserve"> Tribunalul Bucureşti cu un număr de </w:t>
      </w:r>
      <w:r w:rsidR="00940419" w:rsidRPr="002152E4">
        <w:rPr>
          <w:b/>
        </w:rPr>
        <w:t>144</w:t>
      </w:r>
      <w:r w:rsidR="006E1881" w:rsidRPr="002152E4">
        <w:rPr>
          <w:b/>
        </w:rPr>
        <w:t>.</w:t>
      </w:r>
      <w:r w:rsidR="00940419" w:rsidRPr="002152E4">
        <w:rPr>
          <w:b/>
        </w:rPr>
        <w:t>462</w:t>
      </w:r>
      <w:r w:rsidR="00940419" w:rsidRPr="002152E4">
        <w:t xml:space="preserve"> </w:t>
      </w:r>
      <w:r w:rsidR="00106453" w:rsidRPr="002152E4">
        <w:t xml:space="preserve"> </w:t>
      </w:r>
      <w:r w:rsidR="000802D5" w:rsidRPr="002152E4">
        <w:rPr>
          <w:bCs/>
        </w:rPr>
        <w:t xml:space="preserve">cauze de soluţionat </w:t>
      </w:r>
      <w:r w:rsidR="000802D5" w:rsidRPr="002152E4">
        <w:t>(</w:t>
      </w:r>
      <w:r w:rsidR="00940419" w:rsidRPr="002152E4">
        <w:t>156.273</w:t>
      </w:r>
      <w:r w:rsidR="000802D5" w:rsidRPr="002152E4">
        <w:t xml:space="preserve"> cauze în 201</w:t>
      </w:r>
      <w:r w:rsidR="00940419" w:rsidRPr="002152E4">
        <w:t>5</w:t>
      </w:r>
      <w:r w:rsidR="000802D5" w:rsidRPr="002152E4">
        <w:t>),</w:t>
      </w:r>
      <w:r w:rsidR="00106453" w:rsidRPr="002152E4">
        <w:t xml:space="preserve"> </w:t>
      </w:r>
      <w:r w:rsidR="00B310E6" w:rsidRPr="002152E4">
        <w:t xml:space="preserve">Tribunalul Dolj cu </w:t>
      </w:r>
      <w:r w:rsidR="006E1881" w:rsidRPr="002152E4">
        <w:rPr>
          <w:b/>
        </w:rPr>
        <w:t>30.098</w:t>
      </w:r>
      <w:r w:rsidR="00B310E6" w:rsidRPr="002152E4">
        <w:t xml:space="preserve"> cauze</w:t>
      </w:r>
      <w:r w:rsidR="00B310E6" w:rsidRPr="002152E4">
        <w:rPr>
          <w:b/>
          <w:bCs/>
        </w:rPr>
        <w:t xml:space="preserve"> (</w:t>
      </w:r>
      <w:r w:rsidR="00B310E6" w:rsidRPr="002152E4">
        <w:t>30.737 cauze în 2015)</w:t>
      </w:r>
      <w:r w:rsidR="006E1881" w:rsidRPr="002152E4">
        <w:t xml:space="preserve">, </w:t>
      </w:r>
      <w:r w:rsidR="00106453" w:rsidRPr="002152E4">
        <w:t xml:space="preserve">Tribunalul </w:t>
      </w:r>
      <w:r w:rsidR="000321D2" w:rsidRPr="002152E4">
        <w:t xml:space="preserve">Constanţa cu </w:t>
      </w:r>
      <w:r w:rsidR="000321D2" w:rsidRPr="002152E4">
        <w:rPr>
          <w:b/>
        </w:rPr>
        <w:t>28</w:t>
      </w:r>
      <w:r w:rsidR="00C97209" w:rsidRPr="002152E4">
        <w:rPr>
          <w:b/>
        </w:rPr>
        <w:t>.</w:t>
      </w:r>
      <w:r w:rsidR="000321D2" w:rsidRPr="002152E4">
        <w:rPr>
          <w:b/>
        </w:rPr>
        <w:t>157</w:t>
      </w:r>
      <w:r w:rsidR="000321D2" w:rsidRPr="002152E4">
        <w:t xml:space="preserve"> cauze (</w:t>
      </w:r>
      <w:r w:rsidR="00B51719" w:rsidRPr="002152E4">
        <w:t xml:space="preserve">25.217 </w:t>
      </w:r>
      <w:r w:rsidR="000321D2" w:rsidRPr="002152E4">
        <w:t xml:space="preserve">cauze în 2015), </w:t>
      </w:r>
      <w:r w:rsidRPr="002152E4">
        <w:t xml:space="preserve">Tribunalul Iași cu </w:t>
      </w:r>
      <w:r w:rsidR="000321D2" w:rsidRPr="002152E4">
        <w:rPr>
          <w:b/>
        </w:rPr>
        <w:t>27.573</w:t>
      </w:r>
      <w:r w:rsidRPr="002152E4">
        <w:t xml:space="preserve"> (</w:t>
      </w:r>
      <w:r w:rsidR="000321D2" w:rsidRPr="002152E4">
        <w:t>30.566 în 2015</w:t>
      </w:r>
      <w:r w:rsidRPr="002152E4">
        <w:t>)</w:t>
      </w:r>
      <w:r w:rsidR="000802D5" w:rsidRPr="002152E4">
        <w:t xml:space="preserve">. </w:t>
      </w:r>
      <w:r w:rsidR="000802D5" w:rsidRPr="002152E4">
        <w:rPr>
          <w:bCs/>
        </w:rPr>
        <w:t>Situaţia grafică est</w:t>
      </w:r>
      <w:r w:rsidR="008B7005">
        <w:rPr>
          <w:bCs/>
        </w:rPr>
        <w:t>e prezentată în cele ce urmează:</w:t>
      </w:r>
    </w:p>
    <w:p w:rsidR="008B7005" w:rsidRPr="002152E4" w:rsidRDefault="008B7005" w:rsidP="00935313">
      <w:pPr>
        <w:pStyle w:val="AddParagraf"/>
        <w:rPr>
          <w:bCs/>
        </w:rPr>
      </w:pPr>
      <w:r w:rsidRPr="007037CF">
        <w:rPr>
          <w:bCs/>
        </w:rPr>
        <w:fldChar w:fldCharType="begin"/>
      </w:r>
      <w:r w:rsidRPr="007037CF">
        <w:rPr>
          <w:bCs/>
        </w:rPr>
        <w:instrText xml:space="preserve"> LINK Excel.Sheet.8 "C:\\Documents and Settings\\bogdan.comaneci.CSM1909\\Desktop\\1 an 2016\\Grafice 2016.xls!instante volum mare![Grafice 2016.xls]instante volum mare Diagramă 1" "" \a \p \* MERGEFORMAT </w:instrText>
      </w:r>
      <w:r w:rsidRPr="007037CF">
        <w:rPr>
          <w:bCs/>
        </w:rPr>
        <w:fldChar w:fldCharType="separate"/>
      </w:r>
      <w:r w:rsidR="00C742FD">
        <w:rPr>
          <w:bCs/>
        </w:rPr>
        <w:object w:dxaOrig="12773" w:dyaOrig="6786">
          <v:shape id="_x0000_i1039" type="#_x0000_t75" style="width:484.6pt;height:258.55pt">
            <v:imagedata r:id="rId42" o:title=""/>
          </v:shape>
        </w:object>
      </w:r>
      <w:r w:rsidRPr="007037CF">
        <w:rPr>
          <w:bCs/>
        </w:rPr>
        <w:fldChar w:fldCharType="end"/>
      </w:r>
    </w:p>
    <w:p w:rsidR="002D23FB" w:rsidRPr="002152E4" w:rsidRDefault="00B76AC0" w:rsidP="004A0517">
      <w:pPr>
        <w:ind w:firstLine="708"/>
        <w:jc w:val="both"/>
        <w:rPr>
          <w:lang w:val="ro-RO"/>
        </w:rPr>
      </w:pPr>
      <w:r w:rsidRPr="002152E4">
        <w:rPr>
          <w:lang w:val="ro-RO"/>
        </w:rPr>
        <w:t>I</w:t>
      </w:r>
      <w:r w:rsidR="000802D5" w:rsidRPr="002152E4">
        <w:rPr>
          <w:lang w:val="ro-RO"/>
        </w:rPr>
        <w:t>nstanţele cu volum redus de activitate</w:t>
      </w:r>
      <w:r w:rsidRPr="002152E4">
        <w:rPr>
          <w:lang w:val="ro-RO"/>
        </w:rPr>
        <w:t xml:space="preserve"> (sub 5.000 de dosare)</w:t>
      </w:r>
      <w:r w:rsidR="000802D5" w:rsidRPr="002152E4">
        <w:rPr>
          <w:lang w:val="ro-RO"/>
        </w:rPr>
        <w:t xml:space="preserve"> </w:t>
      </w:r>
      <w:r w:rsidRPr="002152E4">
        <w:rPr>
          <w:lang w:val="ro-RO"/>
        </w:rPr>
        <w:t xml:space="preserve">sunt: </w:t>
      </w:r>
      <w:r w:rsidR="002D23FB" w:rsidRPr="002152E4">
        <w:rPr>
          <w:lang w:val="ro-RO" w:eastAsia="ro-RO"/>
        </w:rPr>
        <w:t xml:space="preserve">Tribunalul pentru minori si familie BRASOV cu </w:t>
      </w:r>
      <w:r w:rsidR="00C7193F" w:rsidRPr="002152E4">
        <w:rPr>
          <w:b/>
          <w:lang w:val="ro-RO" w:eastAsia="ro-RO"/>
        </w:rPr>
        <w:t>1.447</w:t>
      </w:r>
      <w:r w:rsidR="00C7193F" w:rsidRPr="002152E4">
        <w:rPr>
          <w:lang w:val="ro-RO" w:eastAsia="ro-RO"/>
        </w:rPr>
        <w:t xml:space="preserve"> </w:t>
      </w:r>
      <w:r w:rsidR="002D23FB" w:rsidRPr="002152E4">
        <w:rPr>
          <w:lang w:val="ro-RO" w:eastAsia="ro-RO"/>
        </w:rPr>
        <w:t>dosare (</w:t>
      </w:r>
      <w:r w:rsidR="00C7193F" w:rsidRPr="002152E4">
        <w:rPr>
          <w:lang w:val="ro-RO" w:eastAsia="ro-RO"/>
        </w:rPr>
        <w:t>1302</w:t>
      </w:r>
      <w:r w:rsidR="00C7193F" w:rsidRPr="002152E4">
        <w:rPr>
          <w:b/>
          <w:lang w:val="ro-RO" w:eastAsia="ro-RO"/>
        </w:rPr>
        <w:t xml:space="preserve"> </w:t>
      </w:r>
      <w:r w:rsidR="002D23FB" w:rsidRPr="002152E4">
        <w:rPr>
          <w:lang w:val="ro-RO" w:eastAsia="ro-RO"/>
        </w:rPr>
        <w:t>dosare în 2</w:t>
      </w:r>
      <w:r w:rsidR="00160355" w:rsidRPr="002152E4">
        <w:rPr>
          <w:lang w:val="ro-RO" w:eastAsia="ro-RO"/>
        </w:rPr>
        <w:t>015</w:t>
      </w:r>
      <w:r w:rsidR="002D23FB" w:rsidRPr="002152E4">
        <w:rPr>
          <w:lang w:val="ro-RO" w:eastAsia="ro-RO"/>
        </w:rPr>
        <w:t xml:space="preserve">), Tribunalul Comercial ARGES cu </w:t>
      </w:r>
      <w:r w:rsidR="00C7193F" w:rsidRPr="002152E4">
        <w:rPr>
          <w:b/>
          <w:lang w:val="ro-RO" w:eastAsia="ro-RO"/>
        </w:rPr>
        <w:t>3.072</w:t>
      </w:r>
      <w:r w:rsidR="00C7193F" w:rsidRPr="002152E4">
        <w:rPr>
          <w:lang w:val="ro-RO" w:eastAsia="ro-RO"/>
        </w:rPr>
        <w:t xml:space="preserve"> </w:t>
      </w:r>
      <w:r w:rsidR="008B4EAE" w:rsidRPr="002152E4">
        <w:rPr>
          <w:lang w:val="ro-RO" w:eastAsia="ro-RO"/>
        </w:rPr>
        <w:t xml:space="preserve"> dosare (</w:t>
      </w:r>
      <w:r w:rsidR="00C7193F" w:rsidRPr="002152E4">
        <w:rPr>
          <w:lang w:val="ro-RO" w:eastAsia="ro-RO"/>
        </w:rPr>
        <w:t>3.336</w:t>
      </w:r>
      <w:r w:rsidR="00160355" w:rsidRPr="002152E4">
        <w:rPr>
          <w:lang w:val="ro-RO" w:eastAsia="ro-RO"/>
        </w:rPr>
        <w:t xml:space="preserve"> dosare în 2015</w:t>
      </w:r>
      <w:r w:rsidR="008B4EAE" w:rsidRPr="002152E4">
        <w:rPr>
          <w:lang w:val="ro-RO" w:eastAsia="ro-RO"/>
        </w:rPr>
        <w:t>)</w:t>
      </w:r>
      <w:r w:rsidRPr="002152E4">
        <w:rPr>
          <w:lang w:val="ro-RO" w:eastAsia="ro-RO"/>
        </w:rPr>
        <w:t>,</w:t>
      </w:r>
      <w:r w:rsidR="002D23FB" w:rsidRPr="002152E4">
        <w:rPr>
          <w:lang w:val="ro-RO" w:eastAsia="ro-RO"/>
        </w:rPr>
        <w:t xml:space="preserve"> Tribunalul COVASNA cu </w:t>
      </w:r>
      <w:r w:rsidR="00160355" w:rsidRPr="002152E4">
        <w:rPr>
          <w:b/>
          <w:lang w:val="ro-RO" w:eastAsia="ro-RO"/>
        </w:rPr>
        <w:t>4.429</w:t>
      </w:r>
      <w:r w:rsidR="00160355" w:rsidRPr="002152E4">
        <w:rPr>
          <w:lang w:val="ro-RO" w:eastAsia="ro-RO"/>
        </w:rPr>
        <w:t xml:space="preserve"> </w:t>
      </w:r>
      <w:r w:rsidR="002D23FB" w:rsidRPr="002152E4">
        <w:rPr>
          <w:lang w:val="ro-RO" w:eastAsia="ro-RO"/>
        </w:rPr>
        <w:t>dosare (</w:t>
      </w:r>
      <w:r w:rsidR="00160355" w:rsidRPr="002152E4">
        <w:rPr>
          <w:lang w:val="ro-RO" w:eastAsia="ro-RO"/>
        </w:rPr>
        <w:t>4.427</w:t>
      </w:r>
      <w:r w:rsidR="00160355" w:rsidRPr="002152E4">
        <w:rPr>
          <w:b/>
          <w:lang w:val="ro-RO" w:eastAsia="ro-RO"/>
        </w:rPr>
        <w:t xml:space="preserve"> </w:t>
      </w:r>
      <w:r w:rsidR="00160355" w:rsidRPr="002152E4">
        <w:rPr>
          <w:lang w:val="ro-RO" w:eastAsia="ro-RO"/>
        </w:rPr>
        <w:t>dosare în 2015</w:t>
      </w:r>
      <w:r w:rsidR="002D23FB" w:rsidRPr="002152E4">
        <w:rPr>
          <w:lang w:val="ro-RO" w:eastAsia="ro-RO"/>
        </w:rPr>
        <w:t>)</w:t>
      </w:r>
      <w:r w:rsidRPr="002152E4">
        <w:rPr>
          <w:lang w:val="ro-RO" w:eastAsia="ro-RO"/>
        </w:rPr>
        <w:t xml:space="preserve"> și Tribunalul Comercial Mureș cu </w:t>
      </w:r>
      <w:r w:rsidR="008A247A" w:rsidRPr="002152E4">
        <w:rPr>
          <w:b/>
          <w:lang w:val="ro-RO" w:eastAsia="ro-RO"/>
        </w:rPr>
        <w:t>4.547</w:t>
      </w:r>
      <w:r w:rsidRPr="002152E4">
        <w:rPr>
          <w:lang w:val="ro-RO" w:eastAsia="ro-RO"/>
        </w:rPr>
        <w:t xml:space="preserve"> dosare (</w:t>
      </w:r>
      <w:r w:rsidR="008A247A" w:rsidRPr="002152E4">
        <w:rPr>
          <w:lang w:val="ro-RO" w:eastAsia="ro-RO"/>
        </w:rPr>
        <w:t>4.934</w:t>
      </w:r>
      <w:r w:rsidR="00CE7CA6" w:rsidRPr="002152E4">
        <w:rPr>
          <w:lang w:val="ro-RO" w:eastAsia="ro-RO"/>
        </w:rPr>
        <w:t xml:space="preserve"> </w:t>
      </w:r>
      <w:r w:rsidR="008A247A" w:rsidRPr="002152E4">
        <w:rPr>
          <w:lang w:val="ro-RO" w:eastAsia="ro-RO"/>
        </w:rPr>
        <w:t>în 2015</w:t>
      </w:r>
      <w:r w:rsidRPr="002152E4">
        <w:rPr>
          <w:lang w:val="ro-RO" w:eastAsia="ro-RO"/>
        </w:rPr>
        <w:t>)</w:t>
      </w:r>
      <w:r w:rsidR="002D23FB" w:rsidRPr="002152E4">
        <w:rPr>
          <w:lang w:val="ro-RO" w:eastAsia="ro-RO"/>
        </w:rPr>
        <w:t>.</w:t>
      </w:r>
    </w:p>
    <w:p w:rsidR="000802D5" w:rsidRDefault="000802D5" w:rsidP="00935313">
      <w:pPr>
        <w:pStyle w:val="AddParagraf"/>
      </w:pPr>
      <w:r w:rsidRPr="002152E4">
        <w:t>Situaţia grafică este prezentată în cele ce urmează:</w:t>
      </w:r>
    </w:p>
    <w:p w:rsidR="008B7005" w:rsidRPr="002152E4" w:rsidRDefault="008B7005" w:rsidP="00935313">
      <w:pPr>
        <w:pStyle w:val="AddParagraf"/>
      </w:pPr>
      <w:r w:rsidRPr="007037CF">
        <w:fldChar w:fldCharType="begin"/>
      </w:r>
      <w:r w:rsidRPr="007037CF">
        <w:instrText xml:space="preserve"> LINK Excel.Sheet.8 "C:\\Documents and Settings\\bogdan.comaneci.CSM1909\\Desktop\\1 an 2016\\Grafice 2016.xls!instante volum redus![Grafice 2016.xls]instante volum redus Diagramă 1" "" \a \p \* MERGEFORMAT </w:instrText>
      </w:r>
      <w:r w:rsidRPr="007037CF">
        <w:fldChar w:fldCharType="separate"/>
      </w:r>
      <w:r w:rsidR="00C742FD">
        <w:object w:dxaOrig="13978" w:dyaOrig="6290">
          <v:shape id="_x0000_i1040" type="#_x0000_t75" style="width:487.7pt;height:219.75pt">
            <v:imagedata r:id="rId43" o:title=""/>
          </v:shape>
        </w:object>
      </w:r>
      <w:r w:rsidRPr="007037CF">
        <w:fldChar w:fldCharType="end"/>
      </w:r>
    </w:p>
    <w:p w:rsidR="000802D5" w:rsidRPr="002152E4" w:rsidRDefault="000802D5" w:rsidP="00935313">
      <w:pPr>
        <w:pStyle w:val="AddParagraf"/>
      </w:pPr>
      <w:r w:rsidRPr="002152E4">
        <w:lastRenderedPageBreak/>
        <w:t>Din cele</w:t>
      </w:r>
      <w:r w:rsidRPr="002152E4">
        <w:rPr>
          <w:b/>
        </w:rPr>
        <w:t xml:space="preserve"> </w:t>
      </w:r>
      <w:r w:rsidR="00060C4F" w:rsidRPr="002152E4">
        <w:rPr>
          <w:b/>
        </w:rPr>
        <w:t>7</w:t>
      </w:r>
      <w:r w:rsidR="00302986" w:rsidRPr="002152E4">
        <w:rPr>
          <w:b/>
        </w:rPr>
        <w:t>33.709</w:t>
      </w:r>
      <w:r w:rsidR="00060C4F" w:rsidRPr="002152E4">
        <w:rPr>
          <w:b/>
        </w:rPr>
        <w:t xml:space="preserve"> </w:t>
      </w:r>
      <w:r w:rsidR="00302986" w:rsidRPr="002152E4">
        <w:t xml:space="preserve">cauze rulate în anul </w:t>
      </w:r>
      <w:smartTag w:uri="urn:schemas-microsoft-com:office:smarttags" w:element="metricconverter">
        <w:smartTagPr>
          <w:attr w:name="ProductID" w:val="2016, a"/>
        </w:smartTagPr>
        <w:r w:rsidR="00302986" w:rsidRPr="002152E4">
          <w:t>2016</w:t>
        </w:r>
        <w:r w:rsidRPr="002152E4">
          <w:t>, a</w:t>
        </w:r>
      </w:smartTag>
      <w:r w:rsidRPr="002152E4">
        <w:t xml:space="preserve"> fost soluţionat un număr de </w:t>
      </w:r>
      <w:r w:rsidR="00302986" w:rsidRPr="002152E4">
        <w:rPr>
          <w:b/>
        </w:rPr>
        <w:t>480.548</w:t>
      </w:r>
      <w:r w:rsidRPr="002152E4">
        <w:rPr>
          <w:b/>
        </w:rPr>
        <w:t xml:space="preserve"> </w:t>
      </w:r>
      <w:r w:rsidRPr="002152E4">
        <w:t>dosare</w:t>
      </w:r>
      <w:r w:rsidR="00A628A3" w:rsidRPr="002152E4">
        <w:t xml:space="preserve"> </w:t>
      </w:r>
      <w:r w:rsidR="003F4768" w:rsidRPr="002152E4">
        <w:t xml:space="preserve">ceea ce reprezintă un procent de </w:t>
      </w:r>
      <w:r w:rsidR="0071282C" w:rsidRPr="002152E4">
        <w:rPr>
          <w:b/>
        </w:rPr>
        <w:t>65,5</w:t>
      </w:r>
      <w:r w:rsidR="003F4768" w:rsidRPr="002152E4">
        <w:rPr>
          <w:b/>
        </w:rPr>
        <w:t xml:space="preserve"> %</w:t>
      </w:r>
      <w:r w:rsidRPr="002152E4">
        <w:rPr>
          <w:b/>
        </w:rPr>
        <w:t>,</w:t>
      </w:r>
      <w:r w:rsidRPr="002152E4">
        <w:t xml:space="preserve"> rămânând un stoc de </w:t>
      </w:r>
      <w:r w:rsidR="00EE5273" w:rsidRPr="002152E4">
        <w:rPr>
          <w:b/>
        </w:rPr>
        <w:t>253</w:t>
      </w:r>
      <w:r w:rsidR="0071282C" w:rsidRPr="002152E4">
        <w:rPr>
          <w:b/>
        </w:rPr>
        <w:t>.</w:t>
      </w:r>
      <w:r w:rsidR="00EE5273" w:rsidRPr="002152E4">
        <w:rPr>
          <w:b/>
        </w:rPr>
        <w:t>161</w:t>
      </w:r>
      <w:r w:rsidR="003F4768" w:rsidRPr="002152E4">
        <w:t xml:space="preserve"> </w:t>
      </w:r>
      <w:r w:rsidRPr="002152E4">
        <w:t>dosa</w:t>
      </w:r>
      <w:r w:rsidR="00C31931" w:rsidRPr="002152E4">
        <w:t>re ce se vor</w:t>
      </w:r>
      <w:r w:rsidR="0071282C" w:rsidRPr="002152E4">
        <w:t xml:space="preserve"> reporta în anul 2017</w:t>
      </w:r>
      <w:r w:rsidRPr="002152E4">
        <w:t xml:space="preserve">. </w:t>
      </w:r>
    </w:p>
    <w:p w:rsidR="000802D5" w:rsidRDefault="000802D5" w:rsidP="00935313">
      <w:pPr>
        <w:pStyle w:val="AddParagraf"/>
      </w:pPr>
      <w:r w:rsidRPr="002152E4">
        <w:t>Comparativ, situaţia dosarelor soluţionate se prezintă după cum urmează:</w:t>
      </w:r>
    </w:p>
    <w:p w:rsidR="008B7005" w:rsidRPr="002152E4" w:rsidRDefault="008B7005" w:rsidP="00935313">
      <w:pPr>
        <w:pStyle w:val="AddParagraf"/>
      </w:pPr>
      <w:r w:rsidRPr="007037CF">
        <w:fldChar w:fldCharType="begin"/>
      </w:r>
      <w:r w:rsidRPr="007037CF">
        <w:instrText xml:space="preserve"> LINK Excel.Sheet.8 "C:\\Documents and Settings\\bogdan.comaneci.CSM1909\\Desktop\\1 an 2016\\Grafice 2016.xls!Tr solut si tr specializate![Grafice 2016.xls]Tr solut si tr specializate Diagramă 1" "" \a \p \* MERGEFORMAT </w:instrText>
      </w:r>
      <w:r w:rsidRPr="007037CF">
        <w:fldChar w:fldCharType="separate"/>
      </w:r>
      <w:r w:rsidR="00C742FD">
        <w:object w:dxaOrig="11835" w:dyaOrig="6750">
          <v:shape id="_x0000_i1041" type="#_x0000_t75" style="width:487.7pt;height:278pt">
            <v:imagedata r:id="rId44" o:title=""/>
          </v:shape>
        </w:object>
      </w:r>
      <w:r w:rsidRPr="007037CF">
        <w:fldChar w:fldCharType="end"/>
      </w:r>
    </w:p>
    <w:p w:rsidR="000802D5" w:rsidRPr="002152E4" w:rsidRDefault="000802D5" w:rsidP="00482D24">
      <w:pPr>
        <w:pStyle w:val="AddParagraf"/>
        <w:ind w:firstLine="708"/>
      </w:pPr>
      <w:r w:rsidRPr="002152E4">
        <w:t xml:space="preserve">În ceea ce priveşte evoluţia pe materii, se observă faptul că în materie </w:t>
      </w:r>
      <w:r w:rsidRPr="002152E4">
        <w:rPr>
          <w:bCs/>
        </w:rPr>
        <w:t>penală</w:t>
      </w:r>
      <w:r w:rsidRPr="002152E4">
        <w:t>, numărul c</w:t>
      </w:r>
      <w:r w:rsidR="00D04EC2" w:rsidRPr="002152E4">
        <w:t xml:space="preserve">auzelor nou intrate în anul </w:t>
      </w:r>
      <w:smartTag w:uri="urn:schemas-microsoft-com:office:smarttags" w:element="metricconverter">
        <w:smartTagPr>
          <w:attr w:name="ProductID" w:val="2016 a"/>
        </w:smartTagPr>
        <w:r w:rsidR="00D04EC2" w:rsidRPr="002152E4">
          <w:t>2016</w:t>
        </w:r>
        <w:r w:rsidRPr="002152E4">
          <w:t xml:space="preserve"> a</w:t>
        </w:r>
      </w:smartTag>
      <w:r w:rsidRPr="002152E4">
        <w:t xml:space="preserve"> fost de </w:t>
      </w:r>
      <w:r w:rsidR="00D04EC2" w:rsidRPr="002152E4">
        <w:rPr>
          <w:rFonts w:ascii="Cambria" w:hAnsi="Cambria"/>
          <w:b/>
          <w:sz w:val="22"/>
          <w:szCs w:val="22"/>
          <w:lang w:eastAsia="ro-RO"/>
        </w:rPr>
        <w:t>89.415</w:t>
      </w:r>
      <w:r w:rsidR="00D04EC2" w:rsidRPr="002152E4">
        <w:rPr>
          <w:rFonts w:ascii="Cambria" w:hAnsi="Cambria"/>
          <w:sz w:val="22"/>
          <w:szCs w:val="22"/>
          <w:lang w:eastAsia="ro-RO"/>
        </w:rPr>
        <w:t xml:space="preserve"> </w:t>
      </w:r>
      <w:r w:rsidRPr="002152E4">
        <w:t xml:space="preserve">dosare, în </w:t>
      </w:r>
      <w:r w:rsidR="00D04EC2" w:rsidRPr="002152E4">
        <w:t xml:space="preserve">creştere </w:t>
      </w:r>
      <w:r w:rsidR="00167861" w:rsidRPr="002152E4">
        <w:t xml:space="preserve">cu </w:t>
      </w:r>
      <w:r w:rsidR="00D04EC2" w:rsidRPr="002152E4">
        <w:rPr>
          <w:b/>
        </w:rPr>
        <w:t>19,02</w:t>
      </w:r>
      <w:r w:rsidRPr="002152E4">
        <w:rPr>
          <w:b/>
        </w:rPr>
        <w:t xml:space="preserve"> %</w:t>
      </w:r>
      <w:r w:rsidRPr="002152E4">
        <w:t xml:space="preserve"> comparativ cu anul anterior, aşa cum se poate vedea şi din graficul de mai jos.</w:t>
      </w:r>
    </w:p>
    <w:p w:rsidR="00D04EC2" w:rsidRDefault="003C3439" w:rsidP="003C3439">
      <w:pPr>
        <w:pStyle w:val="AddParagraf"/>
      </w:pPr>
      <w:r w:rsidRPr="002152E4">
        <w:t xml:space="preserve">Ponderea cauzelor penale nou intrate în totalul cauzelor nou intrate </w:t>
      </w:r>
      <w:r w:rsidR="00D04EC2" w:rsidRPr="002152E4">
        <w:t>la tribunale a fost în anul 2016</w:t>
      </w:r>
      <w:r w:rsidRPr="002152E4">
        <w:t xml:space="preserve"> de </w:t>
      </w:r>
      <w:r w:rsidRPr="002152E4">
        <w:rPr>
          <w:b/>
        </w:rPr>
        <w:t xml:space="preserve"> </w:t>
      </w:r>
      <w:r w:rsidR="00D04EC2" w:rsidRPr="002152E4">
        <w:rPr>
          <w:b/>
        </w:rPr>
        <w:t xml:space="preserve">18,39 % </w:t>
      </w:r>
      <w:r w:rsidRPr="002152E4">
        <w:t xml:space="preserve"> (</w:t>
      </w:r>
      <w:r w:rsidR="00D04EC2" w:rsidRPr="002152E4">
        <w:t xml:space="preserve">16,05 % în anul 2015 şi </w:t>
      </w:r>
      <w:r w:rsidRPr="002152E4">
        <w:t xml:space="preserve">18 % în anul 2014). </w:t>
      </w:r>
    </w:p>
    <w:p w:rsidR="008B7005" w:rsidRPr="002152E4" w:rsidRDefault="008B7005" w:rsidP="003C3439">
      <w:pPr>
        <w:pStyle w:val="AddParagraf"/>
      </w:pPr>
      <w:r w:rsidRPr="007037CF">
        <w:fldChar w:fldCharType="begin"/>
      </w:r>
      <w:r w:rsidRPr="007037CF">
        <w:instrText xml:space="preserve"> LINK Excel.Sheet.8 "C:\\Documents and Settings\\bogdan.comaneci.CSM1909\\Desktop\\1 an 2016\\Grafice 2016.xls!Trib Cauze nou intrate penal![Grafice 2016.xls]Trib Cauze nou intrate penal Diagramă 1" "" \a \p \* MERGEFORMAT </w:instrText>
      </w:r>
      <w:r w:rsidRPr="007037CF">
        <w:fldChar w:fldCharType="separate"/>
      </w:r>
      <w:r w:rsidR="00C742FD">
        <w:object w:dxaOrig="12189" w:dyaOrig="6059">
          <v:shape id="_x0000_i1042" type="#_x0000_t75" style="width:488.95pt;height:244.15pt">
            <v:imagedata r:id="rId45" o:title=""/>
          </v:shape>
        </w:object>
      </w:r>
      <w:r w:rsidRPr="007037CF">
        <w:fldChar w:fldCharType="end"/>
      </w:r>
    </w:p>
    <w:p w:rsidR="000802D5" w:rsidRPr="002152E4" w:rsidRDefault="000802D5" w:rsidP="00935313">
      <w:pPr>
        <w:pStyle w:val="AddParagraf"/>
      </w:pPr>
      <w:r w:rsidRPr="002152E4">
        <w:lastRenderedPageBreak/>
        <w:t xml:space="preserve">În materia </w:t>
      </w:r>
      <w:r w:rsidRPr="002152E4">
        <w:rPr>
          <w:b/>
          <w:bCs/>
        </w:rPr>
        <w:t>contenciosului administrativ şi fiscal</w:t>
      </w:r>
      <w:r w:rsidR="00870335" w:rsidRPr="002152E4">
        <w:t>, în anul 2016</w:t>
      </w:r>
      <w:r w:rsidRPr="002152E4">
        <w:t xml:space="preserve"> numărul cauzelor nou intrate a fost de </w:t>
      </w:r>
      <w:r w:rsidR="00870335" w:rsidRPr="002152E4">
        <w:rPr>
          <w:rFonts w:ascii="Cambria" w:hAnsi="Cambria"/>
          <w:b/>
          <w:sz w:val="22"/>
          <w:szCs w:val="22"/>
          <w:lang w:eastAsia="ro-RO"/>
        </w:rPr>
        <w:t>139</w:t>
      </w:r>
      <w:r w:rsidR="004950C9" w:rsidRPr="002152E4">
        <w:rPr>
          <w:rFonts w:ascii="Cambria" w:hAnsi="Cambria"/>
          <w:b/>
          <w:sz w:val="22"/>
          <w:szCs w:val="22"/>
          <w:lang w:eastAsia="ro-RO"/>
        </w:rPr>
        <w:t>.</w:t>
      </w:r>
      <w:r w:rsidR="00870335" w:rsidRPr="002152E4">
        <w:rPr>
          <w:rFonts w:ascii="Cambria" w:hAnsi="Cambria"/>
          <w:b/>
          <w:sz w:val="22"/>
          <w:szCs w:val="22"/>
          <w:lang w:eastAsia="ro-RO"/>
        </w:rPr>
        <w:t>407</w:t>
      </w:r>
      <w:r w:rsidR="00870335" w:rsidRPr="002152E4">
        <w:rPr>
          <w:rFonts w:ascii="Cambria" w:hAnsi="Cambria"/>
          <w:sz w:val="22"/>
          <w:szCs w:val="22"/>
          <w:lang w:eastAsia="ro-RO"/>
        </w:rPr>
        <w:t xml:space="preserve"> </w:t>
      </w:r>
      <w:r w:rsidRPr="002152E4">
        <w:t xml:space="preserve">dosare, cu </w:t>
      </w:r>
      <w:r w:rsidR="00870335" w:rsidRPr="002152E4">
        <w:rPr>
          <w:b/>
        </w:rPr>
        <w:t xml:space="preserve">23.713 </w:t>
      </w:r>
      <w:r w:rsidR="00870335" w:rsidRPr="002152E4">
        <w:t>dosare mai mult decât în 2015</w:t>
      </w:r>
      <w:r w:rsidRPr="002152E4">
        <w:t xml:space="preserve"> ceea ce reprezintă o </w:t>
      </w:r>
      <w:r w:rsidR="00870335" w:rsidRPr="002152E4">
        <w:t xml:space="preserve">creştere </w:t>
      </w:r>
      <w:r w:rsidRPr="002152E4">
        <w:t xml:space="preserve">cu </w:t>
      </w:r>
      <w:r w:rsidR="00870335" w:rsidRPr="002152E4">
        <w:rPr>
          <w:b/>
        </w:rPr>
        <w:t>20,5</w:t>
      </w:r>
      <w:r w:rsidRPr="002152E4">
        <w:rPr>
          <w:b/>
        </w:rPr>
        <w:t xml:space="preserve"> %</w:t>
      </w:r>
      <w:r w:rsidRPr="002152E4">
        <w:t>.</w:t>
      </w:r>
    </w:p>
    <w:p w:rsidR="000802D5" w:rsidRDefault="000802D5" w:rsidP="00935313">
      <w:pPr>
        <w:pStyle w:val="AddParagraf"/>
      </w:pPr>
      <w:r w:rsidRPr="002152E4">
        <w:t>Variaţia numărului de cauze nou intrate în contencios administrativ şi fiscal este pr</w:t>
      </w:r>
      <w:r w:rsidR="004950C9" w:rsidRPr="002152E4">
        <w:t>ezentată în graficul de mai jos:</w:t>
      </w:r>
    </w:p>
    <w:p w:rsidR="008B7005" w:rsidRPr="002152E4" w:rsidRDefault="008B7005" w:rsidP="00935313">
      <w:pPr>
        <w:pStyle w:val="AddParagraf"/>
      </w:pPr>
      <w:r w:rsidRPr="007037CF">
        <w:fldChar w:fldCharType="begin"/>
      </w:r>
      <w:r w:rsidRPr="007037CF">
        <w:instrText xml:space="preserve"> LINK Excel.Sheet.8 "C:\\Documents and Settings\\bogdan.comaneci.CSM1909\\Desktop\\1 an 2016\\Grafice 2016.xls!TrCauze nouintratecontadmsifisc![Grafice 2016.xls]TrCauze nouintratecontadmsifisc Diagramă 1" "" \a \p \* MERGEFORMAT </w:instrText>
      </w:r>
      <w:r w:rsidRPr="007037CF">
        <w:fldChar w:fldCharType="separate"/>
      </w:r>
      <w:r w:rsidR="00C742FD">
        <w:object w:dxaOrig="12189" w:dyaOrig="6520">
          <v:shape id="_x0000_i1043" type="#_x0000_t75" style="width:490.25pt;height:263.6pt">
            <v:imagedata r:id="rId46" o:title=""/>
          </v:shape>
        </w:object>
      </w:r>
      <w:r w:rsidRPr="007037CF">
        <w:fldChar w:fldCharType="end"/>
      </w:r>
    </w:p>
    <w:p w:rsidR="001E40E2" w:rsidRPr="002152E4" w:rsidRDefault="000802D5" w:rsidP="00323442">
      <w:pPr>
        <w:pStyle w:val="AddParagraf"/>
        <w:ind w:firstLine="708"/>
      </w:pPr>
      <w:r w:rsidRPr="002152E4">
        <w:t xml:space="preserve">În anul 2008 erau înregistrate pe această materie numai 44.227 cauze nou create. </w:t>
      </w:r>
    </w:p>
    <w:p w:rsidR="000802D5" w:rsidRPr="002152E4" w:rsidRDefault="000802D5" w:rsidP="00935313">
      <w:pPr>
        <w:pStyle w:val="AddParagraf"/>
      </w:pPr>
      <w:r w:rsidRPr="002152E4">
        <w:t>Cu toate acestea, cre</w:t>
      </w:r>
      <w:r w:rsidR="001F5F9D" w:rsidRPr="002152E4">
        <w:t>şterea înregistrată în anul 2016</w:t>
      </w:r>
      <w:r w:rsidRPr="002152E4">
        <w:t xml:space="preserve"> faţă de anul </w:t>
      </w:r>
      <w:smartTag w:uri="urn:schemas-microsoft-com:office:smarttags" w:element="metricconverter">
        <w:smartTagPr>
          <w:attr w:name="ProductID" w:val="2008 a"/>
        </w:smartTagPr>
        <w:r w:rsidRPr="002152E4">
          <w:t>2008 a</w:t>
        </w:r>
      </w:smartTag>
      <w:r w:rsidRPr="002152E4">
        <w:t xml:space="preserve"> fost </w:t>
      </w:r>
      <w:r w:rsidR="00C54E9C" w:rsidRPr="002152E4">
        <w:t xml:space="preserve">cu </w:t>
      </w:r>
      <w:r w:rsidR="001F5F9D" w:rsidRPr="002152E4">
        <w:rPr>
          <w:b/>
        </w:rPr>
        <w:t>95</w:t>
      </w:r>
      <w:r w:rsidR="00C54E9C" w:rsidRPr="002152E4">
        <w:rPr>
          <w:b/>
        </w:rPr>
        <w:t>.</w:t>
      </w:r>
      <w:r w:rsidR="001F5F9D" w:rsidRPr="002152E4">
        <w:rPr>
          <w:b/>
        </w:rPr>
        <w:t xml:space="preserve">180 </w:t>
      </w:r>
      <w:r w:rsidRPr="002152E4">
        <w:t xml:space="preserve">dosare ceea ce reprezintă </w:t>
      </w:r>
      <w:r w:rsidR="001F5F9D" w:rsidRPr="002152E4">
        <w:rPr>
          <w:b/>
        </w:rPr>
        <w:t xml:space="preserve">215,21 </w:t>
      </w:r>
      <w:r w:rsidRPr="002152E4">
        <w:rPr>
          <w:b/>
        </w:rPr>
        <w:t>%</w:t>
      </w:r>
      <w:r w:rsidRPr="002152E4">
        <w:t xml:space="preserve">. </w:t>
      </w:r>
    </w:p>
    <w:p w:rsidR="000802D5" w:rsidRPr="002152E4" w:rsidRDefault="000802D5" w:rsidP="00935313">
      <w:pPr>
        <w:pStyle w:val="AddParagraf"/>
        <w:rPr>
          <w:b/>
        </w:rPr>
      </w:pPr>
      <w:r w:rsidRPr="002152E4">
        <w:t xml:space="preserve">Ponderea numărului de cauze nou intrate în contencios administrativ şi fiscal în totalul cauzelor nou intrate la tribunale a fost  de </w:t>
      </w:r>
      <w:r w:rsidR="00A646E1" w:rsidRPr="002152E4">
        <w:rPr>
          <w:b/>
        </w:rPr>
        <w:t>28,67</w:t>
      </w:r>
      <w:r w:rsidRPr="002152E4">
        <w:rPr>
          <w:b/>
        </w:rPr>
        <w:t xml:space="preserve"> %.</w:t>
      </w:r>
    </w:p>
    <w:p w:rsidR="000802D5" w:rsidRPr="002152E4" w:rsidRDefault="000802D5" w:rsidP="00935313">
      <w:pPr>
        <w:pStyle w:val="AddParagraf"/>
      </w:pPr>
      <w:r w:rsidRPr="002152E4">
        <w:t xml:space="preserve">În materiile </w:t>
      </w:r>
      <w:r w:rsidRPr="002152E4">
        <w:rPr>
          <w:b/>
          <w:bCs/>
        </w:rPr>
        <w:t>Litigiilor de muncă şi  Asigurărilor sociale</w:t>
      </w:r>
      <w:r w:rsidRPr="002152E4">
        <w:t xml:space="preserve">, numărul cauzelor nou intrate în anul </w:t>
      </w:r>
      <w:smartTag w:uri="urn:schemas-microsoft-com:office:smarttags" w:element="metricconverter">
        <w:smartTagPr>
          <w:attr w:name="ProductID" w:val="2016 a"/>
        </w:smartTagPr>
        <w:r w:rsidRPr="002152E4">
          <w:t>20</w:t>
        </w:r>
        <w:r w:rsidR="00D64937" w:rsidRPr="002152E4">
          <w:t>16</w:t>
        </w:r>
        <w:r w:rsidRPr="002152E4">
          <w:t xml:space="preserve"> a</w:t>
        </w:r>
      </w:smartTag>
      <w:r w:rsidRPr="002152E4">
        <w:t xml:space="preserve"> fost de </w:t>
      </w:r>
      <w:r w:rsidR="00D64937" w:rsidRPr="002152E4">
        <w:rPr>
          <w:b/>
        </w:rPr>
        <w:t>64.022</w:t>
      </w:r>
      <w:r w:rsidR="00D64937" w:rsidRPr="002152E4">
        <w:t xml:space="preserve"> </w:t>
      </w:r>
      <w:r w:rsidR="004950C9" w:rsidRPr="002152E4">
        <w:t>dosare</w:t>
      </w:r>
      <w:r w:rsidRPr="002152E4">
        <w:t xml:space="preserve">, cu </w:t>
      </w:r>
      <w:r w:rsidR="00D64937" w:rsidRPr="002152E4">
        <w:rPr>
          <w:b/>
        </w:rPr>
        <w:t>11.664</w:t>
      </w:r>
      <w:r w:rsidR="00D64937" w:rsidRPr="002152E4">
        <w:t xml:space="preserve"> dosare mai puţin decât în 2015</w:t>
      </w:r>
      <w:r w:rsidRPr="002152E4">
        <w:t xml:space="preserve">, ceea ce reprezintă o scădere cu </w:t>
      </w:r>
      <w:r w:rsidR="00D64937" w:rsidRPr="002152E4">
        <w:rPr>
          <w:b/>
        </w:rPr>
        <w:t>15,41</w:t>
      </w:r>
      <w:r w:rsidRPr="002152E4">
        <w:rPr>
          <w:b/>
        </w:rPr>
        <w:t xml:space="preserve"> %</w:t>
      </w:r>
      <w:r w:rsidRPr="002152E4">
        <w:t xml:space="preserve">. </w:t>
      </w:r>
    </w:p>
    <w:p w:rsidR="004950C9" w:rsidRPr="002152E4" w:rsidRDefault="004950C9" w:rsidP="004950C9">
      <w:pPr>
        <w:pStyle w:val="AddParagraf"/>
        <w:rPr>
          <w:b/>
        </w:rPr>
      </w:pPr>
      <w:r w:rsidRPr="002152E4">
        <w:t xml:space="preserve">Ponderea numărului de cauze nou intrate în materiile </w:t>
      </w:r>
      <w:r w:rsidRPr="002152E4">
        <w:rPr>
          <w:bCs/>
        </w:rPr>
        <w:t>Litigiilor de muncă şi Asigurărilor sociale</w:t>
      </w:r>
      <w:r w:rsidRPr="002152E4">
        <w:t xml:space="preserve"> în totalul cauzelor nou intrate la tribunale a fost  de </w:t>
      </w:r>
      <w:r w:rsidRPr="002152E4">
        <w:rPr>
          <w:b/>
        </w:rPr>
        <w:t>13,17 %</w:t>
      </w:r>
      <w:r w:rsidRPr="002152E4">
        <w:t xml:space="preserve">. </w:t>
      </w:r>
    </w:p>
    <w:p w:rsidR="00323442" w:rsidRDefault="000802D5" w:rsidP="00323442">
      <w:pPr>
        <w:pStyle w:val="AddParagraf"/>
      </w:pPr>
      <w:r w:rsidRPr="002152E4">
        <w:t xml:space="preserve">Variaţia numărului de cauze nou intrate în materiile </w:t>
      </w:r>
      <w:r w:rsidRPr="002152E4">
        <w:rPr>
          <w:bCs/>
        </w:rPr>
        <w:t>litigiilor de muncă şi a asigurărilor sociale</w:t>
      </w:r>
      <w:r w:rsidRPr="002152E4">
        <w:t xml:space="preserve"> este prezentată în graficul de mai jos.</w:t>
      </w:r>
    </w:p>
    <w:p w:rsidR="008B7005" w:rsidRPr="002152E4" w:rsidRDefault="008B7005" w:rsidP="00323442">
      <w:pPr>
        <w:pStyle w:val="AddParagraf"/>
      </w:pPr>
      <w:r w:rsidRPr="007037CF">
        <w:lastRenderedPageBreak/>
        <w:fldChar w:fldCharType="begin"/>
      </w:r>
      <w:r w:rsidRPr="007037CF">
        <w:instrText xml:space="preserve"> LINK Excel.Sheet.8 "C:\\Documents and Settings\\bogdan.comaneci.CSM1909\\Desktop\\1 an 2016\\Grafice 2016.xls!TrCauze nouintratelitigiidemunc![Grafice 2016.xls]TrCauze nouintratelitigiidemunc Diagramă 1" "" \a \p \* MERGEFORMAT </w:instrText>
      </w:r>
      <w:r w:rsidRPr="007037CF">
        <w:fldChar w:fldCharType="separate"/>
      </w:r>
      <w:r w:rsidR="00C742FD">
        <w:object w:dxaOrig="12189" w:dyaOrig="6626">
          <v:shape id="_x0000_i1044" type="#_x0000_t75" style="width:482.1pt;height:250.45pt">
            <v:imagedata r:id="rId47" o:title=""/>
          </v:shape>
        </w:object>
      </w:r>
      <w:r w:rsidRPr="007037CF">
        <w:fldChar w:fldCharType="end"/>
      </w:r>
    </w:p>
    <w:p w:rsidR="000802D5" w:rsidRPr="002152E4" w:rsidRDefault="000802D5" w:rsidP="00935313">
      <w:pPr>
        <w:pStyle w:val="AddParagraf"/>
      </w:pPr>
      <w:r w:rsidRPr="002152E4">
        <w:t xml:space="preserve">În materia </w:t>
      </w:r>
      <w:r w:rsidRPr="002152E4">
        <w:rPr>
          <w:b/>
        </w:rPr>
        <w:t>Faliment,</w:t>
      </w:r>
      <w:r w:rsidRPr="002152E4">
        <w:t xml:space="preserve"> volumul cauzelor nou i</w:t>
      </w:r>
      <w:r w:rsidR="004F1D81" w:rsidRPr="002152E4">
        <w:t xml:space="preserve">ntrate la tribunale în anul </w:t>
      </w:r>
      <w:smartTag w:uri="urn:schemas-microsoft-com:office:smarttags" w:element="metricconverter">
        <w:smartTagPr>
          <w:attr w:name="ProductID" w:val="2016 a"/>
        </w:smartTagPr>
        <w:r w:rsidR="004F1D81" w:rsidRPr="002152E4">
          <w:t>2016</w:t>
        </w:r>
        <w:r w:rsidRPr="002152E4">
          <w:t xml:space="preserve"> a</w:t>
        </w:r>
      </w:smartTag>
      <w:r w:rsidRPr="002152E4">
        <w:t xml:space="preserve"> fost de </w:t>
      </w:r>
      <w:r w:rsidR="00A2354D" w:rsidRPr="002152E4">
        <w:rPr>
          <w:rFonts w:ascii="Cambria" w:hAnsi="Cambria"/>
          <w:b/>
          <w:sz w:val="22"/>
          <w:szCs w:val="22"/>
          <w:lang w:eastAsia="ro-RO"/>
        </w:rPr>
        <w:t>29.430</w:t>
      </w:r>
      <w:r w:rsidR="00A2354D" w:rsidRPr="002152E4">
        <w:rPr>
          <w:rFonts w:ascii="Cambria" w:hAnsi="Cambria"/>
          <w:sz w:val="22"/>
          <w:szCs w:val="22"/>
          <w:lang w:eastAsia="ro-RO"/>
        </w:rPr>
        <w:t xml:space="preserve"> </w:t>
      </w:r>
      <w:r w:rsidR="0015608D" w:rsidRPr="002152E4">
        <w:t xml:space="preserve"> </w:t>
      </w:r>
      <w:r w:rsidRPr="002152E4">
        <w:t xml:space="preserve"> dosare (</w:t>
      </w:r>
      <w:r w:rsidR="00A2354D" w:rsidRPr="002152E4">
        <w:t>36.907 dosare în 2015</w:t>
      </w:r>
      <w:r w:rsidR="00A2354D" w:rsidRPr="002152E4">
        <w:rPr>
          <w:b/>
        </w:rPr>
        <w:t xml:space="preserve"> şi </w:t>
      </w:r>
      <w:r w:rsidR="0015608D" w:rsidRPr="002152E4">
        <w:t>46.056</w:t>
      </w:r>
      <w:r w:rsidR="0015608D" w:rsidRPr="002152E4">
        <w:rPr>
          <w:b/>
        </w:rPr>
        <w:t xml:space="preserve"> </w:t>
      </w:r>
      <w:r w:rsidR="0015608D" w:rsidRPr="002152E4">
        <w:t>dosare în 2014</w:t>
      </w:r>
      <w:r w:rsidRPr="002152E4">
        <w:t>). Sc</w:t>
      </w:r>
      <w:r w:rsidR="00C2466E" w:rsidRPr="002152E4">
        <w:t>ăderea înregistrată în anul 2016 faţă de anul 2015</w:t>
      </w:r>
      <w:r w:rsidR="0015608D" w:rsidRPr="002152E4">
        <w:t xml:space="preserve"> este cu</w:t>
      </w:r>
      <w:r w:rsidR="0015608D" w:rsidRPr="002152E4">
        <w:rPr>
          <w:b/>
        </w:rPr>
        <w:t xml:space="preserve"> </w:t>
      </w:r>
      <w:r w:rsidR="00563FEF" w:rsidRPr="002152E4">
        <w:rPr>
          <w:b/>
        </w:rPr>
        <w:t>7.477</w:t>
      </w:r>
      <w:r w:rsidRPr="002152E4">
        <w:t xml:space="preserve"> </w:t>
      </w:r>
      <w:r w:rsidR="0015608D" w:rsidRPr="002152E4">
        <w:t>dosare ceea ce reprezintă o scădere cu</w:t>
      </w:r>
      <w:r w:rsidRPr="002152E4">
        <w:t xml:space="preserve"> </w:t>
      </w:r>
      <w:r w:rsidR="00563FEF" w:rsidRPr="002152E4">
        <w:rPr>
          <w:b/>
        </w:rPr>
        <w:t>20,2</w:t>
      </w:r>
      <w:r w:rsidR="0015608D" w:rsidRPr="002152E4">
        <w:rPr>
          <w:b/>
        </w:rPr>
        <w:t>6</w:t>
      </w:r>
      <w:r w:rsidRPr="002152E4">
        <w:rPr>
          <w:b/>
        </w:rPr>
        <w:t xml:space="preserve"> %</w:t>
      </w:r>
      <w:r w:rsidRPr="002152E4">
        <w:t xml:space="preserve">. </w:t>
      </w:r>
    </w:p>
    <w:p w:rsidR="00BE4B1D" w:rsidRPr="002152E4" w:rsidRDefault="00BE4B1D" w:rsidP="00BE4B1D">
      <w:pPr>
        <w:pStyle w:val="AddParagraf"/>
        <w:ind w:firstLine="708"/>
      </w:pPr>
      <w:r w:rsidRPr="002152E4">
        <w:t xml:space="preserve">În totalul cauzelor nou intrate la tribunale în anul 2016, litigiile privind falimentul ocupă un procent de </w:t>
      </w:r>
      <w:r w:rsidRPr="002152E4">
        <w:rPr>
          <w:b/>
        </w:rPr>
        <w:t>6,05.</w:t>
      </w:r>
    </w:p>
    <w:p w:rsidR="000802D5" w:rsidRDefault="000802D5" w:rsidP="00935313">
      <w:pPr>
        <w:pStyle w:val="AddParagraf"/>
      </w:pPr>
      <w:r w:rsidRPr="002152E4">
        <w:t>Variaţia numărului de cauze nou intrate în materia Faliment</w:t>
      </w:r>
      <w:r w:rsidRPr="002152E4">
        <w:rPr>
          <w:bCs/>
        </w:rPr>
        <w:t xml:space="preserve"> </w:t>
      </w:r>
      <w:r w:rsidRPr="002152E4">
        <w:t>este prezentată în graficul de mai jos.</w:t>
      </w:r>
    </w:p>
    <w:p w:rsidR="008B7005" w:rsidRPr="002152E4" w:rsidRDefault="008B7005" w:rsidP="00935313">
      <w:pPr>
        <w:pStyle w:val="AddParagraf"/>
      </w:pPr>
      <w:r w:rsidRPr="007037CF">
        <w:fldChar w:fldCharType="begin"/>
      </w:r>
      <w:r w:rsidRPr="007037CF">
        <w:instrText xml:space="preserve"> LINK Excel.Sheet.8 "C:\\Documents and Settings\\bogdan.comaneci.CSM1909\\Desktop\\1 an 2016\\Grafice 2016.xls!TrCauze nou intratefaliment![Grafice 2016.xls]TrCauze nou intratefaliment Diagramă 1" "" \a \p \* MERGEFORMAT </w:instrText>
      </w:r>
      <w:r w:rsidRPr="007037CF">
        <w:fldChar w:fldCharType="separate"/>
      </w:r>
      <w:r w:rsidR="00C742FD">
        <w:object w:dxaOrig="12207" w:dyaOrig="6396">
          <v:shape id="_x0000_i1045" type="#_x0000_t75" style="width:486.45pt;height:256.05pt">
            <v:imagedata r:id="rId48" o:title=""/>
          </v:shape>
        </w:object>
      </w:r>
      <w:r w:rsidRPr="007037CF">
        <w:fldChar w:fldCharType="end"/>
      </w:r>
    </w:p>
    <w:p w:rsidR="00DF48DF" w:rsidRPr="002152E4" w:rsidRDefault="00DF48DF" w:rsidP="00EB6483">
      <w:pPr>
        <w:pStyle w:val="AddParagraf"/>
      </w:pPr>
    </w:p>
    <w:p w:rsidR="000802D5" w:rsidRPr="002152E4" w:rsidRDefault="000802D5" w:rsidP="00EB6483">
      <w:pPr>
        <w:pStyle w:val="AddParagraf"/>
      </w:pPr>
      <w:r w:rsidRPr="002152E4">
        <w:t>Obiectele reprezentative din punct de vedere numeric pe diferite materii se prezintă astfel:</w:t>
      </w:r>
    </w:p>
    <w:p w:rsidR="000802D5" w:rsidRPr="002152E4" w:rsidRDefault="000802D5" w:rsidP="00C72B60">
      <w:pPr>
        <w:numPr>
          <w:ilvl w:val="0"/>
          <w:numId w:val="5"/>
        </w:numPr>
        <w:jc w:val="both"/>
        <w:rPr>
          <w:b/>
          <w:lang w:val="ro-RO"/>
        </w:rPr>
      </w:pPr>
      <w:r w:rsidRPr="002152E4">
        <w:rPr>
          <w:b/>
          <w:lang w:val="ro-RO"/>
        </w:rPr>
        <w:t>penal – fond</w:t>
      </w:r>
      <w:r w:rsidR="00DF48DF" w:rsidRPr="002152E4">
        <w:rPr>
          <w:b/>
          <w:lang w:val="ro-RO"/>
        </w:rPr>
        <w:t>;</w:t>
      </w:r>
    </w:p>
    <w:p w:rsidR="00B01118" w:rsidRPr="002152E4" w:rsidRDefault="007041EF" w:rsidP="00B01118">
      <w:pPr>
        <w:jc w:val="both"/>
        <w:rPr>
          <w:lang w:val="ro-RO"/>
        </w:rPr>
      </w:pPr>
      <w:r w:rsidRPr="002152E4">
        <w:rPr>
          <w:noProof/>
        </w:rPr>
        <w:lastRenderedPageBreak/>
        <w:drawing>
          <wp:inline distT="0" distB="0" distL="0" distR="0" wp14:anchorId="087F8487" wp14:editId="1F0BEF09">
            <wp:extent cx="6088380" cy="2735580"/>
            <wp:effectExtent l="19050" t="19050" r="26670" b="266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a:extLst>
                        <a:ext uri="{28A0092B-C50C-407E-A947-70E740481C1C}">
                          <a14:useLocalDpi xmlns:a14="http://schemas.microsoft.com/office/drawing/2010/main" val="0"/>
                        </a:ext>
                      </a:extLst>
                    </a:blip>
                    <a:srcRect l="20284" t="36166" r="4921" b="18922"/>
                    <a:stretch>
                      <a:fillRect/>
                    </a:stretch>
                  </pic:blipFill>
                  <pic:spPr bwMode="auto">
                    <a:xfrm>
                      <a:off x="0" y="0"/>
                      <a:ext cx="6088380" cy="2735580"/>
                    </a:xfrm>
                    <a:prstGeom prst="rect">
                      <a:avLst/>
                    </a:prstGeom>
                    <a:noFill/>
                    <a:ln w="6350" cmpd="sng">
                      <a:solidFill>
                        <a:srgbClr val="000000"/>
                      </a:solidFill>
                      <a:miter lim="800000"/>
                      <a:headEnd/>
                      <a:tailEnd/>
                    </a:ln>
                    <a:effectLst/>
                  </pic:spPr>
                </pic:pic>
              </a:graphicData>
            </a:graphic>
          </wp:inline>
        </w:drawing>
      </w:r>
    </w:p>
    <w:p w:rsidR="00984140" w:rsidRPr="002152E4" w:rsidRDefault="00984140" w:rsidP="000802D5">
      <w:pPr>
        <w:spacing w:line="360" w:lineRule="auto"/>
        <w:jc w:val="center"/>
        <w:rPr>
          <w:noProof/>
          <w:lang w:val="ro-RO"/>
        </w:rPr>
      </w:pPr>
    </w:p>
    <w:p w:rsidR="004D70C7" w:rsidRPr="002152E4" w:rsidRDefault="004D70C7" w:rsidP="000802D5">
      <w:pPr>
        <w:spacing w:line="360" w:lineRule="auto"/>
        <w:jc w:val="center"/>
        <w:rPr>
          <w:noProof/>
          <w:lang w:val="ro-RO"/>
        </w:rPr>
      </w:pPr>
    </w:p>
    <w:p w:rsidR="004D70C7" w:rsidRPr="002152E4" w:rsidRDefault="004D70C7" w:rsidP="000802D5">
      <w:pPr>
        <w:spacing w:line="360" w:lineRule="auto"/>
        <w:jc w:val="center"/>
        <w:rPr>
          <w:noProof/>
          <w:lang w:val="ro-RO"/>
        </w:rPr>
      </w:pPr>
    </w:p>
    <w:p w:rsidR="000802D5" w:rsidRPr="002152E4" w:rsidRDefault="000802D5" w:rsidP="00C72B60">
      <w:pPr>
        <w:numPr>
          <w:ilvl w:val="0"/>
          <w:numId w:val="5"/>
        </w:numPr>
        <w:spacing w:line="360" w:lineRule="auto"/>
        <w:jc w:val="both"/>
        <w:rPr>
          <w:b/>
          <w:i/>
          <w:lang w:val="ro-RO"/>
        </w:rPr>
      </w:pPr>
      <w:r w:rsidRPr="002152E4">
        <w:rPr>
          <w:b/>
          <w:noProof/>
          <w:lang w:val="ro-RO"/>
        </w:rPr>
        <w:t>contencios administrativ – fond</w:t>
      </w:r>
      <w:r w:rsidR="00DF48DF" w:rsidRPr="002152E4">
        <w:rPr>
          <w:b/>
          <w:noProof/>
          <w:lang w:val="ro-RO"/>
        </w:rPr>
        <w:t>;</w:t>
      </w:r>
    </w:p>
    <w:p w:rsidR="00CF0A37" w:rsidRPr="002152E4" w:rsidRDefault="007041EF" w:rsidP="00CF0A37">
      <w:pPr>
        <w:spacing w:line="360" w:lineRule="auto"/>
        <w:jc w:val="both"/>
        <w:rPr>
          <w:b/>
          <w:i/>
          <w:lang w:val="ro-RO"/>
        </w:rPr>
      </w:pPr>
      <w:r w:rsidRPr="002152E4">
        <w:rPr>
          <w:b/>
          <w:i/>
          <w:noProof/>
        </w:rPr>
        <w:drawing>
          <wp:inline distT="0" distB="0" distL="0" distR="0" wp14:anchorId="27DDE465" wp14:editId="068FAC0B">
            <wp:extent cx="6073140" cy="2697480"/>
            <wp:effectExtent l="19050" t="19050" r="22860" b="266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l="19005" t="35353" r="5017" b="19672"/>
                    <a:stretch>
                      <a:fillRect/>
                    </a:stretch>
                  </pic:blipFill>
                  <pic:spPr bwMode="auto">
                    <a:xfrm>
                      <a:off x="0" y="0"/>
                      <a:ext cx="6073140" cy="2697480"/>
                    </a:xfrm>
                    <a:prstGeom prst="rect">
                      <a:avLst/>
                    </a:prstGeom>
                    <a:noFill/>
                    <a:ln w="6350" cmpd="sng">
                      <a:solidFill>
                        <a:srgbClr val="000000"/>
                      </a:solidFill>
                      <a:miter lim="800000"/>
                      <a:headEnd/>
                      <a:tailEnd/>
                    </a:ln>
                    <a:effectLst/>
                  </pic:spPr>
                </pic:pic>
              </a:graphicData>
            </a:graphic>
          </wp:inline>
        </w:drawing>
      </w:r>
    </w:p>
    <w:p w:rsidR="000802D5" w:rsidRPr="002152E4" w:rsidRDefault="000802D5" w:rsidP="000802D5">
      <w:pPr>
        <w:spacing w:line="360" w:lineRule="auto"/>
        <w:jc w:val="center"/>
        <w:rPr>
          <w:noProof/>
          <w:lang w:val="ro-RO"/>
        </w:rPr>
      </w:pPr>
    </w:p>
    <w:p w:rsidR="000802D5" w:rsidRPr="002152E4" w:rsidRDefault="000802D5" w:rsidP="00C72B60">
      <w:pPr>
        <w:numPr>
          <w:ilvl w:val="0"/>
          <w:numId w:val="5"/>
        </w:numPr>
        <w:spacing w:line="360" w:lineRule="auto"/>
        <w:jc w:val="both"/>
        <w:rPr>
          <w:b/>
          <w:i/>
          <w:lang w:val="ro-RO"/>
        </w:rPr>
      </w:pPr>
      <w:r w:rsidRPr="002152E4">
        <w:rPr>
          <w:b/>
          <w:noProof/>
          <w:lang w:val="ro-RO"/>
        </w:rPr>
        <w:t>litigii de muncă – fond</w:t>
      </w:r>
      <w:r w:rsidR="00DF48DF" w:rsidRPr="002152E4">
        <w:rPr>
          <w:b/>
          <w:noProof/>
          <w:lang w:val="ro-RO"/>
        </w:rPr>
        <w:t>.</w:t>
      </w:r>
    </w:p>
    <w:p w:rsidR="00CF0A37" w:rsidRPr="002152E4" w:rsidRDefault="007041EF" w:rsidP="00CF0A37">
      <w:pPr>
        <w:spacing w:line="360" w:lineRule="auto"/>
        <w:jc w:val="both"/>
        <w:rPr>
          <w:b/>
          <w:i/>
          <w:lang w:val="ro-RO"/>
        </w:rPr>
      </w:pPr>
      <w:r w:rsidRPr="002152E4">
        <w:rPr>
          <w:b/>
          <w:i/>
          <w:noProof/>
        </w:rPr>
        <w:lastRenderedPageBreak/>
        <w:drawing>
          <wp:inline distT="0" distB="0" distL="0" distR="0" wp14:anchorId="50C7E20F" wp14:editId="1F383EE8">
            <wp:extent cx="6073140" cy="2766060"/>
            <wp:effectExtent l="19050" t="19050" r="22860" b="152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l="19005" t="34329" r="5017" b="19531"/>
                    <a:stretch>
                      <a:fillRect/>
                    </a:stretch>
                  </pic:blipFill>
                  <pic:spPr bwMode="auto">
                    <a:xfrm>
                      <a:off x="0" y="0"/>
                      <a:ext cx="6073140" cy="2766060"/>
                    </a:xfrm>
                    <a:prstGeom prst="rect">
                      <a:avLst/>
                    </a:prstGeom>
                    <a:noFill/>
                    <a:ln w="6350" cmpd="sng">
                      <a:solidFill>
                        <a:srgbClr val="000000"/>
                      </a:solidFill>
                      <a:miter lim="800000"/>
                      <a:headEnd/>
                      <a:tailEnd/>
                    </a:ln>
                    <a:effectLst/>
                  </pic:spPr>
                </pic:pic>
              </a:graphicData>
            </a:graphic>
          </wp:inline>
        </w:drawing>
      </w:r>
    </w:p>
    <w:p w:rsidR="000802D5" w:rsidRPr="002152E4" w:rsidRDefault="000802D5" w:rsidP="000802D5">
      <w:pPr>
        <w:spacing w:line="360" w:lineRule="auto"/>
        <w:jc w:val="both"/>
        <w:rPr>
          <w:b/>
          <w:i/>
          <w:lang w:val="ro-RO"/>
        </w:rPr>
      </w:pPr>
    </w:p>
    <w:p w:rsidR="000802D5" w:rsidRPr="002152E4" w:rsidRDefault="000802D5" w:rsidP="00686756">
      <w:pPr>
        <w:spacing w:line="360" w:lineRule="auto"/>
        <w:ind w:firstLine="708"/>
        <w:jc w:val="both"/>
        <w:rPr>
          <w:b/>
          <w:lang w:val="ro-RO"/>
        </w:rPr>
      </w:pPr>
      <w:r w:rsidRPr="002152E4">
        <w:rPr>
          <w:b/>
          <w:i/>
          <w:lang w:val="ro-RO"/>
        </w:rPr>
        <w:t xml:space="preserve"> Activitatea la nivelul tribunalelor specializate</w:t>
      </w:r>
    </w:p>
    <w:p w:rsidR="000802D5" w:rsidRPr="002152E4" w:rsidRDefault="000802D5" w:rsidP="00EB6483">
      <w:pPr>
        <w:pStyle w:val="AddParagraf"/>
      </w:pPr>
      <w:r w:rsidRPr="002152E4">
        <w:t xml:space="preserve">Evidenţiate distinct, tribunalele specializate au înregistrat un </w:t>
      </w:r>
      <w:r w:rsidR="004D1599" w:rsidRPr="002152E4">
        <w:t>volum de activitate în anul 2016</w:t>
      </w:r>
      <w:r w:rsidRPr="002152E4">
        <w:t xml:space="preserve"> de </w:t>
      </w:r>
      <w:r w:rsidR="004D1599" w:rsidRPr="002152E4">
        <w:rPr>
          <w:b/>
        </w:rPr>
        <w:t xml:space="preserve">15.322 </w:t>
      </w:r>
      <w:r w:rsidRPr="002152E4">
        <w:t xml:space="preserve"> cauze (</w:t>
      </w:r>
      <w:r w:rsidR="004D1599" w:rsidRPr="002152E4">
        <w:t>17.172 cauze în 2015 şi</w:t>
      </w:r>
      <w:r w:rsidR="004D1599" w:rsidRPr="002152E4">
        <w:rPr>
          <w:b/>
        </w:rPr>
        <w:t xml:space="preserve"> </w:t>
      </w:r>
      <w:r w:rsidR="0044089A" w:rsidRPr="002152E4">
        <w:t>17.979 cauze în 2014</w:t>
      </w:r>
      <w:r w:rsidRPr="002152E4">
        <w:t>), după cum urmează:</w:t>
      </w:r>
    </w:p>
    <w:p w:rsidR="000802D5" w:rsidRPr="002152E4" w:rsidRDefault="000802D5" w:rsidP="00573758">
      <w:pPr>
        <w:numPr>
          <w:ilvl w:val="0"/>
          <w:numId w:val="4"/>
        </w:numPr>
        <w:spacing w:before="120"/>
        <w:jc w:val="both"/>
        <w:rPr>
          <w:lang w:val="ro-RO"/>
        </w:rPr>
      </w:pPr>
      <w:r w:rsidRPr="002152E4">
        <w:rPr>
          <w:lang w:val="ro-RO"/>
        </w:rPr>
        <w:t>Tribunalul pentru Minori şi Familie Braşov –</w:t>
      </w:r>
      <w:r w:rsidR="00592D0C" w:rsidRPr="002152E4">
        <w:rPr>
          <w:lang w:val="ro-RO"/>
        </w:rPr>
        <w:t xml:space="preserve"> </w:t>
      </w:r>
      <w:r w:rsidR="00592D0C" w:rsidRPr="002152E4">
        <w:rPr>
          <w:b/>
          <w:lang w:val="ro-RO"/>
        </w:rPr>
        <w:t>1447</w:t>
      </w:r>
      <w:r w:rsidR="00592D0C" w:rsidRPr="002152E4">
        <w:rPr>
          <w:lang w:val="ro-RO"/>
        </w:rPr>
        <w:t xml:space="preserve"> cauze </w:t>
      </w:r>
      <w:r w:rsidRPr="002152E4">
        <w:rPr>
          <w:lang w:val="ro-RO"/>
        </w:rPr>
        <w:t>(</w:t>
      </w:r>
      <w:r w:rsidR="00592D0C" w:rsidRPr="002152E4">
        <w:rPr>
          <w:lang w:val="ro-RO"/>
        </w:rPr>
        <w:t xml:space="preserve">1.302 cauze în 2015 şi </w:t>
      </w:r>
      <w:r w:rsidR="00EE1C62" w:rsidRPr="002152E4">
        <w:rPr>
          <w:lang w:val="ro-RO"/>
        </w:rPr>
        <w:t>1.410 cauze în 2014</w:t>
      </w:r>
      <w:r w:rsidRPr="002152E4">
        <w:rPr>
          <w:lang w:val="ro-RO"/>
        </w:rPr>
        <w:t>);</w:t>
      </w:r>
    </w:p>
    <w:p w:rsidR="000802D5" w:rsidRPr="002152E4" w:rsidRDefault="000802D5" w:rsidP="00573758">
      <w:pPr>
        <w:numPr>
          <w:ilvl w:val="0"/>
          <w:numId w:val="4"/>
        </w:numPr>
        <w:spacing w:before="120"/>
        <w:jc w:val="both"/>
        <w:rPr>
          <w:lang w:val="ro-RO"/>
        </w:rPr>
      </w:pPr>
      <w:r w:rsidRPr="002152E4">
        <w:rPr>
          <w:lang w:val="ro-RO"/>
        </w:rPr>
        <w:t>Tribunalul specializat Argeş –</w:t>
      </w:r>
      <w:r w:rsidR="00592D0C" w:rsidRPr="002152E4">
        <w:rPr>
          <w:lang w:val="ro-RO"/>
        </w:rPr>
        <w:t xml:space="preserve"> </w:t>
      </w:r>
      <w:r w:rsidR="00592D0C" w:rsidRPr="002152E4">
        <w:rPr>
          <w:b/>
          <w:lang w:val="ro-RO"/>
        </w:rPr>
        <w:t xml:space="preserve">3072 </w:t>
      </w:r>
      <w:r w:rsidR="00592D0C" w:rsidRPr="002152E4">
        <w:rPr>
          <w:lang w:val="ro-RO"/>
        </w:rPr>
        <w:t xml:space="preserve">cauze </w:t>
      </w:r>
      <w:r w:rsidRPr="002152E4">
        <w:rPr>
          <w:lang w:val="ro-RO"/>
        </w:rPr>
        <w:t>(</w:t>
      </w:r>
      <w:r w:rsidR="00592D0C" w:rsidRPr="002152E4">
        <w:rPr>
          <w:lang w:val="ro-RO"/>
        </w:rPr>
        <w:t xml:space="preserve">3.336 cauze în 2015 şi </w:t>
      </w:r>
      <w:r w:rsidR="00EE1C62" w:rsidRPr="002152E4">
        <w:rPr>
          <w:lang w:val="ro-RO"/>
        </w:rPr>
        <w:t>3.717 cauze în 2014</w:t>
      </w:r>
      <w:r w:rsidRPr="002152E4">
        <w:rPr>
          <w:lang w:val="ro-RO"/>
        </w:rPr>
        <w:t>);</w:t>
      </w:r>
    </w:p>
    <w:p w:rsidR="000802D5" w:rsidRPr="002152E4" w:rsidRDefault="000802D5" w:rsidP="00573758">
      <w:pPr>
        <w:numPr>
          <w:ilvl w:val="0"/>
          <w:numId w:val="4"/>
        </w:numPr>
        <w:spacing w:before="120"/>
        <w:jc w:val="both"/>
        <w:rPr>
          <w:lang w:val="ro-RO"/>
        </w:rPr>
      </w:pPr>
      <w:r w:rsidRPr="002152E4">
        <w:rPr>
          <w:lang w:val="ro-RO"/>
        </w:rPr>
        <w:t>Tribunalul specializat Cluj –</w:t>
      </w:r>
      <w:r w:rsidR="00592D0C" w:rsidRPr="002152E4">
        <w:rPr>
          <w:lang w:val="ro-RO"/>
        </w:rPr>
        <w:t xml:space="preserve"> </w:t>
      </w:r>
      <w:r w:rsidR="00592D0C" w:rsidRPr="002152E4">
        <w:rPr>
          <w:b/>
          <w:lang w:val="ro-RO"/>
        </w:rPr>
        <w:t xml:space="preserve">6256 </w:t>
      </w:r>
      <w:r w:rsidR="00454464" w:rsidRPr="002152E4">
        <w:rPr>
          <w:lang w:val="ro-RO"/>
        </w:rPr>
        <w:t xml:space="preserve">cauze </w:t>
      </w:r>
      <w:r w:rsidRPr="002152E4">
        <w:rPr>
          <w:lang w:val="ro-RO"/>
        </w:rPr>
        <w:t>(</w:t>
      </w:r>
      <w:r w:rsidR="00592D0C" w:rsidRPr="002152E4">
        <w:rPr>
          <w:lang w:val="ro-RO"/>
        </w:rPr>
        <w:t xml:space="preserve">7.600 cauze în 2015 şi </w:t>
      </w:r>
      <w:r w:rsidR="00EE1C62" w:rsidRPr="002152E4">
        <w:rPr>
          <w:lang w:val="ro-RO"/>
        </w:rPr>
        <w:t>7.208 cauze în 2014</w:t>
      </w:r>
      <w:r w:rsidRPr="002152E4">
        <w:rPr>
          <w:lang w:val="ro-RO"/>
        </w:rPr>
        <w:t>);</w:t>
      </w:r>
    </w:p>
    <w:p w:rsidR="000802D5" w:rsidRPr="002152E4" w:rsidRDefault="000802D5" w:rsidP="00573758">
      <w:pPr>
        <w:numPr>
          <w:ilvl w:val="0"/>
          <w:numId w:val="4"/>
        </w:numPr>
        <w:spacing w:before="120"/>
        <w:jc w:val="both"/>
        <w:rPr>
          <w:lang w:val="ro-RO"/>
        </w:rPr>
      </w:pPr>
      <w:r w:rsidRPr="002152E4">
        <w:rPr>
          <w:lang w:val="ro-RO"/>
        </w:rPr>
        <w:t>Tribunalul specializat Mureş –</w:t>
      </w:r>
      <w:r w:rsidR="00445C0B" w:rsidRPr="002152E4">
        <w:rPr>
          <w:lang w:val="ro-RO"/>
        </w:rPr>
        <w:t xml:space="preserve"> </w:t>
      </w:r>
      <w:r w:rsidR="00445C0B" w:rsidRPr="002152E4">
        <w:rPr>
          <w:b/>
          <w:lang w:val="ro-RO"/>
        </w:rPr>
        <w:t>4547</w:t>
      </w:r>
      <w:r w:rsidR="00445C0B" w:rsidRPr="002152E4">
        <w:rPr>
          <w:lang w:val="ro-RO"/>
        </w:rPr>
        <w:t xml:space="preserve"> </w:t>
      </w:r>
      <w:r w:rsidR="00454464" w:rsidRPr="002152E4">
        <w:rPr>
          <w:lang w:val="ro-RO"/>
        </w:rPr>
        <w:t xml:space="preserve">cauze </w:t>
      </w:r>
      <w:r w:rsidRPr="002152E4">
        <w:rPr>
          <w:lang w:val="ro-RO"/>
        </w:rPr>
        <w:t>(</w:t>
      </w:r>
      <w:r w:rsidR="00445C0B" w:rsidRPr="002152E4">
        <w:rPr>
          <w:lang w:val="ro-RO"/>
        </w:rPr>
        <w:t xml:space="preserve"> 4.934 cauze în 2015 şi </w:t>
      </w:r>
      <w:r w:rsidR="00EE1C62" w:rsidRPr="002152E4">
        <w:rPr>
          <w:lang w:val="ro-RO"/>
        </w:rPr>
        <w:t>5644 cauze în 2014</w:t>
      </w:r>
      <w:r w:rsidRPr="002152E4">
        <w:rPr>
          <w:lang w:val="ro-RO"/>
        </w:rPr>
        <w:t>).</w:t>
      </w:r>
    </w:p>
    <w:p w:rsidR="000802D5" w:rsidRPr="002152E4" w:rsidRDefault="000802D5" w:rsidP="00573758">
      <w:pPr>
        <w:spacing w:before="120"/>
        <w:ind w:firstLine="708"/>
        <w:jc w:val="both"/>
        <w:rPr>
          <w:lang w:val="ro-RO"/>
        </w:rPr>
      </w:pPr>
      <w:r w:rsidRPr="002152E4">
        <w:rPr>
          <w:lang w:val="ro-RO"/>
        </w:rPr>
        <w:t>Situa</w:t>
      </w:r>
      <w:r w:rsidR="000332FE" w:rsidRPr="002152E4">
        <w:rPr>
          <w:lang w:val="ro-RO"/>
        </w:rPr>
        <w:t>ţia grafică este</w:t>
      </w:r>
      <w:r w:rsidRPr="002152E4">
        <w:rPr>
          <w:lang w:val="ro-RO"/>
        </w:rPr>
        <w:t xml:space="preserve"> prezentată în cele ce urmează.</w:t>
      </w:r>
    </w:p>
    <w:p w:rsidR="00B67231" w:rsidRPr="002152E4" w:rsidRDefault="00B67231" w:rsidP="00B67231">
      <w:pPr>
        <w:spacing w:before="120"/>
        <w:jc w:val="both"/>
        <w:rPr>
          <w:lang w:val="ro-RO"/>
        </w:rPr>
      </w:pPr>
    </w:p>
    <w:p w:rsidR="000802D5" w:rsidRPr="002152E4" w:rsidRDefault="008B7005" w:rsidP="000802D5">
      <w:pPr>
        <w:spacing w:before="120" w:line="360" w:lineRule="auto"/>
        <w:jc w:val="center"/>
        <w:rPr>
          <w:lang w:val="ro-RO"/>
        </w:rPr>
      </w:pPr>
      <w:r w:rsidRPr="007037CF">
        <w:fldChar w:fldCharType="begin"/>
      </w:r>
      <w:r w:rsidRPr="007037CF">
        <w:instrText xml:space="preserve"> LINK Excel.Sheet.8 "C:\\Documents and Settings\\bogdan.comaneci.CSM1909\\Desktop\\1 an 2016\\Grafice 2016.xls!Tr solut si tr specializate![Grafice 2016.xls]Tr solut si tr specializate Diagramă 99" "" \a \p \* MERGEFORMAT </w:instrText>
      </w:r>
      <w:r w:rsidRPr="007037CF">
        <w:fldChar w:fldCharType="separate"/>
      </w:r>
      <w:r w:rsidR="00C742FD">
        <w:object w:dxaOrig="13766" w:dyaOrig="6396">
          <v:shape id="_x0000_i1046" type="#_x0000_t75" style="width:495.85pt;height:231.05pt">
            <v:imagedata r:id="rId52" o:title=""/>
          </v:shape>
        </w:object>
      </w:r>
      <w:r w:rsidRPr="007037CF">
        <w:fldChar w:fldCharType="end"/>
      </w:r>
    </w:p>
    <w:p w:rsidR="000802D5" w:rsidRDefault="000802D5" w:rsidP="00573758">
      <w:pPr>
        <w:pStyle w:val="AddParagraf"/>
      </w:pPr>
      <w:r w:rsidRPr="002152E4">
        <w:t xml:space="preserve">Din cele </w:t>
      </w:r>
      <w:r w:rsidR="0054134E" w:rsidRPr="002152E4">
        <w:rPr>
          <w:b/>
        </w:rPr>
        <w:t>15</w:t>
      </w:r>
      <w:r w:rsidRPr="002152E4">
        <w:rPr>
          <w:b/>
        </w:rPr>
        <w:t>.</w:t>
      </w:r>
      <w:r w:rsidR="0054134E" w:rsidRPr="002152E4">
        <w:rPr>
          <w:b/>
        </w:rPr>
        <w:t>32</w:t>
      </w:r>
      <w:r w:rsidR="0063483C" w:rsidRPr="002152E4">
        <w:rPr>
          <w:b/>
        </w:rPr>
        <w:t>2</w:t>
      </w:r>
      <w:r w:rsidRPr="002152E4">
        <w:t xml:space="preserve"> cauze de soluţionat  la nivelul tribunalelor specializate, au fost soluţionate </w:t>
      </w:r>
      <w:r w:rsidR="0054134E" w:rsidRPr="002152E4">
        <w:rPr>
          <w:b/>
        </w:rPr>
        <w:t xml:space="preserve">9.074 </w:t>
      </w:r>
      <w:r w:rsidRPr="002152E4">
        <w:t xml:space="preserve">dosare reprezentând </w:t>
      </w:r>
      <w:r w:rsidR="0054134E" w:rsidRPr="002152E4">
        <w:rPr>
          <w:b/>
        </w:rPr>
        <w:t>59,22</w:t>
      </w:r>
      <w:r w:rsidRPr="002152E4">
        <w:rPr>
          <w:b/>
        </w:rPr>
        <w:t xml:space="preserve"> %</w:t>
      </w:r>
      <w:r w:rsidRPr="002152E4">
        <w:t xml:space="preserve">, rămânând în stoc </w:t>
      </w:r>
      <w:r w:rsidRPr="002152E4">
        <w:rPr>
          <w:b/>
        </w:rPr>
        <w:t xml:space="preserve"> </w:t>
      </w:r>
      <w:r w:rsidR="0063483C" w:rsidRPr="002152E4">
        <w:rPr>
          <w:b/>
        </w:rPr>
        <w:t>6</w:t>
      </w:r>
      <w:r w:rsidR="0054134E" w:rsidRPr="002152E4">
        <w:rPr>
          <w:b/>
        </w:rPr>
        <w:t>.24</w:t>
      </w:r>
      <w:r w:rsidR="0063483C" w:rsidRPr="002152E4">
        <w:rPr>
          <w:b/>
        </w:rPr>
        <w:t>8</w:t>
      </w:r>
      <w:r w:rsidRPr="002152E4">
        <w:rPr>
          <w:b/>
        </w:rPr>
        <w:t xml:space="preserve"> </w:t>
      </w:r>
      <w:r w:rsidRPr="002152E4">
        <w:t>cauze de soluţionat. Variaţia numărului de cauze soluţionate la tribunalele specializate este prezentată în graficul de mai jos.</w:t>
      </w:r>
    </w:p>
    <w:p w:rsidR="008B7005" w:rsidRPr="002152E4" w:rsidRDefault="008B7005" w:rsidP="00573758">
      <w:pPr>
        <w:pStyle w:val="AddParagraf"/>
      </w:pPr>
      <w:r w:rsidRPr="007037CF">
        <w:lastRenderedPageBreak/>
        <w:fldChar w:fldCharType="begin"/>
      </w:r>
      <w:r w:rsidRPr="007037CF">
        <w:instrText xml:space="preserve"> LINK Excel.Sheet.8 "C:\\Documents and Settings\\bogdan.comaneci.CSM1909\\Desktop\\1 an 2016\\Grafice 2016.xls!Tr solut si tr specializate![Grafice 2016.xls]Tr solut si tr specializate Diagramă 100" "" \a \p \* MERGEFORMAT </w:instrText>
      </w:r>
      <w:r w:rsidRPr="007037CF">
        <w:fldChar w:fldCharType="separate"/>
      </w:r>
      <w:r w:rsidR="00C742FD">
        <w:object w:dxaOrig="12402" w:dyaOrig="6573">
          <v:shape id="_x0000_i1047" type="#_x0000_t75" style="width:495.25pt;height:262.95pt">
            <v:imagedata r:id="rId53" o:title=""/>
          </v:shape>
        </w:object>
      </w:r>
      <w:r w:rsidRPr="007037CF">
        <w:fldChar w:fldCharType="end"/>
      </w:r>
    </w:p>
    <w:p w:rsidR="000802D5" w:rsidRPr="002152E4" w:rsidRDefault="00FD167E" w:rsidP="00FD167E">
      <w:pPr>
        <w:pStyle w:val="Heading3"/>
      </w:pPr>
      <w:bookmarkStart w:id="24" w:name="_Toc411333478"/>
      <w:bookmarkStart w:id="25" w:name="_Toc411429413"/>
      <w:bookmarkStart w:id="26" w:name="_Toc475363396"/>
      <w:bookmarkStart w:id="27" w:name="_Toc486576519"/>
      <w:r w:rsidRPr="002152E4">
        <w:t>II.1</w:t>
      </w:r>
      <w:r w:rsidR="008C3227" w:rsidRPr="002152E4">
        <w:t xml:space="preserve">.4. </w:t>
      </w:r>
      <w:r w:rsidR="000802D5" w:rsidRPr="002152E4">
        <w:t>Volumul de activitate la nivelul judecătoriilor</w:t>
      </w:r>
      <w:bookmarkEnd w:id="24"/>
      <w:bookmarkEnd w:id="25"/>
      <w:bookmarkEnd w:id="26"/>
      <w:bookmarkEnd w:id="27"/>
    </w:p>
    <w:p w:rsidR="00774B84" w:rsidRPr="002152E4" w:rsidRDefault="000802D5" w:rsidP="00573758">
      <w:pPr>
        <w:pStyle w:val="AddParagraf"/>
        <w:rPr>
          <w:rFonts w:cs="Tahoma"/>
        </w:rPr>
      </w:pPr>
      <w:r w:rsidRPr="002152E4">
        <w:t xml:space="preserve">La nivelul judecătoriilor, a fost înregistrat în cursul perioadei de referinţă un volum total de activitate de </w:t>
      </w:r>
      <w:r w:rsidR="008F78EE" w:rsidRPr="002152E4">
        <w:rPr>
          <w:b/>
        </w:rPr>
        <w:t>2.023.150</w:t>
      </w:r>
      <w:r w:rsidR="00EA60E8" w:rsidRPr="002152E4">
        <w:t xml:space="preserve"> </w:t>
      </w:r>
      <w:r w:rsidRPr="002152E4">
        <w:t>cauze (</w:t>
      </w:r>
      <w:r w:rsidR="008F78EE" w:rsidRPr="002152E4">
        <w:t>1.994.361 cauze în 2015 şi</w:t>
      </w:r>
      <w:r w:rsidR="008F78EE" w:rsidRPr="002152E4">
        <w:rPr>
          <w:b/>
        </w:rPr>
        <w:t xml:space="preserve"> </w:t>
      </w:r>
      <w:r w:rsidR="00EA60E8" w:rsidRPr="002152E4">
        <w:t>2.301.772 cauze în 2014</w:t>
      </w:r>
      <w:r w:rsidRPr="002152E4">
        <w:t>), cuprinzând dosarele rulate, adică stoc</w:t>
      </w:r>
      <w:r w:rsidR="008F78EE" w:rsidRPr="002152E4">
        <w:t>ul existent la 31 decembrie 2015</w:t>
      </w:r>
      <w:r w:rsidRPr="002152E4">
        <w:t>, la care se adaugă dosarele nou intrate pe parcur</w:t>
      </w:r>
      <w:r w:rsidR="008F78EE" w:rsidRPr="002152E4">
        <w:t>sul anului 2016</w:t>
      </w:r>
      <w:r w:rsidRPr="002152E4">
        <w:t>.</w:t>
      </w:r>
    </w:p>
    <w:p w:rsidR="000802D5" w:rsidRPr="002152E4" w:rsidRDefault="000802D5" w:rsidP="00573758">
      <w:pPr>
        <w:pStyle w:val="AddParagraf"/>
        <w:rPr>
          <w:rFonts w:cs="Tahoma"/>
        </w:rPr>
      </w:pPr>
      <w:r w:rsidRPr="002152E4">
        <w:t>Acesta a înregistrat la nivelul judecătoriilor, pe ultimii 5 ani, următoarea dinamică:</w:t>
      </w:r>
    </w:p>
    <w:p w:rsidR="004C5D6F" w:rsidRPr="002152E4" w:rsidRDefault="008B7005" w:rsidP="004C5D6F">
      <w:pPr>
        <w:pStyle w:val="AddParagraf"/>
        <w:ind w:firstLine="0"/>
      </w:pPr>
      <w:r w:rsidRPr="007037CF">
        <w:fldChar w:fldCharType="begin"/>
      </w:r>
      <w:r w:rsidRPr="007037CF">
        <w:instrText xml:space="preserve"> LINK Excel.Sheet.8 "C:\\Documents and Settings\\bogdan.comaneci.CSM1909\\Desktop\\1 an 2016\\Grafice 2016.xls!Grafic 12![Grafice 2016.xls]Grafic 12 Diagramă 1" "" \a \p \* MERGEFORMAT </w:instrText>
      </w:r>
      <w:r w:rsidRPr="007037CF">
        <w:fldChar w:fldCharType="separate"/>
      </w:r>
      <w:r w:rsidR="00C742FD">
        <w:object w:dxaOrig="12508" w:dyaOrig="6892">
          <v:shape id="_x0000_i1048" type="#_x0000_t75" style="width:495.85pt;height:273.6pt">
            <v:imagedata r:id="rId54" o:title=""/>
          </v:shape>
        </w:object>
      </w:r>
      <w:r w:rsidRPr="007037CF">
        <w:fldChar w:fldCharType="end"/>
      </w:r>
    </w:p>
    <w:p w:rsidR="000802D5" w:rsidRPr="002152E4" w:rsidRDefault="004C5D6F" w:rsidP="00573758">
      <w:pPr>
        <w:pStyle w:val="AddParagraf"/>
        <w:rPr>
          <w:b/>
        </w:rPr>
      </w:pPr>
      <w:r w:rsidRPr="002152E4">
        <w:t>Faţă de anul 2015</w:t>
      </w:r>
      <w:r w:rsidR="000802D5" w:rsidRPr="002152E4">
        <w:t xml:space="preserve">, volumul de activitate la nivelul judecătoriilor a </w:t>
      </w:r>
      <w:r w:rsidRPr="002152E4">
        <w:t xml:space="preserve">crescut </w:t>
      </w:r>
      <w:r w:rsidR="000802D5" w:rsidRPr="002152E4">
        <w:t>cu</w:t>
      </w:r>
      <w:r w:rsidR="000802D5" w:rsidRPr="002152E4">
        <w:rPr>
          <w:b/>
        </w:rPr>
        <w:t xml:space="preserve"> </w:t>
      </w:r>
      <w:r w:rsidRPr="002152E4">
        <w:rPr>
          <w:b/>
        </w:rPr>
        <w:t>28.789</w:t>
      </w:r>
      <w:r w:rsidR="000802D5" w:rsidRPr="002152E4">
        <w:rPr>
          <w:b/>
        </w:rPr>
        <w:t xml:space="preserve"> </w:t>
      </w:r>
      <w:r w:rsidR="000802D5" w:rsidRPr="002152E4">
        <w:t>cauze</w:t>
      </w:r>
      <w:r w:rsidR="000802D5" w:rsidRPr="002152E4">
        <w:rPr>
          <w:b/>
        </w:rPr>
        <w:t xml:space="preserve"> </w:t>
      </w:r>
      <w:r w:rsidR="000802D5" w:rsidRPr="002152E4">
        <w:t xml:space="preserve">ceea ce reprezintă </w:t>
      </w:r>
      <w:r w:rsidR="00853B10" w:rsidRPr="002152E4">
        <w:rPr>
          <w:b/>
        </w:rPr>
        <w:t>1,44</w:t>
      </w:r>
      <w:r w:rsidR="000802D5" w:rsidRPr="002152E4">
        <w:rPr>
          <w:b/>
        </w:rPr>
        <w:t xml:space="preserve"> % (</w:t>
      </w:r>
      <w:r w:rsidR="001231B4" w:rsidRPr="002152E4">
        <w:t xml:space="preserve">faţă de anul </w:t>
      </w:r>
      <w:smartTag w:uri="urn:schemas-microsoft-com:office:smarttags" w:element="metricconverter">
        <w:smartTagPr>
          <w:attr w:name="ProductID" w:val="2012 a"/>
        </w:smartTagPr>
        <w:r w:rsidR="00853B10" w:rsidRPr="002152E4">
          <w:t>2012</w:t>
        </w:r>
        <w:r w:rsidR="000802D5" w:rsidRPr="002152E4">
          <w:t xml:space="preserve"> a</w:t>
        </w:r>
      </w:smartTag>
      <w:r w:rsidR="000802D5" w:rsidRPr="002152E4">
        <w:t xml:space="preserve"> crescut cu </w:t>
      </w:r>
      <w:r w:rsidR="00853B10" w:rsidRPr="002152E4">
        <w:rPr>
          <w:b/>
        </w:rPr>
        <w:t>76.521</w:t>
      </w:r>
      <w:r w:rsidR="000802D5" w:rsidRPr="002152E4">
        <w:rPr>
          <w:b/>
        </w:rPr>
        <w:t xml:space="preserve"> </w:t>
      </w:r>
      <w:r w:rsidR="000802D5" w:rsidRPr="002152E4">
        <w:t xml:space="preserve">cauze ceea ce reprezintă o creştere cu </w:t>
      </w:r>
      <w:r w:rsidR="00853B10" w:rsidRPr="002152E4">
        <w:rPr>
          <w:b/>
        </w:rPr>
        <w:t>3,93</w:t>
      </w:r>
      <w:r w:rsidR="000802D5" w:rsidRPr="002152E4">
        <w:rPr>
          <w:b/>
        </w:rPr>
        <w:t xml:space="preserve"> %)</w:t>
      </w:r>
      <w:r w:rsidR="000802D5" w:rsidRPr="002152E4">
        <w:t>.</w:t>
      </w:r>
    </w:p>
    <w:p w:rsidR="000802D5" w:rsidRDefault="000802D5" w:rsidP="00573758">
      <w:pPr>
        <w:pStyle w:val="AddParagraf"/>
      </w:pPr>
      <w:r w:rsidRPr="002152E4">
        <w:lastRenderedPageBreak/>
        <w:t>Sub aspectul stocurilor şi al cauzelor nou intrate, în ultimii 5 ani, situaţia se prezintă după cum urmează:</w:t>
      </w:r>
    </w:p>
    <w:p w:rsidR="008B7005" w:rsidRPr="002152E4" w:rsidRDefault="008B7005" w:rsidP="00573758">
      <w:pPr>
        <w:pStyle w:val="AddParagraf"/>
      </w:pPr>
      <w:r w:rsidRPr="007037CF">
        <w:fldChar w:fldCharType="begin"/>
      </w:r>
      <w:r w:rsidRPr="007037CF">
        <w:instrText xml:space="preserve"> LINK Excel.Sheet.8 "C:\\Documents and Settings\\bogdan.comaneci.CSM1909\\Desktop\\1 an 2016\\Grafice 2016.xls!Grafic 13![Grafice 2016.xls]Grafic 13 Diagramă 1" "" \a \p \* MERGEFORMAT </w:instrText>
      </w:r>
      <w:r w:rsidRPr="007037CF">
        <w:fldChar w:fldCharType="separate"/>
      </w:r>
      <w:r w:rsidR="00C742FD">
        <w:object w:dxaOrig="12225" w:dyaOrig="6485">
          <v:shape id="_x0000_i1049" type="#_x0000_t75" style="width:494.6pt;height:262.35pt">
            <v:imagedata r:id="rId55" o:title=""/>
          </v:shape>
        </w:object>
      </w:r>
      <w:r w:rsidRPr="007037CF">
        <w:fldChar w:fldCharType="end"/>
      </w:r>
    </w:p>
    <w:p w:rsidR="000802D5" w:rsidRPr="002152E4" w:rsidRDefault="00B4231E" w:rsidP="00573758">
      <w:pPr>
        <w:pStyle w:val="AddParagraf"/>
      </w:pPr>
      <w:r w:rsidRPr="002152E4">
        <w:t>Comparativ cu anul 2015</w:t>
      </w:r>
      <w:r w:rsidR="000802D5" w:rsidRPr="002152E4">
        <w:t xml:space="preserve"> nivelul stocurilor de dosare a </w:t>
      </w:r>
      <w:r w:rsidR="00683D78" w:rsidRPr="002152E4">
        <w:t xml:space="preserve">scăzut </w:t>
      </w:r>
      <w:r w:rsidR="000802D5" w:rsidRPr="002152E4">
        <w:t xml:space="preserve">cu </w:t>
      </w:r>
      <w:r w:rsidRPr="002152E4">
        <w:rPr>
          <w:b/>
        </w:rPr>
        <w:t>107.652</w:t>
      </w:r>
      <w:r w:rsidRPr="002152E4">
        <w:t xml:space="preserve"> </w:t>
      </w:r>
      <w:r w:rsidR="000802D5" w:rsidRPr="002152E4">
        <w:t xml:space="preserve">dosare ceea ce reprezintă </w:t>
      </w:r>
      <w:r w:rsidRPr="002152E4">
        <w:rPr>
          <w:b/>
        </w:rPr>
        <w:t>17,85</w:t>
      </w:r>
      <w:r w:rsidR="000802D5" w:rsidRPr="002152E4">
        <w:rPr>
          <w:b/>
        </w:rPr>
        <w:t xml:space="preserve"> %</w:t>
      </w:r>
      <w:r w:rsidR="000802D5" w:rsidRPr="002152E4">
        <w:t xml:space="preserve"> în timp ce numărul dosarelor nou intrate a</w:t>
      </w:r>
      <w:r w:rsidRPr="002152E4">
        <w:t xml:space="preserve"> crescut</w:t>
      </w:r>
      <w:r w:rsidR="00F41470" w:rsidRPr="002152E4">
        <w:t xml:space="preserve"> </w:t>
      </w:r>
      <w:r w:rsidR="000802D5" w:rsidRPr="002152E4">
        <w:t>cu</w:t>
      </w:r>
      <w:r w:rsidR="000802D5" w:rsidRPr="002152E4">
        <w:rPr>
          <w:b/>
        </w:rPr>
        <w:t xml:space="preserve"> </w:t>
      </w:r>
      <w:r w:rsidRPr="002152E4">
        <w:rPr>
          <w:b/>
        </w:rPr>
        <w:t>136.441</w:t>
      </w:r>
      <w:r w:rsidR="000802D5" w:rsidRPr="002152E4">
        <w:t xml:space="preserve"> dosare ceea ce reprezintă </w:t>
      </w:r>
      <w:r w:rsidRPr="002152E4">
        <w:rPr>
          <w:b/>
        </w:rPr>
        <w:t>9,81</w:t>
      </w:r>
      <w:r w:rsidR="000802D5" w:rsidRPr="002152E4">
        <w:rPr>
          <w:b/>
        </w:rPr>
        <w:t xml:space="preserve"> %</w:t>
      </w:r>
      <w:r w:rsidR="000802D5" w:rsidRPr="002152E4">
        <w:t>.</w:t>
      </w:r>
    </w:p>
    <w:p w:rsidR="000802D5" w:rsidRPr="002152E4" w:rsidRDefault="000802D5" w:rsidP="00573758">
      <w:pPr>
        <w:pStyle w:val="AddParagraf"/>
      </w:pPr>
      <w:r w:rsidRPr="002152E4">
        <w:t>Creşterea volumului de cauze nou intrate a fost justificat de judecătorii în materie penală prin numărul mare de plângeri soluţionate de judecătorul delegat în materia sancţionării disciplinare a deţinuţilor, numărul mare de cereri formulate în procedura camerei preliminare şi a judecătorului de drepturi şi libertăţi, dar şi prin numărul mare de contestaţiile la executare.</w:t>
      </w:r>
    </w:p>
    <w:p w:rsidR="000802D5" w:rsidRPr="002152E4" w:rsidRDefault="000802D5" w:rsidP="00573758">
      <w:pPr>
        <w:pStyle w:val="AddParagraf"/>
      </w:pPr>
      <w:r w:rsidRPr="002152E4">
        <w:t>De asemenea, în materie civilă a fost invocat numărul mare de dosare care privesc executarea (în special contestaţiile la executare) precum şi folosirea cu predilecţie de către justiţiabili a cererilor de valoare redusă.</w:t>
      </w:r>
    </w:p>
    <w:p w:rsidR="000802D5" w:rsidRPr="002152E4" w:rsidRDefault="000802D5" w:rsidP="0089462A">
      <w:pPr>
        <w:pStyle w:val="AddParagraf"/>
      </w:pPr>
      <w:r w:rsidRPr="002152E4">
        <w:t>În funcţie de volumul de activitate, judecătoriile pot fi grupate astfel:</w:t>
      </w:r>
    </w:p>
    <w:p w:rsidR="000802D5" w:rsidRPr="002152E4" w:rsidRDefault="000802D5" w:rsidP="00C72B60">
      <w:pPr>
        <w:numPr>
          <w:ilvl w:val="0"/>
          <w:numId w:val="6"/>
        </w:numPr>
        <w:spacing w:before="120"/>
        <w:jc w:val="both"/>
        <w:rPr>
          <w:rFonts w:cs="Arial"/>
          <w:b/>
          <w:lang w:val="ro-RO"/>
        </w:rPr>
      </w:pPr>
      <w:r w:rsidRPr="002152E4">
        <w:rPr>
          <w:rFonts w:cs="Arial"/>
          <w:lang w:val="ro-RO"/>
        </w:rPr>
        <w:t xml:space="preserve">instanţe </w:t>
      </w:r>
      <w:r w:rsidR="007B40C6" w:rsidRPr="002152E4">
        <w:rPr>
          <w:rFonts w:cs="Arial"/>
          <w:lang w:val="ro-RO"/>
        </w:rPr>
        <w:t xml:space="preserve">cu volum situat sub 3.000 cauze </w:t>
      </w:r>
      <w:r w:rsidRPr="002152E4">
        <w:rPr>
          <w:rFonts w:cs="Arial"/>
          <w:lang w:val="ro-RO"/>
        </w:rPr>
        <w:t xml:space="preserve">– </w:t>
      </w:r>
      <w:r w:rsidR="00081B40" w:rsidRPr="002152E4">
        <w:rPr>
          <w:rFonts w:cs="Arial"/>
          <w:b/>
          <w:lang w:val="ro-RO"/>
        </w:rPr>
        <w:t>28</w:t>
      </w:r>
      <w:r w:rsidRPr="002152E4">
        <w:rPr>
          <w:rFonts w:cs="Arial"/>
          <w:lang w:val="ro-RO"/>
        </w:rPr>
        <w:t>;</w:t>
      </w:r>
    </w:p>
    <w:p w:rsidR="000802D5" w:rsidRPr="002152E4" w:rsidRDefault="000802D5" w:rsidP="00C72B60">
      <w:pPr>
        <w:numPr>
          <w:ilvl w:val="0"/>
          <w:numId w:val="6"/>
        </w:numPr>
        <w:spacing w:before="120"/>
        <w:jc w:val="both"/>
        <w:rPr>
          <w:rFonts w:cs="Arial"/>
          <w:b/>
          <w:lang w:val="ro-RO"/>
        </w:rPr>
      </w:pPr>
      <w:r w:rsidRPr="002152E4">
        <w:rPr>
          <w:rFonts w:cs="Arial"/>
          <w:lang w:val="ro-RO"/>
        </w:rPr>
        <w:t xml:space="preserve">instanţe cu volum </w:t>
      </w:r>
      <w:r w:rsidRPr="002152E4">
        <w:rPr>
          <w:lang w:val="ro-RO"/>
        </w:rPr>
        <w:t>cuprins între 3.000 - 5.000 cauze</w:t>
      </w:r>
      <w:r w:rsidRPr="002152E4">
        <w:rPr>
          <w:rFonts w:cs="Arial"/>
          <w:lang w:val="ro-RO"/>
        </w:rPr>
        <w:t xml:space="preserve"> – </w:t>
      </w:r>
      <w:r w:rsidR="00081B40" w:rsidRPr="002152E4">
        <w:rPr>
          <w:rFonts w:cs="Arial"/>
          <w:b/>
          <w:lang w:val="ro-RO"/>
        </w:rPr>
        <w:t>51</w:t>
      </w:r>
      <w:r w:rsidRPr="002152E4">
        <w:rPr>
          <w:rFonts w:cs="Arial"/>
          <w:lang w:val="ro-RO"/>
        </w:rPr>
        <w:t>;</w:t>
      </w:r>
    </w:p>
    <w:p w:rsidR="000802D5" w:rsidRPr="002152E4" w:rsidRDefault="000802D5" w:rsidP="00C72B60">
      <w:pPr>
        <w:numPr>
          <w:ilvl w:val="0"/>
          <w:numId w:val="6"/>
        </w:numPr>
        <w:spacing w:before="120"/>
        <w:jc w:val="both"/>
        <w:rPr>
          <w:b/>
          <w:lang w:val="ro-RO"/>
        </w:rPr>
      </w:pPr>
      <w:r w:rsidRPr="002152E4">
        <w:rPr>
          <w:lang w:val="ro-RO"/>
        </w:rPr>
        <w:t xml:space="preserve">instanţe cu volum cuprins între 5.000-10.000 cauze - </w:t>
      </w:r>
      <w:r w:rsidR="00081B40" w:rsidRPr="002152E4">
        <w:rPr>
          <w:b/>
          <w:lang w:val="ro-RO"/>
        </w:rPr>
        <w:t>45</w:t>
      </w:r>
      <w:r w:rsidRPr="002152E4">
        <w:rPr>
          <w:lang w:val="ro-RO"/>
        </w:rPr>
        <w:t xml:space="preserve">; </w:t>
      </w:r>
    </w:p>
    <w:p w:rsidR="000802D5" w:rsidRPr="002152E4" w:rsidRDefault="000802D5" w:rsidP="00C72B60">
      <w:pPr>
        <w:numPr>
          <w:ilvl w:val="0"/>
          <w:numId w:val="6"/>
        </w:numPr>
        <w:spacing w:before="120"/>
        <w:jc w:val="both"/>
        <w:rPr>
          <w:lang w:val="ro-RO"/>
        </w:rPr>
      </w:pPr>
      <w:r w:rsidRPr="002152E4">
        <w:rPr>
          <w:lang w:val="ro-RO"/>
        </w:rPr>
        <w:t xml:space="preserve">instanţe cu volum cuprins între 10.000-15.000 cauze - </w:t>
      </w:r>
      <w:r w:rsidR="007B40C6" w:rsidRPr="002152E4">
        <w:rPr>
          <w:b/>
          <w:lang w:val="ro-RO"/>
        </w:rPr>
        <w:t>1</w:t>
      </w:r>
      <w:r w:rsidR="00081B40" w:rsidRPr="002152E4">
        <w:rPr>
          <w:b/>
          <w:lang w:val="ro-RO"/>
        </w:rPr>
        <w:t>3</w:t>
      </w:r>
      <w:r w:rsidRPr="002152E4">
        <w:rPr>
          <w:lang w:val="ro-RO"/>
        </w:rPr>
        <w:t>;</w:t>
      </w:r>
    </w:p>
    <w:p w:rsidR="000802D5" w:rsidRPr="002152E4" w:rsidRDefault="000802D5" w:rsidP="00C72B60">
      <w:pPr>
        <w:numPr>
          <w:ilvl w:val="0"/>
          <w:numId w:val="6"/>
        </w:numPr>
        <w:spacing w:before="120"/>
        <w:jc w:val="both"/>
        <w:rPr>
          <w:lang w:val="ro-RO"/>
        </w:rPr>
      </w:pPr>
      <w:r w:rsidRPr="002152E4">
        <w:rPr>
          <w:lang w:val="ro-RO"/>
        </w:rPr>
        <w:t xml:space="preserve">instanţe cu volum cuprins între 15.000-20.000 cauze - </w:t>
      </w:r>
      <w:r w:rsidR="007B40C6" w:rsidRPr="002152E4">
        <w:rPr>
          <w:b/>
          <w:lang w:val="ro-RO"/>
        </w:rPr>
        <w:t>7</w:t>
      </w:r>
      <w:r w:rsidRPr="002152E4">
        <w:rPr>
          <w:lang w:val="ro-RO"/>
        </w:rPr>
        <w:t>;</w:t>
      </w:r>
    </w:p>
    <w:p w:rsidR="000802D5" w:rsidRPr="002152E4" w:rsidRDefault="000802D5" w:rsidP="00C72B60">
      <w:pPr>
        <w:numPr>
          <w:ilvl w:val="0"/>
          <w:numId w:val="6"/>
        </w:numPr>
        <w:spacing w:before="120"/>
        <w:jc w:val="both"/>
        <w:rPr>
          <w:b/>
          <w:lang w:val="ro-RO"/>
        </w:rPr>
      </w:pPr>
      <w:r w:rsidRPr="002152E4">
        <w:rPr>
          <w:lang w:val="ro-RO"/>
        </w:rPr>
        <w:t xml:space="preserve">instanţe cu volum cuprins între 20.000-30.000 cauze - </w:t>
      </w:r>
      <w:r w:rsidR="007B40C6" w:rsidRPr="002152E4">
        <w:rPr>
          <w:b/>
          <w:lang w:val="ro-RO"/>
        </w:rPr>
        <w:t>1</w:t>
      </w:r>
      <w:r w:rsidR="00081B40" w:rsidRPr="002152E4">
        <w:rPr>
          <w:b/>
          <w:lang w:val="ro-RO"/>
        </w:rPr>
        <w:t>3</w:t>
      </w:r>
      <w:r w:rsidRPr="002152E4">
        <w:rPr>
          <w:lang w:val="ro-RO"/>
        </w:rPr>
        <w:t>;</w:t>
      </w:r>
    </w:p>
    <w:p w:rsidR="000802D5" w:rsidRPr="002152E4" w:rsidRDefault="000802D5" w:rsidP="00C72B60">
      <w:pPr>
        <w:numPr>
          <w:ilvl w:val="0"/>
          <w:numId w:val="6"/>
        </w:numPr>
        <w:spacing w:before="120"/>
        <w:jc w:val="both"/>
        <w:rPr>
          <w:b/>
          <w:lang w:val="ro-RO"/>
        </w:rPr>
      </w:pPr>
      <w:r w:rsidRPr="002152E4">
        <w:rPr>
          <w:lang w:val="ro-RO"/>
        </w:rPr>
        <w:t xml:space="preserve">instanţe cu un volum cuprins intre 30.000 – 50.000 cauze - </w:t>
      </w:r>
      <w:r w:rsidR="007B40C6" w:rsidRPr="002152E4">
        <w:rPr>
          <w:b/>
          <w:lang w:val="ro-RO"/>
        </w:rPr>
        <w:t>1</w:t>
      </w:r>
      <w:r w:rsidR="00081B40" w:rsidRPr="002152E4">
        <w:rPr>
          <w:b/>
          <w:lang w:val="ro-RO"/>
        </w:rPr>
        <w:t>3</w:t>
      </w:r>
      <w:r w:rsidRPr="002152E4">
        <w:rPr>
          <w:lang w:val="ro-RO"/>
        </w:rPr>
        <w:t>;</w:t>
      </w:r>
    </w:p>
    <w:p w:rsidR="000802D5" w:rsidRPr="002152E4" w:rsidRDefault="007B40C6" w:rsidP="00C72B60">
      <w:pPr>
        <w:numPr>
          <w:ilvl w:val="0"/>
          <w:numId w:val="6"/>
        </w:numPr>
        <w:spacing w:before="120"/>
        <w:jc w:val="both"/>
        <w:rPr>
          <w:b/>
          <w:lang w:val="ro-RO"/>
        </w:rPr>
      </w:pPr>
      <w:r w:rsidRPr="002152E4">
        <w:rPr>
          <w:lang w:val="ro-RO"/>
        </w:rPr>
        <w:t>instanţ</w:t>
      </w:r>
      <w:r w:rsidR="000802D5" w:rsidRPr="002152E4">
        <w:rPr>
          <w:lang w:val="ro-RO"/>
        </w:rPr>
        <w:t xml:space="preserve">e cu un volum de peste 50.000 de cauze – </w:t>
      </w:r>
      <w:r w:rsidRPr="002152E4">
        <w:rPr>
          <w:b/>
          <w:lang w:val="ro-RO"/>
        </w:rPr>
        <w:t>6</w:t>
      </w:r>
      <w:r w:rsidR="000802D5" w:rsidRPr="002152E4">
        <w:rPr>
          <w:b/>
          <w:lang w:val="ro-RO"/>
        </w:rPr>
        <w:t>.</w:t>
      </w:r>
    </w:p>
    <w:p w:rsidR="000802D5" w:rsidRPr="002152E4" w:rsidRDefault="000802D5" w:rsidP="00341112">
      <w:pPr>
        <w:spacing w:before="120"/>
        <w:jc w:val="center"/>
        <w:rPr>
          <w:b/>
          <w:lang w:val="ro-RO"/>
        </w:rPr>
      </w:pPr>
      <w:r w:rsidRPr="002152E4">
        <w:rPr>
          <w:b/>
          <w:lang w:val="ro-RO"/>
        </w:rPr>
        <w:t>Volumul de activitate al judecătoriilor – situaţie comparativă</w:t>
      </w:r>
    </w:p>
    <w:p w:rsidR="000802D5" w:rsidRPr="002152E4" w:rsidRDefault="007041EF" w:rsidP="000802D5">
      <w:pPr>
        <w:spacing w:line="360" w:lineRule="auto"/>
        <w:jc w:val="center"/>
        <w:rPr>
          <w:b/>
          <w:lang w:val="ro-RO"/>
        </w:rPr>
      </w:pPr>
      <w:r w:rsidRPr="002152E4">
        <w:rPr>
          <w:b/>
          <w:noProof/>
        </w:rPr>
        <w:lastRenderedPageBreak/>
        <w:drawing>
          <wp:inline distT="0" distB="0" distL="0" distR="0" wp14:anchorId="4BD1FB82" wp14:editId="51AA9107">
            <wp:extent cx="5791200" cy="2956560"/>
            <wp:effectExtent l="0" t="0" r="0" b="0"/>
            <wp:docPr id="30" name="Object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0802D5" w:rsidRPr="002152E4" w:rsidRDefault="00854521" w:rsidP="00A26540">
      <w:pPr>
        <w:ind w:firstLine="708"/>
        <w:jc w:val="both"/>
        <w:rPr>
          <w:lang w:val="ro-RO" w:eastAsia="ro-RO"/>
        </w:rPr>
      </w:pPr>
      <w:r w:rsidRPr="002152E4">
        <w:rPr>
          <w:lang w:val="ro-RO"/>
        </w:rPr>
        <w:t>A</w:t>
      </w:r>
      <w:r w:rsidR="000802D5" w:rsidRPr="002152E4">
        <w:rPr>
          <w:lang w:val="ro-RO"/>
        </w:rPr>
        <w:t xml:space="preserve">u fost înregistrate </w:t>
      </w:r>
      <w:r w:rsidR="00E74987" w:rsidRPr="002152E4">
        <w:rPr>
          <w:b/>
          <w:lang w:val="ro-RO"/>
        </w:rPr>
        <w:t>6</w:t>
      </w:r>
      <w:r w:rsidR="000802D5" w:rsidRPr="002152E4">
        <w:rPr>
          <w:b/>
          <w:lang w:val="ro-RO"/>
        </w:rPr>
        <w:t xml:space="preserve"> </w:t>
      </w:r>
      <w:r w:rsidR="000802D5" w:rsidRPr="002152E4">
        <w:rPr>
          <w:lang w:val="ro-RO"/>
        </w:rPr>
        <w:t xml:space="preserve">instanţe ce au depăşit bariera de 50.000 de dosare, acestea fiind următoarele: </w:t>
      </w:r>
      <w:r w:rsidR="004B1138" w:rsidRPr="002152E4">
        <w:rPr>
          <w:rFonts w:cs="Arial"/>
          <w:lang w:val="ro-RO" w:eastAsia="ro-RO"/>
        </w:rPr>
        <w:t xml:space="preserve">Judecatoria Sector 2 Bucureşti (55.318), Judecatoria Constanţa (55931), Judecatoria Sectorul 3 </w:t>
      </w:r>
      <w:r w:rsidR="002152E4" w:rsidRPr="002152E4">
        <w:rPr>
          <w:rFonts w:cs="Arial"/>
          <w:lang w:val="ro-RO" w:eastAsia="ro-RO"/>
        </w:rPr>
        <w:t>Bucureşti</w:t>
      </w:r>
      <w:r w:rsidR="004B1138" w:rsidRPr="002152E4">
        <w:rPr>
          <w:rFonts w:cs="Arial"/>
          <w:lang w:val="ro-RO" w:eastAsia="ro-RO"/>
        </w:rPr>
        <w:t xml:space="preserve"> (56414), Judecatoria Craiova (56481), Judecatoria </w:t>
      </w:r>
      <w:r w:rsidR="002152E4" w:rsidRPr="002152E4">
        <w:rPr>
          <w:rFonts w:cs="Arial"/>
          <w:lang w:val="ro-RO" w:eastAsia="ro-RO"/>
        </w:rPr>
        <w:t>Iaşi</w:t>
      </w:r>
      <w:r w:rsidR="004B1138" w:rsidRPr="002152E4">
        <w:rPr>
          <w:rFonts w:cs="Arial"/>
          <w:lang w:val="ro-RO" w:eastAsia="ro-RO"/>
        </w:rPr>
        <w:t xml:space="preserve"> (62865), Judecatoria Sectorul 1 </w:t>
      </w:r>
      <w:r w:rsidR="002152E4" w:rsidRPr="002152E4">
        <w:rPr>
          <w:rFonts w:cs="Arial"/>
          <w:lang w:val="ro-RO" w:eastAsia="ro-RO"/>
        </w:rPr>
        <w:t>Bucureşti</w:t>
      </w:r>
      <w:r w:rsidR="004B1138" w:rsidRPr="002152E4">
        <w:rPr>
          <w:rFonts w:cs="Arial"/>
          <w:lang w:val="ro-RO" w:eastAsia="ro-RO"/>
        </w:rPr>
        <w:t xml:space="preserve"> (69873).</w:t>
      </w:r>
    </w:p>
    <w:p w:rsidR="000802D5" w:rsidRPr="002152E4" w:rsidRDefault="000802D5" w:rsidP="00A26540">
      <w:pPr>
        <w:ind w:firstLine="708"/>
        <w:jc w:val="both"/>
        <w:rPr>
          <w:lang w:val="ro-RO"/>
        </w:rPr>
      </w:pPr>
      <w:r w:rsidRPr="002152E4">
        <w:rPr>
          <w:lang w:val="ro-RO"/>
        </w:rPr>
        <w:t xml:space="preserve">Judecătoriile care au înregistrat un volum de activitate sub 1500 dosare sunt: </w:t>
      </w:r>
      <w:r w:rsidR="00A91FB0" w:rsidRPr="002152E4">
        <w:rPr>
          <w:rFonts w:cs="Arial"/>
          <w:lang w:val="ro-RO" w:eastAsia="ro-RO"/>
        </w:rPr>
        <w:t xml:space="preserve">Judecatoria </w:t>
      </w:r>
      <w:r w:rsidR="002152E4" w:rsidRPr="002152E4">
        <w:rPr>
          <w:rFonts w:cs="Arial"/>
          <w:lang w:val="ro-RO" w:eastAsia="ro-RO"/>
        </w:rPr>
        <w:t>Întorsura</w:t>
      </w:r>
      <w:r w:rsidR="00A91FB0" w:rsidRPr="002152E4">
        <w:rPr>
          <w:rFonts w:cs="Arial"/>
          <w:lang w:val="ro-RO" w:eastAsia="ro-RO"/>
        </w:rPr>
        <w:t xml:space="preserve"> </w:t>
      </w:r>
      <w:r w:rsidR="002152E4" w:rsidRPr="002152E4">
        <w:rPr>
          <w:rFonts w:cs="Arial"/>
          <w:lang w:val="ro-RO" w:eastAsia="ro-RO"/>
        </w:rPr>
        <w:t>Buzăului</w:t>
      </w:r>
      <w:r w:rsidR="00631BB4">
        <w:rPr>
          <w:rFonts w:cs="Arial"/>
          <w:lang w:val="ro-RO" w:eastAsia="ro-RO"/>
        </w:rPr>
        <w:t xml:space="preserve"> (913), Judecatoria Baia d</w:t>
      </w:r>
      <w:r w:rsidR="00A91FB0" w:rsidRPr="002152E4">
        <w:rPr>
          <w:rFonts w:cs="Arial"/>
          <w:lang w:val="ro-RO" w:eastAsia="ro-RO"/>
        </w:rPr>
        <w:t xml:space="preserve">e Arama (1253), Judecatoria </w:t>
      </w:r>
      <w:r w:rsidR="002152E4" w:rsidRPr="002152E4">
        <w:rPr>
          <w:rFonts w:cs="Arial"/>
          <w:lang w:val="ro-RO" w:eastAsia="ro-RO"/>
        </w:rPr>
        <w:t>Dragomireşti</w:t>
      </w:r>
      <w:r w:rsidR="00A91FB0" w:rsidRPr="002152E4">
        <w:rPr>
          <w:rFonts w:cs="Arial"/>
          <w:lang w:val="ro-RO" w:eastAsia="ro-RO"/>
        </w:rPr>
        <w:t xml:space="preserve"> (1293) şi Judecatoria </w:t>
      </w:r>
      <w:r w:rsidR="002152E4" w:rsidRPr="002152E4">
        <w:rPr>
          <w:rFonts w:cs="Arial"/>
          <w:lang w:val="ro-RO" w:eastAsia="ro-RO"/>
        </w:rPr>
        <w:t>Făget</w:t>
      </w:r>
      <w:r w:rsidR="00A91FB0" w:rsidRPr="002152E4">
        <w:rPr>
          <w:rFonts w:cs="Arial"/>
          <w:lang w:val="ro-RO" w:eastAsia="ro-RO"/>
        </w:rPr>
        <w:t xml:space="preserve"> (1369).</w:t>
      </w:r>
    </w:p>
    <w:p w:rsidR="000802D5" w:rsidRPr="002152E4" w:rsidRDefault="000802D5" w:rsidP="00C425CC">
      <w:pPr>
        <w:ind w:firstLine="708"/>
        <w:jc w:val="both"/>
        <w:rPr>
          <w:lang w:val="ro-RO"/>
        </w:rPr>
      </w:pPr>
      <w:r w:rsidRPr="002152E4">
        <w:rPr>
          <w:lang w:val="ro-RO"/>
        </w:rPr>
        <w:t xml:space="preserve">Dintre cele </w:t>
      </w:r>
      <w:r w:rsidR="00BC7653" w:rsidRPr="002152E4">
        <w:rPr>
          <w:b/>
          <w:lang w:val="ro-RO"/>
        </w:rPr>
        <w:t>2.023.150</w:t>
      </w:r>
      <w:r w:rsidRPr="002152E4">
        <w:rPr>
          <w:lang w:val="ro-RO"/>
        </w:rPr>
        <w:t xml:space="preserve"> </w:t>
      </w:r>
      <w:r w:rsidR="00BC7653" w:rsidRPr="002152E4">
        <w:rPr>
          <w:lang w:val="ro-RO"/>
        </w:rPr>
        <w:t xml:space="preserve">cauze rulate în cursul anul </w:t>
      </w:r>
      <w:smartTag w:uri="urn:schemas-microsoft-com:office:smarttags" w:element="metricconverter">
        <w:smartTagPr>
          <w:attr w:name="ProductID" w:val="2016 a"/>
        </w:smartTagPr>
        <w:r w:rsidR="00BC7653" w:rsidRPr="002152E4">
          <w:rPr>
            <w:lang w:val="ro-RO"/>
          </w:rPr>
          <w:t>2016</w:t>
        </w:r>
        <w:r w:rsidRPr="002152E4">
          <w:rPr>
            <w:lang w:val="ro-RO"/>
          </w:rPr>
          <w:t xml:space="preserve"> a</w:t>
        </w:r>
      </w:smartTag>
      <w:r w:rsidRPr="002152E4">
        <w:rPr>
          <w:lang w:val="ro-RO"/>
        </w:rPr>
        <w:t xml:space="preserve"> fost soluţionat un număr de </w:t>
      </w:r>
      <w:r w:rsidRPr="002152E4">
        <w:rPr>
          <w:b/>
          <w:lang w:val="ro-RO"/>
        </w:rPr>
        <w:t>1.</w:t>
      </w:r>
      <w:r w:rsidR="00BC7653" w:rsidRPr="002152E4">
        <w:rPr>
          <w:b/>
          <w:lang w:val="ro-RO"/>
        </w:rPr>
        <w:t>523.519</w:t>
      </w:r>
      <w:r w:rsidRPr="002152E4">
        <w:rPr>
          <w:lang w:val="ro-RO"/>
        </w:rPr>
        <w:t xml:space="preserve"> dosare, ceea ce reprezintă </w:t>
      </w:r>
      <w:r w:rsidR="00000B7A" w:rsidRPr="002152E4">
        <w:rPr>
          <w:b/>
          <w:lang w:val="ro-RO"/>
        </w:rPr>
        <w:t>75,3 %</w:t>
      </w:r>
      <w:r w:rsidR="00000B7A" w:rsidRPr="002152E4">
        <w:rPr>
          <w:lang w:val="ro-RO"/>
        </w:rPr>
        <w:t xml:space="preserve"> </w:t>
      </w:r>
      <w:r w:rsidRPr="002152E4">
        <w:rPr>
          <w:lang w:val="ro-RO"/>
        </w:rPr>
        <w:t>(</w:t>
      </w:r>
      <w:r w:rsidR="00C21E7B" w:rsidRPr="002152E4">
        <w:rPr>
          <w:lang w:val="ro-RO"/>
        </w:rPr>
        <w:t>75,6 % în anul 2015</w:t>
      </w:r>
      <w:r w:rsidR="00C21E7B" w:rsidRPr="002152E4">
        <w:rPr>
          <w:b/>
          <w:lang w:val="ro-RO"/>
        </w:rPr>
        <w:t xml:space="preserve"> şi </w:t>
      </w:r>
      <w:r w:rsidR="00D954AB" w:rsidRPr="002152E4">
        <w:rPr>
          <w:lang w:val="ro-RO"/>
        </w:rPr>
        <w:t>74,06 % în anul 2014</w:t>
      </w:r>
      <w:r w:rsidRPr="002152E4">
        <w:rPr>
          <w:lang w:val="ro-RO"/>
        </w:rPr>
        <w:t>).</w:t>
      </w:r>
    </w:p>
    <w:p w:rsidR="000802D5" w:rsidRPr="002152E4" w:rsidRDefault="000802D5" w:rsidP="0089462A">
      <w:pPr>
        <w:pStyle w:val="AddParagraf"/>
      </w:pPr>
      <w:r w:rsidRPr="002152E4">
        <w:t xml:space="preserve">În consecinţă, în perioada de referinţă, a rămas un stoc de </w:t>
      </w:r>
      <w:r w:rsidR="00D134F2" w:rsidRPr="002152E4">
        <w:rPr>
          <w:b/>
        </w:rPr>
        <w:t>499.631</w:t>
      </w:r>
      <w:r w:rsidRPr="002152E4">
        <w:t xml:space="preserve"> dosare (</w:t>
      </w:r>
      <w:r w:rsidR="00D134F2" w:rsidRPr="002152E4">
        <w:t xml:space="preserve">486.617 dosare în 2015 şi  </w:t>
      </w:r>
      <w:r w:rsidR="0008269B" w:rsidRPr="002152E4">
        <w:t>735.612</w:t>
      </w:r>
      <w:r w:rsidR="0008269B" w:rsidRPr="002152E4">
        <w:rPr>
          <w:b/>
        </w:rPr>
        <w:t xml:space="preserve"> </w:t>
      </w:r>
      <w:r w:rsidRPr="002152E4">
        <w:t>dosare în 201</w:t>
      </w:r>
      <w:r w:rsidR="0008269B" w:rsidRPr="002152E4">
        <w:t>4</w:t>
      </w:r>
      <w:r w:rsidRPr="002152E4">
        <w:t>)</w:t>
      </w:r>
      <w:r w:rsidRPr="002152E4">
        <w:rPr>
          <w:b/>
        </w:rPr>
        <w:t xml:space="preserve"> </w:t>
      </w:r>
      <w:r w:rsidR="00D134F2" w:rsidRPr="002152E4">
        <w:t>ce va fi preluat în anul 2017</w:t>
      </w:r>
      <w:r w:rsidR="00237003" w:rsidRPr="002152E4">
        <w:t>.</w:t>
      </w:r>
      <w:r w:rsidRPr="002152E4">
        <w:t xml:space="preserve"> </w:t>
      </w:r>
    </w:p>
    <w:p w:rsidR="000802D5" w:rsidRDefault="000802D5" w:rsidP="0089462A">
      <w:pPr>
        <w:pStyle w:val="AddParagraf"/>
      </w:pPr>
      <w:r w:rsidRPr="002152E4">
        <w:t>Din punct de vedere grafic, dinamica dosarelor soluţionate pe ultimii 5 ani se prezintă astfel:</w:t>
      </w:r>
    </w:p>
    <w:p w:rsidR="008B7005" w:rsidRPr="002152E4" w:rsidRDefault="008B7005" w:rsidP="0089462A">
      <w:pPr>
        <w:pStyle w:val="AddParagraf"/>
      </w:pPr>
      <w:r w:rsidRPr="007037CF">
        <w:fldChar w:fldCharType="begin"/>
      </w:r>
      <w:r w:rsidRPr="007037CF">
        <w:instrText xml:space="preserve"> LINK Excel.Sheet.8 "C:\\Documents and Settings\\bogdan.comaneci.CSM1909\\Desktop\\1 an 2016\\Grafice 2016.xls!Grafic 14![Grafice 2016.xls]Grafic 14 Diagramă 1" "" \a \p \* MERGEFORMAT </w:instrText>
      </w:r>
      <w:r w:rsidRPr="007037CF">
        <w:fldChar w:fldCharType="separate"/>
      </w:r>
      <w:r w:rsidR="00C742FD">
        <w:object w:dxaOrig="12614" w:dyaOrig="6821">
          <v:shape id="_x0000_i1050" type="#_x0000_t75" style="width:496.5pt;height:268.6pt">
            <v:imagedata r:id="rId57" o:title=""/>
          </v:shape>
        </w:object>
      </w:r>
      <w:r w:rsidRPr="007037CF">
        <w:fldChar w:fldCharType="end"/>
      </w:r>
    </w:p>
    <w:p w:rsidR="000802D5" w:rsidRPr="002152E4" w:rsidRDefault="000802D5" w:rsidP="00A1190F">
      <w:pPr>
        <w:pStyle w:val="AddParagraf"/>
      </w:pPr>
      <w:r w:rsidRPr="002152E4">
        <w:t>În ceea ce priveşte ponderea pe materii a numărului de ca</w:t>
      </w:r>
      <w:r w:rsidR="005247E9" w:rsidRPr="002152E4">
        <w:t>uze nou intrate pentru anul 2016</w:t>
      </w:r>
      <w:r w:rsidRPr="002152E4">
        <w:t xml:space="preserve"> în totalul cauzelor noi intrate la judecătorii, aceasta este prezentată în graficul de mai jos:</w:t>
      </w:r>
    </w:p>
    <w:p w:rsidR="00062293" w:rsidRPr="002152E4" w:rsidRDefault="007041EF" w:rsidP="00062293">
      <w:pPr>
        <w:pStyle w:val="AddParagraf"/>
        <w:ind w:firstLine="0"/>
      </w:pPr>
      <w:r w:rsidRPr="002152E4">
        <w:rPr>
          <w:noProof/>
          <w:lang w:val="en-US"/>
        </w:rPr>
        <w:lastRenderedPageBreak/>
        <w:drawing>
          <wp:inline distT="0" distB="0" distL="0" distR="0" wp14:anchorId="178A9B7A" wp14:editId="3B7B5A4F">
            <wp:extent cx="6294120" cy="2827020"/>
            <wp:effectExtent l="19050" t="19050" r="11430" b="1143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8">
                      <a:extLst>
                        <a:ext uri="{28A0092B-C50C-407E-A947-70E740481C1C}">
                          <a14:useLocalDpi xmlns:a14="http://schemas.microsoft.com/office/drawing/2010/main" val="0"/>
                        </a:ext>
                      </a:extLst>
                    </a:blip>
                    <a:srcRect l="19005" t="33009" r="5017" b="21594"/>
                    <a:stretch>
                      <a:fillRect/>
                    </a:stretch>
                  </pic:blipFill>
                  <pic:spPr bwMode="auto">
                    <a:xfrm>
                      <a:off x="0" y="0"/>
                      <a:ext cx="6294120" cy="2827020"/>
                    </a:xfrm>
                    <a:prstGeom prst="rect">
                      <a:avLst/>
                    </a:prstGeom>
                    <a:noFill/>
                    <a:ln w="6350" cmpd="sng">
                      <a:solidFill>
                        <a:srgbClr val="000000"/>
                      </a:solidFill>
                      <a:miter lim="800000"/>
                      <a:headEnd/>
                      <a:tailEnd/>
                    </a:ln>
                    <a:effectLst/>
                  </pic:spPr>
                </pic:pic>
              </a:graphicData>
            </a:graphic>
          </wp:inline>
        </w:drawing>
      </w:r>
    </w:p>
    <w:p w:rsidR="004940E2" w:rsidRPr="002152E4" w:rsidRDefault="004940E2" w:rsidP="000802D5">
      <w:pPr>
        <w:spacing w:before="120" w:line="360" w:lineRule="auto"/>
        <w:jc w:val="center"/>
        <w:rPr>
          <w:noProof/>
          <w:lang w:val="ro-RO"/>
        </w:rPr>
      </w:pPr>
    </w:p>
    <w:p w:rsidR="000802D5" w:rsidRPr="002152E4" w:rsidRDefault="000802D5" w:rsidP="003B79ED">
      <w:pPr>
        <w:pStyle w:val="AddParagraf"/>
        <w:rPr>
          <w:noProof/>
        </w:rPr>
      </w:pPr>
      <w:r w:rsidRPr="002152E4">
        <w:rPr>
          <w:noProof/>
        </w:rPr>
        <w:t>Cele mai importante obiecte din punct de vedere numeric pe materii, se prezintă astfel:</w:t>
      </w:r>
    </w:p>
    <w:p w:rsidR="000802D5" w:rsidRPr="002152E4" w:rsidRDefault="00193F2A" w:rsidP="00C72B60">
      <w:pPr>
        <w:numPr>
          <w:ilvl w:val="0"/>
          <w:numId w:val="6"/>
        </w:numPr>
        <w:spacing w:before="120" w:line="360" w:lineRule="auto"/>
        <w:rPr>
          <w:b/>
          <w:bCs/>
          <w:iCs/>
          <w:lang w:val="ro-RO"/>
        </w:rPr>
      </w:pPr>
      <w:r w:rsidRPr="002152E4">
        <w:rPr>
          <w:b/>
          <w:noProof/>
          <w:lang w:val="ro-RO"/>
        </w:rPr>
        <w:t>civil;</w:t>
      </w:r>
    </w:p>
    <w:p w:rsidR="00E72694" w:rsidRPr="002152E4" w:rsidRDefault="007041EF" w:rsidP="007E507B">
      <w:pPr>
        <w:spacing w:before="120" w:line="360" w:lineRule="auto"/>
        <w:jc w:val="center"/>
        <w:rPr>
          <w:bCs/>
          <w:iCs/>
          <w:lang w:val="ro-RO"/>
        </w:rPr>
      </w:pPr>
      <w:r w:rsidRPr="002152E4">
        <w:rPr>
          <w:bCs/>
          <w:iCs/>
          <w:noProof/>
        </w:rPr>
        <w:drawing>
          <wp:inline distT="0" distB="0" distL="0" distR="0" wp14:anchorId="06444B04" wp14:editId="04FE826B">
            <wp:extent cx="6195060" cy="2796540"/>
            <wp:effectExtent l="19050" t="19050" r="15240" b="2286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a:extLst>
                        <a:ext uri="{28A0092B-C50C-407E-A947-70E740481C1C}">
                          <a14:useLocalDpi xmlns:a14="http://schemas.microsoft.com/office/drawing/2010/main" val="0"/>
                        </a:ext>
                      </a:extLst>
                    </a:blip>
                    <a:srcRect l="20247" t="34204" r="6360" b="21484"/>
                    <a:stretch>
                      <a:fillRect/>
                    </a:stretch>
                  </pic:blipFill>
                  <pic:spPr bwMode="auto">
                    <a:xfrm>
                      <a:off x="0" y="0"/>
                      <a:ext cx="6195060" cy="2796540"/>
                    </a:xfrm>
                    <a:prstGeom prst="rect">
                      <a:avLst/>
                    </a:prstGeom>
                    <a:noFill/>
                    <a:ln w="6350" cmpd="sng">
                      <a:solidFill>
                        <a:srgbClr val="000000"/>
                      </a:solidFill>
                      <a:miter lim="800000"/>
                      <a:headEnd/>
                      <a:tailEnd/>
                    </a:ln>
                    <a:effectLst/>
                  </pic:spPr>
                </pic:pic>
              </a:graphicData>
            </a:graphic>
          </wp:inline>
        </w:drawing>
      </w:r>
    </w:p>
    <w:p w:rsidR="000802D5" w:rsidRPr="002152E4" w:rsidRDefault="000802D5" w:rsidP="00C72B60">
      <w:pPr>
        <w:numPr>
          <w:ilvl w:val="0"/>
          <w:numId w:val="6"/>
        </w:numPr>
        <w:spacing w:before="120" w:line="360" w:lineRule="auto"/>
        <w:rPr>
          <w:b/>
          <w:noProof/>
          <w:lang w:val="ro-RO"/>
        </w:rPr>
      </w:pPr>
      <w:r w:rsidRPr="002152E4">
        <w:rPr>
          <w:b/>
          <w:noProof/>
          <w:lang w:val="ro-RO"/>
        </w:rPr>
        <w:t>penal</w:t>
      </w:r>
      <w:r w:rsidR="00193F2A" w:rsidRPr="002152E4">
        <w:rPr>
          <w:b/>
          <w:noProof/>
          <w:lang w:val="ro-RO"/>
        </w:rPr>
        <w:t>;</w:t>
      </w:r>
    </w:p>
    <w:p w:rsidR="00217457" w:rsidRPr="002152E4" w:rsidRDefault="007041EF" w:rsidP="00217457">
      <w:pPr>
        <w:spacing w:before="120" w:line="360" w:lineRule="auto"/>
        <w:rPr>
          <w:noProof/>
          <w:lang w:val="ro-RO"/>
        </w:rPr>
      </w:pPr>
      <w:r w:rsidRPr="002152E4">
        <w:rPr>
          <w:noProof/>
        </w:rPr>
        <w:lastRenderedPageBreak/>
        <w:drawing>
          <wp:inline distT="0" distB="0" distL="0" distR="0" wp14:anchorId="32DDEB8F" wp14:editId="06A298A1">
            <wp:extent cx="6187440" cy="2727960"/>
            <wp:effectExtent l="19050" t="19050" r="22860" b="152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a:extLst>
                        <a:ext uri="{28A0092B-C50C-407E-A947-70E740481C1C}">
                          <a14:useLocalDpi xmlns:a14="http://schemas.microsoft.com/office/drawing/2010/main" val="0"/>
                        </a:ext>
                      </a:extLst>
                    </a:blip>
                    <a:srcRect l="19005" t="33318" r="5017" b="21945"/>
                    <a:stretch>
                      <a:fillRect/>
                    </a:stretch>
                  </pic:blipFill>
                  <pic:spPr bwMode="auto">
                    <a:xfrm>
                      <a:off x="0" y="0"/>
                      <a:ext cx="6187440" cy="2727960"/>
                    </a:xfrm>
                    <a:prstGeom prst="rect">
                      <a:avLst/>
                    </a:prstGeom>
                    <a:noFill/>
                    <a:ln w="6350" cmpd="sng">
                      <a:solidFill>
                        <a:srgbClr val="000000"/>
                      </a:solidFill>
                      <a:miter lim="800000"/>
                      <a:headEnd/>
                      <a:tailEnd/>
                    </a:ln>
                    <a:effectLst/>
                  </pic:spPr>
                </pic:pic>
              </a:graphicData>
            </a:graphic>
          </wp:inline>
        </w:drawing>
      </w:r>
    </w:p>
    <w:p w:rsidR="000802D5" w:rsidRPr="002152E4" w:rsidRDefault="000802D5" w:rsidP="00C72B60">
      <w:pPr>
        <w:numPr>
          <w:ilvl w:val="0"/>
          <w:numId w:val="6"/>
        </w:numPr>
        <w:spacing w:before="120" w:line="360" w:lineRule="auto"/>
        <w:rPr>
          <w:b/>
          <w:noProof/>
          <w:lang w:val="ro-RO"/>
        </w:rPr>
      </w:pPr>
      <w:r w:rsidRPr="002152E4">
        <w:rPr>
          <w:b/>
          <w:noProof/>
          <w:lang w:val="ro-RO"/>
        </w:rPr>
        <w:t>minori şi familie</w:t>
      </w:r>
    </w:p>
    <w:p w:rsidR="00D710D9" w:rsidRPr="002152E4" w:rsidRDefault="007041EF" w:rsidP="00D710D9">
      <w:pPr>
        <w:spacing w:before="120" w:line="360" w:lineRule="auto"/>
        <w:rPr>
          <w:noProof/>
          <w:lang w:val="ro-RO"/>
        </w:rPr>
      </w:pPr>
      <w:r w:rsidRPr="002152E4">
        <w:rPr>
          <w:noProof/>
        </w:rPr>
        <w:drawing>
          <wp:inline distT="0" distB="0" distL="0" distR="0" wp14:anchorId="26C61D80" wp14:editId="19667625">
            <wp:extent cx="6187440" cy="2750820"/>
            <wp:effectExtent l="19050" t="19050" r="22860" b="1143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a:extLst>
                        <a:ext uri="{28A0092B-C50C-407E-A947-70E740481C1C}">
                          <a14:useLocalDpi xmlns:a14="http://schemas.microsoft.com/office/drawing/2010/main" val="0"/>
                        </a:ext>
                      </a:extLst>
                    </a:blip>
                    <a:srcRect l="19005" t="34987" r="5017" b="19846"/>
                    <a:stretch>
                      <a:fillRect/>
                    </a:stretch>
                  </pic:blipFill>
                  <pic:spPr bwMode="auto">
                    <a:xfrm>
                      <a:off x="0" y="0"/>
                      <a:ext cx="6187440" cy="2750820"/>
                    </a:xfrm>
                    <a:prstGeom prst="rect">
                      <a:avLst/>
                    </a:prstGeom>
                    <a:noFill/>
                    <a:ln w="6350" cmpd="sng">
                      <a:solidFill>
                        <a:srgbClr val="000000"/>
                      </a:solidFill>
                      <a:miter lim="800000"/>
                      <a:headEnd/>
                      <a:tailEnd/>
                    </a:ln>
                    <a:effectLst/>
                  </pic:spPr>
                </pic:pic>
              </a:graphicData>
            </a:graphic>
          </wp:inline>
        </w:drawing>
      </w:r>
    </w:p>
    <w:p w:rsidR="00BF2473" w:rsidRPr="002152E4" w:rsidRDefault="00BF2473" w:rsidP="003B79ED">
      <w:pPr>
        <w:pStyle w:val="AddParagraf"/>
      </w:pPr>
    </w:p>
    <w:p w:rsidR="000802D5" w:rsidRPr="002152E4" w:rsidRDefault="000802D5" w:rsidP="003B79ED">
      <w:pPr>
        <w:pStyle w:val="AddParagraf"/>
      </w:pPr>
      <w:r w:rsidRPr="002152E4">
        <w:t>La nivelul i</w:t>
      </w:r>
      <w:r w:rsidR="00776B3B" w:rsidRPr="002152E4">
        <w:t>nstanţelor militare în anul 2016</w:t>
      </w:r>
      <w:r w:rsidRPr="002152E4">
        <w:t xml:space="preserve"> s-a înregistrat următoarea situaţie:</w:t>
      </w:r>
    </w:p>
    <w:tbl>
      <w:tblPr>
        <w:tblW w:w="8933" w:type="dxa"/>
        <w:jc w:val="center"/>
        <w:tblLook w:val="0000" w:firstRow="0" w:lastRow="0" w:firstColumn="0" w:lastColumn="0" w:noHBand="0" w:noVBand="0"/>
      </w:tblPr>
      <w:tblGrid>
        <w:gridCol w:w="3900"/>
        <w:gridCol w:w="1597"/>
        <w:gridCol w:w="1154"/>
        <w:gridCol w:w="931"/>
        <w:gridCol w:w="1351"/>
      </w:tblGrid>
      <w:tr w:rsidR="00FB0901" w:rsidRPr="002152E4" w:rsidTr="00C042A5">
        <w:trPr>
          <w:trHeight w:val="285"/>
          <w:jc w:val="center"/>
        </w:trPr>
        <w:tc>
          <w:tcPr>
            <w:tcW w:w="390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FB0901" w:rsidRPr="002152E4" w:rsidRDefault="00FB0901" w:rsidP="00535745">
            <w:pPr>
              <w:jc w:val="center"/>
              <w:rPr>
                <w:rFonts w:cs="Arial"/>
                <w:lang w:val="ro-RO" w:eastAsia="ro-RO"/>
              </w:rPr>
            </w:pPr>
            <w:r w:rsidRPr="002152E4">
              <w:rPr>
                <w:b/>
                <w:bCs/>
                <w:lang w:val="ro-RO"/>
              </w:rPr>
              <w:t>Instanţa</w:t>
            </w:r>
          </w:p>
        </w:tc>
        <w:tc>
          <w:tcPr>
            <w:tcW w:w="1597" w:type="dxa"/>
            <w:tcBorders>
              <w:top w:val="single" w:sz="4" w:space="0" w:color="000000"/>
              <w:left w:val="nil"/>
              <w:bottom w:val="single" w:sz="4" w:space="0" w:color="000000"/>
              <w:right w:val="single" w:sz="4" w:space="0" w:color="000000"/>
            </w:tcBorders>
            <w:shd w:val="clear" w:color="auto" w:fill="99CCFF"/>
            <w:vAlign w:val="center"/>
          </w:tcPr>
          <w:p w:rsidR="00FB0901" w:rsidRPr="002152E4" w:rsidRDefault="00FB0901" w:rsidP="00535745">
            <w:pPr>
              <w:jc w:val="center"/>
              <w:rPr>
                <w:rFonts w:cs="Arial"/>
                <w:lang w:val="ro-RO" w:eastAsia="ro-RO"/>
              </w:rPr>
            </w:pPr>
            <w:r w:rsidRPr="002152E4">
              <w:rPr>
                <w:b/>
                <w:bCs/>
                <w:lang w:val="ro-RO"/>
              </w:rPr>
              <w:t>Total stoc iniţial</w:t>
            </w:r>
          </w:p>
        </w:tc>
        <w:tc>
          <w:tcPr>
            <w:tcW w:w="1154" w:type="dxa"/>
            <w:tcBorders>
              <w:top w:val="single" w:sz="4" w:space="0" w:color="000000"/>
              <w:left w:val="nil"/>
              <w:bottom w:val="single" w:sz="4" w:space="0" w:color="000000"/>
              <w:right w:val="single" w:sz="4" w:space="0" w:color="000000"/>
            </w:tcBorders>
            <w:shd w:val="clear" w:color="auto" w:fill="99CCFF"/>
            <w:vAlign w:val="center"/>
          </w:tcPr>
          <w:p w:rsidR="00FB0901" w:rsidRPr="002152E4" w:rsidRDefault="00FB0901" w:rsidP="00535745">
            <w:pPr>
              <w:jc w:val="center"/>
              <w:rPr>
                <w:rFonts w:cs="Arial"/>
                <w:lang w:val="ro-RO" w:eastAsia="ro-RO"/>
              </w:rPr>
            </w:pPr>
            <w:r w:rsidRPr="002152E4">
              <w:rPr>
                <w:b/>
                <w:bCs/>
                <w:lang w:val="ro-RO"/>
              </w:rPr>
              <w:t>Nou intrate</w:t>
            </w:r>
          </w:p>
        </w:tc>
        <w:tc>
          <w:tcPr>
            <w:tcW w:w="931" w:type="dxa"/>
            <w:tcBorders>
              <w:top w:val="single" w:sz="4" w:space="0" w:color="000000"/>
              <w:left w:val="nil"/>
              <w:bottom w:val="single" w:sz="4" w:space="0" w:color="000000"/>
              <w:right w:val="single" w:sz="4" w:space="0" w:color="auto"/>
            </w:tcBorders>
            <w:shd w:val="clear" w:color="auto" w:fill="99CCFF"/>
            <w:vAlign w:val="center"/>
          </w:tcPr>
          <w:p w:rsidR="00FB0901" w:rsidRPr="002152E4" w:rsidRDefault="00FB0901" w:rsidP="00535745">
            <w:pPr>
              <w:jc w:val="center"/>
              <w:rPr>
                <w:rFonts w:cs="Arial"/>
                <w:lang w:val="ro-RO" w:eastAsia="ro-RO"/>
              </w:rPr>
            </w:pPr>
            <w:r w:rsidRPr="002152E4">
              <w:rPr>
                <w:b/>
                <w:bCs/>
                <w:lang w:val="ro-RO"/>
              </w:rPr>
              <w:t>Total volum</w:t>
            </w:r>
          </w:p>
        </w:tc>
        <w:tc>
          <w:tcPr>
            <w:tcW w:w="1351" w:type="dxa"/>
            <w:tcBorders>
              <w:top w:val="single" w:sz="4" w:space="0" w:color="auto"/>
              <w:left w:val="single" w:sz="4" w:space="0" w:color="auto"/>
              <w:bottom w:val="single" w:sz="4" w:space="0" w:color="auto"/>
              <w:right w:val="single" w:sz="4" w:space="0" w:color="auto"/>
            </w:tcBorders>
            <w:shd w:val="clear" w:color="auto" w:fill="99CCFF"/>
            <w:vAlign w:val="center"/>
          </w:tcPr>
          <w:p w:rsidR="00FB0901" w:rsidRPr="002152E4" w:rsidRDefault="00FB0901" w:rsidP="00535745">
            <w:pPr>
              <w:jc w:val="center"/>
              <w:rPr>
                <w:rFonts w:cs="Arial"/>
                <w:lang w:val="ro-RO" w:eastAsia="ro-RO"/>
              </w:rPr>
            </w:pPr>
            <w:r w:rsidRPr="002152E4">
              <w:rPr>
                <w:b/>
                <w:bCs/>
                <w:lang w:val="ro-RO"/>
              </w:rPr>
              <w:t>Total volum soluţionate</w:t>
            </w:r>
          </w:p>
        </w:tc>
      </w:tr>
      <w:tr w:rsidR="00FB0901" w:rsidRPr="002152E4" w:rsidTr="00C62D20">
        <w:trPr>
          <w:trHeight w:val="285"/>
          <w:jc w:val="center"/>
        </w:trPr>
        <w:tc>
          <w:tcPr>
            <w:tcW w:w="3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901" w:rsidRPr="002152E4" w:rsidRDefault="00FB0901" w:rsidP="00FB0901">
            <w:pPr>
              <w:rPr>
                <w:rFonts w:cs="Arial"/>
                <w:lang w:val="ro-RO" w:eastAsia="ro-RO"/>
              </w:rPr>
            </w:pPr>
            <w:r w:rsidRPr="002152E4">
              <w:rPr>
                <w:rFonts w:cs="Arial"/>
                <w:lang w:val="ro-RO" w:eastAsia="ro-RO"/>
              </w:rPr>
              <w:t>Tribunalul Militar</w:t>
            </w:r>
            <w:r w:rsidR="00140CF4" w:rsidRPr="002152E4">
              <w:rPr>
                <w:rFonts w:cs="Arial"/>
                <w:lang w:val="ro-RO" w:eastAsia="ro-RO"/>
              </w:rPr>
              <w:t xml:space="preserve"> </w:t>
            </w:r>
            <w:r w:rsidR="002152E4" w:rsidRPr="002152E4">
              <w:rPr>
                <w:rFonts w:cs="Arial"/>
                <w:lang w:val="ro-RO" w:eastAsia="ro-RO"/>
              </w:rPr>
              <w:t>Bucureşti</w:t>
            </w:r>
          </w:p>
        </w:tc>
        <w:tc>
          <w:tcPr>
            <w:tcW w:w="1597" w:type="dxa"/>
            <w:tcBorders>
              <w:top w:val="single" w:sz="4" w:space="0" w:color="000000"/>
              <w:left w:val="nil"/>
              <w:bottom w:val="single" w:sz="4" w:space="0" w:color="000000"/>
              <w:right w:val="single" w:sz="4" w:space="0" w:color="000000"/>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33</w:t>
            </w:r>
          </w:p>
        </w:tc>
        <w:tc>
          <w:tcPr>
            <w:tcW w:w="1154" w:type="dxa"/>
            <w:tcBorders>
              <w:top w:val="single" w:sz="4" w:space="0" w:color="000000"/>
              <w:left w:val="nil"/>
              <w:bottom w:val="single" w:sz="4" w:space="0" w:color="000000"/>
              <w:right w:val="single" w:sz="4" w:space="0" w:color="000000"/>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261</w:t>
            </w:r>
          </w:p>
        </w:tc>
        <w:tc>
          <w:tcPr>
            <w:tcW w:w="931" w:type="dxa"/>
            <w:tcBorders>
              <w:top w:val="single" w:sz="4" w:space="0" w:color="000000"/>
              <w:left w:val="nil"/>
              <w:bottom w:val="single" w:sz="4" w:space="0" w:color="000000"/>
              <w:right w:val="single" w:sz="4" w:space="0" w:color="auto"/>
            </w:tcBorders>
            <w:vAlign w:val="center"/>
          </w:tcPr>
          <w:p w:rsidR="00FB0901" w:rsidRPr="002152E4" w:rsidRDefault="00FB0901" w:rsidP="000A27FA">
            <w:pPr>
              <w:jc w:val="center"/>
              <w:rPr>
                <w:rFonts w:cs="Arial"/>
                <w:lang w:val="ro-RO" w:eastAsia="ro-RO"/>
              </w:rPr>
            </w:pPr>
            <w:r w:rsidRPr="002152E4">
              <w:rPr>
                <w:rFonts w:cs="Arial"/>
                <w:lang w:val="ro-RO" w:eastAsia="ro-RO"/>
              </w:rPr>
              <w:t>294</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259</w:t>
            </w:r>
          </w:p>
        </w:tc>
      </w:tr>
      <w:tr w:rsidR="00FB0901" w:rsidRPr="002152E4" w:rsidTr="00C62D20">
        <w:trPr>
          <w:trHeight w:val="285"/>
          <w:jc w:val="center"/>
        </w:trPr>
        <w:tc>
          <w:tcPr>
            <w:tcW w:w="3900" w:type="dxa"/>
            <w:tcBorders>
              <w:top w:val="nil"/>
              <w:left w:val="single" w:sz="4" w:space="0" w:color="000000"/>
              <w:bottom w:val="single" w:sz="4" w:space="0" w:color="000000"/>
              <w:right w:val="single" w:sz="4" w:space="0" w:color="000000"/>
            </w:tcBorders>
            <w:shd w:val="clear" w:color="auto" w:fill="auto"/>
            <w:vAlign w:val="center"/>
          </w:tcPr>
          <w:p w:rsidR="00FB0901" w:rsidRPr="002152E4" w:rsidRDefault="00FF1759" w:rsidP="00FB0901">
            <w:pPr>
              <w:rPr>
                <w:rFonts w:cs="Arial"/>
                <w:lang w:val="ro-RO" w:eastAsia="ro-RO"/>
              </w:rPr>
            </w:pPr>
            <w:r w:rsidRPr="002152E4">
              <w:rPr>
                <w:rFonts w:cs="Arial"/>
                <w:lang w:val="ro-RO" w:eastAsia="ro-RO"/>
              </w:rPr>
              <w:t xml:space="preserve">Tribunalul Militar </w:t>
            </w:r>
            <w:r w:rsidR="002152E4" w:rsidRPr="002152E4">
              <w:rPr>
                <w:rFonts w:cs="Arial"/>
                <w:lang w:val="ro-RO" w:eastAsia="ro-RO"/>
              </w:rPr>
              <w:t>Iaşi</w:t>
            </w:r>
          </w:p>
        </w:tc>
        <w:tc>
          <w:tcPr>
            <w:tcW w:w="1597" w:type="dxa"/>
            <w:tcBorders>
              <w:top w:val="nil"/>
              <w:left w:val="nil"/>
              <w:bottom w:val="single" w:sz="4" w:space="0" w:color="000000"/>
              <w:right w:val="single" w:sz="4" w:space="0" w:color="000000"/>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34</w:t>
            </w:r>
          </w:p>
        </w:tc>
        <w:tc>
          <w:tcPr>
            <w:tcW w:w="1154" w:type="dxa"/>
            <w:tcBorders>
              <w:top w:val="nil"/>
              <w:left w:val="nil"/>
              <w:bottom w:val="single" w:sz="4" w:space="0" w:color="000000"/>
              <w:right w:val="single" w:sz="4" w:space="0" w:color="000000"/>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150</w:t>
            </w:r>
          </w:p>
        </w:tc>
        <w:tc>
          <w:tcPr>
            <w:tcW w:w="931" w:type="dxa"/>
            <w:tcBorders>
              <w:top w:val="nil"/>
              <w:left w:val="nil"/>
              <w:bottom w:val="single" w:sz="4" w:space="0" w:color="000000"/>
              <w:right w:val="single" w:sz="4" w:space="0" w:color="auto"/>
            </w:tcBorders>
            <w:vAlign w:val="center"/>
          </w:tcPr>
          <w:p w:rsidR="00FB0901" w:rsidRPr="002152E4" w:rsidRDefault="00FB0901" w:rsidP="000A27FA">
            <w:pPr>
              <w:jc w:val="center"/>
              <w:rPr>
                <w:rFonts w:cs="Arial"/>
                <w:lang w:val="ro-RO" w:eastAsia="ro-RO"/>
              </w:rPr>
            </w:pPr>
            <w:r w:rsidRPr="002152E4">
              <w:rPr>
                <w:rFonts w:cs="Arial"/>
                <w:lang w:val="ro-RO" w:eastAsia="ro-RO"/>
              </w:rPr>
              <w:t>184</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159</w:t>
            </w:r>
          </w:p>
        </w:tc>
      </w:tr>
      <w:tr w:rsidR="00FB0901" w:rsidRPr="002152E4" w:rsidTr="00C62D20">
        <w:trPr>
          <w:trHeight w:val="285"/>
          <w:jc w:val="center"/>
        </w:trPr>
        <w:tc>
          <w:tcPr>
            <w:tcW w:w="3900" w:type="dxa"/>
            <w:tcBorders>
              <w:top w:val="nil"/>
              <w:left w:val="single" w:sz="4" w:space="0" w:color="000000"/>
              <w:bottom w:val="single" w:sz="4" w:space="0" w:color="000000"/>
              <w:right w:val="single" w:sz="4" w:space="0" w:color="000000"/>
            </w:tcBorders>
            <w:shd w:val="clear" w:color="auto" w:fill="auto"/>
            <w:vAlign w:val="center"/>
          </w:tcPr>
          <w:p w:rsidR="00FB0901" w:rsidRPr="002152E4" w:rsidRDefault="00FF1759" w:rsidP="00FB0901">
            <w:pPr>
              <w:rPr>
                <w:rFonts w:cs="Arial"/>
                <w:lang w:val="ro-RO" w:eastAsia="ro-RO"/>
              </w:rPr>
            </w:pPr>
            <w:r w:rsidRPr="002152E4">
              <w:rPr>
                <w:rFonts w:cs="Arial"/>
                <w:lang w:val="ro-RO" w:eastAsia="ro-RO"/>
              </w:rPr>
              <w:t xml:space="preserve">Tribunalul Militar </w:t>
            </w:r>
            <w:r w:rsidR="002152E4" w:rsidRPr="002152E4">
              <w:rPr>
                <w:rFonts w:cs="Arial"/>
                <w:lang w:val="ro-RO" w:eastAsia="ro-RO"/>
              </w:rPr>
              <w:t>Timişoara</w:t>
            </w:r>
          </w:p>
        </w:tc>
        <w:tc>
          <w:tcPr>
            <w:tcW w:w="1597" w:type="dxa"/>
            <w:tcBorders>
              <w:top w:val="nil"/>
              <w:left w:val="nil"/>
              <w:bottom w:val="single" w:sz="4" w:space="0" w:color="000000"/>
              <w:right w:val="single" w:sz="4" w:space="0" w:color="000000"/>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31</w:t>
            </w:r>
          </w:p>
        </w:tc>
        <w:tc>
          <w:tcPr>
            <w:tcW w:w="1154" w:type="dxa"/>
            <w:tcBorders>
              <w:top w:val="nil"/>
              <w:left w:val="nil"/>
              <w:bottom w:val="single" w:sz="4" w:space="0" w:color="000000"/>
              <w:right w:val="single" w:sz="4" w:space="0" w:color="000000"/>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138</w:t>
            </w:r>
          </w:p>
        </w:tc>
        <w:tc>
          <w:tcPr>
            <w:tcW w:w="931" w:type="dxa"/>
            <w:tcBorders>
              <w:top w:val="nil"/>
              <w:left w:val="nil"/>
              <w:bottom w:val="single" w:sz="4" w:space="0" w:color="000000"/>
              <w:right w:val="single" w:sz="4" w:space="0" w:color="auto"/>
            </w:tcBorders>
            <w:vAlign w:val="center"/>
          </w:tcPr>
          <w:p w:rsidR="00FB0901" w:rsidRPr="002152E4" w:rsidRDefault="00FB0901" w:rsidP="000A27FA">
            <w:pPr>
              <w:jc w:val="center"/>
              <w:rPr>
                <w:rFonts w:cs="Arial"/>
                <w:lang w:val="ro-RO" w:eastAsia="ro-RO"/>
              </w:rPr>
            </w:pPr>
            <w:r w:rsidRPr="002152E4">
              <w:rPr>
                <w:rFonts w:cs="Arial"/>
                <w:lang w:val="ro-RO" w:eastAsia="ro-RO"/>
              </w:rPr>
              <w:t>169</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152</w:t>
            </w:r>
          </w:p>
        </w:tc>
      </w:tr>
      <w:tr w:rsidR="00FB0901" w:rsidRPr="002152E4" w:rsidTr="00C62D20">
        <w:trPr>
          <w:trHeight w:val="285"/>
          <w:jc w:val="center"/>
        </w:trPr>
        <w:tc>
          <w:tcPr>
            <w:tcW w:w="3900" w:type="dxa"/>
            <w:tcBorders>
              <w:top w:val="nil"/>
              <w:left w:val="single" w:sz="4" w:space="0" w:color="000000"/>
              <w:bottom w:val="single" w:sz="4" w:space="0" w:color="auto"/>
              <w:right w:val="single" w:sz="4" w:space="0" w:color="000000"/>
            </w:tcBorders>
            <w:shd w:val="clear" w:color="auto" w:fill="auto"/>
            <w:vAlign w:val="center"/>
          </w:tcPr>
          <w:p w:rsidR="00FB0901" w:rsidRPr="002152E4" w:rsidRDefault="00FF1759" w:rsidP="00FB0901">
            <w:pPr>
              <w:rPr>
                <w:rFonts w:cs="Arial"/>
                <w:lang w:val="ro-RO" w:eastAsia="ro-RO"/>
              </w:rPr>
            </w:pPr>
            <w:r w:rsidRPr="002152E4">
              <w:rPr>
                <w:rFonts w:cs="Arial"/>
                <w:lang w:val="ro-RO" w:eastAsia="ro-RO"/>
              </w:rPr>
              <w:t>Tribunalul Militar Cluj-Napoca</w:t>
            </w:r>
          </w:p>
        </w:tc>
        <w:tc>
          <w:tcPr>
            <w:tcW w:w="1597" w:type="dxa"/>
            <w:tcBorders>
              <w:top w:val="nil"/>
              <w:left w:val="nil"/>
              <w:bottom w:val="single" w:sz="4" w:space="0" w:color="auto"/>
              <w:right w:val="single" w:sz="4" w:space="0" w:color="000000"/>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21</w:t>
            </w:r>
          </w:p>
        </w:tc>
        <w:tc>
          <w:tcPr>
            <w:tcW w:w="1154" w:type="dxa"/>
            <w:tcBorders>
              <w:top w:val="nil"/>
              <w:left w:val="nil"/>
              <w:bottom w:val="single" w:sz="4" w:space="0" w:color="auto"/>
              <w:right w:val="single" w:sz="4" w:space="0" w:color="000000"/>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122</w:t>
            </w:r>
          </w:p>
        </w:tc>
        <w:tc>
          <w:tcPr>
            <w:tcW w:w="931" w:type="dxa"/>
            <w:tcBorders>
              <w:top w:val="nil"/>
              <w:left w:val="nil"/>
              <w:bottom w:val="single" w:sz="4" w:space="0" w:color="auto"/>
              <w:right w:val="single" w:sz="4" w:space="0" w:color="auto"/>
            </w:tcBorders>
            <w:vAlign w:val="center"/>
          </w:tcPr>
          <w:p w:rsidR="00FB0901" w:rsidRPr="002152E4" w:rsidRDefault="00FB0901" w:rsidP="000A27FA">
            <w:pPr>
              <w:jc w:val="center"/>
              <w:rPr>
                <w:rFonts w:cs="Arial"/>
                <w:lang w:val="ro-RO" w:eastAsia="ro-RO"/>
              </w:rPr>
            </w:pPr>
            <w:r w:rsidRPr="002152E4">
              <w:rPr>
                <w:rFonts w:cs="Arial"/>
                <w:lang w:val="ro-RO" w:eastAsia="ro-RO"/>
              </w:rPr>
              <w:t>143</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FB0901" w:rsidRPr="002152E4" w:rsidRDefault="00FB0901" w:rsidP="00FB0901">
            <w:pPr>
              <w:jc w:val="center"/>
              <w:rPr>
                <w:rFonts w:cs="Arial"/>
                <w:lang w:val="ro-RO" w:eastAsia="ro-RO"/>
              </w:rPr>
            </w:pPr>
            <w:r w:rsidRPr="002152E4">
              <w:rPr>
                <w:rFonts w:cs="Arial"/>
                <w:lang w:val="ro-RO" w:eastAsia="ro-RO"/>
              </w:rPr>
              <w:t>129</w:t>
            </w:r>
          </w:p>
        </w:tc>
      </w:tr>
      <w:tr w:rsidR="00FB0901" w:rsidRPr="002152E4" w:rsidTr="00C62D20">
        <w:trPr>
          <w:trHeight w:val="285"/>
          <w:jc w:val="center"/>
        </w:trPr>
        <w:tc>
          <w:tcPr>
            <w:tcW w:w="3900" w:type="dxa"/>
            <w:tcBorders>
              <w:top w:val="single" w:sz="4" w:space="0" w:color="auto"/>
              <w:left w:val="single" w:sz="4" w:space="0" w:color="auto"/>
              <w:bottom w:val="single" w:sz="4" w:space="0" w:color="auto"/>
              <w:right w:val="single" w:sz="4" w:space="0" w:color="000000"/>
            </w:tcBorders>
            <w:shd w:val="clear" w:color="auto" w:fill="auto"/>
            <w:vAlign w:val="center"/>
          </w:tcPr>
          <w:p w:rsidR="00FB0901" w:rsidRPr="002152E4" w:rsidRDefault="0071090B" w:rsidP="00FB0901">
            <w:pPr>
              <w:rPr>
                <w:rFonts w:cs="Arial"/>
                <w:lang w:val="ro-RO" w:eastAsia="ro-RO"/>
              </w:rPr>
            </w:pPr>
            <w:r w:rsidRPr="002152E4">
              <w:rPr>
                <w:rFonts w:cs="Arial"/>
                <w:lang w:val="ro-RO" w:eastAsia="ro-RO"/>
              </w:rPr>
              <w:t xml:space="preserve">Curtea Militara de Apel </w:t>
            </w:r>
            <w:r w:rsidR="002152E4" w:rsidRPr="002152E4">
              <w:rPr>
                <w:rFonts w:cs="Arial"/>
                <w:lang w:val="ro-RO" w:eastAsia="ro-RO"/>
              </w:rPr>
              <w:t>Bucureşti</w:t>
            </w:r>
          </w:p>
        </w:tc>
        <w:tc>
          <w:tcPr>
            <w:tcW w:w="1597" w:type="dxa"/>
            <w:tcBorders>
              <w:top w:val="single" w:sz="4" w:space="0" w:color="auto"/>
              <w:left w:val="nil"/>
              <w:bottom w:val="single" w:sz="4" w:space="0" w:color="auto"/>
              <w:right w:val="single" w:sz="4" w:space="0" w:color="000000"/>
            </w:tcBorders>
            <w:shd w:val="clear" w:color="auto" w:fill="auto"/>
            <w:vAlign w:val="center"/>
          </w:tcPr>
          <w:p w:rsidR="00FB0901" w:rsidRPr="002152E4" w:rsidRDefault="0071090B" w:rsidP="00FB0901">
            <w:pPr>
              <w:jc w:val="center"/>
              <w:rPr>
                <w:rFonts w:cs="Arial"/>
                <w:lang w:val="ro-RO" w:eastAsia="ro-RO"/>
              </w:rPr>
            </w:pPr>
            <w:r w:rsidRPr="002152E4">
              <w:rPr>
                <w:rFonts w:cs="Arial"/>
                <w:lang w:val="ro-RO" w:eastAsia="ro-RO"/>
              </w:rPr>
              <w:t>52</w:t>
            </w:r>
          </w:p>
        </w:tc>
        <w:tc>
          <w:tcPr>
            <w:tcW w:w="1154" w:type="dxa"/>
            <w:tcBorders>
              <w:top w:val="single" w:sz="4" w:space="0" w:color="auto"/>
              <w:left w:val="nil"/>
              <w:bottom w:val="single" w:sz="4" w:space="0" w:color="auto"/>
              <w:right w:val="single" w:sz="4" w:space="0" w:color="000000"/>
            </w:tcBorders>
            <w:shd w:val="clear" w:color="auto" w:fill="auto"/>
            <w:vAlign w:val="center"/>
          </w:tcPr>
          <w:p w:rsidR="00FB0901" w:rsidRPr="002152E4" w:rsidRDefault="0071090B" w:rsidP="00FB0901">
            <w:pPr>
              <w:jc w:val="center"/>
              <w:rPr>
                <w:rFonts w:cs="Arial"/>
                <w:lang w:val="ro-RO" w:eastAsia="ro-RO"/>
              </w:rPr>
            </w:pPr>
            <w:r w:rsidRPr="002152E4">
              <w:rPr>
                <w:rFonts w:cs="Arial"/>
                <w:lang w:val="ro-RO" w:eastAsia="ro-RO"/>
              </w:rPr>
              <w:t>119</w:t>
            </w:r>
          </w:p>
        </w:tc>
        <w:tc>
          <w:tcPr>
            <w:tcW w:w="931" w:type="dxa"/>
            <w:tcBorders>
              <w:top w:val="single" w:sz="4" w:space="0" w:color="auto"/>
              <w:left w:val="nil"/>
              <w:bottom w:val="single" w:sz="4" w:space="0" w:color="auto"/>
              <w:right w:val="single" w:sz="4" w:space="0" w:color="auto"/>
            </w:tcBorders>
          </w:tcPr>
          <w:p w:rsidR="00FB0901" w:rsidRPr="002152E4" w:rsidRDefault="0071090B" w:rsidP="00FB0901">
            <w:pPr>
              <w:jc w:val="center"/>
              <w:rPr>
                <w:rFonts w:cs="Arial"/>
                <w:lang w:val="ro-RO" w:eastAsia="ro-RO"/>
              </w:rPr>
            </w:pPr>
            <w:r w:rsidRPr="002152E4">
              <w:rPr>
                <w:rFonts w:cs="Arial"/>
                <w:lang w:val="ro-RO" w:eastAsia="ro-RO"/>
              </w:rPr>
              <w:t>171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FB0901" w:rsidRPr="002152E4" w:rsidRDefault="0071090B" w:rsidP="00FB0901">
            <w:pPr>
              <w:jc w:val="center"/>
              <w:rPr>
                <w:rFonts w:cs="Arial"/>
                <w:lang w:val="ro-RO" w:eastAsia="ro-RO"/>
              </w:rPr>
            </w:pPr>
            <w:r w:rsidRPr="002152E4">
              <w:rPr>
                <w:rFonts w:cs="Arial"/>
                <w:lang w:val="ro-RO" w:eastAsia="ro-RO"/>
              </w:rPr>
              <w:t>135</w:t>
            </w:r>
          </w:p>
        </w:tc>
      </w:tr>
    </w:tbl>
    <w:p w:rsidR="004E4E65" w:rsidRPr="002152E4" w:rsidRDefault="004E4E65" w:rsidP="000802D5">
      <w:pPr>
        <w:tabs>
          <w:tab w:val="left" w:pos="1335"/>
        </w:tabs>
        <w:spacing w:before="120" w:line="360" w:lineRule="auto"/>
        <w:jc w:val="both"/>
        <w:rPr>
          <w:bCs/>
          <w:iCs/>
          <w:lang w:val="ro-RO"/>
        </w:rPr>
      </w:pPr>
    </w:p>
    <w:p w:rsidR="000802D5" w:rsidRPr="002152E4" w:rsidRDefault="008410C6" w:rsidP="003B033A">
      <w:pPr>
        <w:pStyle w:val="Heading2"/>
      </w:pPr>
      <w:bookmarkStart w:id="28" w:name="_Toc411333479"/>
      <w:bookmarkStart w:id="29" w:name="_Toc411429414"/>
      <w:bookmarkStart w:id="30" w:name="_Toc475363397"/>
      <w:bookmarkStart w:id="31" w:name="_Toc486576520"/>
      <w:r w:rsidRPr="002152E4">
        <w:t>I</w:t>
      </w:r>
      <w:r w:rsidR="003A19EC" w:rsidRPr="002152E4">
        <w:t>I.</w:t>
      </w:r>
      <w:r w:rsidRPr="002152E4">
        <w:t xml:space="preserve">2. </w:t>
      </w:r>
      <w:r w:rsidR="000802D5" w:rsidRPr="002152E4">
        <w:t>Încărcătură pe judecător şi încărcătura pe schemă</w:t>
      </w:r>
      <w:bookmarkEnd w:id="28"/>
      <w:bookmarkEnd w:id="29"/>
      <w:bookmarkEnd w:id="30"/>
      <w:bookmarkEnd w:id="31"/>
    </w:p>
    <w:p w:rsidR="000802D5" w:rsidRPr="002152E4" w:rsidRDefault="000802D5" w:rsidP="000802D5">
      <w:pPr>
        <w:spacing w:before="120" w:line="360" w:lineRule="auto"/>
        <w:ind w:firstLine="720"/>
        <w:jc w:val="both"/>
        <w:rPr>
          <w:b/>
          <w:lang w:val="ro-RO"/>
        </w:rPr>
      </w:pPr>
      <w:r w:rsidRPr="002152E4">
        <w:rPr>
          <w:b/>
          <w:lang w:val="ro-RO"/>
        </w:rPr>
        <w:t>Precizări terminologice</w:t>
      </w:r>
    </w:p>
    <w:p w:rsidR="000802D5" w:rsidRPr="002152E4" w:rsidRDefault="000802D5" w:rsidP="0023007C">
      <w:pPr>
        <w:pStyle w:val="AddParagraf"/>
      </w:pPr>
      <w:r w:rsidRPr="002152E4">
        <w:lastRenderedPageBreak/>
        <w:t>Ca indice statistic, încărcătura pe judecător poate fi examinată fie în forma încărcăturii pe judecător (posturi efectiv ocupate), fie ca încărcătură pe post de judecător prevăzut în schema de personal.</w:t>
      </w:r>
    </w:p>
    <w:p w:rsidR="000802D5" w:rsidRPr="002152E4" w:rsidRDefault="000802D5" w:rsidP="0023007C">
      <w:pPr>
        <w:pStyle w:val="AddParagraf"/>
      </w:pPr>
      <w:r w:rsidRPr="002152E4">
        <w:rPr>
          <w:b/>
          <w:bCs/>
        </w:rPr>
        <w:t>Încărcătura pe judecător</w:t>
      </w:r>
      <w:r w:rsidRPr="002152E4">
        <w:t xml:space="preserve"> reflectă numărul de dosare pe care l-a avut de soluţionat un judecător în perioada de referinţă şi se calculează prin raportarea numărului total de dosare la numărul mediu al posturi</w:t>
      </w:r>
      <w:r w:rsidR="00F3148B" w:rsidRPr="002152E4">
        <w:t>lor efectiv ocupate în anul 2016</w:t>
      </w:r>
      <w:r w:rsidRPr="002152E4">
        <w:t xml:space="preserve"> aşa cum acesta a fost </w:t>
      </w:r>
      <w:r w:rsidR="003A4EF3" w:rsidRPr="002152E4">
        <w:t>determinat de aplicaţia Statis.</w:t>
      </w:r>
    </w:p>
    <w:p w:rsidR="000802D5" w:rsidRPr="002152E4" w:rsidRDefault="000802D5" w:rsidP="0023007C">
      <w:pPr>
        <w:pStyle w:val="AddParagraf"/>
      </w:pPr>
      <w:r w:rsidRPr="002152E4">
        <w:rPr>
          <w:b/>
        </w:rPr>
        <w:t>Încărcătura pe schemă</w:t>
      </w:r>
      <w:r w:rsidRPr="002152E4">
        <w:t xml:space="preserve"> se determină prin raportarea volumului de activitate la numărul total de posturi prevăzut în statele de funcţii ale instanţelor (conform evidenţelor C.S.M.).</w:t>
      </w:r>
    </w:p>
    <w:p w:rsidR="000802D5" w:rsidRPr="002152E4" w:rsidRDefault="000802D5" w:rsidP="000510D1">
      <w:pPr>
        <w:pStyle w:val="Heading3"/>
      </w:pPr>
      <w:bookmarkStart w:id="32" w:name="_Toc411333480"/>
    </w:p>
    <w:p w:rsidR="000802D5" w:rsidRPr="002152E4" w:rsidRDefault="00FC1A36" w:rsidP="00FC1A36">
      <w:pPr>
        <w:pStyle w:val="Heading3"/>
      </w:pPr>
      <w:bookmarkStart w:id="33" w:name="_Toc411429415"/>
      <w:bookmarkStart w:id="34" w:name="_Toc475363398"/>
      <w:bookmarkStart w:id="35" w:name="_Toc486576521"/>
      <w:r w:rsidRPr="002152E4">
        <w:t>II.</w:t>
      </w:r>
      <w:r w:rsidR="008410C6" w:rsidRPr="002152E4">
        <w:t xml:space="preserve">2.1. </w:t>
      </w:r>
      <w:r w:rsidR="000802D5" w:rsidRPr="002152E4">
        <w:t>Încărcătura la nivelul Înaltei Curţi de Casaţie şi Justiţie</w:t>
      </w:r>
      <w:bookmarkEnd w:id="32"/>
      <w:bookmarkEnd w:id="33"/>
      <w:bookmarkEnd w:id="34"/>
      <w:bookmarkEnd w:id="35"/>
    </w:p>
    <w:p w:rsidR="000802D5" w:rsidRPr="002152E4" w:rsidRDefault="000802D5" w:rsidP="0023007C">
      <w:pPr>
        <w:pStyle w:val="AddParagraf"/>
      </w:pPr>
      <w:r w:rsidRPr="002152E4">
        <w:t>În prealabil, trebuie precizat că pentru calcularea acestui indicator statistic a fost avut în vedere numărul de cauze ce a revenit spre soluţionare instanţei supreme în raport cu competenţa sa funcţională, în sensul judecării în stadiul procesual fond dar şi în recurs, completul de 5 judecători, completul de 9 judecători, etc. cu consecinţa multiplicării numărului dosarelor în raport de numărul membrilor completelor de judecată.</w:t>
      </w:r>
    </w:p>
    <w:p w:rsidR="000802D5" w:rsidRPr="002152E4" w:rsidRDefault="000802D5" w:rsidP="0023007C">
      <w:pPr>
        <w:pStyle w:val="AddParagraf"/>
      </w:pPr>
      <w:r w:rsidRPr="002152E4">
        <w:t xml:space="preserve">Schema posturilor pentru acest an la instanţa supremă a fost de </w:t>
      </w:r>
      <w:r w:rsidRPr="002152E4">
        <w:rPr>
          <w:b/>
        </w:rPr>
        <w:t>122</w:t>
      </w:r>
      <w:r w:rsidRPr="002152E4">
        <w:t xml:space="preserve"> posturi, în timp ce media posturilor de judecător ocupate pe parcursul anului a</w:t>
      </w:r>
      <w:r w:rsidR="00B87A3A" w:rsidRPr="002152E4">
        <w:t xml:space="preserve"> fost de </w:t>
      </w:r>
      <w:r w:rsidR="002206FF" w:rsidRPr="002152E4">
        <w:rPr>
          <w:b/>
        </w:rPr>
        <w:t>9</w:t>
      </w:r>
      <w:r w:rsidR="00B87A3A" w:rsidRPr="002152E4">
        <w:rPr>
          <w:b/>
        </w:rPr>
        <w:t>3</w:t>
      </w:r>
      <w:r w:rsidRPr="002152E4">
        <w:t xml:space="preserve"> posturi.</w:t>
      </w:r>
    </w:p>
    <w:p w:rsidR="00C6311F" w:rsidRPr="002152E4" w:rsidRDefault="000802D5" w:rsidP="00C6311F">
      <w:pPr>
        <w:pStyle w:val="AddParagraf"/>
        <w:rPr>
          <w:bCs/>
        </w:rPr>
      </w:pPr>
      <w:r w:rsidRPr="002152E4">
        <w:t>În consecinţă, încărc</w:t>
      </w:r>
      <w:r w:rsidR="00A122C4" w:rsidRPr="002152E4">
        <w:t xml:space="preserve">ătura pe schemă pentru anul </w:t>
      </w:r>
      <w:smartTag w:uri="urn:schemas-microsoft-com:office:smarttags" w:element="metricconverter">
        <w:smartTagPr>
          <w:attr w:name="ProductID" w:val="2016 a"/>
        </w:smartTagPr>
        <w:r w:rsidR="00A122C4" w:rsidRPr="002152E4">
          <w:t>2016</w:t>
        </w:r>
        <w:r w:rsidRPr="002152E4">
          <w:t xml:space="preserve"> a</w:t>
        </w:r>
      </w:smartTag>
      <w:r w:rsidRPr="002152E4">
        <w:t xml:space="preserve"> fost determinată la</w:t>
      </w:r>
      <w:r w:rsidRPr="002152E4">
        <w:rPr>
          <w:b/>
        </w:rPr>
        <w:t xml:space="preserve"> </w:t>
      </w:r>
      <w:r w:rsidR="00A122C4" w:rsidRPr="002152E4">
        <w:rPr>
          <w:b/>
        </w:rPr>
        <w:t>852</w:t>
      </w:r>
      <w:r w:rsidR="00A122C4" w:rsidRPr="002152E4">
        <w:t xml:space="preserve"> cauze </w:t>
      </w:r>
      <w:r w:rsidRPr="002152E4">
        <w:t>(</w:t>
      </w:r>
      <w:r w:rsidR="00A122C4" w:rsidRPr="002152E4">
        <w:rPr>
          <w:b/>
        </w:rPr>
        <w:t xml:space="preserve">604 </w:t>
      </w:r>
      <w:r w:rsidR="00A122C4" w:rsidRPr="002152E4">
        <w:t xml:space="preserve">cauze în 2015 şi </w:t>
      </w:r>
      <w:r w:rsidR="00896FA6" w:rsidRPr="002152E4">
        <w:t>892 cauze în 2014</w:t>
      </w:r>
      <w:r w:rsidRPr="002152E4">
        <w:t xml:space="preserve">), iar cea pe judecător la </w:t>
      </w:r>
      <w:r w:rsidR="00F20D59" w:rsidRPr="002152E4">
        <w:rPr>
          <w:b/>
        </w:rPr>
        <w:t>1120</w:t>
      </w:r>
      <w:r w:rsidR="00F20D59" w:rsidRPr="002152E4">
        <w:t xml:space="preserve"> cauze </w:t>
      </w:r>
      <w:r w:rsidRPr="002152E4">
        <w:t>(</w:t>
      </w:r>
      <w:r w:rsidR="00C6311F" w:rsidRPr="002152E4">
        <w:t xml:space="preserve">716 cauze în 2015 şi </w:t>
      </w:r>
      <w:r w:rsidR="00896FA6" w:rsidRPr="002152E4">
        <w:t>989</w:t>
      </w:r>
      <w:r w:rsidRPr="002152E4">
        <w:rPr>
          <w:bCs/>
        </w:rPr>
        <w:t xml:space="preserve"> </w:t>
      </w:r>
      <w:r w:rsidR="00896FA6" w:rsidRPr="002152E4">
        <w:rPr>
          <w:bCs/>
        </w:rPr>
        <w:t>cauze în 2014</w:t>
      </w:r>
      <w:r w:rsidRPr="002152E4">
        <w:rPr>
          <w:bCs/>
        </w:rPr>
        <w:t>).</w:t>
      </w:r>
      <w:r w:rsidR="00C6311F" w:rsidRPr="002152E4">
        <w:rPr>
          <w:bCs/>
        </w:rPr>
        <w:t xml:space="preserve"> </w:t>
      </w:r>
    </w:p>
    <w:p w:rsidR="00835AE5" w:rsidRPr="002152E4" w:rsidRDefault="00835AE5" w:rsidP="00C6311F">
      <w:pPr>
        <w:pStyle w:val="AddParagraf"/>
      </w:pPr>
      <w:r w:rsidRPr="002152E4">
        <w:t xml:space="preserve">Comparativ cu anul 2015 încărcătura pe schemă a crescut cu </w:t>
      </w:r>
      <w:r w:rsidRPr="002152E4">
        <w:rPr>
          <w:b/>
        </w:rPr>
        <w:t>248</w:t>
      </w:r>
      <w:r w:rsidRPr="002152E4">
        <w:t xml:space="preserve"> cauze ce corespunde unui procent de </w:t>
      </w:r>
      <w:r w:rsidRPr="002152E4">
        <w:rPr>
          <w:b/>
        </w:rPr>
        <w:t>41,06 %</w:t>
      </w:r>
      <w:r w:rsidRPr="002152E4">
        <w:t xml:space="preserve"> iar încărcătura pe judecător a crescut cu </w:t>
      </w:r>
      <w:r w:rsidRPr="002152E4">
        <w:rPr>
          <w:b/>
        </w:rPr>
        <w:t>404</w:t>
      </w:r>
      <w:r w:rsidRPr="002152E4">
        <w:t xml:space="preserve"> cauze ce corespunde unui procent de </w:t>
      </w:r>
      <w:r w:rsidRPr="002152E4">
        <w:rPr>
          <w:b/>
        </w:rPr>
        <w:t>56,42 %</w:t>
      </w:r>
      <w:r w:rsidRPr="002152E4">
        <w:t>.</w:t>
      </w:r>
    </w:p>
    <w:p w:rsidR="000E74E4" w:rsidRPr="002152E4" w:rsidRDefault="000E74E4" w:rsidP="00C6311F">
      <w:pPr>
        <w:pStyle w:val="AddParagraf"/>
      </w:pPr>
      <w:r w:rsidRPr="002152E4">
        <w:t xml:space="preserve">Comparativ cu anul 2012 încărcătura pe schemă a scăzut cu </w:t>
      </w:r>
      <w:r w:rsidRPr="002152E4">
        <w:rPr>
          <w:b/>
        </w:rPr>
        <w:t>67</w:t>
      </w:r>
      <w:r w:rsidRPr="002152E4">
        <w:t xml:space="preserve"> cauze ce corespunde unui procent de </w:t>
      </w:r>
      <w:r w:rsidRPr="002152E4">
        <w:rPr>
          <w:b/>
        </w:rPr>
        <w:t>7,29 %</w:t>
      </w:r>
      <w:r w:rsidRPr="002152E4">
        <w:t xml:space="preserve"> iar încărcătura pe judecător a </w:t>
      </w:r>
      <w:r w:rsidR="00BE03B0" w:rsidRPr="002152E4">
        <w:t xml:space="preserve">scăzut </w:t>
      </w:r>
      <w:r w:rsidRPr="002152E4">
        <w:t xml:space="preserve">cu </w:t>
      </w:r>
      <w:r w:rsidR="00BE03B0" w:rsidRPr="002152E4">
        <w:rPr>
          <w:b/>
        </w:rPr>
        <w:t>50</w:t>
      </w:r>
      <w:r w:rsidRPr="002152E4">
        <w:t xml:space="preserve"> cauze ce corespunde unui procent de </w:t>
      </w:r>
      <w:r w:rsidR="00BE03B0" w:rsidRPr="002152E4">
        <w:rPr>
          <w:b/>
        </w:rPr>
        <w:t>4,27</w:t>
      </w:r>
      <w:r w:rsidRPr="002152E4">
        <w:rPr>
          <w:b/>
        </w:rPr>
        <w:t xml:space="preserve"> %</w:t>
      </w:r>
      <w:r w:rsidRPr="002152E4">
        <w:t>.</w:t>
      </w:r>
    </w:p>
    <w:p w:rsidR="003A4EF3" w:rsidRDefault="00C6311F" w:rsidP="008B7005">
      <w:pPr>
        <w:pStyle w:val="AddParagraf"/>
      </w:pPr>
      <w:r w:rsidRPr="002152E4">
        <w:t>Pe ultimii 5 ani, situaţia celor doi indicatori se prezintă după cum urmează</w:t>
      </w:r>
      <w:bookmarkStart w:id="36" w:name="_Toc411333481"/>
      <w:bookmarkStart w:id="37" w:name="_Toc411429416"/>
      <w:r w:rsidR="008B7005">
        <w:t>:</w:t>
      </w:r>
    </w:p>
    <w:p w:rsidR="008B7005" w:rsidRPr="002152E4" w:rsidRDefault="008B7005" w:rsidP="008B7005">
      <w:pPr>
        <w:pStyle w:val="AddParagraf"/>
      </w:pPr>
      <w:r w:rsidRPr="007037CF">
        <w:rPr>
          <w:b/>
          <w:bCs/>
        </w:rPr>
        <w:fldChar w:fldCharType="begin"/>
      </w:r>
      <w:r w:rsidRPr="007037CF">
        <w:rPr>
          <w:b/>
          <w:bCs/>
        </w:rPr>
        <w:instrText xml:space="preserve"> LINK Excel.Sheet.8 "C:\\Documents and Settings\\bogdan.comaneci.CSM1909\\Desktop\\1 an 2016\\Grafice 2016.xls!Incarcat ICCJ![Grafice 2016.xls]Incarcat ICCJ Diagramă 1" "" \a \p \* MERGEFORMAT </w:instrText>
      </w:r>
      <w:r w:rsidRPr="007037CF">
        <w:rPr>
          <w:b/>
          <w:bCs/>
        </w:rPr>
        <w:fldChar w:fldCharType="separate"/>
      </w:r>
      <w:r w:rsidR="00C742FD">
        <w:rPr>
          <w:b/>
          <w:bCs/>
        </w:rPr>
        <w:object w:dxaOrig="11994" w:dyaOrig="6272">
          <v:shape id="_x0000_i1051" type="#_x0000_t75" style="width:481.45pt;height:252.95pt">
            <v:imagedata r:id="rId62" o:title=""/>
          </v:shape>
        </w:object>
      </w:r>
      <w:r w:rsidRPr="007037CF">
        <w:rPr>
          <w:b/>
          <w:bCs/>
        </w:rPr>
        <w:fldChar w:fldCharType="end"/>
      </w:r>
    </w:p>
    <w:p w:rsidR="000802D5" w:rsidRPr="002152E4" w:rsidRDefault="005C0FA1" w:rsidP="005C0FA1">
      <w:pPr>
        <w:pStyle w:val="Heading3"/>
      </w:pPr>
      <w:bookmarkStart w:id="38" w:name="_Toc475363399"/>
      <w:bookmarkStart w:id="39" w:name="_Toc486576522"/>
      <w:r w:rsidRPr="002152E4">
        <w:lastRenderedPageBreak/>
        <w:t>II</w:t>
      </w:r>
      <w:r w:rsidR="004F1AA9" w:rsidRPr="002152E4">
        <w:t xml:space="preserve">.2.2. </w:t>
      </w:r>
      <w:r w:rsidR="000802D5" w:rsidRPr="002152E4">
        <w:t>Încărcătura la nivelul curţilor de apel</w:t>
      </w:r>
      <w:bookmarkEnd w:id="36"/>
      <w:bookmarkEnd w:id="37"/>
      <w:bookmarkEnd w:id="38"/>
      <w:bookmarkEnd w:id="39"/>
    </w:p>
    <w:p w:rsidR="000802D5" w:rsidRPr="002152E4" w:rsidRDefault="000802D5" w:rsidP="00234533">
      <w:pPr>
        <w:pStyle w:val="AddParagraf"/>
      </w:pPr>
      <w:r w:rsidRPr="002152E4">
        <w:t>Trebuie menţionat de asemenea faptul că, pentru calcularea indicatorului statistic referitor la încărcătura de cauze/judecător şi în cazul curţilor de apel s-a ţinut cont de împrejurarea că aceste instanţe judecă atât în fond, cât şi în apel şi recurs.</w:t>
      </w:r>
    </w:p>
    <w:p w:rsidR="000802D5" w:rsidRPr="002152E4" w:rsidRDefault="00A34297" w:rsidP="00234533">
      <w:pPr>
        <w:pStyle w:val="AddParagraf"/>
      </w:pPr>
      <w:r w:rsidRPr="002152E4">
        <w:t>Astfel, în anul 2016</w:t>
      </w:r>
      <w:r w:rsidR="000802D5" w:rsidRPr="002152E4">
        <w:t>, s-a înregistrat o încărcătură medie pe judecător de</w:t>
      </w:r>
      <w:r w:rsidRPr="002152E4">
        <w:t xml:space="preserve"> </w:t>
      </w:r>
      <w:r w:rsidR="003C17CA" w:rsidRPr="002152E4">
        <w:rPr>
          <w:b/>
        </w:rPr>
        <w:t>563</w:t>
      </w:r>
      <w:r w:rsidR="003C17CA" w:rsidRPr="002152E4">
        <w:t xml:space="preserve"> </w:t>
      </w:r>
      <w:r w:rsidRPr="002152E4">
        <w:t>cauze</w:t>
      </w:r>
      <w:r w:rsidR="000802D5" w:rsidRPr="002152E4">
        <w:t xml:space="preserve"> (</w:t>
      </w:r>
      <w:r w:rsidRPr="002152E4">
        <w:t xml:space="preserve">675 cauze în 2015 şi </w:t>
      </w:r>
      <w:r w:rsidR="00B1691D" w:rsidRPr="002152E4">
        <w:t>945 cauze în 2014</w:t>
      </w:r>
      <w:r w:rsidR="000802D5" w:rsidRPr="002152E4">
        <w:t xml:space="preserve">) şi o încărcătură medie pe schemă de </w:t>
      </w:r>
      <w:r w:rsidR="003C17CA" w:rsidRPr="002152E4">
        <w:rPr>
          <w:b/>
        </w:rPr>
        <w:t>465</w:t>
      </w:r>
      <w:r w:rsidR="003C17CA" w:rsidRPr="002152E4">
        <w:t xml:space="preserve"> </w:t>
      </w:r>
      <w:r w:rsidRPr="002152E4">
        <w:t xml:space="preserve">dosare </w:t>
      </w:r>
      <w:r w:rsidR="000802D5" w:rsidRPr="002152E4">
        <w:t>(</w:t>
      </w:r>
      <w:r w:rsidRPr="002152E4">
        <w:t xml:space="preserve">625 dosare în 2015 şi </w:t>
      </w:r>
      <w:r w:rsidR="00B1691D" w:rsidRPr="002152E4">
        <w:t>882 dosare în 201</w:t>
      </w:r>
      <w:r w:rsidR="00D55C50" w:rsidRPr="002152E4">
        <w:t>4). Comparativ cu anul 2015</w:t>
      </w:r>
      <w:r w:rsidR="000802D5" w:rsidRPr="002152E4">
        <w:t xml:space="preserve">, încărcătura pe judecător s-a micşorat cu </w:t>
      </w:r>
      <w:r w:rsidR="00D55C50" w:rsidRPr="002152E4">
        <w:rPr>
          <w:b/>
        </w:rPr>
        <w:t>112</w:t>
      </w:r>
      <w:r w:rsidR="000802D5" w:rsidRPr="002152E4">
        <w:t xml:space="preserve"> de cauze ceea ce reprezintă o scădere cu </w:t>
      </w:r>
      <w:r w:rsidR="00D55C50" w:rsidRPr="002152E4">
        <w:rPr>
          <w:b/>
        </w:rPr>
        <w:t>16,59</w:t>
      </w:r>
      <w:r w:rsidR="000802D5" w:rsidRPr="002152E4">
        <w:rPr>
          <w:b/>
        </w:rPr>
        <w:t xml:space="preserve"> %</w:t>
      </w:r>
      <w:r w:rsidR="000802D5" w:rsidRPr="002152E4">
        <w:t xml:space="preserve"> iar cea pe schemă s-a micşorat cu </w:t>
      </w:r>
      <w:r w:rsidR="001559ED" w:rsidRPr="002152E4">
        <w:rPr>
          <w:b/>
        </w:rPr>
        <w:t>160</w:t>
      </w:r>
      <w:r w:rsidR="000802D5" w:rsidRPr="002152E4">
        <w:rPr>
          <w:b/>
        </w:rPr>
        <w:t xml:space="preserve"> </w:t>
      </w:r>
      <w:r w:rsidR="000802D5" w:rsidRPr="002152E4">
        <w:t xml:space="preserve">cauze ceea ce reprezintă o scădere cu </w:t>
      </w:r>
      <w:r w:rsidR="00EF6867" w:rsidRPr="002152E4">
        <w:rPr>
          <w:b/>
        </w:rPr>
        <w:t>25,60</w:t>
      </w:r>
      <w:r w:rsidR="000802D5" w:rsidRPr="002152E4">
        <w:rPr>
          <w:b/>
        </w:rPr>
        <w:t xml:space="preserve"> %</w:t>
      </w:r>
      <w:r w:rsidR="0084351C" w:rsidRPr="002152E4">
        <w:rPr>
          <w:b/>
        </w:rPr>
        <w:t>,</w:t>
      </w:r>
      <w:r w:rsidR="000802D5" w:rsidRPr="002152E4">
        <w:t xml:space="preserve"> tocmai ca urmare a scăderii cu </w:t>
      </w:r>
      <w:r w:rsidR="0084351C" w:rsidRPr="002152E4">
        <w:rPr>
          <w:b/>
        </w:rPr>
        <w:t>12,52</w:t>
      </w:r>
      <w:r w:rsidR="000802D5" w:rsidRPr="002152E4">
        <w:rPr>
          <w:b/>
        </w:rPr>
        <w:t xml:space="preserve"> %</w:t>
      </w:r>
      <w:r w:rsidR="000802D5" w:rsidRPr="002152E4">
        <w:t xml:space="preserve"> a volu</w:t>
      </w:r>
      <w:r w:rsidR="001312A8" w:rsidRPr="002152E4">
        <w:t>mul</w:t>
      </w:r>
      <w:r w:rsidR="0084351C" w:rsidRPr="002152E4">
        <w:t>ui de activitate în anul 2016</w:t>
      </w:r>
      <w:r w:rsidR="000802D5" w:rsidRPr="002152E4">
        <w:t>.</w:t>
      </w:r>
    </w:p>
    <w:p w:rsidR="000802D5" w:rsidRDefault="000802D5" w:rsidP="00234533">
      <w:pPr>
        <w:pStyle w:val="AddParagraf"/>
      </w:pPr>
      <w:r w:rsidRPr="002152E4">
        <w:t>Pe ultimii 5 ani, situaţia celor doi indicatori se prezintă după cum urmează:</w:t>
      </w:r>
    </w:p>
    <w:p w:rsidR="008B7005" w:rsidRPr="002152E4" w:rsidRDefault="008B7005" w:rsidP="00234533">
      <w:pPr>
        <w:pStyle w:val="AddParagraf"/>
      </w:pPr>
      <w:r w:rsidRPr="007037CF">
        <w:fldChar w:fldCharType="begin"/>
      </w:r>
      <w:r w:rsidRPr="007037CF">
        <w:instrText xml:space="preserve"> LINK Excel.Sheet.8 "C:\\Documents and Settings\\bogdan.comaneci.CSM1909\\Desktop\\1 an 2016\\Grafice 2016.xls!Grafic 15![Grafice 2016.xls]Grafic 15 Diagramă 1" "" \a \p \* MERGEFORMAT </w:instrText>
      </w:r>
      <w:r w:rsidRPr="007037CF">
        <w:fldChar w:fldCharType="separate"/>
      </w:r>
      <w:r w:rsidR="00C742FD">
        <w:object w:dxaOrig="11994" w:dyaOrig="6272">
          <v:shape id="_x0000_i1052" type="#_x0000_t75" style="width:491.5pt;height:258.55pt">
            <v:imagedata r:id="rId63" o:title=""/>
          </v:shape>
        </w:object>
      </w:r>
      <w:r w:rsidRPr="007037CF">
        <w:fldChar w:fldCharType="end"/>
      </w:r>
    </w:p>
    <w:p w:rsidR="00547D32" w:rsidRPr="002152E4" w:rsidRDefault="000802D5" w:rsidP="00234533">
      <w:pPr>
        <w:pStyle w:val="AddParagraf"/>
      </w:pPr>
      <w:r w:rsidRPr="002152E4">
        <w:t xml:space="preserve">Sub aspectul </w:t>
      </w:r>
      <w:r w:rsidRPr="002152E4">
        <w:rPr>
          <w:b/>
        </w:rPr>
        <w:t>încărcăturii pe judecător</w:t>
      </w:r>
      <w:r w:rsidRPr="002152E4">
        <w:t xml:space="preserve">, prima poziţie a fost ocupată de </w:t>
      </w:r>
      <w:r w:rsidR="00547D32" w:rsidRPr="002152E4">
        <w:t xml:space="preserve">Curtea de Apel Piteşti cu </w:t>
      </w:r>
      <w:r w:rsidR="00547D32" w:rsidRPr="002152E4">
        <w:rPr>
          <w:b/>
        </w:rPr>
        <w:t>789</w:t>
      </w:r>
      <w:r w:rsidR="00547D32" w:rsidRPr="002152E4">
        <w:t xml:space="preserve"> dosare pe judecător (</w:t>
      </w:r>
      <w:r w:rsidR="00BF558F" w:rsidRPr="002152E4">
        <w:t xml:space="preserve">735 </w:t>
      </w:r>
      <w:r w:rsidR="00547D32" w:rsidRPr="002152E4">
        <w:t xml:space="preserve">dosare pe judecător în 2015) urmată de Curtea de Apel Oradea cu </w:t>
      </w:r>
      <w:r w:rsidR="00547D32" w:rsidRPr="002152E4">
        <w:rPr>
          <w:b/>
        </w:rPr>
        <w:t>684</w:t>
      </w:r>
      <w:r w:rsidR="00547D32" w:rsidRPr="002152E4">
        <w:t xml:space="preserve"> dosare pe judecător (</w:t>
      </w:r>
      <w:r w:rsidR="00EC3BC3" w:rsidRPr="002152E4">
        <w:t>809</w:t>
      </w:r>
      <w:r w:rsidR="00EC3BC3" w:rsidRPr="002152E4">
        <w:rPr>
          <w:b/>
        </w:rPr>
        <w:t xml:space="preserve"> </w:t>
      </w:r>
      <w:r w:rsidR="00547D32" w:rsidRPr="002152E4">
        <w:t xml:space="preserve">dosare pe judecător în 2015), Curtea de Apel Bacău cu </w:t>
      </w:r>
      <w:r w:rsidR="00547D32" w:rsidRPr="002152E4">
        <w:rPr>
          <w:b/>
        </w:rPr>
        <w:t xml:space="preserve">684 </w:t>
      </w:r>
      <w:r w:rsidR="00547D32" w:rsidRPr="002152E4">
        <w:t>dosare pe judecător (</w:t>
      </w:r>
      <w:r w:rsidR="00EC3BC3" w:rsidRPr="002152E4">
        <w:t xml:space="preserve">798 </w:t>
      </w:r>
      <w:r w:rsidR="00547D32" w:rsidRPr="002152E4">
        <w:t xml:space="preserve">dosare pe judecător în 2015), Curtea de Apel Timişoara cu </w:t>
      </w:r>
      <w:r w:rsidR="00547D32" w:rsidRPr="002152E4">
        <w:rPr>
          <w:b/>
        </w:rPr>
        <w:t>673</w:t>
      </w:r>
      <w:r w:rsidR="00547D32" w:rsidRPr="002152E4">
        <w:t xml:space="preserve"> dosare pe judecător (</w:t>
      </w:r>
      <w:r w:rsidR="00EC3BC3" w:rsidRPr="002152E4">
        <w:t>824</w:t>
      </w:r>
      <w:r w:rsidR="00EC3BC3" w:rsidRPr="002152E4">
        <w:rPr>
          <w:b/>
        </w:rPr>
        <w:t xml:space="preserve"> </w:t>
      </w:r>
      <w:r w:rsidR="00547D32" w:rsidRPr="002152E4">
        <w:t xml:space="preserve">dosare pe judecător în 2015) şi Curtea de Apel Bucureşti cu </w:t>
      </w:r>
      <w:r w:rsidR="00547D32" w:rsidRPr="002152E4">
        <w:rPr>
          <w:b/>
        </w:rPr>
        <w:t>635</w:t>
      </w:r>
      <w:r w:rsidR="00547D32" w:rsidRPr="002152E4">
        <w:t xml:space="preserve"> dosare pe judecător (</w:t>
      </w:r>
      <w:r w:rsidR="00EC3BC3" w:rsidRPr="002152E4">
        <w:t xml:space="preserve">786 </w:t>
      </w:r>
      <w:r w:rsidR="00547D32" w:rsidRPr="002152E4">
        <w:t>dosare pe judecător în 2015)</w:t>
      </w:r>
      <w:r w:rsidR="00580DBC" w:rsidRPr="002152E4">
        <w:t>.</w:t>
      </w:r>
    </w:p>
    <w:p w:rsidR="000802D5" w:rsidRPr="002152E4" w:rsidRDefault="000802D5" w:rsidP="00234533">
      <w:pPr>
        <w:pStyle w:val="AddParagraf"/>
      </w:pPr>
      <w:r w:rsidRPr="002152E4">
        <w:t xml:space="preserve">Curtea de Apel </w:t>
      </w:r>
      <w:r w:rsidR="003A58F8" w:rsidRPr="002152E4">
        <w:t xml:space="preserve">Piteşti </w:t>
      </w:r>
      <w:r w:rsidRPr="002152E4">
        <w:t xml:space="preserve">care ocupă prima poziţie înregistrează o schemă de </w:t>
      </w:r>
      <w:r w:rsidR="003A58F8" w:rsidRPr="002152E4">
        <w:rPr>
          <w:b/>
        </w:rPr>
        <w:t>42</w:t>
      </w:r>
      <w:r w:rsidRPr="002152E4">
        <w:t xml:space="preserve"> posturi cu </w:t>
      </w:r>
      <w:r w:rsidR="003A58F8" w:rsidRPr="002152E4">
        <w:rPr>
          <w:b/>
        </w:rPr>
        <w:t>30</w:t>
      </w:r>
      <w:r w:rsidRPr="002152E4">
        <w:t xml:space="preserve">  posturi în medie ocupate efectiv. De asemenea, la nivelul Curţii de Apel </w:t>
      </w:r>
      <w:r w:rsidR="003A58F8" w:rsidRPr="002152E4">
        <w:t xml:space="preserve">Bacău </w:t>
      </w:r>
      <w:r w:rsidRPr="002152E4">
        <w:t xml:space="preserve">a existat un deficit efectiv de </w:t>
      </w:r>
      <w:r w:rsidR="003A58F8" w:rsidRPr="002152E4">
        <w:rPr>
          <w:b/>
        </w:rPr>
        <w:t>8</w:t>
      </w:r>
      <w:r w:rsidRPr="002152E4">
        <w:rPr>
          <w:b/>
        </w:rPr>
        <w:t xml:space="preserve"> </w:t>
      </w:r>
      <w:r w:rsidR="00AB24E4" w:rsidRPr="002152E4">
        <w:t xml:space="preserve">judecători iar </w:t>
      </w:r>
      <w:smartTag w:uri="urn:schemas-microsoft-com:office:smarttags" w:element="PersonName">
        <w:smartTagPr>
          <w:attr w:name="ProductID" w:val="la Curtea"/>
        </w:smartTagPr>
        <w:r w:rsidRPr="002152E4">
          <w:t>la Curtea</w:t>
        </w:r>
      </w:smartTag>
      <w:r w:rsidR="00AB24E4" w:rsidRPr="002152E4">
        <w:t xml:space="preserve"> de Apel </w:t>
      </w:r>
      <w:r w:rsidR="003A58F8" w:rsidRPr="002152E4">
        <w:t xml:space="preserve">Timişoara </w:t>
      </w:r>
      <w:r w:rsidR="00AB24E4" w:rsidRPr="002152E4">
        <w:t xml:space="preserve">un deficit de </w:t>
      </w:r>
      <w:r w:rsidR="003A58F8" w:rsidRPr="002152E4">
        <w:rPr>
          <w:b/>
        </w:rPr>
        <w:t>11</w:t>
      </w:r>
      <w:r w:rsidR="00AB24E4" w:rsidRPr="002152E4">
        <w:t xml:space="preserve"> judecători</w:t>
      </w:r>
      <w:r w:rsidRPr="002152E4">
        <w:t>.</w:t>
      </w:r>
    </w:p>
    <w:p w:rsidR="000802D5" w:rsidRPr="002152E4" w:rsidRDefault="000802D5" w:rsidP="00234533">
      <w:pPr>
        <w:pStyle w:val="AddParagraf"/>
      </w:pPr>
      <w:r w:rsidRPr="002152E4">
        <w:t>Cel mai mic nivel de cauze pe judecător l-a înregistrat Curtea de Apel</w:t>
      </w:r>
      <w:r w:rsidR="004E0750" w:rsidRPr="002152E4">
        <w:t xml:space="preserve"> Târgu Mureş </w:t>
      </w:r>
      <w:r w:rsidRPr="002152E4">
        <w:t xml:space="preserve"> cu</w:t>
      </w:r>
      <w:r w:rsidRPr="002152E4">
        <w:rPr>
          <w:b/>
        </w:rPr>
        <w:t xml:space="preserve"> </w:t>
      </w:r>
      <w:r w:rsidR="007E6A5B" w:rsidRPr="002152E4">
        <w:rPr>
          <w:b/>
        </w:rPr>
        <w:t>4</w:t>
      </w:r>
      <w:r w:rsidR="004E0750" w:rsidRPr="002152E4">
        <w:rPr>
          <w:b/>
        </w:rPr>
        <w:t>01</w:t>
      </w:r>
      <w:r w:rsidRPr="002152E4">
        <w:t xml:space="preserve"> cauze pe judecător, urmată de Curtea de Apel  </w:t>
      </w:r>
      <w:r w:rsidR="004E0750" w:rsidRPr="002152E4">
        <w:t xml:space="preserve">Suceava </w:t>
      </w:r>
      <w:r w:rsidRPr="002152E4">
        <w:t>cu</w:t>
      </w:r>
      <w:r w:rsidRPr="002152E4">
        <w:rPr>
          <w:b/>
        </w:rPr>
        <w:t xml:space="preserve"> </w:t>
      </w:r>
      <w:r w:rsidR="004E0750" w:rsidRPr="002152E4">
        <w:rPr>
          <w:b/>
        </w:rPr>
        <w:t>433</w:t>
      </w:r>
      <w:r w:rsidRPr="002152E4">
        <w:t xml:space="preserve"> dosare pe judecător. </w:t>
      </w:r>
    </w:p>
    <w:p w:rsidR="004E6AE8" w:rsidRPr="002152E4" w:rsidRDefault="000802D5" w:rsidP="00234533">
      <w:pPr>
        <w:pStyle w:val="AddParagraf"/>
      </w:pPr>
      <w:r w:rsidRPr="002152E4">
        <w:t xml:space="preserve">În ceea ce priveşte </w:t>
      </w:r>
      <w:r w:rsidRPr="002152E4">
        <w:rPr>
          <w:b/>
        </w:rPr>
        <w:t>încărcătura pe schemă</w:t>
      </w:r>
      <w:r w:rsidR="004E6AE8" w:rsidRPr="002152E4">
        <w:t>, în anul 2016</w:t>
      </w:r>
      <w:r w:rsidRPr="002152E4">
        <w:t>, prima poziţie este ocupată de aceleaşi</w:t>
      </w:r>
      <w:r w:rsidR="00C5592D" w:rsidRPr="002152E4">
        <w:t xml:space="preserve"> Curte</w:t>
      </w:r>
      <w:r w:rsidRPr="002152E4">
        <w:t xml:space="preserve"> de apel </w:t>
      </w:r>
      <w:r w:rsidR="004E6AE8" w:rsidRPr="002152E4">
        <w:t xml:space="preserve"> Piteşti</w:t>
      </w:r>
      <w:r w:rsidR="00100052" w:rsidRPr="002152E4">
        <w:t xml:space="preserve"> cu </w:t>
      </w:r>
      <w:r w:rsidR="004E6AE8" w:rsidRPr="002152E4">
        <w:rPr>
          <w:b/>
        </w:rPr>
        <w:t>554</w:t>
      </w:r>
      <w:r w:rsidR="00100052" w:rsidRPr="002152E4">
        <w:rPr>
          <w:b/>
        </w:rPr>
        <w:t xml:space="preserve"> </w:t>
      </w:r>
      <w:r w:rsidR="004E6AE8" w:rsidRPr="002152E4">
        <w:t>dosare pe schemă (</w:t>
      </w:r>
      <w:r w:rsidR="00182D80" w:rsidRPr="002152E4">
        <w:t xml:space="preserve">616 </w:t>
      </w:r>
      <w:r w:rsidR="004E6AE8" w:rsidRPr="002152E4">
        <w:t>dosare pe schemă în 2015</w:t>
      </w:r>
      <w:r w:rsidR="00100052" w:rsidRPr="002152E4">
        <w:t>),</w:t>
      </w:r>
      <w:r w:rsidR="00C5592D" w:rsidRPr="002152E4">
        <w:t xml:space="preserve"> urmată de Curte </w:t>
      </w:r>
      <w:r w:rsidR="002152E4">
        <w:t xml:space="preserve">de </w:t>
      </w:r>
      <w:r w:rsidR="00C5592D" w:rsidRPr="002152E4">
        <w:t>apel</w:t>
      </w:r>
      <w:r w:rsidR="00100052" w:rsidRPr="002152E4">
        <w:t xml:space="preserve"> </w:t>
      </w:r>
      <w:r w:rsidRPr="002152E4">
        <w:t xml:space="preserve">Timişoara cu </w:t>
      </w:r>
      <w:r w:rsidR="009B6A3A" w:rsidRPr="002152E4">
        <w:t xml:space="preserve"> </w:t>
      </w:r>
      <w:r w:rsidR="004E6AE8" w:rsidRPr="002152E4">
        <w:rPr>
          <w:b/>
        </w:rPr>
        <w:t>551</w:t>
      </w:r>
      <w:r w:rsidR="009B6A3A" w:rsidRPr="002152E4">
        <w:t xml:space="preserve"> </w:t>
      </w:r>
      <w:r w:rsidRPr="002152E4">
        <w:t>dosare pe schemă (</w:t>
      </w:r>
      <w:r w:rsidR="004E6AE8" w:rsidRPr="002152E4">
        <w:t>794</w:t>
      </w:r>
      <w:r w:rsidR="009B6A3A" w:rsidRPr="002152E4">
        <w:rPr>
          <w:b/>
        </w:rPr>
        <w:t xml:space="preserve"> </w:t>
      </w:r>
      <w:r w:rsidR="004E6AE8" w:rsidRPr="002152E4">
        <w:t>dosare în 2015</w:t>
      </w:r>
      <w:r w:rsidR="009B6A3A" w:rsidRPr="002152E4">
        <w:t>)</w:t>
      </w:r>
      <w:r w:rsidR="004E6AE8" w:rsidRPr="002152E4">
        <w:t>, Curtea de Apel Oradea cu</w:t>
      </w:r>
      <w:r w:rsidR="004E6AE8" w:rsidRPr="002152E4">
        <w:rPr>
          <w:b/>
        </w:rPr>
        <w:t xml:space="preserve"> 538</w:t>
      </w:r>
      <w:r w:rsidR="004E6AE8" w:rsidRPr="002152E4">
        <w:t xml:space="preserve"> dosare pe schemă (</w:t>
      </w:r>
      <w:r w:rsidR="00182D80" w:rsidRPr="002152E4">
        <w:t xml:space="preserve">670 </w:t>
      </w:r>
      <w:r w:rsidR="004E6AE8" w:rsidRPr="002152E4">
        <w:t xml:space="preserve">dosare în 2015), Curtea de Apel Bucureşti cu </w:t>
      </w:r>
      <w:r w:rsidR="004E6AE8" w:rsidRPr="002152E4">
        <w:rPr>
          <w:b/>
        </w:rPr>
        <w:t>535</w:t>
      </w:r>
      <w:r w:rsidR="004E6AE8" w:rsidRPr="002152E4">
        <w:t xml:space="preserve"> dosare pe schemă (681 dosare în 2015) şi Curtea de Apel Bacău cu </w:t>
      </w:r>
      <w:r w:rsidR="004E6AE8" w:rsidRPr="002152E4">
        <w:rPr>
          <w:b/>
        </w:rPr>
        <w:t>534</w:t>
      </w:r>
      <w:r w:rsidR="004E6AE8" w:rsidRPr="002152E4">
        <w:t xml:space="preserve"> dosare pe schemă (750 dosare în 2015).</w:t>
      </w:r>
    </w:p>
    <w:p w:rsidR="000802D5" w:rsidRPr="002152E4" w:rsidRDefault="000802D5" w:rsidP="00234533">
      <w:pPr>
        <w:pStyle w:val="AddParagraf"/>
      </w:pPr>
      <w:r w:rsidRPr="002152E4">
        <w:t xml:space="preserve">Cea mai mică încărcătură pe schemă a înregistrat-o, </w:t>
      </w:r>
      <w:r w:rsidR="00633579" w:rsidRPr="002152E4">
        <w:t>Curtea de A</w:t>
      </w:r>
      <w:r w:rsidRPr="002152E4">
        <w:t xml:space="preserve">pel </w:t>
      </w:r>
      <w:r w:rsidR="00BE1267" w:rsidRPr="002152E4">
        <w:t xml:space="preserve">Târgu Mureş </w:t>
      </w:r>
      <w:r w:rsidRPr="002152E4">
        <w:t xml:space="preserve">cu </w:t>
      </w:r>
      <w:r w:rsidR="00BE1267" w:rsidRPr="002152E4">
        <w:rPr>
          <w:b/>
        </w:rPr>
        <w:t>331</w:t>
      </w:r>
      <w:r w:rsidRPr="002152E4">
        <w:t xml:space="preserve"> dosare pe schemă (</w:t>
      </w:r>
      <w:r w:rsidR="00182D80" w:rsidRPr="002152E4">
        <w:t xml:space="preserve">532 </w:t>
      </w:r>
      <w:r w:rsidR="00BE1267" w:rsidRPr="002152E4">
        <w:t>dosare în 2015</w:t>
      </w:r>
      <w:r w:rsidRPr="002152E4">
        <w:t>).</w:t>
      </w:r>
    </w:p>
    <w:p w:rsidR="000802D5" w:rsidRPr="002152E4" w:rsidRDefault="000802D5" w:rsidP="000802D5">
      <w:pPr>
        <w:spacing w:before="120" w:line="360" w:lineRule="auto"/>
        <w:ind w:firstLine="720"/>
        <w:jc w:val="both"/>
        <w:rPr>
          <w:lang w:val="ro-RO"/>
        </w:rPr>
      </w:pPr>
    </w:p>
    <w:p w:rsidR="000802D5" w:rsidRPr="002152E4" w:rsidRDefault="005C0FA1" w:rsidP="005C0FA1">
      <w:pPr>
        <w:pStyle w:val="Heading3"/>
      </w:pPr>
      <w:bookmarkStart w:id="40" w:name="_Toc411333482"/>
      <w:bookmarkStart w:id="41" w:name="_Toc411429417"/>
      <w:bookmarkStart w:id="42" w:name="_Toc475363400"/>
      <w:bookmarkStart w:id="43" w:name="_Toc486576523"/>
      <w:r w:rsidRPr="002152E4">
        <w:t>II</w:t>
      </w:r>
      <w:r w:rsidR="00AA2C2F" w:rsidRPr="002152E4">
        <w:t xml:space="preserve">.2.3. </w:t>
      </w:r>
      <w:r w:rsidR="000802D5" w:rsidRPr="002152E4">
        <w:t>Încărcătura la nivelul tribunalelor</w:t>
      </w:r>
      <w:bookmarkEnd w:id="40"/>
      <w:bookmarkEnd w:id="41"/>
      <w:bookmarkEnd w:id="42"/>
      <w:bookmarkEnd w:id="43"/>
    </w:p>
    <w:p w:rsidR="000802D5" w:rsidRPr="002152E4" w:rsidRDefault="000802D5" w:rsidP="00234533">
      <w:pPr>
        <w:pStyle w:val="AddParagraf"/>
      </w:pPr>
      <w:r w:rsidRPr="002152E4">
        <w:t xml:space="preserve">Ca şi în cazul curţilor de apel, trebuie precizat că pentru calcularea acestui indicator statistic au fost avute în vedere nu numai numărul de cauze ce a revenit spre soluţionare instanţelor de acest grad, ci şi specificul tribunalelor de a fi atât instanţe de fond, cât şi de control judiciar (judecând deopotrivă în apel şi recurs). </w:t>
      </w:r>
    </w:p>
    <w:p w:rsidR="000802D5" w:rsidRPr="002152E4" w:rsidRDefault="000802D5" w:rsidP="00234533">
      <w:pPr>
        <w:pStyle w:val="AddParagraf"/>
      </w:pPr>
      <w:r w:rsidRPr="002152E4">
        <w:t xml:space="preserve">Astfel, pentru a analiza volumul de activitate al unui judecător s-a ţinut cont de împrejurarea că în apel cauzele sunt judecate de un complet format din doi judecători, iar în recurs de un complet format din trei judecători. </w:t>
      </w:r>
    </w:p>
    <w:p w:rsidR="000802D5" w:rsidRPr="002152E4" w:rsidRDefault="00D2687E" w:rsidP="00234533">
      <w:pPr>
        <w:pStyle w:val="AddParagraf"/>
      </w:pPr>
      <w:r w:rsidRPr="002152E4">
        <w:t>În anul 2016</w:t>
      </w:r>
      <w:r w:rsidR="000802D5" w:rsidRPr="002152E4">
        <w:rPr>
          <w:b/>
        </w:rPr>
        <w:t xml:space="preserve">, </w:t>
      </w:r>
      <w:r w:rsidR="000802D5" w:rsidRPr="002152E4">
        <w:rPr>
          <w:bCs/>
        </w:rPr>
        <w:t>la nivelul tribunalelor</w:t>
      </w:r>
      <w:r w:rsidR="000802D5" w:rsidRPr="002152E4">
        <w:t xml:space="preserve"> s-a înregistrat o încărcătură medie/judecător de </w:t>
      </w:r>
      <w:r w:rsidR="00296207" w:rsidRPr="002152E4">
        <w:rPr>
          <w:b/>
        </w:rPr>
        <w:t>724</w:t>
      </w:r>
      <w:r w:rsidR="00296207" w:rsidRPr="002152E4">
        <w:t xml:space="preserve"> cauze </w:t>
      </w:r>
      <w:r w:rsidR="000802D5" w:rsidRPr="002152E4">
        <w:t>(</w:t>
      </w:r>
      <w:r w:rsidR="00296207" w:rsidRPr="002152E4">
        <w:t xml:space="preserve">791 cauze în 2015 şi </w:t>
      </w:r>
      <w:r w:rsidR="00D04B80" w:rsidRPr="002152E4">
        <w:t>918 cauze în 2014</w:t>
      </w:r>
      <w:r w:rsidR="000802D5" w:rsidRPr="002152E4">
        <w:t xml:space="preserve">) şi o încărcătură a cauzelor/schemă de </w:t>
      </w:r>
      <w:r w:rsidR="00296207" w:rsidRPr="002152E4">
        <w:rPr>
          <w:b/>
        </w:rPr>
        <w:t xml:space="preserve"> 600</w:t>
      </w:r>
      <w:r w:rsidR="00296207" w:rsidRPr="002152E4">
        <w:t xml:space="preserve"> cauze </w:t>
      </w:r>
      <w:r w:rsidR="000802D5" w:rsidRPr="002152E4">
        <w:t>(</w:t>
      </w:r>
      <w:r w:rsidR="00296207" w:rsidRPr="002152E4">
        <w:t xml:space="preserve">710 cauze în 2015 şi </w:t>
      </w:r>
      <w:r w:rsidR="00D04B80" w:rsidRPr="002152E4">
        <w:t>819</w:t>
      </w:r>
      <w:r w:rsidR="002D41CF" w:rsidRPr="002152E4">
        <w:t xml:space="preserve"> </w:t>
      </w:r>
      <w:r w:rsidR="00D04B80" w:rsidRPr="002152E4">
        <w:t>cauze în 2014</w:t>
      </w:r>
      <w:r w:rsidR="000802D5" w:rsidRPr="002152E4">
        <w:t>). Încărcătura</w:t>
      </w:r>
      <w:r w:rsidR="002A632C" w:rsidRPr="002152E4">
        <w:t xml:space="preserve"> medie pe judecător în anul </w:t>
      </w:r>
      <w:smartTag w:uri="urn:schemas-microsoft-com:office:smarttags" w:element="metricconverter">
        <w:smartTagPr>
          <w:attr w:name="ProductID" w:val="2016 a"/>
        </w:smartTagPr>
        <w:r w:rsidR="002A632C" w:rsidRPr="002152E4">
          <w:t>2016</w:t>
        </w:r>
        <w:r w:rsidR="000802D5" w:rsidRPr="002152E4">
          <w:t xml:space="preserve"> a</w:t>
        </w:r>
      </w:smartTag>
      <w:r w:rsidR="000802D5" w:rsidRPr="002152E4">
        <w:t xml:space="preserve"> scăzut cu </w:t>
      </w:r>
      <w:r w:rsidR="002A632C" w:rsidRPr="002152E4">
        <w:rPr>
          <w:b/>
        </w:rPr>
        <w:t>6</w:t>
      </w:r>
      <w:r w:rsidR="002D41CF" w:rsidRPr="002152E4">
        <w:rPr>
          <w:b/>
        </w:rPr>
        <w:t>7</w:t>
      </w:r>
      <w:r w:rsidR="000802D5" w:rsidRPr="002152E4">
        <w:t xml:space="preserve"> cauze pe judecător ce</w:t>
      </w:r>
      <w:r w:rsidR="001048A2" w:rsidRPr="002152E4">
        <w:t xml:space="preserve">ea ce reprezintă </w:t>
      </w:r>
      <w:r w:rsidR="002A632C" w:rsidRPr="002152E4">
        <w:t xml:space="preserve">o scădere cu </w:t>
      </w:r>
      <w:r w:rsidR="002A632C" w:rsidRPr="002152E4">
        <w:rPr>
          <w:b/>
        </w:rPr>
        <w:t>8,47</w:t>
      </w:r>
      <w:r w:rsidR="000802D5" w:rsidRPr="002152E4">
        <w:rPr>
          <w:b/>
        </w:rPr>
        <w:t xml:space="preserve"> %</w:t>
      </w:r>
      <w:r w:rsidR="000802D5" w:rsidRPr="002152E4">
        <w:t xml:space="preserve"> faţă d</w:t>
      </w:r>
      <w:r w:rsidR="002A632C" w:rsidRPr="002152E4">
        <w:t>e anul 2015</w:t>
      </w:r>
      <w:r w:rsidR="000802D5" w:rsidRPr="002152E4">
        <w:t>, iar în</w:t>
      </w:r>
      <w:r w:rsidR="002A632C" w:rsidRPr="002152E4">
        <w:t xml:space="preserve">cărcătura pe schemă în anul </w:t>
      </w:r>
      <w:smartTag w:uri="urn:schemas-microsoft-com:office:smarttags" w:element="metricconverter">
        <w:smartTagPr>
          <w:attr w:name="ProductID" w:val="2016 a"/>
        </w:smartTagPr>
        <w:r w:rsidR="002A632C" w:rsidRPr="002152E4">
          <w:t>2016</w:t>
        </w:r>
        <w:r w:rsidR="000802D5" w:rsidRPr="002152E4">
          <w:t xml:space="preserve"> a</w:t>
        </w:r>
      </w:smartTag>
      <w:r w:rsidR="000802D5" w:rsidRPr="002152E4">
        <w:t xml:space="preserve"> scăzut cu </w:t>
      </w:r>
      <w:r w:rsidR="002D41CF" w:rsidRPr="002152E4">
        <w:rPr>
          <w:b/>
        </w:rPr>
        <w:t>1</w:t>
      </w:r>
      <w:r w:rsidR="006D0844" w:rsidRPr="002152E4">
        <w:rPr>
          <w:b/>
        </w:rPr>
        <w:t>10</w:t>
      </w:r>
      <w:r w:rsidR="000802D5" w:rsidRPr="002152E4">
        <w:t xml:space="preserve"> cauze pe judecător ceea ce reprezintă o scădere cu</w:t>
      </w:r>
      <w:r w:rsidR="006D0844" w:rsidRPr="002152E4">
        <w:rPr>
          <w:b/>
        </w:rPr>
        <w:t xml:space="preserve"> 15,49</w:t>
      </w:r>
      <w:r w:rsidR="000802D5" w:rsidRPr="002152E4">
        <w:rPr>
          <w:b/>
        </w:rPr>
        <w:t xml:space="preserve"> %</w:t>
      </w:r>
      <w:r w:rsidR="006D0844" w:rsidRPr="002152E4">
        <w:t xml:space="preserve"> faţă de anul 2015</w:t>
      </w:r>
      <w:r w:rsidR="000802D5" w:rsidRPr="002152E4">
        <w:t xml:space="preserve">.  </w:t>
      </w:r>
    </w:p>
    <w:p w:rsidR="000802D5" w:rsidRPr="002152E4" w:rsidRDefault="000802D5" w:rsidP="00234533">
      <w:pPr>
        <w:pStyle w:val="AddParagraf"/>
      </w:pPr>
      <w:r w:rsidRPr="002152E4">
        <w:t>Această evol</w:t>
      </w:r>
      <w:r w:rsidR="00D16918" w:rsidRPr="002152E4">
        <w:t xml:space="preserve">uţie este urmarea scăderii cu </w:t>
      </w:r>
      <w:r w:rsidR="00405F77" w:rsidRPr="002152E4">
        <w:rPr>
          <w:b/>
        </w:rPr>
        <w:t>12,52</w:t>
      </w:r>
      <w:r w:rsidR="00D16918" w:rsidRPr="002152E4">
        <w:rPr>
          <w:b/>
        </w:rPr>
        <w:t xml:space="preserve"> </w:t>
      </w:r>
      <w:r w:rsidRPr="002152E4">
        <w:rPr>
          <w:b/>
        </w:rPr>
        <w:t>%</w:t>
      </w:r>
      <w:r w:rsidRPr="002152E4">
        <w:t xml:space="preserve"> a volumului de activitate comparativ cu perioada anterioară.</w:t>
      </w:r>
    </w:p>
    <w:p w:rsidR="000802D5" w:rsidRPr="002152E4" w:rsidRDefault="000802D5" w:rsidP="00234533">
      <w:pPr>
        <w:pStyle w:val="AddParagraf"/>
      </w:pPr>
      <w:r w:rsidRPr="002152E4">
        <w:t>Evoluţia pe ultimii 5 ani a acestor indicatori, se reprezintă grafic astfel:</w:t>
      </w:r>
    </w:p>
    <w:p w:rsidR="00E9657F" w:rsidRDefault="008B7005" w:rsidP="00E9657F">
      <w:pPr>
        <w:pStyle w:val="AddParagraf"/>
        <w:ind w:firstLine="0"/>
      </w:pPr>
      <w:r w:rsidRPr="007037CF">
        <w:fldChar w:fldCharType="begin"/>
      </w:r>
      <w:r w:rsidRPr="007037CF">
        <w:instrText xml:space="preserve"> LINK Excel.Sheet.8 "C:\\Documents and Settings\\bogdan.comaneci.CSM1909\\Desktop\\1 an 2016\\Grafice 2016.xls!Grafic 16![Grafice 2016.xls]Grafic 16 Diagramă 1" "" \a \p \* MERGEFORMAT </w:instrText>
      </w:r>
      <w:r w:rsidRPr="007037CF">
        <w:fldChar w:fldCharType="separate"/>
      </w:r>
      <w:r w:rsidR="00C742FD">
        <w:object w:dxaOrig="11020" w:dyaOrig="6254">
          <v:shape id="_x0000_i1053" type="#_x0000_t75" style="width:465.2pt;height:265.45pt">
            <v:imagedata r:id="rId64" o:title=""/>
          </v:shape>
        </w:object>
      </w:r>
      <w:r w:rsidRPr="007037CF">
        <w:fldChar w:fldCharType="end"/>
      </w:r>
    </w:p>
    <w:p w:rsidR="000802D5" w:rsidRPr="002152E4" w:rsidRDefault="000802D5" w:rsidP="000802D5">
      <w:pPr>
        <w:spacing w:before="120" w:line="360" w:lineRule="auto"/>
        <w:jc w:val="center"/>
        <w:rPr>
          <w:lang w:val="ro-RO"/>
        </w:rPr>
      </w:pPr>
    </w:p>
    <w:p w:rsidR="000802D5" w:rsidRPr="002152E4" w:rsidRDefault="000802D5" w:rsidP="00234533">
      <w:pPr>
        <w:pStyle w:val="AddParagraf"/>
      </w:pPr>
      <w:r w:rsidRPr="002152E4">
        <w:t>Instanţele care au înregistrat cea mai mare încăr</w:t>
      </w:r>
      <w:r w:rsidR="009B13BE" w:rsidRPr="002152E4">
        <w:t>cătură pe judecător în anul 2015</w:t>
      </w:r>
      <w:r w:rsidRPr="002152E4">
        <w:t xml:space="preserve"> sunt: </w:t>
      </w:r>
      <w:r w:rsidRPr="002152E4">
        <w:rPr>
          <w:bCs/>
        </w:rPr>
        <w:t>Tribunalul Ilfov</w:t>
      </w:r>
      <w:r w:rsidR="009B13BE" w:rsidRPr="002152E4">
        <w:t xml:space="preserve"> </w:t>
      </w:r>
      <w:r w:rsidR="00D526C0" w:rsidRPr="002152E4">
        <w:t xml:space="preserve">cu </w:t>
      </w:r>
      <w:r w:rsidR="00D526C0" w:rsidRPr="002152E4">
        <w:rPr>
          <w:b/>
        </w:rPr>
        <w:t>1509</w:t>
      </w:r>
      <w:r w:rsidR="00D526C0" w:rsidRPr="002152E4">
        <w:t xml:space="preserve"> dosare/judecător </w:t>
      </w:r>
      <w:r w:rsidR="009B13BE" w:rsidRPr="002152E4">
        <w:t>(2207</w:t>
      </w:r>
      <w:r w:rsidRPr="002152E4">
        <w:t xml:space="preserve"> dosare/judecător</w:t>
      </w:r>
      <w:r w:rsidR="00D526C0" w:rsidRPr="002152E4">
        <w:t xml:space="preserve"> în 2015</w:t>
      </w:r>
      <w:r w:rsidRPr="002152E4">
        <w:t xml:space="preserve">), </w:t>
      </w:r>
      <w:r w:rsidR="00D526C0" w:rsidRPr="002152E4">
        <w:rPr>
          <w:bCs/>
        </w:rPr>
        <w:t xml:space="preserve">Tribunalul Giurgiu cu </w:t>
      </w:r>
      <w:r w:rsidR="00D526C0" w:rsidRPr="002152E4">
        <w:rPr>
          <w:b/>
          <w:bCs/>
        </w:rPr>
        <w:t>1120</w:t>
      </w:r>
      <w:r w:rsidR="00D526C0" w:rsidRPr="002152E4">
        <w:rPr>
          <w:bCs/>
        </w:rPr>
        <w:t xml:space="preserve"> </w:t>
      </w:r>
      <w:r w:rsidR="00D526C0" w:rsidRPr="002152E4">
        <w:t>dosare/judecător</w:t>
      </w:r>
      <w:r w:rsidR="00D526C0" w:rsidRPr="002152E4">
        <w:rPr>
          <w:bCs/>
        </w:rPr>
        <w:t xml:space="preserve"> (</w:t>
      </w:r>
      <w:r w:rsidR="00D526C0" w:rsidRPr="002152E4">
        <w:t>dosare/judecător în 2015</w:t>
      </w:r>
      <w:r w:rsidR="00D526C0" w:rsidRPr="002152E4">
        <w:rPr>
          <w:bCs/>
        </w:rPr>
        <w:t>), Tribunalul Prahova</w:t>
      </w:r>
      <w:r w:rsidR="00D526C0" w:rsidRPr="002152E4">
        <w:t xml:space="preserve"> cu </w:t>
      </w:r>
      <w:r w:rsidR="00D526C0" w:rsidRPr="002152E4">
        <w:rPr>
          <w:b/>
        </w:rPr>
        <w:t>1078</w:t>
      </w:r>
      <w:r w:rsidR="00D526C0" w:rsidRPr="002152E4">
        <w:t xml:space="preserve"> dosare/judecător</w:t>
      </w:r>
      <w:r w:rsidR="00CB70A2" w:rsidRPr="002152E4">
        <w:t xml:space="preserve"> </w:t>
      </w:r>
      <w:r w:rsidR="00D526C0" w:rsidRPr="002152E4">
        <w:t>(1336 dosare/judecător în 2015)</w:t>
      </w:r>
      <w:r w:rsidR="00D526C0" w:rsidRPr="002152E4">
        <w:rPr>
          <w:bCs/>
        </w:rPr>
        <w:t xml:space="preserve"> şi </w:t>
      </w:r>
      <w:r w:rsidRPr="002152E4">
        <w:rPr>
          <w:bCs/>
        </w:rPr>
        <w:t>Tribunalul Bihor</w:t>
      </w:r>
      <w:r w:rsidR="009B13BE" w:rsidRPr="002152E4">
        <w:t xml:space="preserve"> </w:t>
      </w:r>
      <w:r w:rsidR="00D526C0" w:rsidRPr="002152E4">
        <w:t xml:space="preserve">cu </w:t>
      </w:r>
      <w:r w:rsidR="00D526C0" w:rsidRPr="002152E4">
        <w:rPr>
          <w:b/>
        </w:rPr>
        <w:t>1005</w:t>
      </w:r>
      <w:r w:rsidR="00D526C0" w:rsidRPr="002152E4">
        <w:t xml:space="preserve"> dosare/judecător </w:t>
      </w:r>
      <w:r w:rsidR="009B13BE" w:rsidRPr="002152E4">
        <w:t>(1493</w:t>
      </w:r>
      <w:r w:rsidR="00D526C0" w:rsidRPr="002152E4">
        <w:t xml:space="preserve"> dosare/judecător</w:t>
      </w:r>
      <w:r w:rsidR="00CB70A2" w:rsidRPr="002152E4">
        <w:t xml:space="preserve"> în 2015</w:t>
      </w:r>
      <w:r w:rsidR="00D526C0" w:rsidRPr="002152E4">
        <w:t>).</w:t>
      </w:r>
    </w:p>
    <w:p w:rsidR="000802D5" w:rsidRPr="002152E4" w:rsidRDefault="000802D5" w:rsidP="00234533">
      <w:pPr>
        <w:pStyle w:val="AddParagraf"/>
      </w:pPr>
      <w:r w:rsidRPr="002152E4">
        <w:rPr>
          <w:bCs/>
        </w:rPr>
        <w:t xml:space="preserve">Tribunalul Ilfov </w:t>
      </w:r>
      <w:r w:rsidRPr="002152E4">
        <w:t xml:space="preserve">a înregistrat un deficit mediu de </w:t>
      </w:r>
      <w:r w:rsidR="00D62FA3" w:rsidRPr="002152E4">
        <w:rPr>
          <w:b/>
        </w:rPr>
        <w:t>14</w:t>
      </w:r>
      <w:r w:rsidRPr="002152E4">
        <w:t xml:space="preserve"> judecători, iar dacă schema ar fi fost complet ocupată încărcătura ar fi coborât </w:t>
      </w:r>
      <w:r w:rsidR="00A64E57" w:rsidRPr="002152E4">
        <w:t xml:space="preserve">la </w:t>
      </w:r>
      <w:r w:rsidR="00F101BA" w:rsidRPr="002152E4">
        <w:rPr>
          <w:b/>
        </w:rPr>
        <w:t>840</w:t>
      </w:r>
      <w:r w:rsidRPr="002152E4">
        <w:t xml:space="preserve"> dosare, rămânând </w:t>
      </w:r>
      <w:r w:rsidR="001048A2" w:rsidRPr="002152E4">
        <w:t xml:space="preserve">totuși </w:t>
      </w:r>
      <w:r w:rsidRPr="002152E4">
        <w:t>încărcat cu mult peste media naţională.</w:t>
      </w:r>
    </w:p>
    <w:p w:rsidR="006D255C" w:rsidRPr="002152E4" w:rsidRDefault="000802D5" w:rsidP="00234533">
      <w:pPr>
        <w:pStyle w:val="AddParagraf"/>
      </w:pPr>
      <w:r w:rsidRPr="002152E4">
        <w:rPr>
          <w:bCs/>
        </w:rPr>
        <w:lastRenderedPageBreak/>
        <w:t xml:space="preserve">Tribunalul </w:t>
      </w:r>
      <w:r w:rsidR="002152E4" w:rsidRPr="002152E4">
        <w:rPr>
          <w:bCs/>
        </w:rPr>
        <w:t>Giurgiu</w:t>
      </w:r>
      <w:r w:rsidR="002E24F4" w:rsidRPr="002152E4">
        <w:rPr>
          <w:bCs/>
        </w:rPr>
        <w:t xml:space="preserve"> </w:t>
      </w:r>
      <w:r w:rsidRPr="002152E4">
        <w:t xml:space="preserve">a înregistrat un deficit mediu de </w:t>
      </w:r>
      <w:r w:rsidR="002E24F4" w:rsidRPr="002152E4">
        <w:rPr>
          <w:b/>
        </w:rPr>
        <w:t>8</w:t>
      </w:r>
      <w:r w:rsidRPr="002152E4">
        <w:t xml:space="preserve"> judecători iar dacă schema ar fi fost complet ocupată încărcătura ar fi coborât la </w:t>
      </w:r>
      <w:r w:rsidR="002E24F4" w:rsidRPr="002152E4">
        <w:rPr>
          <w:b/>
        </w:rPr>
        <w:t>723</w:t>
      </w:r>
      <w:r w:rsidR="006D255C" w:rsidRPr="002152E4">
        <w:t xml:space="preserve"> dosare.</w:t>
      </w:r>
    </w:p>
    <w:p w:rsidR="000802D5" w:rsidRPr="002152E4" w:rsidRDefault="000802D5" w:rsidP="00234533">
      <w:pPr>
        <w:pStyle w:val="AddParagraf"/>
      </w:pPr>
      <w:r w:rsidRPr="002152E4">
        <w:rPr>
          <w:bCs/>
        </w:rPr>
        <w:t xml:space="preserve">Tribunalul Prahova </w:t>
      </w:r>
      <w:r w:rsidRPr="002152E4">
        <w:t xml:space="preserve">a înregistrat un deficit mediu de </w:t>
      </w:r>
      <w:r w:rsidR="006D255C" w:rsidRPr="002152E4">
        <w:rPr>
          <w:b/>
        </w:rPr>
        <w:t>21</w:t>
      </w:r>
      <w:r w:rsidRPr="002152E4">
        <w:t xml:space="preserve"> judecători iar dacă schema ar fi complet ocupată încărcătura ar fi coborât la </w:t>
      </w:r>
      <w:r w:rsidR="006D255C" w:rsidRPr="002152E4">
        <w:rPr>
          <w:b/>
        </w:rPr>
        <w:t>657</w:t>
      </w:r>
      <w:r w:rsidRPr="002152E4">
        <w:t xml:space="preserve"> dosare.</w:t>
      </w:r>
    </w:p>
    <w:p w:rsidR="000802D5" w:rsidRPr="002152E4" w:rsidRDefault="000802D5" w:rsidP="00234533">
      <w:pPr>
        <w:pStyle w:val="AddParagraf"/>
      </w:pPr>
      <w:r w:rsidRPr="002152E4">
        <w:t>Printre instanţele cu încărcătură redusă pe judecător se remarcă</w:t>
      </w:r>
      <w:r w:rsidRPr="002152E4">
        <w:rPr>
          <w:bCs/>
        </w:rPr>
        <w:t xml:space="preserve"> Tribunalul</w:t>
      </w:r>
      <w:r w:rsidR="007803F7" w:rsidRPr="002152E4">
        <w:rPr>
          <w:bCs/>
        </w:rPr>
        <w:t xml:space="preserve"> Călăraşi </w:t>
      </w:r>
      <w:r w:rsidRPr="002152E4">
        <w:rPr>
          <w:bCs/>
        </w:rPr>
        <w:t xml:space="preserve">cu </w:t>
      </w:r>
      <w:r w:rsidR="007803F7" w:rsidRPr="002152E4">
        <w:rPr>
          <w:b/>
          <w:bCs/>
        </w:rPr>
        <w:t xml:space="preserve">409 </w:t>
      </w:r>
      <w:r w:rsidRPr="002152E4">
        <w:t>cauze/judecător,</w:t>
      </w:r>
      <w:r w:rsidRPr="002152E4">
        <w:rPr>
          <w:bCs/>
        </w:rPr>
        <w:t xml:space="preserve"> Tribunalul</w:t>
      </w:r>
      <w:r w:rsidR="00E848E1" w:rsidRPr="002152E4">
        <w:rPr>
          <w:bCs/>
        </w:rPr>
        <w:t xml:space="preserve"> </w:t>
      </w:r>
      <w:r w:rsidR="007803F7" w:rsidRPr="002152E4">
        <w:t xml:space="preserve">Mehedinţi </w:t>
      </w:r>
      <w:r w:rsidRPr="002152E4">
        <w:t xml:space="preserve">care a înregistrat un număr de </w:t>
      </w:r>
      <w:r w:rsidRPr="002152E4">
        <w:rPr>
          <w:b/>
        </w:rPr>
        <w:t>4</w:t>
      </w:r>
      <w:r w:rsidR="007803F7" w:rsidRPr="002152E4">
        <w:rPr>
          <w:b/>
        </w:rPr>
        <w:t>27</w:t>
      </w:r>
      <w:r w:rsidRPr="002152E4">
        <w:t xml:space="preserve"> cauze/judecător şi </w:t>
      </w:r>
      <w:r w:rsidRPr="002152E4">
        <w:rPr>
          <w:bCs/>
        </w:rPr>
        <w:t xml:space="preserve">Tribunalul </w:t>
      </w:r>
      <w:r w:rsidR="007803F7" w:rsidRPr="002152E4">
        <w:rPr>
          <w:bCs/>
        </w:rPr>
        <w:t xml:space="preserve">Ialomiţa </w:t>
      </w:r>
      <w:r w:rsidRPr="002152E4">
        <w:t xml:space="preserve">cu </w:t>
      </w:r>
      <w:r w:rsidR="00E848E1" w:rsidRPr="002152E4">
        <w:rPr>
          <w:b/>
        </w:rPr>
        <w:t>4</w:t>
      </w:r>
      <w:r w:rsidR="007803F7" w:rsidRPr="002152E4">
        <w:rPr>
          <w:b/>
        </w:rPr>
        <w:t>83</w:t>
      </w:r>
      <w:r w:rsidRPr="002152E4">
        <w:t xml:space="preserve"> cauze/judecător. </w:t>
      </w:r>
    </w:p>
    <w:p w:rsidR="000802D5" w:rsidRPr="002152E4" w:rsidRDefault="000802D5" w:rsidP="00234533">
      <w:pPr>
        <w:pStyle w:val="AddParagraf"/>
      </w:pPr>
      <w:r w:rsidRPr="002152E4">
        <w:t xml:space="preserve">De asemenea, în ceea ce priveşte </w:t>
      </w:r>
      <w:r w:rsidRPr="002152E4">
        <w:rPr>
          <w:b/>
        </w:rPr>
        <w:t>încărcătura pe schemă</w:t>
      </w:r>
      <w:r w:rsidR="00F34B21" w:rsidRPr="002152E4">
        <w:t>, în anul 2016</w:t>
      </w:r>
      <w:r w:rsidRPr="002152E4">
        <w:t>, prima poziţie este ocupată de</w:t>
      </w:r>
      <w:r w:rsidRPr="002152E4">
        <w:rPr>
          <w:bCs/>
        </w:rPr>
        <w:t xml:space="preserve"> Tribunalul Ilfov</w:t>
      </w:r>
      <w:r w:rsidRPr="002152E4">
        <w:t xml:space="preserve"> cu </w:t>
      </w:r>
      <w:r w:rsidR="006B768A" w:rsidRPr="002152E4">
        <w:rPr>
          <w:b/>
        </w:rPr>
        <w:t>840</w:t>
      </w:r>
      <w:r w:rsidRPr="002152E4">
        <w:rPr>
          <w:b/>
        </w:rPr>
        <w:t xml:space="preserve"> </w:t>
      </w:r>
      <w:r w:rsidRPr="002152E4">
        <w:t>dosare pe schemă (</w:t>
      </w:r>
      <w:r w:rsidR="00E40FF9" w:rsidRPr="002152E4">
        <w:t xml:space="preserve">1366 </w:t>
      </w:r>
      <w:r w:rsidR="000D21DB" w:rsidRPr="002152E4">
        <w:t>dosa</w:t>
      </w:r>
      <w:r w:rsidR="006B768A" w:rsidRPr="002152E4">
        <w:t>re în 2015</w:t>
      </w:r>
      <w:r w:rsidRPr="002152E4">
        <w:t xml:space="preserve">), urmat de </w:t>
      </w:r>
      <w:r w:rsidR="006B768A" w:rsidRPr="002152E4">
        <w:rPr>
          <w:bCs/>
        </w:rPr>
        <w:t xml:space="preserve">Tribunalul Bucureşti </w:t>
      </w:r>
      <w:r w:rsidR="006B768A" w:rsidRPr="002152E4">
        <w:t xml:space="preserve">cu </w:t>
      </w:r>
      <w:r w:rsidR="006B768A" w:rsidRPr="002152E4">
        <w:rPr>
          <w:b/>
        </w:rPr>
        <w:t>774</w:t>
      </w:r>
      <w:r w:rsidR="006B768A" w:rsidRPr="002152E4">
        <w:t xml:space="preserve"> dosare pe schemă (</w:t>
      </w:r>
      <w:r w:rsidR="00E40FF9" w:rsidRPr="002152E4">
        <w:t xml:space="preserve">982 </w:t>
      </w:r>
      <w:r w:rsidR="006B768A" w:rsidRPr="002152E4">
        <w:t>dosare în 2015)</w:t>
      </w:r>
      <w:r w:rsidR="002D7D8C" w:rsidRPr="002152E4">
        <w:t xml:space="preserve">, </w:t>
      </w:r>
      <w:r w:rsidRPr="002152E4">
        <w:rPr>
          <w:bCs/>
        </w:rPr>
        <w:t xml:space="preserve">Tribunalul </w:t>
      </w:r>
      <w:r w:rsidR="006B768A" w:rsidRPr="002152E4">
        <w:rPr>
          <w:bCs/>
        </w:rPr>
        <w:t xml:space="preserve">Giurgiu </w:t>
      </w:r>
      <w:r w:rsidRPr="002152E4">
        <w:t xml:space="preserve">cu </w:t>
      </w:r>
      <w:r w:rsidR="006B768A" w:rsidRPr="002152E4">
        <w:rPr>
          <w:b/>
        </w:rPr>
        <w:t>723</w:t>
      </w:r>
      <w:r w:rsidRPr="002152E4">
        <w:t xml:space="preserve"> dosare pe schemă (</w:t>
      </w:r>
      <w:r w:rsidR="00E40FF9" w:rsidRPr="002152E4">
        <w:t xml:space="preserve">857 </w:t>
      </w:r>
      <w:r w:rsidR="006B768A" w:rsidRPr="002152E4">
        <w:t>dosare în 2015</w:t>
      </w:r>
      <w:r w:rsidRPr="002152E4">
        <w:t>)</w:t>
      </w:r>
      <w:r w:rsidR="006B768A" w:rsidRPr="002152E4">
        <w:t xml:space="preserve"> şi </w:t>
      </w:r>
      <w:r w:rsidR="006B768A" w:rsidRPr="002152E4">
        <w:rPr>
          <w:bCs/>
        </w:rPr>
        <w:t xml:space="preserve">Tribunalul Argeş </w:t>
      </w:r>
      <w:r w:rsidR="006B768A" w:rsidRPr="002152E4">
        <w:t xml:space="preserve">cu </w:t>
      </w:r>
      <w:r w:rsidR="006B768A" w:rsidRPr="002152E4">
        <w:rPr>
          <w:b/>
        </w:rPr>
        <w:t>716</w:t>
      </w:r>
      <w:r w:rsidR="006B768A" w:rsidRPr="002152E4">
        <w:t xml:space="preserve"> dosare pe schemă (</w:t>
      </w:r>
      <w:r w:rsidR="00E40FF9" w:rsidRPr="002152E4">
        <w:t xml:space="preserve">822 </w:t>
      </w:r>
      <w:r w:rsidR="006B768A" w:rsidRPr="002152E4">
        <w:t>dosare în 2015)</w:t>
      </w:r>
      <w:r w:rsidRPr="002152E4">
        <w:t>.</w:t>
      </w:r>
    </w:p>
    <w:p w:rsidR="000802D5" w:rsidRPr="002152E4" w:rsidRDefault="000802D5" w:rsidP="00234533">
      <w:pPr>
        <w:pStyle w:val="AddParagraf"/>
      </w:pPr>
      <w:r w:rsidRPr="002152E4">
        <w:t>Cea mai mică încărcătură pe schemă a înregistrat-o</w:t>
      </w:r>
      <w:r w:rsidRPr="002152E4">
        <w:rPr>
          <w:bCs/>
        </w:rPr>
        <w:t xml:space="preserve"> Tribunalul C</w:t>
      </w:r>
      <w:r w:rsidR="00240ED8" w:rsidRPr="002152E4">
        <w:rPr>
          <w:bCs/>
        </w:rPr>
        <w:t>ălăraşi</w:t>
      </w:r>
      <w:r w:rsidR="005A6556" w:rsidRPr="002152E4">
        <w:rPr>
          <w:bCs/>
        </w:rPr>
        <w:t xml:space="preserve"> </w:t>
      </w:r>
      <w:r w:rsidRPr="002152E4">
        <w:rPr>
          <w:bCs/>
        </w:rPr>
        <w:t xml:space="preserve">cu </w:t>
      </w:r>
      <w:r w:rsidR="00240ED8" w:rsidRPr="002152E4">
        <w:rPr>
          <w:b/>
        </w:rPr>
        <w:t>368</w:t>
      </w:r>
      <w:r w:rsidRPr="002152E4">
        <w:rPr>
          <w:b/>
        </w:rPr>
        <w:t xml:space="preserve"> </w:t>
      </w:r>
      <w:r w:rsidRPr="002152E4">
        <w:t xml:space="preserve">dosare pe schemă urmat de </w:t>
      </w:r>
      <w:r w:rsidRPr="002152E4">
        <w:rPr>
          <w:bCs/>
        </w:rPr>
        <w:t xml:space="preserve">Tribunalul </w:t>
      </w:r>
      <w:r w:rsidR="00240ED8" w:rsidRPr="002152E4">
        <w:rPr>
          <w:bCs/>
        </w:rPr>
        <w:t xml:space="preserve">Mehedinţi </w:t>
      </w:r>
      <w:r w:rsidRPr="002152E4">
        <w:rPr>
          <w:bCs/>
        </w:rPr>
        <w:t xml:space="preserve">cu </w:t>
      </w:r>
      <w:r w:rsidR="00240ED8" w:rsidRPr="002152E4">
        <w:rPr>
          <w:b/>
        </w:rPr>
        <w:t>385</w:t>
      </w:r>
      <w:r w:rsidR="005A6556" w:rsidRPr="002152E4">
        <w:t xml:space="preserve"> dosare pe schemă şi</w:t>
      </w:r>
      <w:r w:rsidRPr="002152E4">
        <w:t xml:space="preserve"> </w:t>
      </w:r>
      <w:r w:rsidRPr="002152E4">
        <w:rPr>
          <w:bCs/>
        </w:rPr>
        <w:t xml:space="preserve">Tribunalul </w:t>
      </w:r>
      <w:r w:rsidR="005A6556" w:rsidRPr="002152E4">
        <w:rPr>
          <w:bCs/>
        </w:rPr>
        <w:t>C</w:t>
      </w:r>
      <w:r w:rsidR="00240ED8" w:rsidRPr="002152E4">
        <w:rPr>
          <w:bCs/>
        </w:rPr>
        <w:t>ovasna</w:t>
      </w:r>
      <w:r w:rsidR="005A6556" w:rsidRPr="002152E4">
        <w:rPr>
          <w:bCs/>
        </w:rPr>
        <w:t xml:space="preserve"> </w:t>
      </w:r>
      <w:r w:rsidRPr="002152E4">
        <w:t xml:space="preserve">cu </w:t>
      </w:r>
      <w:r w:rsidR="00240ED8" w:rsidRPr="002152E4">
        <w:rPr>
          <w:b/>
        </w:rPr>
        <w:t>397</w:t>
      </w:r>
      <w:r w:rsidRPr="002152E4">
        <w:rPr>
          <w:b/>
        </w:rPr>
        <w:t xml:space="preserve"> </w:t>
      </w:r>
      <w:r w:rsidRPr="002152E4">
        <w:t>dosare pe schemă</w:t>
      </w:r>
      <w:r w:rsidR="005A6556" w:rsidRPr="002152E4">
        <w:t>.</w:t>
      </w:r>
    </w:p>
    <w:p w:rsidR="000802D5" w:rsidRPr="002152E4" w:rsidRDefault="000802D5" w:rsidP="000704CE">
      <w:pPr>
        <w:pStyle w:val="AddParagraf"/>
        <w:rPr>
          <w:b/>
        </w:rPr>
      </w:pPr>
      <w:r w:rsidRPr="002152E4">
        <w:rPr>
          <w:b/>
        </w:rPr>
        <w:t>Încărcătura la nivelul tribunalelor specializate</w:t>
      </w:r>
    </w:p>
    <w:p w:rsidR="00E07F04" w:rsidRPr="002152E4" w:rsidRDefault="000802D5" w:rsidP="000704CE">
      <w:pPr>
        <w:pStyle w:val="AddParagraf"/>
      </w:pPr>
      <w:r w:rsidRPr="002152E4">
        <w:t>La nivelul celor patru tribunale specializate s-a reţinut următoarea situaţie:</w:t>
      </w:r>
    </w:p>
    <w:p w:rsidR="00E07F04" w:rsidRPr="002152E4" w:rsidRDefault="00E07F04" w:rsidP="000704CE">
      <w:pPr>
        <w:pStyle w:val="AddParagraf"/>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10"/>
        <w:gridCol w:w="2524"/>
        <w:gridCol w:w="2688"/>
      </w:tblGrid>
      <w:tr w:rsidR="000802D5" w:rsidRPr="002152E4" w:rsidTr="00FC300E">
        <w:trPr>
          <w:jc w:val="center"/>
        </w:trPr>
        <w:tc>
          <w:tcPr>
            <w:tcW w:w="4410" w:type="dxa"/>
            <w:tcBorders>
              <w:top w:val="single" w:sz="12" w:space="0" w:color="auto"/>
              <w:bottom w:val="single" w:sz="12" w:space="0" w:color="auto"/>
            </w:tcBorders>
            <w:shd w:val="clear" w:color="auto" w:fill="99CCFF"/>
            <w:vAlign w:val="center"/>
          </w:tcPr>
          <w:p w:rsidR="000802D5" w:rsidRPr="002152E4" w:rsidRDefault="000802D5" w:rsidP="000802D5">
            <w:pPr>
              <w:spacing w:before="120" w:line="360" w:lineRule="auto"/>
              <w:jc w:val="center"/>
              <w:rPr>
                <w:b/>
                <w:lang w:val="ro-RO"/>
              </w:rPr>
            </w:pPr>
            <w:r w:rsidRPr="002152E4">
              <w:rPr>
                <w:b/>
                <w:lang w:val="ro-RO"/>
              </w:rPr>
              <w:t>Instanţa</w:t>
            </w:r>
          </w:p>
        </w:tc>
        <w:tc>
          <w:tcPr>
            <w:tcW w:w="2524" w:type="dxa"/>
            <w:tcBorders>
              <w:top w:val="single" w:sz="12" w:space="0" w:color="auto"/>
              <w:bottom w:val="single" w:sz="12" w:space="0" w:color="auto"/>
            </w:tcBorders>
            <w:shd w:val="clear" w:color="auto" w:fill="99CCFF"/>
            <w:vAlign w:val="center"/>
          </w:tcPr>
          <w:p w:rsidR="000802D5" w:rsidRPr="002152E4" w:rsidRDefault="000802D5" w:rsidP="000802D5">
            <w:pPr>
              <w:spacing w:before="120" w:line="360" w:lineRule="auto"/>
              <w:jc w:val="both"/>
              <w:rPr>
                <w:b/>
                <w:lang w:val="ro-RO"/>
              </w:rPr>
            </w:pPr>
            <w:r w:rsidRPr="002152E4">
              <w:rPr>
                <w:b/>
                <w:lang w:val="ro-RO"/>
              </w:rPr>
              <w:t>Încărcătura pe schemă</w:t>
            </w:r>
          </w:p>
        </w:tc>
        <w:tc>
          <w:tcPr>
            <w:tcW w:w="2688" w:type="dxa"/>
            <w:tcBorders>
              <w:top w:val="single" w:sz="12" w:space="0" w:color="auto"/>
              <w:bottom w:val="single" w:sz="12" w:space="0" w:color="auto"/>
            </w:tcBorders>
            <w:shd w:val="clear" w:color="auto" w:fill="99CCFF"/>
            <w:vAlign w:val="center"/>
          </w:tcPr>
          <w:p w:rsidR="000802D5" w:rsidRPr="002152E4" w:rsidRDefault="000802D5" w:rsidP="000802D5">
            <w:pPr>
              <w:spacing w:before="120" w:line="360" w:lineRule="auto"/>
              <w:jc w:val="both"/>
              <w:rPr>
                <w:b/>
                <w:lang w:val="ro-RO"/>
              </w:rPr>
            </w:pPr>
            <w:r w:rsidRPr="002152E4">
              <w:rPr>
                <w:b/>
                <w:lang w:val="ro-RO"/>
              </w:rPr>
              <w:t>Încărcătura pe judecător</w:t>
            </w:r>
          </w:p>
        </w:tc>
      </w:tr>
      <w:tr w:rsidR="000802D5" w:rsidRPr="002152E4" w:rsidTr="009E0953">
        <w:trPr>
          <w:trHeight w:val="120"/>
          <w:jc w:val="center"/>
        </w:trPr>
        <w:tc>
          <w:tcPr>
            <w:tcW w:w="4410" w:type="dxa"/>
            <w:tcBorders>
              <w:top w:val="single" w:sz="12" w:space="0" w:color="auto"/>
            </w:tcBorders>
            <w:shd w:val="clear" w:color="auto" w:fill="auto"/>
            <w:vAlign w:val="center"/>
          </w:tcPr>
          <w:p w:rsidR="000802D5" w:rsidRPr="002152E4" w:rsidRDefault="000802D5" w:rsidP="000802D5">
            <w:pPr>
              <w:spacing w:before="120" w:line="360" w:lineRule="auto"/>
              <w:jc w:val="both"/>
              <w:rPr>
                <w:lang w:val="ro-RO"/>
              </w:rPr>
            </w:pPr>
            <w:r w:rsidRPr="002152E4">
              <w:rPr>
                <w:lang w:val="ro-RO"/>
              </w:rPr>
              <w:t>Tribunalul pentru minori şi familie Braşov</w:t>
            </w:r>
          </w:p>
        </w:tc>
        <w:tc>
          <w:tcPr>
            <w:tcW w:w="2524" w:type="dxa"/>
            <w:tcBorders>
              <w:top w:val="single" w:sz="12" w:space="0" w:color="auto"/>
            </w:tcBorders>
            <w:shd w:val="clear" w:color="auto" w:fill="auto"/>
            <w:vAlign w:val="center"/>
          </w:tcPr>
          <w:p w:rsidR="000802D5" w:rsidRPr="002152E4" w:rsidRDefault="00466281" w:rsidP="000802D5">
            <w:pPr>
              <w:spacing w:before="120" w:line="360" w:lineRule="auto"/>
              <w:jc w:val="center"/>
              <w:rPr>
                <w:b/>
                <w:lang w:val="ro-RO"/>
              </w:rPr>
            </w:pPr>
            <w:r w:rsidRPr="002152E4">
              <w:rPr>
                <w:b/>
                <w:lang w:val="ro-RO"/>
              </w:rPr>
              <w:t>318</w:t>
            </w:r>
          </w:p>
        </w:tc>
        <w:tc>
          <w:tcPr>
            <w:tcW w:w="2688" w:type="dxa"/>
            <w:tcBorders>
              <w:top w:val="single" w:sz="12" w:space="0" w:color="auto"/>
            </w:tcBorders>
            <w:shd w:val="clear" w:color="auto" w:fill="auto"/>
            <w:vAlign w:val="center"/>
          </w:tcPr>
          <w:p w:rsidR="000802D5" w:rsidRPr="002152E4" w:rsidRDefault="00466281" w:rsidP="000802D5">
            <w:pPr>
              <w:spacing w:before="120" w:line="360" w:lineRule="auto"/>
              <w:jc w:val="center"/>
              <w:rPr>
                <w:b/>
                <w:lang w:val="ro-RO"/>
              </w:rPr>
            </w:pPr>
            <w:r w:rsidRPr="002152E4">
              <w:rPr>
                <w:b/>
                <w:lang w:val="ro-RO"/>
              </w:rPr>
              <w:t>323</w:t>
            </w:r>
          </w:p>
        </w:tc>
      </w:tr>
      <w:tr w:rsidR="000802D5" w:rsidRPr="002152E4" w:rsidTr="009E0953">
        <w:trPr>
          <w:trHeight w:val="324"/>
          <w:jc w:val="center"/>
        </w:trPr>
        <w:tc>
          <w:tcPr>
            <w:tcW w:w="4410" w:type="dxa"/>
            <w:shd w:val="clear" w:color="auto" w:fill="auto"/>
            <w:vAlign w:val="center"/>
          </w:tcPr>
          <w:p w:rsidR="000802D5" w:rsidRPr="002152E4" w:rsidRDefault="000802D5" w:rsidP="000802D5">
            <w:pPr>
              <w:spacing w:before="120" w:line="360" w:lineRule="auto"/>
              <w:jc w:val="both"/>
              <w:rPr>
                <w:lang w:val="ro-RO"/>
              </w:rPr>
            </w:pPr>
            <w:r w:rsidRPr="002152E4">
              <w:rPr>
                <w:lang w:val="ro-RO"/>
              </w:rPr>
              <w:t>Tribunalul specializat Argeş</w:t>
            </w:r>
          </w:p>
        </w:tc>
        <w:tc>
          <w:tcPr>
            <w:tcW w:w="2524" w:type="dxa"/>
            <w:shd w:val="clear" w:color="auto" w:fill="auto"/>
            <w:vAlign w:val="center"/>
          </w:tcPr>
          <w:p w:rsidR="000802D5" w:rsidRPr="002152E4" w:rsidRDefault="00466281" w:rsidP="000802D5">
            <w:pPr>
              <w:spacing w:before="120" w:line="360" w:lineRule="auto"/>
              <w:jc w:val="center"/>
              <w:rPr>
                <w:b/>
                <w:lang w:val="ro-RO"/>
              </w:rPr>
            </w:pPr>
            <w:r w:rsidRPr="002152E4">
              <w:rPr>
                <w:rFonts w:cs="Arial"/>
                <w:b/>
                <w:lang w:val="ro-RO" w:eastAsia="ro-RO"/>
              </w:rPr>
              <w:t>496</w:t>
            </w:r>
          </w:p>
        </w:tc>
        <w:tc>
          <w:tcPr>
            <w:tcW w:w="2688" w:type="dxa"/>
            <w:shd w:val="clear" w:color="auto" w:fill="auto"/>
            <w:vAlign w:val="center"/>
          </w:tcPr>
          <w:p w:rsidR="000802D5" w:rsidRPr="002152E4" w:rsidRDefault="00466281" w:rsidP="000802D5">
            <w:pPr>
              <w:spacing w:before="120" w:line="360" w:lineRule="auto"/>
              <w:jc w:val="center"/>
              <w:rPr>
                <w:b/>
                <w:lang w:val="ro-RO"/>
              </w:rPr>
            </w:pPr>
            <w:r w:rsidRPr="002152E4">
              <w:rPr>
                <w:rFonts w:cs="Arial"/>
                <w:b/>
                <w:lang w:val="ro-RO" w:eastAsia="ro-RO"/>
              </w:rPr>
              <w:t>655</w:t>
            </w:r>
          </w:p>
        </w:tc>
      </w:tr>
      <w:tr w:rsidR="000802D5" w:rsidRPr="002152E4" w:rsidTr="009E0953">
        <w:trPr>
          <w:trHeight w:val="290"/>
          <w:jc w:val="center"/>
        </w:trPr>
        <w:tc>
          <w:tcPr>
            <w:tcW w:w="4410" w:type="dxa"/>
            <w:shd w:val="clear" w:color="auto" w:fill="auto"/>
            <w:vAlign w:val="center"/>
          </w:tcPr>
          <w:p w:rsidR="000802D5" w:rsidRPr="002152E4" w:rsidRDefault="000802D5" w:rsidP="000802D5">
            <w:pPr>
              <w:spacing w:before="120" w:line="360" w:lineRule="auto"/>
              <w:jc w:val="both"/>
              <w:rPr>
                <w:lang w:val="ro-RO"/>
              </w:rPr>
            </w:pPr>
            <w:r w:rsidRPr="002152E4">
              <w:rPr>
                <w:lang w:val="ro-RO"/>
              </w:rPr>
              <w:t>Tribunalul specializat Cluj</w:t>
            </w:r>
          </w:p>
        </w:tc>
        <w:tc>
          <w:tcPr>
            <w:tcW w:w="2524" w:type="dxa"/>
            <w:shd w:val="clear" w:color="auto" w:fill="auto"/>
            <w:vAlign w:val="center"/>
          </w:tcPr>
          <w:p w:rsidR="000802D5" w:rsidRPr="002152E4" w:rsidRDefault="00466281" w:rsidP="000802D5">
            <w:pPr>
              <w:spacing w:before="120" w:line="360" w:lineRule="auto"/>
              <w:jc w:val="center"/>
              <w:rPr>
                <w:b/>
                <w:lang w:val="ro-RO"/>
              </w:rPr>
            </w:pPr>
            <w:r w:rsidRPr="002152E4">
              <w:rPr>
                <w:rFonts w:cs="Arial"/>
                <w:b/>
                <w:lang w:val="ro-RO" w:eastAsia="ro-RO"/>
              </w:rPr>
              <w:t>724</w:t>
            </w:r>
          </w:p>
        </w:tc>
        <w:tc>
          <w:tcPr>
            <w:tcW w:w="2688" w:type="dxa"/>
            <w:shd w:val="clear" w:color="auto" w:fill="auto"/>
            <w:vAlign w:val="center"/>
          </w:tcPr>
          <w:p w:rsidR="000802D5" w:rsidRPr="002152E4" w:rsidRDefault="00466281" w:rsidP="000802D5">
            <w:pPr>
              <w:spacing w:before="120" w:line="360" w:lineRule="auto"/>
              <w:jc w:val="center"/>
              <w:rPr>
                <w:b/>
                <w:lang w:val="ro-RO"/>
              </w:rPr>
            </w:pPr>
            <w:r w:rsidRPr="002152E4">
              <w:rPr>
                <w:rFonts w:cs="Arial"/>
                <w:b/>
                <w:lang w:val="ro-RO" w:eastAsia="ro-RO"/>
              </w:rPr>
              <w:t>848</w:t>
            </w:r>
          </w:p>
        </w:tc>
      </w:tr>
      <w:tr w:rsidR="000802D5" w:rsidRPr="002152E4" w:rsidTr="009E0953">
        <w:trPr>
          <w:trHeight w:val="442"/>
          <w:jc w:val="center"/>
        </w:trPr>
        <w:tc>
          <w:tcPr>
            <w:tcW w:w="4410" w:type="dxa"/>
            <w:shd w:val="clear" w:color="auto" w:fill="auto"/>
            <w:vAlign w:val="center"/>
          </w:tcPr>
          <w:p w:rsidR="000802D5" w:rsidRPr="002152E4" w:rsidRDefault="000802D5" w:rsidP="000802D5">
            <w:pPr>
              <w:spacing w:before="120" w:line="360" w:lineRule="auto"/>
              <w:jc w:val="both"/>
              <w:rPr>
                <w:lang w:val="ro-RO"/>
              </w:rPr>
            </w:pPr>
            <w:r w:rsidRPr="002152E4">
              <w:rPr>
                <w:lang w:val="ro-RO"/>
              </w:rPr>
              <w:t>Tribunalul specializat Mureş</w:t>
            </w:r>
          </w:p>
        </w:tc>
        <w:tc>
          <w:tcPr>
            <w:tcW w:w="2524" w:type="dxa"/>
            <w:shd w:val="clear" w:color="auto" w:fill="auto"/>
            <w:vAlign w:val="center"/>
          </w:tcPr>
          <w:p w:rsidR="000802D5" w:rsidRPr="002152E4" w:rsidRDefault="00466281" w:rsidP="000802D5">
            <w:pPr>
              <w:spacing w:before="120" w:line="360" w:lineRule="auto"/>
              <w:jc w:val="center"/>
              <w:rPr>
                <w:b/>
                <w:lang w:val="ro-RO"/>
              </w:rPr>
            </w:pPr>
            <w:r w:rsidRPr="002152E4">
              <w:rPr>
                <w:rFonts w:cs="Arial"/>
                <w:b/>
                <w:lang w:val="ro-RO" w:eastAsia="ro-RO"/>
              </w:rPr>
              <w:t>610</w:t>
            </w:r>
          </w:p>
        </w:tc>
        <w:tc>
          <w:tcPr>
            <w:tcW w:w="2688" w:type="dxa"/>
            <w:shd w:val="clear" w:color="auto" w:fill="auto"/>
            <w:vAlign w:val="center"/>
          </w:tcPr>
          <w:p w:rsidR="000802D5" w:rsidRPr="002152E4" w:rsidRDefault="00466281" w:rsidP="000802D5">
            <w:pPr>
              <w:spacing w:before="120" w:line="360" w:lineRule="auto"/>
              <w:jc w:val="center"/>
              <w:rPr>
                <w:b/>
                <w:lang w:val="ro-RO"/>
              </w:rPr>
            </w:pPr>
            <w:r w:rsidRPr="002152E4">
              <w:rPr>
                <w:rFonts w:cs="Arial"/>
                <w:b/>
                <w:lang w:val="ro-RO" w:eastAsia="ro-RO"/>
              </w:rPr>
              <w:t>636</w:t>
            </w:r>
          </w:p>
        </w:tc>
      </w:tr>
    </w:tbl>
    <w:p w:rsidR="00466281" w:rsidRPr="002152E4" w:rsidRDefault="00466281" w:rsidP="000802D5">
      <w:pPr>
        <w:spacing w:line="360" w:lineRule="auto"/>
        <w:jc w:val="both"/>
        <w:rPr>
          <w:lang w:val="ro-RO"/>
        </w:rPr>
      </w:pPr>
    </w:p>
    <w:p w:rsidR="000802D5" w:rsidRPr="002152E4" w:rsidRDefault="005C0FA1" w:rsidP="005C0FA1">
      <w:pPr>
        <w:pStyle w:val="Heading3"/>
      </w:pPr>
      <w:bookmarkStart w:id="44" w:name="_Toc411333483"/>
      <w:bookmarkStart w:id="45" w:name="_Toc411429418"/>
      <w:bookmarkStart w:id="46" w:name="_Toc475363401"/>
      <w:bookmarkStart w:id="47" w:name="_Toc486576524"/>
      <w:r w:rsidRPr="002152E4">
        <w:t>II</w:t>
      </w:r>
      <w:r w:rsidR="00AA2C2F" w:rsidRPr="002152E4">
        <w:t xml:space="preserve">.2.4. </w:t>
      </w:r>
      <w:r w:rsidR="000802D5" w:rsidRPr="002152E4">
        <w:t>Încărcătura la nivelul judecătoriilor</w:t>
      </w:r>
      <w:bookmarkEnd w:id="44"/>
      <w:bookmarkEnd w:id="45"/>
      <w:bookmarkEnd w:id="46"/>
      <w:bookmarkEnd w:id="47"/>
      <w:r w:rsidR="000802D5" w:rsidRPr="002152E4">
        <w:t xml:space="preserve"> </w:t>
      </w:r>
    </w:p>
    <w:p w:rsidR="000802D5" w:rsidRPr="002152E4" w:rsidRDefault="000802D5" w:rsidP="000704CE">
      <w:pPr>
        <w:pStyle w:val="AddParagraf"/>
      </w:pPr>
      <w:r w:rsidRPr="002152E4">
        <w:t>În perioada de referinţă s-a înregistrat o încărcătură medie a cauzelor pe schemă de</w:t>
      </w:r>
      <w:r w:rsidR="006727C4" w:rsidRPr="002152E4">
        <w:t xml:space="preserve"> </w:t>
      </w:r>
      <w:r w:rsidR="006727C4" w:rsidRPr="002152E4">
        <w:rPr>
          <w:b/>
        </w:rPr>
        <w:t>874</w:t>
      </w:r>
      <w:r w:rsidRPr="002152E4">
        <w:t xml:space="preserve"> </w:t>
      </w:r>
      <w:r w:rsidR="006727C4" w:rsidRPr="002152E4">
        <w:t xml:space="preserve">cauze </w:t>
      </w:r>
      <w:r w:rsidRPr="002152E4">
        <w:t>(</w:t>
      </w:r>
      <w:r w:rsidR="006727C4" w:rsidRPr="002152E4">
        <w:t>917 cauze în 2015</w:t>
      </w:r>
      <w:r w:rsidRPr="002152E4">
        <w:t>) şi o încărcătură pe judecător de</w:t>
      </w:r>
      <w:r w:rsidRPr="002152E4">
        <w:rPr>
          <w:b/>
        </w:rPr>
        <w:t xml:space="preserve"> </w:t>
      </w:r>
      <w:r w:rsidR="006727C4" w:rsidRPr="002152E4">
        <w:rPr>
          <w:b/>
        </w:rPr>
        <w:t>1083</w:t>
      </w:r>
      <w:r w:rsidR="006727C4" w:rsidRPr="002152E4">
        <w:t xml:space="preserve"> </w:t>
      </w:r>
      <w:r w:rsidRPr="002152E4">
        <w:t>cauze (</w:t>
      </w:r>
      <w:r w:rsidR="006727C4" w:rsidRPr="002152E4">
        <w:t>1.060 cauze în 2015</w:t>
      </w:r>
      <w:r w:rsidRPr="002152E4">
        <w:t>).</w:t>
      </w:r>
    </w:p>
    <w:p w:rsidR="000802D5" w:rsidRPr="002152E4" w:rsidRDefault="000802D5" w:rsidP="000704CE">
      <w:pPr>
        <w:pStyle w:val="AddParagraf"/>
      </w:pPr>
      <w:r w:rsidRPr="002152E4">
        <w:t>Din punct de vedere grafic, evoluţia  încărcăturii pe judecător în ultimii 5 ani, se prezintă după cum urmează:</w:t>
      </w:r>
    </w:p>
    <w:p w:rsidR="008B7005" w:rsidRDefault="008B7005" w:rsidP="00585FA3">
      <w:pPr>
        <w:pStyle w:val="AddParagraf"/>
        <w:ind w:firstLine="0"/>
      </w:pPr>
      <w:r w:rsidRPr="007037CF">
        <w:lastRenderedPageBreak/>
        <w:fldChar w:fldCharType="begin"/>
      </w:r>
      <w:r w:rsidRPr="007037CF">
        <w:instrText xml:space="preserve"> LINK Excel.Sheet.8 "C:\\Documents and Settings\\bogdan.comaneci.CSM1909\\Desktop\\1 an 2016\\Grafice 2016.xls!Grafic 17![Grafice 2016.xls]Grafic 17 Diagramă 1" "" \a \p \* MERGEFORMAT </w:instrText>
      </w:r>
      <w:r w:rsidRPr="007037CF">
        <w:fldChar w:fldCharType="separate"/>
      </w:r>
      <w:r w:rsidR="00C742FD">
        <w:object w:dxaOrig="11923" w:dyaOrig="6573">
          <v:shape id="_x0000_i1054" type="#_x0000_t75" style="width:495.85pt;height:273.6pt">
            <v:imagedata r:id="rId65" o:title=""/>
          </v:shape>
        </w:object>
      </w:r>
      <w:r w:rsidRPr="007037CF">
        <w:fldChar w:fldCharType="end"/>
      </w:r>
    </w:p>
    <w:p w:rsidR="000802D5" w:rsidRPr="002152E4" w:rsidRDefault="008B7005" w:rsidP="00585FA3">
      <w:pPr>
        <w:pStyle w:val="AddParagraf"/>
        <w:ind w:firstLine="0"/>
      </w:pPr>
      <w:r>
        <w:tab/>
      </w:r>
      <w:r w:rsidR="00CC561A" w:rsidRPr="002152E4">
        <w:t>Comparativ cu anul 2015</w:t>
      </w:r>
      <w:r w:rsidR="000802D5" w:rsidRPr="002152E4">
        <w:t xml:space="preserve"> încărcătura pe judecător a </w:t>
      </w:r>
      <w:r w:rsidR="00CC561A" w:rsidRPr="002152E4">
        <w:t xml:space="preserve">crescut </w:t>
      </w:r>
      <w:r w:rsidR="001E6BAB" w:rsidRPr="002152E4">
        <w:t xml:space="preserve">cu </w:t>
      </w:r>
      <w:r w:rsidR="00CC561A" w:rsidRPr="002152E4">
        <w:rPr>
          <w:b/>
        </w:rPr>
        <w:t>23</w:t>
      </w:r>
      <w:r w:rsidR="001E6BAB" w:rsidRPr="002152E4">
        <w:rPr>
          <w:b/>
        </w:rPr>
        <w:t xml:space="preserve"> </w:t>
      </w:r>
      <w:r w:rsidR="002F26BA" w:rsidRPr="002152E4">
        <w:t xml:space="preserve">dosare, ceea ce reprezintă </w:t>
      </w:r>
      <w:r w:rsidR="00CC561A" w:rsidRPr="002152E4">
        <w:rPr>
          <w:b/>
        </w:rPr>
        <w:t>2,17</w:t>
      </w:r>
      <w:r w:rsidR="000802D5" w:rsidRPr="002152E4">
        <w:rPr>
          <w:b/>
        </w:rPr>
        <w:t xml:space="preserve"> %</w:t>
      </w:r>
      <w:r w:rsidR="000802D5" w:rsidRPr="002152E4">
        <w:t xml:space="preserve"> iar încărcătura pe schemă a </w:t>
      </w:r>
      <w:r w:rsidR="001E6BAB" w:rsidRPr="002152E4">
        <w:t xml:space="preserve">scăzut </w:t>
      </w:r>
      <w:r w:rsidR="000802D5" w:rsidRPr="002152E4">
        <w:t xml:space="preserve">cu </w:t>
      </w:r>
      <w:r w:rsidR="00CC561A" w:rsidRPr="002152E4">
        <w:rPr>
          <w:b/>
        </w:rPr>
        <w:t>43</w:t>
      </w:r>
      <w:r w:rsidR="000802D5" w:rsidRPr="002152E4">
        <w:rPr>
          <w:b/>
        </w:rPr>
        <w:t xml:space="preserve"> </w:t>
      </w:r>
      <w:r w:rsidR="001048A2" w:rsidRPr="002152E4">
        <w:t xml:space="preserve">dosare, ceea ce reprezintă </w:t>
      </w:r>
      <w:r w:rsidR="00CC561A" w:rsidRPr="002152E4">
        <w:rPr>
          <w:b/>
        </w:rPr>
        <w:t>4,69</w:t>
      </w:r>
      <w:r w:rsidR="000802D5" w:rsidRPr="002152E4">
        <w:rPr>
          <w:b/>
        </w:rPr>
        <w:t xml:space="preserve"> %</w:t>
      </w:r>
      <w:r w:rsidR="000802D5" w:rsidRPr="002152E4">
        <w:t>.</w:t>
      </w:r>
    </w:p>
    <w:p w:rsidR="000802D5" w:rsidRPr="002152E4" w:rsidRDefault="001048A2" w:rsidP="000704CE">
      <w:pPr>
        <w:pStyle w:val="AddParagraf"/>
      </w:pPr>
      <w:r w:rsidRPr="002152E4">
        <w:t>Printre i</w:t>
      </w:r>
      <w:r w:rsidR="000802D5" w:rsidRPr="002152E4">
        <w:t>nstanţele ce au înregistra</w:t>
      </w:r>
      <w:r w:rsidR="00FE4A6C" w:rsidRPr="002152E4">
        <w:t>t în anul 2016</w:t>
      </w:r>
      <w:r w:rsidR="007C0107" w:rsidRPr="002152E4">
        <w:t xml:space="preserve"> o încărcătură ex</w:t>
      </w:r>
      <w:r w:rsidR="000802D5" w:rsidRPr="002152E4">
        <w:t>cesivă pe judecător sunt următoarele:</w:t>
      </w:r>
      <w:r w:rsidR="007C0107" w:rsidRPr="002152E4">
        <w:rPr>
          <w:bCs/>
        </w:rPr>
        <w:t xml:space="preserve"> Judecătoria </w:t>
      </w:r>
      <w:r w:rsidR="008320F7" w:rsidRPr="002152E4">
        <w:rPr>
          <w:bCs/>
        </w:rPr>
        <w:t xml:space="preserve">Buftea </w:t>
      </w:r>
      <w:r w:rsidR="000802D5" w:rsidRPr="002152E4">
        <w:t>(</w:t>
      </w:r>
      <w:r w:rsidR="008320F7" w:rsidRPr="002152E4">
        <w:t xml:space="preserve">2099 </w:t>
      </w:r>
      <w:r w:rsidR="000802D5" w:rsidRPr="002152E4">
        <w:t xml:space="preserve">dosare/judecător), </w:t>
      </w:r>
      <w:r w:rsidR="007C0107" w:rsidRPr="002152E4">
        <w:rPr>
          <w:bCs/>
        </w:rPr>
        <w:t xml:space="preserve">Judecătoria </w:t>
      </w:r>
      <w:r w:rsidR="008320F7" w:rsidRPr="002152E4">
        <w:rPr>
          <w:bCs/>
        </w:rPr>
        <w:t xml:space="preserve">Săveni </w:t>
      </w:r>
      <w:r w:rsidR="007C0107" w:rsidRPr="002152E4">
        <w:t>(</w:t>
      </w:r>
      <w:r w:rsidR="008320F7" w:rsidRPr="002152E4">
        <w:t xml:space="preserve">1911 </w:t>
      </w:r>
      <w:r w:rsidR="000802D5" w:rsidRPr="002152E4">
        <w:t xml:space="preserve">dosare /judecător), </w:t>
      </w:r>
      <w:r w:rsidR="000802D5" w:rsidRPr="002152E4">
        <w:rPr>
          <w:bCs/>
        </w:rPr>
        <w:t xml:space="preserve">Judecătoria </w:t>
      </w:r>
      <w:r w:rsidR="008320F7" w:rsidRPr="002152E4">
        <w:rPr>
          <w:bCs/>
        </w:rPr>
        <w:t xml:space="preserve">Bolintin Vale </w:t>
      </w:r>
      <w:r w:rsidR="007C0107" w:rsidRPr="002152E4">
        <w:t>(</w:t>
      </w:r>
      <w:r w:rsidR="008320F7" w:rsidRPr="002152E4">
        <w:t>1796</w:t>
      </w:r>
      <w:r w:rsidR="000802D5" w:rsidRPr="002152E4">
        <w:t xml:space="preserve"> dosare/judecător),</w:t>
      </w:r>
      <w:r w:rsidR="000802D5" w:rsidRPr="002152E4">
        <w:rPr>
          <w:bCs/>
        </w:rPr>
        <w:t xml:space="preserve"> Judecătoria </w:t>
      </w:r>
      <w:r w:rsidR="005A4F4E" w:rsidRPr="002152E4">
        <w:rPr>
          <w:bCs/>
        </w:rPr>
        <w:t xml:space="preserve">Adjud </w:t>
      </w:r>
      <w:r w:rsidR="000802D5" w:rsidRPr="002152E4">
        <w:t>(</w:t>
      </w:r>
      <w:r w:rsidR="005A4F4E" w:rsidRPr="002152E4">
        <w:t xml:space="preserve">1590 dosare/judecător), </w:t>
      </w:r>
      <w:r w:rsidR="000802D5" w:rsidRPr="002152E4">
        <w:rPr>
          <w:bCs/>
        </w:rPr>
        <w:t xml:space="preserve">Judecătoria </w:t>
      </w:r>
      <w:r w:rsidR="005A4F4E" w:rsidRPr="002152E4">
        <w:rPr>
          <w:bCs/>
        </w:rPr>
        <w:t xml:space="preserve">Petroşani </w:t>
      </w:r>
      <w:r w:rsidR="000802D5" w:rsidRPr="002152E4">
        <w:t>(</w:t>
      </w:r>
      <w:r w:rsidR="005A4F4E" w:rsidRPr="002152E4">
        <w:t xml:space="preserve">1521 </w:t>
      </w:r>
      <w:r w:rsidR="000802D5" w:rsidRPr="002152E4">
        <w:t>dosare/judecător)</w:t>
      </w:r>
      <w:r w:rsidR="005A4F4E" w:rsidRPr="002152E4">
        <w:t xml:space="preserve">, </w:t>
      </w:r>
      <w:r w:rsidR="005A4F4E" w:rsidRPr="002152E4">
        <w:rPr>
          <w:bCs/>
        </w:rPr>
        <w:t xml:space="preserve">Judecătoria </w:t>
      </w:r>
      <w:r w:rsidR="002152E4" w:rsidRPr="002152E4">
        <w:rPr>
          <w:bCs/>
        </w:rPr>
        <w:t>Fetești</w:t>
      </w:r>
      <w:r w:rsidR="005A4F4E" w:rsidRPr="002152E4">
        <w:rPr>
          <w:bCs/>
        </w:rPr>
        <w:t xml:space="preserve"> (1512 </w:t>
      </w:r>
      <w:r w:rsidR="005A4F4E" w:rsidRPr="002152E4">
        <w:t xml:space="preserve">dosare/judecător) şi </w:t>
      </w:r>
      <w:r w:rsidR="005A4F4E" w:rsidRPr="002152E4">
        <w:rPr>
          <w:bCs/>
        </w:rPr>
        <w:t>Judecătoria</w:t>
      </w:r>
      <w:r w:rsidR="005A4F4E" w:rsidRPr="002152E4">
        <w:t xml:space="preserve"> Tulcea (1501 dosare/judecător)</w:t>
      </w:r>
    </w:p>
    <w:p w:rsidR="000802D5" w:rsidRPr="002152E4" w:rsidRDefault="000802D5" w:rsidP="000704CE">
      <w:pPr>
        <w:pStyle w:val="AddParagraf"/>
      </w:pPr>
      <w:r w:rsidRPr="002152E4">
        <w:t>Aceste instanţe sunt de altfel şi cele care au înregistr</w:t>
      </w:r>
      <w:r w:rsidR="005A4F4E" w:rsidRPr="002152E4">
        <w:t>at o încărcătură mai mare de 1.5</w:t>
      </w:r>
      <w:r w:rsidRPr="002152E4">
        <w:t>00 de</w:t>
      </w:r>
      <w:r w:rsidR="005A4F4E" w:rsidRPr="002152E4">
        <w:t xml:space="preserve"> cauze pe judecător în anul 2016</w:t>
      </w:r>
      <w:r w:rsidRPr="002152E4">
        <w:t>.</w:t>
      </w:r>
    </w:p>
    <w:p w:rsidR="000802D5" w:rsidRPr="002152E4" w:rsidRDefault="000802D5" w:rsidP="000704CE">
      <w:pPr>
        <w:pStyle w:val="AddParagraf"/>
      </w:pPr>
      <w:r w:rsidRPr="002152E4">
        <w:rPr>
          <w:bCs/>
        </w:rPr>
        <w:t>Din punct de vedere al pers</w:t>
      </w:r>
      <w:r w:rsidR="00E87F3C" w:rsidRPr="002152E4">
        <w:rPr>
          <w:bCs/>
        </w:rPr>
        <w:t xml:space="preserve">onalului, Judecătoria </w:t>
      </w:r>
      <w:r w:rsidR="00704458" w:rsidRPr="002152E4">
        <w:rPr>
          <w:bCs/>
        </w:rPr>
        <w:t xml:space="preserve">Buftea </w:t>
      </w:r>
      <w:r w:rsidRPr="002152E4">
        <w:t xml:space="preserve">a înregistrat un deficit de </w:t>
      </w:r>
      <w:r w:rsidR="00704458" w:rsidRPr="002152E4">
        <w:rPr>
          <w:b/>
        </w:rPr>
        <w:t>11</w:t>
      </w:r>
      <w:r w:rsidRPr="002152E4">
        <w:rPr>
          <w:b/>
        </w:rPr>
        <w:t xml:space="preserve"> </w:t>
      </w:r>
      <w:r w:rsidRPr="002152E4">
        <w:t xml:space="preserve">posturi, </w:t>
      </w:r>
      <w:r w:rsidR="00E87F3C" w:rsidRPr="002152E4">
        <w:rPr>
          <w:bCs/>
        </w:rPr>
        <w:t>Judecătoria S</w:t>
      </w:r>
      <w:r w:rsidR="00704458" w:rsidRPr="002152E4">
        <w:rPr>
          <w:bCs/>
        </w:rPr>
        <w:t>ăveni</w:t>
      </w:r>
      <w:r w:rsidRPr="002152E4">
        <w:rPr>
          <w:bCs/>
        </w:rPr>
        <w:t xml:space="preserve"> </w:t>
      </w:r>
      <w:r w:rsidRPr="002152E4">
        <w:t xml:space="preserve">un deficit de </w:t>
      </w:r>
      <w:r w:rsidR="00704458" w:rsidRPr="002152E4">
        <w:rPr>
          <w:b/>
        </w:rPr>
        <w:t>3</w:t>
      </w:r>
      <w:r w:rsidRPr="002152E4">
        <w:rPr>
          <w:b/>
        </w:rPr>
        <w:t xml:space="preserve"> </w:t>
      </w:r>
      <w:r w:rsidRPr="002152E4">
        <w:t xml:space="preserve">posturi, </w:t>
      </w:r>
      <w:r w:rsidRPr="002152E4">
        <w:rPr>
          <w:bCs/>
        </w:rPr>
        <w:t xml:space="preserve">Judecătoria </w:t>
      </w:r>
      <w:r w:rsidR="00704458" w:rsidRPr="002152E4">
        <w:rPr>
          <w:bCs/>
        </w:rPr>
        <w:t xml:space="preserve">Bolintin Vale </w:t>
      </w:r>
      <w:r w:rsidR="00E87F3C" w:rsidRPr="002152E4">
        <w:t xml:space="preserve">un deficit de </w:t>
      </w:r>
      <w:r w:rsidR="00704458" w:rsidRPr="002152E4">
        <w:rPr>
          <w:b/>
        </w:rPr>
        <w:t>2</w:t>
      </w:r>
      <w:r w:rsidR="00E87F3C" w:rsidRPr="002152E4">
        <w:t xml:space="preserve"> post</w:t>
      </w:r>
      <w:r w:rsidR="00704458" w:rsidRPr="002152E4">
        <w:t>uri</w:t>
      </w:r>
      <w:r w:rsidRPr="002152E4">
        <w:t xml:space="preserve">, </w:t>
      </w:r>
      <w:r w:rsidRPr="002152E4">
        <w:rPr>
          <w:bCs/>
        </w:rPr>
        <w:t xml:space="preserve">Judecătoria </w:t>
      </w:r>
      <w:r w:rsidR="00704458" w:rsidRPr="002152E4">
        <w:rPr>
          <w:bCs/>
        </w:rPr>
        <w:t xml:space="preserve">Adjud </w:t>
      </w:r>
      <w:r w:rsidRPr="002152E4">
        <w:t xml:space="preserve">un deficit de </w:t>
      </w:r>
      <w:r w:rsidR="00704458" w:rsidRPr="002152E4">
        <w:rPr>
          <w:b/>
        </w:rPr>
        <w:t>2</w:t>
      </w:r>
      <w:r w:rsidRPr="002152E4">
        <w:rPr>
          <w:b/>
        </w:rPr>
        <w:t xml:space="preserve"> </w:t>
      </w:r>
      <w:r w:rsidRPr="002152E4">
        <w:t>post</w:t>
      </w:r>
      <w:r w:rsidR="00704458" w:rsidRPr="002152E4">
        <w:t>uri</w:t>
      </w:r>
      <w:r w:rsidRPr="002152E4">
        <w:t xml:space="preserve">, </w:t>
      </w:r>
      <w:r w:rsidRPr="002152E4">
        <w:rPr>
          <w:bCs/>
        </w:rPr>
        <w:t xml:space="preserve">Judecătoria </w:t>
      </w:r>
      <w:r w:rsidR="00704458" w:rsidRPr="002152E4">
        <w:rPr>
          <w:bCs/>
        </w:rPr>
        <w:t xml:space="preserve">Petroşani </w:t>
      </w:r>
      <w:r w:rsidRPr="002152E4">
        <w:t>un deficit de</w:t>
      </w:r>
      <w:r w:rsidRPr="002152E4">
        <w:rPr>
          <w:b/>
        </w:rPr>
        <w:t xml:space="preserve"> </w:t>
      </w:r>
      <w:r w:rsidR="00704458" w:rsidRPr="002152E4">
        <w:rPr>
          <w:b/>
        </w:rPr>
        <w:t>7</w:t>
      </w:r>
      <w:r w:rsidRPr="002152E4">
        <w:t xml:space="preserve"> post</w:t>
      </w:r>
      <w:r w:rsidR="00704458" w:rsidRPr="002152E4">
        <w:t>uri,</w:t>
      </w:r>
      <w:r w:rsidRPr="002152E4">
        <w:t xml:space="preserve"> </w:t>
      </w:r>
      <w:r w:rsidRPr="002152E4">
        <w:rPr>
          <w:bCs/>
        </w:rPr>
        <w:t xml:space="preserve">Judecătoria </w:t>
      </w:r>
      <w:r w:rsidR="002152E4" w:rsidRPr="002152E4">
        <w:rPr>
          <w:bCs/>
        </w:rPr>
        <w:t>Fetești</w:t>
      </w:r>
      <w:r w:rsidR="00704458" w:rsidRPr="002152E4">
        <w:rPr>
          <w:bCs/>
        </w:rPr>
        <w:t xml:space="preserve"> </w:t>
      </w:r>
      <w:r w:rsidRPr="002152E4">
        <w:t xml:space="preserve">un deficit de </w:t>
      </w:r>
      <w:r w:rsidR="00704458" w:rsidRPr="002152E4">
        <w:rPr>
          <w:b/>
        </w:rPr>
        <w:t>3</w:t>
      </w:r>
      <w:r w:rsidRPr="002152E4">
        <w:t xml:space="preserve"> posturi</w:t>
      </w:r>
      <w:r w:rsidR="00704458" w:rsidRPr="002152E4">
        <w:t xml:space="preserve"> şi </w:t>
      </w:r>
      <w:r w:rsidR="00704458" w:rsidRPr="002152E4">
        <w:rPr>
          <w:bCs/>
        </w:rPr>
        <w:t xml:space="preserve">Judecătoria Tulcea </w:t>
      </w:r>
      <w:r w:rsidR="00704458" w:rsidRPr="002152E4">
        <w:t>un deficit de</w:t>
      </w:r>
      <w:r w:rsidR="00704458" w:rsidRPr="002152E4">
        <w:rPr>
          <w:b/>
        </w:rPr>
        <w:t xml:space="preserve"> 5</w:t>
      </w:r>
      <w:r w:rsidR="00704458" w:rsidRPr="002152E4">
        <w:t xml:space="preserve"> posturi</w:t>
      </w:r>
      <w:r w:rsidRPr="002152E4">
        <w:t>.</w:t>
      </w:r>
    </w:p>
    <w:p w:rsidR="000802D5" w:rsidRDefault="000802D5" w:rsidP="000704CE">
      <w:pPr>
        <w:pStyle w:val="AddParagraf"/>
      </w:pPr>
      <w:r w:rsidRPr="002152E4">
        <w:t>Dacă schemele acestor instanţe ar fi ocupate complet, încărcăturile ar scădea până la valorile calculate pentru încărcătura pe schemă, acestea fiind p</w:t>
      </w:r>
      <w:r w:rsidR="008B7005">
        <w:t>rezentate în tabelul de mai jos:</w:t>
      </w:r>
    </w:p>
    <w:p w:rsidR="008B7005" w:rsidRPr="002152E4" w:rsidRDefault="008B7005" w:rsidP="000704CE">
      <w:pPr>
        <w:pStyle w:val="AddParagraf"/>
      </w:pPr>
    </w:p>
    <w:tbl>
      <w:tblPr>
        <w:tblW w:w="6714" w:type="dxa"/>
        <w:jc w:val="center"/>
        <w:tblLook w:val="0000" w:firstRow="0" w:lastRow="0" w:firstColumn="0" w:lastColumn="0" w:noHBand="0" w:noVBand="0"/>
      </w:tblPr>
      <w:tblGrid>
        <w:gridCol w:w="3081"/>
        <w:gridCol w:w="3633"/>
      </w:tblGrid>
      <w:tr w:rsidR="00BA1348" w:rsidRPr="002152E4" w:rsidTr="002C07E2">
        <w:trPr>
          <w:trHeight w:val="315"/>
          <w:jc w:val="center"/>
        </w:trPr>
        <w:tc>
          <w:tcPr>
            <w:tcW w:w="3081" w:type="dxa"/>
            <w:tcBorders>
              <w:top w:val="single" w:sz="4" w:space="0" w:color="auto"/>
              <w:left w:val="single" w:sz="4" w:space="0" w:color="auto"/>
              <w:bottom w:val="single" w:sz="4" w:space="0" w:color="auto"/>
              <w:right w:val="single" w:sz="4" w:space="0" w:color="auto"/>
            </w:tcBorders>
            <w:shd w:val="clear" w:color="auto" w:fill="99CCFF"/>
            <w:vAlign w:val="center"/>
          </w:tcPr>
          <w:p w:rsidR="00BA1348" w:rsidRPr="002152E4" w:rsidRDefault="00BA1348" w:rsidP="00114FD5">
            <w:pPr>
              <w:jc w:val="center"/>
              <w:rPr>
                <w:b/>
                <w:bCs/>
                <w:lang w:val="ro-RO"/>
              </w:rPr>
            </w:pPr>
            <w:r w:rsidRPr="002152E4">
              <w:rPr>
                <w:b/>
                <w:bCs/>
                <w:lang w:val="ro-RO"/>
              </w:rPr>
              <w:t>Instanţa</w:t>
            </w:r>
          </w:p>
        </w:tc>
        <w:tc>
          <w:tcPr>
            <w:tcW w:w="3633" w:type="dxa"/>
            <w:tcBorders>
              <w:top w:val="single" w:sz="4" w:space="0" w:color="auto"/>
              <w:left w:val="nil"/>
              <w:bottom w:val="single" w:sz="4" w:space="0" w:color="auto"/>
              <w:right w:val="single" w:sz="4" w:space="0" w:color="auto"/>
            </w:tcBorders>
            <w:shd w:val="clear" w:color="auto" w:fill="99CCFF"/>
            <w:vAlign w:val="center"/>
          </w:tcPr>
          <w:p w:rsidR="00BA1348" w:rsidRPr="002152E4" w:rsidRDefault="00BA1348" w:rsidP="00114FD5">
            <w:pPr>
              <w:jc w:val="center"/>
              <w:rPr>
                <w:b/>
                <w:lang w:val="ro-RO"/>
              </w:rPr>
            </w:pPr>
            <w:r w:rsidRPr="002152E4">
              <w:rPr>
                <w:b/>
                <w:lang w:val="ro-RO"/>
              </w:rPr>
              <w:t>Încărcătura (dosare pe judecător)</w:t>
            </w:r>
          </w:p>
        </w:tc>
      </w:tr>
      <w:tr w:rsidR="00BA1348" w:rsidRPr="002152E4" w:rsidTr="00443F23">
        <w:trPr>
          <w:trHeight w:val="315"/>
          <w:jc w:val="center"/>
        </w:trPr>
        <w:tc>
          <w:tcPr>
            <w:tcW w:w="3081" w:type="dxa"/>
            <w:tcBorders>
              <w:top w:val="single" w:sz="4" w:space="0" w:color="auto"/>
              <w:left w:val="single" w:sz="4" w:space="0" w:color="auto"/>
              <w:bottom w:val="single" w:sz="4" w:space="0" w:color="auto"/>
              <w:right w:val="single" w:sz="4" w:space="0" w:color="auto"/>
            </w:tcBorders>
            <w:shd w:val="clear" w:color="auto" w:fill="auto"/>
            <w:vAlign w:val="center"/>
          </w:tcPr>
          <w:p w:rsidR="00BA1348" w:rsidRPr="002152E4" w:rsidRDefault="00BA1348" w:rsidP="00BA1348">
            <w:pPr>
              <w:rPr>
                <w:rFonts w:cs="Arial"/>
                <w:lang w:val="ro-RO" w:eastAsia="ro-RO"/>
              </w:rPr>
            </w:pPr>
            <w:r w:rsidRPr="002152E4">
              <w:rPr>
                <w:rFonts w:cs="Arial"/>
                <w:lang w:val="ro-RO" w:eastAsia="ro-RO"/>
              </w:rPr>
              <w:t xml:space="preserve">Judecatoria </w:t>
            </w:r>
            <w:r w:rsidR="004774F4" w:rsidRPr="002152E4">
              <w:rPr>
                <w:rFonts w:cs="Arial"/>
                <w:lang w:val="ro-RO" w:eastAsia="ro-RO"/>
              </w:rPr>
              <w:t>Buftea</w:t>
            </w:r>
          </w:p>
        </w:tc>
        <w:tc>
          <w:tcPr>
            <w:tcW w:w="3633" w:type="dxa"/>
            <w:tcBorders>
              <w:top w:val="single" w:sz="4" w:space="0" w:color="auto"/>
              <w:left w:val="nil"/>
              <w:bottom w:val="single" w:sz="4" w:space="0" w:color="auto"/>
              <w:right w:val="single" w:sz="4" w:space="0" w:color="auto"/>
            </w:tcBorders>
            <w:shd w:val="clear" w:color="auto" w:fill="auto"/>
            <w:vAlign w:val="center"/>
          </w:tcPr>
          <w:p w:rsidR="00BA1348" w:rsidRPr="002152E4" w:rsidRDefault="00BA1348" w:rsidP="00BA1348">
            <w:pPr>
              <w:jc w:val="center"/>
              <w:rPr>
                <w:rFonts w:cs="Arial"/>
                <w:lang w:val="ro-RO" w:eastAsia="ro-RO"/>
              </w:rPr>
            </w:pPr>
            <w:r w:rsidRPr="002152E4">
              <w:rPr>
                <w:rFonts w:cs="Arial"/>
                <w:lang w:val="ro-RO" w:eastAsia="ro-RO"/>
              </w:rPr>
              <w:t>1325</w:t>
            </w:r>
          </w:p>
        </w:tc>
      </w:tr>
      <w:tr w:rsidR="00BA1348" w:rsidRPr="002152E4" w:rsidTr="00443F23">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BA1348" w:rsidRPr="002152E4" w:rsidRDefault="00BA1348" w:rsidP="00BA1348">
            <w:pPr>
              <w:rPr>
                <w:rFonts w:cs="Arial"/>
                <w:lang w:val="ro-RO" w:eastAsia="ro-RO"/>
              </w:rPr>
            </w:pPr>
            <w:r w:rsidRPr="002152E4">
              <w:rPr>
                <w:rFonts w:cs="Arial"/>
                <w:lang w:val="ro-RO" w:eastAsia="ro-RO"/>
              </w:rPr>
              <w:t xml:space="preserve">Judecatoria </w:t>
            </w:r>
            <w:r w:rsidR="002152E4" w:rsidRPr="002152E4">
              <w:rPr>
                <w:rFonts w:cs="Arial"/>
                <w:lang w:val="ro-RO" w:eastAsia="ro-RO"/>
              </w:rPr>
              <w:t>Săveni</w:t>
            </w:r>
          </w:p>
        </w:tc>
        <w:tc>
          <w:tcPr>
            <w:tcW w:w="3633" w:type="dxa"/>
            <w:tcBorders>
              <w:top w:val="nil"/>
              <w:left w:val="nil"/>
              <w:bottom w:val="single" w:sz="4" w:space="0" w:color="auto"/>
              <w:right w:val="single" w:sz="4" w:space="0" w:color="auto"/>
            </w:tcBorders>
            <w:shd w:val="clear" w:color="auto" w:fill="auto"/>
            <w:vAlign w:val="center"/>
          </w:tcPr>
          <w:p w:rsidR="00BA1348" w:rsidRPr="002152E4" w:rsidRDefault="00BA1348" w:rsidP="00BA1348">
            <w:pPr>
              <w:jc w:val="center"/>
              <w:rPr>
                <w:rFonts w:cs="Arial"/>
                <w:lang w:val="ro-RO" w:eastAsia="ro-RO"/>
              </w:rPr>
            </w:pPr>
            <w:r w:rsidRPr="002152E4">
              <w:rPr>
                <w:rFonts w:cs="Arial"/>
                <w:lang w:val="ro-RO" w:eastAsia="ro-RO"/>
              </w:rPr>
              <w:t>841</w:t>
            </w:r>
          </w:p>
        </w:tc>
      </w:tr>
      <w:tr w:rsidR="00BA1348" w:rsidRPr="002152E4" w:rsidTr="00443F23">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BA1348" w:rsidRPr="002152E4" w:rsidRDefault="00BA1348" w:rsidP="00BA1348">
            <w:pPr>
              <w:rPr>
                <w:rFonts w:cs="Arial"/>
                <w:lang w:val="ro-RO" w:eastAsia="ro-RO"/>
              </w:rPr>
            </w:pPr>
            <w:r w:rsidRPr="002152E4">
              <w:rPr>
                <w:rFonts w:cs="Arial"/>
                <w:lang w:val="ro-RO" w:eastAsia="ro-RO"/>
              </w:rPr>
              <w:t xml:space="preserve">Judecatoria </w:t>
            </w:r>
            <w:r w:rsidR="004774F4" w:rsidRPr="002152E4">
              <w:rPr>
                <w:rFonts w:cs="Arial"/>
                <w:lang w:val="ro-RO" w:eastAsia="ro-RO"/>
              </w:rPr>
              <w:t>Bolintin Vale</w:t>
            </w:r>
          </w:p>
        </w:tc>
        <w:tc>
          <w:tcPr>
            <w:tcW w:w="3633" w:type="dxa"/>
            <w:tcBorders>
              <w:top w:val="nil"/>
              <w:left w:val="nil"/>
              <w:bottom w:val="single" w:sz="4" w:space="0" w:color="auto"/>
              <w:right w:val="single" w:sz="4" w:space="0" w:color="auto"/>
            </w:tcBorders>
            <w:shd w:val="clear" w:color="auto" w:fill="auto"/>
            <w:vAlign w:val="center"/>
          </w:tcPr>
          <w:p w:rsidR="00BA1348" w:rsidRPr="002152E4" w:rsidRDefault="00BA1348" w:rsidP="00BA1348">
            <w:pPr>
              <w:jc w:val="center"/>
              <w:rPr>
                <w:rFonts w:cs="Arial"/>
                <w:lang w:val="ro-RO" w:eastAsia="ro-RO"/>
              </w:rPr>
            </w:pPr>
            <w:r w:rsidRPr="002152E4">
              <w:rPr>
                <w:rFonts w:cs="Arial"/>
                <w:lang w:val="ro-RO" w:eastAsia="ro-RO"/>
              </w:rPr>
              <w:t>1227</w:t>
            </w:r>
          </w:p>
        </w:tc>
      </w:tr>
      <w:tr w:rsidR="00BA1348" w:rsidRPr="002152E4" w:rsidTr="00443F23">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BA1348" w:rsidRPr="002152E4" w:rsidRDefault="00BA1348" w:rsidP="00BA1348">
            <w:pPr>
              <w:rPr>
                <w:rFonts w:cs="Arial"/>
                <w:lang w:val="ro-RO" w:eastAsia="ro-RO"/>
              </w:rPr>
            </w:pPr>
            <w:r w:rsidRPr="002152E4">
              <w:rPr>
                <w:rFonts w:cs="Arial"/>
                <w:lang w:val="ro-RO" w:eastAsia="ro-RO"/>
              </w:rPr>
              <w:t xml:space="preserve">Judecatoria </w:t>
            </w:r>
            <w:r w:rsidR="004774F4" w:rsidRPr="002152E4">
              <w:rPr>
                <w:rFonts w:cs="Arial"/>
                <w:lang w:val="ro-RO" w:eastAsia="ro-RO"/>
              </w:rPr>
              <w:t>Adjud</w:t>
            </w:r>
          </w:p>
        </w:tc>
        <w:tc>
          <w:tcPr>
            <w:tcW w:w="3633" w:type="dxa"/>
            <w:tcBorders>
              <w:top w:val="nil"/>
              <w:left w:val="nil"/>
              <w:bottom w:val="single" w:sz="4" w:space="0" w:color="auto"/>
              <w:right w:val="single" w:sz="4" w:space="0" w:color="auto"/>
            </w:tcBorders>
            <w:shd w:val="clear" w:color="auto" w:fill="auto"/>
            <w:vAlign w:val="center"/>
          </w:tcPr>
          <w:p w:rsidR="00BA1348" w:rsidRPr="002152E4" w:rsidRDefault="00BA1348" w:rsidP="00BA1348">
            <w:pPr>
              <w:jc w:val="center"/>
              <w:rPr>
                <w:rFonts w:cs="Arial"/>
                <w:lang w:val="ro-RO" w:eastAsia="ro-RO"/>
              </w:rPr>
            </w:pPr>
            <w:r w:rsidRPr="002152E4">
              <w:rPr>
                <w:rFonts w:cs="Arial"/>
                <w:lang w:val="ro-RO" w:eastAsia="ro-RO"/>
              </w:rPr>
              <w:t>1050</w:t>
            </w:r>
          </w:p>
        </w:tc>
      </w:tr>
      <w:tr w:rsidR="00BA1348" w:rsidRPr="002152E4" w:rsidTr="00443F23">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BA1348" w:rsidRPr="002152E4" w:rsidRDefault="00BA1348" w:rsidP="00BA1348">
            <w:pPr>
              <w:rPr>
                <w:rFonts w:cs="Arial"/>
                <w:lang w:val="ro-RO" w:eastAsia="ro-RO"/>
              </w:rPr>
            </w:pPr>
            <w:r w:rsidRPr="002152E4">
              <w:rPr>
                <w:rFonts w:cs="Arial"/>
                <w:lang w:val="ro-RO" w:eastAsia="ro-RO"/>
              </w:rPr>
              <w:t xml:space="preserve">Judecatoria </w:t>
            </w:r>
            <w:r w:rsidR="002152E4" w:rsidRPr="002152E4">
              <w:rPr>
                <w:rFonts w:cs="Arial"/>
                <w:lang w:val="ro-RO" w:eastAsia="ro-RO"/>
              </w:rPr>
              <w:t>Petroşani</w:t>
            </w:r>
          </w:p>
        </w:tc>
        <w:tc>
          <w:tcPr>
            <w:tcW w:w="3633" w:type="dxa"/>
            <w:tcBorders>
              <w:top w:val="nil"/>
              <w:left w:val="nil"/>
              <w:bottom w:val="single" w:sz="4" w:space="0" w:color="auto"/>
              <w:right w:val="single" w:sz="4" w:space="0" w:color="auto"/>
            </w:tcBorders>
            <w:shd w:val="clear" w:color="auto" w:fill="auto"/>
            <w:vAlign w:val="center"/>
          </w:tcPr>
          <w:p w:rsidR="00BA1348" w:rsidRPr="002152E4" w:rsidRDefault="00BA1348" w:rsidP="00BA1348">
            <w:pPr>
              <w:jc w:val="center"/>
              <w:rPr>
                <w:rFonts w:cs="Arial"/>
                <w:lang w:val="ro-RO" w:eastAsia="ro-RO"/>
              </w:rPr>
            </w:pPr>
            <w:r w:rsidRPr="002152E4">
              <w:rPr>
                <w:rFonts w:cs="Arial"/>
                <w:lang w:val="ro-RO" w:eastAsia="ro-RO"/>
              </w:rPr>
              <w:t>946</w:t>
            </w:r>
          </w:p>
        </w:tc>
      </w:tr>
      <w:tr w:rsidR="00BA1348" w:rsidRPr="002152E4" w:rsidTr="00443F23">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BA1348" w:rsidRPr="002152E4" w:rsidRDefault="00BA1348" w:rsidP="00BA1348">
            <w:pPr>
              <w:rPr>
                <w:rFonts w:cs="Arial"/>
                <w:lang w:val="ro-RO" w:eastAsia="ro-RO"/>
              </w:rPr>
            </w:pPr>
            <w:r w:rsidRPr="002152E4">
              <w:rPr>
                <w:rFonts w:cs="Arial"/>
                <w:lang w:val="ro-RO" w:eastAsia="ro-RO"/>
              </w:rPr>
              <w:t xml:space="preserve">Judecatoria </w:t>
            </w:r>
            <w:r w:rsidR="002152E4" w:rsidRPr="002152E4">
              <w:rPr>
                <w:rFonts w:cs="Arial"/>
                <w:lang w:val="ro-RO" w:eastAsia="ro-RO"/>
              </w:rPr>
              <w:t>Fetești</w:t>
            </w:r>
          </w:p>
        </w:tc>
        <w:tc>
          <w:tcPr>
            <w:tcW w:w="3633" w:type="dxa"/>
            <w:tcBorders>
              <w:top w:val="nil"/>
              <w:left w:val="nil"/>
              <w:bottom w:val="single" w:sz="4" w:space="0" w:color="auto"/>
              <w:right w:val="single" w:sz="4" w:space="0" w:color="auto"/>
            </w:tcBorders>
            <w:shd w:val="clear" w:color="auto" w:fill="auto"/>
            <w:vAlign w:val="center"/>
          </w:tcPr>
          <w:p w:rsidR="00BA1348" w:rsidRPr="002152E4" w:rsidRDefault="00BA1348" w:rsidP="00BA1348">
            <w:pPr>
              <w:jc w:val="center"/>
              <w:rPr>
                <w:rFonts w:cs="Arial"/>
                <w:lang w:val="ro-RO" w:eastAsia="ro-RO"/>
              </w:rPr>
            </w:pPr>
            <w:r w:rsidRPr="002152E4">
              <w:rPr>
                <w:rFonts w:cs="Arial"/>
                <w:lang w:val="ro-RO" w:eastAsia="ro-RO"/>
              </w:rPr>
              <w:t>972</w:t>
            </w:r>
          </w:p>
        </w:tc>
      </w:tr>
      <w:tr w:rsidR="00BA1348" w:rsidRPr="002152E4" w:rsidTr="00443F23">
        <w:trPr>
          <w:trHeight w:val="315"/>
          <w:jc w:val="center"/>
        </w:trPr>
        <w:tc>
          <w:tcPr>
            <w:tcW w:w="3081" w:type="dxa"/>
            <w:tcBorders>
              <w:top w:val="nil"/>
              <w:left w:val="single" w:sz="4" w:space="0" w:color="auto"/>
              <w:bottom w:val="single" w:sz="4" w:space="0" w:color="auto"/>
              <w:right w:val="single" w:sz="4" w:space="0" w:color="auto"/>
            </w:tcBorders>
            <w:shd w:val="clear" w:color="auto" w:fill="auto"/>
            <w:vAlign w:val="center"/>
          </w:tcPr>
          <w:p w:rsidR="00BA1348" w:rsidRPr="002152E4" w:rsidRDefault="00BA1348" w:rsidP="00BA1348">
            <w:pPr>
              <w:rPr>
                <w:rFonts w:cs="Arial"/>
                <w:lang w:val="ro-RO" w:eastAsia="ro-RO"/>
              </w:rPr>
            </w:pPr>
            <w:r w:rsidRPr="002152E4">
              <w:rPr>
                <w:rFonts w:cs="Arial"/>
                <w:lang w:val="ro-RO" w:eastAsia="ro-RO"/>
              </w:rPr>
              <w:t xml:space="preserve">Judecatoria </w:t>
            </w:r>
            <w:r w:rsidR="004774F4" w:rsidRPr="002152E4">
              <w:rPr>
                <w:rFonts w:cs="Arial"/>
                <w:lang w:val="ro-RO" w:eastAsia="ro-RO"/>
              </w:rPr>
              <w:t>Tulcea</w:t>
            </w:r>
          </w:p>
        </w:tc>
        <w:tc>
          <w:tcPr>
            <w:tcW w:w="3633" w:type="dxa"/>
            <w:tcBorders>
              <w:top w:val="nil"/>
              <w:left w:val="nil"/>
              <w:bottom w:val="single" w:sz="4" w:space="0" w:color="auto"/>
              <w:right w:val="single" w:sz="4" w:space="0" w:color="auto"/>
            </w:tcBorders>
            <w:shd w:val="clear" w:color="auto" w:fill="auto"/>
            <w:vAlign w:val="center"/>
          </w:tcPr>
          <w:p w:rsidR="00BA1348" w:rsidRPr="002152E4" w:rsidRDefault="00BA1348" w:rsidP="00BA1348">
            <w:pPr>
              <w:jc w:val="center"/>
              <w:rPr>
                <w:rFonts w:cs="Arial"/>
                <w:lang w:val="ro-RO" w:eastAsia="ro-RO"/>
              </w:rPr>
            </w:pPr>
            <w:r w:rsidRPr="002152E4">
              <w:rPr>
                <w:rFonts w:cs="Arial"/>
                <w:lang w:val="ro-RO" w:eastAsia="ro-RO"/>
              </w:rPr>
              <w:t>1008</w:t>
            </w:r>
          </w:p>
        </w:tc>
      </w:tr>
    </w:tbl>
    <w:p w:rsidR="008B7005" w:rsidRDefault="008B7005" w:rsidP="000704CE">
      <w:pPr>
        <w:pStyle w:val="AddParagraf"/>
      </w:pPr>
    </w:p>
    <w:p w:rsidR="000802D5" w:rsidRPr="002152E4" w:rsidRDefault="000802D5" w:rsidP="000704CE">
      <w:pPr>
        <w:pStyle w:val="AddParagraf"/>
      </w:pPr>
      <w:r w:rsidRPr="002152E4">
        <w:lastRenderedPageBreak/>
        <w:t>După cum se</w:t>
      </w:r>
      <w:r w:rsidR="00C15364" w:rsidRPr="002152E4">
        <w:t xml:space="preserve"> observă şi în aceste condiţii </w:t>
      </w:r>
      <w:r w:rsidR="00FA61F7" w:rsidRPr="002152E4">
        <w:t>patru</w:t>
      </w:r>
      <w:r w:rsidRPr="002152E4">
        <w:t xml:space="preserve"> dintre instanţe ar menţine o înc</w:t>
      </w:r>
      <w:r w:rsidR="00FA61F7" w:rsidRPr="002152E4">
        <w:t>ărcătură pe judecător de peste 1</w:t>
      </w:r>
      <w:r w:rsidRPr="002152E4">
        <w:t>.000 de dosare.</w:t>
      </w:r>
    </w:p>
    <w:p w:rsidR="000802D5" w:rsidRPr="002152E4" w:rsidRDefault="000802D5" w:rsidP="000704CE">
      <w:pPr>
        <w:pStyle w:val="AddParagraf"/>
      </w:pPr>
      <w:r w:rsidRPr="002152E4">
        <w:t>În ceea ce priveşte înc</w:t>
      </w:r>
      <w:r w:rsidR="004774F4" w:rsidRPr="002152E4">
        <w:t>ărcătura pe schemă, în anul 2016</w:t>
      </w:r>
      <w:r w:rsidRPr="002152E4">
        <w:t>,</w:t>
      </w:r>
      <w:r w:rsidR="000D7C1E" w:rsidRPr="002152E4">
        <w:t xml:space="preserve"> judecătoriile cu cea mai mare încărcătură pe schemă sunt</w:t>
      </w:r>
      <w:r w:rsidRPr="002152E4">
        <w:t xml:space="preserve"> prezentate în tabelul de mai jos.</w:t>
      </w:r>
    </w:p>
    <w:tbl>
      <w:tblPr>
        <w:tblW w:w="5758" w:type="dxa"/>
        <w:jc w:val="center"/>
        <w:tblLook w:val="0000" w:firstRow="0" w:lastRow="0" w:firstColumn="0" w:lastColumn="0" w:noHBand="0" w:noVBand="0"/>
      </w:tblPr>
      <w:tblGrid>
        <w:gridCol w:w="3140"/>
        <w:gridCol w:w="2618"/>
      </w:tblGrid>
      <w:tr w:rsidR="000D7C1E" w:rsidRPr="002152E4" w:rsidTr="00C042A5">
        <w:trPr>
          <w:trHeight w:val="315"/>
          <w:jc w:val="center"/>
        </w:trPr>
        <w:tc>
          <w:tcPr>
            <w:tcW w:w="3140" w:type="dxa"/>
            <w:tcBorders>
              <w:top w:val="single" w:sz="4" w:space="0" w:color="auto"/>
              <w:left w:val="single" w:sz="4" w:space="0" w:color="auto"/>
              <w:bottom w:val="single" w:sz="4" w:space="0" w:color="auto"/>
              <w:right w:val="single" w:sz="4" w:space="0" w:color="auto"/>
            </w:tcBorders>
            <w:shd w:val="clear" w:color="auto" w:fill="99CCFF"/>
            <w:vAlign w:val="center"/>
          </w:tcPr>
          <w:p w:rsidR="000D7C1E" w:rsidRPr="002152E4" w:rsidRDefault="000D7C1E" w:rsidP="00114FD5">
            <w:pPr>
              <w:jc w:val="center"/>
              <w:rPr>
                <w:b/>
                <w:bCs/>
                <w:lang w:val="ro-RO"/>
              </w:rPr>
            </w:pPr>
            <w:r w:rsidRPr="002152E4">
              <w:rPr>
                <w:b/>
                <w:bCs/>
                <w:lang w:val="ro-RO"/>
              </w:rPr>
              <w:t>Instanţa</w:t>
            </w:r>
          </w:p>
        </w:tc>
        <w:tc>
          <w:tcPr>
            <w:tcW w:w="2618" w:type="dxa"/>
            <w:tcBorders>
              <w:top w:val="single" w:sz="4" w:space="0" w:color="auto"/>
              <w:left w:val="nil"/>
              <w:bottom w:val="single" w:sz="4" w:space="0" w:color="auto"/>
              <w:right w:val="single" w:sz="4" w:space="0" w:color="auto"/>
            </w:tcBorders>
            <w:shd w:val="clear" w:color="auto" w:fill="99CCFF"/>
            <w:vAlign w:val="center"/>
          </w:tcPr>
          <w:p w:rsidR="000D7C1E" w:rsidRPr="002152E4" w:rsidRDefault="000D7C1E" w:rsidP="00114FD5">
            <w:pPr>
              <w:jc w:val="center"/>
              <w:rPr>
                <w:b/>
                <w:bCs/>
                <w:lang w:val="ro-RO"/>
              </w:rPr>
            </w:pPr>
            <w:r w:rsidRPr="002152E4">
              <w:rPr>
                <w:b/>
                <w:bCs/>
                <w:lang w:val="ro-RO"/>
              </w:rPr>
              <w:t>Încărcătura pe schemă</w:t>
            </w:r>
          </w:p>
        </w:tc>
      </w:tr>
      <w:tr w:rsidR="000D7C1E" w:rsidRPr="002152E4" w:rsidTr="00803933">
        <w:trPr>
          <w:trHeight w:val="315"/>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tcPr>
          <w:p w:rsidR="000D7C1E" w:rsidRPr="002152E4" w:rsidRDefault="000D7C1E" w:rsidP="000D7C1E">
            <w:pPr>
              <w:rPr>
                <w:rFonts w:cs="Arial"/>
                <w:lang w:val="ro-RO" w:eastAsia="ro-RO"/>
              </w:rPr>
            </w:pPr>
            <w:r w:rsidRPr="002152E4">
              <w:rPr>
                <w:rFonts w:cs="Arial"/>
                <w:lang w:val="ro-RO" w:eastAsia="ro-RO"/>
              </w:rPr>
              <w:t>Judecatoria Cornetu</w:t>
            </w:r>
          </w:p>
        </w:tc>
        <w:tc>
          <w:tcPr>
            <w:tcW w:w="2618" w:type="dxa"/>
            <w:tcBorders>
              <w:top w:val="single" w:sz="4" w:space="0" w:color="auto"/>
              <w:left w:val="nil"/>
              <w:bottom w:val="single" w:sz="4" w:space="0" w:color="auto"/>
              <w:right w:val="single" w:sz="4" w:space="0" w:color="auto"/>
            </w:tcBorders>
            <w:shd w:val="clear" w:color="auto" w:fill="auto"/>
            <w:vAlign w:val="center"/>
          </w:tcPr>
          <w:p w:rsidR="000D7C1E" w:rsidRPr="002152E4" w:rsidRDefault="000D7C1E" w:rsidP="000D7C1E">
            <w:pPr>
              <w:jc w:val="center"/>
              <w:rPr>
                <w:rFonts w:cs="Arial"/>
                <w:lang w:val="ro-RO" w:eastAsia="ro-RO"/>
              </w:rPr>
            </w:pPr>
            <w:r w:rsidRPr="002152E4">
              <w:rPr>
                <w:rFonts w:cs="Arial"/>
                <w:lang w:val="ro-RO" w:eastAsia="ro-RO"/>
              </w:rPr>
              <w:t>1339</w:t>
            </w:r>
          </w:p>
        </w:tc>
      </w:tr>
      <w:tr w:rsidR="000D7C1E" w:rsidRPr="002152E4" w:rsidTr="00803933">
        <w:trPr>
          <w:trHeight w:val="315"/>
          <w:jc w:val="center"/>
        </w:trPr>
        <w:tc>
          <w:tcPr>
            <w:tcW w:w="3140" w:type="dxa"/>
            <w:tcBorders>
              <w:top w:val="nil"/>
              <w:left w:val="single" w:sz="4" w:space="0" w:color="auto"/>
              <w:bottom w:val="single" w:sz="4" w:space="0" w:color="auto"/>
              <w:right w:val="single" w:sz="4" w:space="0" w:color="auto"/>
            </w:tcBorders>
            <w:shd w:val="clear" w:color="auto" w:fill="auto"/>
            <w:vAlign w:val="center"/>
          </w:tcPr>
          <w:p w:rsidR="000D7C1E" w:rsidRPr="002152E4" w:rsidRDefault="000D7C1E" w:rsidP="000D7C1E">
            <w:pPr>
              <w:rPr>
                <w:rFonts w:cs="Arial"/>
                <w:lang w:val="ro-RO" w:eastAsia="ro-RO"/>
              </w:rPr>
            </w:pPr>
            <w:r w:rsidRPr="002152E4">
              <w:rPr>
                <w:rFonts w:cs="Arial"/>
                <w:lang w:val="ro-RO" w:eastAsia="ro-RO"/>
              </w:rPr>
              <w:t>Judecatoria Buftea</w:t>
            </w:r>
          </w:p>
        </w:tc>
        <w:tc>
          <w:tcPr>
            <w:tcW w:w="2618" w:type="dxa"/>
            <w:tcBorders>
              <w:top w:val="nil"/>
              <w:left w:val="nil"/>
              <w:bottom w:val="single" w:sz="4" w:space="0" w:color="auto"/>
              <w:right w:val="single" w:sz="4" w:space="0" w:color="auto"/>
            </w:tcBorders>
            <w:shd w:val="clear" w:color="auto" w:fill="auto"/>
            <w:vAlign w:val="center"/>
          </w:tcPr>
          <w:p w:rsidR="000D7C1E" w:rsidRPr="002152E4" w:rsidRDefault="000D7C1E" w:rsidP="000D7C1E">
            <w:pPr>
              <w:jc w:val="center"/>
              <w:rPr>
                <w:rFonts w:cs="Arial"/>
                <w:lang w:val="ro-RO" w:eastAsia="ro-RO"/>
              </w:rPr>
            </w:pPr>
            <w:r w:rsidRPr="002152E4">
              <w:rPr>
                <w:rFonts w:cs="Arial"/>
                <w:lang w:val="ro-RO" w:eastAsia="ro-RO"/>
              </w:rPr>
              <w:t>1325</w:t>
            </w:r>
          </w:p>
        </w:tc>
      </w:tr>
      <w:tr w:rsidR="000D7C1E" w:rsidRPr="002152E4" w:rsidTr="00803933">
        <w:trPr>
          <w:trHeight w:val="315"/>
          <w:jc w:val="center"/>
        </w:trPr>
        <w:tc>
          <w:tcPr>
            <w:tcW w:w="3140" w:type="dxa"/>
            <w:tcBorders>
              <w:top w:val="nil"/>
              <w:left w:val="single" w:sz="4" w:space="0" w:color="auto"/>
              <w:bottom w:val="single" w:sz="4" w:space="0" w:color="auto"/>
              <w:right w:val="single" w:sz="4" w:space="0" w:color="auto"/>
            </w:tcBorders>
            <w:shd w:val="clear" w:color="auto" w:fill="auto"/>
            <w:vAlign w:val="center"/>
          </w:tcPr>
          <w:p w:rsidR="000D7C1E" w:rsidRPr="002152E4" w:rsidRDefault="000D7C1E" w:rsidP="000D7C1E">
            <w:pPr>
              <w:rPr>
                <w:rFonts w:cs="Arial"/>
                <w:lang w:val="ro-RO" w:eastAsia="ro-RO"/>
              </w:rPr>
            </w:pPr>
            <w:r w:rsidRPr="002152E4">
              <w:rPr>
                <w:rFonts w:cs="Arial"/>
                <w:lang w:val="ro-RO" w:eastAsia="ro-RO"/>
              </w:rPr>
              <w:t xml:space="preserve">Judecatoria </w:t>
            </w:r>
            <w:r w:rsidR="002152E4" w:rsidRPr="002152E4">
              <w:rPr>
                <w:rFonts w:cs="Arial"/>
                <w:lang w:val="ro-RO" w:eastAsia="ro-RO"/>
              </w:rPr>
              <w:t>Oltenița</w:t>
            </w:r>
          </w:p>
        </w:tc>
        <w:tc>
          <w:tcPr>
            <w:tcW w:w="2618" w:type="dxa"/>
            <w:tcBorders>
              <w:top w:val="nil"/>
              <w:left w:val="nil"/>
              <w:bottom w:val="single" w:sz="4" w:space="0" w:color="auto"/>
              <w:right w:val="single" w:sz="4" w:space="0" w:color="auto"/>
            </w:tcBorders>
            <w:shd w:val="clear" w:color="auto" w:fill="auto"/>
            <w:vAlign w:val="center"/>
          </w:tcPr>
          <w:p w:rsidR="000D7C1E" w:rsidRPr="002152E4" w:rsidRDefault="000D7C1E" w:rsidP="000D7C1E">
            <w:pPr>
              <w:jc w:val="center"/>
              <w:rPr>
                <w:rFonts w:cs="Arial"/>
                <w:lang w:val="ro-RO" w:eastAsia="ro-RO"/>
              </w:rPr>
            </w:pPr>
            <w:r w:rsidRPr="002152E4">
              <w:rPr>
                <w:rFonts w:cs="Arial"/>
                <w:lang w:val="ro-RO" w:eastAsia="ro-RO"/>
              </w:rPr>
              <w:t>1240</w:t>
            </w:r>
          </w:p>
        </w:tc>
      </w:tr>
      <w:tr w:rsidR="000D7C1E" w:rsidRPr="002152E4" w:rsidTr="00803933">
        <w:trPr>
          <w:trHeight w:val="315"/>
          <w:jc w:val="center"/>
        </w:trPr>
        <w:tc>
          <w:tcPr>
            <w:tcW w:w="3140" w:type="dxa"/>
            <w:tcBorders>
              <w:top w:val="nil"/>
              <w:left w:val="single" w:sz="4" w:space="0" w:color="auto"/>
              <w:bottom w:val="single" w:sz="4" w:space="0" w:color="auto"/>
              <w:right w:val="single" w:sz="4" w:space="0" w:color="auto"/>
            </w:tcBorders>
            <w:shd w:val="clear" w:color="auto" w:fill="auto"/>
            <w:vAlign w:val="center"/>
          </w:tcPr>
          <w:p w:rsidR="000D7C1E" w:rsidRPr="002152E4" w:rsidRDefault="000D7C1E" w:rsidP="000D7C1E">
            <w:pPr>
              <w:rPr>
                <w:rFonts w:cs="Arial"/>
                <w:lang w:val="ro-RO" w:eastAsia="ro-RO"/>
              </w:rPr>
            </w:pPr>
            <w:r w:rsidRPr="002152E4">
              <w:rPr>
                <w:rFonts w:cs="Arial"/>
                <w:lang w:val="ro-RO" w:eastAsia="ro-RO"/>
              </w:rPr>
              <w:t>Judecatoria Bolintin Vale</w:t>
            </w:r>
          </w:p>
        </w:tc>
        <w:tc>
          <w:tcPr>
            <w:tcW w:w="2618" w:type="dxa"/>
            <w:tcBorders>
              <w:top w:val="nil"/>
              <w:left w:val="nil"/>
              <w:bottom w:val="single" w:sz="4" w:space="0" w:color="auto"/>
              <w:right w:val="single" w:sz="4" w:space="0" w:color="auto"/>
            </w:tcBorders>
            <w:shd w:val="clear" w:color="auto" w:fill="auto"/>
            <w:vAlign w:val="center"/>
          </w:tcPr>
          <w:p w:rsidR="000D7C1E" w:rsidRPr="002152E4" w:rsidRDefault="000D7C1E" w:rsidP="000D7C1E">
            <w:pPr>
              <w:jc w:val="center"/>
              <w:rPr>
                <w:rFonts w:cs="Arial"/>
                <w:lang w:val="ro-RO" w:eastAsia="ro-RO"/>
              </w:rPr>
            </w:pPr>
            <w:r w:rsidRPr="002152E4">
              <w:rPr>
                <w:rFonts w:cs="Arial"/>
                <w:lang w:val="ro-RO" w:eastAsia="ro-RO"/>
              </w:rPr>
              <w:t>1227</w:t>
            </w:r>
          </w:p>
        </w:tc>
      </w:tr>
      <w:tr w:rsidR="000D7C1E" w:rsidRPr="002152E4" w:rsidTr="00803933">
        <w:trPr>
          <w:trHeight w:val="315"/>
          <w:jc w:val="center"/>
        </w:trPr>
        <w:tc>
          <w:tcPr>
            <w:tcW w:w="3140" w:type="dxa"/>
            <w:tcBorders>
              <w:top w:val="nil"/>
              <w:left w:val="single" w:sz="4" w:space="0" w:color="auto"/>
              <w:bottom w:val="single" w:sz="4" w:space="0" w:color="auto"/>
              <w:right w:val="single" w:sz="4" w:space="0" w:color="auto"/>
            </w:tcBorders>
            <w:shd w:val="clear" w:color="auto" w:fill="auto"/>
            <w:vAlign w:val="center"/>
          </w:tcPr>
          <w:p w:rsidR="000D7C1E" w:rsidRPr="002152E4" w:rsidRDefault="000D7C1E" w:rsidP="000D7C1E">
            <w:pPr>
              <w:rPr>
                <w:rFonts w:cs="Arial"/>
                <w:lang w:val="ro-RO" w:eastAsia="ro-RO"/>
              </w:rPr>
            </w:pPr>
            <w:r w:rsidRPr="002152E4">
              <w:rPr>
                <w:rFonts w:cs="Arial"/>
                <w:lang w:val="ro-RO" w:eastAsia="ro-RO"/>
              </w:rPr>
              <w:t xml:space="preserve">Judecatoria </w:t>
            </w:r>
            <w:r w:rsidR="002152E4" w:rsidRPr="002152E4">
              <w:rPr>
                <w:rFonts w:cs="Arial"/>
                <w:lang w:val="ro-RO" w:eastAsia="ro-RO"/>
              </w:rPr>
              <w:t>Târgu</w:t>
            </w:r>
            <w:r w:rsidRPr="002152E4">
              <w:rPr>
                <w:rFonts w:cs="Arial"/>
                <w:lang w:val="ro-RO" w:eastAsia="ro-RO"/>
              </w:rPr>
              <w:t xml:space="preserve"> Secuiesc</w:t>
            </w:r>
          </w:p>
        </w:tc>
        <w:tc>
          <w:tcPr>
            <w:tcW w:w="2618" w:type="dxa"/>
            <w:tcBorders>
              <w:top w:val="nil"/>
              <w:left w:val="nil"/>
              <w:bottom w:val="single" w:sz="4" w:space="0" w:color="auto"/>
              <w:right w:val="single" w:sz="4" w:space="0" w:color="auto"/>
            </w:tcBorders>
            <w:shd w:val="clear" w:color="auto" w:fill="auto"/>
            <w:vAlign w:val="center"/>
          </w:tcPr>
          <w:p w:rsidR="000D7C1E" w:rsidRPr="002152E4" w:rsidRDefault="000D7C1E" w:rsidP="000D7C1E">
            <w:pPr>
              <w:jc w:val="center"/>
              <w:rPr>
                <w:rFonts w:cs="Arial"/>
                <w:lang w:val="ro-RO" w:eastAsia="ro-RO"/>
              </w:rPr>
            </w:pPr>
            <w:r w:rsidRPr="002152E4">
              <w:rPr>
                <w:rFonts w:cs="Arial"/>
                <w:lang w:val="ro-RO" w:eastAsia="ro-RO"/>
              </w:rPr>
              <w:t>1150</w:t>
            </w:r>
          </w:p>
        </w:tc>
      </w:tr>
      <w:tr w:rsidR="000D7C1E" w:rsidRPr="002152E4" w:rsidTr="00803933">
        <w:trPr>
          <w:trHeight w:val="315"/>
          <w:jc w:val="center"/>
        </w:trPr>
        <w:tc>
          <w:tcPr>
            <w:tcW w:w="3140" w:type="dxa"/>
            <w:tcBorders>
              <w:top w:val="nil"/>
              <w:left w:val="single" w:sz="4" w:space="0" w:color="auto"/>
              <w:bottom w:val="single" w:sz="4" w:space="0" w:color="auto"/>
              <w:right w:val="single" w:sz="4" w:space="0" w:color="auto"/>
            </w:tcBorders>
            <w:shd w:val="clear" w:color="auto" w:fill="auto"/>
            <w:vAlign w:val="center"/>
          </w:tcPr>
          <w:p w:rsidR="000D7C1E" w:rsidRPr="002152E4" w:rsidRDefault="000D7C1E" w:rsidP="000D7C1E">
            <w:pPr>
              <w:rPr>
                <w:rFonts w:cs="Arial"/>
                <w:lang w:val="ro-RO" w:eastAsia="ro-RO"/>
              </w:rPr>
            </w:pPr>
            <w:r w:rsidRPr="002152E4">
              <w:rPr>
                <w:rFonts w:cs="Arial"/>
                <w:lang w:val="ro-RO" w:eastAsia="ro-RO"/>
              </w:rPr>
              <w:t>Judecatoria Beclean</w:t>
            </w:r>
          </w:p>
        </w:tc>
        <w:tc>
          <w:tcPr>
            <w:tcW w:w="2618" w:type="dxa"/>
            <w:tcBorders>
              <w:top w:val="nil"/>
              <w:left w:val="nil"/>
              <w:bottom w:val="single" w:sz="4" w:space="0" w:color="auto"/>
              <w:right w:val="single" w:sz="4" w:space="0" w:color="auto"/>
            </w:tcBorders>
            <w:shd w:val="clear" w:color="auto" w:fill="auto"/>
            <w:vAlign w:val="center"/>
          </w:tcPr>
          <w:p w:rsidR="000D7C1E" w:rsidRPr="002152E4" w:rsidRDefault="000D7C1E" w:rsidP="000D7C1E">
            <w:pPr>
              <w:jc w:val="center"/>
              <w:rPr>
                <w:rFonts w:cs="Arial"/>
                <w:lang w:val="ro-RO" w:eastAsia="ro-RO"/>
              </w:rPr>
            </w:pPr>
            <w:r w:rsidRPr="002152E4">
              <w:rPr>
                <w:rFonts w:cs="Arial"/>
                <w:lang w:val="ro-RO" w:eastAsia="ro-RO"/>
              </w:rPr>
              <w:t>1146</w:t>
            </w:r>
          </w:p>
        </w:tc>
      </w:tr>
    </w:tbl>
    <w:p w:rsidR="001048A2" w:rsidRPr="002152E4" w:rsidRDefault="001048A2" w:rsidP="008E290A">
      <w:pPr>
        <w:spacing w:before="120"/>
        <w:jc w:val="both"/>
        <w:rPr>
          <w:lang w:val="ro-RO"/>
        </w:rPr>
      </w:pPr>
      <w:r w:rsidRPr="002152E4">
        <w:rPr>
          <w:lang w:val="ro-RO"/>
        </w:rPr>
        <w:tab/>
        <w:t xml:space="preserve">. </w:t>
      </w:r>
    </w:p>
    <w:p w:rsidR="000802D5" w:rsidRPr="002152E4" w:rsidRDefault="000802D5" w:rsidP="00671163">
      <w:pPr>
        <w:pStyle w:val="AddParagraf"/>
      </w:pPr>
      <w:r w:rsidRPr="002152E4">
        <w:t>Cea mai mică încărcătură pe schemă s-a înregistrat la judecătoriile din tabelul de mai jos, acestea fiind cu mult sub media naţională.</w:t>
      </w:r>
    </w:p>
    <w:tbl>
      <w:tblPr>
        <w:tblW w:w="5951" w:type="dxa"/>
        <w:jc w:val="center"/>
        <w:tblLook w:val="0000" w:firstRow="0" w:lastRow="0" w:firstColumn="0" w:lastColumn="0" w:noHBand="0" w:noVBand="0"/>
      </w:tblPr>
      <w:tblGrid>
        <w:gridCol w:w="3291"/>
        <w:gridCol w:w="2660"/>
      </w:tblGrid>
      <w:tr w:rsidR="00553FC2" w:rsidRPr="002152E4" w:rsidTr="00C042A5">
        <w:trPr>
          <w:trHeight w:val="315"/>
          <w:jc w:val="center"/>
        </w:trPr>
        <w:tc>
          <w:tcPr>
            <w:tcW w:w="3291" w:type="dxa"/>
            <w:tcBorders>
              <w:top w:val="single" w:sz="4" w:space="0" w:color="auto"/>
              <w:left w:val="single" w:sz="4" w:space="0" w:color="auto"/>
              <w:bottom w:val="single" w:sz="4" w:space="0" w:color="auto"/>
              <w:right w:val="single" w:sz="4" w:space="0" w:color="auto"/>
            </w:tcBorders>
            <w:shd w:val="clear" w:color="auto" w:fill="99CCFF"/>
            <w:vAlign w:val="center"/>
          </w:tcPr>
          <w:p w:rsidR="00553FC2" w:rsidRPr="002152E4" w:rsidRDefault="00553FC2" w:rsidP="00114FD5">
            <w:pPr>
              <w:jc w:val="center"/>
              <w:rPr>
                <w:b/>
                <w:bCs/>
                <w:lang w:val="ro-RO"/>
              </w:rPr>
            </w:pPr>
            <w:r w:rsidRPr="002152E4">
              <w:rPr>
                <w:b/>
                <w:bCs/>
                <w:lang w:val="ro-RO"/>
              </w:rPr>
              <w:t>Instanţa</w:t>
            </w:r>
          </w:p>
        </w:tc>
        <w:tc>
          <w:tcPr>
            <w:tcW w:w="2660" w:type="dxa"/>
            <w:tcBorders>
              <w:top w:val="single" w:sz="4" w:space="0" w:color="auto"/>
              <w:left w:val="nil"/>
              <w:bottom w:val="single" w:sz="4" w:space="0" w:color="auto"/>
              <w:right w:val="single" w:sz="4" w:space="0" w:color="auto"/>
            </w:tcBorders>
            <w:shd w:val="clear" w:color="auto" w:fill="99CCFF"/>
            <w:vAlign w:val="center"/>
          </w:tcPr>
          <w:p w:rsidR="00553FC2" w:rsidRPr="002152E4" w:rsidRDefault="00553FC2" w:rsidP="00114FD5">
            <w:pPr>
              <w:jc w:val="center"/>
              <w:rPr>
                <w:b/>
                <w:bCs/>
                <w:lang w:val="ro-RO"/>
              </w:rPr>
            </w:pPr>
            <w:r w:rsidRPr="002152E4">
              <w:rPr>
                <w:b/>
                <w:bCs/>
                <w:lang w:val="ro-RO"/>
              </w:rPr>
              <w:t>Încărcătura pe schemă</w:t>
            </w:r>
          </w:p>
        </w:tc>
      </w:tr>
      <w:tr w:rsidR="00553FC2" w:rsidRPr="002152E4" w:rsidTr="008A727F">
        <w:trPr>
          <w:trHeight w:val="315"/>
          <w:jc w:val="center"/>
        </w:trPr>
        <w:tc>
          <w:tcPr>
            <w:tcW w:w="3291" w:type="dxa"/>
            <w:tcBorders>
              <w:top w:val="single" w:sz="4" w:space="0" w:color="auto"/>
              <w:left w:val="single" w:sz="4" w:space="0" w:color="auto"/>
              <w:bottom w:val="single" w:sz="4" w:space="0" w:color="auto"/>
              <w:right w:val="single" w:sz="4" w:space="0" w:color="auto"/>
            </w:tcBorders>
            <w:shd w:val="clear" w:color="auto" w:fill="auto"/>
            <w:vAlign w:val="center"/>
          </w:tcPr>
          <w:p w:rsidR="00553FC2" w:rsidRPr="002152E4" w:rsidRDefault="00553FC2" w:rsidP="00553FC2">
            <w:pPr>
              <w:rPr>
                <w:rFonts w:cs="Arial"/>
                <w:lang w:val="ro-RO" w:eastAsia="ro-RO"/>
              </w:rPr>
            </w:pPr>
            <w:r w:rsidRPr="002152E4">
              <w:rPr>
                <w:rFonts w:cs="Arial"/>
                <w:lang w:val="ro-RO" w:eastAsia="ro-RO"/>
              </w:rPr>
              <w:t xml:space="preserve">Judecatoria </w:t>
            </w:r>
            <w:r w:rsidR="0055185D" w:rsidRPr="002152E4">
              <w:rPr>
                <w:rFonts w:cs="Arial"/>
                <w:lang w:val="ro-RO" w:eastAsia="ro-RO"/>
              </w:rPr>
              <w:t>Agnita</w:t>
            </w:r>
          </w:p>
        </w:tc>
        <w:tc>
          <w:tcPr>
            <w:tcW w:w="2660" w:type="dxa"/>
            <w:tcBorders>
              <w:top w:val="single" w:sz="4" w:space="0" w:color="auto"/>
              <w:left w:val="nil"/>
              <w:bottom w:val="single" w:sz="4" w:space="0" w:color="auto"/>
              <w:right w:val="single" w:sz="4" w:space="0" w:color="auto"/>
            </w:tcBorders>
            <w:shd w:val="clear" w:color="auto" w:fill="auto"/>
            <w:vAlign w:val="center"/>
          </w:tcPr>
          <w:p w:rsidR="00553FC2" w:rsidRPr="002152E4" w:rsidRDefault="00553FC2" w:rsidP="00553FC2">
            <w:pPr>
              <w:jc w:val="center"/>
              <w:rPr>
                <w:rFonts w:cs="Arial"/>
                <w:lang w:val="ro-RO" w:eastAsia="ro-RO"/>
              </w:rPr>
            </w:pPr>
            <w:r w:rsidRPr="002152E4">
              <w:rPr>
                <w:rFonts w:cs="Arial"/>
                <w:lang w:val="ro-RO" w:eastAsia="ro-RO"/>
              </w:rPr>
              <w:t>396</w:t>
            </w:r>
          </w:p>
        </w:tc>
      </w:tr>
      <w:tr w:rsidR="00553FC2" w:rsidRPr="002152E4" w:rsidTr="008A727F">
        <w:trPr>
          <w:trHeight w:val="315"/>
          <w:jc w:val="center"/>
        </w:trPr>
        <w:tc>
          <w:tcPr>
            <w:tcW w:w="3291" w:type="dxa"/>
            <w:tcBorders>
              <w:top w:val="nil"/>
              <w:left w:val="single" w:sz="4" w:space="0" w:color="auto"/>
              <w:bottom w:val="single" w:sz="4" w:space="0" w:color="auto"/>
              <w:right w:val="single" w:sz="4" w:space="0" w:color="auto"/>
            </w:tcBorders>
            <w:shd w:val="clear" w:color="auto" w:fill="auto"/>
            <w:vAlign w:val="center"/>
          </w:tcPr>
          <w:p w:rsidR="00553FC2" w:rsidRPr="002152E4" w:rsidRDefault="00553FC2" w:rsidP="00553FC2">
            <w:pPr>
              <w:rPr>
                <w:rFonts w:cs="Arial"/>
                <w:lang w:val="ro-RO" w:eastAsia="ro-RO"/>
              </w:rPr>
            </w:pPr>
            <w:r w:rsidRPr="002152E4">
              <w:rPr>
                <w:rFonts w:cs="Arial"/>
                <w:lang w:val="ro-RO" w:eastAsia="ro-RO"/>
              </w:rPr>
              <w:t xml:space="preserve">Judecatoria </w:t>
            </w:r>
            <w:r w:rsidR="002152E4" w:rsidRPr="002152E4">
              <w:rPr>
                <w:rFonts w:cs="Arial"/>
                <w:lang w:val="ro-RO" w:eastAsia="ro-RO"/>
              </w:rPr>
              <w:t>Răducăneni</w:t>
            </w:r>
          </w:p>
        </w:tc>
        <w:tc>
          <w:tcPr>
            <w:tcW w:w="2660" w:type="dxa"/>
            <w:tcBorders>
              <w:top w:val="nil"/>
              <w:left w:val="nil"/>
              <w:bottom w:val="single" w:sz="4" w:space="0" w:color="auto"/>
              <w:right w:val="single" w:sz="4" w:space="0" w:color="auto"/>
            </w:tcBorders>
            <w:shd w:val="clear" w:color="auto" w:fill="auto"/>
            <w:vAlign w:val="center"/>
          </w:tcPr>
          <w:p w:rsidR="00553FC2" w:rsidRPr="002152E4" w:rsidRDefault="00553FC2" w:rsidP="00553FC2">
            <w:pPr>
              <w:jc w:val="center"/>
              <w:rPr>
                <w:rFonts w:cs="Arial"/>
                <w:lang w:val="ro-RO" w:eastAsia="ro-RO"/>
              </w:rPr>
            </w:pPr>
            <w:r w:rsidRPr="002152E4">
              <w:rPr>
                <w:rFonts w:cs="Arial"/>
                <w:lang w:val="ro-RO" w:eastAsia="ro-RO"/>
              </w:rPr>
              <w:t>325</w:t>
            </w:r>
          </w:p>
        </w:tc>
      </w:tr>
      <w:tr w:rsidR="00553FC2" w:rsidRPr="002152E4" w:rsidTr="008A727F">
        <w:trPr>
          <w:trHeight w:val="315"/>
          <w:jc w:val="center"/>
        </w:trPr>
        <w:tc>
          <w:tcPr>
            <w:tcW w:w="3291" w:type="dxa"/>
            <w:tcBorders>
              <w:top w:val="nil"/>
              <w:left w:val="single" w:sz="4" w:space="0" w:color="auto"/>
              <w:bottom w:val="single" w:sz="4" w:space="0" w:color="auto"/>
              <w:right w:val="single" w:sz="4" w:space="0" w:color="auto"/>
            </w:tcBorders>
            <w:shd w:val="clear" w:color="auto" w:fill="auto"/>
            <w:vAlign w:val="center"/>
          </w:tcPr>
          <w:p w:rsidR="00553FC2" w:rsidRPr="002152E4" w:rsidRDefault="00553FC2" w:rsidP="00553FC2">
            <w:pPr>
              <w:rPr>
                <w:rFonts w:cs="Arial"/>
                <w:lang w:val="ro-RO" w:eastAsia="ro-RO"/>
              </w:rPr>
            </w:pPr>
            <w:r w:rsidRPr="002152E4">
              <w:rPr>
                <w:rFonts w:cs="Arial"/>
                <w:lang w:val="ro-RO" w:eastAsia="ro-RO"/>
              </w:rPr>
              <w:t>Judecatoria</w:t>
            </w:r>
            <w:r w:rsidR="0055185D" w:rsidRPr="002152E4">
              <w:rPr>
                <w:rFonts w:cs="Arial"/>
                <w:lang w:val="ro-RO" w:eastAsia="ro-RO"/>
              </w:rPr>
              <w:t xml:space="preserve"> </w:t>
            </w:r>
            <w:r w:rsidR="002152E4" w:rsidRPr="002152E4">
              <w:rPr>
                <w:rFonts w:cs="Arial"/>
                <w:lang w:val="ro-RO" w:eastAsia="ro-RO"/>
              </w:rPr>
              <w:t>Dragomireşti</w:t>
            </w:r>
          </w:p>
        </w:tc>
        <w:tc>
          <w:tcPr>
            <w:tcW w:w="2660" w:type="dxa"/>
            <w:tcBorders>
              <w:top w:val="nil"/>
              <w:left w:val="nil"/>
              <w:bottom w:val="single" w:sz="4" w:space="0" w:color="auto"/>
              <w:right w:val="single" w:sz="4" w:space="0" w:color="auto"/>
            </w:tcBorders>
            <w:shd w:val="clear" w:color="auto" w:fill="auto"/>
            <w:vAlign w:val="center"/>
          </w:tcPr>
          <w:p w:rsidR="00553FC2" w:rsidRPr="002152E4" w:rsidRDefault="00553FC2" w:rsidP="00553FC2">
            <w:pPr>
              <w:jc w:val="center"/>
              <w:rPr>
                <w:rFonts w:cs="Arial"/>
                <w:lang w:val="ro-RO" w:eastAsia="ro-RO"/>
              </w:rPr>
            </w:pPr>
            <w:r w:rsidRPr="002152E4">
              <w:rPr>
                <w:rFonts w:cs="Arial"/>
                <w:lang w:val="ro-RO" w:eastAsia="ro-RO"/>
              </w:rPr>
              <w:t>323</w:t>
            </w:r>
          </w:p>
        </w:tc>
      </w:tr>
      <w:tr w:rsidR="00553FC2" w:rsidRPr="002152E4" w:rsidTr="008A727F">
        <w:trPr>
          <w:trHeight w:val="315"/>
          <w:jc w:val="center"/>
        </w:trPr>
        <w:tc>
          <w:tcPr>
            <w:tcW w:w="3291" w:type="dxa"/>
            <w:tcBorders>
              <w:top w:val="nil"/>
              <w:left w:val="single" w:sz="4" w:space="0" w:color="auto"/>
              <w:bottom w:val="single" w:sz="4" w:space="0" w:color="auto"/>
              <w:right w:val="single" w:sz="4" w:space="0" w:color="auto"/>
            </w:tcBorders>
            <w:shd w:val="clear" w:color="auto" w:fill="auto"/>
            <w:vAlign w:val="center"/>
          </w:tcPr>
          <w:p w:rsidR="00553FC2" w:rsidRPr="002152E4" w:rsidRDefault="00553FC2" w:rsidP="00553FC2">
            <w:pPr>
              <w:rPr>
                <w:rFonts w:cs="Arial"/>
                <w:lang w:val="ro-RO" w:eastAsia="ro-RO"/>
              </w:rPr>
            </w:pPr>
            <w:r w:rsidRPr="002152E4">
              <w:rPr>
                <w:rFonts w:cs="Arial"/>
                <w:lang w:val="ro-RO" w:eastAsia="ro-RO"/>
              </w:rPr>
              <w:t xml:space="preserve">Judecatoria </w:t>
            </w:r>
            <w:r w:rsidR="0055185D" w:rsidRPr="002152E4">
              <w:rPr>
                <w:rFonts w:cs="Arial"/>
                <w:lang w:val="ro-RO" w:eastAsia="ro-RO"/>
              </w:rPr>
              <w:t>Baia De Arama</w:t>
            </w:r>
          </w:p>
        </w:tc>
        <w:tc>
          <w:tcPr>
            <w:tcW w:w="2660" w:type="dxa"/>
            <w:tcBorders>
              <w:top w:val="nil"/>
              <w:left w:val="nil"/>
              <w:bottom w:val="single" w:sz="4" w:space="0" w:color="auto"/>
              <w:right w:val="single" w:sz="4" w:space="0" w:color="auto"/>
            </w:tcBorders>
            <w:shd w:val="clear" w:color="auto" w:fill="auto"/>
            <w:vAlign w:val="center"/>
          </w:tcPr>
          <w:p w:rsidR="00553FC2" w:rsidRPr="002152E4" w:rsidRDefault="00553FC2" w:rsidP="00553FC2">
            <w:pPr>
              <w:jc w:val="center"/>
              <w:rPr>
                <w:rFonts w:cs="Arial"/>
                <w:lang w:val="ro-RO" w:eastAsia="ro-RO"/>
              </w:rPr>
            </w:pPr>
            <w:r w:rsidRPr="002152E4">
              <w:rPr>
                <w:rFonts w:cs="Arial"/>
                <w:lang w:val="ro-RO" w:eastAsia="ro-RO"/>
              </w:rPr>
              <w:t>313</w:t>
            </w:r>
          </w:p>
        </w:tc>
      </w:tr>
      <w:tr w:rsidR="00553FC2" w:rsidRPr="002152E4" w:rsidTr="008A727F">
        <w:trPr>
          <w:trHeight w:val="315"/>
          <w:jc w:val="center"/>
        </w:trPr>
        <w:tc>
          <w:tcPr>
            <w:tcW w:w="3291" w:type="dxa"/>
            <w:tcBorders>
              <w:top w:val="nil"/>
              <w:left w:val="single" w:sz="4" w:space="0" w:color="auto"/>
              <w:bottom w:val="single" w:sz="4" w:space="0" w:color="auto"/>
              <w:right w:val="single" w:sz="4" w:space="0" w:color="auto"/>
            </w:tcBorders>
            <w:shd w:val="clear" w:color="auto" w:fill="auto"/>
            <w:vAlign w:val="center"/>
          </w:tcPr>
          <w:p w:rsidR="00553FC2" w:rsidRPr="002152E4" w:rsidRDefault="00553FC2" w:rsidP="00553FC2">
            <w:pPr>
              <w:rPr>
                <w:rFonts w:cs="Arial"/>
                <w:lang w:val="ro-RO" w:eastAsia="ro-RO"/>
              </w:rPr>
            </w:pPr>
            <w:r w:rsidRPr="002152E4">
              <w:rPr>
                <w:rFonts w:cs="Arial"/>
                <w:lang w:val="ro-RO" w:eastAsia="ro-RO"/>
              </w:rPr>
              <w:t xml:space="preserve">Judecatoria </w:t>
            </w:r>
            <w:r w:rsidR="002152E4" w:rsidRPr="002152E4">
              <w:rPr>
                <w:rFonts w:cs="Arial"/>
                <w:lang w:val="ro-RO" w:eastAsia="ro-RO"/>
              </w:rPr>
              <w:t>Făget</w:t>
            </w:r>
          </w:p>
        </w:tc>
        <w:tc>
          <w:tcPr>
            <w:tcW w:w="2660" w:type="dxa"/>
            <w:tcBorders>
              <w:top w:val="nil"/>
              <w:left w:val="nil"/>
              <w:bottom w:val="single" w:sz="4" w:space="0" w:color="auto"/>
              <w:right w:val="single" w:sz="4" w:space="0" w:color="auto"/>
            </w:tcBorders>
            <w:shd w:val="clear" w:color="auto" w:fill="auto"/>
            <w:vAlign w:val="center"/>
          </w:tcPr>
          <w:p w:rsidR="00553FC2" w:rsidRPr="002152E4" w:rsidRDefault="00553FC2" w:rsidP="00553FC2">
            <w:pPr>
              <w:jc w:val="center"/>
              <w:rPr>
                <w:rFonts w:cs="Arial"/>
                <w:lang w:val="ro-RO" w:eastAsia="ro-RO"/>
              </w:rPr>
            </w:pPr>
            <w:r w:rsidRPr="002152E4">
              <w:rPr>
                <w:rFonts w:cs="Arial"/>
                <w:lang w:val="ro-RO" w:eastAsia="ro-RO"/>
              </w:rPr>
              <w:t>274</w:t>
            </w:r>
          </w:p>
        </w:tc>
      </w:tr>
      <w:tr w:rsidR="00553FC2" w:rsidRPr="002152E4" w:rsidTr="008A727F">
        <w:trPr>
          <w:trHeight w:val="315"/>
          <w:jc w:val="center"/>
        </w:trPr>
        <w:tc>
          <w:tcPr>
            <w:tcW w:w="3291" w:type="dxa"/>
            <w:tcBorders>
              <w:top w:val="nil"/>
              <w:left w:val="single" w:sz="4" w:space="0" w:color="auto"/>
              <w:bottom w:val="single" w:sz="4" w:space="0" w:color="auto"/>
              <w:right w:val="single" w:sz="4" w:space="0" w:color="auto"/>
            </w:tcBorders>
            <w:shd w:val="clear" w:color="auto" w:fill="auto"/>
            <w:vAlign w:val="center"/>
          </w:tcPr>
          <w:p w:rsidR="00553FC2" w:rsidRPr="002152E4" w:rsidRDefault="00553FC2" w:rsidP="00553FC2">
            <w:pPr>
              <w:rPr>
                <w:rFonts w:cs="Arial"/>
                <w:lang w:val="ro-RO" w:eastAsia="ro-RO"/>
              </w:rPr>
            </w:pPr>
            <w:r w:rsidRPr="002152E4">
              <w:rPr>
                <w:rFonts w:cs="Arial"/>
                <w:lang w:val="ro-RO" w:eastAsia="ro-RO"/>
              </w:rPr>
              <w:t xml:space="preserve">Judecatoria </w:t>
            </w:r>
            <w:r w:rsidR="002152E4" w:rsidRPr="002152E4">
              <w:rPr>
                <w:rFonts w:cs="Arial"/>
                <w:lang w:val="ro-RO" w:eastAsia="ro-RO"/>
              </w:rPr>
              <w:t>Întorsura</w:t>
            </w:r>
            <w:r w:rsidR="0055185D" w:rsidRPr="002152E4">
              <w:rPr>
                <w:rFonts w:cs="Arial"/>
                <w:lang w:val="ro-RO" w:eastAsia="ro-RO"/>
              </w:rPr>
              <w:t xml:space="preserve"> </w:t>
            </w:r>
            <w:r w:rsidR="002152E4" w:rsidRPr="002152E4">
              <w:rPr>
                <w:rFonts w:cs="Arial"/>
                <w:lang w:val="ro-RO" w:eastAsia="ro-RO"/>
              </w:rPr>
              <w:t>Buzăului</w:t>
            </w:r>
          </w:p>
        </w:tc>
        <w:tc>
          <w:tcPr>
            <w:tcW w:w="2660" w:type="dxa"/>
            <w:tcBorders>
              <w:top w:val="nil"/>
              <w:left w:val="nil"/>
              <w:bottom w:val="single" w:sz="4" w:space="0" w:color="auto"/>
              <w:right w:val="single" w:sz="4" w:space="0" w:color="auto"/>
            </w:tcBorders>
            <w:shd w:val="clear" w:color="auto" w:fill="auto"/>
            <w:vAlign w:val="center"/>
          </w:tcPr>
          <w:p w:rsidR="00553FC2" w:rsidRPr="002152E4" w:rsidRDefault="00553FC2" w:rsidP="00553FC2">
            <w:pPr>
              <w:jc w:val="center"/>
              <w:rPr>
                <w:rFonts w:cs="Arial"/>
                <w:lang w:val="ro-RO" w:eastAsia="ro-RO"/>
              </w:rPr>
            </w:pPr>
            <w:r w:rsidRPr="002152E4">
              <w:rPr>
                <w:rFonts w:cs="Arial"/>
                <w:lang w:val="ro-RO" w:eastAsia="ro-RO"/>
              </w:rPr>
              <w:t>228</w:t>
            </w:r>
          </w:p>
        </w:tc>
      </w:tr>
    </w:tbl>
    <w:p w:rsidR="000802D5" w:rsidRPr="002152E4" w:rsidRDefault="000802D5" w:rsidP="00671163">
      <w:pPr>
        <w:pStyle w:val="AddParagraf"/>
      </w:pPr>
      <w:r w:rsidRPr="002152E4">
        <w:t xml:space="preserve"> Sub aspectul încărcăturii, la nivelul instanţelor militare situaţia se prezintă după cum urmează:</w:t>
      </w:r>
    </w:p>
    <w:tbl>
      <w:tblPr>
        <w:tblW w:w="7070" w:type="dxa"/>
        <w:jc w:val="center"/>
        <w:tblLook w:val="0000" w:firstRow="0" w:lastRow="0" w:firstColumn="0" w:lastColumn="0" w:noHBand="0" w:noVBand="0"/>
      </w:tblPr>
      <w:tblGrid>
        <w:gridCol w:w="3944"/>
        <w:gridCol w:w="1508"/>
        <w:gridCol w:w="1618"/>
      </w:tblGrid>
      <w:tr w:rsidR="00E0391C" w:rsidRPr="002152E4" w:rsidTr="00C042A5">
        <w:trPr>
          <w:trHeight w:val="315"/>
          <w:jc w:val="center"/>
        </w:trPr>
        <w:tc>
          <w:tcPr>
            <w:tcW w:w="3944" w:type="dxa"/>
            <w:tcBorders>
              <w:top w:val="single" w:sz="4" w:space="0" w:color="auto"/>
              <w:left w:val="single" w:sz="4" w:space="0" w:color="auto"/>
              <w:bottom w:val="single" w:sz="4" w:space="0" w:color="auto"/>
              <w:right w:val="single" w:sz="4" w:space="0" w:color="auto"/>
            </w:tcBorders>
            <w:shd w:val="clear" w:color="auto" w:fill="99CCFF"/>
            <w:vAlign w:val="center"/>
          </w:tcPr>
          <w:p w:rsidR="00E0391C" w:rsidRPr="002152E4" w:rsidRDefault="00E0391C" w:rsidP="00114FD5">
            <w:pPr>
              <w:jc w:val="center"/>
              <w:rPr>
                <w:rFonts w:ascii="Cambria" w:hAnsi="Cambria"/>
                <w:b/>
                <w:bCs/>
                <w:lang w:val="ro-RO"/>
              </w:rPr>
            </w:pPr>
            <w:bookmarkStart w:id="48" w:name="_Toc411333484"/>
            <w:bookmarkStart w:id="49" w:name="_Toc411429419"/>
            <w:r w:rsidRPr="002152E4">
              <w:rPr>
                <w:rFonts w:ascii="Cambria" w:hAnsi="Cambria"/>
                <w:b/>
                <w:bCs/>
                <w:lang w:val="ro-RO"/>
              </w:rPr>
              <w:t>Instanţa</w:t>
            </w:r>
          </w:p>
        </w:tc>
        <w:tc>
          <w:tcPr>
            <w:tcW w:w="1508" w:type="dxa"/>
            <w:tcBorders>
              <w:top w:val="single" w:sz="4" w:space="0" w:color="auto"/>
              <w:left w:val="nil"/>
              <w:bottom w:val="single" w:sz="4" w:space="0" w:color="auto"/>
              <w:right w:val="single" w:sz="4" w:space="0" w:color="auto"/>
            </w:tcBorders>
            <w:shd w:val="clear" w:color="auto" w:fill="99CCFF"/>
            <w:vAlign w:val="center"/>
          </w:tcPr>
          <w:p w:rsidR="00E0391C" w:rsidRPr="002152E4" w:rsidRDefault="00E0391C" w:rsidP="00114FD5">
            <w:pPr>
              <w:jc w:val="center"/>
              <w:rPr>
                <w:rFonts w:ascii="Cambria" w:hAnsi="Cambria"/>
                <w:b/>
                <w:bCs/>
                <w:lang w:val="ro-RO"/>
              </w:rPr>
            </w:pPr>
            <w:r w:rsidRPr="002152E4">
              <w:rPr>
                <w:rFonts w:ascii="Cambria" w:hAnsi="Cambria"/>
                <w:b/>
                <w:bCs/>
                <w:lang w:val="ro-RO"/>
              </w:rPr>
              <w:t>Încărcătura pe schemă</w:t>
            </w:r>
          </w:p>
        </w:tc>
        <w:tc>
          <w:tcPr>
            <w:tcW w:w="1618" w:type="dxa"/>
            <w:tcBorders>
              <w:top w:val="single" w:sz="4" w:space="0" w:color="auto"/>
              <w:left w:val="nil"/>
              <w:bottom w:val="single" w:sz="4" w:space="0" w:color="auto"/>
              <w:right w:val="single" w:sz="4" w:space="0" w:color="auto"/>
            </w:tcBorders>
            <w:shd w:val="clear" w:color="auto" w:fill="99CCFF"/>
            <w:vAlign w:val="center"/>
          </w:tcPr>
          <w:p w:rsidR="00E0391C" w:rsidRPr="002152E4" w:rsidRDefault="00E0391C" w:rsidP="00114FD5">
            <w:pPr>
              <w:jc w:val="center"/>
              <w:rPr>
                <w:rFonts w:ascii="Cambria" w:hAnsi="Cambria"/>
                <w:b/>
                <w:bCs/>
                <w:lang w:val="ro-RO"/>
              </w:rPr>
            </w:pPr>
            <w:r w:rsidRPr="002152E4">
              <w:rPr>
                <w:rFonts w:ascii="Cambria" w:hAnsi="Cambria"/>
                <w:b/>
                <w:bCs/>
                <w:lang w:val="ro-RO"/>
              </w:rPr>
              <w:t>Încărcătura pe judecător</w:t>
            </w:r>
          </w:p>
        </w:tc>
      </w:tr>
      <w:tr w:rsidR="00E0391C" w:rsidRPr="002152E4" w:rsidTr="00E0391C">
        <w:trPr>
          <w:trHeight w:val="315"/>
          <w:jc w:val="center"/>
        </w:trPr>
        <w:tc>
          <w:tcPr>
            <w:tcW w:w="3944" w:type="dxa"/>
            <w:tcBorders>
              <w:top w:val="single" w:sz="4" w:space="0" w:color="auto"/>
              <w:left w:val="single" w:sz="4" w:space="0" w:color="auto"/>
              <w:bottom w:val="single" w:sz="4" w:space="0" w:color="auto"/>
              <w:right w:val="single" w:sz="4" w:space="0" w:color="auto"/>
            </w:tcBorders>
            <w:shd w:val="clear" w:color="auto" w:fill="auto"/>
            <w:vAlign w:val="center"/>
          </w:tcPr>
          <w:p w:rsidR="00E0391C" w:rsidRPr="002152E4" w:rsidRDefault="00E0391C" w:rsidP="00114FD5">
            <w:pPr>
              <w:rPr>
                <w:rFonts w:ascii="Cambria" w:hAnsi="Cambria" w:cs="Arial"/>
                <w:lang w:val="ro-RO" w:eastAsia="ro-RO"/>
              </w:rPr>
            </w:pPr>
            <w:r w:rsidRPr="002152E4">
              <w:rPr>
                <w:rFonts w:ascii="Cambria" w:hAnsi="Cambria" w:cs="Arial"/>
                <w:lang w:val="ro-RO" w:eastAsia="ro-RO"/>
              </w:rPr>
              <w:t>Tribunalul Militar</w:t>
            </w:r>
            <w:r w:rsidR="00745D41" w:rsidRPr="002152E4">
              <w:rPr>
                <w:rFonts w:ascii="Cambria" w:hAnsi="Cambria" w:cs="Arial"/>
                <w:lang w:val="ro-RO" w:eastAsia="ro-RO"/>
              </w:rPr>
              <w:t xml:space="preserve"> </w:t>
            </w:r>
            <w:r w:rsidR="002152E4" w:rsidRPr="002152E4">
              <w:rPr>
                <w:rFonts w:ascii="Cambria" w:hAnsi="Cambria" w:cs="Arial"/>
                <w:lang w:val="ro-RO" w:eastAsia="ro-RO"/>
              </w:rPr>
              <w:t>Bucureşti</w:t>
            </w:r>
          </w:p>
        </w:tc>
        <w:tc>
          <w:tcPr>
            <w:tcW w:w="1508" w:type="dxa"/>
            <w:tcBorders>
              <w:top w:val="single" w:sz="4" w:space="0" w:color="auto"/>
              <w:left w:val="nil"/>
              <w:bottom w:val="single" w:sz="4" w:space="0" w:color="auto"/>
              <w:right w:val="single" w:sz="4" w:space="0" w:color="auto"/>
            </w:tcBorders>
            <w:shd w:val="clear" w:color="auto" w:fill="auto"/>
            <w:vAlign w:val="center"/>
          </w:tcPr>
          <w:p w:rsidR="00E0391C" w:rsidRPr="002152E4" w:rsidRDefault="00E0391C" w:rsidP="00114FD5">
            <w:pPr>
              <w:jc w:val="center"/>
              <w:rPr>
                <w:rFonts w:ascii="Cambria" w:hAnsi="Cambria" w:cs="Arial"/>
                <w:lang w:val="ro-RO" w:eastAsia="ro-RO"/>
              </w:rPr>
            </w:pPr>
            <w:r w:rsidRPr="002152E4">
              <w:rPr>
                <w:rFonts w:ascii="Cambria" w:hAnsi="Cambria" w:cs="Arial"/>
                <w:lang w:val="ro-RO" w:eastAsia="ro-RO"/>
              </w:rPr>
              <w:t>38</w:t>
            </w:r>
          </w:p>
        </w:tc>
        <w:tc>
          <w:tcPr>
            <w:tcW w:w="1618" w:type="dxa"/>
            <w:tcBorders>
              <w:top w:val="single" w:sz="4" w:space="0" w:color="auto"/>
              <w:left w:val="nil"/>
              <w:bottom w:val="single" w:sz="4" w:space="0" w:color="auto"/>
              <w:right w:val="single" w:sz="4" w:space="0" w:color="auto"/>
            </w:tcBorders>
            <w:shd w:val="clear" w:color="auto" w:fill="auto"/>
            <w:vAlign w:val="bottom"/>
          </w:tcPr>
          <w:p w:rsidR="00E0391C" w:rsidRPr="002152E4" w:rsidRDefault="00E0391C" w:rsidP="00114FD5">
            <w:pPr>
              <w:jc w:val="center"/>
              <w:rPr>
                <w:rFonts w:ascii="Cambria" w:hAnsi="Cambria" w:cs="Arial"/>
                <w:lang w:val="ro-RO" w:eastAsia="ro-RO"/>
              </w:rPr>
            </w:pPr>
            <w:r w:rsidRPr="002152E4">
              <w:rPr>
                <w:rFonts w:ascii="Cambria" w:hAnsi="Cambria" w:cs="Arial"/>
                <w:lang w:val="ro-RO" w:eastAsia="ro-RO"/>
              </w:rPr>
              <w:t>52</w:t>
            </w:r>
          </w:p>
        </w:tc>
      </w:tr>
      <w:tr w:rsidR="00E0391C" w:rsidRPr="002152E4" w:rsidTr="00E0391C">
        <w:trPr>
          <w:trHeight w:val="315"/>
          <w:jc w:val="center"/>
        </w:trPr>
        <w:tc>
          <w:tcPr>
            <w:tcW w:w="3944" w:type="dxa"/>
            <w:tcBorders>
              <w:top w:val="single" w:sz="4" w:space="0" w:color="auto"/>
              <w:left w:val="single" w:sz="4" w:space="0" w:color="auto"/>
              <w:bottom w:val="single" w:sz="4" w:space="0" w:color="auto"/>
              <w:right w:val="single" w:sz="4" w:space="0" w:color="auto"/>
            </w:tcBorders>
            <w:shd w:val="clear" w:color="auto" w:fill="auto"/>
            <w:vAlign w:val="center"/>
          </w:tcPr>
          <w:p w:rsidR="00E0391C" w:rsidRPr="002152E4" w:rsidRDefault="00E0391C" w:rsidP="00E0391C">
            <w:pPr>
              <w:rPr>
                <w:rFonts w:ascii="Cambria" w:hAnsi="Cambria" w:cs="Arial"/>
                <w:lang w:val="ro-RO" w:eastAsia="ro-RO"/>
              </w:rPr>
            </w:pPr>
            <w:r w:rsidRPr="002152E4">
              <w:rPr>
                <w:rFonts w:ascii="Cambria" w:hAnsi="Cambria" w:cs="Arial"/>
                <w:lang w:val="ro-RO" w:eastAsia="ro-RO"/>
              </w:rPr>
              <w:t xml:space="preserve">Tribunalul Militar </w:t>
            </w:r>
            <w:r w:rsidR="00745D41" w:rsidRPr="002152E4">
              <w:rPr>
                <w:rFonts w:ascii="Cambria" w:hAnsi="Cambria" w:cs="Arial"/>
                <w:lang w:val="ro-RO" w:eastAsia="ro-RO"/>
              </w:rPr>
              <w:t>Cluj-Napoca</w:t>
            </w:r>
          </w:p>
        </w:tc>
        <w:tc>
          <w:tcPr>
            <w:tcW w:w="1508" w:type="dxa"/>
            <w:tcBorders>
              <w:top w:val="single" w:sz="4" w:space="0" w:color="auto"/>
              <w:left w:val="nil"/>
              <w:bottom w:val="single" w:sz="4" w:space="0" w:color="auto"/>
              <w:right w:val="single" w:sz="4" w:space="0" w:color="auto"/>
            </w:tcBorders>
            <w:shd w:val="clear" w:color="auto" w:fill="auto"/>
            <w:vAlign w:val="center"/>
          </w:tcPr>
          <w:p w:rsidR="00E0391C" w:rsidRPr="002152E4" w:rsidRDefault="00E0391C" w:rsidP="00E0391C">
            <w:pPr>
              <w:jc w:val="center"/>
              <w:rPr>
                <w:rFonts w:ascii="Cambria" w:hAnsi="Cambria" w:cs="Arial"/>
                <w:lang w:val="ro-RO" w:eastAsia="ro-RO"/>
              </w:rPr>
            </w:pPr>
            <w:r w:rsidRPr="002152E4">
              <w:rPr>
                <w:rFonts w:ascii="Cambria" w:hAnsi="Cambria" w:cs="Arial"/>
                <w:lang w:val="ro-RO" w:eastAsia="ro-RO"/>
              </w:rPr>
              <w:t>36</w:t>
            </w:r>
          </w:p>
        </w:tc>
        <w:tc>
          <w:tcPr>
            <w:tcW w:w="1618" w:type="dxa"/>
            <w:tcBorders>
              <w:top w:val="single" w:sz="4" w:space="0" w:color="auto"/>
              <w:left w:val="nil"/>
              <w:bottom w:val="single" w:sz="4" w:space="0" w:color="auto"/>
              <w:right w:val="single" w:sz="4" w:space="0" w:color="auto"/>
            </w:tcBorders>
            <w:shd w:val="clear" w:color="auto" w:fill="auto"/>
            <w:vAlign w:val="bottom"/>
          </w:tcPr>
          <w:p w:rsidR="00E0391C" w:rsidRPr="002152E4" w:rsidRDefault="00E0391C" w:rsidP="00E0391C">
            <w:pPr>
              <w:jc w:val="center"/>
              <w:rPr>
                <w:rFonts w:ascii="Cambria" w:hAnsi="Cambria" w:cs="Arial"/>
                <w:lang w:val="ro-RO" w:eastAsia="ro-RO"/>
              </w:rPr>
            </w:pPr>
            <w:r w:rsidRPr="002152E4">
              <w:rPr>
                <w:rFonts w:ascii="Cambria" w:hAnsi="Cambria" w:cs="Arial"/>
                <w:lang w:val="ro-RO" w:eastAsia="ro-RO"/>
              </w:rPr>
              <w:t>37</w:t>
            </w:r>
          </w:p>
        </w:tc>
      </w:tr>
      <w:tr w:rsidR="00E0391C" w:rsidRPr="002152E4" w:rsidTr="00E0391C">
        <w:trPr>
          <w:trHeight w:val="315"/>
          <w:jc w:val="center"/>
        </w:trPr>
        <w:tc>
          <w:tcPr>
            <w:tcW w:w="3944" w:type="dxa"/>
            <w:tcBorders>
              <w:top w:val="nil"/>
              <w:left w:val="single" w:sz="4" w:space="0" w:color="auto"/>
              <w:bottom w:val="single" w:sz="4" w:space="0" w:color="auto"/>
              <w:right w:val="single" w:sz="4" w:space="0" w:color="auto"/>
            </w:tcBorders>
            <w:shd w:val="clear" w:color="auto" w:fill="auto"/>
            <w:vAlign w:val="center"/>
          </w:tcPr>
          <w:p w:rsidR="00E0391C" w:rsidRPr="002152E4" w:rsidRDefault="00E0391C" w:rsidP="00E0391C">
            <w:pPr>
              <w:rPr>
                <w:rFonts w:ascii="Cambria" w:hAnsi="Cambria" w:cs="Arial"/>
                <w:lang w:val="ro-RO" w:eastAsia="ro-RO"/>
              </w:rPr>
            </w:pPr>
            <w:r w:rsidRPr="002152E4">
              <w:rPr>
                <w:rFonts w:ascii="Cambria" w:hAnsi="Cambria" w:cs="Arial"/>
                <w:lang w:val="ro-RO" w:eastAsia="ro-RO"/>
              </w:rPr>
              <w:t xml:space="preserve">Tribunalul Militar </w:t>
            </w:r>
            <w:r w:rsidR="002152E4" w:rsidRPr="002152E4">
              <w:rPr>
                <w:rFonts w:ascii="Cambria" w:hAnsi="Cambria" w:cs="Arial"/>
                <w:lang w:val="ro-RO" w:eastAsia="ro-RO"/>
              </w:rPr>
              <w:t>Iaşi</w:t>
            </w:r>
          </w:p>
        </w:tc>
        <w:tc>
          <w:tcPr>
            <w:tcW w:w="1508" w:type="dxa"/>
            <w:tcBorders>
              <w:top w:val="nil"/>
              <w:left w:val="nil"/>
              <w:bottom w:val="single" w:sz="4" w:space="0" w:color="auto"/>
              <w:right w:val="single" w:sz="4" w:space="0" w:color="auto"/>
            </w:tcBorders>
            <w:shd w:val="clear" w:color="auto" w:fill="auto"/>
            <w:vAlign w:val="center"/>
          </w:tcPr>
          <w:p w:rsidR="00E0391C" w:rsidRPr="002152E4" w:rsidRDefault="00E0391C" w:rsidP="00E0391C">
            <w:pPr>
              <w:jc w:val="center"/>
              <w:rPr>
                <w:rFonts w:ascii="Cambria" w:hAnsi="Cambria" w:cs="Arial"/>
                <w:lang w:val="ro-RO" w:eastAsia="ro-RO"/>
              </w:rPr>
            </w:pPr>
            <w:r w:rsidRPr="002152E4">
              <w:rPr>
                <w:rFonts w:ascii="Cambria" w:hAnsi="Cambria" w:cs="Arial"/>
                <w:lang w:val="ro-RO" w:eastAsia="ro-RO"/>
              </w:rPr>
              <w:t>46</w:t>
            </w:r>
          </w:p>
        </w:tc>
        <w:tc>
          <w:tcPr>
            <w:tcW w:w="1618" w:type="dxa"/>
            <w:tcBorders>
              <w:top w:val="nil"/>
              <w:left w:val="nil"/>
              <w:bottom w:val="single" w:sz="4" w:space="0" w:color="auto"/>
              <w:right w:val="single" w:sz="4" w:space="0" w:color="auto"/>
            </w:tcBorders>
            <w:shd w:val="clear" w:color="auto" w:fill="auto"/>
            <w:vAlign w:val="bottom"/>
          </w:tcPr>
          <w:p w:rsidR="00E0391C" w:rsidRPr="002152E4" w:rsidRDefault="00E0391C" w:rsidP="00E0391C">
            <w:pPr>
              <w:jc w:val="center"/>
              <w:rPr>
                <w:rFonts w:ascii="Cambria" w:hAnsi="Cambria" w:cs="Arial"/>
                <w:lang w:val="ro-RO" w:eastAsia="ro-RO"/>
              </w:rPr>
            </w:pPr>
            <w:r w:rsidRPr="002152E4">
              <w:rPr>
                <w:rFonts w:ascii="Cambria" w:hAnsi="Cambria" w:cs="Arial"/>
                <w:lang w:val="ro-RO" w:eastAsia="ro-RO"/>
              </w:rPr>
              <w:t>92</w:t>
            </w:r>
          </w:p>
        </w:tc>
      </w:tr>
      <w:tr w:rsidR="00E0391C" w:rsidRPr="002152E4" w:rsidTr="00E0391C">
        <w:trPr>
          <w:trHeight w:val="285"/>
          <w:jc w:val="center"/>
        </w:trPr>
        <w:tc>
          <w:tcPr>
            <w:tcW w:w="3944" w:type="dxa"/>
            <w:tcBorders>
              <w:top w:val="nil"/>
              <w:left w:val="single" w:sz="4" w:space="0" w:color="auto"/>
              <w:bottom w:val="single" w:sz="4" w:space="0" w:color="auto"/>
              <w:right w:val="single" w:sz="4" w:space="0" w:color="auto"/>
            </w:tcBorders>
            <w:shd w:val="clear" w:color="auto" w:fill="auto"/>
            <w:vAlign w:val="center"/>
          </w:tcPr>
          <w:p w:rsidR="00E0391C" w:rsidRPr="002152E4" w:rsidRDefault="00E0391C" w:rsidP="00114FD5">
            <w:pPr>
              <w:rPr>
                <w:rFonts w:ascii="Cambria" w:hAnsi="Cambria" w:cs="Arial"/>
                <w:lang w:val="ro-RO" w:eastAsia="ro-RO"/>
              </w:rPr>
            </w:pPr>
            <w:r w:rsidRPr="002152E4">
              <w:rPr>
                <w:rFonts w:ascii="Cambria" w:hAnsi="Cambria" w:cs="Arial"/>
                <w:lang w:val="ro-RO" w:eastAsia="ro-RO"/>
              </w:rPr>
              <w:t>Tribunalul Militar</w:t>
            </w:r>
            <w:r w:rsidR="00745D41" w:rsidRPr="002152E4">
              <w:rPr>
                <w:rFonts w:ascii="Cambria" w:hAnsi="Cambria" w:cs="Arial"/>
                <w:lang w:val="ro-RO" w:eastAsia="ro-RO"/>
              </w:rPr>
              <w:t xml:space="preserve"> </w:t>
            </w:r>
            <w:r w:rsidR="002152E4" w:rsidRPr="002152E4">
              <w:rPr>
                <w:rFonts w:ascii="Cambria" w:hAnsi="Cambria" w:cs="Arial"/>
                <w:lang w:val="ro-RO" w:eastAsia="ro-RO"/>
              </w:rPr>
              <w:t>Timişoara</w:t>
            </w:r>
          </w:p>
        </w:tc>
        <w:tc>
          <w:tcPr>
            <w:tcW w:w="1508" w:type="dxa"/>
            <w:tcBorders>
              <w:top w:val="nil"/>
              <w:left w:val="nil"/>
              <w:bottom w:val="single" w:sz="4" w:space="0" w:color="auto"/>
              <w:right w:val="single" w:sz="4" w:space="0" w:color="auto"/>
            </w:tcBorders>
            <w:shd w:val="clear" w:color="auto" w:fill="auto"/>
            <w:vAlign w:val="center"/>
          </w:tcPr>
          <w:p w:rsidR="00E0391C" w:rsidRPr="002152E4" w:rsidRDefault="00E0391C" w:rsidP="00114FD5">
            <w:pPr>
              <w:jc w:val="center"/>
              <w:rPr>
                <w:rFonts w:ascii="Cambria" w:hAnsi="Cambria" w:cs="Arial"/>
                <w:lang w:val="ro-RO" w:eastAsia="ro-RO"/>
              </w:rPr>
            </w:pPr>
            <w:r w:rsidRPr="002152E4">
              <w:rPr>
                <w:rFonts w:ascii="Cambria" w:hAnsi="Cambria" w:cs="Arial"/>
                <w:lang w:val="ro-RO" w:eastAsia="ro-RO"/>
              </w:rPr>
              <w:t>42</w:t>
            </w:r>
          </w:p>
        </w:tc>
        <w:tc>
          <w:tcPr>
            <w:tcW w:w="1618" w:type="dxa"/>
            <w:tcBorders>
              <w:top w:val="nil"/>
              <w:left w:val="nil"/>
              <w:bottom w:val="single" w:sz="4" w:space="0" w:color="auto"/>
              <w:right w:val="single" w:sz="4" w:space="0" w:color="auto"/>
            </w:tcBorders>
            <w:shd w:val="clear" w:color="auto" w:fill="auto"/>
            <w:vAlign w:val="bottom"/>
          </w:tcPr>
          <w:p w:rsidR="00E0391C" w:rsidRPr="002152E4" w:rsidRDefault="00E0391C" w:rsidP="00114FD5">
            <w:pPr>
              <w:jc w:val="center"/>
              <w:rPr>
                <w:rFonts w:ascii="Cambria" w:hAnsi="Cambria" w:cs="Arial"/>
                <w:lang w:val="ro-RO" w:eastAsia="ro-RO"/>
              </w:rPr>
            </w:pPr>
            <w:r w:rsidRPr="002152E4">
              <w:rPr>
                <w:rFonts w:ascii="Cambria" w:hAnsi="Cambria" w:cs="Arial"/>
                <w:lang w:val="ro-RO" w:eastAsia="ro-RO"/>
              </w:rPr>
              <w:t>85</w:t>
            </w:r>
          </w:p>
        </w:tc>
      </w:tr>
      <w:tr w:rsidR="00E0391C" w:rsidRPr="002152E4" w:rsidTr="00E0391C">
        <w:trPr>
          <w:trHeight w:val="315"/>
          <w:jc w:val="center"/>
        </w:trPr>
        <w:tc>
          <w:tcPr>
            <w:tcW w:w="3944" w:type="dxa"/>
            <w:tcBorders>
              <w:top w:val="nil"/>
              <w:left w:val="single" w:sz="4" w:space="0" w:color="auto"/>
              <w:bottom w:val="single" w:sz="4" w:space="0" w:color="auto"/>
              <w:right w:val="single" w:sz="4" w:space="0" w:color="auto"/>
            </w:tcBorders>
            <w:shd w:val="clear" w:color="auto" w:fill="auto"/>
            <w:vAlign w:val="center"/>
          </w:tcPr>
          <w:p w:rsidR="00E0391C" w:rsidRPr="002152E4" w:rsidRDefault="00E0391C" w:rsidP="00E0391C">
            <w:pPr>
              <w:rPr>
                <w:rFonts w:ascii="Cambria" w:hAnsi="Cambria" w:cs="Arial"/>
                <w:lang w:val="ro-RO" w:eastAsia="ro-RO"/>
              </w:rPr>
            </w:pPr>
            <w:r w:rsidRPr="002152E4">
              <w:rPr>
                <w:rFonts w:ascii="Cambria" w:hAnsi="Cambria"/>
                <w:bCs/>
                <w:lang w:val="ro-RO"/>
              </w:rPr>
              <w:t>Curtea Militară de Apel</w:t>
            </w:r>
          </w:p>
        </w:tc>
        <w:tc>
          <w:tcPr>
            <w:tcW w:w="1508" w:type="dxa"/>
            <w:tcBorders>
              <w:top w:val="nil"/>
              <w:left w:val="nil"/>
              <w:bottom w:val="single" w:sz="4" w:space="0" w:color="auto"/>
              <w:right w:val="single" w:sz="4" w:space="0" w:color="auto"/>
            </w:tcBorders>
            <w:shd w:val="clear" w:color="auto" w:fill="auto"/>
            <w:vAlign w:val="center"/>
          </w:tcPr>
          <w:p w:rsidR="00E0391C" w:rsidRPr="002152E4" w:rsidRDefault="004F1642" w:rsidP="00E0391C">
            <w:pPr>
              <w:jc w:val="center"/>
              <w:rPr>
                <w:rFonts w:ascii="Cambria" w:hAnsi="Cambria" w:cs="Arial"/>
                <w:lang w:val="ro-RO" w:eastAsia="ro-RO"/>
              </w:rPr>
            </w:pPr>
            <w:r w:rsidRPr="002152E4">
              <w:rPr>
                <w:rFonts w:ascii="Cambria" w:hAnsi="Cambria" w:cs="Arial"/>
                <w:lang w:val="ro-RO" w:eastAsia="ro-RO"/>
              </w:rPr>
              <w:t>39</w:t>
            </w:r>
          </w:p>
        </w:tc>
        <w:tc>
          <w:tcPr>
            <w:tcW w:w="1618" w:type="dxa"/>
            <w:tcBorders>
              <w:top w:val="nil"/>
              <w:left w:val="nil"/>
              <w:bottom w:val="single" w:sz="4" w:space="0" w:color="auto"/>
              <w:right w:val="single" w:sz="4" w:space="0" w:color="auto"/>
            </w:tcBorders>
            <w:shd w:val="clear" w:color="auto" w:fill="auto"/>
            <w:vAlign w:val="bottom"/>
          </w:tcPr>
          <w:p w:rsidR="00E0391C" w:rsidRPr="002152E4" w:rsidRDefault="004F1642" w:rsidP="00E0391C">
            <w:pPr>
              <w:jc w:val="center"/>
              <w:rPr>
                <w:rFonts w:ascii="Cambria" w:hAnsi="Cambria" w:cs="Arial"/>
                <w:lang w:val="ro-RO" w:eastAsia="ro-RO"/>
              </w:rPr>
            </w:pPr>
            <w:r w:rsidRPr="002152E4">
              <w:rPr>
                <w:rFonts w:ascii="Cambria" w:hAnsi="Cambria" w:cs="Arial"/>
                <w:lang w:val="ro-RO" w:eastAsia="ro-RO"/>
              </w:rPr>
              <w:t>46</w:t>
            </w:r>
          </w:p>
        </w:tc>
      </w:tr>
    </w:tbl>
    <w:p w:rsidR="00E0391C" w:rsidRPr="002152E4" w:rsidRDefault="00E0391C" w:rsidP="00E0391C">
      <w:pPr>
        <w:rPr>
          <w:lang w:val="ro-RO"/>
        </w:rPr>
      </w:pPr>
    </w:p>
    <w:p w:rsidR="000802D5" w:rsidRPr="002152E4" w:rsidRDefault="00F90F50" w:rsidP="00F33778">
      <w:pPr>
        <w:pStyle w:val="Heading2"/>
      </w:pPr>
      <w:bookmarkStart w:id="50" w:name="_Toc475363402"/>
      <w:bookmarkStart w:id="51" w:name="_Toc486576525"/>
      <w:r w:rsidRPr="002152E4">
        <w:t>I</w:t>
      </w:r>
      <w:r w:rsidR="005C0FA1" w:rsidRPr="002152E4">
        <w:t>I</w:t>
      </w:r>
      <w:r w:rsidRPr="002152E4">
        <w:t xml:space="preserve">.3. </w:t>
      </w:r>
      <w:r w:rsidR="000802D5" w:rsidRPr="002152E4">
        <w:t>Operativitatea în soluţionarea cauzelor</w:t>
      </w:r>
      <w:bookmarkEnd w:id="48"/>
      <w:bookmarkEnd w:id="49"/>
      <w:bookmarkEnd w:id="50"/>
      <w:bookmarkEnd w:id="51"/>
      <w:r w:rsidR="000802D5" w:rsidRPr="002152E4">
        <w:t xml:space="preserve"> </w:t>
      </w:r>
    </w:p>
    <w:p w:rsidR="000802D5" w:rsidRPr="002152E4" w:rsidRDefault="000802D5" w:rsidP="00671163">
      <w:pPr>
        <w:pStyle w:val="AddParagraf"/>
      </w:pPr>
      <w:r w:rsidRPr="002152E4">
        <w:t>Numărul cauzelor soluţionat</w:t>
      </w:r>
      <w:r w:rsidR="005F1A9F" w:rsidRPr="002152E4">
        <w:t xml:space="preserve">e la nivel naţional în anul </w:t>
      </w:r>
      <w:smartTag w:uri="urn:schemas-microsoft-com:office:smarttags" w:element="metricconverter">
        <w:smartTagPr>
          <w:attr w:name="ProductID" w:val="2016 a"/>
        </w:smartTagPr>
        <w:r w:rsidR="005F1A9F" w:rsidRPr="002152E4">
          <w:t>2016</w:t>
        </w:r>
        <w:r w:rsidRPr="002152E4">
          <w:t xml:space="preserve"> a</w:t>
        </w:r>
      </w:smartTag>
      <w:r w:rsidRPr="002152E4">
        <w:t xml:space="preserve"> fost de </w:t>
      </w:r>
      <w:r w:rsidR="005F1A9F" w:rsidRPr="002152E4">
        <w:rPr>
          <w:b/>
        </w:rPr>
        <w:t>2.177.646</w:t>
      </w:r>
      <w:r w:rsidR="005F1A9F" w:rsidRPr="002152E4">
        <w:t xml:space="preserve"> cauze </w:t>
      </w:r>
      <w:r w:rsidRPr="002152E4">
        <w:t>(</w:t>
      </w:r>
      <w:r w:rsidR="00032CFB" w:rsidRPr="002152E4">
        <w:t xml:space="preserve">2.237.221 cauze </w:t>
      </w:r>
      <w:r w:rsidR="002A7EE7" w:rsidRPr="002152E4">
        <w:t>în 201</w:t>
      </w:r>
      <w:r w:rsidR="00032CFB" w:rsidRPr="002152E4">
        <w:t>5</w:t>
      </w:r>
      <w:r w:rsidRPr="002152E4">
        <w:t xml:space="preserve">), ceea ce reprezintă o </w:t>
      </w:r>
      <w:r w:rsidR="0099507E" w:rsidRPr="002152E4">
        <w:t xml:space="preserve">scădere </w:t>
      </w:r>
      <w:r w:rsidRPr="002152E4">
        <w:t xml:space="preserve">cu </w:t>
      </w:r>
      <w:r w:rsidR="002A7EE7" w:rsidRPr="002152E4">
        <w:rPr>
          <w:b/>
        </w:rPr>
        <w:t xml:space="preserve">59.575 </w:t>
      </w:r>
      <w:r w:rsidR="00A8028E" w:rsidRPr="002152E4">
        <w:t xml:space="preserve">cauze </w:t>
      </w:r>
      <w:r w:rsidR="0041189F" w:rsidRPr="002152E4">
        <w:t>ce corespunde unei scăderi</w:t>
      </w:r>
      <w:r w:rsidR="0099507E" w:rsidRPr="002152E4">
        <w:t xml:space="preserve"> cu </w:t>
      </w:r>
      <w:r w:rsidR="002A7EE7" w:rsidRPr="002152E4">
        <w:rPr>
          <w:b/>
        </w:rPr>
        <w:t>2,66</w:t>
      </w:r>
      <w:r w:rsidR="0099507E" w:rsidRPr="002152E4">
        <w:rPr>
          <w:b/>
        </w:rPr>
        <w:t xml:space="preserve"> %</w:t>
      </w:r>
      <w:r w:rsidR="002A7EE7" w:rsidRPr="002152E4">
        <w:t xml:space="preserve"> faţă de anul 2015</w:t>
      </w:r>
      <w:r w:rsidR="0099507E" w:rsidRPr="002152E4">
        <w:t xml:space="preserve">. </w:t>
      </w:r>
    </w:p>
    <w:p w:rsidR="008B7005" w:rsidRDefault="000802D5" w:rsidP="008B7005">
      <w:pPr>
        <w:pStyle w:val="AddParagraf"/>
      </w:pPr>
      <w:r w:rsidRPr="002152E4">
        <w:t xml:space="preserve">Numărul dosarelor nesoluţionate </w:t>
      </w:r>
      <w:r w:rsidR="00812204" w:rsidRPr="002152E4">
        <w:t xml:space="preserve">la sfârşitul anului </w:t>
      </w:r>
      <w:smartTag w:uri="urn:schemas-microsoft-com:office:smarttags" w:element="metricconverter">
        <w:smartTagPr>
          <w:attr w:name="ProductID" w:val="2016 a"/>
        </w:smartTagPr>
        <w:r w:rsidR="00812204" w:rsidRPr="002152E4">
          <w:t>2016</w:t>
        </w:r>
        <w:r w:rsidRPr="002152E4">
          <w:t xml:space="preserve"> a</w:t>
        </w:r>
      </w:smartTag>
      <w:r w:rsidRPr="002152E4">
        <w:t xml:space="preserve"> fost de </w:t>
      </w:r>
      <w:r w:rsidR="00812204" w:rsidRPr="002152E4">
        <w:rPr>
          <w:b/>
        </w:rPr>
        <w:t>817.630</w:t>
      </w:r>
      <w:r w:rsidR="00812204" w:rsidRPr="002152E4">
        <w:t xml:space="preserve"> </w:t>
      </w:r>
      <w:r w:rsidRPr="002152E4">
        <w:t>cauze (</w:t>
      </w:r>
      <w:r w:rsidR="00812204" w:rsidRPr="002152E4">
        <w:t>802.799</w:t>
      </w:r>
      <w:r w:rsidR="00812204" w:rsidRPr="002152E4">
        <w:rPr>
          <w:b/>
        </w:rPr>
        <w:t xml:space="preserve"> </w:t>
      </w:r>
      <w:r w:rsidR="00812204" w:rsidRPr="002152E4">
        <w:t>cauze în 2015</w:t>
      </w:r>
      <w:r w:rsidRPr="002152E4">
        <w:t>).</w:t>
      </w:r>
    </w:p>
    <w:p w:rsidR="008B7005" w:rsidRDefault="008B7005" w:rsidP="008B7005">
      <w:pPr>
        <w:pStyle w:val="AddParagraf"/>
      </w:pPr>
    </w:p>
    <w:p w:rsidR="008B7005" w:rsidRDefault="008B7005" w:rsidP="008B7005">
      <w:pPr>
        <w:pStyle w:val="AddParagraf"/>
      </w:pPr>
    </w:p>
    <w:p w:rsidR="008B7005" w:rsidRDefault="008B7005" w:rsidP="008B7005">
      <w:pPr>
        <w:pStyle w:val="AddParagraf"/>
      </w:pPr>
    </w:p>
    <w:p w:rsidR="008B7005" w:rsidRDefault="008B7005" w:rsidP="008B7005">
      <w:pPr>
        <w:pStyle w:val="AddParagraf"/>
      </w:pPr>
    </w:p>
    <w:p w:rsidR="008B7005" w:rsidRDefault="008B7005" w:rsidP="008B7005">
      <w:pPr>
        <w:pStyle w:val="AddParagraf"/>
      </w:pPr>
    </w:p>
    <w:p w:rsidR="000802D5" w:rsidRDefault="000802D5" w:rsidP="008B7005">
      <w:pPr>
        <w:pStyle w:val="AddParagraf"/>
        <w:rPr>
          <w:b/>
        </w:rPr>
      </w:pPr>
      <w:r w:rsidRPr="002152E4">
        <w:rPr>
          <w:b/>
        </w:rPr>
        <w:lastRenderedPageBreak/>
        <w:t>Operativitatea la nivelul instanţelor</w:t>
      </w:r>
    </w:p>
    <w:p w:rsidR="008B7005" w:rsidRPr="008B7005" w:rsidRDefault="008B7005" w:rsidP="008B7005">
      <w:pPr>
        <w:pStyle w:val="AddParagraf"/>
      </w:pPr>
      <w:r w:rsidRPr="007037CF">
        <w:rPr>
          <w:b/>
        </w:rPr>
        <w:fldChar w:fldCharType="begin"/>
      </w:r>
      <w:r w:rsidRPr="007037CF">
        <w:rPr>
          <w:b/>
        </w:rPr>
        <w:instrText xml:space="preserve"> LINK Excel.Sheet.8 "C:\\Documents and Settings\\bogdan.comaneci.CSM1909\\Desktop\\1 an 2016\\Grafice 2016.xls!Grafic 21![Grafice 2016.xls]Grafic 21 Diagramă 2" "" \a \p \* MERGEFORMAT </w:instrText>
      </w:r>
      <w:r w:rsidRPr="007037CF">
        <w:rPr>
          <w:b/>
        </w:rPr>
        <w:fldChar w:fldCharType="separate"/>
      </w:r>
      <w:r w:rsidR="00C742FD">
        <w:rPr>
          <w:b/>
        </w:rPr>
        <w:object w:dxaOrig="12898" w:dyaOrig="7990">
          <v:shape id="_x0000_i1055" type="#_x0000_t75" style="width:469.55pt;height:291.75pt">
            <v:imagedata r:id="rId66" o:title=""/>
          </v:shape>
        </w:object>
      </w:r>
      <w:r w:rsidRPr="007037CF">
        <w:rPr>
          <w:b/>
        </w:rPr>
        <w:fldChar w:fldCharType="end"/>
      </w:r>
    </w:p>
    <w:p w:rsidR="000802D5" w:rsidRPr="002152E4" w:rsidRDefault="00C8160A" w:rsidP="00C8160A">
      <w:pPr>
        <w:pStyle w:val="Heading3"/>
        <w:rPr>
          <w:rStyle w:val="Heading5Char"/>
          <w:b/>
          <w:bCs/>
          <w:i w:val="0"/>
          <w:iCs w:val="0"/>
          <w:sz w:val="24"/>
        </w:rPr>
      </w:pPr>
      <w:bookmarkStart w:id="52" w:name="_Toc411333485"/>
      <w:bookmarkStart w:id="53" w:name="_Toc411429420"/>
      <w:bookmarkStart w:id="54" w:name="_Toc475363403"/>
      <w:bookmarkStart w:id="55" w:name="_Toc486576526"/>
      <w:r w:rsidRPr="002152E4">
        <w:rPr>
          <w:rStyle w:val="Heading5Char"/>
          <w:b/>
          <w:bCs/>
          <w:i w:val="0"/>
          <w:iCs w:val="0"/>
          <w:sz w:val="24"/>
        </w:rPr>
        <w:t>II</w:t>
      </w:r>
      <w:r w:rsidR="00F90F50" w:rsidRPr="002152E4">
        <w:rPr>
          <w:rStyle w:val="Heading5Char"/>
          <w:b/>
          <w:bCs/>
          <w:i w:val="0"/>
          <w:iCs w:val="0"/>
          <w:sz w:val="24"/>
        </w:rPr>
        <w:t xml:space="preserve">.3.1. </w:t>
      </w:r>
      <w:r w:rsidR="000802D5" w:rsidRPr="002152E4">
        <w:rPr>
          <w:rStyle w:val="Heading5Char"/>
          <w:b/>
          <w:bCs/>
          <w:i w:val="0"/>
          <w:iCs w:val="0"/>
          <w:sz w:val="24"/>
        </w:rPr>
        <w:t>Operativitatea la nivelul ICCJ</w:t>
      </w:r>
      <w:bookmarkEnd w:id="52"/>
      <w:bookmarkEnd w:id="53"/>
      <w:bookmarkEnd w:id="54"/>
      <w:bookmarkEnd w:id="55"/>
      <w:r w:rsidR="000802D5" w:rsidRPr="002152E4">
        <w:rPr>
          <w:rStyle w:val="Heading5Char"/>
          <w:b/>
          <w:bCs/>
          <w:i w:val="0"/>
          <w:iCs w:val="0"/>
          <w:sz w:val="24"/>
        </w:rPr>
        <w:t xml:space="preserve"> </w:t>
      </w:r>
    </w:p>
    <w:p w:rsidR="000802D5" w:rsidRPr="002152E4" w:rsidRDefault="000802D5" w:rsidP="00671163">
      <w:pPr>
        <w:pStyle w:val="AddParagraf"/>
      </w:pPr>
      <w:r w:rsidRPr="002152E4">
        <w:t xml:space="preserve">Numărul cauzelor de soluţionat la nivelul </w:t>
      </w:r>
      <w:r w:rsidRPr="002152E4">
        <w:rPr>
          <w:b/>
          <w:bCs/>
        </w:rPr>
        <w:t>Înaltei Curţi de Casaţie şi Justiţie</w:t>
      </w:r>
      <w:r w:rsidR="005854CE" w:rsidRPr="002152E4">
        <w:t xml:space="preserve"> în anul </w:t>
      </w:r>
      <w:smartTag w:uri="urn:schemas-microsoft-com:office:smarttags" w:element="metricconverter">
        <w:smartTagPr>
          <w:attr w:name="ProductID" w:val="2016 a"/>
        </w:smartTagPr>
        <w:r w:rsidR="005854CE" w:rsidRPr="002152E4">
          <w:t>2016</w:t>
        </w:r>
        <w:r w:rsidRPr="002152E4">
          <w:t xml:space="preserve"> a</w:t>
        </w:r>
      </w:smartTag>
      <w:r w:rsidRPr="002152E4">
        <w:t xml:space="preserve"> fost de </w:t>
      </w:r>
      <w:r w:rsidR="005854CE" w:rsidRPr="002152E4">
        <w:rPr>
          <w:b/>
        </w:rPr>
        <w:t>34</w:t>
      </w:r>
      <w:r w:rsidRPr="002152E4">
        <w:rPr>
          <w:b/>
        </w:rPr>
        <w:t>.</w:t>
      </w:r>
      <w:r w:rsidR="005854CE" w:rsidRPr="002152E4">
        <w:rPr>
          <w:b/>
        </w:rPr>
        <w:t>443</w:t>
      </w:r>
      <w:r w:rsidRPr="002152E4">
        <w:t xml:space="preserve"> dosare, dintre acestea fiind soluţionate </w:t>
      </w:r>
      <w:r w:rsidRPr="002152E4">
        <w:rPr>
          <w:b/>
        </w:rPr>
        <w:t>1</w:t>
      </w:r>
      <w:r w:rsidR="005854CE" w:rsidRPr="002152E4">
        <w:rPr>
          <w:b/>
        </w:rPr>
        <w:t>9.26</w:t>
      </w:r>
      <w:r w:rsidR="009B0C12" w:rsidRPr="002152E4">
        <w:rPr>
          <w:b/>
        </w:rPr>
        <w:t>4</w:t>
      </w:r>
      <w:r w:rsidRPr="002152E4">
        <w:t xml:space="preserve"> cauze, rămânând un stoc final c</w:t>
      </w:r>
      <w:r w:rsidR="009B0C12" w:rsidRPr="002152E4">
        <w:t>e se va reporta pentru anul 201</w:t>
      </w:r>
      <w:r w:rsidR="005854CE" w:rsidRPr="002152E4">
        <w:t>7</w:t>
      </w:r>
      <w:r w:rsidRPr="002152E4">
        <w:t xml:space="preserve"> de</w:t>
      </w:r>
      <w:r w:rsidR="005854CE" w:rsidRPr="002152E4">
        <w:t xml:space="preserve"> </w:t>
      </w:r>
      <w:r w:rsidR="005854CE" w:rsidRPr="002152E4">
        <w:rPr>
          <w:b/>
        </w:rPr>
        <w:t xml:space="preserve">15.179 </w:t>
      </w:r>
      <w:r w:rsidRPr="002152E4">
        <w:t>dosare (</w:t>
      </w:r>
      <w:r w:rsidR="005854CE" w:rsidRPr="002152E4">
        <w:t>19.090</w:t>
      </w:r>
      <w:r w:rsidR="005854CE" w:rsidRPr="002152E4">
        <w:rPr>
          <w:b/>
        </w:rPr>
        <w:t xml:space="preserve"> </w:t>
      </w:r>
      <w:r w:rsidR="005854CE" w:rsidRPr="002152E4">
        <w:t>dosare în 2015</w:t>
      </w:r>
      <w:r w:rsidRPr="002152E4">
        <w:t xml:space="preserve">). </w:t>
      </w:r>
    </w:p>
    <w:p w:rsidR="000802D5" w:rsidRPr="002152E4" w:rsidRDefault="000802D5" w:rsidP="00671163">
      <w:pPr>
        <w:pStyle w:val="AddParagraf"/>
      </w:pPr>
      <w:r w:rsidRPr="002152E4">
        <w:t>Operativitatea în raport de volumul de a</w:t>
      </w:r>
      <w:r w:rsidR="00E703AA" w:rsidRPr="002152E4">
        <w:t>ctivitate la nivelul anului 2016</w:t>
      </w:r>
      <w:r w:rsidRPr="002152E4">
        <w:t xml:space="preserve"> pentru această instanţă a fost de </w:t>
      </w:r>
      <w:r w:rsidR="00E703AA" w:rsidRPr="002152E4">
        <w:rPr>
          <w:b/>
        </w:rPr>
        <w:t>56 %</w:t>
      </w:r>
      <w:r w:rsidR="00651C1B" w:rsidRPr="002152E4">
        <w:t xml:space="preserve"> (</w:t>
      </w:r>
      <w:r w:rsidR="00E703AA" w:rsidRPr="002152E4">
        <w:t>40 %</w:t>
      </w:r>
      <w:r w:rsidR="00E703AA" w:rsidRPr="002152E4">
        <w:rPr>
          <w:bCs/>
        </w:rPr>
        <w:t xml:space="preserve"> în anul 2015</w:t>
      </w:r>
      <w:r w:rsidR="00651C1B" w:rsidRPr="002152E4">
        <w:rPr>
          <w:b/>
          <w:bCs/>
        </w:rPr>
        <w:t>)</w:t>
      </w:r>
      <w:r w:rsidRPr="002152E4">
        <w:t>.</w:t>
      </w:r>
    </w:p>
    <w:p w:rsidR="00994E70" w:rsidRPr="002152E4" w:rsidRDefault="00994E70" w:rsidP="00994E70">
      <w:pPr>
        <w:pStyle w:val="AddParagraf"/>
      </w:pPr>
      <w:r w:rsidRPr="002152E4">
        <w:t xml:space="preserve">Operativitatea calculată ca raportul dintre dosarele soluţionate şi dosarele nou intrate a înregistrat în anul 2016 valoarea de </w:t>
      </w:r>
      <w:r w:rsidRPr="002152E4">
        <w:rPr>
          <w:b/>
        </w:rPr>
        <w:t>130</w:t>
      </w:r>
      <w:r w:rsidRPr="002152E4">
        <w:t xml:space="preserve"> </w:t>
      </w:r>
      <w:r w:rsidRPr="002152E4">
        <w:rPr>
          <w:b/>
        </w:rPr>
        <w:t>%</w:t>
      </w:r>
      <w:r w:rsidRPr="002152E4">
        <w:t xml:space="preserve">. </w:t>
      </w:r>
    </w:p>
    <w:p w:rsidR="00994E70" w:rsidRPr="002152E4" w:rsidRDefault="00994E70" w:rsidP="00994E70">
      <w:pPr>
        <w:pStyle w:val="AddParagraf"/>
      </w:pPr>
      <w:r w:rsidRPr="002152E4">
        <w:t xml:space="preserve">La nivelul </w:t>
      </w:r>
      <w:r w:rsidR="002152E4" w:rsidRPr="002152E4">
        <w:t>secțiilor</w:t>
      </w:r>
      <w:r w:rsidRPr="002152E4">
        <w:t>, distribuţia operativităţii în raport de cauzele nou intrate a fost următoarea (eficienţa în lichidarea stocurilor):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700"/>
      </w:tblGrid>
      <w:tr w:rsidR="00994E70" w:rsidRPr="002152E4" w:rsidTr="009A0F0F">
        <w:trPr>
          <w:jc w:val="center"/>
        </w:trPr>
        <w:tc>
          <w:tcPr>
            <w:tcW w:w="4320" w:type="dxa"/>
            <w:shd w:val="clear" w:color="auto" w:fill="99CCFF"/>
          </w:tcPr>
          <w:p w:rsidR="00994E70" w:rsidRPr="002152E4" w:rsidRDefault="00994E70" w:rsidP="008514CB">
            <w:pPr>
              <w:spacing w:line="360" w:lineRule="auto"/>
              <w:jc w:val="center"/>
              <w:rPr>
                <w:b/>
                <w:bCs/>
                <w:lang w:val="ro-RO"/>
              </w:rPr>
            </w:pPr>
            <w:r w:rsidRPr="002152E4">
              <w:rPr>
                <w:b/>
                <w:bCs/>
                <w:lang w:val="ro-RO"/>
              </w:rPr>
              <w:t>Secţia</w:t>
            </w:r>
          </w:p>
        </w:tc>
        <w:tc>
          <w:tcPr>
            <w:tcW w:w="2700" w:type="dxa"/>
            <w:shd w:val="clear" w:color="auto" w:fill="99CCFF"/>
          </w:tcPr>
          <w:p w:rsidR="00994E70" w:rsidRPr="002152E4" w:rsidRDefault="00994E70" w:rsidP="008514CB">
            <w:pPr>
              <w:spacing w:line="360" w:lineRule="auto"/>
              <w:jc w:val="center"/>
              <w:rPr>
                <w:b/>
                <w:bCs/>
                <w:lang w:val="ro-RO"/>
              </w:rPr>
            </w:pPr>
            <w:r w:rsidRPr="002152E4">
              <w:rPr>
                <w:rFonts w:cs="Arial"/>
                <w:b/>
                <w:bCs/>
                <w:lang w:val="ro-RO" w:eastAsia="ro-RO"/>
              </w:rPr>
              <w:t>Operativitatea (%)</w:t>
            </w:r>
          </w:p>
        </w:tc>
      </w:tr>
      <w:tr w:rsidR="00994E70" w:rsidRPr="002152E4" w:rsidTr="008514CB">
        <w:trPr>
          <w:jc w:val="center"/>
        </w:trPr>
        <w:tc>
          <w:tcPr>
            <w:tcW w:w="4320" w:type="dxa"/>
            <w:shd w:val="clear" w:color="auto" w:fill="auto"/>
          </w:tcPr>
          <w:p w:rsidR="00994E70" w:rsidRPr="002152E4" w:rsidRDefault="00994E70" w:rsidP="008514CB">
            <w:pPr>
              <w:spacing w:line="360" w:lineRule="auto"/>
              <w:jc w:val="both"/>
              <w:rPr>
                <w:lang w:val="ro-RO"/>
              </w:rPr>
            </w:pPr>
            <w:r w:rsidRPr="002152E4">
              <w:rPr>
                <w:lang w:val="ro-RO"/>
              </w:rPr>
              <w:t>Secţia I civilă</w:t>
            </w:r>
          </w:p>
        </w:tc>
        <w:tc>
          <w:tcPr>
            <w:tcW w:w="2700" w:type="dxa"/>
            <w:shd w:val="clear" w:color="auto" w:fill="auto"/>
          </w:tcPr>
          <w:p w:rsidR="00994E70" w:rsidRPr="002152E4" w:rsidRDefault="00994E70" w:rsidP="008514CB">
            <w:pPr>
              <w:spacing w:line="360" w:lineRule="auto"/>
              <w:jc w:val="center"/>
              <w:rPr>
                <w:b/>
                <w:lang w:val="ro-RO"/>
              </w:rPr>
            </w:pPr>
            <w:r w:rsidRPr="002152E4">
              <w:rPr>
                <w:b/>
                <w:lang w:val="ro-RO"/>
              </w:rPr>
              <w:t>104</w:t>
            </w:r>
          </w:p>
        </w:tc>
      </w:tr>
      <w:tr w:rsidR="00994E70" w:rsidRPr="002152E4" w:rsidTr="008514CB">
        <w:trPr>
          <w:jc w:val="center"/>
        </w:trPr>
        <w:tc>
          <w:tcPr>
            <w:tcW w:w="4320" w:type="dxa"/>
            <w:shd w:val="clear" w:color="auto" w:fill="auto"/>
          </w:tcPr>
          <w:p w:rsidR="00994E70" w:rsidRPr="002152E4" w:rsidRDefault="00994E70" w:rsidP="008514CB">
            <w:pPr>
              <w:spacing w:line="360" w:lineRule="auto"/>
              <w:jc w:val="both"/>
              <w:rPr>
                <w:lang w:val="ro-RO"/>
              </w:rPr>
            </w:pPr>
            <w:r w:rsidRPr="002152E4">
              <w:rPr>
                <w:lang w:val="ro-RO"/>
              </w:rPr>
              <w:t>Secţia a II - a civilă</w:t>
            </w:r>
          </w:p>
        </w:tc>
        <w:tc>
          <w:tcPr>
            <w:tcW w:w="2700" w:type="dxa"/>
            <w:shd w:val="clear" w:color="auto" w:fill="auto"/>
          </w:tcPr>
          <w:p w:rsidR="00994E70" w:rsidRPr="002152E4" w:rsidRDefault="00994E70" w:rsidP="008514CB">
            <w:pPr>
              <w:spacing w:line="360" w:lineRule="auto"/>
              <w:jc w:val="center"/>
              <w:rPr>
                <w:b/>
                <w:lang w:val="ro-RO"/>
              </w:rPr>
            </w:pPr>
            <w:r w:rsidRPr="002152E4">
              <w:rPr>
                <w:b/>
                <w:lang w:val="ro-RO"/>
              </w:rPr>
              <w:t>103</w:t>
            </w:r>
          </w:p>
        </w:tc>
      </w:tr>
      <w:tr w:rsidR="00994E70" w:rsidRPr="002152E4" w:rsidTr="00994E70">
        <w:trPr>
          <w:trHeight w:val="249"/>
          <w:jc w:val="center"/>
        </w:trPr>
        <w:tc>
          <w:tcPr>
            <w:tcW w:w="4320" w:type="dxa"/>
            <w:shd w:val="clear" w:color="auto" w:fill="auto"/>
          </w:tcPr>
          <w:p w:rsidR="00994E70" w:rsidRPr="002152E4" w:rsidRDefault="00994E70" w:rsidP="008514CB">
            <w:pPr>
              <w:spacing w:line="360" w:lineRule="auto"/>
              <w:jc w:val="both"/>
              <w:rPr>
                <w:lang w:val="ro-RO"/>
              </w:rPr>
            </w:pPr>
            <w:r w:rsidRPr="002152E4">
              <w:rPr>
                <w:lang w:val="ro-RO"/>
              </w:rPr>
              <w:t xml:space="preserve">Secţia penală </w:t>
            </w:r>
          </w:p>
        </w:tc>
        <w:tc>
          <w:tcPr>
            <w:tcW w:w="2700" w:type="dxa"/>
            <w:shd w:val="clear" w:color="auto" w:fill="auto"/>
          </w:tcPr>
          <w:p w:rsidR="00994E70" w:rsidRPr="002152E4" w:rsidRDefault="00994E70" w:rsidP="008514CB">
            <w:pPr>
              <w:spacing w:line="360" w:lineRule="auto"/>
              <w:jc w:val="center"/>
              <w:rPr>
                <w:b/>
                <w:lang w:val="ro-RO"/>
              </w:rPr>
            </w:pPr>
            <w:r w:rsidRPr="002152E4">
              <w:rPr>
                <w:b/>
                <w:lang w:val="ro-RO"/>
              </w:rPr>
              <w:t>223</w:t>
            </w:r>
          </w:p>
        </w:tc>
      </w:tr>
      <w:tr w:rsidR="00994E70" w:rsidRPr="002152E4" w:rsidTr="008514CB">
        <w:trPr>
          <w:jc w:val="center"/>
        </w:trPr>
        <w:tc>
          <w:tcPr>
            <w:tcW w:w="4320" w:type="dxa"/>
            <w:shd w:val="clear" w:color="auto" w:fill="auto"/>
          </w:tcPr>
          <w:p w:rsidR="00994E70" w:rsidRPr="002152E4" w:rsidRDefault="00994E70" w:rsidP="008514CB">
            <w:pPr>
              <w:spacing w:line="360" w:lineRule="auto"/>
              <w:jc w:val="both"/>
              <w:rPr>
                <w:lang w:val="ro-RO"/>
              </w:rPr>
            </w:pPr>
            <w:r w:rsidRPr="002152E4">
              <w:rPr>
                <w:lang w:val="ro-RO"/>
              </w:rPr>
              <w:t>Secţia de contencios administrativ şi fiscal</w:t>
            </w:r>
          </w:p>
        </w:tc>
        <w:tc>
          <w:tcPr>
            <w:tcW w:w="2700" w:type="dxa"/>
            <w:shd w:val="clear" w:color="auto" w:fill="auto"/>
          </w:tcPr>
          <w:p w:rsidR="00994E70" w:rsidRPr="002152E4" w:rsidRDefault="00994E70" w:rsidP="008514CB">
            <w:pPr>
              <w:spacing w:line="360" w:lineRule="auto"/>
              <w:jc w:val="center"/>
              <w:rPr>
                <w:b/>
                <w:lang w:val="ro-RO"/>
              </w:rPr>
            </w:pPr>
            <w:r w:rsidRPr="002152E4">
              <w:rPr>
                <w:b/>
                <w:lang w:val="ro-RO"/>
              </w:rPr>
              <w:t>88</w:t>
            </w:r>
          </w:p>
        </w:tc>
      </w:tr>
    </w:tbl>
    <w:p w:rsidR="003C6021" w:rsidRPr="002152E4" w:rsidRDefault="003C6021" w:rsidP="00D04B80">
      <w:pPr>
        <w:pStyle w:val="Heading4"/>
      </w:pPr>
      <w:bookmarkStart w:id="56" w:name="_Toc127736445"/>
      <w:bookmarkStart w:id="57" w:name="_Toc128547400"/>
      <w:bookmarkStart w:id="58" w:name="_Toc411333486"/>
      <w:bookmarkStart w:id="59" w:name="_Toc411429421"/>
    </w:p>
    <w:p w:rsidR="000802D5" w:rsidRPr="002152E4" w:rsidRDefault="00F90F50" w:rsidP="00FB03E2">
      <w:pPr>
        <w:pStyle w:val="Heading3"/>
      </w:pPr>
      <w:bookmarkStart w:id="60" w:name="_Toc475363404"/>
      <w:bookmarkStart w:id="61" w:name="_Toc486576527"/>
      <w:r w:rsidRPr="002152E4">
        <w:t>I</w:t>
      </w:r>
      <w:r w:rsidR="00ED0D65" w:rsidRPr="002152E4">
        <w:t>I</w:t>
      </w:r>
      <w:r w:rsidRPr="002152E4">
        <w:t xml:space="preserve">.3.2. </w:t>
      </w:r>
      <w:r w:rsidR="000802D5" w:rsidRPr="002152E4">
        <w:t>Operativitatea la curţile de apel</w:t>
      </w:r>
      <w:bookmarkEnd w:id="56"/>
      <w:bookmarkEnd w:id="57"/>
      <w:bookmarkEnd w:id="58"/>
      <w:bookmarkEnd w:id="59"/>
      <w:bookmarkEnd w:id="60"/>
      <w:bookmarkEnd w:id="61"/>
      <w:r w:rsidR="000802D5" w:rsidRPr="002152E4">
        <w:t xml:space="preserve"> </w:t>
      </w:r>
    </w:p>
    <w:p w:rsidR="000802D5" w:rsidRPr="002152E4" w:rsidRDefault="000802D5" w:rsidP="00671163">
      <w:pPr>
        <w:pStyle w:val="AddParagraf"/>
      </w:pPr>
      <w:r w:rsidRPr="002152E4">
        <w:t xml:space="preserve">Din cele </w:t>
      </w:r>
      <w:r w:rsidR="00B011AB" w:rsidRPr="002152E4">
        <w:rPr>
          <w:b/>
        </w:rPr>
        <w:t>203.974</w:t>
      </w:r>
      <w:r w:rsidRPr="002152E4">
        <w:t xml:space="preserve"> cauze înregistrate pe rol</w:t>
      </w:r>
      <w:r w:rsidR="00B011AB" w:rsidRPr="002152E4">
        <w:t>ul curţilor de apel în anul 2016</w:t>
      </w:r>
      <w:r w:rsidRPr="002152E4">
        <w:t xml:space="preserve">, au fost soluţionate </w:t>
      </w:r>
      <w:r w:rsidR="00530134" w:rsidRPr="002152E4">
        <w:rPr>
          <w:b/>
        </w:rPr>
        <w:t>1</w:t>
      </w:r>
      <w:r w:rsidR="00B011AB" w:rsidRPr="002152E4">
        <w:rPr>
          <w:b/>
        </w:rPr>
        <w:t>54.315</w:t>
      </w:r>
      <w:r w:rsidRPr="002152E4">
        <w:t xml:space="preserve"> dosare, rămânând un stoc de</w:t>
      </w:r>
      <w:r w:rsidR="00B011AB" w:rsidRPr="002152E4">
        <w:t xml:space="preserve"> </w:t>
      </w:r>
      <w:r w:rsidR="00B011AB" w:rsidRPr="002152E4">
        <w:rPr>
          <w:b/>
        </w:rPr>
        <w:t>49.659</w:t>
      </w:r>
      <w:r w:rsidR="00B011AB" w:rsidRPr="002152E4">
        <w:t xml:space="preserve"> </w:t>
      </w:r>
      <w:r w:rsidRPr="002152E4">
        <w:t>cauze (</w:t>
      </w:r>
      <w:r w:rsidR="00B011AB" w:rsidRPr="002152E4">
        <w:t>52.216 cauze în 2015</w:t>
      </w:r>
      <w:r w:rsidRPr="002152E4">
        <w:t>).</w:t>
      </w:r>
    </w:p>
    <w:p w:rsidR="00C47337" w:rsidRPr="002152E4" w:rsidRDefault="000802D5" w:rsidP="00815B60">
      <w:pPr>
        <w:pStyle w:val="AddParagraf"/>
      </w:pPr>
      <w:r w:rsidRPr="002152E4">
        <w:lastRenderedPageBreak/>
        <w:t xml:space="preserve">În procente, operativitatea medie la nivelul curţilor calculată ca raportul dintre dosarele soluţionate şi volum, a fost de </w:t>
      </w:r>
      <w:r w:rsidR="00ED2A21" w:rsidRPr="002152E4">
        <w:rPr>
          <w:b/>
        </w:rPr>
        <w:t>7</w:t>
      </w:r>
      <w:r w:rsidR="00FB4DFF" w:rsidRPr="002152E4">
        <w:rPr>
          <w:b/>
        </w:rPr>
        <w:t>8</w:t>
      </w:r>
      <w:r w:rsidRPr="002152E4">
        <w:rPr>
          <w:b/>
        </w:rPr>
        <w:t xml:space="preserve"> %</w:t>
      </w:r>
      <w:r w:rsidRPr="002152E4">
        <w:t xml:space="preserve">, </w:t>
      </w:r>
      <w:r w:rsidR="00ED2A21" w:rsidRPr="002152E4">
        <w:t>cu un procent mai m</w:t>
      </w:r>
      <w:r w:rsidR="00FB4DFF" w:rsidRPr="002152E4">
        <w:t>ică</w:t>
      </w:r>
      <w:r w:rsidR="00ED2A21" w:rsidRPr="002152E4">
        <w:t xml:space="preserve"> decât </w:t>
      </w:r>
      <w:r w:rsidRPr="002152E4">
        <w:t xml:space="preserve">în perioada anterioară în ciuda faptului că volumul de activitate a scăzut cu </w:t>
      </w:r>
      <w:r w:rsidR="00FB4DFF" w:rsidRPr="002152E4">
        <w:rPr>
          <w:b/>
        </w:rPr>
        <w:t>12,52</w:t>
      </w:r>
      <w:r w:rsidRPr="002152E4">
        <w:rPr>
          <w:b/>
        </w:rPr>
        <w:t xml:space="preserve"> %</w:t>
      </w:r>
      <w:r w:rsidRPr="002152E4">
        <w:t xml:space="preserve">. </w:t>
      </w:r>
    </w:p>
    <w:p w:rsidR="000802D5" w:rsidRPr="002152E4" w:rsidRDefault="000802D5" w:rsidP="00CA1AB6">
      <w:pPr>
        <w:pStyle w:val="AddParagraf"/>
      </w:pPr>
      <w:r w:rsidRPr="002152E4">
        <w:t xml:space="preserve">În tabelul de mai jos sunt prezentate operativităţile pentru toate curţile de apel calculate ca raportul dintre dosarele soluţionate şi cele intrate (sub aspectul </w:t>
      </w:r>
      <w:r w:rsidR="002152E4" w:rsidRPr="002152E4">
        <w:t>eficienței</w:t>
      </w:r>
      <w:r w:rsidRPr="002152E4">
        <w:t xml:space="preserve"> în atacarea stocurilor):</w:t>
      </w:r>
    </w:p>
    <w:tbl>
      <w:tblPr>
        <w:tblW w:w="7891" w:type="dxa"/>
        <w:jc w:val="center"/>
        <w:tblLook w:val="0000" w:firstRow="0" w:lastRow="0" w:firstColumn="0" w:lastColumn="0" w:noHBand="0" w:noVBand="0"/>
      </w:tblPr>
      <w:tblGrid>
        <w:gridCol w:w="3800"/>
        <w:gridCol w:w="1069"/>
        <w:gridCol w:w="1351"/>
        <w:gridCol w:w="1671"/>
      </w:tblGrid>
      <w:tr w:rsidR="00D82021" w:rsidRPr="002152E4" w:rsidTr="000C2C17">
        <w:trPr>
          <w:trHeight w:val="285"/>
          <w:jc w:val="center"/>
        </w:trPr>
        <w:tc>
          <w:tcPr>
            <w:tcW w:w="3800" w:type="dxa"/>
            <w:tcBorders>
              <w:top w:val="single" w:sz="4" w:space="0" w:color="auto"/>
              <w:left w:val="single" w:sz="4" w:space="0" w:color="auto"/>
              <w:bottom w:val="single" w:sz="4" w:space="0" w:color="000000"/>
              <w:right w:val="single" w:sz="4" w:space="0" w:color="000000"/>
            </w:tcBorders>
            <w:shd w:val="clear" w:color="auto" w:fill="99CCFF"/>
            <w:vAlign w:val="center"/>
          </w:tcPr>
          <w:p w:rsidR="00D82021" w:rsidRPr="002152E4" w:rsidRDefault="00D82021" w:rsidP="008514CB">
            <w:pPr>
              <w:jc w:val="center"/>
              <w:rPr>
                <w:rFonts w:cs="Arial"/>
                <w:b/>
                <w:bCs/>
                <w:sz w:val="22"/>
                <w:szCs w:val="22"/>
                <w:lang w:val="ro-RO" w:eastAsia="ro-RO"/>
              </w:rPr>
            </w:pPr>
            <w:r w:rsidRPr="002152E4">
              <w:rPr>
                <w:rFonts w:cs="Arial"/>
                <w:b/>
                <w:bCs/>
                <w:sz w:val="22"/>
                <w:szCs w:val="22"/>
                <w:lang w:val="ro-RO" w:eastAsia="ro-RO"/>
              </w:rPr>
              <w:t>Instanţa</w:t>
            </w:r>
          </w:p>
        </w:tc>
        <w:tc>
          <w:tcPr>
            <w:tcW w:w="1069" w:type="dxa"/>
            <w:tcBorders>
              <w:top w:val="single" w:sz="4" w:space="0" w:color="auto"/>
              <w:left w:val="nil"/>
              <w:bottom w:val="single" w:sz="4" w:space="0" w:color="000000"/>
              <w:right w:val="single" w:sz="4" w:space="0" w:color="000000"/>
            </w:tcBorders>
            <w:shd w:val="clear" w:color="auto" w:fill="99CCFF"/>
            <w:vAlign w:val="center"/>
          </w:tcPr>
          <w:p w:rsidR="00D82021" w:rsidRPr="002152E4" w:rsidRDefault="00D82021" w:rsidP="008514CB">
            <w:pPr>
              <w:jc w:val="center"/>
              <w:rPr>
                <w:rFonts w:cs="Arial"/>
                <w:b/>
                <w:bCs/>
                <w:sz w:val="22"/>
                <w:szCs w:val="22"/>
                <w:lang w:val="ro-RO" w:eastAsia="ro-RO"/>
              </w:rPr>
            </w:pPr>
            <w:r w:rsidRPr="002152E4">
              <w:rPr>
                <w:rFonts w:cs="Arial"/>
                <w:b/>
                <w:bCs/>
                <w:sz w:val="22"/>
                <w:szCs w:val="22"/>
                <w:lang w:val="ro-RO" w:eastAsia="ro-RO"/>
              </w:rPr>
              <w:t>Nou intrate</w:t>
            </w:r>
          </w:p>
        </w:tc>
        <w:tc>
          <w:tcPr>
            <w:tcW w:w="1351" w:type="dxa"/>
            <w:tcBorders>
              <w:top w:val="single" w:sz="4" w:space="0" w:color="auto"/>
              <w:left w:val="single" w:sz="4" w:space="0" w:color="auto"/>
              <w:bottom w:val="single" w:sz="4" w:space="0" w:color="auto"/>
              <w:right w:val="single" w:sz="4" w:space="0" w:color="auto"/>
            </w:tcBorders>
            <w:shd w:val="clear" w:color="auto" w:fill="99CCFF"/>
            <w:vAlign w:val="center"/>
          </w:tcPr>
          <w:p w:rsidR="00D82021" w:rsidRPr="002152E4" w:rsidRDefault="00D82021" w:rsidP="008514CB">
            <w:pPr>
              <w:jc w:val="center"/>
              <w:rPr>
                <w:rFonts w:cs="Arial"/>
                <w:b/>
                <w:bCs/>
                <w:sz w:val="22"/>
                <w:szCs w:val="22"/>
                <w:lang w:val="ro-RO" w:eastAsia="ro-RO"/>
              </w:rPr>
            </w:pPr>
            <w:r w:rsidRPr="002152E4">
              <w:rPr>
                <w:rFonts w:cs="Arial"/>
                <w:b/>
                <w:bCs/>
                <w:sz w:val="22"/>
                <w:szCs w:val="22"/>
                <w:lang w:val="ro-RO" w:eastAsia="ro-RO"/>
              </w:rPr>
              <w:t>Total volum soluţionate</w:t>
            </w:r>
          </w:p>
        </w:tc>
        <w:tc>
          <w:tcPr>
            <w:tcW w:w="1671" w:type="dxa"/>
            <w:tcBorders>
              <w:top w:val="single" w:sz="4" w:space="0" w:color="auto"/>
              <w:left w:val="nil"/>
              <w:bottom w:val="single" w:sz="4" w:space="0" w:color="auto"/>
              <w:right w:val="single" w:sz="4" w:space="0" w:color="auto"/>
            </w:tcBorders>
            <w:shd w:val="clear" w:color="auto" w:fill="99CCFF"/>
            <w:noWrap/>
            <w:vAlign w:val="center"/>
          </w:tcPr>
          <w:p w:rsidR="00D82021" w:rsidRPr="002152E4" w:rsidRDefault="00D82021" w:rsidP="008514CB">
            <w:pPr>
              <w:jc w:val="center"/>
              <w:rPr>
                <w:rFonts w:cs="Arial"/>
                <w:b/>
                <w:bCs/>
                <w:sz w:val="22"/>
                <w:szCs w:val="22"/>
                <w:lang w:val="ro-RO" w:eastAsia="ro-RO"/>
              </w:rPr>
            </w:pPr>
            <w:r w:rsidRPr="002152E4">
              <w:rPr>
                <w:rFonts w:cs="Arial"/>
                <w:b/>
                <w:bCs/>
                <w:sz w:val="22"/>
                <w:szCs w:val="22"/>
                <w:lang w:val="ro-RO" w:eastAsia="ro-RO"/>
              </w:rPr>
              <w:t>Operativitatea (%)</w:t>
            </w:r>
          </w:p>
        </w:tc>
      </w:tr>
      <w:tr w:rsidR="00D82021" w:rsidRPr="002152E4" w:rsidTr="00D82021">
        <w:trPr>
          <w:trHeight w:val="285"/>
          <w:jc w:val="center"/>
        </w:trPr>
        <w:tc>
          <w:tcPr>
            <w:tcW w:w="3800" w:type="dxa"/>
            <w:tcBorders>
              <w:top w:val="single" w:sz="4" w:space="0" w:color="000000"/>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 Apel Alba Iulia</w:t>
            </w:r>
          </w:p>
        </w:tc>
        <w:tc>
          <w:tcPr>
            <w:tcW w:w="1069" w:type="dxa"/>
            <w:tcBorders>
              <w:top w:val="single" w:sz="4" w:space="0" w:color="000000"/>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8217</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7942</w:t>
            </w:r>
          </w:p>
        </w:tc>
        <w:tc>
          <w:tcPr>
            <w:tcW w:w="1671" w:type="dxa"/>
            <w:tcBorders>
              <w:top w:val="single" w:sz="4" w:space="0" w:color="auto"/>
              <w:left w:val="nil"/>
              <w:bottom w:val="single" w:sz="4" w:space="0" w:color="auto"/>
              <w:right w:val="single" w:sz="4" w:space="0" w:color="auto"/>
            </w:tcBorders>
            <w:shd w:val="clear" w:color="auto" w:fill="auto"/>
            <w:noWrap/>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9</w:t>
            </w:r>
            <w:r w:rsidR="00830F6E" w:rsidRPr="002152E4">
              <w:rPr>
                <w:rFonts w:cs="Arial"/>
                <w:sz w:val="22"/>
                <w:szCs w:val="22"/>
                <w:lang w:val="ro-RO" w:eastAsia="ro-RO"/>
              </w:rPr>
              <w:t>7</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BACAU</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6576</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6714</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102</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 xml:space="preserve">de </w:t>
            </w:r>
            <w:r w:rsidRPr="002152E4">
              <w:rPr>
                <w:rFonts w:cs="Arial"/>
                <w:sz w:val="22"/>
                <w:szCs w:val="22"/>
                <w:lang w:val="ro-RO" w:eastAsia="ro-RO"/>
              </w:rPr>
              <w:t>Apel BRASOV</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5893</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5723</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97</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BUCURESTI</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39428</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38137</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97</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CLUJ</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10102</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11357</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112</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CONSTANTA</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6016</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6408</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10</w:t>
            </w:r>
            <w:r w:rsidR="00830F6E" w:rsidRPr="002152E4">
              <w:rPr>
                <w:rFonts w:cs="Arial"/>
                <w:sz w:val="22"/>
                <w:szCs w:val="22"/>
                <w:lang w:val="ro-RO" w:eastAsia="ro-RO"/>
              </w:rPr>
              <w:t>7</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CRAIOVA</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14285</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15846</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111</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GALATI</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7340</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7075</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96</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IASI</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6163</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6502</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106</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ORADEA</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6886</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6965</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101</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PITESTI</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8664</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8716</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101</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PLOIESTI</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8949</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9182</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103</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SUCEAVA</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6041</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6399</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106</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TARGU MURES</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3859</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4123</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107</w:t>
            </w:r>
          </w:p>
        </w:tc>
      </w:tr>
      <w:tr w:rsidR="00D82021" w:rsidRPr="002152E4" w:rsidTr="00D82021">
        <w:trPr>
          <w:trHeight w:val="285"/>
          <w:jc w:val="center"/>
        </w:trPr>
        <w:tc>
          <w:tcPr>
            <w:tcW w:w="3800" w:type="dxa"/>
            <w:tcBorders>
              <w:top w:val="nil"/>
              <w:left w:val="single" w:sz="4" w:space="0" w:color="auto"/>
              <w:bottom w:val="single" w:sz="4" w:space="0" w:color="000000"/>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w:t>
            </w:r>
            <w:r w:rsidR="003C20E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TIMISOARA</w:t>
            </w:r>
          </w:p>
        </w:tc>
        <w:tc>
          <w:tcPr>
            <w:tcW w:w="1069" w:type="dxa"/>
            <w:tcBorders>
              <w:top w:val="nil"/>
              <w:left w:val="nil"/>
              <w:bottom w:val="single" w:sz="4" w:space="0" w:color="000000"/>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12591</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13091</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104</w:t>
            </w:r>
          </w:p>
        </w:tc>
      </w:tr>
      <w:tr w:rsidR="00D82021" w:rsidRPr="002152E4" w:rsidTr="00D82021">
        <w:trPr>
          <w:trHeight w:val="285"/>
          <w:jc w:val="center"/>
        </w:trPr>
        <w:tc>
          <w:tcPr>
            <w:tcW w:w="3800" w:type="dxa"/>
            <w:tcBorders>
              <w:top w:val="nil"/>
              <w:left w:val="single" w:sz="4" w:space="0" w:color="auto"/>
              <w:bottom w:val="nil"/>
              <w:right w:val="single" w:sz="4" w:space="0" w:color="000000"/>
            </w:tcBorders>
            <w:shd w:val="clear" w:color="auto" w:fill="auto"/>
            <w:vAlign w:val="center"/>
          </w:tcPr>
          <w:p w:rsidR="00D82021" w:rsidRPr="002152E4" w:rsidRDefault="00D82021" w:rsidP="00D82021">
            <w:pPr>
              <w:rPr>
                <w:rFonts w:cs="Arial"/>
                <w:sz w:val="22"/>
                <w:szCs w:val="22"/>
                <w:lang w:val="ro-RO" w:eastAsia="ro-RO"/>
              </w:rPr>
            </w:pPr>
            <w:r w:rsidRPr="002152E4">
              <w:rPr>
                <w:rFonts w:cs="Arial"/>
                <w:sz w:val="22"/>
                <w:szCs w:val="22"/>
                <w:lang w:val="ro-RO" w:eastAsia="ro-RO"/>
              </w:rPr>
              <w:t xml:space="preserve">Curtea Militara </w:t>
            </w:r>
            <w:r w:rsidR="00FB2C44" w:rsidRPr="002152E4">
              <w:rPr>
                <w:rFonts w:cs="Arial"/>
                <w:sz w:val="22"/>
                <w:szCs w:val="22"/>
                <w:lang w:val="ro-RO" w:eastAsia="ro-RO"/>
              </w:rPr>
              <w:t>de</w:t>
            </w:r>
            <w:r w:rsidR="0059654C" w:rsidRPr="002152E4">
              <w:rPr>
                <w:rFonts w:cs="Arial"/>
                <w:sz w:val="22"/>
                <w:szCs w:val="22"/>
                <w:lang w:val="ro-RO" w:eastAsia="ro-RO"/>
              </w:rPr>
              <w:t xml:space="preserve"> </w:t>
            </w:r>
            <w:r w:rsidRPr="002152E4">
              <w:rPr>
                <w:rFonts w:cs="Arial"/>
                <w:sz w:val="22"/>
                <w:szCs w:val="22"/>
                <w:lang w:val="ro-RO" w:eastAsia="ro-RO"/>
              </w:rPr>
              <w:t>Apel BUCURESTI</w:t>
            </w:r>
          </w:p>
        </w:tc>
        <w:tc>
          <w:tcPr>
            <w:tcW w:w="1069" w:type="dxa"/>
            <w:tcBorders>
              <w:top w:val="nil"/>
              <w:left w:val="nil"/>
              <w:bottom w:val="nil"/>
              <w:right w:val="single" w:sz="4" w:space="0" w:color="000000"/>
            </w:tcBorders>
            <w:shd w:val="clear" w:color="auto" w:fill="auto"/>
            <w:vAlign w:val="center"/>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119</w:t>
            </w:r>
          </w:p>
        </w:tc>
        <w:tc>
          <w:tcPr>
            <w:tcW w:w="1351" w:type="dxa"/>
            <w:tcBorders>
              <w:top w:val="nil"/>
              <w:left w:val="single" w:sz="4" w:space="0" w:color="auto"/>
              <w:bottom w:val="single" w:sz="4" w:space="0" w:color="auto"/>
              <w:right w:val="single" w:sz="4" w:space="0" w:color="auto"/>
            </w:tcBorders>
            <w:shd w:val="clear" w:color="auto" w:fill="auto"/>
            <w:vAlign w:val="bottom"/>
          </w:tcPr>
          <w:p w:rsidR="00D82021" w:rsidRPr="002152E4" w:rsidRDefault="00D82021" w:rsidP="00D82021">
            <w:pPr>
              <w:jc w:val="center"/>
              <w:rPr>
                <w:rFonts w:cs="Arial"/>
                <w:sz w:val="22"/>
                <w:szCs w:val="22"/>
                <w:lang w:val="ro-RO" w:eastAsia="ro-RO"/>
              </w:rPr>
            </w:pPr>
            <w:r w:rsidRPr="002152E4">
              <w:rPr>
                <w:rFonts w:cs="Arial"/>
                <w:sz w:val="22"/>
                <w:szCs w:val="22"/>
                <w:lang w:val="ro-RO" w:eastAsia="ro-RO"/>
              </w:rPr>
              <w:t>135</w:t>
            </w:r>
          </w:p>
        </w:tc>
        <w:tc>
          <w:tcPr>
            <w:tcW w:w="1671" w:type="dxa"/>
            <w:tcBorders>
              <w:top w:val="nil"/>
              <w:left w:val="nil"/>
              <w:bottom w:val="single" w:sz="4" w:space="0" w:color="auto"/>
              <w:right w:val="single" w:sz="4" w:space="0" w:color="auto"/>
            </w:tcBorders>
            <w:shd w:val="clear" w:color="auto" w:fill="auto"/>
            <w:noWrap/>
            <w:vAlign w:val="bottom"/>
          </w:tcPr>
          <w:p w:rsidR="00D82021" w:rsidRPr="002152E4" w:rsidRDefault="00830F6E" w:rsidP="00D82021">
            <w:pPr>
              <w:jc w:val="center"/>
              <w:rPr>
                <w:rFonts w:cs="Arial"/>
                <w:sz w:val="22"/>
                <w:szCs w:val="22"/>
                <w:lang w:val="ro-RO" w:eastAsia="ro-RO"/>
              </w:rPr>
            </w:pPr>
            <w:r w:rsidRPr="002152E4">
              <w:rPr>
                <w:rFonts w:cs="Arial"/>
                <w:sz w:val="22"/>
                <w:szCs w:val="22"/>
                <w:lang w:val="ro-RO" w:eastAsia="ro-RO"/>
              </w:rPr>
              <w:t>113</w:t>
            </w:r>
          </w:p>
        </w:tc>
      </w:tr>
      <w:tr w:rsidR="00D82021" w:rsidRPr="002152E4" w:rsidTr="00D82021">
        <w:trPr>
          <w:trHeight w:val="315"/>
          <w:jc w:val="center"/>
        </w:trPr>
        <w:tc>
          <w:tcPr>
            <w:tcW w:w="3800" w:type="dxa"/>
            <w:tcBorders>
              <w:top w:val="single" w:sz="4" w:space="0" w:color="auto"/>
              <w:left w:val="single" w:sz="4" w:space="0" w:color="auto"/>
              <w:bottom w:val="single" w:sz="4" w:space="0" w:color="auto"/>
              <w:right w:val="single" w:sz="4" w:space="0" w:color="auto"/>
            </w:tcBorders>
            <w:shd w:val="clear" w:color="auto" w:fill="99CCFF"/>
            <w:vAlign w:val="center"/>
          </w:tcPr>
          <w:p w:rsidR="00D82021" w:rsidRPr="002152E4" w:rsidRDefault="00D82021" w:rsidP="00D82021">
            <w:pPr>
              <w:jc w:val="center"/>
              <w:rPr>
                <w:rFonts w:cs="Arial"/>
                <w:b/>
                <w:bCs/>
                <w:sz w:val="22"/>
                <w:szCs w:val="22"/>
                <w:lang w:val="ro-RO" w:eastAsia="ro-RO"/>
              </w:rPr>
            </w:pPr>
            <w:r w:rsidRPr="002152E4">
              <w:rPr>
                <w:rFonts w:cs="Arial"/>
                <w:b/>
                <w:bCs/>
                <w:sz w:val="22"/>
                <w:szCs w:val="22"/>
                <w:lang w:val="ro-RO" w:eastAsia="ro-RO"/>
              </w:rPr>
              <w:t>Total</w:t>
            </w:r>
          </w:p>
        </w:tc>
        <w:tc>
          <w:tcPr>
            <w:tcW w:w="1069" w:type="dxa"/>
            <w:tcBorders>
              <w:top w:val="single" w:sz="4" w:space="0" w:color="auto"/>
              <w:left w:val="nil"/>
              <w:bottom w:val="single" w:sz="4" w:space="0" w:color="auto"/>
              <w:right w:val="single" w:sz="4" w:space="0" w:color="auto"/>
            </w:tcBorders>
            <w:shd w:val="clear" w:color="auto" w:fill="99CCFF"/>
            <w:noWrap/>
            <w:vAlign w:val="bottom"/>
          </w:tcPr>
          <w:p w:rsidR="00D82021" w:rsidRPr="002152E4" w:rsidRDefault="00D82021" w:rsidP="00D82021">
            <w:pPr>
              <w:jc w:val="center"/>
              <w:rPr>
                <w:rFonts w:cs="Arial"/>
                <w:b/>
                <w:bCs/>
                <w:sz w:val="22"/>
                <w:szCs w:val="22"/>
                <w:lang w:val="ro-RO" w:eastAsia="ro-RO"/>
              </w:rPr>
            </w:pPr>
            <w:r w:rsidRPr="002152E4">
              <w:rPr>
                <w:rFonts w:cs="Arial"/>
                <w:b/>
                <w:bCs/>
                <w:sz w:val="22"/>
                <w:szCs w:val="22"/>
                <w:lang w:val="ro-RO" w:eastAsia="ro-RO"/>
              </w:rPr>
              <w:t>151129</w:t>
            </w:r>
          </w:p>
        </w:tc>
        <w:tc>
          <w:tcPr>
            <w:tcW w:w="1351" w:type="dxa"/>
            <w:tcBorders>
              <w:top w:val="nil"/>
              <w:left w:val="single" w:sz="4" w:space="0" w:color="auto"/>
              <w:bottom w:val="single" w:sz="4" w:space="0" w:color="auto"/>
              <w:right w:val="single" w:sz="4" w:space="0" w:color="auto"/>
            </w:tcBorders>
            <w:shd w:val="clear" w:color="auto" w:fill="99CCFF"/>
            <w:noWrap/>
            <w:vAlign w:val="bottom"/>
          </w:tcPr>
          <w:p w:rsidR="00D82021" w:rsidRPr="002152E4" w:rsidRDefault="00D82021" w:rsidP="00D82021">
            <w:pPr>
              <w:jc w:val="center"/>
              <w:rPr>
                <w:rFonts w:cs="Arial"/>
                <w:b/>
                <w:bCs/>
                <w:sz w:val="22"/>
                <w:szCs w:val="22"/>
                <w:lang w:val="ro-RO" w:eastAsia="ro-RO"/>
              </w:rPr>
            </w:pPr>
            <w:r w:rsidRPr="002152E4">
              <w:rPr>
                <w:rFonts w:cs="Arial"/>
                <w:b/>
                <w:bCs/>
                <w:sz w:val="22"/>
                <w:szCs w:val="22"/>
                <w:lang w:val="ro-RO" w:eastAsia="ro-RO"/>
              </w:rPr>
              <w:t>154315</w:t>
            </w:r>
          </w:p>
        </w:tc>
        <w:tc>
          <w:tcPr>
            <w:tcW w:w="1671" w:type="dxa"/>
            <w:tcBorders>
              <w:top w:val="nil"/>
              <w:left w:val="nil"/>
              <w:bottom w:val="single" w:sz="4" w:space="0" w:color="auto"/>
              <w:right w:val="single" w:sz="4" w:space="0" w:color="auto"/>
            </w:tcBorders>
            <w:shd w:val="clear" w:color="auto" w:fill="99CCFF"/>
            <w:noWrap/>
            <w:vAlign w:val="bottom"/>
          </w:tcPr>
          <w:p w:rsidR="00D82021" w:rsidRPr="002152E4" w:rsidRDefault="00D82021" w:rsidP="00D82021">
            <w:pPr>
              <w:jc w:val="center"/>
              <w:rPr>
                <w:rFonts w:cs="Arial"/>
                <w:b/>
                <w:bCs/>
                <w:sz w:val="22"/>
                <w:szCs w:val="22"/>
                <w:lang w:val="ro-RO" w:eastAsia="ro-RO"/>
              </w:rPr>
            </w:pPr>
            <w:r w:rsidRPr="002152E4">
              <w:rPr>
                <w:rFonts w:cs="Arial"/>
                <w:b/>
                <w:bCs/>
                <w:sz w:val="22"/>
                <w:szCs w:val="22"/>
                <w:lang w:val="ro-RO" w:eastAsia="ro-RO"/>
              </w:rPr>
              <w:t>102</w:t>
            </w:r>
          </w:p>
        </w:tc>
      </w:tr>
    </w:tbl>
    <w:p w:rsidR="000802D5" w:rsidRPr="002152E4" w:rsidRDefault="000802D5" w:rsidP="000802D5">
      <w:pPr>
        <w:tabs>
          <w:tab w:val="left" w:pos="1710"/>
        </w:tabs>
        <w:spacing w:before="120" w:line="360" w:lineRule="auto"/>
        <w:jc w:val="both"/>
        <w:outlineLvl w:val="5"/>
        <w:rPr>
          <w:rFonts w:cs="Arial"/>
          <w:lang w:val="ro-RO"/>
        </w:rPr>
      </w:pPr>
      <w:r w:rsidRPr="002152E4">
        <w:rPr>
          <w:rFonts w:cs="Arial"/>
          <w:lang w:val="ro-RO"/>
        </w:rPr>
        <w:tab/>
      </w:r>
    </w:p>
    <w:p w:rsidR="000802D5" w:rsidRPr="002152E4" w:rsidRDefault="00ED0D65" w:rsidP="00ED0D65">
      <w:pPr>
        <w:pStyle w:val="Heading3"/>
      </w:pPr>
      <w:bookmarkStart w:id="62" w:name="_Toc411333487"/>
      <w:bookmarkStart w:id="63" w:name="_Toc411429422"/>
      <w:bookmarkStart w:id="64" w:name="_Toc475363405"/>
      <w:bookmarkStart w:id="65" w:name="_Toc486576528"/>
      <w:r w:rsidRPr="002152E4">
        <w:t>II</w:t>
      </w:r>
      <w:r w:rsidR="00F90F50" w:rsidRPr="002152E4">
        <w:t xml:space="preserve">.3.3. </w:t>
      </w:r>
      <w:r w:rsidR="000802D5" w:rsidRPr="002152E4">
        <w:t>Operativitatea la tribunale</w:t>
      </w:r>
      <w:bookmarkEnd w:id="62"/>
      <w:bookmarkEnd w:id="63"/>
      <w:bookmarkEnd w:id="64"/>
      <w:bookmarkEnd w:id="65"/>
    </w:p>
    <w:p w:rsidR="000802D5" w:rsidRPr="002152E4" w:rsidRDefault="000802D5" w:rsidP="00CA1AB6">
      <w:pPr>
        <w:pStyle w:val="AddParagraf"/>
      </w:pPr>
      <w:r w:rsidRPr="002152E4">
        <w:t xml:space="preserve">Din cele </w:t>
      </w:r>
      <w:r w:rsidR="003C2367" w:rsidRPr="002152E4">
        <w:rPr>
          <w:b/>
        </w:rPr>
        <w:t>7</w:t>
      </w:r>
      <w:r w:rsidR="00AC749D" w:rsidRPr="002152E4">
        <w:rPr>
          <w:b/>
        </w:rPr>
        <w:t>33.709</w:t>
      </w:r>
      <w:r w:rsidR="003C2367" w:rsidRPr="002152E4">
        <w:t xml:space="preserve"> </w:t>
      </w:r>
      <w:r w:rsidRPr="002152E4">
        <w:t xml:space="preserve">cauze de </w:t>
      </w:r>
      <w:r w:rsidR="003C2367" w:rsidRPr="002152E4">
        <w:t>s</w:t>
      </w:r>
      <w:r w:rsidR="00AC749D" w:rsidRPr="002152E4">
        <w:t>oluţionat în cursul anului 2016</w:t>
      </w:r>
      <w:r w:rsidRPr="002152E4">
        <w:t xml:space="preserve">, au fost soluţionate un număr de </w:t>
      </w:r>
      <w:r w:rsidR="00AC749D" w:rsidRPr="002152E4">
        <w:rPr>
          <w:b/>
        </w:rPr>
        <w:t>480.548</w:t>
      </w:r>
      <w:r w:rsidRPr="002152E4">
        <w:rPr>
          <w:b/>
        </w:rPr>
        <w:t xml:space="preserve"> </w:t>
      </w:r>
      <w:r w:rsidRPr="002152E4">
        <w:t xml:space="preserve">cauze, rămânând un stoc de </w:t>
      </w:r>
      <w:r w:rsidR="00AC749D" w:rsidRPr="002152E4">
        <w:rPr>
          <w:b/>
        </w:rPr>
        <w:t>253.161</w:t>
      </w:r>
      <w:r w:rsidRPr="002152E4">
        <w:t xml:space="preserve"> dosare</w:t>
      </w:r>
      <w:r w:rsidRPr="002152E4">
        <w:rPr>
          <w:b/>
        </w:rPr>
        <w:t xml:space="preserve">  </w:t>
      </w:r>
      <w:r w:rsidRPr="002152E4">
        <w:t>(</w:t>
      </w:r>
      <w:r w:rsidR="00AC749D" w:rsidRPr="002152E4">
        <w:t>244.876</w:t>
      </w:r>
      <w:r w:rsidR="00FB1AB0" w:rsidRPr="002152E4">
        <w:t xml:space="preserve"> dosare în 201</w:t>
      </w:r>
      <w:r w:rsidR="00AC749D" w:rsidRPr="002152E4">
        <w:t>5</w:t>
      </w:r>
      <w:r w:rsidRPr="002152E4">
        <w:t xml:space="preserve"> ).</w:t>
      </w:r>
    </w:p>
    <w:p w:rsidR="003F1D70" w:rsidRPr="002152E4" w:rsidRDefault="000802D5" w:rsidP="00815B60">
      <w:pPr>
        <w:pStyle w:val="AddParagraf"/>
      </w:pPr>
      <w:r w:rsidRPr="002152E4">
        <w:t>În procente, operativitatea medie în raport de întregul volum de activitate s-a situat la</w:t>
      </w:r>
      <w:r w:rsidR="00D87B34" w:rsidRPr="002152E4">
        <w:rPr>
          <w:b/>
        </w:rPr>
        <w:t xml:space="preserve"> </w:t>
      </w:r>
      <w:r w:rsidR="00290281" w:rsidRPr="002152E4">
        <w:rPr>
          <w:b/>
        </w:rPr>
        <w:t>68</w:t>
      </w:r>
      <w:r w:rsidRPr="002152E4">
        <w:rPr>
          <w:b/>
        </w:rPr>
        <w:t xml:space="preserve"> %</w:t>
      </w:r>
      <w:r w:rsidRPr="002152E4">
        <w:t>,</w:t>
      </w:r>
      <w:r w:rsidRPr="002152E4">
        <w:rPr>
          <w:b/>
        </w:rPr>
        <w:t xml:space="preserve"> </w:t>
      </w:r>
      <w:r w:rsidRPr="002152E4">
        <w:t xml:space="preserve">cu </w:t>
      </w:r>
      <w:r w:rsidR="00290281" w:rsidRPr="002152E4">
        <w:rPr>
          <w:b/>
        </w:rPr>
        <w:t>7</w:t>
      </w:r>
      <w:r w:rsidRPr="002152E4">
        <w:rPr>
          <w:b/>
        </w:rPr>
        <w:t xml:space="preserve"> %</w:t>
      </w:r>
      <w:r w:rsidR="00D87B34" w:rsidRPr="002152E4">
        <w:t xml:space="preserve"> mai </w:t>
      </w:r>
      <w:r w:rsidR="00290281" w:rsidRPr="002152E4">
        <w:t xml:space="preserve">puţin </w:t>
      </w:r>
      <w:r w:rsidR="00D87B34" w:rsidRPr="002152E4">
        <w:t>c</w:t>
      </w:r>
      <w:r w:rsidR="00290281" w:rsidRPr="002152E4">
        <w:t>a în anul 2015</w:t>
      </w:r>
      <w:r w:rsidRPr="002152E4">
        <w:t>.</w:t>
      </w:r>
    </w:p>
    <w:p w:rsidR="000802D5" w:rsidRPr="002152E4" w:rsidRDefault="000802D5" w:rsidP="00CA1AB6">
      <w:pPr>
        <w:pStyle w:val="AddParagraf"/>
      </w:pPr>
      <w:r w:rsidRPr="002152E4">
        <w:t xml:space="preserve">În tabelul de mai jos sunt prezentate operativităţile pentru cele mai eficiente tribunale calculate ca raportul dintre dosarele soluţionate şi cele intrate (sub aspectul </w:t>
      </w:r>
      <w:r w:rsidR="002152E4" w:rsidRPr="002152E4">
        <w:t>eficienței</w:t>
      </w:r>
      <w:r w:rsidRPr="002152E4">
        <w:t xml:space="preserve"> în atacarea stocurilor):</w:t>
      </w:r>
    </w:p>
    <w:tbl>
      <w:tblPr>
        <w:tblW w:w="7380" w:type="dxa"/>
        <w:jc w:val="center"/>
        <w:tblLook w:val="0000" w:firstRow="0" w:lastRow="0" w:firstColumn="0" w:lastColumn="0" w:noHBand="0" w:noVBand="0"/>
      </w:tblPr>
      <w:tblGrid>
        <w:gridCol w:w="3049"/>
        <w:gridCol w:w="980"/>
        <w:gridCol w:w="1680"/>
        <w:gridCol w:w="1671"/>
      </w:tblGrid>
      <w:tr w:rsidR="00A13D6A" w:rsidRPr="002152E4" w:rsidTr="00C66058">
        <w:trPr>
          <w:trHeight w:val="655"/>
          <w:jc w:val="center"/>
        </w:trPr>
        <w:tc>
          <w:tcPr>
            <w:tcW w:w="3361" w:type="dxa"/>
            <w:tcBorders>
              <w:top w:val="single" w:sz="4" w:space="0" w:color="auto"/>
              <w:left w:val="single" w:sz="4" w:space="0" w:color="auto"/>
              <w:bottom w:val="single" w:sz="4" w:space="0" w:color="auto"/>
              <w:right w:val="single" w:sz="4" w:space="0" w:color="auto"/>
            </w:tcBorders>
            <w:shd w:val="clear" w:color="auto" w:fill="99CCFF"/>
            <w:vAlign w:val="center"/>
          </w:tcPr>
          <w:p w:rsidR="00A13D6A" w:rsidRPr="002152E4" w:rsidRDefault="00A13D6A" w:rsidP="00A13D6A">
            <w:pPr>
              <w:jc w:val="center"/>
              <w:rPr>
                <w:rFonts w:cs="Arial"/>
                <w:b/>
                <w:bCs/>
                <w:lang w:val="ro-RO" w:eastAsia="ro-RO"/>
              </w:rPr>
            </w:pPr>
            <w:r w:rsidRPr="002152E4">
              <w:rPr>
                <w:rFonts w:cs="Arial"/>
                <w:b/>
                <w:bCs/>
                <w:lang w:val="ro-RO" w:eastAsia="ro-RO"/>
              </w:rPr>
              <w:t>Instanţa</w:t>
            </w:r>
          </w:p>
        </w:tc>
        <w:tc>
          <w:tcPr>
            <w:tcW w:w="997" w:type="dxa"/>
            <w:tcBorders>
              <w:top w:val="single" w:sz="4" w:space="0" w:color="auto"/>
              <w:left w:val="nil"/>
              <w:bottom w:val="single" w:sz="4" w:space="0" w:color="auto"/>
              <w:right w:val="single" w:sz="4" w:space="0" w:color="auto"/>
            </w:tcBorders>
            <w:shd w:val="clear" w:color="auto" w:fill="99CCFF"/>
            <w:vAlign w:val="center"/>
          </w:tcPr>
          <w:p w:rsidR="00A13D6A" w:rsidRPr="002152E4" w:rsidRDefault="00A13D6A" w:rsidP="00A13D6A">
            <w:pPr>
              <w:jc w:val="center"/>
              <w:rPr>
                <w:rFonts w:cs="Arial"/>
                <w:b/>
                <w:bCs/>
                <w:lang w:val="ro-RO" w:eastAsia="ro-RO"/>
              </w:rPr>
            </w:pPr>
            <w:r w:rsidRPr="002152E4">
              <w:rPr>
                <w:rFonts w:cs="Arial"/>
                <w:b/>
                <w:bCs/>
                <w:lang w:val="ro-RO" w:eastAsia="ro-RO"/>
              </w:rPr>
              <w:t>Nou intrate</w:t>
            </w:r>
          </w:p>
        </w:tc>
        <w:tc>
          <w:tcPr>
            <w:tcW w:w="1747" w:type="dxa"/>
            <w:tcBorders>
              <w:top w:val="single" w:sz="4" w:space="0" w:color="auto"/>
              <w:left w:val="nil"/>
              <w:bottom w:val="single" w:sz="4" w:space="0" w:color="auto"/>
              <w:right w:val="single" w:sz="4" w:space="0" w:color="auto"/>
            </w:tcBorders>
            <w:shd w:val="clear" w:color="auto" w:fill="99CCFF"/>
            <w:vAlign w:val="center"/>
          </w:tcPr>
          <w:p w:rsidR="00A13D6A" w:rsidRPr="002152E4" w:rsidRDefault="00A13D6A" w:rsidP="00A13D6A">
            <w:pPr>
              <w:jc w:val="center"/>
              <w:rPr>
                <w:rFonts w:cs="Arial"/>
                <w:b/>
                <w:bCs/>
                <w:lang w:val="ro-RO" w:eastAsia="ro-RO"/>
              </w:rPr>
            </w:pPr>
            <w:r w:rsidRPr="002152E4">
              <w:rPr>
                <w:rFonts w:cs="Arial"/>
                <w:b/>
                <w:bCs/>
                <w:lang w:val="ro-RO" w:eastAsia="ro-RO"/>
              </w:rPr>
              <w:t>Total volum soluţionate</w:t>
            </w:r>
          </w:p>
        </w:tc>
        <w:tc>
          <w:tcPr>
            <w:tcW w:w="1275" w:type="dxa"/>
            <w:tcBorders>
              <w:top w:val="single" w:sz="4" w:space="0" w:color="auto"/>
              <w:left w:val="nil"/>
              <w:bottom w:val="single" w:sz="4" w:space="0" w:color="auto"/>
              <w:right w:val="single" w:sz="4" w:space="0" w:color="auto"/>
            </w:tcBorders>
            <w:shd w:val="clear" w:color="auto" w:fill="99CCFF"/>
            <w:vAlign w:val="center"/>
          </w:tcPr>
          <w:p w:rsidR="00A13D6A" w:rsidRPr="002152E4" w:rsidRDefault="00A13D6A" w:rsidP="00A13D6A">
            <w:pPr>
              <w:jc w:val="center"/>
              <w:rPr>
                <w:rFonts w:cs="Arial"/>
                <w:b/>
                <w:bCs/>
                <w:lang w:val="ro-RO" w:eastAsia="ro-RO"/>
              </w:rPr>
            </w:pPr>
            <w:r w:rsidRPr="002152E4">
              <w:rPr>
                <w:rFonts w:cs="Arial"/>
                <w:b/>
                <w:bCs/>
                <w:lang w:val="ro-RO" w:eastAsia="ro-RO"/>
              </w:rPr>
              <w:t>Operativitatea (%)</w:t>
            </w:r>
          </w:p>
        </w:tc>
      </w:tr>
      <w:tr w:rsidR="0087070F" w:rsidRPr="002152E4" w:rsidTr="00B93ECD">
        <w:trPr>
          <w:trHeight w:val="315"/>
          <w:jc w:val="center"/>
        </w:trPr>
        <w:tc>
          <w:tcPr>
            <w:tcW w:w="3361" w:type="dxa"/>
            <w:tcBorders>
              <w:top w:val="nil"/>
              <w:left w:val="single" w:sz="4" w:space="0" w:color="000000"/>
              <w:bottom w:val="single" w:sz="4" w:space="0" w:color="000000"/>
              <w:right w:val="single" w:sz="4" w:space="0" w:color="000000"/>
            </w:tcBorders>
            <w:shd w:val="clear" w:color="auto" w:fill="auto"/>
            <w:vAlign w:val="center"/>
          </w:tcPr>
          <w:p w:rsidR="0087070F" w:rsidRPr="002152E4" w:rsidRDefault="0087070F" w:rsidP="00B04118">
            <w:pPr>
              <w:rPr>
                <w:rFonts w:ascii="Cambria" w:hAnsi="Cambria" w:cs="Arial"/>
                <w:sz w:val="22"/>
                <w:szCs w:val="22"/>
                <w:lang w:val="ro-RO" w:eastAsia="ro-RO"/>
              </w:rPr>
            </w:pPr>
            <w:r w:rsidRPr="002152E4">
              <w:rPr>
                <w:rFonts w:ascii="Cambria" w:hAnsi="Cambria" w:cs="Arial"/>
                <w:sz w:val="22"/>
                <w:szCs w:val="22"/>
                <w:lang w:val="ro-RO" w:eastAsia="ro-RO"/>
              </w:rPr>
              <w:t>Tribunalul BIHOR</w:t>
            </w:r>
          </w:p>
        </w:tc>
        <w:tc>
          <w:tcPr>
            <w:tcW w:w="997" w:type="dxa"/>
            <w:tcBorders>
              <w:top w:val="nil"/>
              <w:left w:val="nil"/>
              <w:bottom w:val="single" w:sz="4" w:space="0" w:color="000000"/>
              <w:right w:val="single" w:sz="4" w:space="0" w:color="000000"/>
            </w:tcBorders>
            <w:shd w:val="clear" w:color="auto" w:fill="auto"/>
            <w:vAlign w:val="center"/>
          </w:tcPr>
          <w:p w:rsidR="0087070F" w:rsidRPr="002152E4" w:rsidRDefault="0087070F" w:rsidP="00B04118">
            <w:pPr>
              <w:jc w:val="center"/>
              <w:rPr>
                <w:rFonts w:cs="Arial"/>
                <w:lang w:val="ro-RO" w:eastAsia="ro-RO"/>
              </w:rPr>
            </w:pPr>
            <w:r w:rsidRPr="002152E4">
              <w:rPr>
                <w:rFonts w:cs="Arial"/>
                <w:lang w:val="ro-RO" w:eastAsia="ro-RO"/>
              </w:rPr>
              <w:t>12338</w:t>
            </w:r>
          </w:p>
        </w:tc>
        <w:tc>
          <w:tcPr>
            <w:tcW w:w="1747" w:type="dxa"/>
            <w:tcBorders>
              <w:top w:val="nil"/>
              <w:left w:val="nil"/>
              <w:bottom w:val="single" w:sz="4" w:space="0" w:color="000000"/>
              <w:right w:val="single" w:sz="4" w:space="0" w:color="000000"/>
            </w:tcBorders>
            <w:shd w:val="clear" w:color="auto" w:fill="auto"/>
            <w:vAlign w:val="bottom"/>
          </w:tcPr>
          <w:p w:rsidR="0087070F" w:rsidRPr="002152E4" w:rsidRDefault="0087070F" w:rsidP="00B04118">
            <w:pPr>
              <w:jc w:val="center"/>
              <w:rPr>
                <w:rFonts w:cs="Arial"/>
                <w:lang w:val="ro-RO" w:eastAsia="ro-RO"/>
              </w:rPr>
            </w:pPr>
            <w:r w:rsidRPr="002152E4">
              <w:rPr>
                <w:rFonts w:cs="Arial"/>
                <w:lang w:val="ro-RO" w:eastAsia="ro-RO"/>
              </w:rPr>
              <w:t>14561</w:t>
            </w:r>
          </w:p>
        </w:tc>
        <w:tc>
          <w:tcPr>
            <w:tcW w:w="1275" w:type="dxa"/>
            <w:tcBorders>
              <w:top w:val="nil"/>
              <w:left w:val="nil"/>
              <w:bottom w:val="single" w:sz="4" w:space="0" w:color="auto"/>
              <w:right w:val="single" w:sz="4" w:space="0" w:color="auto"/>
            </w:tcBorders>
            <w:shd w:val="clear" w:color="auto" w:fill="auto"/>
            <w:noWrap/>
            <w:vAlign w:val="bottom"/>
          </w:tcPr>
          <w:p w:rsidR="0087070F" w:rsidRPr="002152E4" w:rsidRDefault="007C1F08" w:rsidP="00B04118">
            <w:pPr>
              <w:jc w:val="center"/>
              <w:rPr>
                <w:rFonts w:cs="Arial"/>
                <w:lang w:val="ro-RO" w:eastAsia="ro-RO"/>
              </w:rPr>
            </w:pPr>
            <w:r w:rsidRPr="002152E4">
              <w:rPr>
                <w:rFonts w:cs="Arial"/>
                <w:lang w:val="ro-RO" w:eastAsia="ro-RO"/>
              </w:rPr>
              <w:t>118</w:t>
            </w:r>
          </w:p>
        </w:tc>
      </w:tr>
      <w:tr w:rsidR="0087070F" w:rsidRPr="002152E4" w:rsidTr="00B93ECD">
        <w:trPr>
          <w:trHeight w:val="315"/>
          <w:jc w:val="center"/>
        </w:trPr>
        <w:tc>
          <w:tcPr>
            <w:tcW w:w="3361" w:type="dxa"/>
            <w:tcBorders>
              <w:top w:val="nil"/>
              <w:left w:val="single" w:sz="4" w:space="0" w:color="000000"/>
              <w:bottom w:val="single" w:sz="4" w:space="0" w:color="000000"/>
              <w:right w:val="single" w:sz="4" w:space="0" w:color="000000"/>
            </w:tcBorders>
            <w:shd w:val="clear" w:color="auto" w:fill="auto"/>
            <w:vAlign w:val="center"/>
          </w:tcPr>
          <w:p w:rsidR="0087070F" w:rsidRPr="002152E4" w:rsidRDefault="0087070F" w:rsidP="00B04118">
            <w:pPr>
              <w:rPr>
                <w:rFonts w:ascii="Cambria" w:hAnsi="Cambria" w:cs="Arial"/>
                <w:sz w:val="22"/>
                <w:szCs w:val="22"/>
                <w:lang w:val="ro-RO" w:eastAsia="ro-RO"/>
              </w:rPr>
            </w:pPr>
            <w:r w:rsidRPr="002152E4">
              <w:rPr>
                <w:rFonts w:ascii="Cambria" w:hAnsi="Cambria" w:cs="Arial"/>
                <w:sz w:val="22"/>
                <w:szCs w:val="22"/>
                <w:lang w:val="ro-RO" w:eastAsia="ro-RO"/>
              </w:rPr>
              <w:t>Tribunalul MARAMURES</w:t>
            </w:r>
          </w:p>
        </w:tc>
        <w:tc>
          <w:tcPr>
            <w:tcW w:w="997" w:type="dxa"/>
            <w:tcBorders>
              <w:top w:val="nil"/>
              <w:left w:val="nil"/>
              <w:bottom w:val="single" w:sz="4" w:space="0" w:color="000000"/>
              <w:right w:val="single" w:sz="4" w:space="0" w:color="000000"/>
            </w:tcBorders>
            <w:shd w:val="clear" w:color="auto" w:fill="auto"/>
            <w:vAlign w:val="center"/>
          </w:tcPr>
          <w:p w:rsidR="0087070F" w:rsidRPr="002152E4" w:rsidRDefault="0087070F" w:rsidP="00B04118">
            <w:pPr>
              <w:jc w:val="center"/>
              <w:rPr>
                <w:rFonts w:cs="Arial"/>
                <w:lang w:val="ro-RO" w:eastAsia="ro-RO"/>
              </w:rPr>
            </w:pPr>
            <w:r w:rsidRPr="002152E4">
              <w:rPr>
                <w:rFonts w:cs="Arial"/>
                <w:lang w:val="ro-RO" w:eastAsia="ro-RO"/>
              </w:rPr>
              <w:t>6619</w:t>
            </w:r>
          </w:p>
        </w:tc>
        <w:tc>
          <w:tcPr>
            <w:tcW w:w="1747" w:type="dxa"/>
            <w:tcBorders>
              <w:top w:val="nil"/>
              <w:left w:val="nil"/>
              <w:bottom w:val="single" w:sz="4" w:space="0" w:color="000000"/>
              <w:right w:val="single" w:sz="4" w:space="0" w:color="000000"/>
            </w:tcBorders>
            <w:shd w:val="clear" w:color="auto" w:fill="auto"/>
            <w:vAlign w:val="bottom"/>
          </w:tcPr>
          <w:p w:rsidR="0087070F" w:rsidRPr="002152E4" w:rsidRDefault="0087070F" w:rsidP="00B04118">
            <w:pPr>
              <w:jc w:val="center"/>
              <w:rPr>
                <w:rFonts w:cs="Arial"/>
                <w:lang w:val="ro-RO" w:eastAsia="ro-RO"/>
              </w:rPr>
            </w:pPr>
            <w:r w:rsidRPr="002152E4">
              <w:rPr>
                <w:rFonts w:cs="Arial"/>
                <w:lang w:val="ro-RO" w:eastAsia="ro-RO"/>
              </w:rPr>
              <w:t>7130</w:t>
            </w:r>
          </w:p>
        </w:tc>
        <w:tc>
          <w:tcPr>
            <w:tcW w:w="1275" w:type="dxa"/>
            <w:tcBorders>
              <w:top w:val="nil"/>
              <w:left w:val="nil"/>
              <w:bottom w:val="single" w:sz="4" w:space="0" w:color="auto"/>
              <w:right w:val="single" w:sz="4" w:space="0" w:color="auto"/>
            </w:tcBorders>
            <w:shd w:val="clear" w:color="auto" w:fill="auto"/>
            <w:noWrap/>
            <w:vAlign w:val="bottom"/>
          </w:tcPr>
          <w:p w:rsidR="0087070F" w:rsidRPr="002152E4" w:rsidRDefault="007C1F08" w:rsidP="00B04118">
            <w:pPr>
              <w:jc w:val="center"/>
              <w:rPr>
                <w:rFonts w:cs="Arial"/>
                <w:lang w:val="ro-RO" w:eastAsia="ro-RO"/>
              </w:rPr>
            </w:pPr>
            <w:r w:rsidRPr="002152E4">
              <w:rPr>
                <w:rFonts w:cs="Arial"/>
                <w:lang w:val="ro-RO" w:eastAsia="ro-RO"/>
              </w:rPr>
              <w:t>108</w:t>
            </w:r>
          </w:p>
        </w:tc>
      </w:tr>
      <w:tr w:rsidR="0087070F" w:rsidRPr="002152E4" w:rsidTr="00B93ECD">
        <w:trPr>
          <w:trHeight w:val="315"/>
          <w:jc w:val="center"/>
        </w:trPr>
        <w:tc>
          <w:tcPr>
            <w:tcW w:w="3361" w:type="dxa"/>
            <w:tcBorders>
              <w:top w:val="nil"/>
              <w:left w:val="single" w:sz="4" w:space="0" w:color="000000"/>
              <w:bottom w:val="single" w:sz="4" w:space="0" w:color="000000"/>
              <w:right w:val="single" w:sz="4" w:space="0" w:color="000000"/>
            </w:tcBorders>
            <w:shd w:val="clear" w:color="auto" w:fill="auto"/>
            <w:vAlign w:val="center"/>
          </w:tcPr>
          <w:p w:rsidR="0087070F" w:rsidRPr="002152E4" w:rsidRDefault="0087070F" w:rsidP="00B04118">
            <w:pPr>
              <w:rPr>
                <w:rFonts w:ascii="Cambria" w:hAnsi="Cambria" w:cs="Arial"/>
                <w:sz w:val="22"/>
                <w:szCs w:val="22"/>
                <w:lang w:val="ro-RO" w:eastAsia="ro-RO"/>
              </w:rPr>
            </w:pPr>
            <w:r w:rsidRPr="002152E4">
              <w:rPr>
                <w:rFonts w:ascii="Cambria" w:hAnsi="Cambria" w:cs="Arial"/>
                <w:sz w:val="22"/>
                <w:szCs w:val="22"/>
                <w:lang w:val="ro-RO" w:eastAsia="ro-RO"/>
              </w:rPr>
              <w:t>Tribunalul BACAU</w:t>
            </w:r>
          </w:p>
        </w:tc>
        <w:tc>
          <w:tcPr>
            <w:tcW w:w="997" w:type="dxa"/>
            <w:tcBorders>
              <w:top w:val="nil"/>
              <w:left w:val="nil"/>
              <w:bottom w:val="single" w:sz="4" w:space="0" w:color="000000"/>
              <w:right w:val="single" w:sz="4" w:space="0" w:color="000000"/>
            </w:tcBorders>
            <w:shd w:val="clear" w:color="auto" w:fill="auto"/>
            <w:vAlign w:val="center"/>
          </w:tcPr>
          <w:p w:rsidR="0087070F" w:rsidRPr="002152E4" w:rsidRDefault="0087070F" w:rsidP="00B04118">
            <w:pPr>
              <w:jc w:val="center"/>
              <w:rPr>
                <w:rFonts w:cs="Arial"/>
                <w:lang w:val="ro-RO" w:eastAsia="ro-RO"/>
              </w:rPr>
            </w:pPr>
            <w:r w:rsidRPr="002152E4">
              <w:rPr>
                <w:rFonts w:cs="Arial"/>
                <w:lang w:val="ro-RO" w:eastAsia="ro-RO"/>
              </w:rPr>
              <w:t>10323</w:t>
            </w:r>
          </w:p>
        </w:tc>
        <w:tc>
          <w:tcPr>
            <w:tcW w:w="1747" w:type="dxa"/>
            <w:tcBorders>
              <w:top w:val="nil"/>
              <w:left w:val="nil"/>
              <w:bottom w:val="single" w:sz="4" w:space="0" w:color="000000"/>
              <w:right w:val="single" w:sz="4" w:space="0" w:color="000000"/>
            </w:tcBorders>
            <w:shd w:val="clear" w:color="auto" w:fill="auto"/>
            <w:vAlign w:val="bottom"/>
          </w:tcPr>
          <w:p w:rsidR="0087070F" w:rsidRPr="002152E4" w:rsidRDefault="0087070F" w:rsidP="00B04118">
            <w:pPr>
              <w:jc w:val="center"/>
              <w:rPr>
                <w:rFonts w:cs="Arial"/>
                <w:lang w:val="ro-RO" w:eastAsia="ro-RO"/>
              </w:rPr>
            </w:pPr>
            <w:r w:rsidRPr="002152E4">
              <w:rPr>
                <w:rFonts w:cs="Arial"/>
                <w:lang w:val="ro-RO" w:eastAsia="ro-RO"/>
              </w:rPr>
              <w:t>11033</w:t>
            </w:r>
          </w:p>
        </w:tc>
        <w:tc>
          <w:tcPr>
            <w:tcW w:w="1275" w:type="dxa"/>
            <w:tcBorders>
              <w:top w:val="nil"/>
              <w:left w:val="nil"/>
              <w:bottom w:val="single" w:sz="4" w:space="0" w:color="auto"/>
              <w:right w:val="single" w:sz="4" w:space="0" w:color="auto"/>
            </w:tcBorders>
            <w:shd w:val="clear" w:color="auto" w:fill="auto"/>
            <w:noWrap/>
            <w:vAlign w:val="bottom"/>
          </w:tcPr>
          <w:p w:rsidR="0087070F" w:rsidRPr="002152E4" w:rsidRDefault="007C1F08" w:rsidP="00B04118">
            <w:pPr>
              <w:jc w:val="center"/>
              <w:rPr>
                <w:rFonts w:cs="Arial"/>
                <w:lang w:val="ro-RO" w:eastAsia="ro-RO"/>
              </w:rPr>
            </w:pPr>
            <w:r w:rsidRPr="002152E4">
              <w:rPr>
                <w:rFonts w:cs="Arial"/>
                <w:lang w:val="ro-RO" w:eastAsia="ro-RO"/>
              </w:rPr>
              <w:t>107</w:t>
            </w:r>
          </w:p>
        </w:tc>
      </w:tr>
      <w:tr w:rsidR="0087070F" w:rsidRPr="002152E4" w:rsidTr="00B93ECD">
        <w:trPr>
          <w:trHeight w:val="315"/>
          <w:jc w:val="center"/>
        </w:trPr>
        <w:tc>
          <w:tcPr>
            <w:tcW w:w="3361" w:type="dxa"/>
            <w:tcBorders>
              <w:top w:val="nil"/>
              <w:left w:val="single" w:sz="4" w:space="0" w:color="000000"/>
              <w:bottom w:val="single" w:sz="4" w:space="0" w:color="000000"/>
              <w:right w:val="single" w:sz="4" w:space="0" w:color="000000"/>
            </w:tcBorders>
            <w:shd w:val="clear" w:color="auto" w:fill="auto"/>
            <w:vAlign w:val="center"/>
          </w:tcPr>
          <w:p w:rsidR="0087070F" w:rsidRPr="002152E4" w:rsidRDefault="0087070F" w:rsidP="00B04118">
            <w:pPr>
              <w:rPr>
                <w:rFonts w:ascii="Cambria" w:hAnsi="Cambria" w:cs="Arial"/>
                <w:sz w:val="22"/>
                <w:szCs w:val="22"/>
                <w:lang w:val="ro-RO" w:eastAsia="ro-RO"/>
              </w:rPr>
            </w:pPr>
            <w:r w:rsidRPr="002152E4">
              <w:rPr>
                <w:rFonts w:ascii="Cambria" w:hAnsi="Cambria" w:cs="Arial"/>
                <w:sz w:val="22"/>
                <w:szCs w:val="22"/>
                <w:lang w:val="ro-RO" w:eastAsia="ro-RO"/>
              </w:rPr>
              <w:t>Tribunalul NEAMT</w:t>
            </w:r>
          </w:p>
        </w:tc>
        <w:tc>
          <w:tcPr>
            <w:tcW w:w="997" w:type="dxa"/>
            <w:tcBorders>
              <w:top w:val="nil"/>
              <w:left w:val="nil"/>
              <w:bottom w:val="single" w:sz="4" w:space="0" w:color="000000"/>
              <w:right w:val="single" w:sz="4" w:space="0" w:color="000000"/>
            </w:tcBorders>
            <w:shd w:val="clear" w:color="auto" w:fill="auto"/>
            <w:vAlign w:val="center"/>
          </w:tcPr>
          <w:p w:rsidR="0087070F" w:rsidRPr="002152E4" w:rsidRDefault="0087070F" w:rsidP="00B04118">
            <w:pPr>
              <w:jc w:val="center"/>
              <w:rPr>
                <w:rFonts w:cs="Arial"/>
                <w:lang w:val="ro-RO" w:eastAsia="ro-RO"/>
              </w:rPr>
            </w:pPr>
            <w:r w:rsidRPr="002152E4">
              <w:rPr>
                <w:rFonts w:cs="Arial"/>
                <w:lang w:val="ro-RO" w:eastAsia="ro-RO"/>
              </w:rPr>
              <w:t>7382</w:t>
            </w:r>
          </w:p>
        </w:tc>
        <w:tc>
          <w:tcPr>
            <w:tcW w:w="1747" w:type="dxa"/>
            <w:tcBorders>
              <w:top w:val="nil"/>
              <w:left w:val="nil"/>
              <w:bottom w:val="single" w:sz="4" w:space="0" w:color="000000"/>
              <w:right w:val="single" w:sz="4" w:space="0" w:color="000000"/>
            </w:tcBorders>
            <w:shd w:val="clear" w:color="auto" w:fill="auto"/>
            <w:vAlign w:val="bottom"/>
          </w:tcPr>
          <w:p w:rsidR="0087070F" w:rsidRPr="002152E4" w:rsidRDefault="0087070F" w:rsidP="00B04118">
            <w:pPr>
              <w:jc w:val="center"/>
              <w:rPr>
                <w:rFonts w:cs="Arial"/>
                <w:lang w:val="ro-RO" w:eastAsia="ro-RO"/>
              </w:rPr>
            </w:pPr>
            <w:r w:rsidRPr="002152E4">
              <w:rPr>
                <w:rFonts w:cs="Arial"/>
                <w:lang w:val="ro-RO" w:eastAsia="ro-RO"/>
              </w:rPr>
              <w:t>7879</w:t>
            </w:r>
          </w:p>
        </w:tc>
        <w:tc>
          <w:tcPr>
            <w:tcW w:w="1275" w:type="dxa"/>
            <w:tcBorders>
              <w:top w:val="nil"/>
              <w:left w:val="nil"/>
              <w:bottom w:val="single" w:sz="4" w:space="0" w:color="auto"/>
              <w:right w:val="single" w:sz="4" w:space="0" w:color="auto"/>
            </w:tcBorders>
            <w:shd w:val="clear" w:color="auto" w:fill="auto"/>
            <w:noWrap/>
            <w:vAlign w:val="bottom"/>
          </w:tcPr>
          <w:p w:rsidR="0087070F" w:rsidRPr="002152E4" w:rsidRDefault="007C1F08" w:rsidP="00B04118">
            <w:pPr>
              <w:jc w:val="center"/>
              <w:rPr>
                <w:rFonts w:cs="Arial"/>
                <w:lang w:val="ro-RO" w:eastAsia="ro-RO"/>
              </w:rPr>
            </w:pPr>
            <w:r w:rsidRPr="002152E4">
              <w:rPr>
                <w:rFonts w:cs="Arial"/>
                <w:lang w:val="ro-RO" w:eastAsia="ro-RO"/>
              </w:rPr>
              <w:t>107</w:t>
            </w:r>
          </w:p>
        </w:tc>
      </w:tr>
    </w:tbl>
    <w:p w:rsidR="00A4456E" w:rsidRPr="002152E4" w:rsidRDefault="00A4456E" w:rsidP="00CA1AB6">
      <w:pPr>
        <w:pStyle w:val="AddParagraf"/>
      </w:pPr>
    </w:p>
    <w:p w:rsidR="000802D5" w:rsidRPr="002152E4" w:rsidRDefault="000802D5" w:rsidP="00CA1AB6">
      <w:pPr>
        <w:pStyle w:val="AddParagraf"/>
      </w:pPr>
      <w:r w:rsidRPr="002152E4">
        <w:t>În schimb, cea mai scăzută eficienţă au înregist</w:t>
      </w:r>
      <w:r w:rsidR="002152E4">
        <w:t>rat</w:t>
      </w:r>
      <w:r w:rsidRPr="002152E4">
        <w:t>-o următ</w:t>
      </w:r>
      <w:r w:rsidR="00BC4621" w:rsidRPr="002152E4">
        <w:t>oarele tribunale</w:t>
      </w:r>
      <w:r w:rsidRPr="002152E4">
        <w:t>:</w:t>
      </w:r>
    </w:p>
    <w:tbl>
      <w:tblPr>
        <w:tblW w:w="7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4"/>
        <w:gridCol w:w="1008"/>
        <w:gridCol w:w="1632"/>
        <w:gridCol w:w="1671"/>
      </w:tblGrid>
      <w:tr w:rsidR="00D41CA5" w:rsidRPr="002152E4" w:rsidTr="00865460">
        <w:trPr>
          <w:trHeight w:val="315"/>
          <w:jc w:val="center"/>
        </w:trPr>
        <w:tc>
          <w:tcPr>
            <w:tcW w:w="2944" w:type="dxa"/>
            <w:shd w:val="clear" w:color="auto" w:fill="99CCFF"/>
            <w:vAlign w:val="center"/>
          </w:tcPr>
          <w:p w:rsidR="00D41CA5" w:rsidRPr="002152E4" w:rsidRDefault="00D41CA5" w:rsidP="00B04118">
            <w:pPr>
              <w:jc w:val="center"/>
              <w:rPr>
                <w:rFonts w:cs="Arial"/>
                <w:b/>
                <w:bCs/>
                <w:lang w:val="ro-RO" w:eastAsia="ro-RO"/>
              </w:rPr>
            </w:pPr>
            <w:r w:rsidRPr="002152E4">
              <w:rPr>
                <w:rFonts w:cs="Arial"/>
                <w:b/>
                <w:bCs/>
                <w:lang w:val="ro-RO" w:eastAsia="ro-RO"/>
              </w:rPr>
              <w:t>Instanţa</w:t>
            </w:r>
          </w:p>
        </w:tc>
        <w:tc>
          <w:tcPr>
            <w:tcW w:w="1008" w:type="dxa"/>
            <w:shd w:val="clear" w:color="auto" w:fill="99CCFF"/>
            <w:vAlign w:val="center"/>
          </w:tcPr>
          <w:p w:rsidR="00D41CA5" w:rsidRPr="002152E4" w:rsidRDefault="00D41CA5" w:rsidP="00B04118">
            <w:pPr>
              <w:jc w:val="center"/>
              <w:rPr>
                <w:rFonts w:cs="Arial"/>
                <w:b/>
                <w:bCs/>
                <w:lang w:val="ro-RO" w:eastAsia="ro-RO"/>
              </w:rPr>
            </w:pPr>
            <w:r w:rsidRPr="002152E4">
              <w:rPr>
                <w:rFonts w:cs="Arial"/>
                <w:b/>
                <w:bCs/>
                <w:lang w:val="ro-RO" w:eastAsia="ro-RO"/>
              </w:rPr>
              <w:t>Nou intrate</w:t>
            </w:r>
          </w:p>
        </w:tc>
        <w:tc>
          <w:tcPr>
            <w:tcW w:w="1632" w:type="dxa"/>
            <w:shd w:val="clear" w:color="auto" w:fill="99CCFF"/>
            <w:vAlign w:val="center"/>
          </w:tcPr>
          <w:p w:rsidR="00D41CA5" w:rsidRPr="002152E4" w:rsidRDefault="00D41CA5" w:rsidP="00B04118">
            <w:pPr>
              <w:jc w:val="center"/>
              <w:rPr>
                <w:rFonts w:cs="Arial"/>
                <w:b/>
                <w:bCs/>
                <w:lang w:val="ro-RO" w:eastAsia="ro-RO"/>
              </w:rPr>
            </w:pPr>
            <w:r w:rsidRPr="002152E4">
              <w:rPr>
                <w:rFonts w:cs="Arial"/>
                <w:b/>
                <w:bCs/>
                <w:lang w:val="ro-RO" w:eastAsia="ro-RO"/>
              </w:rPr>
              <w:t>Total volum soluţionate</w:t>
            </w:r>
          </w:p>
        </w:tc>
        <w:tc>
          <w:tcPr>
            <w:tcW w:w="1671" w:type="dxa"/>
            <w:shd w:val="clear" w:color="auto" w:fill="99CCFF"/>
            <w:noWrap/>
            <w:vAlign w:val="center"/>
          </w:tcPr>
          <w:p w:rsidR="00D41CA5" w:rsidRPr="002152E4" w:rsidRDefault="00D41CA5" w:rsidP="00B04118">
            <w:pPr>
              <w:jc w:val="center"/>
              <w:rPr>
                <w:rFonts w:cs="Arial"/>
                <w:b/>
                <w:bCs/>
                <w:lang w:val="ro-RO" w:eastAsia="ro-RO"/>
              </w:rPr>
            </w:pPr>
            <w:r w:rsidRPr="002152E4">
              <w:rPr>
                <w:rFonts w:cs="Arial"/>
                <w:b/>
                <w:bCs/>
                <w:lang w:val="ro-RO" w:eastAsia="ro-RO"/>
              </w:rPr>
              <w:t>Operativitatea (%)</w:t>
            </w:r>
          </w:p>
        </w:tc>
      </w:tr>
      <w:tr w:rsidR="00D41CA5" w:rsidRPr="002152E4" w:rsidTr="00E63946">
        <w:trPr>
          <w:trHeight w:val="315"/>
          <w:jc w:val="center"/>
        </w:trPr>
        <w:tc>
          <w:tcPr>
            <w:tcW w:w="2944" w:type="dxa"/>
            <w:shd w:val="clear" w:color="auto" w:fill="auto"/>
            <w:vAlign w:val="center"/>
          </w:tcPr>
          <w:p w:rsidR="00D41CA5" w:rsidRPr="002152E4" w:rsidRDefault="00D41CA5" w:rsidP="00D41CA5">
            <w:pPr>
              <w:rPr>
                <w:rFonts w:cs="Arial"/>
                <w:lang w:val="ro-RO" w:eastAsia="ro-RO"/>
              </w:rPr>
            </w:pPr>
            <w:r w:rsidRPr="002152E4">
              <w:rPr>
                <w:rFonts w:cs="Arial"/>
                <w:lang w:val="ro-RO" w:eastAsia="ro-RO"/>
              </w:rPr>
              <w:t>Tribunalul GIURGIU</w:t>
            </w:r>
          </w:p>
        </w:tc>
        <w:tc>
          <w:tcPr>
            <w:tcW w:w="1008" w:type="dxa"/>
            <w:shd w:val="clear" w:color="auto" w:fill="auto"/>
            <w:vAlign w:val="center"/>
          </w:tcPr>
          <w:p w:rsidR="00D41CA5" w:rsidRPr="002152E4" w:rsidRDefault="00D41CA5" w:rsidP="00D41CA5">
            <w:pPr>
              <w:jc w:val="center"/>
              <w:rPr>
                <w:rFonts w:cs="Arial"/>
                <w:lang w:val="ro-RO" w:eastAsia="ro-RO"/>
              </w:rPr>
            </w:pPr>
            <w:r w:rsidRPr="002152E4">
              <w:rPr>
                <w:rFonts w:cs="Arial"/>
                <w:lang w:val="ro-RO" w:eastAsia="ro-RO"/>
              </w:rPr>
              <w:t>6684</w:t>
            </w:r>
          </w:p>
        </w:tc>
        <w:tc>
          <w:tcPr>
            <w:tcW w:w="1632" w:type="dxa"/>
            <w:shd w:val="clear" w:color="auto" w:fill="auto"/>
            <w:vAlign w:val="center"/>
          </w:tcPr>
          <w:p w:rsidR="00D41CA5" w:rsidRPr="002152E4" w:rsidRDefault="00D41CA5" w:rsidP="00D41CA5">
            <w:pPr>
              <w:jc w:val="center"/>
              <w:rPr>
                <w:rFonts w:cs="Arial"/>
                <w:lang w:val="ro-RO" w:eastAsia="ro-RO"/>
              </w:rPr>
            </w:pPr>
            <w:r w:rsidRPr="002152E4">
              <w:rPr>
                <w:rFonts w:cs="Arial"/>
                <w:lang w:val="ro-RO" w:eastAsia="ro-RO"/>
              </w:rPr>
              <w:t>5931</w:t>
            </w:r>
          </w:p>
        </w:tc>
        <w:tc>
          <w:tcPr>
            <w:tcW w:w="1671" w:type="dxa"/>
            <w:shd w:val="clear" w:color="auto" w:fill="auto"/>
            <w:noWrap/>
            <w:vAlign w:val="center"/>
          </w:tcPr>
          <w:p w:rsidR="00D41CA5" w:rsidRPr="002152E4" w:rsidRDefault="00D41CA5" w:rsidP="00D41CA5">
            <w:pPr>
              <w:jc w:val="center"/>
              <w:rPr>
                <w:rFonts w:cs="Arial"/>
                <w:lang w:val="ro-RO" w:eastAsia="ro-RO"/>
              </w:rPr>
            </w:pPr>
            <w:r w:rsidRPr="002152E4">
              <w:rPr>
                <w:rFonts w:cs="Arial"/>
                <w:lang w:val="ro-RO" w:eastAsia="ro-RO"/>
              </w:rPr>
              <w:t>8</w:t>
            </w:r>
            <w:r w:rsidR="00FE0625" w:rsidRPr="002152E4">
              <w:rPr>
                <w:rFonts w:cs="Arial"/>
                <w:lang w:val="ro-RO" w:eastAsia="ro-RO"/>
              </w:rPr>
              <w:t>9</w:t>
            </w:r>
          </w:p>
        </w:tc>
      </w:tr>
      <w:tr w:rsidR="00D41CA5" w:rsidRPr="002152E4" w:rsidTr="00E63946">
        <w:trPr>
          <w:trHeight w:val="315"/>
          <w:jc w:val="center"/>
        </w:trPr>
        <w:tc>
          <w:tcPr>
            <w:tcW w:w="2944" w:type="dxa"/>
            <w:shd w:val="clear" w:color="auto" w:fill="auto"/>
            <w:vAlign w:val="center"/>
          </w:tcPr>
          <w:p w:rsidR="00D41CA5" w:rsidRPr="002152E4" w:rsidRDefault="00D41CA5" w:rsidP="00D41CA5">
            <w:pPr>
              <w:rPr>
                <w:rFonts w:cs="Arial"/>
                <w:lang w:val="ro-RO" w:eastAsia="ro-RO"/>
              </w:rPr>
            </w:pPr>
            <w:r w:rsidRPr="002152E4">
              <w:rPr>
                <w:rFonts w:cs="Arial"/>
                <w:lang w:val="ro-RO" w:eastAsia="ro-RO"/>
              </w:rPr>
              <w:lastRenderedPageBreak/>
              <w:t>Tribunalul CARAS SEVERIN</w:t>
            </w:r>
          </w:p>
        </w:tc>
        <w:tc>
          <w:tcPr>
            <w:tcW w:w="1008" w:type="dxa"/>
            <w:shd w:val="clear" w:color="auto" w:fill="auto"/>
            <w:vAlign w:val="center"/>
          </w:tcPr>
          <w:p w:rsidR="00D41CA5" w:rsidRPr="002152E4" w:rsidRDefault="00D41CA5" w:rsidP="00D41CA5">
            <w:pPr>
              <w:jc w:val="center"/>
              <w:rPr>
                <w:rFonts w:cs="Arial"/>
                <w:lang w:val="ro-RO" w:eastAsia="ro-RO"/>
              </w:rPr>
            </w:pPr>
            <w:r w:rsidRPr="002152E4">
              <w:rPr>
                <w:rFonts w:cs="Arial"/>
                <w:lang w:val="ro-RO" w:eastAsia="ro-RO"/>
              </w:rPr>
              <w:t>9202</w:t>
            </w:r>
          </w:p>
        </w:tc>
        <w:tc>
          <w:tcPr>
            <w:tcW w:w="1632" w:type="dxa"/>
            <w:shd w:val="clear" w:color="auto" w:fill="auto"/>
            <w:vAlign w:val="center"/>
          </w:tcPr>
          <w:p w:rsidR="00D41CA5" w:rsidRPr="002152E4" w:rsidRDefault="00D41CA5" w:rsidP="00D41CA5">
            <w:pPr>
              <w:jc w:val="center"/>
              <w:rPr>
                <w:rFonts w:cs="Arial"/>
                <w:lang w:val="ro-RO" w:eastAsia="ro-RO"/>
              </w:rPr>
            </w:pPr>
            <w:r w:rsidRPr="002152E4">
              <w:rPr>
                <w:rFonts w:cs="Arial"/>
                <w:lang w:val="ro-RO" w:eastAsia="ro-RO"/>
              </w:rPr>
              <w:t>7520</w:t>
            </w:r>
          </w:p>
        </w:tc>
        <w:tc>
          <w:tcPr>
            <w:tcW w:w="1671" w:type="dxa"/>
            <w:shd w:val="clear" w:color="auto" w:fill="auto"/>
            <w:noWrap/>
            <w:vAlign w:val="center"/>
          </w:tcPr>
          <w:p w:rsidR="00D41CA5" w:rsidRPr="002152E4" w:rsidRDefault="00D41CA5" w:rsidP="00D41CA5">
            <w:pPr>
              <w:jc w:val="center"/>
              <w:rPr>
                <w:rFonts w:cs="Arial"/>
                <w:lang w:val="ro-RO" w:eastAsia="ro-RO"/>
              </w:rPr>
            </w:pPr>
            <w:r w:rsidRPr="002152E4">
              <w:rPr>
                <w:rFonts w:cs="Arial"/>
                <w:lang w:val="ro-RO" w:eastAsia="ro-RO"/>
              </w:rPr>
              <w:t>8</w:t>
            </w:r>
            <w:r w:rsidR="00FE0625" w:rsidRPr="002152E4">
              <w:rPr>
                <w:rFonts w:cs="Arial"/>
                <w:lang w:val="ro-RO" w:eastAsia="ro-RO"/>
              </w:rPr>
              <w:t>2</w:t>
            </w:r>
          </w:p>
        </w:tc>
      </w:tr>
      <w:tr w:rsidR="00D41CA5" w:rsidRPr="002152E4" w:rsidTr="00E63946">
        <w:trPr>
          <w:trHeight w:val="315"/>
          <w:jc w:val="center"/>
        </w:trPr>
        <w:tc>
          <w:tcPr>
            <w:tcW w:w="2944" w:type="dxa"/>
            <w:shd w:val="clear" w:color="auto" w:fill="auto"/>
            <w:vAlign w:val="center"/>
          </w:tcPr>
          <w:p w:rsidR="00D41CA5" w:rsidRPr="002152E4" w:rsidRDefault="00D41CA5" w:rsidP="00D41CA5">
            <w:pPr>
              <w:rPr>
                <w:rFonts w:cs="Arial"/>
                <w:lang w:val="ro-RO" w:eastAsia="ro-RO"/>
              </w:rPr>
            </w:pPr>
            <w:r w:rsidRPr="002152E4">
              <w:rPr>
                <w:rFonts w:cs="Arial"/>
                <w:lang w:val="ro-RO" w:eastAsia="ro-RO"/>
              </w:rPr>
              <w:t>Tribunalul VRANCEA</w:t>
            </w:r>
          </w:p>
        </w:tc>
        <w:tc>
          <w:tcPr>
            <w:tcW w:w="1008" w:type="dxa"/>
            <w:shd w:val="clear" w:color="auto" w:fill="auto"/>
            <w:vAlign w:val="center"/>
          </w:tcPr>
          <w:p w:rsidR="00D41CA5" w:rsidRPr="002152E4" w:rsidRDefault="00D41CA5" w:rsidP="00D41CA5">
            <w:pPr>
              <w:jc w:val="center"/>
              <w:rPr>
                <w:rFonts w:cs="Arial"/>
                <w:lang w:val="ro-RO" w:eastAsia="ro-RO"/>
              </w:rPr>
            </w:pPr>
            <w:r w:rsidRPr="002152E4">
              <w:rPr>
                <w:rFonts w:cs="Arial"/>
                <w:lang w:val="ro-RO" w:eastAsia="ro-RO"/>
              </w:rPr>
              <w:t>8744</w:t>
            </w:r>
          </w:p>
        </w:tc>
        <w:tc>
          <w:tcPr>
            <w:tcW w:w="1632" w:type="dxa"/>
            <w:shd w:val="clear" w:color="auto" w:fill="auto"/>
            <w:vAlign w:val="center"/>
          </w:tcPr>
          <w:p w:rsidR="00D41CA5" w:rsidRPr="002152E4" w:rsidRDefault="00D41CA5" w:rsidP="00D41CA5">
            <w:pPr>
              <w:jc w:val="center"/>
              <w:rPr>
                <w:rFonts w:cs="Arial"/>
                <w:lang w:val="ro-RO" w:eastAsia="ro-RO"/>
              </w:rPr>
            </w:pPr>
            <w:r w:rsidRPr="002152E4">
              <w:rPr>
                <w:rFonts w:cs="Arial"/>
                <w:lang w:val="ro-RO" w:eastAsia="ro-RO"/>
              </w:rPr>
              <w:t>6921</w:t>
            </w:r>
          </w:p>
        </w:tc>
        <w:tc>
          <w:tcPr>
            <w:tcW w:w="1671" w:type="dxa"/>
            <w:shd w:val="clear" w:color="auto" w:fill="auto"/>
            <w:noWrap/>
            <w:vAlign w:val="center"/>
          </w:tcPr>
          <w:p w:rsidR="00D41CA5" w:rsidRPr="002152E4" w:rsidRDefault="00D41CA5" w:rsidP="00D41CA5">
            <w:pPr>
              <w:jc w:val="center"/>
              <w:rPr>
                <w:rFonts w:cs="Arial"/>
                <w:lang w:val="ro-RO" w:eastAsia="ro-RO"/>
              </w:rPr>
            </w:pPr>
            <w:r w:rsidRPr="002152E4">
              <w:rPr>
                <w:rFonts w:cs="Arial"/>
                <w:lang w:val="ro-RO" w:eastAsia="ro-RO"/>
              </w:rPr>
              <w:t>79</w:t>
            </w:r>
          </w:p>
        </w:tc>
      </w:tr>
      <w:tr w:rsidR="00D41CA5" w:rsidRPr="002152E4" w:rsidTr="00E63946">
        <w:trPr>
          <w:trHeight w:val="315"/>
          <w:jc w:val="center"/>
        </w:trPr>
        <w:tc>
          <w:tcPr>
            <w:tcW w:w="2944" w:type="dxa"/>
            <w:shd w:val="clear" w:color="auto" w:fill="auto"/>
            <w:vAlign w:val="center"/>
          </w:tcPr>
          <w:p w:rsidR="00D41CA5" w:rsidRPr="002152E4" w:rsidRDefault="00D41CA5" w:rsidP="00D41CA5">
            <w:pPr>
              <w:rPr>
                <w:rFonts w:cs="Arial"/>
                <w:lang w:val="ro-RO" w:eastAsia="ro-RO"/>
              </w:rPr>
            </w:pPr>
            <w:r w:rsidRPr="002152E4">
              <w:rPr>
                <w:rFonts w:cs="Arial"/>
                <w:lang w:val="ro-RO" w:eastAsia="ro-RO"/>
              </w:rPr>
              <w:t>Tribunalul ILFOV</w:t>
            </w:r>
          </w:p>
        </w:tc>
        <w:tc>
          <w:tcPr>
            <w:tcW w:w="1008" w:type="dxa"/>
            <w:shd w:val="clear" w:color="auto" w:fill="auto"/>
            <w:vAlign w:val="center"/>
          </w:tcPr>
          <w:p w:rsidR="00D41CA5" w:rsidRPr="002152E4" w:rsidRDefault="00D41CA5" w:rsidP="00D41CA5">
            <w:pPr>
              <w:jc w:val="center"/>
              <w:rPr>
                <w:rFonts w:cs="Arial"/>
                <w:lang w:val="ro-RO" w:eastAsia="ro-RO"/>
              </w:rPr>
            </w:pPr>
            <w:r w:rsidRPr="002152E4">
              <w:rPr>
                <w:rFonts w:cs="Arial"/>
                <w:lang w:val="ro-RO" w:eastAsia="ro-RO"/>
              </w:rPr>
              <w:t>10823</w:t>
            </w:r>
          </w:p>
        </w:tc>
        <w:tc>
          <w:tcPr>
            <w:tcW w:w="1632" w:type="dxa"/>
            <w:shd w:val="clear" w:color="auto" w:fill="auto"/>
            <w:vAlign w:val="center"/>
          </w:tcPr>
          <w:p w:rsidR="00D41CA5" w:rsidRPr="002152E4" w:rsidRDefault="00D41CA5" w:rsidP="00D41CA5">
            <w:pPr>
              <w:jc w:val="center"/>
              <w:rPr>
                <w:rFonts w:cs="Arial"/>
                <w:lang w:val="ro-RO" w:eastAsia="ro-RO"/>
              </w:rPr>
            </w:pPr>
            <w:r w:rsidRPr="002152E4">
              <w:rPr>
                <w:rFonts w:cs="Arial"/>
                <w:lang w:val="ro-RO" w:eastAsia="ro-RO"/>
              </w:rPr>
              <w:t>8311</w:t>
            </w:r>
          </w:p>
        </w:tc>
        <w:tc>
          <w:tcPr>
            <w:tcW w:w="1671" w:type="dxa"/>
            <w:shd w:val="clear" w:color="auto" w:fill="auto"/>
            <w:noWrap/>
            <w:vAlign w:val="center"/>
          </w:tcPr>
          <w:p w:rsidR="00D41CA5" w:rsidRPr="002152E4" w:rsidRDefault="00D41CA5" w:rsidP="00D41CA5">
            <w:pPr>
              <w:jc w:val="center"/>
              <w:rPr>
                <w:rFonts w:cs="Arial"/>
                <w:lang w:val="ro-RO" w:eastAsia="ro-RO"/>
              </w:rPr>
            </w:pPr>
            <w:r w:rsidRPr="002152E4">
              <w:rPr>
                <w:rFonts w:cs="Arial"/>
                <w:lang w:val="ro-RO" w:eastAsia="ro-RO"/>
              </w:rPr>
              <w:t>7</w:t>
            </w:r>
            <w:r w:rsidR="00FE0625" w:rsidRPr="002152E4">
              <w:rPr>
                <w:rFonts w:cs="Arial"/>
                <w:lang w:val="ro-RO" w:eastAsia="ro-RO"/>
              </w:rPr>
              <w:t>7</w:t>
            </w:r>
          </w:p>
        </w:tc>
      </w:tr>
    </w:tbl>
    <w:p w:rsidR="000802D5" w:rsidRPr="002152E4" w:rsidRDefault="000802D5" w:rsidP="000802D5">
      <w:pPr>
        <w:spacing w:before="120" w:line="360" w:lineRule="auto"/>
        <w:ind w:firstLine="720"/>
        <w:jc w:val="both"/>
        <w:rPr>
          <w:rFonts w:cs="Arial"/>
          <w:b/>
          <w:lang w:val="ro-RO"/>
        </w:rPr>
      </w:pPr>
      <w:r w:rsidRPr="002152E4">
        <w:rPr>
          <w:rFonts w:cs="Arial"/>
          <w:b/>
          <w:lang w:val="ro-RO"/>
        </w:rPr>
        <w:t>Operativitatea la tribunalele specializate</w:t>
      </w:r>
    </w:p>
    <w:p w:rsidR="000802D5" w:rsidRPr="002152E4" w:rsidRDefault="000802D5" w:rsidP="00CA1AB6">
      <w:pPr>
        <w:pStyle w:val="AddParagraf"/>
      </w:pPr>
      <w:r w:rsidRPr="002152E4">
        <w:t>În procente, la instanţele specializate operativitatea în raport de volumul de dosare nou intrate s-a distribuit astfel:</w:t>
      </w:r>
    </w:p>
    <w:tbl>
      <w:tblPr>
        <w:tblW w:w="8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4"/>
        <w:gridCol w:w="960"/>
        <w:gridCol w:w="1551"/>
        <w:gridCol w:w="1671"/>
      </w:tblGrid>
      <w:tr w:rsidR="000802D5" w:rsidRPr="002152E4" w:rsidTr="00865460">
        <w:trPr>
          <w:trHeight w:val="780"/>
          <w:jc w:val="center"/>
        </w:trPr>
        <w:tc>
          <w:tcPr>
            <w:tcW w:w="4254" w:type="dxa"/>
            <w:shd w:val="clear" w:color="auto" w:fill="99CCFF"/>
            <w:vAlign w:val="center"/>
          </w:tcPr>
          <w:p w:rsidR="000802D5" w:rsidRPr="002152E4" w:rsidRDefault="000802D5" w:rsidP="000802D5">
            <w:pPr>
              <w:jc w:val="center"/>
              <w:rPr>
                <w:b/>
                <w:bCs/>
                <w:lang w:val="ro-RO"/>
              </w:rPr>
            </w:pPr>
            <w:r w:rsidRPr="002152E4">
              <w:rPr>
                <w:b/>
                <w:bCs/>
                <w:lang w:val="ro-RO"/>
              </w:rPr>
              <w:t>Instanţa</w:t>
            </w:r>
          </w:p>
        </w:tc>
        <w:tc>
          <w:tcPr>
            <w:tcW w:w="960" w:type="dxa"/>
            <w:shd w:val="clear" w:color="auto" w:fill="99CCFF"/>
            <w:vAlign w:val="center"/>
          </w:tcPr>
          <w:p w:rsidR="000802D5" w:rsidRPr="002152E4" w:rsidRDefault="000802D5" w:rsidP="000802D5">
            <w:pPr>
              <w:jc w:val="center"/>
              <w:rPr>
                <w:b/>
                <w:bCs/>
                <w:lang w:val="ro-RO"/>
              </w:rPr>
            </w:pPr>
            <w:r w:rsidRPr="002152E4">
              <w:rPr>
                <w:b/>
                <w:bCs/>
                <w:lang w:val="ro-RO"/>
              </w:rPr>
              <w:t>Nou intrate</w:t>
            </w:r>
          </w:p>
        </w:tc>
        <w:tc>
          <w:tcPr>
            <w:tcW w:w="1551" w:type="dxa"/>
            <w:shd w:val="clear" w:color="auto" w:fill="99CCFF"/>
            <w:vAlign w:val="center"/>
          </w:tcPr>
          <w:p w:rsidR="000802D5" w:rsidRPr="002152E4" w:rsidRDefault="000802D5" w:rsidP="000802D5">
            <w:pPr>
              <w:jc w:val="center"/>
              <w:rPr>
                <w:b/>
                <w:bCs/>
                <w:lang w:val="ro-RO"/>
              </w:rPr>
            </w:pPr>
            <w:r w:rsidRPr="002152E4">
              <w:rPr>
                <w:b/>
                <w:bCs/>
                <w:lang w:val="ro-RO"/>
              </w:rPr>
              <w:t>Total volum soluţionate</w:t>
            </w:r>
          </w:p>
        </w:tc>
        <w:tc>
          <w:tcPr>
            <w:tcW w:w="1671" w:type="dxa"/>
            <w:shd w:val="clear" w:color="auto" w:fill="99CCFF"/>
            <w:vAlign w:val="center"/>
          </w:tcPr>
          <w:p w:rsidR="000802D5" w:rsidRPr="002152E4" w:rsidRDefault="000802D5" w:rsidP="000802D5">
            <w:pPr>
              <w:jc w:val="center"/>
              <w:rPr>
                <w:b/>
                <w:bCs/>
                <w:lang w:val="ro-RO"/>
              </w:rPr>
            </w:pPr>
            <w:r w:rsidRPr="002152E4">
              <w:rPr>
                <w:b/>
                <w:bCs/>
                <w:lang w:val="ro-RO"/>
              </w:rPr>
              <w:t>Operativitatea (%)</w:t>
            </w:r>
          </w:p>
        </w:tc>
      </w:tr>
      <w:tr w:rsidR="00877AFC" w:rsidRPr="002152E4" w:rsidTr="00B93ECD">
        <w:trPr>
          <w:trHeight w:val="342"/>
          <w:jc w:val="center"/>
        </w:trPr>
        <w:tc>
          <w:tcPr>
            <w:tcW w:w="4254" w:type="dxa"/>
            <w:shd w:val="clear" w:color="auto" w:fill="auto"/>
            <w:vAlign w:val="bottom"/>
          </w:tcPr>
          <w:p w:rsidR="00877AFC" w:rsidRPr="002152E4" w:rsidRDefault="00877AFC" w:rsidP="000802D5">
            <w:pPr>
              <w:rPr>
                <w:bCs/>
                <w:lang w:val="ro-RO"/>
              </w:rPr>
            </w:pPr>
            <w:r w:rsidRPr="002152E4">
              <w:rPr>
                <w:bCs/>
                <w:lang w:val="ro-RO"/>
              </w:rPr>
              <w:t>Tribunalul Comercial Argeş</w:t>
            </w:r>
          </w:p>
        </w:tc>
        <w:tc>
          <w:tcPr>
            <w:tcW w:w="960" w:type="dxa"/>
            <w:shd w:val="clear" w:color="auto" w:fill="auto"/>
            <w:noWrap/>
            <w:vAlign w:val="center"/>
          </w:tcPr>
          <w:p w:rsidR="00877AFC" w:rsidRPr="002152E4" w:rsidRDefault="00877AFC" w:rsidP="004A41E6">
            <w:pPr>
              <w:jc w:val="center"/>
              <w:rPr>
                <w:rFonts w:cs="Arial"/>
                <w:lang w:val="ro-RO" w:eastAsia="ro-RO"/>
              </w:rPr>
            </w:pPr>
            <w:r w:rsidRPr="002152E4">
              <w:rPr>
                <w:rFonts w:cs="Arial"/>
                <w:lang w:val="ro-RO" w:eastAsia="ro-RO"/>
              </w:rPr>
              <w:t>1595</w:t>
            </w:r>
          </w:p>
        </w:tc>
        <w:tc>
          <w:tcPr>
            <w:tcW w:w="1551" w:type="dxa"/>
            <w:shd w:val="clear" w:color="auto" w:fill="auto"/>
            <w:noWrap/>
            <w:vAlign w:val="center"/>
          </w:tcPr>
          <w:p w:rsidR="00877AFC" w:rsidRPr="002152E4" w:rsidRDefault="00877AFC" w:rsidP="004A41E6">
            <w:pPr>
              <w:jc w:val="center"/>
              <w:rPr>
                <w:rFonts w:cs="Arial"/>
                <w:lang w:val="ro-RO" w:eastAsia="ro-RO"/>
              </w:rPr>
            </w:pPr>
            <w:r w:rsidRPr="002152E4">
              <w:rPr>
                <w:rFonts w:cs="Arial"/>
                <w:lang w:val="ro-RO" w:eastAsia="ro-RO"/>
              </w:rPr>
              <w:t>1901</w:t>
            </w:r>
          </w:p>
        </w:tc>
        <w:tc>
          <w:tcPr>
            <w:tcW w:w="1671" w:type="dxa"/>
            <w:shd w:val="clear" w:color="auto" w:fill="auto"/>
            <w:noWrap/>
            <w:vAlign w:val="center"/>
          </w:tcPr>
          <w:p w:rsidR="00877AFC" w:rsidRPr="002152E4" w:rsidRDefault="00877AFC" w:rsidP="004A41E6">
            <w:pPr>
              <w:jc w:val="center"/>
              <w:rPr>
                <w:rFonts w:cs="Arial"/>
                <w:lang w:val="ro-RO" w:eastAsia="ro-RO"/>
              </w:rPr>
            </w:pPr>
            <w:r w:rsidRPr="002152E4">
              <w:rPr>
                <w:rFonts w:cs="Arial"/>
                <w:lang w:val="ro-RO" w:eastAsia="ro-RO"/>
              </w:rPr>
              <w:t>119</w:t>
            </w:r>
          </w:p>
        </w:tc>
      </w:tr>
      <w:tr w:rsidR="00CE19CD" w:rsidRPr="002152E4" w:rsidTr="00B93ECD">
        <w:trPr>
          <w:trHeight w:val="342"/>
          <w:jc w:val="center"/>
        </w:trPr>
        <w:tc>
          <w:tcPr>
            <w:tcW w:w="4254" w:type="dxa"/>
            <w:shd w:val="clear" w:color="auto" w:fill="auto"/>
            <w:vAlign w:val="bottom"/>
          </w:tcPr>
          <w:p w:rsidR="00CE19CD" w:rsidRPr="002152E4" w:rsidRDefault="00CE19CD" w:rsidP="000802D5">
            <w:pPr>
              <w:rPr>
                <w:bCs/>
                <w:lang w:val="ro-RO"/>
              </w:rPr>
            </w:pPr>
            <w:r w:rsidRPr="002152E4">
              <w:rPr>
                <w:bCs/>
                <w:lang w:val="ro-RO"/>
              </w:rPr>
              <w:t>Tribunalul pentru minori şi familie Braşov</w:t>
            </w:r>
          </w:p>
        </w:tc>
        <w:tc>
          <w:tcPr>
            <w:tcW w:w="960" w:type="dxa"/>
            <w:shd w:val="clear" w:color="auto" w:fill="auto"/>
            <w:noWrap/>
            <w:vAlign w:val="center"/>
          </w:tcPr>
          <w:p w:rsidR="00CE19CD" w:rsidRPr="002152E4" w:rsidRDefault="004A41E6" w:rsidP="004A41E6">
            <w:pPr>
              <w:jc w:val="center"/>
              <w:rPr>
                <w:rFonts w:cs="Arial"/>
                <w:lang w:val="ro-RO" w:eastAsia="ro-RO"/>
              </w:rPr>
            </w:pPr>
            <w:r w:rsidRPr="002152E4">
              <w:rPr>
                <w:rFonts w:cs="Arial"/>
                <w:lang w:val="ro-RO" w:eastAsia="ro-RO"/>
              </w:rPr>
              <w:t>1212</w:t>
            </w:r>
          </w:p>
        </w:tc>
        <w:tc>
          <w:tcPr>
            <w:tcW w:w="1551" w:type="dxa"/>
            <w:shd w:val="clear" w:color="auto" w:fill="auto"/>
            <w:noWrap/>
            <w:vAlign w:val="center"/>
          </w:tcPr>
          <w:p w:rsidR="00CE19CD" w:rsidRPr="002152E4" w:rsidRDefault="004A41E6" w:rsidP="004A41E6">
            <w:pPr>
              <w:jc w:val="center"/>
              <w:rPr>
                <w:rFonts w:cs="Arial"/>
                <w:lang w:val="ro-RO" w:eastAsia="ro-RO"/>
              </w:rPr>
            </w:pPr>
            <w:r w:rsidRPr="002152E4">
              <w:rPr>
                <w:rFonts w:cs="Arial"/>
                <w:lang w:val="ro-RO" w:eastAsia="ro-RO"/>
              </w:rPr>
              <w:t>1191</w:t>
            </w:r>
          </w:p>
        </w:tc>
        <w:tc>
          <w:tcPr>
            <w:tcW w:w="1671" w:type="dxa"/>
            <w:shd w:val="clear" w:color="auto" w:fill="auto"/>
            <w:noWrap/>
            <w:vAlign w:val="center"/>
          </w:tcPr>
          <w:p w:rsidR="00CE19CD" w:rsidRPr="002152E4" w:rsidRDefault="004A41E6" w:rsidP="004A41E6">
            <w:pPr>
              <w:jc w:val="center"/>
              <w:rPr>
                <w:rFonts w:cs="Arial"/>
                <w:bCs/>
                <w:lang w:val="ro-RO" w:eastAsia="ro-RO"/>
              </w:rPr>
            </w:pPr>
            <w:r w:rsidRPr="002152E4">
              <w:rPr>
                <w:rFonts w:cs="Arial"/>
                <w:bCs/>
                <w:lang w:val="ro-RO" w:eastAsia="ro-RO"/>
              </w:rPr>
              <w:t>98</w:t>
            </w:r>
          </w:p>
        </w:tc>
      </w:tr>
      <w:tr w:rsidR="00877AFC" w:rsidRPr="002152E4" w:rsidTr="00B93ECD">
        <w:trPr>
          <w:trHeight w:val="342"/>
          <w:jc w:val="center"/>
        </w:trPr>
        <w:tc>
          <w:tcPr>
            <w:tcW w:w="4254" w:type="dxa"/>
            <w:shd w:val="clear" w:color="auto" w:fill="auto"/>
            <w:vAlign w:val="bottom"/>
          </w:tcPr>
          <w:p w:rsidR="00877AFC" w:rsidRPr="002152E4" w:rsidRDefault="00877AFC" w:rsidP="000802D5">
            <w:pPr>
              <w:rPr>
                <w:bCs/>
                <w:lang w:val="ro-RO"/>
              </w:rPr>
            </w:pPr>
            <w:r w:rsidRPr="002152E4">
              <w:rPr>
                <w:bCs/>
                <w:lang w:val="ro-RO"/>
              </w:rPr>
              <w:t>Tribunalul Comercial Mureş</w:t>
            </w:r>
          </w:p>
        </w:tc>
        <w:tc>
          <w:tcPr>
            <w:tcW w:w="960" w:type="dxa"/>
            <w:shd w:val="clear" w:color="auto" w:fill="auto"/>
            <w:noWrap/>
            <w:vAlign w:val="center"/>
          </w:tcPr>
          <w:p w:rsidR="00877AFC" w:rsidRPr="002152E4" w:rsidRDefault="00877AFC" w:rsidP="004A41E6">
            <w:pPr>
              <w:jc w:val="center"/>
              <w:rPr>
                <w:rFonts w:cs="Arial"/>
                <w:lang w:val="ro-RO" w:eastAsia="ro-RO"/>
              </w:rPr>
            </w:pPr>
            <w:r w:rsidRPr="002152E4">
              <w:rPr>
                <w:rFonts w:cs="Arial"/>
                <w:lang w:val="ro-RO" w:eastAsia="ro-RO"/>
              </w:rPr>
              <w:t>2296</w:t>
            </w:r>
          </w:p>
        </w:tc>
        <w:tc>
          <w:tcPr>
            <w:tcW w:w="1551" w:type="dxa"/>
            <w:shd w:val="clear" w:color="auto" w:fill="auto"/>
            <w:noWrap/>
            <w:vAlign w:val="center"/>
          </w:tcPr>
          <w:p w:rsidR="00877AFC" w:rsidRPr="002152E4" w:rsidRDefault="00877AFC" w:rsidP="004A41E6">
            <w:pPr>
              <w:jc w:val="center"/>
              <w:rPr>
                <w:rFonts w:cs="Arial"/>
                <w:lang w:val="ro-RO" w:eastAsia="ro-RO"/>
              </w:rPr>
            </w:pPr>
            <w:r w:rsidRPr="002152E4">
              <w:rPr>
                <w:rFonts w:cs="Arial"/>
                <w:lang w:val="ro-RO" w:eastAsia="ro-RO"/>
              </w:rPr>
              <w:t>2320</w:t>
            </w:r>
          </w:p>
        </w:tc>
        <w:tc>
          <w:tcPr>
            <w:tcW w:w="1671" w:type="dxa"/>
            <w:shd w:val="clear" w:color="auto" w:fill="auto"/>
            <w:noWrap/>
            <w:vAlign w:val="center"/>
          </w:tcPr>
          <w:p w:rsidR="00877AFC" w:rsidRPr="002152E4" w:rsidRDefault="00877AFC" w:rsidP="004A41E6">
            <w:pPr>
              <w:jc w:val="center"/>
              <w:rPr>
                <w:rFonts w:cs="Arial"/>
                <w:lang w:val="ro-RO" w:eastAsia="ro-RO"/>
              </w:rPr>
            </w:pPr>
            <w:r w:rsidRPr="002152E4">
              <w:rPr>
                <w:rFonts w:cs="Arial"/>
                <w:lang w:val="ro-RO" w:eastAsia="ro-RO"/>
              </w:rPr>
              <w:t>101</w:t>
            </w:r>
          </w:p>
        </w:tc>
      </w:tr>
      <w:tr w:rsidR="00877AFC" w:rsidRPr="002152E4" w:rsidTr="00B93ECD">
        <w:trPr>
          <w:trHeight w:val="342"/>
          <w:jc w:val="center"/>
        </w:trPr>
        <w:tc>
          <w:tcPr>
            <w:tcW w:w="4254" w:type="dxa"/>
            <w:shd w:val="clear" w:color="auto" w:fill="auto"/>
            <w:vAlign w:val="bottom"/>
          </w:tcPr>
          <w:p w:rsidR="00877AFC" w:rsidRPr="002152E4" w:rsidRDefault="00877AFC" w:rsidP="000802D5">
            <w:pPr>
              <w:rPr>
                <w:bCs/>
                <w:lang w:val="ro-RO"/>
              </w:rPr>
            </w:pPr>
            <w:r w:rsidRPr="002152E4">
              <w:rPr>
                <w:bCs/>
                <w:lang w:val="ro-RO"/>
              </w:rPr>
              <w:t>Tribunalul Comercial Cluj</w:t>
            </w:r>
          </w:p>
        </w:tc>
        <w:tc>
          <w:tcPr>
            <w:tcW w:w="960" w:type="dxa"/>
            <w:shd w:val="clear" w:color="auto" w:fill="auto"/>
            <w:noWrap/>
            <w:vAlign w:val="center"/>
          </w:tcPr>
          <w:p w:rsidR="00877AFC" w:rsidRPr="002152E4" w:rsidRDefault="00877AFC" w:rsidP="004A41E6">
            <w:pPr>
              <w:jc w:val="center"/>
              <w:rPr>
                <w:rFonts w:cs="Arial"/>
                <w:lang w:val="ro-RO" w:eastAsia="ro-RO"/>
              </w:rPr>
            </w:pPr>
            <w:r w:rsidRPr="002152E4">
              <w:rPr>
                <w:rFonts w:cs="Arial"/>
                <w:lang w:val="ro-RO" w:eastAsia="ro-RO"/>
              </w:rPr>
              <w:t>3349</w:t>
            </w:r>
          </w:p>
        </w:tc>
        <w:tc>
          <w:tcPr>
            <w:tcW w:w="1551" w:type="dxa"/>
            <w:shd w:val="clear" w:color="auto" w:fill="auto"/>
            <w:noWrap/>
            <w:vAlign w:val="center"/>
          </w:tcPr>
          <w:p w:rsidR="00877AFC" w:rsidRPr="002152E4" w:rsidRDefault="00877AFC" w:rsidP="004A41E6">
            <w:pPr>
              <w:jc w:val="center"/>
              <w:rPr>
                <w:rFonts w:cs="Arial"/>
                <w:lang w:val="ro-RO" w:eastAsia="ro-RO"/>
              </w:rPr>
            </w:pPr>
            <w:r w:rsidRPr="002152E4">
              <w:rPr>
                <w:rFonts w:cs="Arial"/>
                <w:lang w:val="ro-RO" w:eastAsia="ro-RO"/>
              </w:rPr>
              <w:t>3662</w:t>
            </w:r>
          </w:p>
        </w:tc>
        <w:tc>
          <w:tcPr>
            <w:tcW w:w="1671" w:type="dxa"/>
            <w:shd w:val="clear" w:color="auto" w:fill="auto"/>
            <w:noWrap/>
            <w:vAlign w:val="center"/>
          </w:tcPr>
          <w:p w:rsidR="00877AFC" w:rsidRPr="002152E4" w:rsidRDefault="00877AFC" w:rsidP="004A41E6">
            <w:pPr>
              <w:jc w:val="center"/>
              <w:rPr>
                <w:rFonts w:cs="Arial"/>
                <w:lang w:val="ro-RO" w:eastAsia="ro-RO"/>
              </w:rPr>
            </w:pPr>
            <w:r w:rsidRPr="002152E4">
              <w:rPr>
                <w:rFonts w:cs="Arial"/>
                <w:lang w:val="ro-RO" w:eastAsia="ro-RO"/>
              </w:rPr>
              <w:t>109</w:t>
            </w:r>
          </w:p>
        </w:tc>
      </w:tr>
    </w:tbl>
    <w:p w:rsidR="000802D5" w:rsidRPr="002152E4" w:rsidRDefault="000802D5" w:rsidP="000802D5">
      <w:pPr>
        <w:spacing w:before="120" w:line="360" w:lineRule="auto"/>
        <w:jc w:val="both"/>
        <w:rPr>
          <w:bCs/>
          <w:lang w:val="ro-RO"/>
        </w:rPr>
      </w:pPr>
    </w:p>
    <w:p w:rsidR="000802D5" w:rsidRPr="002152E4" w:rsidRDefault="00ED0D65" w:rsidP="00ED0D65">
      <w:pPr>
        <w:pStyle w:val="Heading3"/>
      </w:pPr>
      <w:bookmarkStart w:id="66" w:name="_Toc127732397"/>
      <w:bookmarkStart w:id="67" w:name="_Toc127732508"/>
      <w:bookmarkStart w:id="68" w:name="_Toc127736443"/>
      <w:bookmarkStart w:id="69" w:name="_Toc128547398"/>
      <w:bookmarkStart w:id="70" w:name="_Toc411333488"/>
      <w:bookmarkStart w:id="71" w:name="_Toc411429423"/>
      <w:bookmarkStart w:id="72" w:name="_Toc475363406"/>
      <w:bookmarkStart w:id="73" w:name="_Toc486576529"/>
      <w:r w:rsidRPr="002152E4">
        <w:t>II.</w:t>
      </w:r>
      <w:r w:rsidR="00F90F50" w:rsidRPr="002152E4">
        <w:t xml:space="preserve">3.4. </w:t>
      </w:r>
      <w:r w:rsidR="000802D5" w:rsidRPr="002152E4">
        <w:t>Operativitatea la nivelul judecătorii</w:t>
      </w:r>
      <w:bookmarkEnd w:id="66"/>
      <w:bookmarkEnd w:id="67"/>
      <w:bookmarkEnd w:id="68"/>
      <w:bookmarkEnd w:id="69"/>
      <w:r w:rsidR="000802D5" w:rsidRPr="002152E4">
        <w:t>lor</w:t>
      </w:r>
      <w:bookmarkEnd w:id="70"/>
      <w:bookmarkEnd w:id="71"/>
      <w:bookmarkEnd w:id="72"/>
      <w:bookmarkEnd w:id="73"/>
    </w:p>
    <w:p w:rsidR="000802D5" w:rsidRPr="002152E4" w:rsidRDefault="000802D5" w:rsidP="00CA1AB6">
      <w:pPr>
        <w:pStyle w:val="AddParagraf"/>
      </w:pPr>
      <w:r w:rsidRPr="002152E4">
        <w:t xml:space="preserve">Din cele </w:t>
      </w:r>
      <w:r w:rsidR="00CE1020" w:rsidRPr="002152E4">
        <w:rPr>
          <w:b/>
        </w:rPr>
        <w:t>2.023.150</w:t>
      </w:r>
      <w:r w:rsidR="00C503AC" w:rsidRPr="002152E4">
        <w:t xml:space="preserve"> </w:t>
      </w:r>
      <w:r w:rsidRPr="002152E4">
        <w:t xml:space="preserve">cauze de soluţionat în </w:t>
      </w:r>
      <w:r w:rsidR="00CE1020" w:rsidRPr="002152E4">
        <w:t>cursul anului 2016</w:t>
      </w:r>
      <w:r w:rsidRPr="002152E4">
        <w:t xml:space="preserve">, au fost soluţionate </w:t>
      </w:r>
      <w:r w:rsidR="00C503AC" w:rsidRPr="002152E4">
        <w:rPr>
          <w:b/>
        </w:rPr>
        <w:t>1.5</w:t>
      </w:r>
      <w:r w:rsidR="00CE1020" w:rsidRPr="002152E4">
        <w:rPr>
          <w:b/>
        </w:rPr>
        <w:t xml:space="preserve">23.519 </w:t>
      </w:r>
      <w:r w:rsidRPr="002152E4">
        <w:t xml:space="preserve">dosare, rămânând un stoc de </w:t>
      </w:r>
      <w:r w:rsidR="00C503AC" w:rsidRPr="002152E4">
        <w:t xml:space="preserve"> </w:t>
      </w:r>
      <w:r w:rsidR="00CE1020" w:rsidRPr="002152E4">
        <w:rPr>
          <w:b/>
        </w:rPr>
        <w:t>499.631</w:t>
      </w:r>
      <w:r w:rsidR="00C503AC" w:rsidRPr="002152E4">
        <w:t xml:space="preserve"> </w:t>
      </w:r>
      <w:r w:rsidRPr="002152E4">
        <w:t>cauze (</w:t>
      </w:r>
      <w:r w:rsidR="00CE1020" w:rsidRPr="002152E4">
        <w:t>486617</w:t>
      </w:r>
      <w:r w:rsidRPr="002152E4">
        <w:t xml:space="preserve"> </w:t>
      </w:r>
      <w:r w:rsidR="00CE1020" w:rsidRPr="002152E4">
        <w:t>cauze în 2015</w:t>
      </w:r>
      <w:r w:rsidRPr="002152E4">
        <w:t>).</w:t>
      </w:r>
    </w:p>
    <w:p w:rsidR="007500FF" w:rsidRPr="002152E4" w:rsidRDefault="000802D5" w:rsidP="003A0CB7">
      <w:pPr>
        <w:pStyle w:val="AddParagraf"/>
      </w:pPr>
      <w:r w:rsidRPr="002152E4">
        <w:t xml:space="preserve">În procente, operativitatea medie în raport de întregul volum de activitate s-a situat la </w:t>
      </w:r>
      <w:r w:rsidR="00B937B6" w:rsidRPr="002152E4">
        <w:rPr>
          <w:b/>
        </w:rPr>
        <w:t>77 %</w:t>
      </w:r>
      <w:r w:rsidRPr="002152E4">
        <w:t xml:space="preserve"> (</w:t>
      </w:r>
      <w:r w:rsidR="00CE1020" w:rsidRPr="002152E4">
        <w:t>77 % în anul 2015</w:t>
      </w:r>
      <w:r w:rsidRPr="002152E4">
        <w:t>).</w:t>
      </w:r>
    </w:p>
    <w:p w:rsidR="000802D5" w:rsidRPr="002152E4" w:rsidRDefault="000802D5" w:rsidP="00CA1AB6">
      <w:pPr>
        <w:pStyle w:val="AddParagraf"/>
      </w:pPr>
      <w:r w:rsidRPr="002152E4">
        <w:t xml:space="preserve">În tabelul de mai jos sunt prezentate operativităţile pentru cele mai eficiente judecătorii calculate ca raportul dintre dosarele soluţionate şi cele intrate (sub aspectul </w:t>
      </w:r>
      <w:r w:rsidR="002152E4" w:rsidRPr="002152E4">
        <w:t>eficienței</w:t>
      </w:r>
      <w:r w:rsidRPr="002152E4">
        <w:t xml:space="preserve"> în atacarea stocurilor):</w:t>
      </w:r>
    </w:p>
    <w:tbl>
      <w:tblPr>
        <w:tblW w:w="8090" w:type="dxa"/>
        <w:jc w:val="center"/>
        <w:tblLook w:val="0000" w:firstRow="0" w:lastRow="0" w:firstColumn="0" w:lastColumn="0" w:noHBand="0" w:noVBand="0"/>
      </w:tblPr>
      <w:tblGrid>
        <w:gridCol w:w="3967"/>
        <w:gridCol w:w="1003"/>
        <w:gridCol w:w="1410"/>
        <w:gridCol w:w="1710"/>
      </w:tblGrid>
      <w:tr w:rsidR="00A464DF" w:rsidRPr="002152E4" w:rsidTr="00547463">
        <w:trPr>
          <w:trHeight w:val="629"/>
          <w:jc w:val="center"/>
        </w:trPr>
        <w:tc>
          <w:tcPr>
            <w:tcW w:w="3967" w:type="dxa"/>
            <w:tcBorders>
              <w:top w:val="single" w:sz="4" w:space="0" w:color="auto"/>
              <w:left w:val="single" w:sz="4" w:space="0" w:color="auto"/>
              <w:bottom w:val="single" w:sz="4" w:space="0" w:color="auto"/>
              <w:right w:val="single" w:sz="4" w:space="0" w:color="auto"/>
            </w:tcBorders>
            <w:shd w:val="clear" w:color="auto" w:fill="99CCFF"/>
            <w:vAlign w:val="center"/>
          </w:tcPr>
          <w:p w:rsidR="00A464DF" w:rsidRPr="002152E4" w:rsidRDefault="00395EEE" w:rsidP="00A464DF">
            <w:pPr>
              <w:jc w:val="center"/>
              <w:rPr>
                <w:rFonts w:cs="Arial"/>
                <w:b/>
                <w:bCs/>
                <w:lang w:val="ro-RO" w:eastAsia="ro-RO"/>
              </w:rPr>
            </w:pPr>
            <w:r w:rsidRPr="002152E4">
              <w:rPr>
                <w:rFonts w:cs="Arial"/>
                <w:b/>
                <w:bCs/>
                <w:lang w:val="ro-RO" w:eastAsia="ro-RO"/>
              </w:rPr>
              <w:t>Instanţa</w:t>
            </w:r>
          </w:p>
        </w:tc>
        <w:tc>
          <w:tcPr>
            <w:tcW w:w="1003" w:type="dxa"/>
            <w:tcBorders>
              <w:top w:val="single" w:sz="4" w:space="0" w:color="auto"/>
              <w:left w:val="nil"/>
              <w:bottom w:val="single" w:sz="4" w:space="0" w:color="auto"/>
              <w:right w:val="single" w:sz="4" w:space="0" w:color="auto"/>
            </w:tcBorders>
            <w:shd w:val="clear" w:color="auto" w:fill="99CCFF"/>
            <w:vAlign w:val="center"/>
          </w:tcPr>
          <w:p w:rsidR="00A464DF" w:rsidRPr="002152E4" w:rsidRDefault="00A464DF" w:rsidP="00A464DF">
            <w:pPr>
              <w:jc w:val="center"/>
              <w:rPr>
                <w:rFonts w:cs="Arial"/>
                <w:b/>
                <w:bCs/>
                <w:lang w:val="ro-RO" w:eastAsia="ro-RO"/>
              </w:rPr>
            </w:pPr>
            <w:r w:rsidRPr="002152E4">
              <w:rPr>
                <w:rFonts w:cs="Arial"/>
                <w:b/>
                <w:bCs/>
                <w:lang w:val="ro-RO" w:eastAsia="ro-RO"/>
              </w:rPr>
              <w:t>Nou intrate</w:t>
            </w:r>
          </w:p>
        </w:tc>
        <w:tc>
          <w:tcPr>
            <w:tcW w:w="1410" w:type="dxa"/>
            <w:tcBorders>
              <w:top w:val="single" w:sz="4" w:space="0" w:color="auto"/>
              <w:left w:val="nil"/>
              <w:bottom w:val="single" w:sz="4" w:space="0" w:color="auto"/>
              <w:right w:val="single" w:sz="4" w:space="0" w:color="auto"/>
            </w:tcBorders>
            <w:shd w:val="clear" w:color="auto" w:fill="99CCFF"/>
            <w:vAlign w:val="center"/>
          </w:tcPr>
          <w:p w:rsidR="00A464DF" w:rsidRPr="002152E4" w:rsidRDefault="00A464DF" w:rsidP="00A464DF">
            <w:pPr>
              <w:jc w:val="center"/>
              <w:rPr>
                <w:rFonts w:cs="Arial"/>
                <w:b/>
                <w:bCs/>
                <w:lang w:val="ro-RO" w:eastAsia="ro-RO"/>
              </w:rPr>
            </w:pPr>
            <w:r w:rsidRPr="002152E4">
              <w:rPr>
                <w:rFonts w:cs="Arial"/>
                <w:b/>
                <w:bCs/>
                <w:lang w:val="ro-RO" w:eastAsia="ro-RO"/>
              </w:rPr>
              <w:t>Total volum soluţionate</w:t>
            </w:r>
          </w:p>
        </w:tc>
        <w:tc>
          <w:tcPr>
            <w:tcW w:w="1710" w:type="dxa"/>
            <w:tcBorders>
              <w:top w:val="single" w:sz="4" w:space="0" w:color="auto"/>
              <w:left w:val="nil"/>
              <w:bottom w:val="single" w:sz="4" w:space="0" w:color="auto"/>
              <w:right w:val="single" w:sz="4" w:space="0" w:color="auto"/>
            </w:tcBorders>
            <w:shd w:val="clear" w:color="auto" w:fill="99CCFF"/>
            <w:vAlign w:val="center"/>
          </w:tcPr>
          <w:p w:rsidR="00A464DF" w:rsidRPr="002152E4" w:rsidRDefault="00A464DF" w:rsidP="00A464DF">
            <w:pPr>
              <w:jc w:val="center"/>
              <w:rPr>
                <w:rFonts w:cs="Arial"/>
                <w:b/>
                <w:bCs/>
                <w:lang w:val="ro-RO" w:eastAsia="ro-RO"/>
              </w:rPr>
            </w:pPr>
            <w:r w:rsidRPr="002152E4">
              <w:rPr>
                <w:rFonts w:cs="Arial"/>
                <w:b/>
                <w:bCs/>
                <w:lang w:val="ro-RO" w:eastAsia="ro-RO"/>
              </w:rPr>
              <w:t>Operativitatea (%)</w:t>
            </w:r>
          </w:p>
        </w:tc>
      </w:tr>
      <w:tr w:rsidR="008136AF" w:rsidRPr="002152E4" w:rsidTr="000511BC">
        <w:trPr>
          <w:trHeight w:val="315"/>
          <w:jc w:val="center"/>
        </w:trPr>
        <w:tc>
          <w:tcPr>
            <w:tcW w:w="3967" w:type="dxa"/>
            <w:tcBorders>
              <w:top w:val="nil"/>
              <w:left w:val="single" w:sz="4" w:space="0" w:color="000000"/>
              <w:bottom w:val="single" w:sz="4" w:space="0" w:color="000000"/>
              <w:right w:val="single" w:sz="4" w:space="0" w:color="000000"/>
            </w:tcBorders>
            <w:shd w:val="clear" w:color="auto" w:fill="auto"/>
            <w:vAlign w:val="center"/>
          </w:tcPr>
          <w:p w:rsidR="008136AF" w:rsidRPr="002152E4" w:rsidRDefault="008136AF" w:rsidP="00B04118">
            <w:pPr>
              <w:rPr>
                <w:rFonts w:cs="Arial"/>
                <w:lang w:val="ro-RO" w:eastAsia="ro-RO"/>
              </w:rPr>
            </w:pPr>
            <w:r w:rsidRPr="002152E4">
              <w:rPr>
                <w:rFonts w:cs="Arial"/>
                <w:lang w:val="ro-RO" w:eastAsia="ro-RO"/>
              </w:rPr>
              <w:t>Judecatoria INSURATEI</w:t>
            </w:r>
          </w:p>
        </w:tc>
        <w:tc>
          <w:tcPr>
            <w:tcW w:w="1003" w:type="dxa"/>
            <w:tcBorders>
              <w:top w:val="nil"/>
              <w:left w:val="nil"/>
              <w:bottom w:val="single" w:sz="4" w:space="0" w:color="000000"/>
              <w:right w:val="single" w:sz="4" w:space="0" w:color="000000"/>
            </w:tcBorders>
            <w:shd w:val="clear" w:color="auto" w:fill="auto"/>
            <w:vAlign w:val="center"/>
          </w:tcPr>
          <w:p w:rsidR="008136AF" w:rsidRPr="002152E4" w:rsidRDefault="008136AF" w:rsidP="00B04118">
            <w:pPr>
              <w:jc w:val="center"/>
              <w:rPr>
                <w:rFonts w:cs="Arial"/>
                <w:lang w:val="ro-RO" w:eastAsia="ro-RO"/>
              </w:rPr>
            </w:pPr>
            <w:r w:rsidRPr="002152E4">
              <w:rPr>
                <w:rFonts w:cs="Arial"/>
                <w:lang w:val="ro-RO" w:eastAsia="ro-RO"/>
              </w:rPr>
              <w:t>1061</w:t>
            </w:r>
          </w:p>
        </w:tc>
        <w:tc>
          <w:tcPr>
            <w:tcW w:w="1410" w:type="dxa"/>
            <w:tcBorders>
              <w:top w:val="nil"/>
              <w:left w:val="nil"/>
              <w:bottom w:val="single" w:sz="4" w:space="0" w:color="000000"/>
              <w:right w:val="single" w:sz="4" w:space="0" w:color="000000"/>
            </w:tcBorders>
            <w:shd w:val="clear" w:color="auto" w:fill="auto"/>
            <w:vAlign w:val="bottom"/>
          </w:tcPr>
          <w:p w:rsidR="008136AF" w:rsidRPr="002152E4" w:rsidRDefault="008136AF" w:rsidP="00B04118">
            <w:pPr>
              <w:jc w:val="center"/>
              <w:rPr>
                <w:rFonts w:cs="Arial"/>
                <w:lang w:val="ro-RO" w:eastAsia="ro-RO"/>
              </w:rPr>
            </w:pPr>
            <w:r w:rsidRPr="002152E4">
              <w:rPr>
                <w:rFonts w:cs="Arial"/>
                <w:lang w:val="ro-RO" w:eastAsia="ro-RO"/>
              </w:rPr>
              <w:t>2016</w:t>
            </w:r>
          </w:p>
        </w:tc>
        <w:tc>
          <w:tcPr>
            <w:tcW w:w="1710" w:type="dxa"/>
            <w:tcBorders>
              <w:top w:val="nil"/>
              <w:left w:val="nil"/>
              <w:bottom w:val="single" w:sz="4" w:space="0" w:color="auto"/>
              <w:right w:val="single" w:sz="4" w:space="0" w:color="auto"/>
            </w:tcBorders>
            <w:shd w:val="clear" w:color="auto" w:fill="auto"/>
            <w:noWrap/>
            <w:vAlign w:val="bottom"/>
          </w:tcPr>
          <w:p w:rsidR="008136AF" w:rsidRPr="002152E4" w:rsidRDefault="008136AF" w:rsidP="00B04118">
            <w:pPr>
              <w:jc w:val="center"/>
              <w:rPr>
                <w:rFonts w:cs="Arial"/>
                <w:lang w:val="ro-RO" w:eastAsia="ro-RO"/>
              </w:rPr>
            </w:pPr>
            <w:r w:rsidRPr="002152E4">
              <w:rPr>
                <w:rFonts w:cs="Arial"/>
                <w:lang w:val="ro-RO" w:eastAsia="ro-RO"/>
              </w:rPr>
              <w:t>190</w:t>
            </w:r>
          </w:p>
        </w:tc>
      </w:tr>
      <w:tr w:rsidR="008136AF" w:rsidRPr="002152E4" w:rsidTr="000511BC">
        <w:trPr>
          <w:trHeight w:val="315"/>
          <w:jc w:val="center"/>
        </w:trPr>
        <w:tc>
          <w:tcPr>
            <w:tcW w:w="3967" w:type="dxa"/>
            <w:tcBorders>
              <w:top w:val="nil"/>
              <w:left w:val="single" w:sz="4" w:space="0" w:color="000000"/>
              <w:bottom w:val="single" w:sz="4" w:space="0" w:color="000000"/>
              <w:right w:val="single" w:sz="4" w:space="0" w:color="000000"/>
            </w:tcBorders>
            <w:shd w:val="clear" w:color="auto" w:fill="auto"/>
            <w:vAlign w:val="center"/>
          </w:tcPr>
          <w:p w:rsidR="008136AF" w:rsidRPr="002152E4" w:rsidRDefault="008136AF" w:rsidP="00B04118">
            <w:pPr>
              <w:rPr>
                <w:rFonts w:cs="Arial"/>
                <w:lang w:val="ro-RO" w:eastAsia="ro-RO"/>
              </w:rPr>
            </w:pPr>
            <w:r w:rsidRPr="002152E4">
              <w:rPr>
                <w:rFonts w:cs="Arial"/>
                <w:lang w:val="ro-RO" w:eastAsia="ro-RO"/>
              </w:rPr>
              <w:t>Judecatoria BISTRITA</w:t>
            </w:r>
          </w:p>
        </w:tc>
        <w:tc>
          <w:tcPr>
            <w:tcW w:w="1003" w:type="dxa"/>
            <w:tcBorders>
              <w:top w:val="nil"/>
              <w:left w:val="nil"/>
              <w:bottom w:val="single" w:sz="4" w:space="0" w:color="000000"/>
              <w:right w:val="single" w:sz="4" w:space="0" w:color="000000"/>
            </w:tcBorders>
            <w:shd w:val="clear" w:color="auto" w:fill="auto"/>
            <w:vAlign w:val="center"/>
          </w:tcPr>
          <w:p w:rsidR="008136AF" w:rsidRPr="002152E4" w:rsidRDefault="008136AF" w:rsidP="00B04118">
            <w:pPr>
              <w:jc w:val="center"/>
              <w:rPr>
                <w:rFonts w:cs="Arial"/>
                <w:lang w:val="ro-RO" w:eastAsia="ro-RO"/>
              </w:rPr>
            </w:pPr>
            <w:r w:rsidRPr="002152E4">
              <w:rPr>
                <w:rFonts w:cs="Arial"/>
                <w:lang w:val="ro-RO" w:eastAsia="ro-RO"/>
              </w:rPr>
              <w:t>11196</w:t>
            </w:r>
          </w:p>
        </w:tc>
        <w:tc>
          <w:tcPr>
            <w:tcW w:w="1410" w:type="dxa"/>
            <w:tcBorders>
              <w:top w:val="nil"/>
              <w:left w:val="nil"/>
              <w:bottom w:val="single" w:sz="4" w:space="0" w:color="000000"/>
              <w:right w:val="single" w:sz="4" w:space="0" w:color="000000"/>
            </w:tcBorders>
            <w:shd w:val="clear" w:color="auto" w:fill="auto"/>
            <w:vAlign w:val="bottom"/>
          </w:tcPr>
          <w:p w:rsidR="008136AF" w:rsidRPr="002152E4" w:rsidRDefault="008136AF" w:rsidP="00B04118">
            <w:pPr>
              <w:jc w:val="center"/>
              <w:rPr>
                <w:rFonts w:cs="Arial"/>
                <w:lang w:val="ro-RO" w:eastAsia="ro-RO"/>
              </w:rPr>
            </w:pPr>
            <w:r w:rsidRPr="002152E4">
              <w:rPr>
                <w:rFonts w:cs="Arial"/>
                <w:lang w:val="ro-RO" w:eastAsia="ro-RO"/>
              </w:rPr>
              <w:t>12817</w:t>
            </w:r>
          </w:p>
        </w:tc>
        <w:tc>
          <w:tcPr>
            <w:tcW w:w="1710" w:type="dxa"/>
            <w:tcBorders>
              <w:top w:val="nil"/>
              <w:left w:val="nil"/>
              <w:bottom w:val="single" w:sz="4" w:space="0" w:color="auto"/>
              <w:right w:val="single" w:sz="4" w:space="0" w:color="auto"/>
            </w:tcBorders>
            <w:shd w:val="clear" w:color="auto" w:fill="auto"/>
            <w:noWrap/>
            <w:vAlign w:val="bottom"/>
          </w:tcPr>
          <w:p w:rsidR="008136AF" w:rsidRPr="002152E4" w:rsidRDefault="00603C5F" w:rsidP="00B04118">
            <w:pPr>
              <w:jc w:val="center"/>
              <w:rPr>
                <w:rFonts w:cs="Arial"/>
                <w:lang w:val="ro-RO" w:eastAsia="ro-RO"/>
              </w:rPr>
            </w:pPr>
            <w:r w:rsidRPr="002152E4">
              <w:rPr>
                <w:rFonts w:cs="Arial"/>
                <w:lang w:val="ro-RO" w:eastAsia="ro-RO"/>
              </w:rPr>
              <w:t>114</w:t>
            </w:r>
          </w:p>
        </w:tc>
      </w:tr>
      <w:tr w:rsidR="008136AF" w:rsidRPr="002152E4" w:rsidTr="000511BC">
        <w:trPr>
          <w:trHeight w:val="315"/>
          <w:jc w:val="center"/>
        </w:trPr>
        <w:tc>
          <w:tcPr>
            <w:tcW w:w="3967" w:type="dxa"/>
            <w:tcBorders>
              <w:top w:val="nil"/>
              <w:left w:val="single" w:sz="4" w:space="0" w:color="000000"/>
              <w:bottom w:val="single" w:sz="4" w:space="0" w:color="auto"/>
              <w:right w:val="single" w:sz="4" w:space="0" w:color="000000"/>
            </w:tcBorders>
            <w:shd w:val="clear" w:color="auto" w:fill="auto"/>
            <w:vAlign w:val="center"/>
          </w:tcPr>
          <w:p w:rsidR="008136AF" w:rsidRPr="002152E4" w:rsidRDefault="008136AF" w:rsidP="00B04118">
            <w:pPr>
              <w:rPr>
                <w:rFonts w:cs="Arial"/>
                <w:lang w:val="ro-RO" w:eastAsia="ro-RO"/>
              </w:rPr>
            </w:pPr>
            <w:r w:rsidRPr="002152E4">
              <w:rPr>
                <w:rFonts w:cs="Arial"/>
                <w:lang w:val="ro-RO" w:eastAsia="ro-RO"/>
              </w:rPr>
              <w:t>Judecatoria INTORSURA BUZAULUI</w:t>
            </w:r>
          </w:p>
        </w:tc>
        <w:tc>
          <w:tcPr>
            <w:tcW w:w="1003" w:type="dxa"/>
            <w:tcBorders>
              <w:top w:val="nil"/>
              <w:left w:val="nil"/>
              <w:bottom w:val="single" w:sz="4" w:space="0" w:color="auto"/>
              <w:right w:val="single" w:sz="4" w:space="0" w:color="000000"/>
            </w:tcBorders>
            <w:shd w:val="clear" w:color="auto" w:fill="auto"/>
            <w:vAlign w:val="center"/>
          </w:tcPr>
          <w:p w:rsidR="008136AF" w:rsidRPr="002152E4" w:rsidRDefault="008136AF" w:rsidP="00B04118">
            <w:pPr>
              <w:jc w:val="center"/>
              <w:rPr>
                <w:rFonts w:cs="Arial"/>
                <w:lang w:val="ro-RO" w:eastAsia="ro-RO"/>
              </w:rPr>
            </w:pPr>
            <w:r w:rsidRPr="002152E4">
              <w:rPr>
                <w:rFonts w:cs="Arial"/>
                <w:lang w:val="ro-RO" w:eastAsia="ro-RO"/>
              </w:rPr>
              <w:t>683</w:t>
            </w:r>
          </w:p>
        </w:tc>
        <w:tc>
          <w:tcPr>
            <w:tcW w:w="1410" w:type="dxa"/>
            <w:tcBorders>
              <w:top w:val="nil"/>
              <w:left w:val="nil"/>
              <w:bottom w:val="single" w:sz="4" w:space="0" w:color="auto"/>
              <w:right w:val="single" w:sz="4" w:space="0" w:color="000000"/>
            </w:tcBorders>
            <w:shd w:val="clear" w:color="auto" w:fill="auto"/>
            <w:vAlign w:val="bottom"/>
          </w:tcPr>
          <w:p w:rsidR="008136AF" w:rsidRPr="002152E4" w:rsidRDefault="008136AF" w:rsidP="00B04118">
            <w:pPr>
              <w:jc w:val="center"/>
              <w:rPr>
                <w:rFonts w:cs="Arial"/>
                <w:lang w:val="ro-RO" w:eastAsia="ro-RO"/>
              </w:rPr>
            </w:pPr>
            <w:r w:rsidRPr="002152E4">
              <w:rPr>
                <w:rFonts w:cs="Arial"/>
                <w:lang w:val="ro-RO" w:eastAsia="ro-RO"/>
              </w:rPr>
              <w:t>773</w:t>
            </w:r>
          </w:p>
        </w:tc>
        <w:tc>
          <w:tcPr>
            <w:tcW w:w="1710" w:type="dxa"/>
            <w:tcBorders>
              <w:top w:val="nil"/>
              <w:left w:val="nil"/>
              <w:bottom w:val="single" w:sz="4" w:space="0" w:color="auto"/>
              <w:right w:val="single" w:sz="4" w:space="0" w:color="auto"/>
            </w:tcBorders>
            <w:shd w:val="clear" w:color="auto" w:fill="auto"/>
            <w:noWrap/>
            <w:vAlign w:val="bottom"/>
          </w:tcPr>
          <w:p w:rsidR="008136AF" w:rsidRPr="002152E4" w:rsidRDefault="008136AF" w:rsidP="00B04118">
            <w:pPr>
              <w:jc w:val="center"/>
              <w:rPr>
                <w:rFonts w:cs="Arial"/>
                <w:lang w:val="ro-RO" w:eastAsia="ro-RO"/>
              </w:rPr>
            </w:pPr>
            <w:r w:rsidRPr="002152E4">
              <w:rPr>
                <w:rFonts w:cs="Arial"/>
                <w:lang w:val="ro-RO" w:eastAsia="ro-RO"/>
              </w:rPr>
              <w:t>113</w:t>
            </w:r>
          </w:p>
        </w:tc>
      </w:tr>
      <w:tr w:rsidR="008136AF" w:rsidRPr="002152E4" w:rsidTr="000511BC">
        <w:trPr>
          <w:trHeight w:val="315"/>
          <w:jc w:val="center"/>
        </w:trPr>
        <w:tc>
          <w:tcPr>
            <w:tcW w:w="3967" w:type="dxa"/>
            <w:tcBorders>
              <w:top w:val="single" w:sz="4" w:space="0" w:color="auto"/>
              <w:left w:val="single" w:sz="4" w:space="0" w:color="auto"/>
              <w:bottom w:val="single" w:sz="4" w:space="0" w:color="auto"/>
              <w:right w:val="single" w:sz="4" w:space="0" w:color="000000"/>
            </w:tcBorders>
            <w:shd w:val="clear" w:color="auto" w:fill="auto"/>
            <w:vAlign w:val="center"/>
          </w:tcPr>
          <w:p w:rsidR="008136AF" w:rsidRPr="002152E4" w:rsidRDefault="008136AF" w:rsidP="00B04118">
            <w:pPr>
              <w:rPr>
                <w:rFonts w:cs="Arial"/>
                <w:lang w:val="ro-RO" w:eastAsia="ro-RO"/>
              </w:rPr>
            </w:pPr>
            <w:r w:rsidRPr="002152E4">
              <w:rPr>
                <w:rFonts w:cs="Arial"/>
                <w:lang w:val="ro-RO" w:eastAsia="ro-RO"/>
              </w:rPr>
              <w:t>Judecatoria VISEU DE SUS</w:t>
            </w:r>
          </w:p>
        </w:tc>
        <w:tc>
          <w:tcPr>
            <w:tcW w:w="1003" w:type="dxa"/>
            <w:tcBorders>
              <w:top w:val="single" w:sz="4" w:space="0" w:color="auto"/>
              <w:left w:val="nil"/>
              <w:bottom w:val="single" w:sz="4" w:space="0" w:color="auto"/>
              <w:right w:val="single" w:sz="4" w:space="0" w:color="000000"/>
            </w:tcBorders>
            <w:shd w:val="clear" w:color="auto" w:fill="auto"/>
            <w:vAlign w:val="center"/>
          </w:tcPr>
          <w:p w:rsidR="008136AF" w:rsidRPr="002152E4" w:rsidRDefault="008136AF" w:rsidP="00B04118">
            <w:pPr>
              <w:jc w:val="center"/>
              <w:rPr>
                <w:rFonts w:cs="Arial"/>
                <w:lang w:val="ro-RO" w:eastAsia="ro-RO"/>
              </w:rPr>
            </w:pPr>
            <w:r w:rsidRPr="002152E4">
              <w:rPr>
                <w:rFonts w:cs="Arial"/>
                <w:lang w:val="ro-RO" w:eastAsia="ro-RO"/>
              </w:rPr>
              <w:t>2593</w:t>
            </w:r>
          </w:p>
        </w:tc>
        <w:tc>
          <w:tcPr>
            <w:tcW w:w="1410" w:type="dxa"/>
            <w:tcBorders>
              <w:top w:val="single" w:sz="4" w:space="0" w:color="auto"/>
              <w:left w:val="nil"/>
              <w:bottom w:val="single" w:sz="4" w:space="0" w:color="auto"/>
              <w:right w:val="single" w:sz="4" w:space="0" w:color="000000"/>
            </w:tcBorders>
            <w:shd w:val="clear" w:color="auto" w:fill="auto"/>
            <w:vAlign w:val="bottom"/>
          </w:tcPr>
          <w:p w:rsidR="008136AF" w:rsidRPr="002152E4" w:rsidRDefault="008136AF" w:rsidP="00B04118">
            <w:pPr>
              <w:jc w:val="center"/>
              <w:rPr>
                <w:rFonts w:cs="Arial"/>
                <w:lang w:val="ro-RO" w:eastAsia="ro-RO"/>
              </w:rPr>
            </w:pPr>
            <w:r w:rsidRPr="002152E4">
              <w:rPr>
                <w:rFonts w:cs="Arial"/>
                <w:lang w:val="ro-RO" w:eastAsia="ro-RO"/>
              </w:rPr>
              <w:t>2905</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8136AF" w:rsidRPr="002152E4" w:rsidRDefault="008136AF" w:rsidP="00B04118">
            <w:pPr>
              <w:jc w:val="center"/>
              <w:rPr>
                <w:rFonts w:cs="Arial"/>
                <w:lang w:val="ro-RO" w:eastAsia="ro-RO"/>
              </w:rPr>
            </w:pPr>
            <w:r w:rsidRPr="002152E4">
              <w:rPr>
                <w:rFonts w:cs="Arial"/>
                <w:lang w:val="ro-RO" w:eastAsia="ro-RO"/>
              </w:rPr>
              <w:t>112</w:t>
            </w:r>
          </w:p>
        </w:tc>
      </w:tr>
      <w:tr w:rsidR="008136AF" w:rsidRPr="002152E4" w:rsidTr="000511BC">
        <w:trPr>
          <w:trHeight w:val="315"/>
          <w:jc w:val="center"/>
        </w:trPr>
        <w:tc>
          <w:tcPr>
            <w:tcW w:w="3967" w:type="dxa"/>
            <w:tcBorders>
              <w:top w:val="single" w:sz="4" w:space="0" w:color="auto"/>
              <w:left w:val="single" w:sz="4" w:space="0" w:color="000000"/>
              <w:bottom w:val="single" w:sz="4" w:space="0" w:color="auto"/>
              <w:right w:val="single" w:sz="4" w:space="0" w:color="000000"/>
            </w:tcBorders>
            <w:shd w:val="clear" w:color="auto" w:fill="auto"/>
            <w:vAlign w:val="center"/>
          </w:tcPr>
          <w:p w:rsidR="008136AF" w:rsidRPr="002152E4" w:rsidRDefault="008136AF" w:rsidP="00B04118">
            <w:pPr>
              <w:rPr>
                <w:rFonts w:cs="Arial"/>
                <w:lang w:val="ro-RO" w:eastAsia="ro-RO"/>
              </w:rPr>
            </w:pPr>
            <w:r w:rsidRPr="002152E4">
              <w:rPr>
                <w:rFonts w:cs="Arial"/>
                <w:lang w:val="ro-RO" w:eastAsia="ro-RO"/>
              </w:rPr>
              <w:t>Judecatoria SECTORUL 2 BUCURESTI</w:t>
            </w:r>
          </w:p>
        </w:tc>
        <w:tc>
          <w:tcPr>
            <w:tcW w:w="1003" w:type="dxa"/>
            <w:tcBorders>
              <w:top w:val="single" w:sz="4" w:space="0" w:color="auto"/>
              <w:left w:val="nil"/>
              <w:bottom w:val="single" w:sz="4" w:space="0" w:color="auto"/>
              <w:right w:val="single" w:sz="4" w:space="0" w:color="000000"/>
            </w:tcBorders>
            <w:shd w:val="clear" w:color="auto" w:fill="auto"/>
            <w:vAlign w:val="center"/>
          </w:tcPr>
          <w:p w:rsidR="008136AF" w:rsidRPr="002152E4" w:rsidRDefault="008136AF" w:rsidP="00B04118">
            <w:pPr>
              <w:jc w:val="center"/>
              <w:rPr>
                <w:rFonts w:cs="Arial"/>
                <w:lang w:val="ro-RO" w:eastAsia="ro-RO"/>
              </w:rPr>
            </w:pPr>
            <w:r w:rsidRPr="002152E4">
              <w:rPr>
                <w:rFonts w:cs="Arial"/>
                <w:lang w:val="ro-RO" w:eastAsia="ro-RO"/>
              </w:rPr>
              <w:t>37728</w:t>
            </w:r>
          </w:p>
        </w:tc>
        <w:tc>
          <w:tcPr>
            <w:tcW w:w="1410" w:type="dxa"/>
            <w:tcBorders>
              <w:top w:val="single" w:sz="4" w:space="0" w:color="auto"/>
              <w:left w:val="nil"/>
              <w:bottom w:val="single" w:sz="4" w:space="0" w:color="auto"/>
              <w:right w:val="single" w:sz="4" w:space="0" w:color="000000"/>
            </w:tcBorders>
            <w:shd w:val="clear" w:color="auto" w:fill="auto"/>
            <w:vAlign w:val="bottom"/>
          </w:tcPr>
          <w:p w:rsidR="008136AF" w:rsidRPr="002152E4" w:rsidRDefault="008136AF" w:rsidP="00B04118">
            <w:pPr>
              <w:jc w:val="center"/>
              <w:rPr>
                <w:rFonts w:cs="Arial"/>
                <w:lang w:val="ro-RO" w:eastAsia="ro-RO"/>
              </w:rPr>
            </w:pPr>
            <w:r w:rsidRPr="002152E4">
              <w:rPr>
                <w:rFonts w:cs="Arial"/>
                <w:lang w:val="ro-RO" w:eastAsia="ro-RO"/>
              </w:rPr>
              <w:t>41618</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8136AF" w:rsidRPr="002152E4" w:rsidRDefault="008136AF" w:rsidP="00B04118">
            <w:pPr>
              <w:jc w:val="center"/>
              <w:rPr>
                <w:rFonts w:cs="Arial"/>
                <w:lang w:val="ro-RO" w:eastAsia="ro-RO"/>
              </w:rPr>
            </w:pPr>
            <w:r w:rsidRPr="002152E4">
              <w:rPr>
                <w:rFonts w:cs="Arial"/>
                <w:lang w:val="ro-RO" w:eastAsia="ro-RO"/>
              </w:rPr>
              <w:t>110</w:t>
            </w:r>
          </w:p>
        </w:tc>
      </w:tr>
      <w:tr w:rsidR="00F476E8" w:rsidRPr="002152E4" w:rsidTr="000511BC">
        <w:trPr>
          <w:trHeight w:val="315"/>
          <w:jc w:val="center"/>
        </w:trPr>
        <w:tc>
          <w:tcPr>
            <w:tcW w:w="3967" w:type="dxa"/>
            <w:tcBorders>
              <w:top w:val="single" w:sz="4" w:space="0" w:color="auto"/>
              <w:left w:val="single" w:sz="4" w:space="0" w:color="000000"/>
              <w:bottom w:val="single" w:sz="4" w:space="0" w:color="000000"/>
              <w:right w:val="single" w:sz="4" w:space="0" w:color="000000"/>
            </w:tcBorders>
            <w:shd w:val="clear" w:color="auto" w:fill="auto"/>
            <w:vAlign w:val="center"/>
          </w:tcPr>
          <w:p w:rsidR="00F476E8" w:rsidRPr="002152E4" w:rsidRDefault="00F476E8" w:rsidP="00B04118">
            <w:pPr>
              <w:rPr>
                <w:rFonts w:cs="Arial"/>
                <w:lang w:val="ro-RO" w:eastAsia="ro-RO"/>
              </w:rPr>
            </w:pPr>
            <w:r w:rsidRPr="002152E4">
              <w:rPr>
                <w:rFonts w:cs="Arial"/>
                <w:lang w:val="ro-RO" w:eastAsia="ro-RO"/>
              </w:rPr>
              <w:t>Judecatoria GIURGIU</w:t>
            </w:r>
          </w:p>
        </w:tc>
        <w:tc>
          <w:tcPr>
            <w:tcW w:w="1003" w:type="dxa"/>
            <w:tcBorders>
              <w:top w:val="single" w:sz="4" w:space="0" w:color="auto"/>
              <w:left w:val="nil"/>
              <w:bottom w:val="single" w:sz="4" w:space="0" w:color="000000"/>
              <w:right w:val="single" w:sz="4" w:space="0" w:color="000000"/>
            </w:tcBorders>
            <w:shd w:val="clear" w:color="auto" w:fill="auto"/>
            <w:vAlign w:val="center"/>
          </w:tcPr>
          <w:p w:rsidR="00F476E8" w:rsidRPr="002152E4" w:rsidRDefault="00F476E8" w:rsidP="00B04118">
            <w:pPr>
              <w:jc w:val="center"/>
              <w:rPr>
                <w:rFonts w:cs="Arial"/>
                <w:lang w:val="ro-RO" w:eastAsia="ro-RO"/>
              </w:rPr>
            </w:pPr>
            <w:r w:rsidRPr="002152E4">
              <w:rPr>
                <w:rFonts w:cs="Arial"/>
                <w:lang w:val="ro-RO" w:eastAsia="ro-RO"/>
              </w:rPr>
              <w:t>21491</w:t>
            </w:r>
          </w:p>
        </w:tc>
        <w:tc>
          <w:tcPr>
            <w:tcW w:w="1410" w:type="dxa"/>
            <w:tcBorders>
              <w:top w:val="single" w:sz="4" w:space="0" w:color="auto"/>
              <w:left w:val="nil"/>
              <w:bottom w:val="single" w:sz="4" w:space="0" w:color="000000"/>
              <w:right w:val="single" w:sz="4" w:space="0" w:color="000000"/>
            </w:tcBorders>
            <w:shd w:val="clear" w:color="auto" w:fill="auto"/>
            <w:vAlign w:val="bottom"/>
          </w:tcPr>
          <w:p w:rsidR="00F476E8" w:rsidRPr="002152E4" w:rsidRDefault="00F476E8" w:rsidP="00B04118">
            <w:pPr>
              <w:jc w:val="center"/>
              <w:rPr>
                <w:rFonts w:cs="Arial"/>
                <w:lang w:val="ro-RO" w:eastAsia="ro-RO"/>
              </w:rPr>
            </w:pPr>
            <w:r w:rsidRPr="002152E4">
              <w:rPr>
                <w:rFonts w:cs="Arial"/>
                <w:lang w:val="ro-RO" w:eastAsia="ro-RO"/>
              </w:rPr>
              <w:t>23579</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F476E8" w:rsidRPr="002152E4" w:rsidRDefault="00F476E8" w:rsidP="00B04118">
            <w:pPr>
              <w:jc w:val="center"/>
              <w:rPr>
                <w:rFonts w:cs="Arial"/>
                <w:lang w:val="ro-RO" w:eastAsia="ro-RO"/>
              </w:rPr>
            </w:pPr>
            <w:r w:rsidRPr="002152E4">
              <w:rPr>
                <w:rFonts w:cs="Arial"/>
                <w:lang w:val="ro-RO" w:eastAsia="ro-RO"/>
              </w:rPr>
              <w:t>110</w:t>
            </w:r>
          </w:p>
        </w:tc>
      </w:tr>
    </w:tbl>
    <w:p w:rsidR="000802D5" w:rsidRPr="002152E4" w:rsidRDefault="000802D5" w:rsidP="00CA1AB6">
      <w:pPr>
        <w:pStyle w:val="AddParagraf"/>
      </w:pPr>
      <w:r w:rsidRPr="002152E4">
        <w:t>În schimb, cea mai mică operativitate a fost înregistrată la judecătoriile:</w:t>
      </w:r>
    </w:p>
    <w:tbl>
      <w:tblPr>
        <w:tblW w:w="7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991"/>
        <w:gridCol w:w="1509"/>
        <w:gridCol w:w="1671"/>
      </w:tblGrid>
      <w:tr w:rsidR="00DF0DA2" w:rsidRPr="002152E4" w:rsidTr="00603C5F">
        <w:trPr>
          <w:trHeight w:val="315"/>
          <w:jc w:val="center"/>
        </w:trPr>
        <w:tc>
          <w:tcPr>
            <w:tcW w:w="2952" w:type="dxa"/>
            <w:shd w:val="clear" w:color="auto" w:fill="99CCFF"/>
            <w:vAlign w:val="center"/>
          </w:tcPr>
          <w:p w:rsidR="00DF0DA2" w:rsidRPr="002152E4" w:rsidRDefault="00395EEE" w:rsidP="00F23150">
            <w:pPr>
              <w:jc w:val="center"/>
              <w:rPr>
                <w:rFonts w:cs="Arial"/>
                <w:b/>
                <w:bCs/>
                <w:lang w:val="ro-RO" w:eastAsia="ro-RO"/>
              </w:rPr>
            </w:pPr>
            <w:r w:rsidRPr="002152E4">
              <w:rPr>
                <w:rFonts w:cs="Arial"/>
                <w:b/>
                <w:bCs/>
                <w:lang w:val="ro-RO" w:eastAsia="ro-RO"/>
              </w:rPr>
              <w:t>Instanţa</w:t>
            </w:r>
          </w:p>
        </w:tc>
        <w:tc>
          <w:tcPr>
            <w:tcW w:w="991" w:type="dxa"/>
            <w:shd w:val="clear" w:color="auto" w:fill="99CCFF"/>
            <w:vAlign w:val="center"/>
          </w:tcPr>
          <w:p w:rsidR="00DF0DA2" w:rsidRPr="002152E4" w:rsidRDefault="00DF0DA2" w:rsidP="00F23150">
            <w:pPr>
              <w:jc w:val="center"/>
              <w:rPr>
                <w:rFonts w:cs="Arial"/>
                <w:b/>
                <w:bCs/>
                <w:lang w:val="ro-RO" w:eastAsia="ro-RO"/>
              </w:rPr>
            </w:pPr>
            <w:r w:rsidRPr="002152E4">
              <w:rPr>
                <w:rFonts w:cs="Arial"/>
                <w:b/>
                <w:bCs/>
                <w:lang w:val="ro-RO" w:eastAsia="ro-RO"/>
              </w:rPr>
              <w:t>Nou intrate</w:t>
            </w:r>
          </w:p>
        </w:tc>
        <w:tc>
          <w:tcPr>
            <w:tcW w:w="1509" w:type="dxa"/>
            <w:shd w:val="clear" w:color="auto" w:fill="99CCFF"/>
            <w:vAlign w:val="center"/>
          </w:tcPr>
          <w:p w:rsidR="00DF0DA2" w:rsidRPr="002152E4" w:rsidRDefault="00DF0DA2" w:rsidP="00F23150">
            <w:pPr>
              <w:jc w:val="center"/>
              <w:rPr>
                <w:rFonts w:cs="Arial"/>
                <w:b/>
                <w:bCs/>
                <w:lang w:val="ro-RO" w:eastAsia="ro-RO"/>
              </w:rPr>
            </w:pPr>
            <w:r w:rsidRPr="002152E4">
              <w:rPr>
                <w:rFonts w:cs="Arial"/>
                <w:b/>
                <w:bCs/>
                <w:lang w:val="ro-RO" w:eastAsia="ro-RO"/>
              </w:rPr>
              <w:t>Total volum soluţionate</w:t>
            </w:r>
          </w:p>
        </w:tc>
        <w:tc>
          <w:tcPr>
            <w:tcW w:w="1671" w:type="dxa"/>
            <w:shd w:val="clear" w:color="auto" w:fill="99CCFF"/>
            <w:noWrap/>
            <w:vAlign w:val="center"/>
          </w:tcPr>
          <w:p w:rsidR="00DF0DA2" w:rsidRPr="002152E4" w:rsidRDefault="00DF0DA2" w:rsidP="00F23150">
            <w:pPr>
              <w:jc w:val="center"/>
              <w:rPr>
                <w:rFonts w:cs="Arial"/>
                <w:b/>
                <w:bCs/>
                <w:lang w:val="ro-RO" w:eastAsia="ro-RO"/>
              </w:rPr>
            </w:pPr>
            <w:r w:rsidRPr="002152E4">
              <w:rPr>
                <w:rFonts w:cs="Arial"/>
                <w:b/>
                <w:bCs/>
                <w:lang w:val="ro-RO" w:eastAsia="ro-RO"/>
              </w:rPr>
              <w:t>Operativitatea (%)</w:t>
            </w:r>
          </w:p>
        </w:tc>
      </w:tr>
      <w:tr w:rsidR="008136AF" w:rsidRPr="002152E4" w:rsidTr="00F127A9">
        <w:trPr>
          <w:trHeight w:val="315"/>
          <w:jc w:val="center"/>
        </w:trPr>
        <w:tc>
          <w:tcPr>
            <w:tcW w:w="2952" w:type="dxa"/>
            <w:shd w:val="clear" w:color="auto" w:fill="auto"/>
            <w:vAlign w:val="center"/>
          </w:tcPr>
          <w:p w:rsidR="008136AF" w:rsidRPr="002152E4" w:rsidRDefault="008136AF" w:rsidP="00B04118">
            <w:pPr>
              <w:rPr>
                <w:rFonts w:cs="Arial"/>
                <w:lang w:val="ro-RO" w:eastAsia="ro-RO"/>
              </w:rPr>
            </w:pPr>
            <w:r w:rsidRPr="002152E4">
              <w:rPr>
                <w:rFonts w:cs="Arial"/>
                <w:lang w:val="ro-RO" w:eastAsia="ro-RO"/>
              </w:rPr>
              <w:t>Judecatoria GHEORGHENI</w:t>
            </w:r>
          </w:p>
        </w:tc>
        <w:tc>
          <w:tcPr>
            <w:tcW w:w="991" w:type="dxa"/>
            <w:shd w:val="clear" w:color="auto" w:fill="auto"/>
            <w:vAlign w:val="center"/>
          </w:tcPr>
          <w:p w:rsidR="008136AF" w:rsidRPr="002152E4" w:rsidRDefault="008136AF" w:rsidP="00B04118">
            <w:pPr>
              <w:jc w:val="center"/>
              <w:rPr>
                <w:rFonts w:cs="Arial"/>
                <w:lang w:val="ro-RO" w:eastAsia="ro-RO"/>
              </w:rPr>
            </w:pPr>
            <w:r w:rsidRPr="002152E4">
              <w:rPr>
                <w:rFonts w:cs="Arial"/>
                <w:lang w:val="ro-RO" w:eastAsia="ro-RO"/>
              </w:rPr>
              <w:t>2642</w:t>
            </w:r>
          </w:p>
        </w:tc>
        <w:tc>
          <w:tcPr>
            <w:tcW w:w="1509" w:type="dxa"/>
            <w:shd w:val="clear" w:color="auto" w:fill="auto"/>
            <w:vAlign w:val="bottom"/>
          </w:tcPr>
          <w:p w:rsidR="008136AF" w:rsidRPr="002152E4" w:rsidRDefault="008136AF" w:rsidP="00B04118">
            <w:pPr>
              <w:jc w:val="center"/>
              <w:rPr>
                <w:rFonts w:cs="Arial"/>
                <w:lang w:val="ro-RO" w:eastAsia="ro-RO"/>
              </w:rPr>
            </w:pPr>
            <w:r w:rsidRPr="002152E4">
              <w:rPr>
                <w:rFonts w:cs="Arial"/>
                <w:lang w:val="ro-RO" w:eastAsia="ro-RO"/>
              </w:rPr>
              <w:t>2312</w:t>
            </w:r>
          </w:p>
        </w:tc>
        <w:tc>
          <w:tcPr>
            <w:tcW w:w="1671" w:type="dxa"/>
            <w:shd w:val="clear" w:color="auto" w:fill="auto"/>
            <w:noWrap/>
            <w:vAlign w:val="bottom"/>
          </w:tcPr>
          <w:p w:rsidR="008136AF" w:rsidRPr="002152E4" w:rsidRDefault="008136AF" w:rsidP="00B04118">
            <w:pPr>
              <w:jc w:val="center"/>
              <w:rPr>
                <w:rFonts w:cs="Arial"/>
                <w:lang w:val="ro-RO" w:eastAsia="ro-RO"/>
              </w:rPr>
            </w:pPr>
            <w:r w:rsidRPr="002152E4">
              <w:rPr>
                <w:rFonts w:cs="Arial"/>
                <w:lang w:val="ro-RO" w:eastAsia="ro-RO"/>
              </w:rPr>
              <w:t>88</w:t>
            </w:r>
          </w:p>
        </w:tc>
      </w:tr>
      <w:tr w:rsidR="008136AF" w:rsidRPr="002152E4" w:rsidTr="00F127A9">
        <w:trPr>
          <w:trHeight w:val="315"/>
          <w:jc w:val="center"/>
        </w:trPr>
        <w:tc>
          <w:tcPr>
            <w:tcW w:w="2952" w:type="dxa"/>
            <w:shd w:val="clear" w:color="auto" w:fill="auto"/>
            <w:vAlign w:val="center"/>
          </w:tcPr>
          <w:p w:rsidR="008136AF" w:rsidRPr="002152E4" w:rsidRDefault="008136AF" w:rsidP="00B04118">
            <w:pPr>
              <w:rPr>
                <w:rFonts w:cs="Arial"/>
                <w:lang w:val="ro-RO" w:eastAsia="ro-RO"/>
              </w:rPr>
            </w:pPr>
            <w:r w:rsidRPr="002152E4">
              <w:rPr>
                <w:rFonts w:cs="Arial"/>
                <w:lang w:val="ro-RO" w:eastAsia="ro-RO"/>
              </w:rPr>
              <w:t>Judecatoria ALESD</w:t>
            </w:r>
          </w:p>
        </w:tc>
        <w:tc>
          <w:tcPr>
            <w:tcW w:w="991" w:type="dxa"/>
            <w:shd w:val="clear" w:color="auto" w:fill="auto"/>
            <w:vAlign w:val="center"/>
          </w:tcPr>
          <w:p w:rsidR="008136AF" w:rsidRPr="002152E4" w:rsidRDefault="008136AF" w:rsidP="00B04118">
            <w:pPr>
              <w:jc w:val="center"/>
              <w:rPr>
                <w:rFonts w:cs="Arial"/>
                <w:lang w:val="ro-RO" w:eastAsia="ro-RO"/>
              </w:rPr>
            </w:pPr>
            <w:r w:rsidRPr="002152E4">
              <w:rPr>
                <w:rFonts w:cs="Arial"/>
                <w:lang w:val="ro-RO" w:eastAsia="ro-RO"/>
              </w:rPr>
              <w:t>3128</w:t>
            </w:r>
          </w:p>
        </w:tc>
        <w:tc>
          <w:tcPr>
            <w:tcW w:w="1509" w:type="dxa"/>
            <w:shd w:val="clear" w:color="auto" w:fill="auto"/>
            <w:vAlign w:val="bottom"/>
          </w:tcPr>
          <w:p w:rsidR="008136AF" w:rsidRPr="002152E4" w:rsidRDefault="008136AF" w:rsidP="00B04118">
            <w:pPr>
              <w:jc w:val="center"/>
              <w:rPr>
                <w:rFonts w:cs="Arial"/>
                <w:lang w:val="ro-RO" w:eastAsia="ro-RO"/>
              </w:rPr>
            </w:pPr>
            <w:r w:rsidRPr="002152E4">
              <w:rPr>
                <w:rFonts w:cs="Arial"/>
                <w:lang w:val="ro-RO" w:eastAsia="ro-RO"/>
              </w:rPr>
              <w:t>2692</w:t>
            </w:r>
          </w:p>
        </w:tc>
        <w:tc>
          <w:tcPr>
            <w:tcW w:w="1671" w:type="dxa"/>
            <w:shd w:val="clear" w:color="auto" w:fill="auto"/>
            <w:noWrap/>
            <w:vAlign w:val="bottom"/>
          </w:tcPr>
          <w:p w:rsidR="008136AF" w:rsidRPr="002152E4" w:rsidRDefault="008136AF" w:rsidP="00B04118">
            <w:pPr>
              <w:jc w:val="center"/>
              <w:rPr>
                <w:rFonts w:cs="Arial"/>
                <w:lang w:val="ro-RO" w:eastAsia="ro-RO"/>
              </w:rPr>
            </w:pPr>
            <w:r w:rsidRPr="002152E4">
              <w:rPr>
                <w:rFonts w:cs="Arial"/>
                <w:lang w:val="ro-RO" w:eastAsia="ro-RO"/>
              </w:rPr>
              <w:t>86</w:t>
            </w:r>
          </w:p>
        </w:tc>
      </w:tr>
      <w:tr w:rsidR="008136AF" w:rsidRPr="002152E4" w:rsidTr="00F127A9">
        <w:trPr>
          <w:trHeight w:val="315"/>
          <w:jc w:val="center"/>
        </w:trPr>
        <w:tc>
          <w:tcPr>
            <w:tcW w:w="2952" w:type="dxa"/>
            <w:shd w:val="clear" w:color="auto" w:fill="auto"/>
            <w:vAlign w:val="center"/>
          </w:tcPr>
          <w:p w:rsidR="008136AF" w:rsidRPr="002152E4" w:rsidRDefault="008136AF" w:rsidP="00B04118">
            <w:pPr>
              <w:rPr>
                <w:rFonts w:cs="Arial"/>
                <w:lang w:val="ro-RO" w:eastAsia="ro-RO"/>
              </w:rPr>
            </w:pPr>
            <w:r w:rsidRPr="002152E4">
              <w:rPr>
                <w:rFonts w:cs="Arial"/>
                <w:lang w:val="ro-RO" w:eastAsia="ro-RO"/>
              </w:rPr>
              <w:t>Judecatoria URZICENI</w:t>
            </w:r>
          </w:p>
        </w:tc>
        <w:tc>
          <w:tcPr>
            <w:tcW w:w="991" w:type="dxa"/>
            <w:shd w:val="clear" w:color="auto" w:fill="auto"/>
            <w:vAlign w:val="center"/>
          </w:tcPr>
          <w:p w:rsidR="008136AF" w:rsidRPr="002152E4" w:rsidRDefault="008136AF" w:rsidP="00B04118">
            <w:pPr>
              <w:jc w:val="center"/>
              <w:rPr>
                <w:rFonts w:cs="Arial"/>
                <w:lang w:val="ro-RO" w:eastAsia="ro-RO"/>
              </w:rPr>
            </w:pPr>
            <w:r w:rsidRPr="002152E4">
              <w:rPr>
                <w:rFonts w:cs="Arial"/>
                <w:lang w:val="ro-RO" w:eastAsia="ro-RO"/>
              </w:rPr>
              <w:t>5555</w:t>
            </w:r>
          </w:p>
        </w:tc>
        <w:tc>
          <w:tcPr>
            <w:tcW w:w="1509" w:type="dxa"/>
            <w:shd w:val="clear" w:color="auto" w:fill="auto"/>
            <w:vAlign w:val="bottom"/>
          </w:tcPr>
          <w:p w:rsidR="008136AF" w:rsidRPr="002152E4" w:rsidRDefault="008136AF" w:rsidP="00B04118">
            <w:pPr>
              <w:jc w:val="center"/>
              <w:rPr>
                <w:rFonts w:cs="Arial"/>
                <w:lang w:val="ro-RO" w:eastAsia="ro-RO"/>
              </w:rPr>
            </w:pPr>
            <w:r w:rsidRPr="002152E4">
              <w:rPr>
                <w:rFonts w:cs="Arial"/>
                <w:lang w:val="ro-RO" w:eastAsia="ro-RO"/>
              </w:rPr>
              <w:t>4776</w:t>
            </w:r>
          </w:p>
        </w:tc>
        <w:tc>
          <w:tcPr>
            <w:tcW w:w="1671" w:type="dxa"/>
            <w:shd w:val="clear" w:color="auto" w:fill="auto"/>
            <w:noWrap/>
            <w:vAlign w:val="bottom"/>
          </w:tcPr>
          <w:p w:rsidR="008136AF" w:rsidRPr="002152E4" w:rsidRDefault="008136AF" w:rsidP="00B04118">
            <w:pPr>
              <w:jc w:val="center"/>
              <w:rPr>
                <w:rFonts w:cs="Arial"/>
                <w:lang w:val="ro-RO" w:eastAsia="ro-RO"/>
              </w:rPr>
            </w:pPr>
            <w:r w:rsidRPr="002152E4">
              <w:rPr>
                <w:rFonts w:cs="Arial"/>
                <w:lang w:val="ro-RO" w:eastAsia="ro-RO"/>
              </w:rPr>
              <w:t>86</w:t>
            </w:r>
          </w:p>
        </w:tc>
      </w:tr>
      <w:tr w:rsidR="008136AF" w:rsidRPr="002152E4" w:rsidTr="00F127A9">
        <w:trPr>
          <w:trHeight w:val="315"/>
          <w:jc w:val="center"/>
        </w:trPr>
        <w:tc>
          <w:tcPr>
            <w:tcW w:w="2952" w:type="dxa"/>
            <w:shd w:val="clear" w:color="auto" w:fill="auto"/>
            <w:vAlign w:val="center"/>
          </w:tcPr>
          <w:p w:rsidR="008136AF" w:rsidRPr="002152E4" w:rsidRDefault="008136AF" w:rsidP="00B04118">
            <w:pPr>
              <w:rPr>
                <w:rFonts w:cs="Arial"/>
                <w:lang w:val="ro-RO" w:eastAsia="ro-RO"/>
              </w:rPr>
            </w:pPr>
            <w:r w:rsidRPr="002152E4">
              <w:rPr>
                <w:rFonts w:cs="Arial"/>
                <w:lang w:val="ro-RO" w:eastAsia="ro-RO"/>
              </w:rPr>
              <w:t>Judecatoria BABADAG</w:t>
            </w:r>
          </w:p>
        </w:tc>
        <w:tc>
          <w:tcPr>
            <w:tcW w:w="991" w:type="dxa"/>
            <w:shd w:val="clear" w:color="auto" w:fill="auto"/>
            <w:vAlign w:val="center"/>
          </w:tcPr>
          <w:p w:rsidR="008136AF" w:rsidRPr="002152E4" w:rsidRDefault="008136AF" w:rsidP="00B04118">
            <w:pPr>
              <w:jc w:val="center"/>
              <w:rPr>
                <w:rFonts w:cs="Arial"/>
                <w:lang w:val="ro-RO" w:eastAsia="ro-RO"/>
              </w:rPr>
            </w:pPr>
            <w:r w:rsidRPr="002152E4">
              <w:rPr>
                <w:rFonts w:cs="Arial"/>
                <w:lang w:val="ro-RO" w:eastAsia="ro-RO"/>
              </w:rPr>
              <w:t>1792</w:t>
            </w:r>
          </w:p>
        </w:tc>
        <w:tc>
          <w:tcPr>
            <w:tcW w:w="1509" w:type="dxa"/>
            <w:shd w:val="clear" w:color="auto" w:fill="auto"/>
            <w:vAlign w:val="bottom"/>
          </w:tcPr>
          <w:p w:rsidR="008136AF" w:rsidRPr="002152E4" w:rsidRDefault="008136AF" w:rsidP="00B04118">
            <w:pPr>
              <w:jc w:val="center"/>
              <w:rPr>
                <w:rFonts w:cs="Arial"/>
                <w:lang w:val="ro-RO" w:eastAsia="ro-RO"/>
              </w:rPr>
            </w:pPr>
            <w:r w:rsidRPr="002152E4">
              <w:rPr>
                <w:rFonts w:cs="Arial"/>
                <w:lang w:val="ro-RO" w:eastAsia="ro-RO"/>
              </w:rPr>
              <w:t>1531</w:t>
            </w:r>
          </w:p>
        </w:tc>
        <w:tc>
          <w:tcPr>
            <w:tcW w:w="1671" w:type="dxa"/>
            <w:shd w:val="clear" w:color="auto" w:fill="auto"/>
            <w:noWrap/>
            <w:vAlign w:val="bottom"/>
          </w:tcPr>
          <w:p w:rsidR="008136AF" w:rsidRPr="002152E4" w:rsidRDefault="008136AF" w:rsidP="00B04118">
            <w:pPr>
              <w:jc w:val="center"/>
              <w:rPr>
                <w:rFonts w:cs="Arial"/>
                <w:lang w:val="ro-RO" w:eastAsia="ro-RO"/>
              </w:rPr>
            </w:pPr>
            <w:r w:rsidRPr="002152E4">
              <w:rPr>
                <w:rFonts w:cs="Arial"/>
                <w:lang w:val="ro-RO" w:eastAsia="ro-RO"/>
              </w:rPr>
              <w:t>85</w:t>
            </w:r>
          </w:p>
        </w:tc>
      </w:tr>
      <w:tr w:rsidR="008136AF" w:rsidRPr="002152E4" w:rsidTr="00F127A9">
        <w:trPr>
          <w:trHeight w:val="315"/>
          <w:jc w:val="center"/>
        </w:trPr>
        <w:tc>
          <w:tcPr>
            <w:tcW w:w="2952" w:type="dxa"/>
            <w:shd w:val="clear" w:color="auto" w:fill="auto"/>
            <w:vAlign w:val="center"/>
          </w:tcPr>
          <w:p w:rsidR="008136AF" w:rsidRPr="002152E4" w:rsidRDefault="008136AF" w:rsidP="00B04118">
            <w:pPr>
              <w:rPr>
                <w:rFonts w:cs="Arial"/>
                <w:lang w:val="ro-RO" w:eastAsia="ro-RO"/>
              </w:rPr>
            </w:pPr>
            <w:r w:rsidRPr="002152E4">
              <w:rPr>
                <w:rFonts w:cs="Arial"/>
                <w:lang w:val="ro-RO" w:eastAsia="ro-RO"/>
              </w:rPr>
              <w:t>Judecatoria HARSOVA</w:t>
            </w:r>
          </w:p>
        </w:tc>
        <w:tc>
          <w:tcPr>
            <w:tcW w:w="991" w:type="dxa"/>
            <w:shd w:val="clear" w:color="auto" w:fill="auto"/>
            <w:vAlign w:val="center"/>
          </w:tcPr>
          <w:p w:rsidR="008136AF" w:rsidRPr="002152E4" w:rsidRDefault="008136AF" w:rsidP="00B04118">
            <w:pPr>
              <w:jc w:val="center"/>
              <w:rPr>
                <w:rFonts w:cs="Arial"/>
                <w:lang w:val="ro-RO" w:eastAsia="ro-RO"/>
              </w:rPr>
            </w:pPr>
            <w:r w:rsidRPr="002152E4">
              <w:rPr>
                <w:rFonts w:cs="Arial"/>
                <w:lang w:val="ro-RO" w:eastAsia="ro-RO"/>
              </w:rPr>
              <w:t>1743</w:t>
            </w:r>
          </w:p>
        </w:tc>
        <w:tc>
          <w:tcPr>
            <w:tcW w:w="1509" w:type="dxa"/>
            <w:shd w:val="clear" w:color="auto" w:fill="auto"/>
            <w:vAlign w:val="bottom"/>
          </w:tcPr>
          <w:p w:rsidR="008136AF" w:rsidRPr="002152E4" w:rsidRDefault="008136AF" w:rsidP="00B04118">
            <w:pPr>
              <w:jc w:val="center"/>
              <w:rPr>
                <w:rFonts w:cs="Arial"/>
                <w:lang w:val="ro-RO" w:eastAsia="ro-RO"/>
              </w:rPr>
            </w:pPr>
            <w:r w:rsidRPr="002152E4">
              <w:rPr>
                <w:rFonts w:cs="Arial"/>
                <w:lang w:val="ro-RO" w:eastAsia="ro-RO"/>
              </w:rPr>
              <w:t>1394</w:t>
            </w:r>
          </w:p>
        </w:tc>
        <w:tc>
          <w:tcPr>
            <w:tcW w:w="1671" w:type="dxa"/>
            <w:shd w:val="clear" w:color="auto" w:fill="auto"/>
            <w:noWrap/>
            <w:vAlign w:val="bottom"/>
          </w:tcPr>
          <w:p w:rsidR="008136AF" w:rsidRPr="002152E4" w:rsidRDefault="008136AF" w:rsidP="00B04118">
            <w:pPr>
              <w:jc w:val="center"/>
              <w:rPr>
                <w:rFonts w:cs="Arial"/>
                <w:lang w:val="ro-RO" w:eastAsia="ro-RO"/>
              </w:rPr>
            </w:pPr>
            <w:r w:rsidRPr="002152E4">
              <w:rPr>
                <w:rFonts w:cs="Arial"/>
                <w:lang w:val="ro-RO" w:eastAsia="ro-RO"/>
              </w:rPr>
              <w:t>80</w:t>
            </w:r>
          </w:p>
        </w:tc>
      </w:tr>
      <w:tr w:rsidR="008136AF" w:rsidRPr="002152E4" w:rsidTr="00F127A9">
        <w:trPr>
          <w:trHeight w:val="315"/>
          <w:jc w:val="center"/>
        </w:trPr>
        <w:tc>
          <w:tcPr>
            <w:tcW w:w="2952" w:type="dxa"/>
            <w:shd w:val="clear" w:color="auto" w:fill="auto"/>
            <w:vAlign w:val="center"/>
          </w:tcPr>
          <w:p w:rsidR="008136AF" w:rsidRPr="002152E4" w:rsidRDefault="008136AF" w:rsidP="00B04118">
            <w:pPr>
              <w:rPr>
                <w:rFonts w:cs="Arial"/>
                <w:lang w:val="ro-RO" w:eastAsia="ro-RO"/>
              </w:rPr>
            </w:pPr>
            <w:r w:rsidRPr="002152E4">
              <w:rPr>
                <w:rFonts w:cs="Arial"/>
                <w:lang w:val="ro-RO" w:eastAsia="ro-RO"/>
              </w:rPr>
              <w:t>Judecatoria JIBOU</w:t>
            </w:r>
          </w:p>
        </w:tc>
        <w:tc>
          <w:tcPr>
            <w:tcW w:w="991" w:type="dxa"/>
            <w:shd w:val="clear" w:color="auto" w:fill="auto"/>
            <w:vAlign w:val="center"/>
          </w:tcPr>
          <w:p w:rsidR="008136AF" w:rsidRPr="002152E4" w:rsidRDefault="008136AF" w:rsidP="00B04118">
            <w:pPr>
              <w:jc w:val="center"/>
              <w:rPr>
                <w:rFonts w:cs="Arial"/>
                <w:lang w:val="ro-RO" w:eastAsia="ro-RO"/>
              </w:rPr>
            </w:pPr>
            <w:r w:rsidRPr="002152E4">
              <w:rPr>
                <w:rFonts w:cs="Arial"/>
                <w:lang w:val="ro-RO" w:eastAsia="ro-RO"/>
              </w:rPr>
              <w:t>3148</w:t>
            </w:r>
          </w:p>
        </w:tc>
        <w:tc>
          <w:tcPr>
            <w:tcW w:w="1509" w:type="dxa"/>
            <w:shd w:val="clear" w:color="auto" w:fill="auto"/>
            <w:vAlign w:val="bottom"/>
          </w:tcPr>
          <w:p w:rsidR="008136AF" w:rsidRPr="002152E4" w:rsidRDefault="008136AF" w:rsidP="00B04118">
            <w:pPr>
              <w:jc w:val="center"/>
              <w:rPr>
                <w:rFonts w:cs="Arial"/>
                <w:lang w:val="ro-RO" w:eastAsia="ro-RO"/>
              </w:rPr>
            </w:pPr>
            <w:r w:rsidRPr="002152E4">
              <w:rPr>
                <w:rFonts w:cs="Arial"/>
                <w:lang w:val="ro-RO" w:eastAsia="ro-RO"/>
              </w:rPr>
              <w:t>2421</w:t>
            </w:r>
          </w:p>
        </w:tc>
        <w:tc>
          <w:tcPr>
            <w:tcW w:w="1671" w:type="dxa"/>
            <w:shd w:val="clear" w:color="auto" w:fill="auto"/>
            <w:noWrap/>
            <w:vAlign w:val="bottom"/>
          </w:tcPr>
          <w:p w:rsidR="008136AF" w:rsidRPr="002152E4" w:rsidRDefault="008136AF" w:rsidP="00B04118">
            <w:pPr>
              <w:jc w:val="center"/>
              <w:rPr>
                <w:rFonts w:cs="Arial"/>
                <w:lang w:val="ro-RO" w:eastAsia="ro-RO"/>
              </w:rPr>
            </w:pPr>
            <w:r w:rsidRPr="002152E4">
              <w:rPr>
                <w:rFonts w:cs="Arial"/>
                <w:lang w:val="ro-RO" w:eastAsia="ro-RO"/>
              </w:rPr>
              <w:t>77</w:t>
            </w:r>
          </w:p>
        </w:tc>
      </w:tr>
    </w:tbl>
    <w:p w:rsidR="00CE2389" w:rsidRPr="002152E4" w:rsidRDefault="00CE2389" w:rsidP="00CA1AB6">
      <w:pPr>
        <w:pStyle w:val="AddParagraf"/>
      </w:pPr>
    </w:p>
    <w:p w:rsidR="000802D5" w:rsidRPr="002152E4" w:rsidRDefault="000802D5" w:rsidP="00CA1AB6">
      <w:pPr>
        <w:pStyle w:val="AddParagraf"/>
      </w:pPr>
      <w:r w:rsidRPr="002152E4">
        <w:t xml:space="preserve">În raport de  cauzele nou intrate, există </w:t>
      </w:r>
      <w:r w:rsidR="00CE2389" w:rsidRPr="002152E4">
        <w:rPr>
          <w:b/>
        </w:rPr>
        <w:t>73</w:t>
      </w:r>
      <w:r w:rsidRPr="002152E4">
        <w:t xml:space="preserve"> judecătorii care au trecut pragul unei operativităţi de 100</w:t>
      </w:r>
      <w:r w:rsidR="003C1FAA" w:rsidRPr="002152E4">
        <w:t xml:space="preserve"> </w:t>
      </w:r>
      <w:r w:rsidRPr="002152E4">
        <w:t>%, ceea ce înseamnă că toate au „atacat”</w:t>
      </w:r>
      <w:r w:rsidR="002152E4">
        <w:t xml:space="preserve"> </w:t>
      </w:r>
      <w:r w:rsidRPr="002152E4">
        <w:t xml:space="preserve">stocurile de început de perioadă, acestea </w:t>
      </w:r>
      <w:r w:rsidR="00452394" w:rsidRPr="002152E4">
        <w:t>urmând să scadă pentru anul 2017</w:t>
      </w:r>
      <w:r w:rsidRPr="002152E4">
        <w:t xml:space="preserve">. </w:t>
      </w:r>
    </w:p>
    <w:p w:rsidR="000802D5" w:rsidRPr="002152E4" w:rsidRDefault="000802D5" w:rsidP="00CA1AB6">
      <w:pPr>
        <w:pStyle w:val="AddParagraf"/>
      </w:pPr>
      <w:r w:rsidRPr="002152E4">
        <w:lastRenderedPageBreak/>
        <w:t xml:space="preserve">Există, de asemenea, </w:t>
      </w:r>
      <w:r w:rsidR="00BB3041" w:rsidRPr="002152E4">
        <w:rPr>
          <w:b/>
        </w:rPr>
        <w:t>103</w:t>
      </w:r>
      <w:r w:rsidRPr="002152E4">
        <w:t xml:space="preserve"> judecătorii care nu au trecut pragul unei operativităţi de 100</w:t>
      </w:r>
      <w:r w:rsidR="006A4553" w:rsidRPr="002152E4">
        <w:t xml:space="preserve"> </w:t>
      </w:r>
      <w:r w:rsidRPr="002152E4">
        <w:t>%.</w:t>
      </w:r>
    </w:p>
    <w:p w:rsidR="000802D5" w:rsidRPr="002152E4" w:rsidRDefault="000802D5" w:rsidP="00CA1AB6">
      <w:pPr>
        <w:pStyle w:val="AddParagraf"/>
      </w:pPr>
      <w:r w:rsidRPr="002152E4">
        <w:t>La nivelul instanţelor militare, situaţia operativităţii se prezintă după cum urmează:</w:t>
      </w:r>
    </w:p>
    <w:tbl>
      <w:tblPr>
        <w:tblW w:w="5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7"/>
        <w:gridCol w:w="1709"/>
      </w:tblGrid>
      <w:tr w:rsidR="000802D5" w:rsidRPr="002152E4" w:rsidTr="00F45769">
        <w:trPr>
          <w:trHeight w:val="975"/>
          <w:jc w:val="center"/>
        </w:trPr>
        <w:tc>
          <w:tcPr>
            <w:tcW w:w="3857" w:type="dxa"/>
            <w:shd w:val="clear" w:color="auto" w:fill="99CCFF"/>
            <w:vAlign w:val="center"/>
          </w:tcPr>
          <w:p w:rsidR="000802D5" w:rsidRPr="002152E4" w:rsidRDefault="000802D5" w:rsidP="000802D5">
            <w:pPr>
              <w:jc w:val="center"/>
              <w:rPr>
                <w:b/>
                <w:bCs/>
                <w:lang w:val="ro-RO"/>
              </w:rPr>
            </w:pPr>
            <w:r w:rsidRPr="002152E4">
              <w:rPr>
                <w:b/>
                <w:bCs/>
                <w:lang w:val="ro-RO"/>
              </w:rPr>
              <w:t>Instanţa</w:t>
            </w:r>
          </w:p>
        </w:tc>
        <w:tc>
          <w:tcPr>
            <w:tcW w:w="1709" w:type="dxa"/>
            <w:shd w:val="clear" w:color="auto" w:fill="99CCFF"/>
            <w:vAlign w:val="center"/>
          </w:tcPr>
          <w:p w:rsidR="000802D5" w:rsidRPr="002152E4" w:rsidRDefault="000802D5" w:rsidP="000802D5">
            <w:pPr>
              <w:jc w:val="center"/>
              <w:rPr>
                <w:b/>
                <w:bCs/>
                <w:lang w:val="ro-RO"/>
              </w:rPr>
            </w:pPr>
            <w:r w:rsidRPr="002152E4">
              <w:rPr>
                <w:b/>
                <w:bCs/>
                <w:lang w:val="ro-RO"/>
              </w:rPr>
              <w:t>Operativitatea (%)</w:t>
            </w:r>
          </w:p>
        </w:tc>
      </w:tr>
      <w:tr w:rsidR="000802D5" w:rsidRPr="002152E4" w:rsidTr="000802D5">
        <w:trPr>
          <w:trHeight w:val="330"/>
          <w:jc w:val="center"/>
        </w:trPr>
        <w:tc>
          <w:tcPr>
            <w:tcW w:w="3857" w:type="dxa"/>
            <w:shd w:val="clear" w:color="auto" w:fill="auto"/>
            <w:vAlign w:val="center"/>
          </w:tcPr>
          <w:p w:rsidR="000802D5" w:rsidRPr="002152E4" w:rsidRDefault="000802D5" w:rsidP="000802D5">
            <w:pPr>
              <w:rPr>
                <w:bCs/>
                <w:lang w:val="ro-RO"/>
              </w:rPr>
            </w:pPr>
            <w:r w:rsidRPr="002152E4">
              <w:rPr>
                <w:bCs/>
                <w:lang w:val="ro-RO"/>
              </w:rPr>
              <w:t>Tribunalul Militar Bucureşti</w:t>
            </w:r>
          </w:p>
        </w:tc>
        <w:tc>
          <w:tcPr>
            <w:tcW w:w="1709" w:type="dxa"/>
            <w:shd w:val="clear" w:color="auto" w:fill="auto"/>
            <w:noWrap/>
            <w:vAlign w:val="center"/>
          </w:tcPr>
          <w:p w:rsidR="000802D5" w:rsidRPr="002152E4" w:rsidRDefault="00877AFC" w:rsidP="000802D5">
            <w:pPr>
              <w:jc w:val="center"/>
              <w:rPr>
                <w:lang w:val="ro-RO"/>
              </w:rPr>
            </w:pPr>
            <w:r w:rsidRPr="002152E4">
              <w:rPr>
                <w:lang w:val="ro-RO"/>
              </w:rPr>
              <w:t>99</w:t>
            </w:r>
          </w:p>
        </w:tc>
      </w:tr>
      <w:tr w:rsidR="000802D5" w:rsidRPr="002152E4" w:rsidTr="000802D5">
        <w:trPr>
          <w:trHeight w:val="330"/>
          <w:jc w:val="center"/>
        </w:trPr>
        <w:tc>
          <w:tcPr>
            <w:tcW w:w="3857" w:type="dxa"/>
            <w:shd w:val="clear" w:color="auto" w:fill="FFFFFF"/>
            <w:vAlign w:val="center"/>
          </w:tcPr>
          <w:p w:rsidR="000802D5" w:rsidRPr="002152E4" w:rsidRDefault="000802D5" w:rsidP="000802D5">
            <w:pPr>
              <w:rPr>
                <w:bCs/>
                <w:lang w:val="ro-RO"/>
              </w:rPr>
            </w:pPr>
            <w:r w:rsidRPr="002152E4">
              <w:rPr>
                <w:bCs/>
                <w:lang w:val="ro-RO"/>
              </w:rPr>
              <w:t>Tribunalul  Militar Cluj Napoca</w:t>
            </w:r>
          </w:p>
        </w:tc>
        <w:tc>
          <w:tcPr>
            <w:tcW w:w="1709" w:type="dxa"/>
            <w:shd w:val="clear" w:color="auto" w:fill="auto"/>
            <w:noWrap/>
            <w:vAlign w:val="center"/>
          </w:tcPr>
          <w:p w:rsidR="000802D5" w:rsidRPr="002152E4" w:rsidRDefault="00877AFC" w:rsidP="000802D5">
            <w:pPr>
              <w:jc w:val="center"/>
              <w:rPr>
                <w:lang w:val="ro-RO"/>
              </w:rPr>
            </w:pPr>
            <w:r w:rsidRPr="002152E4">
              <w:rPr>
                <w:lang w:val="ro-RO"/>
              </w:rPr>
              <w:t>106</w:t>
            </w:r>
          </w:p>
        </w:tc>
      </w:tr>
      <w:tr w:rsidR="000802D5" w:rsidRPr="002152E4" w:rsidTr="000802D5">
        <w:trPr>
          <w:trHeight w:val="330"/>
          <w:jc w:val="center"/>
        </w:trPr>
        <w:tc>
          <w:tcPr>
            <w:tcW w:w="3857" w:type="dxa"/>
            <w:shd w:val="clear" w:color="auto" w:fill="auto"/>
            <w:vAlign w:val="center"/>
          </w:tcPr>
          <w:p w:rsidR="000802D5" w:rsidRPr="002152E4" w:rsidRDefault="000802D5" w:rsidP="000802D5">
            <w:pPr>
              <w:rPr>
                <w:bCs/>
                <w:lang w:val="ro-RO"/>
              </w:rPr>
            </w:pPr>
            <w:r w:rsidRPr="002152E4">
              <w:rPr>
                <w:bCs/>
                <w:lang w:val="ro-RO"/>
              </w:rPr>
              <w:t>Tribunalul Militar Iaşi</w:t>
            </w:r>
          </w:p>
        </w:tc>
        <w:tc>
          <w:tcPr>
            <w:tcW w:w="1709" w:type="dxa"/>
            <w:shd w:val="clear" w:color="auto" w:fill="auto"/>
            <w:noWrap/>
            <w:vAlign w:val="center"/>
          </w:tcPr>
          <w:p w:rsidR="000802D5" w:rsidRPr="002152E4" w:rsidRDefault="00877AFC" w:rsidP="000802D5">
            <w:pPr>
              <w:jc w:val="center"/>
              <w:rPr>
                <w:lang w:val="ro-RO"/>
              </w:rPr>
            </w:pPr>
            <w:r w:rsidRPr="002152E4">
              <w:rPr>
                <w:lang w:val="ro-RO"/>
              </w:rPr>
              <w:t>106</w:t>
            </w:r>
          </w:p>
        </w:tc>
      </w:tr>
      <w:tr w:rsidR="000802D5" w:rsidRPr="002152E4" w:rsidTr="000802D5">
        <w:trPr>
          <w:trHeight w:val="300"/>
          <w:jc w:val="center"/>
        </w:trPr>
        <w:tc>
          <w:tcPr>
            <w:tcW w:w="3857" w:type="dxa"/>
            <w:shd w:val="clear" w:color="auto" w:fill="auto"/>
            <w:vAlign w:val="center"/>
          </w:tcPr>
          <w:p w:rsidR="000802D5" w:rsidRPr="002152E4" w:rsidRDefault="000802D5" w:rsidP="000802D5">
            <w:pPr>
              <w:rPr>
                <w:bCs/>
                <w:lang w:val="ro-RO"/>
              </w:rPr>
            </w:pPr>
            <w:r w:rsidRPr="002152E4">
              <w:rPr>
                <w:bCs/>
                <w:lang w:val="ro-RO"/>
              </w:rPr>
              <w:t>Tribunalul Militar Timişoara</w:t>
            </w:r>
          </w:p>
        </w:tc>
        <w:tc>
          <w:tcPr>
            <w:tcW w:w="1709" w:type="dxa"/>
            <w:shd w:val="clear" w:color="auto" w:fill="auto"/>
            <w:noWrap/>
            <w:vAlign w:val="center"/>
          </w:tcPr>
          <w:p w:rsidR="000802D5" w:rsidRPr="002152E4" w:rsidRDefault="00877AFC" w:rsidP="000802D5">
            <w:pPr>
              <w:jc w:val="center"/>
              <w:rPr>
                <w:lang w:val="ro-RO"/>
              </w:rPr>
            </w:pPr>
            <w:r w:rsidRPr="002152E4">
              <w:rPr>
                <w:lang w:val="ro-RO"/>
              </w:rPr>
              <w:t>110</w:t>
            </w:r>
          </w:p>
        </w:tc>
      </w:tr>
      <w:tr w:rsidR="000802D5" w:rsidRPr="002152E4" w:rsidTr="000802D5">
        <w:trPr>
          <w:trHeight w:val="330"/>
          <w:jc w:val="center"/>
        </w:trPr>
        <w:tc>
          <w:tcPr>
            <w:tcW w:w="3857" w:type="dxa"/>
            <w:shd w:val="clear" w:color="auto" w:fill="auto"/>
            <w:vAlign w:val="center"/>
          </w:tcPr>
          <w:p w:rsidR="000802D5" w:rsidRPr="002152E4" w:rsidRDefault="000802D5" w:rsidP="000802D5">
            <w:pPr>
              <w:rPr>
                <w:bCs/>
                <w:lang w:val="ro-RO"/>
              </w:rPr>
            </w:pPr>
            <w:r w:rsidRPr="002152E4">
              <w:rPr>
                <w:bCs/>
                <w:lang w:val="ro-RO"/>
              </w:rPr>
              <w:t>Curtea Militară de Apel</w:t>
            </w:r>
          </w:p>
        </w:tc>
        <w:tc>
          <w:tcPr>
            <w:tcW w:w="1709" w:type="dxa"/>
            <w:shd w:val="clear" w:color="auto" w:fill="auto"/>
            <w:noWrap/>
            <w:vAlign w:val="center"/>
          </w:tcPr>
          <w:p w:rsidR="000802D5" w:rsidRPr="002152E4" w:rsidRDefault="00877AFC" w:rsidP="000802D5">
            <w:pPr>
              <w:jc w:val="center"/>
              <w:rPr>
                <w:lang w:val="ro-RO"/>
              </w:rPr>
            </w:pPr>
            <w:r w:rsidRPr="002152E4">
              <w:rPr>
                <w:lang w:val="ro-RO"/>
              </w:rPr>
              <w:t>113</w:t>
            </w:r>
          </w:p>
        </w:tc>
      </w:tr>
    </w:tbl>
    <w:p w:rsidR="006B0563" w:rsidRPr="002152E4" w:rsidRDefault="006B0563" w:rsidP="006B0563">
      <w:pPr>
        <w:jc w:val="center"/>
        <w:rPr>
          <w:rFonts w:cs="Arial"/>
          <w:lang w:val="ro-RO"/>
        </w:rPr>
      </w:pPr>
    </w:p>
    <w:p w:rsidR="0026420F" w:rsidRPr="002152E4" w:rsidRDefault="004C1615" w:rsidP="004C1615">
      <w:pPr>
        <w:pStyle w:val="Heading2"/>
      </w:pPr>
      <w:bookmarkStart w:id="74" w:name="_Toc411429424"/>
      <w:bookmarkStart w:id="75" w:name="_Toc475363407"/>
      <w:bookmarkStart w:id="76" w:name="_Toc486576530"/>
      <w:r w:rsidRPr="002152E4">
        <w:t>II.4</w:t>
      </w:r>
      <w:r w:rsidR="0026420F" w:rsidRPr="002152E4">
        <w:t>. Analiza activităţii instanţelor din perspectiva indicatorilor de eficienţă</w:t>
      </w:r>
      <w:bookmarkEnd w:id="74"/>
      <w:bookmarkEnd w:id="75"/>
      <w:bookmarkEnd w:id="76"/>
    </w:p>
    <w:p w:rsidR="0026420F" w:rsidRPr="002152E4" w:rsidRDefault="0026420F" w:rsidP="0026420F">
      <w:pPr>
        <w:rPr>
          <w:lang w:val="ro-RO"/>
        </w:rPr>
      </w:pPr>
    </w:p>
    <w:p w:rsidR="0026420F" w:rsidRPr="002152E4" w:rsidRDefault="0026420F" w:rsidP="001B1EE4">
      <w:pPr>
        <w:pStyle w:val="AddParagraf"/>
      </w:pPr>
      <w:r w:rsidRPr="002152E4">
        <w:t xml:space="preserve">Prin Hotărârea nr. </w:t>
      </w:r>
      <w:smartTag w:uri="urn:schemas-microsoft-com:office:smarttags" w:element="metricconverter">
        <w:smartTagPr>
          <w:attr w:name="ProductID" w:val="1305 a"/>
        </w:smartTagPr>
        <w:r w:rsidRPr="002152E4">
          <w:t>1305 a</w:t>
        </w:r>
      </w:smartTag>
      <w:r w:rsidRPr="002152E4">
        <w:t xml:space="preserve"> Secţiei pentru judecători a  Consiliului Superior al Magistraturii, s-au stabilit 5 indicatori de performanţă pentru instanţe şi anume:</w:t>
      </w:r>
    </w:p>
    <w:p w:rsidR="0026420F" w:rsidRPr="002152E4" w:rsidRDefault="0026420F" w:rsidP="00C72B60">
      <w:pPr>
        <w:pStyle w:val="AddParagraf"/>
        <w:numPr>
          <w:ilvl w:val="0"/>
          <w:numId w:val="8"/>
        </w:numPr>
      </w:pPr>
      <w:r w:rsidRPr="002152E4">
        <w:t>Ra</w:t>
      </w:r>
      <w:r w:rsidR="00DA22F6" w:rsidRPr="002152E4">
        <w:t>ta de soluţionare a dosa</w:t>
      </w:r>
      <w:r w:rsidRPr="002152E4">
        <w:t>relor;</w:t>
      </w:r>
    </w:p>
    <w:p w:rsidR="0026420F" w:rsidRPr="002152E4" w:rsidRDefault="0026420F" w:rsidP="00C72B60">
      <w:pPr>
        <w:pStyle w:val="AddParagraf"/>
        <w:numPr>
          <w:ilvl w:val="0"/>
          <w:numId w:val="8"/>
        </w:numPr>
      </w:pPr>
      <w:r w:rsidRPr="002152E4">
        <w:t>Stocul de dosare mai vechi de 1 an</w:t>
      </w:r>
      <w:r w:rsidR="00A06675" w:rsidRPr="002152E4">
        <w:t>/1 an și 6 luni</w:t>
      </w:r>
    </w:p>
    <w:p w:rsidR="0026420F" w:rsidRPr="002152E4" w:rsidRDefault="0026420F" w:rsidP="00C72B60">
      <w:pPr>
        <w:pStyle w:val="AddParagraf"/>
        <w:numPr>
          <w:ilvl w:val="0"/>
          <w:numId w:val="8"/>
        </w:numPr>
      </w:pPr>
      <w:r w:rsidRPr="002152E4">
        <w:t>Ponderea dosarelor închise într-un an</w:t>
      </w:r>
    </w:p>
    <w:p w:rsidR="0026420F" w:rsidRPr="002152E4" w:rsidRDefault="0026420F" w:rsidP="00C72B60">
      <w:pPr>
        <w:pStyle w:val="AddParagraf"/>
        <w:numPr>
          <w:ilvl w:val="0"/>
          <w:numId w:val="8"/>
        </w:numPr>
      </w:pPr>
      <w:r w:rsidRPr="002152E4">
        <w:t>Durata</w:t>
      </w:r>
      <w:r w:rsidR="00A06675" w:rsidRPr="002152E4">
        <w:t xml:space="preserve"> medie de soluţionare</w:t>
      </w:r>
    </w:p>
    <w:p w:rsidR="0026420F" w:rsidRPr="002152E4" w:rsidRDefault="002152E4" w:rsidP="00C72B60">
      <w:pPr>
        <w:pStyle w:val="AddParagraf"/>
        <w:numPr>
          <w:ilvl w:val="0"/>
          <w:numId w:val="8"/>
        </w:numPr>
      </w:pPr>
      <w:r w:rsidRPr="002152E4">
        <w:t>Redactările</w:t>
      </w:r>
      <w:r w:rsidR="0026420F" w:rsidRPr="002152E4">
        <w:t xml:space="preserve"> peste termenul legal </w:t>
      </w:r>
    </w:p>
    <w:p w:rsidR="0026420F" w:rsidRPr="002152E4" w:rsidRDefault="0026420F" w:rsidP="001B1EE4">
      <w:pPr>
        <w:pStyle w:val="AddParagraf"/>
      </w:pPr>
      <w:r w:rsidRPr="002152E4">
        <w:t xml:space="preserve">Fiecare din cei 5 indicatori sunt împărţiţi în patru grade de eficienţă reprezentate grafic  şi anume: foarte eficient (culoarea verde), eficient (culoarea galben), satisfăcător (culoarea orange) şi ineficient (culoarea roşu). De asemenea, </w:t>
      </w:r>
      <w:r w:rsidR="00A06675" w:rsidRPr="002152E4">
        <w:t>există</w:t>
      </w:r>
      <w:r w:rsidRPr="002152E4">
        <w:t xml:space="preserve"> un raport centralizator al tuturor indicatorilor de performanţă care </w:t>
      </w:r>
      <w:r w:rsidR="00A06675" w:rsidRPr="002152E4">
        <w:t>indică</w:t>
      </w:r>
      <w:r w:rsidRPr="002152E4">
        <w:t xml:space="preserve"> starea generală a instanţei.</w:t>
      </w:r>
    </w:p>
    <w:p w:rsidR="0026420F" w:rsidRPr="002152E4" w:rsidRDefault="0026420F" w:rsidP="001B1EE4">
      <w:pPr>
        <w:pStyle w:val="AddParagraf"/>
      </w:pPr>
      <w:r w:rsidRPr="002152E4">
        <w:t xml:space="preserve">Conform celor stabilite în conţinutul hotărârii, Consiliul Superior al Magistraturii urmează să facă o analiză la fiecare 6 luni respectiv la fiecare final de an  în urma centralizării datelor statistice aferente, analiză care </w:t>
      </w:r>
      <w:r w:rsidR="00A06675" w:rsidRPr="002152E4">
        <w:t>va fi publicată pe site-ul C.S.M.</w:t>
      </w:r>
      <w:r w:rsidRPr="002152E4">
        <w:t xml:space="preserve">. </w:t>
      </w:r>
    </w:p>
    <w:p w:rsidR="0026420F" w:rsidRPr="002152E4" w:rsidRDefault="0026420F" w:rsidP="001B1EE4">
      <w:pPr>
        <w:pStyle w:val="AddParagraf"/>
      </w:pPr>
      <w:r w:rsidRPr="002152E4">
        <w:t>În plus de asta, instanţele vor face analize proprii la interv</w:t>
      </w:r>
      <w:r w:rsidR="00A06675" w:rsidRPr="002152E4">
        <w:t>ale mai scurte</w:t>
      </w:r>
      <w:r w:rsidRPr="002152E4">
        <w:t>, analize care de asemenea vor fi publicate pe paginile proprii de internet.</w:t>
      </w:r>
    </w:p>
    <w:p w:rsidR="008B5879" w:rsidRPr="002152E4" w:rsidRDefault="008B5879" w:rsidP="001B1EE4">
      <w:pPr>
        <w:pStyle w:val="AddParagraf"/>
      </w:pPr>
      <w:r w:rsidRPr="002152E4">
        <w:t>Având în vedere indicatorii de performanţă enumeraţi mai sus, la nivelul curţilor de apel situaţia centralizată a acestor indicatori se prezintă astfel:</w:t>
      </w:r>
    </w:p>
    <w:p w:rsidR="00FF6E5F" w:rsidRPr="002152E4" w:rsidRDefault="00FF6E5F" w:rsidP="00FF6E5F">
      <w:pPr>
        <w:pStyle w:val="AddParagraf"/>
        <w:ind w:firstLine="0"/>
      </w:pPr>
    </w:p>
    <w:p w:rsidR="00FF6E5F" w:rsidRPr="002152E4" w:rsidRDefault="007041EF" w:rsidP="00745410">
      <w:pPr>
        <w:pStyle w:val="AddParagraf"/>
        <w:ind w:firstLine="0"/>
      </w:pPr>
      <w:r w:rsidRPr="002152E4">
        <w:rPr>
          <w:noProof/>
          <w:lang w:val="en-US"/>
        </w:rPr>
        <w:lastRenderedPageBreak/>
        <w:drawing>
          <wp:inline distT="0" distB="0" distL="0" distR="0">
            <wp:extent cx="6195060" cy="39319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a:extLst>
                        <a:ext uri="{28A0092B-C50C-407E-A947-70E740481C1C}">
                          <a14:useLocalDpi xmlns:a14="http://schemas.microsoft.com/office/drawing/2010/main" val="0"/>
                        </a:ext>
                      </a:extLst>
                    </a:blip>
                    <a:srcRect t="10437" r="1566" b="6210"/>
                    <a:stretch>
                      <a:fillRect/>
                    </a:stretch>
                  </pic:blipFill>
                  <pic:spPr bwMode="auto">
                    <a:xfrm>
                      <a:off x="0" y="0"/>
                      <a:ext cx="6195060" cy="3931920"/>
                    </a:xfrm>
                    <a:prstGeom prst="rect">
                      <a:avLst/>
                    </a:prstGeom>
                    <a:noFill/>
                    <a:ln>
                      <a:noFill/>
                    </a:ln>
                  </pic:spPr>
                </pic:pic>
              </a:graphicData>
            </a:graphic>
          </wp:inline>
        </w:drawing>
      </w:r>
      <w:r w:rsidRPr="002152E4">
        <w:rPr>
          <w:noProof/>
          <w:lang w:val="en-US"/>
        </w:rPr>
        <w:drawing>
          <wp:inline distT="0" distB="0" distL="0" distR="0">
            <wp:extent cx="6195060" cy="1143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8">
                      <a:extLst>
                        <a:ext uri="{28A0092B-C50C-407E-A947-70E740481C1C}">
                          <a14:useLocalDpi xmlns:a14="http://schemas.microsoft.com/office/drawing/2010/main" val="0"/>
                        </a:ext>
                      </a:extLst>
                    </a:blip>
                    <a:srcRect t="67662" r="1566" b="7999"/>
                    <a:stretch>
                      <a:fillRect/>
                    </a:stretch>
                  </pic:blipFill>
                  <pic:spPr bwMode="auto">
                    <a:xfrm>
                      <a:off x="0" y="0"/>
                      <a:ext cx="6195060" cy="1143000"/>
                    </a:xfrm>
                    <a:prstGeom prst="rect">
                      <a:avLst/>
                    </a:prstGeom>
                    <a:noFill/>
                    <a:ln>
                      <a:noFill/>
                    </a:ln>
                  </pic:spPr>
                </pic:pic>
              </a:graphicData>
            </a:graphic>
          </wp:inline>
        </w:drawing>
      </w:r>
    </w:p>
    <w:p w:rsidR="00745410" w:rsidRPr="002152E4" w:rsidRDefault="002152E4" w:rsidP="001B1EE4">
      <w:pPr>
        <w:pStyle w:val="AddParagraf"/>
      </w:pPr>
      <w:r>
        <w:t>Se obs</w:t>
      </w:r>
      <w:r w:rsidR="00E75417" w:rsidRPr="002152E4">
        <w:t>ervă că la gradul de eficienţă „foarte eficient” se încadrează următoarele instanţe: Curtea de Apel</w:t>
      </w:r>
      <w:r w:rsidR="00FF6E5F" w:rsidRPr="002152E4">
        <w:t xml:space="preserve"> Bacău</w:t>
      </w:r>
      <w:r w:rsidR="00E75417" w:rsidRPr="002152E4">
        <w:t>, Curtea de Apel</w:t>
      </w:r>
      <w:r w:rsidR="00FF6E5F" w:rsidRPr="002152E4">
        <w:t xml:space="preserve"> Cluj</w:t>
      </w:r>
      <w:r w:rsidR="00E75417" w:rsidRPr="002152E4">
        <w:t>, Curtea de Apel</w:t>
      </w:r>
      <w:r w:rsidR="00FF6E5F" w:rsidRPr="002152E4">
        <w:t xml:space="preserve"> Craiova</w:t>
      </w:r>
      <w:r w:rsidR="00E75417" w:rsidRPr="002152E4">
        <w:t>, Curtea de Apel</w:t>
      </w:r>
      <w:r w:rsidR="00FF6E5F" w:rsidRPr="002152E4">
        <w:t xml:space="preserve"> Iaşi</w:t>
      </w:r>
      <w:r w:rsidR="00E75417" w:rsidRPr="002152E4">
        <w:t>, Curtea de Apel</w:t>
      </w:r>
      <w:r w:rsidR="00FF6E5F" w:rsidRPr="002152E4">
        <w:t xml:space="preserve"> Oradea</w:t>
      </w:r>
      <w:r w:rsidR="00E75417" w:rsidRPr="002152E4">
        <w:t xml:space="preserve">, Curtea de Apel </w:t>
      </w:r>
      <w:r w:rsidR="00FF6E5F" w:rsidRPr="002152E4">
        <w:t>Piteşti, Curtea de Apel Ploieşti, Curtea de Apel Suceava,</w:t>
      </w:r>
      <w:r w:rsidR="00E75417" w:rsidRPr="002152E4">
        <w:t xml:space="preserve"> Curtea de Apel </w:t>
      </w:r>
      <w:r w:rsidR="00FF6E5F" w:rsidRPr="002152E4">
        <w:t xml:space="preserve">Târu Mureş, Curtea de Apel </w:t>
      </w:r>
      <w:r w:rsidR="00E75417" w:rsidRPr="002152E4">
        <w:t>Timişoara</w:t>
      </w:r>
      <w:r w:rsidR="00FF6E5F" w:rsidRPr="002152E4">
        <w:t xml:space="preserve"> şi Curtea de Apel Bucureşti</w:t>
      </w:r>
      <w:r w:rsidR="00E75417" w:rsidRPr="002152E4">
        <w:t>.</w:t>
      </w:r>
      <w:r w:rsidR="00FF6E5F" w:rsidRPr="002152E4">
        <w:t xml:space="preserve"> </w:t>
      </w:r>
    </w:p>
    <w:p w:rsidR="00A06675" w:rsidRPr="002152E4" w:rsidRDefault="00A06675" w:rsidP="001B1EE4">
      <w:pPr>
        <w:pStyle w:val="AddParagraf"/>
      </w:pPr>
      <w:r w:rsidRPr="002152E4">
        <w:t>Ca obser</w:t>
      </w:r>
      <w:r w:rsidR="00FF6E5F" w:rsidRPr="002152E4">
        <w:t>vație, Curtea de A</w:t>
      </w:r>
      <w:r w:rsidRPr="002152E4">
        <w:t xml:space="preserve">pel </w:t>
      </w:r>
      <w:r w:rsidR="00FF6E5F" w:rsidRPr="002152E4">
        <w:t>Craiova şi Curtea de Apel Suceava sunt foarte eficiente</w:t>
      </w:r>
      <w:r w:rsidRPr="002152E4">
        <w:t xml:space="preserve"> în cadrul tuturor indicatorilor.</w:t>
      </w:r>
    </w:p>
    <w:p w:rsidR="008411B9" w:rsidRPr="002152E4" w:rsidRDefault="008411B9" w:rsidP="001B1EE4">
      <w:pPr>
        <w:pStyle w:val="AddParagraf"/>
      </w:pPr>
      <w:r w:rsidRPr="002152E4">
        <w:t>De asemen</w:t>
      </w:r>
      <w:r w:rsidR="002152E4">
        <w:t>e</w:t>
      </w:r>
      <w:r w:rsidRPr="002152E4">
        <w:t>a se observă că nu există nici o instanţă la gradul de eficienţă „satisfăcător” sau „ineficient”.</w:t>
      </w:r>
    </w:p>
    <w:p w:rsidR="00950573" w:rsidRPr="002152E4" w:rsidRDefault="008C039D" w:rsidP="00E256EA">
      <w:pPr>
        <w:pStyle w:val="AddParagraf"/>
      </w:pPr>
      <w:r w:rsidRPr="002152E4">
        <w:t xml:space="preserve">La nivelul tribunalelor, </w:t>
      </w:r>
      <w:r w:rsidR="00E9276D" w:rsidRPr="002152E4">
        <w:t>la gradul de eficienţă „foarte eficient” se încadrează următoarele instanţe:</w:t>
      </w:r>
      <w:r w:rsidR="00F23150" w:rsidRPr="002152E4">
        <w:t xml:space="preserve"> </w:t>
      </w:r>
    </w:p>
    <w:p w:rsidR="00950573" w:rsidRPr="002152E4" w:rsidRDefault="00950573" w:rsidP="00950573">
      <w:pPr>
        <w:pStyle w:val="AddParagraf"/>
        <w:ind w:firstLine="0"/>
      </w:pPr>
    </w:p>
    <w:p w:rsidR="00950573" w:rsidRPr="002152E4" w:rsidRDefault="00950573" w:rsidP="00950573">
      <w:pPr>
        <w:pStyle w:val="AddParagraf"/>
        <w:ind w:firstLine="0"/>
      </w:pPr>
    </w:p>
    <w:p w:rsidR="00950573" w:rsidRPr="002152E4" w:rsidRDefault="00950573" w:rsidP="00950573">
      <w:pPr>
        <w:pStyle w:val="AddParagraf"/>
        <w:ind w:firstLine="0"/>
      </w:pPr>
    </w:p>
    <w:p w:rsidR="00950573" w:rsidRPr="002152E4" w:rsidRDefault="007041EF" w:rsidP="00950573">
      <w:pPr>
        <w:pStyle w:val="AddParagraf"/>
        <w:ind w:firstLine="0"/>
      </w:pPr>
      <w:r w:rsidRPr="002152E4">
        <w:rPr>
          <w:noProof/>
          <w:lang w:val="en-US"/>
        </w:rPr>
        <w:lastRenderedPageBreak/>
        <w:drawing>
          <wp:inline distT="0" distB="0" distL="0" distR="0">
            <wp:extent cx="6195060" cy="3314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9">
                      <a:extLst>
                        <a:ext uri="{28A0092B-C50C-407E-A947-70E740481C1C}">
                          <a14:useLocalDpi xmlns:a14="http://schemas.microsoft.com/office/drawing/2010/main" val="0"/>
                        </a:ext>
                      </a:extLst>
                    </a:blip>
                    <a:srcRect t="7317" r="1566" b="22331"/>
                    <a:stretch>
                      <a:fillRect/>
                    </a:stretch>
                  </pic:blipFill>
                  <pic:spPr bwMode="auto">
                    <a:xfrm>
                      <a:off x="0" y="0"/>
                      <a:ext cx="6195060" cy="3314700"/>
                    </a:xfrm>
                    <a:prstGeom prst="rect">
                      <a:avLst/>
                    </a:prstGeom>
                    <a:noFill/>
                    <a:ln>
                      <a:noFill/>
                    </a:ln>
                  </pic:spPr>
                </pic:pic>
              </a:graphicData>
            </a:graphic>
          </wp:inline>
        </w:drawing>
      </w:r>
    </w:p>
    <w:p w:rsidR="008A3932" w:rsidRPr="002152E4" w:rsidRDefault="008A3932" w:rsidP="000802D5">
      <w:pPr>
        <w:jc w:val="center"/>
        <w:rPr>
          <w:rFonts w:cs="Arial"/>
          <w:lang w:val="ro-RO"/>
        </w:rPr>
      </w:pPr>
    </w:p>
    <w:p w:rsidR="00BC169B" w:rsidRPr="002152E4" w:rsidRDefault="005A7C58" w:rsidP="005A7C58">
      <w:pPr>
        <w:ind w:firstLine="708"/>
        <w:jc w:val="both"/>
        <w:rPr>
          <w:lang w:val="ro-RO"/>
        </w:rPr>
      </w:pPr>
      <w:r w:rsidRPr="002152E4">
        <w:rPr>
          <w:lang w:val="ro-RO"/>
        </w:rPr>
        <w:t>De asemenea</w:t>
      </w:r>
      <w:r w:rsidR="00BC169B" w:rsidRPr="002152E4">
        <w:rPr>
          <w:lang w:val="ro-RO"/>
        </w:rPr>
        <w:t>, la gradul de eficienţă „satisfăcător” se încadrează următoarele instanţe:</w:t>
      </w:r>
    </w:p>
    <w:p w:rsidR="00F86B16" w:rsidRPr="002152E4" w:rsidRDefault="00F86B16" w:rsidP="005A7C58">
      <w:pPr>
        <w:ind w:firstLine="708"/>
        <w:jc w:val="both"/>
        <w:rPr>
          <w:rFonts w:cs="Arial"/>
          <w:lang w:val="ro-RO"/>
        </w:rPr>
      </w:pPr>
    </w:p>
    <w:p w:rsidR="000650C2" w:rsidRPr="002152E4" w:rsidRDefault="007041EF" w:rsidP="00BC169B">
      <w:pPr>
        <w:jc w:val="center"/>
        <w:rPr>
          <w:rFonts w:cs="Arial"/>
          <w:lang w:val="ro-RO"/>
        </w:rPr>
      </w:pPr>
      <w:r w:rsidRPr="002152E4">
        <w:rPr>
          <w:rFonts w:cs="Arial"/>
          <w:noProof/>
        </w:rPr>
        <w:drawing>
          <wp:inline distT="0" distB="0" distL="0" distR="0">
            <wp:extent cx="6195060" cy="906780"/>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0">
                      <a:extLst>
                        <a:ext uri="{28A0092B-C50C-407E-A947-70E740481C1C}">
                          <a14:useLocalDpi xmlns:a14="http://schemas.microsoft.com/office/drawing/2010/main" val="0"/>
                        </a:ext>
                      </a:extLst>
                    </a:blip>
                    <a:srcRect t="67902" r="1566" b="12848"/>
                    <a:stretch>
                      <a:fillRect/>
                    </a:stretch>
                  </pic:blipFill>
                  <pic:spPr bwMode="auto">
                    <a:xfrm>
                      <a:off x="0" y="0"/>
                      <a:ext cx="6195060" cy="906780"/>
                    </a:xfrm>
                    <a:prstGeom prst="rect">
                      <a:avLst/>
                    </a:prstGeom>
                    <a:noFill/>
                    <a:ln>
                      <a:noFill/>
                    </a:ln>
                  </pic:spPr>
                </pic:pic>
              </a:graphicData>
            </a:graphic>
          </wp:inline>
        </w:drawing>
      </w:r>
    </w:p>
    <w:p w:rsidR="00EB4055" w:rsidRPr="002152E4" w:rsidRDefault="00EB4055" w:rsidP="00EB4055">
      <w:pPr>
        <w:jc w:val="both"/>
        <w:rPr>
          <w:rFonts w:cs="Arial"/>
          <w:lang w:val="ro-RO"/>
        </w:rPr>
      </w:pPr>
    </w:p>
    <w:p w:rsidR="000650C2" w:rsidRPr="002152E4" w:rsidRDefault="00F86B16" w:rsidP="00EB4055">
      <w:pPr>
        <w:ind w:firstLine="708"/>
        <w:jc w:val="both"/>
        <w:rPr>
          <w:rFonts w:cs="Arial"/>
          <w:lang w:val="ro-RO"/>
        </w:rPr>
      </w:pPr>
      <w:r w:rsidRPr="002152E4">
        <w:rPr>
          <w:rFonts w:cs="Arial"/>
          <w:lang w:val="ro-RO"/>
        </w:rPr>
        <w:t xml:space="preserve">Niciun tribunal nu a înregistrat gradul de eficienţă </w:t>
      </w:r>
      <w:r w:rsidR="00EB4055" w:rsidRPr="002152E4">
        <w:rPr>
          <w:rFonts w:cs="Arial"/>
          <w:lang w:val="ro-RO"/>
        </w:rPr>
        <w:t>“in</w:t>
      </w:r>
      <w:r w:rsidRPr="002152E4">
        <w:rPr>
          <w:rFonts w:cs="Arial"/>
          <w:lang w:val="ro-RO"/>
        </w:rPr>
        <w:t>eficient”</w:t>
      </w:r>
      <w:r w:rsidR="00EB4055" w:rsidRPr="002152E4">
        <w:rPr>
          <w:rFonts w:cs="Arial"/>
          <w:lang w:val="ro-RO"/>
        </w:rPr>
        <w:t>.</w:t>
      </w:r>
    </w:p>
    <w:p w:rsidR="00FE40E6" w:rsidRPr="002152E4" w:rsidRDefault="00FE40E6" w:rsidP="009D77EF">
      <w:pPr>
        <w:ind w:firstLine="708"/>
        <w:jc w:val="both"/>
        <w:rPr>
          <w:rFonts w:cs="Arial"/>
          <w:lang w:val="ro-RO"/>
        </w:rPr>
      </w:pPr>
    </w:p>
    <w:p w:rsidR="000650C2" w:rsidRPr="002152E4" w:rsidRDefault="005A7C58" w:rsidP="009D77EF">
      <w:pPr>
        <w:ind w:firstLine="708"/>
        <w:jc w:val="both"/>
        <w:rPr>
          <w:lang w:val="ro-RO"/>
        </w:rPr>
      </w:pPr>
      <w:r w:rsidRPr="002152E4">
        <w:rPr>
          <w:rFonts w:cs="Arial"/>
          <w:lang w:val="ro-RO"/>
        </w:rPr>
        <w:t>În ceea ce privește judecătoriile,</w:t>
      </w:r>
      <w:r w:rsidR="009D77EF" w:rsidRPr="002152E4">
        <w:rPr>
          <w:rFonts w:cs="Arial"/>
          <w:lang w:val="ro-RO"/>
        </w:rPr>
        <w:t xml:space="preserve"> </w:t>
      </w:r>
      <w:r w:rsidR="009D77EF" w:rsidRPr="002152E4">
        <w:rPr>
          <w:lang w:val="ro-RO"/>
        </w:rPr>
        <w:t xml:space="preserve">la gradul de eficienţă „foarte eficient” se încadrează </w:t>
      </w:r>
      <w:r w:rsidR="00DA19E1" w:rsidRPr="002152E4">
        <w:rPr>
          <w:lang w:val="ro-RO"/>
        </w:rPr>
        <w:t>72</w:t>
      </w:r>
      <w:r w:rsidR="001C4A59" w:rsidRPr="002152E4">
        <w:rPr>
          <w:lang w:val="ro-RO"/>
        </w:rPr>
        <w:t xml:space="preserve"> </w:t>
      </w:r>
      <w:r w:rsidR="00A23CF8" w:rsidRPr="002152E4">
        <w:rPr>
          <w:lang w:val="ro-RO"/>
        </w:rPr>
        <w:t>de instanţe, primele 12</w:t>
      </w:r>
      <w:r w:rsidRPr="002152E4">
        <w:rPr>
          <w:lang w:val="ro-RO"/>
        </w:rPr>
        <w:t xml:space="preserve"> poziții</w:t>
      </w:r>
      <w:r w:rsidR="001C4A59" w:rsidRPr="002152E4">
        <w:rPr>
          <w:lang w:val="ro-RO"/>
        </w:rPr>
        <w:t xml:space="preserve"> fii</w:t>
      </w:r>
      <w:r w:rsidRPr="002152E4">
        <w:rPr>
          <w:lang w:val="ro-RO"/>
        </w:rPr>
        <w:t>nd</w:t>
      </w:r>
      <w:r w:rsidR="001C4A59" w:rsidRPr="002152E4">
        <w:rPr>
          <w:lang w:val="ro-RO"/>
        </w:rPr>
        <w:t xml:space="preserve"> </w:t>
      </w:r>
      <w:r w:rsidRPr="002152E4">
        <w:rPr>
          <w:lang w:val="ro-RO"/>
        </w:rPr>
        <w:t>prezentate în figura de mai jos:</w:t>
      </w:r>
      <w:r w:rsidR="009D77EF" w:rsidRPr="002152E4">
        <w:rPr>
          <w:lang w:val="ro-RO"/>
        </w:rPr>
        <w:t xml:space="preserve"> </w:t>
      </w:r>
    </w:p>
    <w:p w:rsidR="00A23CF8" w:rsidRPr="002152E4" w:rsidRDefault="00A23CF8" w:rsidP="009D77EF">
      <w:pPr>
        <w:ind w:firstLine="708"/>
        <w:jc w:val="both"/>
        <w:rPr>
          <w:lang w:val="ro-RO"/>
        </w:rPr>
      </w:pPr>
    </w:p>
    <w:p w:rsidR="00A23CF8" w:rsidRPr="002152E4" w:rsidRDefault="007041EF" w:rsidP="00A333AC">
      <w:pPr>
        <w:jc w:val="both"/>
        <w:rPr>
          <w:rFonts w:cs="Arial"/>
          <w:lang w:val="ro-RO"/>
        </w:rPr>
      </w:pPr>
      <w:r w:rsidRPr="002152E4">
        <w:rPr>
          <w:rFonts w:cs="Arial"/>
          <w:noProof/>
        </w:rPr>
        <w:lastRenderedPageBreak/>
        <w:drawing>
          <wp:inline distT="0" distB="0" distL="0" distR="0">
            <wp:extent cx="6195060" cy="38938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1">
                      <a:extLst>
                        <a:ext uri="{28A0092B-C50C-407E-A947-70E740481C1C}">
                          <a14:useLocalDpi xmlns:a14="http://schemas.microsoft.com/office/drawing/2010/main" val="0"/>
                        </a:ext>
                      </a:extLst>
                    </a:blip>
                    <a:srcRect t="7152" r="1566" b="10286"/>
                    <a:stretch>
                      <a:fillRect/>
                    </a:stretch>
                  </pic:blipFill>
                  <pic:spPr bwMode="auto">
                    <a:xfrm>
                      <a:off x="0" y="0"/>
                      <a:ext cx="6195060" cy="3893820"/>
                    </a:xfrm>
                    <a:prstGeom prst="rect">
                      <a:avLst/>
                    </a:prstGeom>
                    <a:noFill/>
                    <a:ln>
                      <a:noFill/>
                    </a:ln>
                  </pic:spPr>
                </pic:pic>
              </a:graphicData>
            </a:graphic>
          </wp:inline>
        </w:drawing>
      </w:r>
    </w:p>
    <w:p w:rsidR="003E11DA" w:rsidRPr="002152E4" w:rsidRDefault="003E11DA" w:rsidP="001C4A59">
      <w:pPr>
        <w:jc w:val="both"/>
        <w:rPr>
          <w:rFonts w:cs="Arial"/>
          <w:lang w:val="ro-RO"/>
        </w:rPr>
      </w:pPr>
    </w:p>
    <w:p w:rsidR="00547A00" w:rsidRPr="002152E4" w:rsidRDefault="00547A00" w:rsidP="001C4A59">
      <w:pPr>
        <w:jc w:val="both"/>
        <w:rPr>
          <w:rFonts w:cs="Arial"/>
          <w:lang w:val="ro-RO"/>
        </w:rPr>
      </w:pPr>
    </w:p>
    <w:p w:rsidR="00547A00" w:rsidRPr="002152E4" w:rsidRDefault="00547A00" w:rsidP="005A7C58">
      <w:pPr>
        <w:ind w:firstLine="708"/>
        <w:jc w:val="both"/>
        <w:rPr>
          <w:lang w:val="ro-RO"/>
        </w:rPr>
      </w:pPr>
      <w:r w:rsidRPr="002152E4">
        <w:rPr>
          <w:lang w:val="ro-RO"/>
        </w:rPr>
        <w:t>La</w:t>
      </w:r>
      <w:r w:rsidR="00F369CA">
        <w:rPr>
          <w:lang w:val="ro-RO"/>
        </w:rPr>
        <w:t xml:space="preserve"> gradul de eficienţă „satisfacator</w:t>
      </w:r>
      <w:r w:rsidRPr="002152E4">
        <w:rPr>
          <w:lang w:val="ro-RO"/>
        </w:rPr>
        <w:t xml:space="preserve">” se încadrează </w:t>
      </w:r>
      <w:r w:rsidR="000215A2" w:rsidRPr="002152E4">
        <w:rPr>
          <w:lang w:val="ro-RO"/>
        </w:rPr>
        <w:t xml:space="preserve">două instanțe: </w:t>
      </w:r>
      <w:r w:rsidR="008C0986" w:rsidRPr="002152E4">
        <w:rPr>
          <w:lang w:val="ro-RO"/>
        </w:rPr>
        <w:t>Judecătoria Horezu şi Judecătoria Năsăud</w:t>
      </w:r>
      <w:r w:rsidRPr="002152E4">
        <w:rPr>
          <w:lang w:val="ro-RO"/>
        </w:rPr>
        <w:t>.</w:t>
      </w:r>
    </w:p>
    <w:p w:rsidR="000215A2" w:rsidRPr="002152E4" w:rsidRDefault="007041EF" w:rsidP="000215A2">
      <w:pPr>
        <w:jc w:val="both"/>
        <w:rPr>
          <w:rFonts w:cs="Arial"/>
          <w:lang w:val="ro-RO"/>
        </w:rPr>
      </w:pPr>
      <w:r w:rsidRPr="002152E4">
        <w:rPr>
          <w:rFonts w:cs="Arial"/>
          <w:noProof/>
        </w:rPr>
        <w:drawing>
          <wp:inline distT="0" distB="0" distL="0" distR="0">
            <wp:extent cx="6195060" cy="62484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2">
                      <a:extLst>
                        <a:ext uri="{28A0092B-C50C-407E-A947-70E740481C1C}">
                          <a14:useLocalDpi xmlns:a14="http://schemas.microsoft.com/office/drawing/2010/main" val="0"/>
                        </a:ext>
                      </a:extLst>
                    </a:blip>
                    <a:srcRect t="74005" r="1566" b="12848"/>
                    <a:stretch>
                      <a:fillRect/>
                    </a:stretch>
                  </pic:blipFill>
                  <pic:spPr bwMode="auto">
                    <a:xfrm>
                      <a:off x="0" y="0"/>
                      <a:ext cx="6195060" cy="624840"/>
                    </a:xfrm>
                    <a:prstGeom prst="rect">
                      <a:avLst/>
                    </a:prstGeom>
                    <a:noFill/>
                    <a:ln>
                      <a:noFill/>
                    </a:ln>
                  </pic:spPr>
                </pic:pic>
              </a:graphicData>
            </a:graphic>
          </wp:inline>
        </w:drawing>
      </w:r>
    </w:p>
    <w:p w:rsidR="00FE40E6" w:rsidRPr="002152E4" w:rsidRDefault="00FE40E6" w:rsidP="00E90F25">
      <w:pPr>
        <w:pStyle w:val="Normal1"/>
      </w:pPr>
      <w:bookmarkStart w:id="77" w:name="_Toc411429425"/>
      <w:r w:rsidRPr="002152E4">
        <w:tab/>
      </w:r>
      <w:bookmarkStart w:id="78" w:name="_Toc475362930"/>
      <w:r w:rsidRPr="002152E4">
        <w:t>Nicio judecătorie nu a înregistrat gradul de eficienţă “ineficient”.</w:t>
      </w:r>
      <w:bookmarkEnd w:id="77"/>
      <w:bookmarkEnd w:id="78"/>
    </w:p>
    <w:p w:rsidR="00545E76" w:rsidRPr="002152E4" w:rsidRDefault="00545E76" w:rsidP="00E51382">
      <w:pPr>
        <w:pStyle w:val="Heading2"/>
      </w:pPr>
      <w:bookmarkStart w:id="79" w:name="_Toc411333489"/>
      <w:bookmarkStart w:id="80" w:name="_Toc411429426"/>
      <w:bookmarkStart w:id="81" w:name="_Toc475363408"/>
      <w:bookmarkStart w:id="82" w:name="_Toc486576531"/>
      <w:r w:rsidRPr="002152E4">
        <w:t>I</w:t>
      </w:r>
      <w:r w:rsidR="00095144" w:rsidRPr="002152E4">
        <w:t>I.5.</w:t>
      </w:r>
      <w:r w:rsidRPr="002152E4">
        <w:t xml:space="preserve"> </w:t>
      </w:r>
      <w:bookmarkEnd w:id="79"/>
      <w:bookmarkEnd w:id="80"/>
      <w:r w:rsidR="00095144" w:rsidRPr="002152E4">
        <w:t>Indicii de atacabilitate şi desfiinţare a hotărârilor judecătoreşti</w:t>
      </w:r>
      <w:bookmarkStart w:id="83" w:name="_Toc128326231"/>
      <w:bookmarkStart w:id="84" w:name="_Toc128547435"/>
      <w:bookmarkStart w:id="85" w:name="_Toc368398444"/>
      <w:bookmarkStart w:id="86" w:name="_Toc411333490"/>
      <w:bookmarkEnd w:id="81"/>
      <w:bookmarkEnd w:id="82"/>
    </w:p>
    <w:p w:rsidR="00545E76" w:rsidRPr="002152E4" w:rsidRDefault="00545E76" w:rsidP="00545E76">
      <w:pPr>
        <w:pStyle w:val="AddParagraf"/>
      </w:pPr>
      <w:r w:rsidRPr="002152E4">
        <w:t>La nivelul celor 176 judecătorii care funcţionează în prezent, s-a î</w:t>
      </w:r>
      <w:r w:rsidR="0049718C" w:rsidRPr="002152E4">
        <w:t>nregistrat în cursul anului 2016</w:t>
      </w:r>
      <w:r w:rsidRPr="002152E4">
        <w:t xml:space="preserve">, un volum total de </w:t>
      </w:r>
      <w:r w:rsidR="0049718C" w:rsidRPr="002152E4">
        <w:rPr>
          <w:b/>
        </w:rPr>
        <w:t>2.023.150</w:t>
      </w:r>
      <w:r w:rsidR="005B3D82" w:rsidRPr="002152E4">
        <w:t xml:space="preserve"> </w:t>
      </w:r>
      <w:r w:rsidRPr="002152E4">
        <w:t xml:space="preserve">cauze, din care au fost soluţionate un număr de </w:t>
      </w:r>
      <w:r w:rsidR="0049718C" w:rsidRPr="002152E4">
        <w:rPr>
          <w:b/>
        </w:rPr>
        <w:t>1.523.519</w:t>
      </w:r>
      <w:r w:rsidR="005B3D82" w:rsidRPr="002152E4">
        <w:rPr>
          <w:b/>
        </w:rPr>
        <w:t xml:space="preserve"> </w:t>
      </w:r>
      <w:r w:rsidRPr="002152E4">
        <w:t>dosare.</w:t>
      </w:r>
      <w:bookmarkEnd w:id="83"/>
      <w:bookmarkEnd w:id="84"/>
      <w:bookmarkEnd w:id="85"/>
      <w:bookmarkEnd w:id="86"/>
    </w:p>
    <w:p w:rsidR="004B286E" w:rsidRPr="002152E4" w:rsidRDefault="00545E76" w:rsidP="00545E76">
      <w:pPr>
        <w:pStyle w:val="AddParagraf"/>
      </w:pPr>
      <w:r w:rsidRPr="002152E4">
        <w:t>Din totalul dosarelor soluţionate de judec</w:t>
      </w:r>
      <w:r w:rsidR="00802265" w:rsidRPr="002152E4">
        <w:t xml:space="preserve">ătorii, au fost atacate cu apel, </w:t>
      </w:r>
      <w:r w:rsidRPr="002152E4">
        <w:t xml:space="preserve">recurs </w:t>
      </w:r>
      <w:r w:rsidR="00802265" w:rsidRPr="002152E4">
        <w:t xml:space="preserve">şi contestaţii </w:t>
      </w:r>
      <w:r w:rsidR="00FE40E6" w:rsidRPr="002152E4">
        <w:t>la tribunal</w:t>
      </w:r>
      <w:r w:rsidRPr="002152E4">
        <w:t xml:space="preserve"> </w:t>
      </w:r>
      <w:r w:rsidR="00802265" w:rsidRPr="002152E4">
        <w:rPr>
          <w:b/>
        </w:rPr>
        <w:t>196</w:t>
      </w:r>
      <w:r w:rsidR="00BC0EE9" w:rsidRPr="002152E4">
        <w:rPr>
          <w:b/>
        </w:rPr>
        <w:t>.</w:t>
      </w:r>
      <w:r w:rsidR="00802265" w:rsidRPr="002152E4">
        <w:rPr>
          <w:b/>
        </w:rPr>
        <w:t>509</w:t>
      </w:r>
      <w:r w:rsidR="00BC0EE9" w:rsidRPr="002152E4">
        <w:t xml:space="preserve"> </w:t>
      </w:r>
      <w:r w:rsidR="00FE40E6" w:rsidRPr="002152E4">
        <w:t>cauze</w:t>
      </w:r>
      <w:r w:rsidRPr="002152E4">
        <w:t>. Rezultă astfel că ponderea atacabilităţii</w:t>
      </w:r>
      <w:r w:rsidR="000706D9" w:rsidRPr="002152E4">
        <w:t xml:space="preserve"> </w:t>
      </w:r>
      <w:r w:rsidRPr="002152E4">
        <w:t xml:space="preserve">hotărârilor pronunţate de </w:t>
      </w:r>
      <w:r w:rsidR="00BC0EE9" w:rsidRPr="002152E4">
        <w:t xml:space="preserve">judecătorii în fond în anul </w:t>
      </w:r>
      <w:smartTag w:uri="urn:schemas-microsoft-com:office:smarttags" w:element="metricconverter">
        <w:smartTagPr>
          <w:attr w:name="ProductID" w:val="2016 a"/>
        </w:smartTagPr>
        <w:r w:rsidR="00BC0EE9" w:rsidRPr="002152E4">
          <w:t>2016</w:t>
        </w:r>
        <w:r w:rsidRPr="002152E4">
          <w:t xml:space="preserve"> a</w:t>
        </w:r>
      </w:smartTag>
      <w:r w:rsidRPr="002152E4">
        <w:t xml:space="preserve"> fost de </w:t>
      </w:r>
      <w:r w:rsidR="009F08C4" w:rsidRPr="002152E4">
        <w:rPr>
          <w:b/>
        </w:rPr>
        <w:t>13</w:t>
      </w:r>
      <w:r w:rsidR="00BF08C7" w:rsidRPr="002152E4">
        <w:rPr>
          <w:b/>
        </w:rPr>
        <w:t>%</w:t>
      </w:r>
      <w:r w:rsidRPr="002152E4">
        <w:t xml:space="preserve"> (</w:t>
      </w:r>
      <w:r w:rsidR="00BC0EE9" w:rsidRPr="002152E4">
        <w:t>11 % în anul 2015</w:t>
      </w:r>
      <w:r w:rsidRPr="002152E4">
        <w:t>). Se poate observa că procentul justiţiabililor nemulţumiţi de hotărârile pronunţate d</w:t>
      </w:r>
      <w:r w:rsidR="004B286E" w:rsidRPr="002152E4">
        <w:t>e judecătorii este relativ mic.</w:t>
      </w:r>
    </w:p>
    <w:p w:rsidR="00482185" w:rsidRPr="002152E4" w:rsidRDefault="00545E76" w:rsidP="00545E76">
      <w:pPr>
        <w:pStyle w:val="AddParagraf"/>
      </w:pPr>
      <w:r w:rsidRPr="002152E4">
        <w:t xml:space="preserve">Din totalul de </w:t>
      </w:r>
      <w:r w:rsidR="003039C7" w:rsidRPr="002152E4">
        <w:rPr>
          <w:b/>
        </w:rPr>
        <w:t>190.775</w:t>
      </w:r>
      <w:r w:rsidRPr="002152E4">
        <w:t xml:space="preserve"> hotărâri pronunţate de tribunale în căile de atac, au fost pronunţa</w:t>
      </w:r>
      <w:r w:rsidR="00271B37" w:rsidRPr="002152E4">
        <w:t>te soluţii de admitere în</w:t>
      </w:r>
      <w:r w:rsidR="006E6840" w:rsidRPr="002152E4">
        <w:t xml:space="preserve"> tot sau în parte în</w:t>
      </w:r>
      <w:r w:rsidR="00271B37" w:rsidRPr="002152E4">
        <w:t xml:space="preserve"> </w:t>
      </w:r>
      <w:r w:rsidR="00B23ADF" w:rsidRPr="002152E4">
        <w:rPr>
          <w:b/>
        </w:rPr>
        <w:t>45.355</w:t>
      </w:r>
      <w:r w:rsidRPr="002152E4">
        <w:t xml:space="preserve"> cauze, </w:t>
      </w:r>
      <w:r w:rsidR="001500AF" w:rsidRPr="002152E4">
        <w:t xml:space="preserve">indicele de casare </w:t>
      </w:r>
      <w:r w:rsidRPr="002152E4">
        <w:t>fiind în acest fel de</w:t>
      </w:r>
      <w:r w:rsidR="00482185" w:rsidRPr="002152E4">
        <w:rPr>
          <w:b/>
        </w:rPr>
        <w:t xml:space="preserve"> </w:t>
      </w:r>
      <w:r w:rsidR="00583E06">
        <w:rPr>
          <w:b/>
        </w:rPr>
        <w:t>24%.</w:t>
      </w:r>
    </w:p>
    <w:p w:rsidR="003039C7" w:rsidRPr="002152E4" w:rsidRDefault="009D4CF2" w:rsidP="00545E76">
      <w:pPr>
        <w:pStyle w:val="AddParagraf"/>
      </w:pPr>
      <w:r w:rsidRPr="002152E4">
        <w:t xml:space="preserve">Indicele de </w:t>
      </w:r>
      <w:r w:rsidR="003039C7" w:rsidRPr="002152E4">
        <w:t xml:space="preserve">desfiinţare a hotărârilor judecătoriilor în anul </w:t>
      </w:r>
      <w:smartTag w:uri="urn:schemas-microsoft-com:office:smarttags" w:element="metricconverter">
        <w:smartTagPr>
          <w:attr w:name="ProductID" w:val="2016 a"/>
        </w:smartTagPr>
        <w:r w:rsidR="003039C7" w:rsidRPr="002152E4">
          <w:t>2016 a</w:t>
        </w:r>
      </w:smartTag>
      <w:r w:rsidR="003039C7" w:rsidRPr="002152E4">
        <w:t xml:space="preserve"> fost de </w:t>
      </w:r>
      <w:r w:rsidR="00631BB4">
        <w:t>3%.</w:t>
      </w:r>
    </w:p>
    <w:p w:rsidR="005B00FE" w:rsidRDefault="00545E76" w:rsidP="00545E76">
      <w:pPr>
        <w:pStyle w:val="AddParagraf"/>
      </w:pPr>
      <w:r w:rsidRPr="002152E4">
        <w:t>Sub aspect grafic, situaţia ultimilor 5 ani se prezintă astfel:</w:t>
      </w:r>
    </w:p>
    <w:p w:rsidR="00E51382" w:rsidRPr="002152E4" w:rsidRDefault="00E51382" w:rsidP="00545E76">
      <w:pPr>
        <w:pStyle w:val="AddParagraf"/>
      </w:pPr>
      <w:r w:rsidRPr="007037CF">
        <w:lastRenderedPageBreak/>
        <w:fldChar w:fldCharType="begin"/>
      </w:r>
      <w:r w:rsidRPr="007037CF">
        <w:instrText xml:space="preserve"> LINK Excel.Sheet.8 "C:\\Documents and Settings\\bogdan.comaneci.CSM1909\\Desktop\\1 an 2016\\Grafice 2016.xls!Grafic 22![Grafice 2016.xls]Grafic 22 Diagramă 1" "" \a \p \* MERGEFORMAT </w:instrText>
      </w:r>
      <w:r w:rsidRPr="007037CF">
        <w:fldChar w:fldCharType="separate"/>
      </w:r>
      <w:r w:rsidR="00C742FD">
        <w:object w:dxaOrig="11214" w:dyaOrig="6644">
          <v:shape id="_x0000_i1056" type="#_x0000_t75" style="width:473.95pt;height:281.1pt">
            <v:imagedata r:id="rId73" o:title=""/>
          </v:shape>
        </w:object>
      </w:r>
      <w:r w:rsidRPr="007037CF">
        <w:fldChar w:fldCharType="end"/>
      </w:r>
    </w:p>
    <w:p w:rsidR="00545E76" w:rsidRPr="002152E4" w:rsidRDefault="00545E76" w:rsidP="00545E76">
      <w:pPr>
        <w:pStyle w:val="AddParagraf"/>
      </w:pPr>
      <w:bookmarkStart w:id="87" w:name="_Toc128326232"/>
      <w:bookmarkStart w:id="88" w:name="_Toc128547436"/>
      <w:bookmarkStart w:id="89" w:name="_Toc368398445"/>
      <w:bookmarkStart w:id="90" w:name="_Toc411333491"/>
      <w:r w:rsidRPr="002152E4">
        <w:t>La nivelul tribunalelor, au fost soluţio</w:t>
      </w:r>
      <w:r w:rsidR="000E6521" w:rsidRPr="002152E4">
        <w:t>nate în cursul anului 2016</w:t>
      </w:r>
      <w:r w:rsidR="00A62200" w:rsidRPr="002152E4">
        <w:t xml:space="preserve"> </w:t>
      </w:r>
      <w:bookmarkEnd w:id="87"/>
      <w:bookmarkEnd w:id="88"/>
      <w:bookmarkEnd w:id="89"/>
      <w:bookmarkEnd w:id="90"/>
      <w:r w:rsidR="00ED25D0" w:rsidRPr="002152E4">
        <w:rPr>
          <w:b/>
        </w:rPr>
        <w:t>480.548 dosare.</w:t>
      </w:r>
    </w:p>
    <w:p w:rsidR="00545E76" w:rsidRPr="002152E4" w:rsidRDefault="00545E76" w:rsidP="00545E76">
      <w:pPr>
        <w:pStyle w:val="AddParagraf"/>
      </w:pPr>
      <w:r w:rsidRPr="002152E4">
        <w:t xml:space="preserve">Dintre aceste cauze, </w:t>
      </w:r>
      <w:r w:rsidR="00A62200" w:rsidRPr="002152E4">
        <w:rPr>
          <w:b/>
        </w:rPr>
        <w:t>1</w:t>
      </w:r>
      <w:r w:rsidR="008F48E2" w:rsidRPr="002152E4">
        <w:rPr>
          <w:b/>
        </w:rPr>
        <w:t>23.599</w:t>
      </w:r>
      <w:r w:rsidR="00B74E1E" w:rsidRPr="002152E4">
        <w:t xml:space="preserve"> </w:t>
      </w:r>
      <w:r w:rsidR="00A62200" w:rsidRPr="002152E4">
        <w:t xml:space="preserve">dosare au fost atacate </w:t>
      </w:r>
      <w:r w:rsidRPr="002152E4">
        <w:t xml:space="preserve">la curţile de apel, ponderea atacabilităţii </w:t>
      </w:r>
      <w:r w:rsidR="00C11E3D" w:rsidRPr="002152E4">
        <w:t xml:space="preserve">hotărârilor </w:t>
      </w:r>
      <w:r w:rsidR="00B74E1E" w:rsidRPr="002152E4">
        <w:t xml:space="preserve">fiind în acest fel de </w:t>
      </w:r>
      <w:r w:rsidR="008F48E2" w:rsidRPr="002152E4">
        <w:rPr>
          <w:b/>
        </w:rPr>
        <w:t>26</w:t>
      </w:r>
      <w:r w:rsidRPr="002152E4">
        <w:rPr>
          <w:b/>
        </w:rPr>
        <w:t xml:space="preserve"> %</w:t>
      </w:r>
      <w:r w:rsidRPr="002152E4">
        <w:t>.</w:t>
      </w:r>
    </w:p>
    <w:p w:rsidR="001919AB" w:rsidRPr="002152E4" w:rsidRDefault="00ED25D0" w:rsidP="00ED25D0">
      <w:pPr>
        <w:pStyle w:val="AddParagraf"/>
      </w:pPr>
      <w:r w:rsidRPr="002152E4">
        <w:t xml:space="preserve">Numărul cauzelor soluţionate în căile de atac la curţile de apel în anul </w:t>
      </w:r>
      <w:smartTag w:uri="urn:schemas-microsoft-com:office:smarttags" w:element="metricconverter">
        <w:smartTagPr>
          <w:attr w:name="ProductID" w:val="2016 a"/>
        </w:smartTagPr>
        <w:r w:rsidRPr="002152E4">
          <w:t>2016 a</w:t>
        </w:r>
      </w:smartTag>
      <w:r w:rsidRPr="002152E4">
        <w:t xml:space="preserve"> fost de 128.700 iar al celor </w:t>
      </w:r>
      <w:r w:rsidR="001919AB" w:rsidRPr="002152E4">
        <w:t xml:space="preserve">admise a fost de </w:t>
      </w:r>
      <w:r w:rsidR="001919AB" w:rsidRPr="002152E4">
        <w:rPr>
          <w:b/>
        </w:rPr>
        <w:t>23.290</w:t>
      </w:r>
      <w:r w:rsidRPr="002152E4">
        <w:t>.</w:t>
      </w:r>
    </w:p>
    <w:p w:rsidR="00A03409" w:rsidRPr="002152E4" w:rsidRDefault="00A03409" w:rsidP="00545E76">
      <w:pPr>
        <w:pStyle w:val="AddParagraf"/>
      </w:pPr>
      <w:bookmarkStart w:id="91" w:name="_Toc128326233"/>
      <w:bookmarkStart w:id="92" w:name="_Toc128547437"/>
      <w:bookmarkStart w:id="93" w:name="_Toc368398446"/>
      <w:bookmarkStart w:id="94" w:name="_Toc411333492"/>
      <w:r w:rsidRPr="002152E4">
        <w:t xml:space="preserve">Rezultă că indicele de casare la curţile de </w:t>
      </w:r>
      <w:r w:rsidR="004777EA">
        <w:t xml:space="preserve">apel </w:t>
      </w:r>
      <w:r w:rsidRPr="002152E4">
        <w:t xml:space="preserve">a fost în anul 2016 de </w:t>
      </w:r>
      <w:r w:rsidR="00965D80" w:rsidRPr="002152E4">
        <w:rPr>
          <w:b/>
        </w:rPr>
        <w:t>18</w:t>
      </w:r>
      <w:r w:rsidRPr="002152E4">
        <w:rPr>
          <w:b/>
        </w:rPr>
        <w:t xml:space="preserve"> %</w:t>
      </w:r>
      <w:r w:rsidRPr="002152E4">
        <w:t>.</w:t>
      </w:r>
    </w:p>
    <w:p w:rsidR="00A03409" w:rsidRPr="002152E4" w:rsidRDefault="00A03409" w:rsidP="00545E76">
      <w:pPr>
        <w:pStyle w:val="AddParagraf"/>
      </w:pPr>
      <w:r w:rsidRPr="002152E4">
        <w:t xml:space="preserve">Ponderea schimbării hotărârilor a fost în acest caz de </w:t>
      </w:r>
      <w:r w:rsidRPr="002152E4">
        <w:rPr>
          <w:b/>
        </w:rPr>
        <w:t>5 %</w:t>
      </w:r>
      <w:r w:rsidRPr="002152E4">
        <w:t>.</w:t>
      </w:r>
    </w:p>
    <w:bookmarkEnd w:id="91"/>
    <w:bookmarkEnd w:id="92"/>
    <w:bookmarkEnd w:id="93"/>
    <w:bookmarkEnd w:id="94"/>
    <w:p w:rsidR="00545E76" w:rsidRDefault="00545E76" w:rsidP="00545E76">
      <w:pPr>
        <w:pStyle w:val="AddParagraf"/>
      </w:pPr>
      <w:r w:rsidRPr="002152E4">
        <w:t>Grafic, situaţia ultimilor 5 ani se prezintă astfel:</w:t>
      </w:r>
    </w:p>
    <w:p w:rsidR="00E51382" w:rsidRPr="002152E4" w:rsidRDefault="00E51382" w:rsidP="00545E76">
      <w:pPr>
        <w:pStyle w:val="AddParagraf"/>
      </w:pPr>
      <w:r w:rsidRPr="007037CF">
        <w:lastRenderedPageBreak/>
        <w:fldChar w:fldCharType="begin"/>
      </w:r>
      <w:r w:rsidRPr="007037CF">
        <w:instrText xml:space="preserve"> LINK Excel.Sheet.8 "C:\\Documents and Settings\\bogdan.comaneci.CSM1909\\Desktop\\1 an 2016\\Grafice 2016.xls!Grafic 23![Grafice 2016.xls]Grafic 23 Diagramă 1" "" \a \p \* MERGEFORMAT </w:instrText>
      </w:r>
      <w:r w:rsidRPr="007037CF">
        <w:fldChar w:fldCharType="separate"/>
      </w:r>
      <w:r w:rsidR="00C742FD">
        <w:object w:dxaOrig="11233" w:dyaOrig="7033">
          <v:shape id="_x0000_i1057" type="#_x0000_t75" style="width:474.55pt;height:298pt">
            <v:imagedata r:id="rId74" o:title=""/>
          </v:shape>
        </w:object>
      </w:r>
      <w:r w:rsidRPr="007037CF">
        <w:fldChar w:fldCharType="end"/>
      </w:r>
    </w:p>
    <w:p w:rsidR="00545E76" w:rsidRPr="002152E4" w:rsidRDefault="00545E76" w:rsidP="00545E76">
      <w:pPr>
        <w:pStyle w:val="AddParagraf"/>
      </w:pPr>
      <w:r w:rsidRPr="002152E4">
        <w:t xml:space="preserve">În ceea ce priveşte curţile de apel în raport cu Înalta Curte de Casaţie şi Justiţie, din totalul de </w:t>
      </w:r>
      <w:r w:rsidR="00992DD8" w:rsidRPr="002152E4">
        <w:rPr>
          <w:b/>
        </w:rPr>
        <w:t xml:space="preserve">154.315 </w:t>
      </w:r>
      <w:r w:rsidRPr="002152E4">
        <w:t>cauze soluţ</w:t>
      </w:r>
      <w:r w:rsidR="004514A1" w:rsidRPr="002152E4">
        <w:t xml:space="preserve">ionate, au fost atacate </w:t>
      </w:r>
      <w:r w:rsidRPr="002152E4">
        <w:t xml:space="preserve">un număr de </w:t>
      </w:r>
      <w:r w:rsidR="00673D32" w:rsidRPr="002152E4">
        <w:rPr>
          <w:b/>
        </w:rPr>
        <w:t>9.825</w:t>
      </w:r>
      <w:r w:rsidRPr="002152E4">
        <w:rPr>
          <w:b/>
        </w:rPr>
        <w:t xml:space="preserve"> </w:t>
      </w:r>
      <w:r w:rsidRPr="002152E4">
        <w:t xml:space="preserve">dosare. Rezultă un indice de atacabilitate de </w:t>
      </w:r>
      <w:r w:rsidR="00B52DBF" w:rsidRPr="002152E4">
        <w:rPr>
          <w:b/>
        </w:rPr>
        <w:t xml:space="preserve">6 </w:t>
      </w:r>
      <w:r w:rsidRPr="002152E4">
        <w:rPr>
          <w:b/>
        </w:rPr>
        <w:t>%</w:t>
      </w:r>
      <w:r w:rsidRPr="002152E4">
        <w:t xml:space="preserve">. </w:t>
      </w:r>
    </w:p>
    <w:p w:rsidR="00586E06" w:rsidRPr="002152E4" w:rsidRDefault="00545E76" w:rsidP="00545E76">
      <w:pPr>
        <w:pStyle w:val="AddParagraf"/>
      </w:pPr>
      <w:r w:rsidRPr="002152E4">
        <w:t xml:space="preserve">În acelaşi timp, din cele </w:t>
      </w:r>
      <w:r w:rsidR="00B426A4" w:rsidRPr="002152E4">
        <w:rPr>
          <w:b/>
        </w:rPr>
        <w:t>1</w:t>
      </w:r>
      <w:r w:rsidR="000E3B3A" w:rsidRPr="002152E4">
        <w:rPr>
          <w:b/>
        </w:rPr>
        <w:t>1.169</w:t>
      </w:r>
      <w:r w:rsidR="00B426A4" w:rsidRPr="002152E4">
        <w:t xml:space="preserve"> </w:t>
      </w:r>
      <w:r w:rsidRPr="002152E4">
        <w:t>dosare soluţionate de Înalta Curte în căile de atac</w:t>
      </w:r>
      <w:r w:rsidR="00300E2D" w:rsidRPr="002152E4">
        <w:t xml:space="preserve">  </w:t>
      </w:r>
      <w:r w:rsidRPr="002152E4">
        <w:t>s-a pronunţat o soluţie de admitere în</w:t>
      </w:r>
      <w:r w:rsidR="000E3B3A" w:rsidRPr="002152E4">
        <w:t xml:space="preserve"> tot sau în parte în</w:t>
      </w:r>
      <w:r w:rsidRPr="002152E4">
        <w:t xml:space="preserve"> </w:t>
      </w:r>
      <w:r w:rsidR="00300E2D" w:rsidRPr="002152E4">
        <w:t>869</w:t>
      </w:r>
      <w:r w:rsidRPr="002152E4">
        <w:t xml:space="preserve"> cauze. </w:t>
      </w:r>
    </w:p>
    <w:p w:rsidR="00545E76" w:rsidRPr="002152E4" w:rsidRDefault="00545E76" w:rsidP="00545E76">
      <w:pPr>
        <w:pStyle w:val="AddParagraf"/>
      </w:pPr>
      <w:r w:rsidRPr="002152E4">
        <w:t xml:space="preserve">Rezultă un indice de </w:t>
      </w:r>
      <w:r w:rsidR="00586E06" w:rsidRPr="002152E4">
        <w:t xml:space="preserve">casare </w:t>
      </w:r>
      <w:r w:rsidR="000E3B3A" w:rsidRPr="002152E4">
        <w:t xml:space="preserve"> în anul 2016 de 7,7</w:t>
      </w:r>
      <w:r w:rsidR="00586E06" w:rsidRPr="002152E4">
        <w:t xml:space="preserve"> %.</w:t>
      </w:r>
    </w:p>
    <w:p w:rsidR="00586E06" w:rsidRPr="002152E4" w:rsidRDefault="00586E06" w:rsidP="00545E76">
      <w:pPr>
        <w:pStyle w:val="AddParagraf"/>
      </w:pPr>
      <w:r w:rsidRPr="002152E4">
        <w:t xml:space="preserve">De asemenea ponderea schimbării CA – ICCJ (total admise la ICCJ/total soluţionate la CA)  a fost  de </w:t>
      </w:r>
      <w:r w:rsidR="00625527" w:rsidRPr="002152E4">
        <w:t xml:space="preserve"> sub </w:t>
      </w:r>
      <w:r w:rsidR="00625527" w:rsidRPr="002152E4">
        <w:rPr>
          <w:b/>
        </w:rPr>
        <w:t>1</w:t>
      </w:r>
      <w:r w:rsidRPr="002152E4">
        <w:rPr>
          <w:b/>
        </w:rPr>
        <w:t>%</w:t>
      </w:r>
      <w:r w:rsidRPr="002152E4">
        <w:t>.</w:t>
      </w:r>
    </w:p>
    <w:p w:rsidR="00EE3317" w:rsidRPr="002152E4" w:rsidRDefault="00B25A58" w:rsidP="00EE3317">
      <w:pPr>
        <w:pStyle w:val="AddParagraf"/>
        <w:ind w:firstLine="0"/>
        <w:rPr>
          <w:b/>
        </w:rPr>
      </w:pPr>
      <w:r w:rsidRPr="002152E4">
        <w:tab/>
      </w:r>
      <w:r w:rsidR="002152E4" w:rsidRPr="002152E4">
        <w:rPr>
          <w:b/>
        </w:rPr>
        <w:t>Definiții</w:t>
      </w:r>
      <w:r w:rsidR="003A676C" w:rsidRPr="002152E4">
        <w:rPr>
          <w:b/>
        </w:rPr>
        <w:t>:</w:t>
      </w:r>
    </w:p>
    <w:p w:rsidR="00F51A9F" w:rsidRPr="002152E4" w:rsidRDefault="00F51A9F" w:rsidP="00F51A9F">
      <w:pPr>
        <w:pStyle w:val="AddParagraf"/>
        <w:ind w:firstLine="708"/>
      </w:pPr>
      <w:r w:rsidRPr="002152E4">
        <w:rPr>
          <w:b/>
        </w:rPr>
        <w:t>Ponderea atacabilit</w:t>
      </w:r>
      <w:r w:rsidR="002152E4">
        <w:rPr>
          <w:b/>
        </w:rPr>
        <w:t>ă</w:t>
      </w:r>
      <w:r w:rsidRPr="002152E4">
        <w:rPr>
          <w:b/>
        </w:rPr>
        <w:t xml:space="preserve">ţii – </w:t>
      </w:r>
      <w:r w:rsidRPr="002152E4">
        <w:t>numărul dosarelor ajunse în căile de atac la instanţa superioară raportat la numărul dosarelor soluţionate la instanţa de referinţă;</w:t>
      </w:r>
    </w:p>
    <w:p w:rsidR="00F51A9F" w:rsidRPr="002152E4" w:rsidRDefault="00F51A9F" w:rsidP="00F51A9F">
      <w:pPr>
        <w:pStyle w:val="AddParagraf"/>
        <w:ind w:firstLine="708"/>
      </w:pPr>
      <w:r w:rsidRPr="002152E4">
        <w:rPr>
          <w:b/>
        </w:rPr>
        <w:t xml:space="preserve">Indicele de casare – </w:t>
      </w:r>
      <w:r w:rsidRPr="002152E4">
        <w:t>numărul hotărârilor admise în tot sau în parte în căile de atac raportat la numărul dosarelor  soluţionate în căile de atac la aceeaşi instanţă;</w:t>
      </w:r>
    </w:p>
    <w:p w:rsidR="00EE3317" w:rsidRPr="00E51382" w:rsidRDefault="00F51A9F" w:rsidP="00E51382">
      <w:pPr>
        <w:pStyle w:val="AddParagraf"/>
        <w:ind w:firstLine="708"/>
        <w:rPr>
          <w:b/>
        </w:rPr>
      </w:pPr>
      <w:r w:rsidRPr="00583E06">
        <w:rPr>
          <w:b/>
        </w:rPr>
        <w:t>Ponderea schimbării</w:t>
      </w:r>
      <w:r w:rsidRPr="002152E4">
        <w:t xml:space="preserve"> – numărul hotărârilor admise în tot sau în parte în căile de atac raportat la numărul dosarelor  soluţionate la instanţa inferioară.</w:t>
      </w:r>
    </w:p>
    <w:p w:rsidR="00545E76" w:rsidRPr="002152E4" w:rsidRDefault="00545E76" w:rsidP="00F53D1E">
      <w:pPr>
        <w:pStyle w:val="Heading2"/>
      </w:pPr>
      <w:bookmarkStart w:id="95" w:name="_Toc475363409"/>
      <w:bookmarkStart w:id="96" w:name="_Toc381176853"/>
      <w:bookmarkStart w:id="97" w:name="_Toc411333493"/>
      <w:bookmarkStart w:id="98" w:name="_Toc411429427"/>
      <w:bookmarkStart w:id="99" w:name="_Toc486576532"/>
      <w:r w:rsidRPr="002152E4">
        <w:t>I</w:t>
      </w:r>
      <w:r w:rsidR="00F53D1E" w:rsidRPr="002152E4">
        <w:t>I.6</w:t>
      </w:r>
      <w:r w:rsidRPr="002152E4">
        <w:t>. Durata de soluţionare a cauzelor</w:t>
      </w:r>
      <w:bookmarkEnd w:id="95"/>
      <w:bookmarkEnd w:id="99"/>
      <w:r w:rsidRPr="002152E4">
        <w:t xml:space="preserve"> </w:t>
      </w:r>
      <w:bookmarkEnd w:id="96"/>
      <w:bookmarkEnd w:id="97"/>
      <w:bookmarkEnd w:id="98"/>
    </w:p>
    <w:p w:rsidR="00545E76" w:rsidRPr="002152E4" w:rsidRDefault="00545E76" w:rsidP="00545E76">
      <w:pPr>
        <w:pStyle w:val="AddParagraf"/>
      </w:pPr>
      <w:r w:rsidRPr="002152E4">
        <w:rPr>
          <w:b/>
        </w:rPr>
        <w:t>Precizări prealabile</w:t>
      </w:r>
      <w:r w:rsidRPr="002152E4">
        <w:t xml:space="preserve"> – Conform noii aplicaţii </w:t>
      </w:r>
      <w:r w:rsidR="0086244B" w:rsidRPr="002152E4">
        <w:t>Statis</w:t>
      </w:r>
      <w:r w:rsidRPr="002152E4">
        <w:t>, durata de soluţionare a cauzelor nu mai este calculată sub forma unor intervaluri (ex. număr cauze soluţionate în termen de 1 an), ci sub forma unei durate medii calculată în zile, pe fiecare obiect, materie şi stadiu procesual în parte.</w:t>
      </w:r>
    </w:p>
    <w:p w:rsidR="00545E76" w:rsidRPr="002152E4" w:rsidRDefault="00545E76" w:rsidP="00545E76">
      <w:pPr>
        <w:pStyle w:val="AddParagraf"/>
      </w:pPr>
      <w:r w:rsidRPr="002152E4">
        <w:t xml:space="preserve">În numărul zilelor este cuprinsă, pe de o parte, perioada scursă între momentul înregistrării dosarului şi </w:t>
      </w:r>
      <w:r w:rsidR="0086244B" w:rsidRPr="002152E4">
        <w:t xml:space="preserve">data </w:t>
      </w:r>
      <w:r w:rsidR="002152E4" w:rsidRPr="002152E4">
        <w:t>pronunțării</w:t>
      </w:r>
      <w:r w:rsidRPr="002152E4">
        <w:t>, precum şi perioada în care hotărârea a fost redactată în mod complet şi documentul a fost depus la mapa de hotărâri</w:t>
      </w:r>
      <w:r w:rsidR="0086244B" w:rsidRPr="002152E4">
        <w:t xml:space="preserve"> (închiderea documentului final)</w:t>
      </w:r>
      <w:r w:rsidRPr="002152E4">
        <w:t xml:space="preserve">. Acest lucru semnifică </w:t>
      </w:r>
      <w:r w:rsidRPr="002152E4">
        <w:lastRenderedPageBreak/>
        <w:t>faptul că timpul de judecată efectivă a unei cauze (de la primul până la ultimul termen) este considerabil mai redus decât cifrele afişate.</w:t>
      </w:r>
    </w:p>
    <w:p w:rsidR="0003207E" w:rsidRPr="002152E4" w:rsidRDefault="00545E76" w:rsidP="00C652A8">
      <w:pPr>
        <w:ind w:firstLine="708"/>
        <w:rPr>
          <w:lang w:val="ro-RO"/>
        </w:rPr>
      </w:pPr>
      <w:r w:rsidRPr="002152E4">
        <w:rPr>
          <w:lang w:val="ro-RO"/>
        </w:rPr>
        <w:t xml:space="preserve">Prezentăm mai jos, o selecţie </w:t>
      </w:r>
      <w:r w:rsidR="0086244B" w:rsidRPr="002152E4">
        <w:rPr>
          <w:lang w:val="ro-RO"/>
        </w:rPr>
        <w:t xml:space="preserve">relevantă de </w:t>
      </w:r>
      <w:r w:rsidRPr="002152E4">
        <w:rPr>
          <w:lang w:val="ro-RO"/>
        </w:rPr>
        <w:t xml:space="preserve"> materii şi stadii procesuale:</w:t>
      </w:r>
    </w:p>
    <w:p w:rsidR="0086244B" w:rsidRPr="002152E4" w:rsidRDefault="0086244B" w:rsidP="00545E76">
      <w:pPr>
        <w:jc w:val="center"/>
        <w:rPr>
          <w:lang w:val="ro-RO"/>
        </w:rPr>
      </w:pPr>
    </w:p>
    <w:p w:rsidR="001E62DE" w:rsidRPr="002152E4" w:rsidRDefault="001E62DE" w:rsidP="00545E76">
      <w:pPr>
        <w:jc w:val="center"/>
        <w:rPr>
          <w:lang w:val="ro-RO"/>
        </w:rPr>
      </w:pP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2"/>
        <w:gridCol w:w="1009"/>
        <w:gridCol w:w="1631"/>
        <w:gridCol w:w="1409"/>
        <w:gridCol w:w="1009"/>
        <w:gridCol w:w="1631"/>
        <w:gridCol w:w="1409"/>
      </w:tblGrid>
      <w:tr w:rsidR="001B13E1" w:rsidRPr="002152E4" w:rsidTr="00BA4E9A">
        <w:trPr>
          <w:trHeight w:val="300"/>
          <w:jc w:val="center"/>
        </w:trPr>
        <w:tc>
          <w:tcPr>
            <w:tcW w:w="9600" w:type="dxa"/>
            <w:gridSpan w:val="7"/>
            <w:shd w:val="clear" w:color="auto" w:fill="auto"/>
            <w:vAlign w:val="center"/>
          </w:tcPr>
          <w:p w:rsidR="001B13E1" w:rsidRPr="002152E4" w:rsidRDefault="001B13E1" w:rsidP="0003207E">
            <w:pPr>
              <w:jc w:val="center"/>
              <w:rPr>
                <w:rFonts w:eastAsia="Arial Unicode MS" w:cs="Arial Unicode MS"/>
                <w:b/>
                <w:bCs/>
                <w:lang w:val="ro-RO" w:eastAsia="ro-RO"/>
              </w:rPr>
            </w:pPr>
            <w:r w:rsidRPr="002152E4">
              <w:rPr>
                <w:rFonts w:eastAsia="Arial Unicode MS" w:cs="Arial Unicode MS"/>
                <w:b/>
                <w:bCs/>
                <w:lang w:val="ro-RO" w:eastAsia="ro-RO"/>
              </w:rPr>
              <w:t>Judecătorii</w:t>
            </w:r>
          </w:p>
        </w:tc>
      </w:tr>
      <w:tr w:rsidR="000E6E12" w:rsidRPr="002152E4" w:rsidTr="001B13E1">
        <w:trPr>
          <w:trHeight w:val="300"/>
          <w:jc w:val="center"/>
        </w:trPr>
        <w:tc>
          <w:tcPr>
            <w:tcW w:w="1502" w:type="dxa"/>
            <w:vMerge w:val="restart"/>
            <w:shd w:val="clear" w:color="auto" w:fill="auto"/>
            <w:vAlign w:val="center"/>
          </w:tcPr>
          <w:p w:rsidR="000E6E12" w:rsidRPr="002152E4" w:rsidRDefault="000E6E12" w:rsidP="000E6E12">
            <w:pPr>
              <w:jc w:val="center"/>
              <w:rPr>
                <w:rFonts w:eastAsia="Arial Unicode MS" w:cs="Arial Unicode MS"/>
                <w:b/>
                <w:bCs/>
                <w:lang w:val="ro-RO" w:eastAsia="ro-RO"/>
              </w:rPr>
            </w:pPr>
            <w:r w:rsidRPr="002152E4">
              <w:rPr>
                <w:rFonts w:cs="Arial"/>
                <w:b/>
                <w:bCs/>
                <w:lang w:val="ro-RO" w:eastAsia="ro-RO"/>
              </w:rPr>
              <w:t>MATERIE JURIDICA</w:t>
            </w:r>
          </w:p>
        </w:tc>
        <w:tc>
          <w:tcPr>
            <w:tcW w:w="4049" w:type="dxa"/>
            <w:gridSpan w:val="3"/>
            <w:shd w:val="clear" w:color="auto" w:fill="99CCFF"/>
            <w:vAlign w:val="bottom"/>
          </w:tcPr>
          <w:p w:rsidR="000E6E12" w:rsidRPr="002152E4" w:rsidRDefault="000E6E12" w:rsidP="0003207E">
            <w:pPr>
              <w:jc w:val="center"/>
              <w:rPr>
                <w:rFonts w:eastAsia="Arial Unicode MS" w:cs="Arial Unicode MS"/>
                <w:b/>
                <w:bCs/>
                <w:lang w:val="ro-RO" w:eastAsia="ro-RO"/>
              </w:rPr>
            </w:pPr>
            <w:r w:rsidRPr="002152E4">
              <w:rPr>
                <w:rFonts w:eastAsia="Arial Unicode MS" w:cs="Arial Unicode MS"/>
                <w:b/>
                <w:bCs/>
                <w:lang w:val="ro-RO" w:eastAsia="ro-RO"/>
              </w:rPr>
              <w:t>2015</w:t>
            </w:r>
          </w:p>
        </w:tc>
        <w:tc>
          <w:tcPr>
            <w:tcW w:w="4049" w:type="dxa"/>
            <w:gridSpan w:val="3"/>
            <w:shd w:val="clear" w:color="auto" w:fill="99CCFF"/>
            <w:vAlign w:val="bottom"/>
          </w:tcPr>
          <w:p w:rsidR="000E6E12" w:rsidRPr="002152E4" w:rsidRDefault="000E6E12" w:rsidP="0003207E">
            <w:pPr>
              <w:jc w:val="center"/>
              <w:rPr>
                <w:rFonts w:eastAsia="Arial Unicode MS" w:cs="Arial Unicode MS"/>
                <w:b/>
                <w:bCs/>
                <w:lang w:val="ro-RO" w:eastAsia="ro-RO"/>
              </w:rPr>
            </w:pPr>
            <w:r w:rsidRPr="002152E4">
              <w:rPr>
                <w:rFonts w:eastAsia="Arial Unicode MS" w:cs="Arial Unicode MS"/>
                <w:b/>
                <w:bCs/>
                <w:lang w:val="ro-RO" w:eastAsia="ro-RO"/>
              </w:rPr>
              <w:t>2016</w:t>
            </w:r>
          </w:p>
        </w:tc>
      </w:tr>
      <w:tr w:rsidR="000E6E12" w:rsidRPr="002152E4" w:rsidTr="001B13E1">
        <w:trPr>
          <w:trHeight w:val="370"/>
          <w:jc w:val="center"/>
        </w:trPr>
        <w:tc>
          <w:tcPr>
            <w:tcW w:w="1502" w:type="dxa"/>
            <w:vMerge/>
            <w:tcBorders>
              <w:bottom w:val="single" w:sz="4" w:space="0" w:color="auto"/>
            </w:tcBorders>
            <w:shd w:val="clear" w:color="auto" w:fill="auto"/>
            <w:vAlign w:val="center"/>
          </w:tcPr>
          <w:p w:rsidR="000E6E12" w:rsidRPr="002152E4" w:rsidRDefault="000E6E12" w:rsidP="0003207E">
            <w:pPr>
              <w:jc w:val="center"/>
              <w:rPr>
                <w:rFonts w:cs="Arial"/>
                <w:b/>
                <w:bCs/>
                <w:lang w:val="ro-RO" w:eastAsia="ro-RO"/>
              </w:rPr>
            </w:pPr>
          </w:p>
        </w:tc>
        <w:tc>
          <w:tcPr>
            <w:tcW w:w="4049" w:type="dxa"/>
            <w:gridSpan w:val="3"/>
            <w:tcBorders>
              <w:bottom w:val="single" w:sz="4" w:space="0" w:color="auto"/>
            </w:tcBorders>
            <w:shd w:val="clear" w:color="auto" w:fill="auto"/>
            <w:vAlign w:val="center"/>
          </w:tcPr>
          <w:p w:rsidR="000E6E12" w:rsidRPr="002152E4" w:rsidRDefault="000E6E12" w:rsidP="0003207E">
            <w:pPr>
              <w:jc w:val="center"/>
              <w:rPr>
                <w:rFonts w:cs="Arial"/>
                <w:b/>
                <w:bCs/>
                <w:lang w:val="ro-RO" w:eastAsia="ro-RO"/>
              </w:rPr>
            </w:pPr>
            <w:r w:rsidRPr="002152E4">
              <w:rPr>
                <w:rFonts w:cs="Arial"/>
                <w:b/>
                <w:bCs/>
                <w:lang w:val="ro-RO" w:eastAsia="ro-RO"/>
              </w:rPr>
              <w:t>DURATA SOLUTIONARE: MEDII IN ZILE</w:t>
            </w:r>
          </w:p>
        </w:tc>
        <w:tc>
          <w:tcPr>
            <w:tcW w:w="4049" w:type="dxa"/>
            <w:gridSpan w:val="3"/>
            <w:tcBorders>
              <w:bottom w:val="single" w:sz="4" w:space="0" w:color="auto"/>
            </w:tcBorders>
            <w:shd w:val="clear" w:color="auto" w:fill="auto"/>
            <w:vAlign w:val="center"/>
          </w:tcPr>
          <w:p w:rsidR="000E6E12" w:rsidRPr="002152E4" w:rsidRDefault="000E6E12" w:rsidP="0003207E">
            <w:pPr>
              <w:jc w:val="center"/>
              <w:rPr>
                <w:rFonts w:cs="Arial"/>
                <w:b/>
                <w:bCs/>
                <w:lang w:val="ro-RO" w:eastAsia="ro-RO"/>
              </w:rPr>
            </w:pPr>
            <w:r w:rsidRPr="002152E4">
              <w:rPr>
                <w:rFonts w:cs="Arial"/>
                <w:b/>
                <w:bCs/>
                <w:lang w:val="ro-RO" w:eastAsia="ro-RO"/>
              </w:rPr>
              <w:t>DURATA SOLUTIONARE: MEDII IN ZILE</w:t>
            </w:r>
          </w:p>
        </w:tc>
      </w:tr>
      <w:tr w:rsidR="000E6E12" w:rsidRPr="002152E4" w:rsidTr="001B13E1">
        <w:trPr>
          <w:trHeight w:val="285"/>
          <w:jc w:val="center"/>
        </w:trPr>
        <w:tc>
          <w:tcPr>
            <w:tcW w:w="1502" w:type="dxa"/>
            <w:vMerge/>
            <w:shd w:val="clear" w:color="auto" w:fill="auto"/>
            <w:vAlign w:val="center"/>
          </w:tcPr>
          <w:p w:rsidR="000E6E12" w:rsidRPr="002152E4" w:rsidRDefault="000E6E12" w:rsidP="0003207E">
            <w:pPr>
              <w:rPr>
                <w:rFonts w:cs="Arial"/>
                <w:b/>
                <w:bCs/>
                <w:lang w:val="ro-RO" w:eastAsia="ro-RO"/>
              </w:rPr>
            </w:pPr>
          </w:p>
        </w:tc>
        <w:tc>
          <w:tcPr>
            <w:tcW w:w="1009" w:type="dxa"/>
            <w:shd w:val="clear" w:color="auto" w:fill="auto"/>
            <w:vAlign w:val="center"/>
          </w:tcPr>
          <w:p w:rsidR="000E6E12" w:rsidRPr="002152E4" w:rsidRDefault="000E6E12" w:rsidP="0003207E">
            <w:pPr>
              <w:jc w:val="center"/>
              <w:rPr>
                <w:rFonts w:cs="Arial"/>
                <w:b/>
                <w:bCs/>
                <w:lang w:val="ro-RO" w:eastAsia="ro-RO"/>
              </w:rPr>
            </w:pPr>
            <w:r w:rsidRPr="002152E4">
              <w:rPr>
                <w:rFonts w:cs="Arial"/>
                <w:b/>
                <w:bCs/>
                <w:lang w:val="ro-RO" w:eastAsia="ro-RO"/>
              </w:rPr>
              <w:t>TOTALA</w:t>
            </w:r>
          </w:p>
        </w:tc>
        <w:tc>
          <w:tcPr>
            <w:tcW w:w="1631" w:type="dxa"/>
            <w:shd w:val="clear" w:color="auto" w:fill="auto"/>
            <w:vAlign w:val="center"/>
          </w:tcPr>
          <w:p w:rsidR="000E6E12" w:rsidRPr="002152E4" w:rsidRDefault="000E6E12" w:rsidP="0003207E">
            <w:pPr>
              <w:jc w:val="center"/>
              <w:rPr>
                <w:rFonts w:cs="Arial"/>
                <w:b/>
                <w:bCs/>
                <w:lang w:val="ro-RO" w:eastAsia="ro-RO"/>
              </w:rPr>
            </w:pPr>
            <w:r w:rsidRPr="002152E4">
              <w:rPr>
                <w:rFonts w:cs="Arial"/>
                <w:b/>
                <w:bCs/>
                <w:lang w:val="ro-RO" w:eastAsia="ro-RO"/>
              </w:rPr>
              <w:t>PRONUNTARE</w:t>
            </w:r>
          </w:p>
        </w:tc>
        <w:tc>
          <w:tcPr>
            <w:tcW w:w="1409" w:type="dxa"/>
            <w:shd w:val="clear" w:color="auto" w:fill="auto"/>
            <w:vAlign w:val="center"/>
          </w:tcPr>
          <w:p w:rsidR="000E6E12" w:rsidRPr="002152E4" w:rsidRDefault="000E6E12" w:rsidP="0003207E">
            <w:pPr>
              <w:jc w:val="center"/>
              <w:rPr>
                <w:rFonts w:cs="Arial"/>
                <w:b/>
                <w:bCs/>
                <w:lang w:val="ro-RO" w:eastAsia="ro-RO"/>
              </w:rPr>
            </w:pPr>
            <w:r w:rsidRPr="002152E4">
              <w:rPr>
                <w:rFonts w:cs="Arial"/>
                <w:b/>
                <w:bCs/>
                <w:lang w:val="ro-RO" w:eastAsia="ro-RO"/>
              </w:rPr>
              <w:t>REDACTARE</w:t>
            </w:r>
          </w:p>
        </w:tc>
        <w:tc>
          <w:tcPr>
            <w:tcW w:w="1009" w:type="dxa"/>
            <w:shd w:val="clear" w:color="auto" w:fill="auto"/>
            <w:vAlign w:val="center"/>
          </w:tcPr>
          <w:p w:rsidR="000E6E12" w:rsidRPr="002152E4" w:rsidRDefault="000E6E12" w:rsidP="0003207E">
            <w:pPr>
              <w:jc w:val="center"/>
              <w:rPr>
                <w:rFonts w:cs="Arial"/>
                <w:b/>
                <w:bCs/>
                <w:lang w:val="ro-RO" w:eastAsia="ro-RO"/>
              </w:rPr>
            </w:pPr>
            <w:r w:rsidRPr="002152E4">
              <w:rPr>
                <w:rFonts w:cs="Arial"/>
                <w:b/>
                <w:bCs/>
                <w:lang w:val="ro-RO" w:eastAsia="ro-RO"/>
              </w:rPr>
              <w:t>TOTALA</w:t>
            </w:r>
          </w:p>
        </w:tc>
        <w:tc>
          <w:tcPr>
            <w:tcW w:w="1631" w:type="dxa"/>
            <w:shd w:val="clear" w:color="auto" w:fill="auto"/>
            <w:vAlign w:val="center"/>
          </w:tcPr>
          <w:p w:rsidR="000E6E12" w:rsidRPr="002152E4" w:rsidRDefault="000E6E12" w:rsidP="0003207E">
            <w:pPr>
              <w:jc w:val="center"/>
              <w:rPr>
                <w:rFonts w:cs="Arial"/>
                <w:b/>
                <w:bCs/>
                <w:lang w:val="ro-RO" w:eastAsia="ro-RO"/>
              </w:rPr>
            </w:pPr>
            <w:r w:rsidRPr="002152E4">
              <w:rPr>
                <w:rFonts w:cs="Arial"/>
                <w:b/>
                <w:bCs/>
                <w:lang w:val="ro-RO" w:eastAsia="ro-RO"/>
              </w:rPr>
              <w:t>PRONUNTARE</w:t>
            </w:r>
          </w:p>
        </w:tc>
        <w:tc>
          <w:tcPr>
            <w:tcW w:w="1409" w:type="dxa"/>
            <w:shd w:val="clear" w:color="auto" w:fill="auto"/>
            <w:vAlign w:val="center"/>
          </w:tcPr>
          <w:p w:rsidR="000E6E12" w:rsidRPr="002152E4" w:rsidRDefault="000E6E12" w:rsidP="0003207E">
            <w:pPr>
              <w:jc w:val="center"/>
              <w:rPr>
                <w:rFonts w:cs="Arial"/>
                <w:b/>
                <w:bCs/>
                <w:lang w:val="ro-RO" w:eastAsia="ro-RO"/>
              </w:rPr>
            </w:pPr>
            <w:r w:rsidRPr="002152E4">
              <w:rPr>
                <w:rFonts w:cs="Arial"/>
                <w:b/>
                <w:bCs/>
                <w:lang w:val="ro-RO" w:eastAsia="ro-RO"/>
              </w:rPr>
              <w:t>REDACTARE</w:t>
            </w:r>
          </w:p>
        </w:tc>
      </w:tr>
      <w:tr w:rsidR="009A3571" w:rsidRPr="002152E4" w:rsidTr="001B13E1">
        <w:trPr>
          <w:trHeight w:val="285"/>
          <w:jc w:val="center"/>
        </w:trPr>
        <w:tc>
          <w:tcPr>
            <w:tcW w:w="1502" w:type="dxa"/>
            <w:shd w:val="clear" w:color="auto" w:fill="auto"/>
            <w:vAlign w:val="center"/>
          </w:tcPr>
          <w:p w:rsidR="0003207E" w:rsidRPr="002152E4" w:rsidRDefault="0003207E" w:rsidP="0003207E">
            <w:pPr>
              <w:rPr>
                <w:rFonts w:cs="Arial"/>
                <w:lang w:val="ro-RO" w:eastAsia="ro-RO"/>
              </w:rPr>
            </w:pPr>
            <w:r w:rsidRPr="002152E4">
              <w:rPr>
                <w:rFonts w:cs="Arial"/>
                <w:lang w:val="ro-RO" w:eastAsia="ro-RO"/>
              </w:rPr>
              <w:t>Civil</w:t>
            </w:r>
          </w:p>
        </w:tc>
        <w:tc>
          <w:tcPr>
            <w:tcW w:w="10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172,5</w:t>
            </w:r>
          </w:p>
        </w:tc>
        <w:tc>
          <w:tcPr>
            <w:tcW w:w="1631"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104,4</w:t>
            </w:r>
          </w:p>
        </w:tc>
        <w:tc>
          <w:tcPr>
            <w:tcW w:w="14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68,1</w:t>
            </w:r>
          </w:p>
        </w:tc>
        <w:tc>
          <w:tcPr>
            <w:tcW w:w="10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117,6</w:t>
            </w:r>
          </w:p>
        </w:tc>
        <w:tc>
          <w:tcPr>
            <w:tcW w:w="1631"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92,2</w:t>
            </w:r>
          </w:p>
        </w:tc>
        <w:tc>
          <w:tcPr>
            <w:tcW w:w="14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25,4</w:t>
            </w:r>
          </w:p>
        </w:tc>
      </w:tr>
      <w:tr w:rsidR="009A3571" w:rsidRPr="002152E4" w:rsidTr="001B13E1">
        <w:trPr>
          <w:trHeight w:val="285"/>
          <w:jc w:val="center"/>
        </w:trPr>
        <w:tc>
          <w:tcPr>
            <w:tcW w:w="1502" w:type="dxa"/>
            <w:shd w:val="clear" w:color="auto" w:fill="auto"/>
            <w:vAlign w:val="center"/>
          </w:tcPr>
          <w:p w:rsidR="0003207E" w:rsidRPr="002152E4" w:rsidRDefault="0003207E" w:rsidP="0003207E">
            <w:pPr>
              <w:rPr>
                <w:rFonts w:cs="Arial"/>
                <w:lang w:val="ro-RO" w:eastAsia="ro-RO"/>
              </w:rPr>
            </w:pPr>
            <w:r w:rsidRPr="002152E4">
              <w:rPr>
                <w:rFonts w:cs="Arial"/>
                <w:lang w:val="ro-RO" w:eastAsia="ro-RO"/>
              </w:rPr>
              <w:t>Litigii cu profesioniştii</w:t>
            </w:r>
          </w:p>
        </w:tc>
        <w:tc>
          <w:tcPr>
            <w:tcW w:w="10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193,4</w:t>
            </w:r>
          </w:p>
        </w:tc>
        <w:tc>
          <w:tcPr>
            <w:tcW w:w="1631"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121,2</w:t>
            </w:r>
          </w:p>
        </w:tc>
        <w:tc>
          <w:tcPr>
            <w:tcW w:w="14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72,1</w:t>
            </w:r>
          </w:p>
        </w:tc>
        <w:tc>
          <w:tcPr>
            <w:tcW w:w="10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178</w:t>
            </w:r>
          </w:p>
        </w:tc>
        <w:tc>
          <w:tcPr>
            <w:tcW w:w="1631"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134,6</w:t>
            </w:r>
          </w:p>
        </w:tc>
        <w:tc>
          <w:tcPr>
            <w:tcW w:w="14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43,4</w:t>
            </w:r>
          </w:p>
        </w:tc>
      </w:tr>
      <w:tr w:rsidR="009A3571" w:rsidRPr="002152E4" w:rsidTr="001B13E1">
        <w:trPr>
          <w:trHeight w:val="285"/>
          <w:jc w:val="center"/>
        </w:trPr>
        <w:tc>
          <w:tcPr>
            <w:tcW w:w="1502" w:type="dxa"/>
            <w:shd w:val="clear" w:color="auto" w:fill="auto"/>
            <w:vAlign w:val="center"/>
          </w:tcPr>
          <w:p w:rsidR="0003207E" w:rsidRPr="002152E4" w:rsidRDefault="0003207E" w:rsidP="0003207E">
            <w:pPr>
              <w:rPr>
                <w:rFonts w:cs="Arial"/>
                <w:lang w:val="ro-RO" w:eastAsia="ro-RO"/>
              </w:rPr>
            </w:pPr>
            <w:r w:rsidRPr="002152E4">
              <w:rPr>
                <w:rFonts w:cs="Arial"/>
                <w:lang w:val="ro-RO" w:eastAsia="ro-RO"/>
              </w:rPr>
              <w:t>Minori şi familie</w:t>
            </w:r>
          </w:p>
        </w:tc>
        <w:tc>
          <w:tcPr>
            <w:tcW w:w="10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221,9</w:t>
            </w:r>
          </w:p>
        </w:tc>
        <w:tc>
          <w:tcPr>
            <w:tcW w:w="1631"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160,5</w:t>
            </w:r>
          </w:p>
        </w:tc>
        <w:tc>
          <w:tcPr>
            <w:tcW w:w="14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61,5</w:t>
            </w:r>
          </w:p>
        </w:tc>
        <w:tc>
          <w:tcPr>
            <w:tcW w:w="10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195,8</w:t>
            </w:r>
          </w:p>
        </w:tc>
        <w:tc>
          <w:tcPr>
            <w:tcW w:w="1631"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159,1</w:t>
            </w:r>
          </w:p>
        </w:tc>
        <w:tc>
          <w:tcPr>
            <w:tcW w:w="14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36,7</w:t>
            </w:r>
          </w:p>
        </w:tc>
      </w:tr>
      <w:tr w:rsidR="009A3571" w:rsidRPr="002152E4" w:rsidTr="001B13E1">
        <w:trPr>
          <w:trHeight w:val="285"/>
          <w:jc w:val="center"/>
        </w:trPr>
        <w:tc>
          <w:tcPr>
            <w:tcW w:w="1502" w:type="dxa"/>
            <w:shd w:val="clear" w:color="auto" w:fill="auto"/>
            <w:vAlign w:val="center"/>
          </w:tcPr>
          <w:p w:rsidR="0003207E" w:rsidRPr="002152E4" w:rsidRDefault="0003207E" w:rsidP="0003207E">
            <w:pPr>
              <w:rPr>
                <w:rFonts w:cs="Arial"/>
                <w:lang w:val="ro-RO" w:eastAsia="ro-RO"/>
              </w:rPr>
            </w:pPr>
            <w:r w:rsidRPr="002152E4">
              <w:rPr>
                <w:rFonts w:cs="Arial"/>
                <w:lang w:val="ro-RO" w:eastAsia="ro-RO"/>
              </w:rPr>
              <w:t>Penal</w:t>
            </w:r>
          </w:p>
        </w:tc>
        <w:tc>
          <w:tcPr>
            <w:tcW w:w="10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156,5</w:t>
            </w:r>
          </w:p>
        </w:tc>
        <w:tc>
          <w:tcPr>
            <w:tcW w:w="1631"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71,6</w:t>
            </w:r>
          </w:p>
        </w:tc>
        <w:tc>
          <w:tcPr>
            <w:tcW w:w="14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84,9</w:t>
            </w:r>
          </w:p>
        </w:tc>
        <w:tc>
          <w:tcPr>
            <w:tcW w:w="10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93,4</w:t>
            </w:r>
          </w:p>
        </w:tc>
        <w:tc>
          <w:tcPr>
            <w:tcW w:w="1631"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65,7</w:t>
            </w:r>
          </w:p>
        </w:tc>
        <w:tc>
          <w:tcPr>
            <w:tcW w:w="1409" w:type="dxa"/>
            <w:shd w:val="clear" w:color="auto" w:fill="auto"/>
            <w:vAlign w:val="center"/>
          </w:tcPr>
          <w:p w:rsidR="0003207E" w:rsidRPr="002152E4" w:rsidRDefault="0003207E" w:rsidP="0003207E">
            <w:pPr>
              <w:jc w:val="center"/>
              <w:rPr>
                <w:rFonts w:cs="Arial"/>
                <w:lang w:val="ro-RO" w:eastAsia="ro-RO"/>
              </w:rPr>
            </w:pPr>
            <w:r w:rsidRPr="002152E4">
              <w:rPr>
                <w:rFonts w:cs="Arial"/>
                <w:lang w:val="ro-RO" w:eastAsia="ro-RO"/>
              </w:rPr>
              <w:t>27,7</w:t>
            </w:r>
          </w:p>
        </w:tc>
      </w:tr>
    </w:tbl>
    <w:p w:rsidR="0003207E" w:rsidRPr="002152E4" w:rsidRDefault="0003207E" w:rsidP="0003207E">
      <w:pPr>
        <w:rPr>
          <w:lang w:val="ro-RO"/>
        </w:rPr>
      </w:pPr>
    </w:p>
    <w:p w:rsidR="006B0BD1" w:rsidRPr="002152E4" w:rsidRDefault="006B0BD1" w:rsidP="0003207E">
      <w:pPr>
        <w:rPr>
          <w:lang w:val="ro-RO"/>
        </w:rPr>
      </w:pPr>
    </w:p>
    <w:p w:rsidR="006B0BD1" w:rsidRPr="002152E4" w:rsidRDefault="006B0BD1" w:rsidP="0003207E">
      <w:pPr>
        <w:rPr>
          <w:lang w:val="ro-RO"/>
        </w:rPr>
      </w:pPr>
    </w:p>
    <w:p w:rsidR="00351E0B" w:rsidRPr="002152E4" w:rsidRDefault="0003207E" w:rsidP="001E62DE">
      <w:pPr>
        <w:rPr>
          <w:rFonts w:cs="Arial"/>
          <w:lang w:val="ro-RO"/>
        </w:rPr>
      </w:pPr>
      <w:r w:rsidRPr="002152E4">
        <w:rPr>
          <w:rFonts w:cs="Arial"/>
          <w:lang w:val="ro-RO"/>
        </w:rPr>
        <w:t xml:space="preserve"> </w:t>
      </w:r>
    </w:p>
    <w:tbl>
      <w:tblPr>
        <w:tblW w:w="9773" w:type="dxa"/>
        <w:jc w:val="center"/>
        <w:tblLook w:val="0000" w:firstRow="0" w:lastRow="0" w:firstColumn="0" w:lastColumn="0" w:noHBand="0" w:noVBand="0"/>
      </w:tblPr>
      <w:tblGrid>
        <w:gridCol w:w="1675"/>
        <w:gridCol w:w="1009"/>
        <w:gridCol w:w="1631"/>
        <w:gridCol w:w="1409"/>
        <w:gridCol w:w="1009"/>
        <w:gridCol w:w="1631"/>
        <w:gridCol w:w="1409"/>
      </w:tblGrid>
      <w:tr w:rsidR="001B13E1" w:rsidRPr="002152E4" w:rsidTr="00BA4E9A">
        <w:trPr>
          <w:trHeight w:val="315"/>
          <w:jc w:val="center"/>
        </w:trPr>
        <w:tc>
          <w:tcPr>
            <w:tcW w:w="9773" w:type="dxa"/>
            <w:gridSpan w:val="7"/>
            <w:tcBorders>
              <w:top w:val="single" w:sz="4" w:space="0" w:color="auto"/>
              <w:left w:val="single" w:sz="4" w:space="0" w:color="auto"/>
              <w:right w:val="single" w:sz="4" w:space="0" w:color="auto"/>
            </w:tcBorders>
            <w:shd w:val="clear" w:color="auto" w:fill="auto"/>
            <w:vAlign w:val="center"/>
          </w:tcPr>
          <w:p w:rsidR="001B13E1" w:rsidRPr="002152E4" w:rsidRDefault="001B13E1" w:rsidP="00351E0B">
            <w:pPr>
              <w:jc w:val="center"/>
              <w:rPr>
                <w:rFonts w:cs="Arial"/>
                <w:b/>
                <w:lang w:val="ro-RO" w:eastAsia="ro-RO"/>
              </w:rPr>
            </w:pPr>
            <w:r w:rsidRPr="002152E4">
              <w:rPr>
                <w:rFonts w:cs="Arial"/>
                <w:b/>
                <w:lang w:val="ro-RO" w:eastAsia="ro-RO"/>
              </w:rPr>
              <w:t>Tribunale - fond</w:t>
            </w:r>
          </w:p>
        </w:tc>
      </w:tr>
      <w:tr w:rsidR="00351E0B" w:rsidRPr="002152E4" w:rsidTr="001B13E1">
        <w:trPr>
          <w:trHeight w:val="315"/>
          <w:jc w:val="center"/>
        </w:trPr>
        <w:tc>
          <w:tcPr>
            <w:tcW w:w="1675" w:type="dxa"/>
            <w:vMerge w:val="restart"/>
            <w:tcBorders>
              <w:top w:val="single" w:sz="4" w:space="0" w:color="auto"/>
              <w:left w:val="single" w:sz="4" w:space="0" w:color="auto"/>
              <w:right w:val="single" w:sz="4" w:space="0" w:color="auto"/>
            </w:tcBorders>
            <w:shd w:val="clear" w:color="auto" w:fill="auto"/>
            <w:vAlign w:val="center"/>
          </w:tcPr>
          <w:p w:rsidR="00351E0B" w:rsidRPr="002152E4" w:rsidRDefault="00351E0B" w:rsidP="00351E0B">
            <w:pPr>
              <w:jc w:val="center"/>
              <w:rPr>
                <w:rFonts w:cs="Arial"/>
                <w:lang w:val="ro-RO" w:eastAsia="ro-RO"/>
              </w:rPr>
            </w:pPr>
            <w:r w:rsidRPr="002152E4">
              <w:rPr>
                <w:rFonts w:cs="Arial"/>
                <w:b/>
                <w:bCs/>
                <w:lang w:val="ro-RO" w:eastAsia="ro-RO"/>
              </w:rPr>
              <w:t>MATERIE JURIDICA</w:t>
            </w:r>
          </w:p>
        </w:tc>
        <w:tc>
          <w:tcPr>
            <w:tcW w:w="4049" w:type="dxa"/>
            <w:gridSpan w:val="3"/>
            <w:tcBorders>
              <w:top w:val="single" w:sz="4" w:space="0" w:color="000000"/>
              <w:left w:val="nil"/>
              <w:bottom w:val="nil"/>
              <w:right w:val="nil"/>
            </w:tcBorders>
            <w:shd w:val="clear" w:color="auto" w:fill="99CCFF"/>
            <w:vAlign w:val="bottom"/>
          </w:tcPr>
          <w:p w:rsidR="00351E0B" w:rsidRPr="002152E4" w:rsidRDefault="00351E0B" w:rsidP="00351E0B">
            <w:pPr>
              <w:jc w:val="center"/>
              <w:rPr>
                <w:rFonts w:cs="Arial"/>
                <w:b/>
                <w:bCs/>
                <w:lang w:val="ro-RO" w:eastAsia="ro-RO"/>
              </w:rPr>
            </w:pPr>
            <w:r w:rsidRPr="002152E4">
              <w:rPr>
                <w:rFonts w:cs="Arial"/>
                <w:b/>
                <w:bCs/>
                <w:lang w:val="ro-RO" w:eastAsia="ro-RO"/>
              </w:rPr>
              <w:t>2015</w:t>
            </w:r>
          </w:p>
        </w:tc>
        <w:tc>
          <w:tcPr>
            <w:tcW w:w="4049" w:type="dxa"/>
            <w:gridSpan w:val="3"/>
            <w:tcBorders>
              <w:top w:val="single" w:sz="4" w:space="0" w:color="auto"/>
              <w:left w:val="single" w:sz="4" w:space="0" w:color="auto"/>
              <w:bottom w:val="single" w:sz="4" w:space="0" w:color="auto"/>
              <w:right w:val="single" w:sz="4" w:space="0" w:color="auto"/>
            </w:tcBorders>
            <w:shd w:val="clear" w:color="auto" w:fill="99CCFF"/>
            <w:vAlign w:val="bottom"/>
          </w:tcPr>
          <w:p w:rsidR="00351E0B" w:rsidRPr="002152E4" w:rsidRDefault="00351E0B" w:rsidP="00351E0B">
            <w:pPr>
              <w:jc w:val="center"/>
              <w:rPr>
                <w:rFonts w:cs="Arial"/>
                <w:b/>
                <w:lang w:val="ro-RO" w:eastAsia="ro-RO"/>
              </w:rPr>
            </w:pPr>
            <w:r w:rsidRPr="002152E4">
              <w:rPr>
                <w:rFonts w:cs="Arial"/>
                <w:b/>
                <w:lang w:val="ro-RO" w:eastAsia="ro-RO"/>
              </w:rPr>
              <w:t>2016</w:t>
            </w:r>
          </w:p>
        </w:tc>
      </w:tr>
      <w:tr w:rsidR="00351E0B" w:rsidRPr="002152E4" w:rsidTr="001B13E1">
        <w:trPr>
          <w:trHeight w:val="224"/>
          <w:jc w:val="center"/>
        </w:trPr>
        <w:tc>
          <w:tcPr>
            <w:tcW w:w="1675" w:type="dxa"/>
            <w:vMerge/>
            <w:tcBorders>
              <w:left w:val="single" w:sz="4" w:space="0" w:color="auto"/>
              <w:bottom w:val="nil"/>
              <w:right w:val="single" w:sz="4" w:space="0" w:color="auto"/>
            </w:tcBorders>
            <w:shd w:val="clear" w:color="auto" w:fill="auto"/>
            <w:vAlign w:val="center"/>
          </w:tcPr>
          <w:p w:rsidR="00351E0B" w:rsidRPr="002152E4" w:rsidRDefault="00351E0B" w:rsidP="00351E0B">
            <w:pPr>
              <w:rPr>
                <w:rFonts w:cs="Arial"/>
                <w:b/>
                <w:bCs/>
                <w:lang w:val="ro-RO" w:eastAsia="ro-RO"/>
              </w:rPr>
            </w:pPr>
          </w:p>
        </w:tc>
        <w:tc>
          <w:tcPr>
            <w:tcW w:w="40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1E0B" w:rsidRPr="002152E4" w:rsidRDefault="00351E0B" w:rsidP="00351E0B">
            <w:pPr>
              <w:jc w:val="center"/>
              <w:rPr>
                <w:rFonts w:cs="Arial"/>
                <w:b/>
                <w:bCs/>
                <w:lang w:val="ro-RO" w:eastAsia="ro-RO"/>
              </w:rPr>
            </w:pPr>
            <w:r w:rsidRPr="002152E4">
              <w:rPr>
                <w:rFonts w:cs="Arial"/>
                <w:b/>
                <w:bCs/>
                <w:lang w:val="ro-RO" w:eastAsia="ro-RO"/>
              </w:rPr>
              <w:t>DURATA SOLUTIONARE: MEDII IN ZILE</w:t>
            </w:r>
          </w:p>
        </w:tc>
        <w:tc>
          <w:tcPr>
            <w:tcW w:w="40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1E0B" w:rsidRPr="002152E4" w:rsidRDefault="00351E0B" w:rsidP="00351E0B">
            <w:pPr>
              <w:jc w:val="center"/>
              <w:rPr>
                <w:rFonts w:cs="Arial"/>
                <w:b/>
                <w:bCs/>
                <w:lang w:val="ro-RO" w:eastAsia="ro-RO"/>
              </w:rPr>
            </w:pPr>
            <w:r w:rsidRPr="002152E4">
              <w:rPr>
                <w:rFonts w:cs="Arial"/>
                <w:b/>
                <w:bCs/>
                <w:lang w:val="ro-RO" w:eastAsia="ro-RO"/>
              </w:rPr>
              <w:t>DURATA SOLUTIONARE: MEDII IN ZILE</w:t>
            </w:r>
          </w:p>
        </w:tc>
      </w:tr>
      <w:tr w:rsidR="00351E0B" w:rsidRPr="002152E4" w:rsidTr="001B13E1">
        <w:trPr>
          <w:trHeight w:val="315"/>
          <w:jc w:val="center"/>
        </w:trPr>
        <w:tc>
          <w:tcPr>
            <w:tcW w:w="1675" w:type="dxa"/>
            <w:vMerge/>
            <w:tcBorders>
              <w:left w:val="single" w:sz="4" w:space="0" w:color="auto"/>
              <w:bottom w:val="single" w:sz="4" w:space="0" w:color="auto"/>
              <w:right w:val="single" w:sz="4" w:space="0" w:color="auto"/>
            </w:tcBorders>
            <w:shd w:val="clear" w:color="auto" w:fill="auto"/>
            <w:vAlign w:val="center"/>
          </w:tcPr>
          <w:p w:rsidR="00351E0B" w:rsidRPr="002152E4" w:rsidRDefault="00351E0B" w:rsidP="00351E0B">
            <w:pPr>
              <w:rPr>
                <w:rFonts w:cs="Arial"/>
                <w:b/>
                <w:bCs/>
                <w:lang w:val="ro-RO" w:eastAsia="ro-RO"/>
              </w:rPr>
            </w:pPr>
          </w:p>
        </w:tc>
        <w:tc>
          <w:tcPr>
            <w:tcW w:w="1009" w:type="dxa"/>
            <w:tcBorders>
              <w:top w:val="nil"/>
              <w:left w:val="nil"/>
              <w:bottom w:val="single" w:sz="4" w:space="0" w:color="auto"/>
              <w:right w:val="single" w:sz="4" w:space="0" w:color="auto"/>
            </w:tcBorders>
            <w:shd w:val="clear" w:color="auto" w:fill="auto"/>
            <w:vAlign w:val="center"/>
          </w:tcPr>
          <w:p w:rsidR="00351E0B" w:rsidRPr="002152E4" w:rsidRDefault="00351E0B" w:rsidP="00351E0B">
            <w:pPr>
              <w:jc w:val="center"/>
              <w:rPr>
                <w:rFonts w:cs="Arial"/>
                <w:b/>
                <w:bCs/>
                <w:lang w:val="ro-RO" w:eastAsia="ro-RO"/>
              </w:rPr>
            </w:pPr>
            <w:r w:rsidRPr="002152E4">
              <w:rPr>
                <w:rFonts w:cs="Arial"/>
                <w:b/>
                <w:bCs/>
                <w:lang w:val="ro-RO" w:eastAsia="ro-RO"/>
              </w:rPr>
              <w:t>TOTALA</w:t>
            </w:r>
          </w:p>
        </w:tc>
        <w:tc>
          <w:tcPr>
            <w:tcW w:w="1631" w:type="dxa"/>
            <w:tcBorders>
              <w:top w:val="nil"/>
              <w:left w:val="nil"/>
              <w:bottom w:val="single" w:sz="4" w:space="0" w:color="auto"/>
              <w:right w:val="single" w:sz="4" w:space="0" w:color="auto"/>
            </w:tcBorders>
            <w:shd w:val="clear" w:color="auto" w:fill="auto"/>
            <w:vAlign w:val="center"/>
          </w:tcPr>
          <w:p w:rsidR="00351E0B" w:rsidRPr="002152E4" w:rsidRDefault="00351E0B" w:rsidP="00351E0B">
            <w:pPr>
              <w:jc w:val="center"/>
              <w:rPr>
                <w:rFonts w:cs="Arial"/>
                <w:b/>
                <w:bCs/>
                <w:lang w:val="ro-RO" w:eastAsia="ro-RO"/>
              </w:rPr>
            </w:pPr>
            <w:r w:rsidRPr="002152E4">
              <w:rPr>
                <w:rFonts w:cs="Arial"/>
                <w:b/>
                <w:bCs/>
                <w:lang w:val="ro-RO" w:eastAsia="ro-RO"/>
              </w:rPr>
              <w:t>PRONUNTARE</w:t>
            </w:r>
          </w:p>
        </w:tc>
        <w:tc>
          <w:tcPr>
            <w:tcW w:w="1409" w:type="dxa"/>
            <w:tcBorders>
              <w:top w:val="nil"/>
              <w:left w:val="nil"/>
              <w:bottom w:val="single" w:sz="4" w:space="0" w:color="auto"/>
              <w:right w:val="single" w:sz="4" w:space="0" w:color="auto"/>
            </w:tcBorders>
            <w:shd w:val="clear" w:color="auto" w:fill="auto"/>
            <w:vAlign w:val="center"/>
          </w:tcPr>
          <w:p w:rsidR="00351E0B" w:rsidRPr="002152E4" w:rsidRDefault="00351E0B" w:rsidP="00351E0B">
            <w:pPr>
              <w:jc w:val="center"/>
              <w:rPr>
                <w:rFonts w:cs="Arial"/>
                <w:b/>
                <w:bCs/>
                <w:lang w:val="ro-RO" w:eastAsia="ro-RO"/>
              </w:rPr>
            </w:pPr>
            <w:r w:rsidRPr="002152E4">
              <w:rPr>
                <w:rFonts w:cs="Arial"/>
                <w:b/>
                <w:bCs/>
                <w:lang w:val="ro-RO" w:eastAsia="ro-RO"/>
              </w:rPr>
              <w:t>REDACTARE</w:t>
            </w:r>
          </w:p>
        </w:tc>
        <w:tc>
          <w:tcPr>
            <w:tcW w:w="1009" w:type="dxa"/>
            <w:tcBorders>
              <w:top w:val="nil"/>
              <w:left w:val="nil"/>
              <w:bottom w:val="single" w:sz="4" w:space="0" w:color="auto"/>
              <w:right w:val="single" w:sz="4" w:space="0" w:color="auto"/>
            </w:tcBorders>
            <w:shd w:val="clear" w:color="auto" w:fill="auto"/>
            <w:vAlign w:val="center"/>
          </w:tcPr>
          <w:p w:rsidR="00351E0B" w:rsidRPr="002152E4" w:rsidRDefault="00351E0B" w:rsidP="00351E0B">
            <w:pPr>
              <w:jc w:val="center"/>
              <w:rPr>
                <w:rFonts w:cs="Arial"/>
                <w:b/>
                <w:bCs/>
                <w:lang w:val="ro-RO" w:eastAsia="ro-RO"/>
              </w:rPr>
            </w:pPr>
            <w:r w:rsidRPr="002152E4">
              <w:rPr>
                <w:rFonts w:cs="Arial"/>
                <w:b/>
                <w:bCs/>
                <w:lang w:val="ro-RO" w:eastAsia="ro-RO"/>
              </w:rPr>
              <w:t>TOTALA</w:t>
            </w:r>
          </w:p>
        </w:tc>
        <w:tc>
          <w:tcPr>
            <w:tcW w:w="1631" w:type="dxa"/>
            <w:tcBorders>
              <w:top w:val="nil"/>
              <w:left w:val="nil"/>
              <w:bottom w:val="single" w:sz="4" w:space="0" w:color="auto"/>
              <w:right w:val="single" w:sz="4" w:space="0" w:color="auto"/>
            </w:tcBorders>
            <w:shd w:val="clear" w:color="auto" w:fill="auto"/>
            <w:vAlign w:val="center"/>
          </w:tcPr>
          <w:p w:rsidR="00351E0B" w:rsidRPr="002152E4" w:rsidRDefault="00351E0B" w:rsidP="00351E0B">
            <w:pPr>
              <w:jc w:val="center"/>
              <w:rPr>
                <w:rFonts w:cs="Arial"/>
                <w:b/>
                <w:bCs/>
                <w:lang w:val="ro-RO" w:eastAsia="ro-RO"/>
              </w:rPr>
            </w:pPr>
            <w:r w:rsidRPr="002152E4">
              <w:rPr>
                <w:rFonts w:cs="Arial"/>
                <w:b/>
                <w:bCs/>
                <w:lang w:val="ro-RO" w:eastAsia="ro-RO"/>
              </w:rPr>
              <w:t>PRONUNTARE</w:t>
            </w:r>
          </w:p>
        </w:tc>
        <w:tc>
          <w:tcPr>
            <w:tcW w:w="1409" w:type="dxa"/>
            <w:tcBorders>
              <w:top w:val="nil"/>
              <w:left w:val="nil"/>
              <w:bottom w:val="single" w:sz="4" w:space="0" w:color="auto"/>
              <w:right w:val="single" w:sz="4" w:space="0" w:color="auto"/>
            </w:tcBorders>
            <w:shd w:val="clear" w:color="auto" w:fill="auto"/>
            <w:vAlign w:val="center"/>
          </w:tcPr>
          <w:p w:rsidR="00351E0B" w:rsidRPr="002152E4" w:rsidRDefault="00351E0B" w:rsidP="00351E0B">
            <w:pPr>
              <w:jc w:val="center"/>
              <w:rPr>
                <w:rFonts w:cs="Arial"/>
                <w:b/>
                <w:bCs/>
                <w:lang w:val="ro-RO" w:eastAsia="ro-RO"/>
              </w:rPr>
            </w:pPr>
            <w:r w:rsidRPr="002152E4">
              <w:rPr>
                <w:rFonts w:cs="Arial"/>
                <w:b/>
                <w:bCs/>
                <w:lang w:val="ro-RO" w:eastAsia="ro-RO"/>
              </w:rPr>
              <w:t>REDACTARE</w:t>
            </w:r>
          </w:p>
        </w:tc>
      </w:tr>
      <w:tr w:rsidR="00351E0B" w:rsidRPr="002152E4" w:rsidTr="001B13E1">
        <w:trPr>
          <w:trHeight w:val="315"/>
          <w:jc w:val="center"/>
        </w:trPr>
        <w:tc>
          <w:tcPr>
            <w:tcW w:w="1675" w:type="dxa"/>
            <w:tcBorders>
              <w:top w:val="nil"/>
              <w:left w:val="single" w:sz="4" w:space="0" w:color="000000"/>
              <w:bottom w:val="single" w:sz="4" w:space="0" w:color="000000"/>
              <w:right w:val="single" w:sz="4" w:space="0" w:color="000000"/>
            </w:tcBorders>
            <w:shd w:val="clear" w:color="auto" w:fill="auto"/>
            <w:vAlign w:val="center"/>
          </w:tcPr>
          <w:p w:rsidR="00351E0B" w:rsidRPr="002152E4" w:rsidRDefault="00351E0B" w:rsidP="00351E0B">
            <w:pPr>
              <w:rPr>
                <w:rFonts w:cs="Arial"/>
                <w:lang w:val="ro-RO" w:eastAsia="ro-RO"/>
              </w:rPr>
            </w:pPr>
            <w:r w:rsidRPr="002152E4">
              <w:rPr>
                <w:rFonts w:cs="Arial"/>
                <w:lang w:val="ro-RO" w:eastAsia="ro-RO"/>
              </w:rPr>
              <w:t>Asigurări sociale</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359,6</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287</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72,5</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224</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183</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40,9</w:t>
            </w:r>
          </w:p>
        </w:tc>
      </w:tr>
      <w:tr w:rsidR="00351E0B" w:rsidRPr="002152E4" w:rsidTr="001B13E1">
        <w:trPr>
          <w:trHeight w:val="315"/>
          <w:jc w:val="center"/>
        </w:trPr>
        <w:tc>
          <w:tcPr>
            <w:tcW w:w="1675" w:type="dxa"/>
            <w:tcBorders>
              <w:top w:val="nil"/>
              <w:left w:val="single" w:sz="4" w:space="0" w:color="000000"/>
              <w:bottom w:val="single" w:sz="4" w:space="0" w:color="000000"/>
              <w:right w:val="single" w:sz="4" w:space="0" w:color="000000"/>
            </w:tcBorders>
            <w:shd w:val="clear" w:color="auto" w:fill="auto"/>
            <w:vAlign w:val="center"/>
          </w:tcPr>
          <w:p w:rsidR="00351E0B" w:rsidRPr="002152E4" w:rsidRDefault="00351E0B" w:rsidP="00351E0B">
            <w:pPr>
              <w:rPr>
                <w:rFonts w:cs="Arial"/>
                <w:lang w:val="ro-RO" w:eastAsia="ro-RO"/>
              </w:rPr>
            </w:pPr>
            <w:r w:rsidRPr="002152E4">
              <w:rPr>
                <w:rFonts w:cs="Arial"/>
                <w:lang w:val="ro-RO" w:eastAsia="ro-RO"/>
              </w:rPr>
              <w:t>Civil</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375</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229,2</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145,8</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275</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222</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53</w:t>
            </w:r>
          </w:p>
        </w:tc>
      </w:tr>
      <w:tr w:rsidR="00351E0B" w:rsidRPr="002152E4" w:rsidTr="001B13E1">
        <w:trPr>
          <w:trHeight w:val="630"/>
          <w:jc w:val="center"/>
        </w:trPr>
        <w:tc>
          <w:tcPr>
            <w:tcW w:w="1675" w:type="dxa"/>
            <w:tcBorders>
              <w:top w:val="nil"/>
              <w:left w:val="single" w:sz="4" w:space="0" w:color="000000"/>
              <w:bottom w:val="single" w:sz="4" w:space="0" w:color="000000"/>
              <w:right w:val="single" w:sz="4" w:space="0" w:color="000000"/>
            </w:tcBorders>
            <w:shd w:val="clear" w:color="auto" w:fill="auto"/>
            <w:vAlign w:val="center"/>
          </w:tcPr>
          <w:p w:rsidR="00351E0B" w:rsidRPr="002152E4" w:rsidRDefault="00351E0B" w:rsidP="00351E0B">
            <w:pPr>
              <w:rPr>
                <w:rFonts w:cs="Arial"/>
                <w:lang w:val="ro-RO" w:eastAsia="ro-RO"/>
              </w:rPr>
            </w:pPr>
            <w:r w:rsidRPr="002152E4">
              <w:rPr>
                <w:rFonts w:cs="Arial"/>
                <w:lang w:val="ro-RO" w:eastAsia="ro-RO"/>
              </w:rPr>
              <w:t>Contencios administrativ şi fiscal</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317,7</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250,7</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67</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234,5</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193,8</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40,7</w:t>
            </w:r>
          </w:p>
        </w:tc>
      </w:tr>
      <w:tr w:rsidR="00351E0B" w:rsidRPr="002152E4" w:rsidTr="00B926F3">
        <w:trPr>
          <w:trHeight w:val="315"/>
          <w:jc w:val="center"/>
        </w:trPr>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351E0B" w:rsidRPr="002152E4" w:rsidRDefault="00351E0B" w:rsidP="00351E0B">
            <w:pPr>
              <w:rPr>
                <w:rFonts w:cs="Arial"/>
                <w:lang w:val="ro-RO" w:eastAsia="ro-RO"/>
              </w:rPr>
            </w:pPr>
            <w:r w:rsidRPr="002152E4">
              <w:rPr>
                <w:rFonts w:cs="Arial"/>
                <w:lang w:val="ro-RO" w:eastAsia="ro-RO"/>
              </w:rPr>
              <w:t>Faliment</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390,8</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313,7</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77,1</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399,4</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356,6</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42,8</w:t>
            </w:r>
          </w:p>
        </w:tc>
      </w:tr>
      <w:tr w:rsidR="00351E0B" w:rsidRPr="002152E4" w:rsidTr="00B926F3">
        <w:trPr>
          <w:trHeight w:val="315"/>
          <w:jc w:val="center"/>
        </w:trPr>
        <w:tc>
          <w:tcPr>
            <w:tcW w:w="1675" w:type="dxa"/>
            <w:tcBorders>
              <w:top w:val="single" w:sz="4" w:space="0" w:color="auto"/>
              <w:left w:val="single" w:sz="4" w:space="0" w:color="000000"/>
              <w:bottom w:val="single" w:sz="4" w:space="0" w:color="000000"/>
              <w:right w:val="single" w:sz="4" w:space="0" w:color="000000"/>
            </w:tcBorders>
            <w:shd w:val="clear" w:color="auto" w:fill="auto"/>
            <w:vAlign w:val="center"/>
          </w:tcPr>
          <w:p w:rsidR="00351E0B" w:rsidRPr="002152E4" w:rsidRDefault="00351E0B" w:rsidP="00351E0B">
            <w:pPr>
              <w:rPr>
                <w:rFonts w:cs="Arial"/>
                <w:lang w:val="ro-RO" w:eastAsia="ro-RO"/>
              </w:rPr>
            </w:pPr>
            <w:r w:rsidRPr="002152E4">
              <w:rPr>
                <w:rFonts w:cs="Arial"/>
                <w:lang w:val="ro-RO" w:eastAsia="ro-RO"/>
              </w:rPr>
              <w:t>Litigii cu profesioniştii</w:t>
            </w:r>
          </w:p>
        </w:tc>
        <w:tc>
          <w:tcPr>
            <w:tcW w:w="1009" w:type="dxa"/>
            <w:tcBorders>
              <w:top w:val="single" w:sz="4" w:space="0" w:color="auto"/>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190,5</w:t>
            </w:r>
          </w:p>
        </w:tc>
        <w:tc>
          <w:tcPr>
            <w:tcW w:w="1631" w:type="dxa"/>
            <w:tcBorders>
              <w:top w:val="single" w:sz="4" w:space="0" w:color="auto"/>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133,7</w:t>
            </w:r>
          </w:p>
        </w:tc>
        <w:tc>
          <w:tcPr>
            <w:tcW w:w="1409" w:type="dxa"/>
            <w:tcBorders>
              <w:top w:val="single" w:sz="4" w:space="0" w:color="auto"/>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56,8</w:t>
            </w:r>
          </w:p>
        </w:tc>
        <w:tc>
          <w:tcPr>
            <w:tcW w:w="1009" w:type="dxa"/>
            <w:tcBorders>
              <w:top w:val="single" w:sz="4" w:space="0" w:color="auto"/>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163,3</w:t>
            </w:r>
          </w:p>
        </w:tc>
        <w:tc>
          <w:tcPr>
            <w:tcW w:w="1631" w:type="dxa"/>
            <w:tcBorders>
              <w:top w:val="single" w:sz="4" w:space="0" w:color="auto"/>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128,8</w:t>
            </w:r>
          </w:p>
        </w:tc>
        <w:tc>
          <w:tcPr>
            <w:tcW w:w="1409" w:type="dxa"/>
            <w:tcBorders>
              <w:top w:val="single" w:sz="4" w:space="0" w:color="auto"/>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34,6</w:t>
            </w:r>
          </w:p>
        </w:tc>
      </w:tr>
      <w:tr w:rsidR="00351E0B" w:rsidRPr="002152E4" w:rsidTr="001B13E1">
        <w:trPr>
          <w:trHeight w:val="315"/>
          <w:jc w:val="center"/>
        </w:trPr>
        <w:tc>
          <w:tcPr>
            <w:tcW w:w="1675" w:type="dxa"/>
            <w:tcBorders>
              <w:top w:val="nil"/>
              <w:left w:val="single" w:sz="4" w:space="0" w:color="000000"/>
              <w:bottom w:val="single" w:sz="4" w:space="0" w:color="000000"/>
              <w:right w:val="single" w:sz="4" w:space="0" w:color="000000"/>
            </w:tcBorders>
            <w:shd w:val="clear" w:color="auto" w:fill="auto"/>
            <w:vAlign w:val="center"/>
          </w:tcPr>
          <w:p w:rsidR="00351E0B" w:rsidRPr="002152E4" w:rsidRDefault="00351E0B" w:rsidP="00351E0B">
            <w:pPr>
              <w:rPr>
                <w:rFonts w:cs="Arial"/>
                <w:lang w:val="ro-RO" w:eastAsia="ro-RO"/>
              </w:rPr>
            </w:pPr>
            <w:r w:rsidRPr="002152E4">
              <w:rPr>
                <w:rFonts w:cs="Arial"/>
                <w:lang w:val="ro-RO" w:eastAsia="ro-RO"/>
              </w:rPr>
              <w:t>Litigii de muncă</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275,9</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228,8</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47,1</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247,5</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213,6</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34</w:t>
            </w:r>
          </w:p>
        </w:tc>
      </w:tr>
      <w:tr w:rsidR="00351E0B" w:rsidRPr="002152E4" w:rsidTr="001B13E1">
        <w:trPr>
          <w:trHeight w:val="315"/>
          <w:jc w:val="center"/>
        </w:trPr>
        <w:tc>
          <w:tcPr>
            <w:tcW w:w="1675" w:type="dxa"/>
            <w:tcBorders>
              <w:top w:val="nil"/>
              <w:left w:val="single" w:sz="4" w:space="0" w:color="000000"/>
              <w:bottom w:val="single" w:sz="4" w:space="0" w:color="000000"/>
              <w:right w:val="single" w:sz="4" w:space="0" w:color="000000"/>
            </w:tcBorders>
            <w:shd w:val="clear" w:color="auto" w:fill="auto"/>
            <w:vAlign w:val="center"/>
          </w:tcPr>
          <w:p w:rsidR="00351E0B" w:rsidRPr="002152E4" w:rsidRDefault="00351E0B" w:rsidP="00351E0B">
            <w:pPr>
              <w:rPr>
                <w:rFonts w:cs="Arial"/>
                <w:lang w:val="ro-RO" w:eastAsia="ro-RO"/>
              </w:rPr>
            </w:pPr>
            <w:r w:rsidRPr="002152E4">
              <w:rPr>
                <w:rFonts w:cs="Arial"/>
                <w:lang w:val="ro-RO" w:eastAsia="ro-RO"/>
              </w:rPr>
              <w:t>Minori şi familie</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103,8</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60,3</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43,6</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81,3</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58,2</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23,1</w:t>
            </w:r>
          </w:p>
        </w:tc>
      </w:tr>
      <w:tr w:rsidR="00351E0B" w:rsidRPr="002152E4" w:rsidTr="001B13E1">
        <w:trPr>
          <w:trHeight w:val="315"/>
          <w:jc w:val="center"/>
        </w:trPr>
        <w:tc>
          <w:tcPr>
            <w:tcW w:w="1675" w:type="dxa"/>
            <w:tcBorders>
              <w:top w:val="nil"/>
              <w:left w:val="single" w:sz="4" w:space="0" w:color="000000"/>
              <w:bottom w:val="single" w:sz="4" w:space="0" w:color="000000"/>
              <w:right w:val="single" w:sz="4" w:space="0" w:color="000000"/>
            </w:tcBorders>
            <w:shd w:val="clear" w:color="auto" w:fill="auto"/>
            <w:vAlign w:val="center"/>
          </w:tcPr>
          <w:p w:rsidR="00351E0B" w:rsidRPr="002152E4" w:rsidRDefault="00351E0B" w:rsidP="00351E0B">
            <w:pPr>
              <w:rPr>
                <w:rFonts w:cs="Arial"/>
                <w:lang w:val="ro-RO" w:eastAsia="ro-RO"/>
              </w:rPr>
            </w:pPr>
            <w:r w:rsidRPr="002152E4">
              <w:rPr>
                <w:rFonts w:cs="Arial"/>
                <w:lang w:val="ro-RO" w:eastAsia="ro-RO"/>
              </w:rPr>
              <w:t>Penal</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105,6</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34,8</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70,8</w:t>
            </w:r>
          </w:p>
        </w:tc>
        <w:tc>
          <w:tcPr>
            <w:tcW w:w="10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54,2</w:t>
            </w:r>
          </w:p>
        </w:tc>
        <w:tc>
          <w:tcPr>
            <w:tcW w:w="1631"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34,7</w:t>
            </w:r>
          </w:p>
        </w:tc>
        <w:tc>
          <w:tcPr>
            <w:tcW w:w="1409" w:type="dxa"/>
            <w:tcBorders>
              <w:top w:val="nil"/>
              <w:left w:val="nil"/>
              <w:bottom w:val="single" w:sz="4" w:space="0" w:color="000000"/>
              <w:right w:val="single" w:sz="4" w:space="0" w:color="000000"/>
            </w:tcBorders>
            <w:shd w:val="clear" w:color="auto" w:fill="auto"/>
            <w:vAlign w:val="center"/>
          </w:tcPr>
          <w:p w:rsidR="00351E0B" w:rsidRPr="002152E4" w:rsidRDefault="00351E0B" w:rsidP="00351E0B">
            <w:pPr>
              <w:jc w:val="center"/>
              <w:rPr>
                <w:rFonts w:cs="Arial"/>
                <w:lang w:val="ro-RO" w:eastAsia="ro-RO"/>
              </w:rPr>
            </w:pPr>
            <w:r w:rsidRPr="002152E4">
              <w:rPr>
                <w:rFonts w:cs="Arial"/>
                <w:lang w:val="ro-RO" w:eastAsia="ro-RO"/>
              </w:rPr>
              <w:t>19,5</w:t>
            </w:r>
          </w:p>
        </w:tc>
      </w:tr>
    </w:tbl>
    <w:p w:rsidR="00137FDE" w:rsidRPr="002152E4" w:rsidRDefault="00137FDE" w:rsidP="001E62DE">
      <w:pPr>
        <w:rPr>
          <w:rFonts w:cs="Arial"/>
          <w:lang w:val="ro-RO"/>
        </w:rPr>
      </w:pPr>
    </w:p>
    <w:p w:rsidR="00BC0BE1" w:rsidRPr="002152E4" w:rsidRDefault="00BC0BE1" w:rsidP="001E62DE">
      <w:pPr>
        <w:rPr>
          <w:rFonts w:cs="Arial"/>
          <w:lang w:val="ro-RO"/>
        </w:rPr>
      </w:pPr>
    </w:p>
    <w:tbl>
      <w:tblPr>
        <w:tblW w:w="9549" w:type="dxa"/>
        <w:jc w:val="center"/>
        <w:tblLook w:val="0000" w:firstRow="0" w:lastRow="0" w:firstColumn="0" w:lastColumn="0" w:noHBand="0" w:noVBand="0"/>
      </w:tblPr>
      <w:tblGrid>
        <w:gridCol w:w="2017"/>
        <w:gridCol w:w="943"/>
        <w:gridCol w:w="1513"/>
        <w:gridCol w:w="1310"/>
        <w:gridCol w:w="943"/>
        <w:gridCol w:w="1513"/>
        <w:gridCol w:w="1310"/>
      </w:tblGrid>
      <w:tr w:rsidR="00575DD5" w:rsidRPr="002152E4" w:rsidTr="00107F8C">
        <w:trPr>
          <w:trHeight w:val="293"/>
          <w:jc w:val="center"/>
        </w:trPr>
        <w:tc>
          <w:tcPr>
            <w:tcW w:w="9549"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575DD5" w:rsidRPr="002152E4" w:rsidRDefault="00575DD5" w:rsidP="00BC0BE1">
            <w:pPr>
              <w:jc w:val="center"/>
              <w:rPr>
                <w:rFonts w:cs="Arial"/>
                <w:b/>
                <w:bCs/>
                <w:sz w:val="22"/>
                <w:szCs w:val="22"/>
                <w:lang w:val="ro-RO" w:eastAsia="ro-RO"/>
              </w:rPr>
            </w:pPr>
            <w:r w:rsidRPr="002152E4">
              <w:rPr>
                <w:rFonts w:cs="Arial"/>
                <w:b/>
                <w:bCs/>
                <w:sz w:val="22"/>
                <w:szCs w:val="22"/>
                <w:lang w:val="ro-RO" w:eastAsia="ro-RO"/>
              </w:rPr>
              <w:t>Tribunale</w:t>
            </w:r>
          </w:p>
        </w:tc>
      </w:tr>
      <w:tr w:rsidR="00575DD5" w:rsidRPr="002152E4" w:rsidTr="00107F8C">
        <w:trPr>
          <w:trHeight w:val="293"/>
          <w:jc w:val="center"/>
        </w:trPr>
        <w:tc>
          <w:tcPr>
            <w:tcW w:w="2017" w:type="dxa"/>
            <w:vMerge w:val="restart"/>
            <w:tcBorders>
              <w:top w:val="single" w:sz="4" w:space="0" w:color="000000"/>
              <w:left w:val="single" w:sz="4" w:space="0" w:color="000000"/>
              <w:right w:val="single" w:sz="4" w:space="0" w:color="000000"/>
            </w:tcBorders>
            <w:shd w:val="clear" w:color="auto" w:fill="auto"/>
            <w:vAlign w:val="center"/>
          </w:tcPr>
          <w:p w:rsidR="00575DD5" w:rsidRPr="002152E4" w:rsidRDefault="00575DD5" w:rsidP="00575DD5">
            <w:pPr>
              <w:jc w:val="center"/>
              <w:rPr>
                <w:rFonts w:cs="Arial"/>
                <w:b/>
                <w:bCs/>
                <w:lang w:val="ro-RO" w:eastAsia="ro-RO"/>
              </w:rPr>
            </w:pPr>
            <w:r w:rsidRPr="002152E4">
              <w:rPr>
                <w:rFonts w:cs="Arial"/>
                <w:b/>
                <w:bCs/>
                <w:lang w:val="ro-RO" w:eastAsia="ro-RO"/>
              </w:rPr>
              <w:t>STADIU PROCESUAL</w:t>
            </w:r>
          </w:p>
        </w:tc>
        <w:tc>
          <w:tcPr>
            <w:tcW w:w="3766" w:type="dxa"/>
            <w:gridSpan w:val="3"/>
            <w:tcBorders>
              <w:top w:val="single" w:sz="4" w:space="0" w:color="auto"/>
              <w:left w:val="single" w:sz="4" w:space="0" w:color="auto"/>
              <w:bottom w:val="single" w:sz="4" w:space="0" w:color="auto"/>
              <w:right w:val="single" w:sz="4" w:space="0" w:color="auto"/>
            </w:tcBorders>
            <w:shd w:val="clear" w:color="auto" w:fill="99CCFF"/>
            <w:vAlign w:val="center"/>
          </w:tcPr>
          <w:p w:rsidR="00575DD5" w:rsidRPr="002152E4" w:rsidRDefault="00575DD5" w:rsidP="00BC0BE1">
            <w:pPr>
              <w:jc w:val="center"/>
              <w:rPr>
                <w:rFonts w:cs="Arial"/>
                <w:b/>
                <w:bCs/>
                <w:lang w:val="ro-RO" w:eastAsia="ro-RO"/>
              </w:rPr>
            </w:pPr>
            <w:r w:rsidRPr="002152E4">
              <w:rPr>
                <w:rFonts w:cs="Arial"/>
                <w:b/>
                <w:bCs/>
                <w:lang w:val="ro-RO" w:eastAsia="ro-RO"/>
              </w:rPr>
              <w:t>2015</w:t>
            </w:r>
          </w:p>
        </w:tc>
        <w:tc>
          <w:tcPr>
            <w:tcW w:w="3766" w:type="dxa"/>
            <w:gridSpan w:val="3"/>
            <w:tcBorders>
              <w:top w:val="single" w:sz="4" w:space="0" w:color="auto"/>
              <w:left w:val="single" w:sz="4" w:space="0" w:color="auto"/>
              <w:bottom w:val="single" w:sz="4" w:space="0" w:color="auto"/>
              <w:right w:val="single" w:sz="4" w:space="0" w:color="auto"/>
            </w:tcBorders>
            <w:shd w:val="clear" w:color="auto" w:fill="99CCFF"/>
            <w:vAlign w:val="center"/>
          </w:tcPr>
          <w:p w:rsidR="00575DD5" w:rsidRPr="002152E4" w:rsidRDefault="00575DD5" w:rsidP="00BC0BE1">
            <w:pPr>
              <w:jc w:val="center"/>
              <w:rPr>
                <w:rFonts w:cs="Arial"/>
                <w:b/>
                <w:bCs/>
                <w:lang w:val="ro-RO" w:eastAsia="ro-RO"/>
              </w:rPr>
            </w:pPr>
            <w:r w:rsidRPr="002152E4">
              <w:rPr>
                <w:rFonts w:cs="Arial"/>
                <w:b/>
                <w:bCs/>
                <w:lang w:val="ro-RO" w:eastAsia="ro-RO"/>
              </w:rPr>
              <w:t>2016</w:t>
            </w:r>
          </w:p>
        </w:tc>
      </w:tr>
      <w:tr w:rsidR="00575DD5" w:rsidRPr="002152E4" w:rsidTr="00107F8C">
        <w:trPr>
          <w:trHeight w:val="280"/>
          <w:jc w:val="center"/>
        </w:trPr>
        <w:tc>
          <w:tcPr>
            <w:tcW w:w="2017" w:type="dxa"/>
            <w:vMerge/>
            <w:tcBorders>
              <w:left w:val="single" w:sz="4" w:space="0" w:color="000000"/>
              <w:bottom w:val="nil"/>
              <w:right w:val="single" w:sz="4" w:space="0" w:color="000000"/>
            </w:tcBorders>
            <w:shd w:val="clear" w:color="auto" w:fill="auto"/>
            <w:vAlign w:val="center"/>
          </w:tcPr>
          <w:p w:rsidR="00575DD5" w:rsidRPr="002152E4" w:rsidRDefault="00575DD5" w:rsidP="00BC0BE1">
            <w:pPr>
              <w:rPr>
                <w:rFonts w:cs="Arial"/>
                <w:b/>
                <w:bCs/>
                <w:lang w:val="ro-RO" w:eastAsia="ro-RO"/>
              </w:rPr>
            </w:pPr>
          </w:p>
        </w:tc>
        <w:tc>
          <w:tcPr>
            <w:tcW w:w="37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75DD5" w:rsidRPr="002152E4" w:rsidRDefault="00575DD5" w:rsidP="00BC0BE1">
            <w:pPr>
              <w:jc w:val="center"/>
              <w:rPr>
                <w:rFonts w:cs="Arial"/>
                <w:b/>
                <w:bCs/>
                <w:sz w:val="22"/>
                <w:szCs w:val="22"/>
                <w:lang w:val="ro-RO" w:eastAsia="ro-RO"/>
              </w:rPr>
            </w:pPr>
            <w:r w:rsidRPr="002152E4">
              <w:rPr>
                <w:rFonts w:cs="Arial"/>
                <w:b/>
                <w:bCs/>
                <w:sz w:val="22"/>
                <w:szCs w:val="22"/>
                <w:lang w:val="ro-RO" w:eastAsia="ro-RO"/>
              </w:rPr>
              <w:t>DURATA SOLUTIONARE: MEDII IN ZILE</w:t>
            </w:r>
          </w:p>
        </w:tc>
        <w:tc>
          <w:tcPr>
            <w:tcW w:w="37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75DD5" w:rsidRPr="002152E4" w:rsidRDefault="00575DD5" w:rsidP="00BC0BE1">
            <w:pPr>
              <w:jc w:val="center"/>
              <w:rPr>
                <w:rFonts w:cs="Arial"/>
                <w:b/>
                <w:bCs/>
                <w:sz w:val="22"/>
                <w:szCs w:val="22"/>
                <w:lang w:val="ro-RO" w:eastAsia="ro-RO"/>
              </w:rPr>
            </w:pPr>
            <w:r w:rsidRPr="002152E4">
              <w:rPr>
                <w:rFonts w:cs="Arial"/>
                <w:b/>
                <w:bCs/>
                <w:sz w:val="22"/>
                <w:szCs w:val="22"/>
                <w:lang w:val="ro-RO" w:eastAsia="ro-RO"/>
              </w:rPr>
              <w:t>DURATA SOLUTIONARE: MEDII IN ZILE</w:t>
            </w:r>
          </w:p>
        </w:tc>
      </w:tr>
      <w:tr w:rsidR="00575DD5" w:rsidRPr="002152E4" w:rsidTr="00107F8C">
        <w:trPr>
          <w:trHeight w:val="315"/>
          <w:jc w:val="center"/>
        </w:trPr>
        <w:tc>
          <w:tcPr>
            <w:tcW w:w="2017" w:type="dxa"/>
            <w:vMerge/>
            <w:tcBorders>
              <w:left w:val="single" w:sz="4" w:space="0" w:color="000000"/>
              <w:bottom w:val="single" w:sz="4" w:space="0" w:color="000000"/>
              <w:right w:val="single" w:sz="4" w:space="0" w:color="000000"/>
            </w:tcBorders>
            <w:vAlign w:val="center"/>
          </w:tcPr>
          <w:p w:rsidR="00575DD5" w:rsidRPr="002152E4" w:rsidRDefault="00575DD5" w:rsidP="00BC0BE1">
            <w:pPr>
              <w:rPr>
                <w:rFonts w:cs="Arial"/>
                <w:b/>
                <w:bCs/>
                <w:lang w:val="ro-RO" w:eastAsia="ro-RO"/>
              </w:rPr>
            </w:pPr>
          </w:p>
        </w:tc>
        <w:tc>
          <w:tcPr>
            <w:tcW w:w="943" w:type="dxa"/>
            <w:tcBorders>
              <w:top w:val="nil"/>
              <w:left w:val="single" w:sz="4" w:space="0" w:color="auto"/>
              <w:bottom w:val="single" w:sz="4" w:space="0" w:color="auto"/>
              <w:right w:val="single" w:sz="4" w:space="0" w:color="auto"/>
            </w:tcBorders>
            <w:shd w:val="clear" w:color="auto" w:fill="auto"/>
            <w:vAlign w:val="center"/>
          </w:tcPr>
          <w:p w:rsidR="00575DD5" w:rsidRPr="002152E4" w:rsidRDefault="00575DD5" w:rsidP="00BC0BE1">
            <w:pPr>
              <w:jc w:val="center"/>
              <w:rPr>
                <w:rFonts w:cs="Arial"/>
                <w:b/>
                <w:bCs/>
                <w:sz w:val="22"/>
                <w:szCs w:val="22"/>
                <w:lang w:val="ro-RO" w:eastAsia="ro-RO"/>
              </w:rPr>
            </w:pPr>
            <w:r w:rsidRPr="002152E4">
              <w:rPr>
                <w:rFonts w:cs="Arial"/>
                <w:b/>
                <w:bCs/>
                <w:sz w:val="22"/>
                <w:szCs w:val="22"/>
                <w:lang w:val="ro-RO" w:eastAsia="ro-RO"/>
              </w:rPr>
              <w:t>TOTALA</w:t>
            </w:r>
          </w:p>
        </w:tc>
        <w:tc>
          <w:tcPr>
            <w:tcW w:w="1513" w:type="dxa"/>
            <w:tcBorders>
              <w:top w:val="nil"/>
              <w:left w:val="nil"/>
              <w:bottom w:val="single" w:sz="4" w:space="0" w:color="auto"/>
              <w:right w:val="single" w:sz="4" w:space="0" w:color="auto"/>
            </w:tcBorders>
            <w:shd w:val="clear" w:color="auto" w:fill="auto"/>
            <w:vAlign w:val="center"/>
          </w:tcPr>
          <w:p w:rsidR="00575DD5" w:rsidRPr="002152E4" w:rsidRDefault="00575DD5" w:rsidP="00BC0BE1">
            <w:pPr>
              <w:jc w:val="center"/>
              <w:rPr>
                <w:rFonts w:cs="Arial"/>
                <w:b/>
                <w:bCs/>
                <w:sz w:val="22"/>
                <w:szCs w:val="22"/>
                <w:lang w:val="ro-RO" w:eastAsia="ro-RO"/>
              </w:rPr>
            </w:pPr>
            <w:r w:rsidRPr="002152E4">
              <w:rPr>
                <w:rFonts w:cs="Arial"/>
                <w:b/>
                <w:bCs/>
                <w:sz w:val="22"/>
                <w:szCs w:val="22"/>
                <w:lang w:val="ro-RO" w:eastAsia="ro-RO"/>
              </w:rPr>
              <w:t>PRONUNTARE</w:t>
            </w:r>
          </w:p>
        </w:tc>
        <w:tc>
          <w:tcPr>
            <w:tcW w:w="1310" w:type="dxa"/>
            <w:tcBorders>
              <w:top w:val="nil"/>
              <w:left w:val="nil"/>
              <w:bottom w:val="single" w:sz="4" w:space="0" w:color="auto"/>
              <w:right w:val="single" w:sz="4" w:space="0" w:color="auto"/>
            </w:tcBorders>
            <w:shd w:val="clear" w:color="auto" w:fill="auto"/>
            <w:vAlign w:val="center"/>
          </w:tcPr>
          <w:p w:rsidR="00575DD5" w:rsidRPr="002152E4" w:rsidRDefault="00575DD5" w:rsidP="00BC0BE1">
            <w:pPr>
              <w:jc w:val="center"/>
              <w:rPr>
                <w:rFonts w:cs="Arial"/>
                <w:b/>
                <w:bCs/>
                <w:sz w:val="22"/>
                <w:szCs w:val="22"/>
                <w:lang w:val="ro-RO" w:eastAsia="ro-RO"/>
              </w:rPr>
            </w:pPr>
            <w:r w:rsidRPr="002152E4">
              <w:rPr>
                <w:rFonts w:cs="Arial"/>
                <w:b/>
                <w:bCs/>
                <w:sz w:val="22"/>
                <w:szCs w:val="22"/>
                <w:lang w:val="ro-RO" w:eastAsia="ro-RO"/>
              </w:rPr>
              <w:t>REDACTARE</w:t>
            </w:r>
          </w:p>
        </w:tc>
        <w:tc>
          <w:tcPr>
            <w:tcW w:w="943" w:type="dxa"/>
            <w:tcBorders>
              <w:top w:val="nil"/>
              <w:left w:val="single" w:sz="4" w:space="0" w:color="auto"/>
              <w:bottom w:val="single" w:sz="4" w:space="0" w:color="auto"/>
              <w:right w:val="single" w:sz="4" w:space="0" w:color="auto"/>
            </w:tcBorders>
            <w:shd w:val="clear" w:color="auto" w:fill="auto"/>
            <w:vAlign w:val="center"/>
          </w:tcPr>
          <w:p w:rsidR="00575DD5" w:rsidRPr="002152E4" w:rsidRDefault="00575DD5" w:rsidP="00BC0BE1">
            <w:pPr>
              <w:jc w:val="center"/>
              <w:rPr>
                <w:rFonts w:cs="Arial"/>
                <w:b/>
                <w:bCs/>
                <w:sz w:val="22"/>
                <w:szCs w:val="22"/>
                <w:lang w:val="ro-RO" w:eastAsia="ro-RO"/>
              </w:rPr>
            </w:pPr>
            <w:r w:rsidRPr="002152E4">
              <w:rPr>
                <w:rFonts w:cs="Arial"/>
                <w:b/>
                <w:bCs/>
                <w:sz w:val="22"/>
                <w:szCs w:val="22"/>
                <w:lang w:val="ro-RO" w:eastAsia="ro-RO"/>
              </w:rPr>
              <w:t>TOTALA</w:t>
            </w:r>
          </w:p>
        </w:tc>
        <w:tc>
          <w:tcPr>
            <w:tcW w:w="1513" w:type="dxa"/>
            <w:tcBorders>
              <w:top w:val="nil"/>
              <w:left w:val="nil"/>
              <w:bottom w:val="single" w:sz="4" w:space="0" w:color="auto"/>
              <w:right w:val="single" w:sz="4" w:space="0" w:color="auto"/>
            </w:tcBorders>
            <w:shd w:val="clear" w:color="auto" w:fill="auto"/>
            <w:vAlign w:val="center"/>
          </w:tcPr>
          <w:p w:rsidR="00575DD5" w:rsidRPr="002152E4" w:rsidRDefault="00575DD5" w:rsidP="00BC0BE1">
            <w:pPr>
              <w:jc w:val="center"/>
              <w:rPr>
                <w:rFonts w:cs="Arial"/>
                <w:b/>
                <w:bCs/>
                <w:sz w:val="22"/>
                <w:szCs w:val="22"/>
                <w:lang w:val="ro-RO" w:eastAsia="ro-RO"/>
              </w:rPr>
            </w:pPr>
            <w:r w:rsidRPr="002152E4">
              <w:rPr>
                <w:rFonts w:cs="Arial"/>
                <w:b/>
                <w:bCs/>
                <w:sz w:val="22"/>
                <w:szCs w:val="22"/>
                <w:lang w:val="ro-RO" w:eastAsia="ro-RO"/>
              </w:rPr>
              <w:t>PRONUNTARE</w:t>
            </w:r>
          </w:p>
        </w:tc>
        <w:tc>
          <w:tcPr>
            <w:tcW w:w="1310" w:type="dxa"/>
            <w:tcBorders>
              <w:top w:val="nil"/>
              <w:left w:val="nil"/>
              <w:bottom w:val="single" w:sz="4" w:space="0" w:color="auto"/>
              <w:right w:val="single" w:sz="4" w:space="0" w:color="auto"/>
            </w:tcBorders>
            <w:shd w:val="clear" w:color="auto" w:fill="auto"/>
            <w:vAlign w:val="center"/>
          </w:tcPr>
          <w:p w:rsidR="00575DD5" w:rsidRPr="002152E4" w:rsidRDefault="00575DD5" w:rsidP="00BC0BE1">
            <w:pPr>
              <w:jc w:val="center"/>
              <w:rPr>
                <w:rFonts w:cs="Arial"/>
                <w:b/>
                <w:bCs/>
                <w:sz w:val="22"/>
                <w:szCs w:val="22"/>
                <w:lang w:val="ro-RO" w:eastAsia="ro-RO"/>
              </w:rPr>
            </w:pPr>
            <w:r w:rsidRPr="002152E4">
              <w:rPr>
                <w:rFonts w:cs="Arial"/>
                <w:b/>
                <w:bCs/>
                <w:sz w:val="22"/>
                <w:szCs w:val="22"/>
                <w:lang w:val="ro-RO" w:eastAsia="ro-RO"/>
              </w:rPr>
              <w:t>REDACTARE</w:t>
            </w:r>
          </w:p>
        </w:tc>
      </w:tr>
      <w:tr w:rsidR="00BC0BE1" w:rsidRPr="002152E4" w:rsidTr="00107F8C">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BC0BE1" w:rsidRPr="002152E4" w:rsidRDefault="00BC0BE1" w:rsidP="00BC0BE1">
            <w:pPr>
              <w:rPr>
                <w:rFonts w:cs="Arial"/>
                <w:lang w:val="ro-RO" w:eastAsia="ro-RO"/>
              </w:rPr>
            </w:pPr>
            <w:r w:rsidRPr="002152E4">
              <w:rPr>
                <w:rFonts w:cs="Arial"/>
                <w:lang w:val="ro-RO" w:eastAsia="ro-RO"/>
              </w:rPr>
              <w:t>Apel</w:t>
            </w:r>
          </w:p>
        </w:tc>
        <w:tc>
          <w:tcPr>
            <w:tcW w:w="94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183</w:t>
            </w:r>
          </w:p>
        </w:tc>
        <w:tc>
          <w:tcPr>
            <w:tcW w:w="151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133,6</w:t>
            </w:r>
          </w:p>
        </w:tc>
        <w:tc>
          <w:tcPr>
            <w:tcW w:w="1310"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49,4</w:t>
            </w:r>
          </w:p>
        </w:tc>
        <w:tc>
          <w:tcPr>
            <w:tcW w:w="94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191,9</w:t>
            </w:r>
          </w:p>
        </w:tc>
        <w:tc>
          <w:tcPr>
            <w:tcW w:w="151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143,9</w:t>
            </w:r>
          </w:p>
        </w:tc>
        <w:tc>
          <w:tcPr>
            <w:tcW w:w="1310"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48</w:t>
            </w:r>
          </w:p>
        </w:tc>
      </w:tr>
      <w:tr w:rsidR="00BC0BE1" w:rsidRPr="002152E4" w:rsidTr="00107F8C">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BC0BE1" w:rsidRPr="002152E4" w:rsidRDefault="00BC0BE1" w:rsidP="00BC0BE1">
            <w:pPr>
              <w:rPr>
                <w:rFonts w:cs="Arial"/>
                <w:lang w:val="ro-RO" w:eastAsia="ro-RO"/>
              </w:rPr>
            </w:pPr>
            <w:r w:rsidRPr="002152E4">
              <w:rPr>
                <w:rFonts w:cs="Arial"/>
                <w:lang w:val="ro-RO" w:eastAsia="ro-RO"/>
              </w:rPr>
              <w:t>Contestaţie(NCPP)</w:t>
            </w:r>
          </w:p>
        </w:tc>
        <w:tc>
          <w:tcPr>
            <w:tcW w:w="94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63,6</w:t>
            </w:r>
          </w:p>
        </w:tc>
        <w:tc>
          <w:tcPr>
            <w:tcW w:w="151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18,5</w:t>
            </w:r>
          </w:p>
        </w:tc>
        <w:tc>
          <w:tcPr>
            <w:tcW w:w="1310"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45,1</w:t>
            </w:r>
          </w:p>
        </w:tc>
        <w:tc>
          <w:tcPr>
            <w:tcW w:w="94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38,5</w:t>
            </w:r>
          </w:p>
        </w:tc>
        <w:tc>
          <w:tcPr>
            <w:tcW w:w="151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18,5</w:t>
            </w:r>
          </w:p>
        </w:tc>
        <w:tc>
          <w:tcPr>
            <w:tcW w:w="1310"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20,1</w:t>
            </w:r>
          </w:p>
        </w:tc>
      </w:tr>
      <w:tr w:rsidR="00BC0BE1" w:rsidRPr="002152E4" w:rsidTr="00107F8C">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BC0BE1" w:rsidRPr="002152E4" w:rsidRDefault="00BC0BE1" w:rsidP="00BC0BE1">
            <w:pPr>
              <w:rPr>
                <w:rFonts w:cs="Arial"/>
                <w:lang w:val="ro-RO" w:eastAsia="ro-RO"/>
              </w:rPr>
            </w:pPr>
            <w:r w:rsidRPr="002152E4">
              <w:rPr>
                <w:rFonts w:cs="Arial"/>
                <w:lang w:val="ro-RO" w:eastAsia="ro-RO"/>
              </w:rPr>
              <w:t>Fond</w:t>
            </w:r>
          </w:p>
        </w:tc>
        <w:tc>
          <w:tcPr>
            <w:tcW w:w="94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267,3</w:t>
            </w:r>
          </w:p>
        </w:tc>
        <w:tc>
          <w:tcPr>
            <w:tcW w:w="151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201,4</w:t>
            </w:r>
          </w:p>
        </w:tc>
        <w:tc>
          <w:tcPr>
            <w:tcW w:w="1310"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66</w:t>
            </w:r>
          </w:p>
        </w:tc>
        <w:tc>
          <w:tcPr>
            <w:tcW w:w="94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206</w:t>
            </w:r>
          </w:p>
        </w:tc>
        <w:tc>
          <w:tcPr>
            <w:tcW w:w="151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171,6</w:t>
            </w:r>
          </w:p>
        </w:tc>
        <w:tc>
          <w:tcPr>
            <w:tcW w:w="1310"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34,4</w:t>
            </w:r>
          </w:p>
        </w:tc>
      </w:tr>
      <w:tr w:rsidR="00BC0BE1" w:rsidRPr="002152E4" w:rsidTr="00107F8C">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BC0BE1" w:rsidRPr="002152E4" w:rsidRDefault="00BC0BE1" w:rsidP="00BC0BE1">
            <w:pPr>
              <w:rPr>
                <w:rFonts w:cs="Arial"/>
                <w:lang w:val="ro-RO" w:eastAsia="ro-RO"/>
              </w:rPr>
            </w:pPr>
            <w:r w:rsidRPr="002152E4">
              <w:rPr>
                <w:rFonts w:cs="Arial"/>
                <w:lang w:val="ro-RO" w:eastAsia="ro-RO"/>
              </w:rPr>
              <w:t>Recurs</w:t>
            </w:r>
          </w:p>
        </w:tc>
        <w:tc>
          <w:tcPr>
            <w:tcW w:w="94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386,6</w:t>
            </w:r>
          </w:p>
        </w:tc>
        <w:tc>
          <w:tcPr>
            <w:tcW w:w="151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269,3</w:t>
            </w:r>
          </w:p>
        </w:tc>
        <w:tc>
          <w:tcPr>
            <w:tcW w:w="1310"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117,4</w:t>
            </w:r>
          </w:p>
        </w:tc>
        <w:tc>
          <w:tcPr>
            <w:tcW w:w="94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330,1</w:t>
            </w:r>
          </w:p>
        </w:tc>
        <w:tc>
          <w:tcPr>
            <w:tcW w:w="1513"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244</w:t>
            </w:r>
          </w:p>
        </w:tc>
        <w:tc>
          <w:tcPr>
            <w:tcW w:w="1310" w:type="dxa"/>
            <w:tcBorders>
              <w:top w:val="nil"/>
              <w:left w:val="nil"/>
              <w:bottom w:val="single" w:sz="4" w:space="0" w:color="000000"/>
              <w:right w:val="single" w:sz="4" w:space="0" w:color="000000"/>
            </w:tcBorders>
            <w:shd w:val="clear" w:color="auto" w:fill="auto"/>
            <w:vAlign w:val="center"/>
          </w:tcPr>
          <w:p w:rsidR="00BC0BE1" w:rsidRPr="002152E4" w:rsidRDefault="00BC0BE1" w:rsidP="00BC0BE1">
            <w:pPr>
              <w:jc w:val="center"/>
              <w:rPr>
                <w:rFonts w:cs="Arial"/>
                <w:lang w:val="ro-RO" w:eastAsia="ro-RO"/>
              </w:rPr>
            </w:pPr>
            <w:r w:rsidRPr="002152E4">
              <w:rPr>
                <w:rFonts w:cs="Arial"/>
                <w:lang w:val="ro-RO" w:eastAsia="ro-RO"/>
              </w:rPr>
              <w:t>86,2</w:t>
            </w:r>
          </w:p>
        </w:tc>
      </w:tr>
    </w:tbl>
    <w:p w:rsidR="00BC0BE1" w:rsidRPr="002152E4" w:rsidRDefault="00BC0BE1" w:rsidP="001E62DE">
      <w:pPr>
        <w:rPr>
          <w:rFonts w:cs="Arial"/>
          <w:lang w:val="ro-RO"/>
        </w:rPr>
      </w:pPr>
    </w:p>
    <w:p w:rsidR="007C7039" w:rsidRPr="002152E4" w:rsidRDefault="007C7039" w:rsidP="001E62DE">
      <w:pPr>
        <w:rPr>
          <w:rFonts w:cs="Arial"/>
          <w:lang w:val="ro-RO"/>
        </w:rPr>
      </w:pPr>
    </w:p>
    <w:tbl>
      <w:tblPr>
        <w:tblW w:w="9549" w:type="dxa"/>
        <w:jc w:val="center"/>
        <w:tblLook w:val="0000" w:firstRow="0" w:lastRow="0" w:firstColumn="0" w:lastColumn="0" w:noHBand="0" w:noVBand="0"/>
      </w:tblPr>
      <w:tblGrid>
        <w:gridCol w:w="2017"/>
        <w:gridCol w:w="943"/>
        <w:gridCol w:w="1513"/>
        <w:gridCol w:w="1310"/>
        <w:gridCol w:w="943"/>
        <w:gridCol w:w="1513"/>
        <w:gridCol w:w="1310"/>
      </w:tblGrid>
      <w:tr w:rsidR="001B6AFD" w:rsidRPr="002152E4" w:rsidTr="00107F8C">
        <w:trPr>
          <w:trHeight w:val="315"/>
          <w:jc w:val="center"/>
        </w:trPr>
        <w:tc>
          <w:tcPr>
            <w:tcW w:w="9549"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1B6AFD" w:rsidRPr="002152E4" w:rsidRDefault="001B6AFD" w:rsidP="001B6AFD">
            <w:pPr>
              <w:jc w:val="center"/>
              <w:rPr>
                <w:rFonts w:cs="Arial"/>
                <w:b/>
                <w:bCs/>
                <w:lang w:val="ro-RO" w:eastAsia="ro-RO"/>
              </w:rPr>
            </w:pPr>
            <w:r w:rsidRPr="002152E4">
              <w:rPr>
                <w:rFonts w:cs="Arial"/>
                <w:b/>
                <w:bCs/>
                <w:lang w:val="ro-RO" w:eastAsia="ro-RO"/>
              </w:rPr>
              <w:lastRenderedPageBreak/>
              <w:t>Curţi de Apel</w:t>
            </w:r>
          </w:p>
        </w:tc>
      </w:tr>
      <w:tr w:rsidR="001B6AFD" w:rsidRPr="002152E4" w:rsidTr="001F13F1">
        <w:trPr>
          <w:trHeight w:val="138"/>
          <w:jc w:val="center"/>
        </w:trPr>
        <w:tc>
          <w:tcPr>
            <w:tcW w:w="20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B6AFD" w:rsidRPr="002152E4" w:rsidRDefault="001B6AFD" w:rsidP="001B6AFD">
            <w:pPr>
              <w:jc w:val="center"/>
              <w:rPr>
                <w:rFonts w:cs="Arial"/>
                <w:lang w:val="ro-RO" w:eastAsia="ro-RO"/>
              </w:rPr>
            </w:pPr>
            <w:r w:rsidRPr="002152E4">
              <w:rPr>
                <w:rFonts w:cs="Arial"/>
                <w:b/>
                <w:bCs/>
                <w:sz w:val="22"/>
                <w:szCs w:val="22"/>
                <w:lang w:val="ro-RO" w:eastAsia="ro-RO"/>
              </w:rPr>
              <w:t>STADIU PROCESUAL</w:t>
            </w:r>
          </w:p>
        </w:tc>
        <w:tc>
          <w:tcPr>
            <w:tcW w:w="3766" w:type="dxa"/>
            <w:gridSpan w:val="3"/>
            <w:tcBorders>
              <w:top w:val="single" w:sz="4" w:space="0" w:color="auto"/>
              <w:left w:val="single" w:sz="4" w:space="0" w:color="auto"/>
              <w:bottom w:val="single" w:sz="4" w:space="0" w:color="auto"/>
              <w:right w:val="single" w:sz="4" w:space="0" w:color="auto"/>
            </w:tcBorders>
            <w:shd w:val="clear" w:color="auto" w:fill="99CCFF"/>
            <w:vAlign w:val="bottom"/>
          </w:tcPr>
          <w:p w:rsidR="001B6AFD" w:rsidRPr="002152E4" w:rsidRDefault="001B6AFD" w:rsidP="001B6AFD">
            <w:pPr>
              <w:jc w:val="center"/>
              <w:rPr>
                <w:rFonts w:cs="Arial"/>
                <w:b/>
                <w:bCs/>
                <w:lang w:val="ro-RO" w:eastAsia="ro-RO"/>
              </w:rPr>
            </w:pPr>
            <w:r w:rsidRPr="002152E4">
              <w:rPr>
                <w:rFonts w:cs="Arial"/>
                <w:b/>
                <w:bCs/>
                <w:lang w:val="ro-RO" w:eastAsia="ro-RO"/>
              </w:rPr>
              <w:t>2015</w:t>
            </w:r>
          </w:p>
        </w:tc>
        <w:tc>
          <w:tcPr>
            <w:tcW w:w="3766" w:type="dxa"/>
            <w:gridSpan w:val="3"/>
            <w:tcBorders>
              <w:top w:val="single" w:sz="4" w:space="0" w:color="000000"/>
              <w:left w:val="single" w:sz="4" w:space="0" w:color="auto"/>
              <w:bottom w:val="single" w:sz="4" w:space="0" w:color="auto"/>
              <w:right w:val="nil"/>
            </w:tcBorders>
            <w:shd w:val="clear" w:color="auto" w:fill="99CCFF"/>
            <w:vAlign w:val="bottom"/>
          </w:tcPr>
          <w:p w:rsidR="001B6AFD" w:rsidRPr="002152E4" w:rsidRDefault="001B6AFD" w:rsidP="001B6AFD">
            <w:pPr>
              <w:jc w:val="center"/>
              <w:rPr>
                <w:rFonts w:cs="Arial"/>
                <w:b/>
                <w:bCs/>
                <w:lang w:val="ro-RO" w:eastAsia="ro-RO"/>
              </w:rPr>
            </w:pPr>
            <w:r w:rsidRPr="002152E4">
              <w:rPr>
                <w:rFonts w:cs="Arial"/>
                <w:b/>
                <w:bCs/>
                <w:lang w:val="ro-RO" w:eastAsia="ro-RO"/>
              </w:rPr>
              <w:t>2016</w:t>
            </w:r>
          </w:p>
        </w:tc>
      </w:tr>
      <w:tr w:rsidR="001B6AFD" w:rsidRPr="002152E4" w:rsidTr="00107F8C">
        <w:trPr>
          <w:trHeight w:val="341"/>
          <w:jc w:val="center"/>
        </w:trPr>
        <w:tc>
          <w:tcPr>
            <w:tcW w:w="20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6AFD" w:rsidRPr="002152E4" w:rsidRDefault="001B6AFD" w:rsidP="001B6AFD">
            <w:pPr>
              <w:rPr>
                <w:rFonts w:cs="Arial"/>
                <w:b/>
                <w:bCs/>
                <w:sz w:val="22"/>
                <w:szCs w:val="22"/>
                <w:lang w:val="ro-RO" w:eastAsia="ro-RO"/>
              </w:rPr>
            </w:pPr>
          </w:p>
        </w:tc>
        <w:tc>
          <w:tcPr>
            <w:tcW w:w="37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B6AFD" w:rsidRPr="002152E4" w:rsidRDefault="001B6AFD" w:rsidP="001B6AFD">
            <w:pPr>
              <w:jc w:val="center"/>
              <w:rPr>
                <w:rFonts w:cs="Arial"/>
                <w:b/>
                <w:bCs/>
                <w:sz w:val="22"/>
                <w:szCs w:val="22"/>
                <w:lang w:val="ro-RO" w:eastAsia="ro-RO"/>
              </w:rPr>
            </w:pPr>
            <w:r w:rsidRPr="002152E4">
              <w:rPr>
                <w:rFonts w:cs="Arial"/>
                <w:b/>
                <w:bCs/>
                <w:sz w:val="22"/>
                <w:szCs w:val="22"/>
                <w:lang w:val="ro-RO" w:eastAsia="ro-RO"/>
              </w:rPr>
              <w:t>DURATA SOLUTIONARE: MEDII IN ZILE</w:t>
            </w:r>
          </w:p>
        </w:tc>
        <w:tc>
          <w:tcPr>
            <w:tcW w:w="37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B6AFD" w:rsidRPr="002152E4" w:rsidRDefault="001B6AFD" w:rsidP="001B6AFD">
            <w:pPr>
              <w:jc w:val="center"/>
              <w:rPr>
                <w:rFonts w:cs="Arial"/>
                <w:b/>
                <w:bCs/>
                <w:sz w:val="22"/>
                <w:szCs w:val="22"/>
                <w:lang w:val="ro-RO" w:eastAsia="ro-RO"/>
              </w:rPr>
            </w:pPr>
            <w:r w:rsidRPr="002152E4">
              <w:rPr>
                <w:rFonts w:cs="Arial"/>
                <w:b/>
                <w:bCs/>
                <w:sz w:val="22"/>
                <w:szCs w:val="22"/>
                <w:lang w:val="ro-RO" w:eastAsia="ro-RO"/>
              </w:rPr>
              <w:t>DURATA SOLUTIONARE: MEDII IN ZILE</w:t>
            </w:r>
          </w:p>
        </w:tc>
      </w:tr>
      <w:tr w:rsidR="001B6AFD" w:rsidRPr="002152E4" w:rsidTr="00107F8C">
        <w:trPr>
          <w:trHeight w:val="300"/>
          <w:jc w:val="center"/>
        </w:trPr>
        <w:tc>
          <w:tcPr>
            <w:tcW w:w="20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6AFD" w:rsidRPr="002152E4" w:rsidRDefault="001B6AFD" w:rsidP="001B6AFD">
            <w:pPr>
              <w:rPr>
                <w:rFonts w:cs="Arial"/>
                <w:b/>
                <w:bCs/>
                <w:sz w:val="22"/>
                <w:szCs w:val="22"/>
                <w:lang w:val="ro-RO" w:eastAsia="ro-RO"/>
              </w:rPr>
            </w:pPr>
          </w:p>
        </w:tc>
        <w:tc>
          <w:tcPr>
            <w:tcW w:w="943" w:type="dxa"/>
            <w:tcBorders>
              <w:top w:val="nil"/>
              <w:left w:val="nil"/>
              <w:bottom w:val="single" w:sz="4" w:space="0" w:color="auto"/>
              <w:right w:val="single" w:sz="4" w:space="0" w:color="auto"/>
            </w:tcBorders>
            <w:shd w:val="clear" w:color="auto" w:fill="auto"/>
            <w:vAlign w:val="center"/>
          </w:tcPr>
          <w:p w:rsidR="001B6AFD" w:rsidRPr="002152E4" w:rsidRDefault="001B6AFD" w:rsidP="001B6AFD">
            <w:pPr>
              <w:jc w:val="center"/>
              <w:rPr>
                <w:rFonts w:cs="Arial"/>
                <w:b/>
                <w:bCs/>
                <w:sz w:val="22"/>
                <w:szCs w:val="22"/>
                <w:lang w:val="ro-RO" w:eastAsia="ro-RO"/>
              </w:rPr>
            </w:pPr>
            <w:r w:rsidRPr="002152E4">
              <w:rPr>
                <w:rFonts w:cs="Arial"/>
                <w:b/>
                <w:bCs/>
                <w:sz w:val="22"/>
                <w:szCs w:val="22"/>
                <w:lang w:val="ro-RO" w:eastAsia="ro-RO"/>
              </w:rPr>
              <w:t>TOTALA</w:t>
            </w:r>
          </w:p>
        </w:tc>
        <w:tc>
          <w:tcPr>
            <w:tcW w:w="1513" w:type="dxa"/>
            <w:tcBorders>
              <w:top w:val="nil"/>
              <w:left w:val="nil"/>
              <w:bottom w:val="single" w:sz="4" w:space="0" w:color="auto"/>
              <w:right w:val="single" w:sz="4" w:space="0" w:color="auto"/>
            </w:tcBorders>
            <w:shd w:val="clear" w:color="auto" w:fill="auto"/>
            <w:vAlign w:val="center"/>
          </w:tcPr>
          <w:p w:rsidR="001B6AFD" w:rsidRPr="002152E4" w:rsidRDefault="001B6AFD" w:rsidP="001B6AFD">
            <w:pPr>
              <w:jc w:val="center"/>
              <w:rPr>
                <w:rFonts w:cs="Arial"/>
                <w:b/>
                <w:bCs/>
                <w:sz w:val="22"/>
                <w:szCs w:val="22"/>
                <w:lang w:val="ro-RO" w:eastAsia="ro-RO"/>
              </w:rPr>
            </w:pPr>
            <w:r w:rsidRPr="002152E4">
              <w:rPr>
                <w:rFonts w:cs="Arial"/>
                <w:b/>
                <w:bCs/>
                <w:sz w:val="22"/>
                <w:szCs w:val="22"/>
                <w:lang w:val="ro-RO" w:eastAsia="ro-RO"/>
              </w:rPr>
              <w:t>PRONUNTARE</w:t>
            </w:r>
          </w:p>
        </w:tc>
        <w:tc>
          <w:tcPr>
            <w:tcW w:w="1310" w:type="dxa"/>
            <w:tcBorders>
              <w:top w:val="nil"/>
              <w:left w:val="nil"/>
              <w:bottom w:val="single" w:sz="4" w:space="0" w:color="auto"/>
              <w:right w:val="single" w:sz="4" w:space="0" w:color="auto"/>
            </w:tcBorders>
            <w:shd w:val="clear" w:color="auto" w:fill="auto"/>
            <w:vAlign w:val="center"/>
          </w:tcPr>
          <w:p w:rsidR="001B6AFD" w:rsidRPr="002152E4" w:rsidRDefault="001B6AFD" w:rsidP="001B6AFD">
            <w:pPr>
              <w:jc w:val="center"/>
              <w:rPr>
                <w:rFonts w:cs="Arial"/>
                <w:b/>
                <w:bCs/>
                <w:sz w:val="22"/>
                <w:szCs w:val="22"/>
                <w:lang w:val="ro-RO" w:eastAsia="ro-RO"/>
              </w:rPr>
            </w:pPr>
            <w:r w:rsidRPr="002152E4">
              <w:rPr>
                <w:rFonts w:cs="Arial"/>
                <w:b/>
                <w:bCs/>
                <w:sz w:val="22"/>
                <w:szCs w:val="22"/>
                <w:lang w:val="ro-RO" w:eastAsia="ro-RO"/>
              </w:rPr>
              <w:t>REDACTARE</w:t>
            </w:r>
          </w:p>
        </w:tc>
        <w:tc>
          <w:tcPr>
            <w:tcW w:w="943" w:type="dxa"/>
            <w:tcBorders>
              <w:top w:val="nil"/>
              <w:left w:val="single" w:sz="4" w:space="0" w:color="auto"/>
              <w:bottom w:val="single" w:sz="4" w:space="0" w:color="auto"/>
              <w:right w:val="single" w:sz="4" w:space="0" w:color="auto"/>
            </w:tcBorders>
            <w:shd w:val="clear" w:color="auto" w:fill="auto"/>
            <w:vAlign w:val="center"/>
          </w:tcPr>
          <w:p w:rsidR="001B6AFD" w:rsidRPr="002152E4" w:rsidRDefault="001B6AFD" w:rsidP="001B6AFD">
            <w:pPr>
              <w:jc w:val="center"/>
              <w:rPr>
                <w:rFonts w:cs="Arial"/>
                <w:b/>
                <w:bCs/>
                <w:sz w:val="22"/>
                <w:szCs w:val="22"/>
                <w:lang w:val="ro-RO" w:eastAsia="ro-RO"/>
              </w:rPr>
            </w:pPr>
            <w:r w:rsidRPr="002152E4">
              <w:rPr>
                <w:rFonts w:cs="Arial"/>
                <w:b/>
                <w:bCs/>
                <w:sz w:val="22"/>
                <w:szCs w:val="22"/>
                <w:lang w:val="ro-RO" w:eastAsia="ro-RO"/>
              </w:rPr>
              <w:t>TOTALA</w:t>
            </w:r>
          </w:p>
        </w:tc>
        <w:tc>
          <w:tcPr>
            <w:tcW w:w="1513" w:type="dxa"/>
            <w:tcBorders>
              <w:top w:val="nil"/>
              <w:left w:val="nil"/>
              <w:bottom w:val="single" w:sz="4" w:space="0" w:color="auto"/>
              <w:right w:val="single" w:sz="4" w:space="0" w:color="auto"/>
            </w:tcBorders>
            <w:shd w:val="clear" w:color="auto" w:fill="auto"/>
            <w:vAlign w:val="center"/>
          </w:tcPr>
          <w:p w:rsidR="001B6AFD" w:rsidRPr="002152E4" w:rsidRDefault="001B6AFD" w:rsidP="001B6AFD">
            <w:pPr>
              <w:jc w:val="center"/>
              <w:rPr>
                <w:rFonts w:cs="Arial"/>
                <w:b/>
                <w:bCs/>
                <w:sz w:val="22"/>
                <w:szCs w:val="22"/>
                <w:lang w:val="ro-RO" w:eastAsia="ro-RO"/>
              </w:rPr>
            </w:pPr>
            <w:r w:rsidRPr="002152E4">
              <w:rPr>
                <w:rFonts w:cs="Arial"/>
                <w:b/>
                <w:bCs/>
                <w:sz w:val="22"/>
                <w:szCs w:val="22"/>
                <w:lang w:val="ro-RO" w:eastAsia="ro-RO"/>
              </w:rPr>
              <w:t>PRONUNTARE</w:t>
            </w:r>
          </w:p>
        </w:tc>
        <w:tc>
          <w:tcPr>
            <w:tcW w:w="1310" w:type="dxa"/>
            <w:tcBorders>
              <w:top w:val="nil"/>
              <w:left w:val="nil"/>
              <w:bottom w:val="single" w:sz="4" w:space="0" w:color="auto"/>
              <w:right w:val="single" w:sz="4" w:space="0" w:color="auto"/>
            </w:tcBorders>
            <w:shd w:val="clear" w:color="auto" w:fill="auto"/>
            <w:vAlign w:val="center"/>
          </w:tcPr>
          <w:p w:rsidR="001B6AFD" w:rsidRPr="002152E4" w:rsidRDefault="001B6AFD" w:rsidP="001B6AFD">
            <w:pPr>
              <w:jc w:val="center"/>
              <w:rPr>
                <w:rFonts w:cs="Arial"/>
                <w:b/>
                <w:bCs/>
                <w:sz w:val="22"/>
                <w:szCs w:val="22"/>
                <w:lang w:val="ro-RO" w:eastAsia="ro-RO"/>
              </w:rPr>
            </w:pPr>
            <w:r w:rsidRPr="002152E4">
              <w:rPr>
                <w:rFonts w:cs="Arial"/>
                <w:b/>
                <w:bCs/>
                <w:sz w:val="22"/>
                <w:szCs w:val="22"/>
                <w:lang w:val="ro-RO" w:eastAsia="ro-RO"/>
              </w:rPr>
              <w:t>REDACTARE</w:t>
            </w:r>
          </w:p>
        </w:tc>
      </w:tr>
      <w:tr w:rsidR="001B6AFD" w:rsidRPr="002152E4" w:rsidTr="00107F8C">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1B6AFD" w:rsidRPr="002152E4" w:rsidRDefault="001B6AFD" w:rsidP="001B6AFD">
            <w:pPr>
              <w:rPr>
                <w:rFonts w:cs="Arial"/>
                <w:lang w:val="ro-RO" w:eastAsia="ro-RO"/>
              </w:rPr>
            </w:pPr>
            <w:r w:rsidRPr="002152E4">
              <w:rPr>
                <w:rFonts w:cs="Arial"/>
                <w:lang w:val="ro-RO" w:eastAsia="ro-RO"/>
              </w:rPr>
              <w:t>Apel</w:t>
            </w:r>
          </w:p>
        </w:tc>
        <w:tc>
          <w:tcPr>
            <w:tcW w:w="94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138,6</w:t>
            </w:r>
          </w:p>
        </w:tc>
        <w:tc>
          <w:tcPr>
            <w:tcW w:w="151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105,3</w:t>
            </w:r>
          </w:p>
        </w:tc>
        <w:tc>
          <w:tcPr>
            <w:tcW w:w="1310"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33,3</w:t>
            </w:r>
          </w:p>
        </w:tc>
        <w:tc>
          <w:tcPr>
            <w:tcW w:w="94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132</w:t>
            </w:r>
          </w:p>
        </w:tc>
        <w:tc>
          <w:tcPr>
            <w:tcW w:w="151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103,9</w:t>
            </w:r>
          </w:p>
        </w:tc>
        <w:tc>
          <w:tcPr>
            <w:tcW w:w="1310"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28,1</w:t>
            </w:r>
          </w:p>
        </w:tc>
      </w:tr>
      <w:tr w:rsidR="001B6AFD" w:rsidRPr="002152E4" w:rsidTr="00107F8C">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1B6AFD" w:rsidRPr="002152E4" w:rsidRDefault="001B6AFD" w:rsidP="001B6AFD">
            <w:pPr>
              <w:rPr>
                <w:rFonts w:cs="Arial"/>
                <w:lang w:val="ro-RO" w:eastAsia="ro-RO"/>
              </w:rPr>
            </w:pPr>
            <w:r w:rsidRPr="002152E4">
              <w:rPr>
                <w:rFonts w:cs="Arial"/>
                <w:lang w:val="ro-RO" w:eastAsia="ro-RO"/>
              </w:rPr>
              <w:t>Contestaţie(NCPP)</w:t>
            </w:r>
          </w:p>
        </w:tc>
        <w:tc>
          <w:tcPr>
            <w:tcW w:w="94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44,3</w:t>
            </w:r>
          </w:p>
        </w:tc>
        <w:tc>
          <w:tcPr>
            <w:tcW w:w="151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11</w:t>
            </w:r>
          </w:p>
        </w:tc>
        <w:tc>
          <w:tcPr>
            <w:tcW w:w="1310"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33,3</w:t>
            </w:r>
          </w:p>
        </w:tc>
        <w:tc>
          <w:tcPr>
            <w:tcW w:w="94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37,8</w:t>
            </w:r>
          </w:p>
        </w:tc>
        <w:tc>
          <w:tcPr>
            <w:tcW w:w="151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12</w:t>
            </w:r>
          </w:p>
        </w:tc>
        <w:tc>
          <w:tcPr>
            <w:tcW w:w="1310"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25,9</w:t>
            </w:r>
          </w:p>
        </w:tc>
      </w:tr>
      <w:tr w:rsidR="001B6AFD" w:rsidRPr="002152E4" w:rsidTr="00107F8C">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1B6AFD" w:rsidRPr="002152E4" w:rsidRDefault="001B6AFD" w:rsidP="001B6AFD">
            <w:pPr>
              <w:rPr>
                <w:rFonts w:cs="Arial"/>
                <w:lang w:val="ro-RO" w:eastAsia="ro-RO"/>
              </w:rPr>
            </w:pPr>
            <w:r w:rsidRPr="002152E4">
              <w:rPr>
                <w:rFonts w:cs="Arial"/>
                <w:lang w:val="ro-RO" w:eastAsia="ro-RO"/>
              </w:rPr>
              <w:t>Fond</w:t>
            </w:r>
          </w:p>
        </w:tc>
        <w:tc>
          <w:tcPr>
            <w:tcW w:w="94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240,4</w:t>
            </w:r>
          </w:p>
        </w:tc>
        <w:tc>
          <w:tcPr>
            <w:tcW w:w="151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87,8</w:t>
            </w:r>
          </w:p>
        </w:tc>
        <w:tc>
          <w:tcPr>
            <w:tcW w:w="1310"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152,6</w:t>
            </w:r>
          </w:p>
        </w:tc>
        <w:tc>
          <w:tcPr>
            <w:tcW w:w="94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115,5</w:t>
            </w:r>
          </w:p>
        </w:tc>
        <w:tc>
          <w:tcPr>
            <w:tcW w:w="151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85,4</w:t>
            </w:r>
          </w:p>
        </w:tc>
        <w:tc>
          <w:tcPr>
            <w:tcW w:w="1310"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30,1</w:t>
            </w:r>
          </w:p>
        </w:tc>
      </w:tr>
      <w:tr w:rsidR="001B6AFD" w:rsidRPr="002152E4" w:rsidTr="00107F8C">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1B6AFD" w:rsidRPr="002152E4" w:rsidRDefault="001B6AFD" w:rsidP="001B6AFD">
            <w:pPr>
              <w:rPr>
                <w:rFonts w:cs="Arial"/>
                <w:lang w:val="ro-RO" w:eastAsia="ro-RO"/>
              </w:rPr>
            </w:pPr>
            <w:r w:rsidRPr="002152E4">
              <w:rPr>
                <w:rFonts w:cs="Arial"/>
                <w:lang w:val="ro-RO" w:eastAsia="ro-RO"/>
              </w:rPr>
              <w:t>Recurs</w:t>
            </w:r>
          </w:p>
        </w:tc>
        <w:tc>
          <w:tcPr>
            <w:tcW w:w="94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222,7</w:t>
            </w:r>
          </w:p>
        </w:tc>
        <w:tc>
          <w:tcPr>
            <w:tcW w:w="151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144,2</w:t>
            </w:r>
          </w:p>
        </w:tc>
        <w:tc>
          <w:tcPr>
            <w:tcW w:w="1310"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78,5</w:t>
            </w:r>
          </w:p>
        </w:tc>
        <w:tc>
          <w:tcPr>
            <w:tcW w:w="94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162,5</w:t>
            </w:r>
          </w:p>
        </w:tc>
        <w:tc>
          <w:tcPr>
            <w:tcW w:w="1513"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131,5</w:t>
            </w:r>
          </w:p>
        </w:tc>
        <w:tc>
          <w:tcPr>
            <w:tcW w:w="1310" w:type="dxa"/>
            <w:tcBorders>
              <w:top w:val="nil"/>
              <w:left w:val="nil"/>
              <w:bottom w:val="single" w:sz="4" w:space="0" w:color="000000"/>
              <w:right w:val="single" w:sz="4" w:space="0" w:color="000000"/>
            </w:tcBorders>
            <w:shd w:val="clear" w:color="auto" w:fill="auto"/>
            <w:vAlign w:val="center"/>
          </w:tcPr>
          <w:p w:rsidR="001B6AFD" w:rsidRPr="002152E4" w:rsidRDefault="001B6AFD" w:rsidP="001B6AFD">
            <w:pPr>
              <w:jc w:val="center"/>
              <w:rPr>
                <w:rFonts w:cs="Arial"/>
                <w:lang w:val="ro-RO" w:eastAsia="ro-RO"/>
              </w:rPr>
            </w:pPr>
            <w:r w:rsidRPr="002152E4">
              <w:rPr>
                <w:rFonts w:cs="Arial"/>
                <w:lang w:val="ro-RO" w:eastAsia="ro-RO"/>
              </w:rPr>
              <w:t>31</w:t>
            </w:r>
          </w:p>
        </w:tc>
      </w:tr>
    </w:tbl>
    <w:p w:rsidR="00137FDE" w:rsidRPr="002152E4" w:rsidRDefault="00137FDE" w:rsidP="001E62DE">
      <w:pPr>
        <w:rPr>
          <w:rFonts w:cs="Arial"/>
          <w:lang w:val="ro-RO"/>
        </w:rPr>
      </w:pPr>
    </w:p>
    <w:p w:rsidR="000D1902" w:rsidRPr="002152E4" w:rsidRDefault="000D1902" w:rsidP="001E62DE">
      <w:pPr>
        <w:rPr>
          <w:rFonts w:cs="Arial"/>
          <w:lang w:val="ro-RO"/>
        </w:rPr>
      </w:pPr>
    </w:p>
    <w:tbl>
      <w:tblPr>
        <w:tblW w:w="9549" w:type="dxa"/>
        <w:jc w:val="center"/>
        <w:tblLook w:val="0000" w:firstRow="0" w:lastRow="0" w:firstColumn="0" w:lastColumn="0" w:noHBand="0" w:noVBand="0"/>
      </w:tblPr>
      <w:tblGrid>
        <w:gridCol w:w="2017"/>
        <w:gridCol w:w="943"/>
        <w:gridCol w:w="1513"/>
        <w:gridCol w:w="1310"/>
        <w:gridCol w:w="943"/>
        <w:gridCol w:w="1513"/>
        <w:gridCol w:w="1310"/>
      </w:tblGrid>
      <w:tr w:rsidR="003A56AD" w:rsidRPr="002152E4" w:rsidTr="00BA4E9A">
        <w:trPr>
          <w:trHeight w:val="285"/>
          <w:jc w:val="center"/>
        </w:trPr>
        <w:tc>
          <w:tcPr>
            <w:tcW w:w="954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A56AD" w:rsidRPr="002152E4" w:rsidRDefault="003A56AD" w:rsidP="003A56AD">
            <w:pPr>
              <w:jc w:val="center"/>
              <w:rPr>
                <w:rFonts w:cs="Arial"/>
                <w:b/>
                <w:bCs/>
                <w:sz w:val="22"/>
                <w:szCs w:val="22"/>
                <w:lang w:val="ro-RO" w:eastAsia="ro-RO"/>
              </w:rPr>
            </w:pPr>
            <w:r w:rsidRPr="002152E4">
              <w:rPr>
                <w:rFonts w:cs="Arial"/>
                <w:b/>
                <w:bCs/>
                <w:sz w:val="22"/>
                <w:szCs w:val="22"/>
                <w:lang w:val="ro-RO" w:eastAsia="ro-RO"/>
              </w:rPr>
              <w:t>ICCJ</w:t>
            </w:r>
          </w:p>
        </w:tc>
      </w:tr>
      <w:tr w:rsidR="003A56AD" w:rsidRPr="002152E4" w:rsidTr="003A56AD">
        <w:trPr>
          <w:trHeight w:val="285"/>
          <w:jc w:val="center"/>
        </w:trPr>
        <w:tc>
          <w:tcPr>
            <w:tcW w:w="2017" w:type="dxa"/>
            <w:vMerge w:val="restart"/>
            <w:tcBorders>
              <w:top w:val="single" w:sz="4" w:space="0" w:color="auto"/>
              <w:left w:val="single" w:sz="4" w:space="0" w:color="auto"/>
              <w:right w:val="single" w:sz="4" w:space="0" w:color="auto"/>
            </w:tcBorders>
            <w:shd w:val="clear" w:color="auto" w:fill="auto"/>
            <w:vAlign w:val="center"/>
          </w:tcPr>
          <w:p w:rsidR="003A56AD" w:rsidRPr="002152E4" w:rsidRDefault="003A56AD" w:rsidP="003A56AD">
            <w:pPr>
              <w:jc w:val="center"/>
              <w:rPr>
                <w:rFonts w:cs="Arial"/>
                <w:b/>
                <w:bCs/>
                <w:sz w:val="22"/>
                <w:szCs w:val="22"/>
                <w:lang w:val="ro-RO" w:eastAsia="ro-RO"/>
              </w:rPr>
            </w:pPr>
            <w:r w:rsidRPr="002152E4">
              <w:rPr>
                <w:rFonts w:cs="Arial"/>
                <w:b/>
                <w:bCs/>
                <w:sz w:val="22"/>
                <w:szCs w:val="22"/>
                <w:lang w:val="ro-RO" w:eastAsia="ro-RO"/>
              </w:rPr>
              <w:t>STADIU PROCESUAL</w:t>
            </w:r>
          </w:p>
        </w:tc>
        <w:tc>
          <w:tcPr>
            <w:tcW w:w="3766" w:type="dxa"/>
            <w:gridSpan w:val="3"/>
            <w:tcBorders>
              <w:top w:val="single" w:sz="4" w:space="0" w:color="auto"/>
              <w:left w:val="single" w:sz="4" w:space="0" w:color="auto"/>
              <w:bottom w:val="single" w:sz="4" w:space="0" w:color="auto"/>
              <w:right w:val="single" w:sz="4" w:space="0" w:color="auto"/>
            </w:tcBorders>
            <w:shd w:val="clear" w:color="auto" w:fill="99CCFF"/>
            <w:vAlign w:val="center"/>
          </w:tcPr>
          <w:p w:rsidR="003A56AD" w:rsidRPr="002152E4" w:rsidRDefault="003A56AD" w:rsidP="003A56AD">
            <w:pPr>
              <w:jc w:val="center"/>
              <w:rPr>
                <w:rFonts w:cs="Arial"/>
                <w:b/>
                <w:bCs/>
                <w:lang w:val="ro-RO" w:eastAsia="ro-RO"/>
              </w:rPr>
            </w:pPr>
            <w:r w:rsidRPr="002152E4">
              <w:rPr>
                <w:rFonts w:cs="Arial"/>
                <w:b/>
                <w:bCs/>
                <w:lang w:val="ro-RO" w:eastAsia="ro-RO"/>
              </w:rPr>
              <w:t>2015</w:t>
            </w:r>
          </w:p>
        </w:tc>
        <w:tc>
          <w:tcPr>
            <w:tcW w:w="3766" w:type="dxa"/>
            <w:gridSpan w:val="3"/>
            <w:tcBorders>
              <w:top w:val="single" w:sz="4" w:space="0" w:color="auto"/>
              <w:left w:val="single" w:sz="4" w:space="0" w:color="auto"/>
              <w:bottom w:val="single" w:sz="4" w:space="0" w:color="auto"/>
              <w:right w:val="single" w:sz="4" w:space="0" w:color="auto"/>
            </w:tcBorders>
            <w:shd w:val="clear" w:color="auto" w:fill="99CCFF"/>
            <w:vAlign w:val="center"/>
          </w:tcPr>
          <w:p w:rsidR="003A56AD" w:rsidRPr="002152E4" w:rsidRDefault="003A56AD" w:rsidP="003A56AD">
            <w:pPr>
              <w:jc w:val="center"/>
              <w:rPr>
                <w:rFonts w:cs="Arial"/>
                <w:b/>
                <w:bCs/>
                <w:lang w:val="ro-RO" w:eastAsia="ro-RO"/>
              </w:rPr>
            </w:pPr>
            <w:r w:rsidRPr="002152E4">
              <w:rPr>
                <w:rFonts w:cs="Arial"/>
                <w:b/>
                <w:bCs/>
                <w:lang w:val="ro-RO" w:eastAsia="ro-RO"/>
              </w:rPr>
              <w:t>2016</w:t>
            </w:r>
          </w:p>
        </w:tc>
      </w:tr>
      <w:tr w:rsidR="003A56AD" w:rsidRPr="002152E4" w:rsidTr="001F13F1">
        <w:trPr>
          <w:trHeight w:val="266"/>
          <w:jc w:val="center"/>
        </w:trPr>
        <w:tc>
          <w:tcPr>
            <w:tcW w:w="2017" w:type="dxa"/>
            <w:vMerge/>
            <w:tcBorders>
              <w:left w:val="single" w:sz="4" w:space="0" w:color="auto"/>
              <w:bottom w:val="nil"/>
              <w:right w:val="single" w:sz="4" w:space="0" w:color="auto"/>
            </w:tcBorders>
            <w:shd w:val="clear" w:color="auto" w:fill="auto"/>
            <w:vAlign w:val="center"/>
          </w:tcPr>
          <w:p w:rsidR="003A56AD" w:rsidRPr="002152E4" w:rsidRDefault="003A56AD" w:rsidP="003A56AD">
            <w:pPr>
              <w:rPr>
                <w:rFonts w:cs="Arial"/>
                <w:b/>
                <w:bCs/>
                <w:sz w:val="22"/>
                <w:szCs w:val="22"/>
                <w:lang w:val="ro-RO" w:eastAsia="ro-RO"/>
              </w:rPr>
            </w:pPr>
          </w:p>
        </w:tc>
        <w:tc>
          <w:tcPr>
            <w:tcW w:w="37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56AD" w:rsidRPr="002152E4" w:rsidRDefault="003A56AD" w:rsidP="003A56AD">
            <w:pPr>
              <w:jc w:val="center"/>
              <w:rPr>
                <w:rFonts w:cs="Arial"/>
                <w:b/>
                <w:bCs/>
                <w:sz w:val="22"/>
                <w:szCs w:val="22"/>
                <w:lang w:val="ro-RO" w:eastAsia="ro-RO"/>
              </w:rPr>
            </w:pPr>
            <w:r w:rsidRPr="002152E4">
              <w:rPr>
                <w:rFonts w:cs="Arial"/>
                <w:b/>
                <w:bCs/>
                <w:sz w:val="22"/>
                <w:szCs w:val="22"/>
                <w:lang w:val="ro-RO" w:eastAsia="ro-RO"/>
              </w:rPr>
              <w:t>DURATA SOLUTIONARE: MEDII IN ZILE</w:t>
            </w:r>
          </w:p>
        </w:tc>
        <w:tc>
          <w:tcPr>
            <w:tcW w:w="37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56AD" w:rsidRPr="002152E4" w:rsidRDefault="003A56AD" w:rsidP="003A56AD">
            <w:pPr>
              <w:jc w:val="center"/>
              <w:rPr>
                <w:rFonts w:cs="Arial"/>
                <w:b/>
                <w:bCs/>
                <w:sz w:val="22"/>
                <w:szCs w:val="22"/>
                <w:lang w:val="ro-RO" w:eastAsia="ro-RO"/>
              </w:rPr>
            </w:pPr>
            <w:r w:rsidRPr="002152E4">
              <w:rPr>
                <w:rFonts w:cs="Arial"/>
                <w:b/>
                <w:bCs/>
                <w:sz w:val="22"/>
                <w:szCs w:val="22"/>
                <w:lang w:val="ro-RO" w:eastAsia="ro-RO"/>
              </w:rPr>
              <w:t>DURATA SOLUTIONARE: MEDII IN ZILE</w:t>
            </w:r>
          </w:p>
        </w:tc>
      </w:tr>
      <w:tr w:rsidR="003A56AD" w:rsidRPr="002152E4" w:rsidTr="00BA4E9A">
        <w:trPr>
          <w:trHeight w:val="300"/>
          <w:jc w:val="center"/>
        </w:trPr>
        <w:tc>
          <w:tcPr>
            <w:tcW w:w="2017" w:type="dxa"/>
            <w:vMerge/>
            <w:tcBorders>
              <w:left w:val="single" w:sz="4" w:space="0" w:color="auto"/>
              <w:bottom w:val="single" w:sz="4" w:space="0" w:color="auto"/>
              <w:right w:val="single" w:sz="4" w:space="0" w:color="auto"/>
            </w:tcBorders>
            <w:vAlign w:val="center"/>
          </w:tcPr>
          <w:p w:rsidR="003A56AD" w:rsidRPr="002152E4" w:rsidRDefault="003A56AD" w:rsidP="003A56AD">
            <w:pPr>
              <w:rPr>
                <w:rFonts w:cs="Arial"/>
                <w:b/>
                <w:bCs/>
                <w:sz w:val="22"/>
                <w:szCs w:val="22"/>
                <w:lang w:val="ro-RO" w:eastAsia="ro-RO"/>
              </w:rPr>
            </w:pPr>
          </w:p>
        </w:tc>
        <w:tc>
          <w:tcPr>
            <w:tcW w:w="943" w:type="dxa"/>
            <w:tcBorders>
              <w:top w:val="nil"/>
              <w:left w:val="nil"/>
              <w:bottom w:val="single" w:sz="4" w:space="0" w:color="auto"/>
              <w:right w:val="single" w:sz="4" w:space="0" w:color="auto"/>
            </w:tcBorders>
            <w:shd w:val="clear" w:color="auto" w:fill="auto"/>
            <w:vAlign w:val="center"/>
          </w:tcPr>
          <w:p w:rsidR="003A56AD" w:rsidRPr="002152E4" w:rsidRDefault="003A56AD" w:rsidP="003A56AD">
            <w:pPr>
              <w:jc w:val="center"/>
              <w:rPr>
                <w:rFonts w:cs="Arial"/>
                <w:b/>
                <w:bCs/>
                <w:sz w:val="22"/>
                <w:szCs w:val="22"/>
                <w:lang w:val="ro-RO" w:eastAsia="ro-RO"/>
              </w:rPr>
            </w:pPr>
            <w:r w:rsidRPr="002152E4">
              <w:rPr>
                <w:rFonts w:cs="Arial"/>
                <w:b/>
                <w:bCs/>
                <w:sz w:val="22"/>
                <w:szCs w:val="22"/>
                <w:lang w:val="ro-RO" w:eastAsia="ro-RO"/>
              </w:rPr>
              <w:t>TOTALA</w:t>
            </w:r>
          </w:p>
        </w:tc>
        <w:tc>
          <w:tcPr>
            <w:tcW w:w="1513" w:type="dxa"/>
            <w:tcBorders>
              <w:top w:val="nil"/>
              <w:left w:val="nil"/>
              <w:bottom w:val="single" w:sz="4" w:space="0" w:color="auto"/>
              <w:right w:val="single" w:sz="4" w:space="0" w:color="auto"/>
            </w:tcBorders>
            <w:shd w:val="clear" w:color="auto" w:fill="auto"/>
            <w:vAlign w:val="center"/>
          </w:tcPr>
          <w:p w:rsidR="003A56AD" w:rsidRPr="002152E4" w:rsidRDefault="003A56AD" w:rsidP="003A56AD">
            <w:pPr>
              <w:jc w:val="center"/>
              <w:rPr>
                <w:rFonts w:cs="Arial"/>
                <w:b/>
                <w:bCs/>
                <w:sz w:val="22"/>
                <w:szCs w:val="22"/>
                <w:lang w:val="ro-RO" w:eastAsia="ro-RO"/>
              </w:rPr>
            </w:pPr>
            <w:r w:rsidRPr="002152E4">
              <w:rPr>
                <w:rFonts w:cs="Arial"/>
                <w:b/>
                <w:bCs/>
                <w:sz w:val="22"/>
                <w:szCs w:val="22"/>
                <w:lang w:val="ro-RO" w:eastAsia="ro-RO"/>
              </w:rPr>
              <w:t>PRONUNTARE</w:t>
            </w:r>
          </w:p>
        </w:tc>
        <w:tc>
          <w:tcPr>
            <w:tcW w:w="1310" w:type="dxa"/>
            <w:tcBorders>
              <w:top w:val="nil"/>
              <w:left w:val="nil"/>
              <w:bottom w:val="single" w:sz="4" w:space="0" w:color="auto"/>
              <w:right w:val="single" w:sz="4" w:space="0" w:color="auto"/>
            </w:tcBorders>
            <w:shd w:val="clear" w:color="auto" w:fill="auto"/>
            <w:vAlign w:val="center"/>
          </w:tcPr>
          <w:p w:rsidR="003A56AD" w:rsidRPr="002152E4" w:rsidRDefault="003A56AD" w:rsidP="003A56AD">
            <w:pPr>
              <w:jc w:val="center"/>
              <w:rPr>
                <w:rFonts w:cs="Arial"/>
                <w:b/>
                <w:bCs/>
                <w:sz w:val="22"/>
                <w:szCs w:val="22"/>
                <w:lang w:val="ro-RO" w:eastAsia="ro-RO"/>
              </w:rPr>
            </w:pPr>
            <w:r w:rsidRPr="002152E4">
              <w:rPr>
                <w:rFonts w:cs="Arial"/>
                <w:b/>
                <w:bCs/>
                <w:sz w:val="22"/>
                <w:szCs w:val="22"/>
                <w:lang w:val="ro-RO" w:eastAsia="ro-RO"/>
              </w:rPr>
              <w:t>REDACTARE</w:t>
            </w:r>
          </w:p>
        </w:tc>
        <w:tc>
          <w:tcPr>
            <w:tcW w:w="943" w:type="dxa"/>
            <w:tcBorders>
              <w:top w:val="nil"/>
              <w:left w:val="nil"/>
              <w:bottom w:val="single" w:sz="4" w:space="0" w:color="auto"/>
              <w:right w:val="single" w:sz="4" w:space="0" w:color="auto"/>
            </w:tcBorders>
            <w:shd w:val="clear" w:color="auto" w:fill="auto"/>
            <w:vAlign w:val="center"/>
          </w:tcPr>
          <w:p w:rsidR="003A56AD" w:rsidRPr="002152E4" w:rsidRDefault="003A56AD" w:rsidP="003A56AD">
            <w:pPr>
              <w:jc w:val="center"/>
              <w:rPr>
                <w:rFonts w:cs="Arial"/>
                <w:b/>
                <w:bCs/>
                <w:sz w:val="22"/>
                <w:szCs w:val="22"/>
                <w:lang w:val="ro-RO" w:eastAsia="ro-RO"/>
              </w:rPr>
            </w:pPr>
            <w:r w:rsidRPr="002152E4">
              <w:rPr>
                <w:rFonts w:cs="Arial"/>
                <w:b/>
                <w:bCs/>
                <w:sz w:val="22"/>
                <w:szCs w:val="22"/>
                <w:lang w:val="ro-RO" w:eastAsia="ro-RO"/>
              </w:rPr>
              <w:t>TOTALA</w:t>
            </w:r>
          </w:p>
        </w:tc>
        <w:tc>
          <w:tcPr>
            <w:tcW w:w="1513" w:type="dxa"/>
            <w:tcBorders>
              <w:top w:val="nil"/>
              <w:left w:val="nil"/>
              <w:bottom w:val="single" w:sz="4" w:space="0" w:color="auto"/>
              <w:right w:val="single" w:sz="4" w:space="0" w:color="auto"/>
            </w:tcBorders>
            <w:shd w:val="clear" w:color="auto" w:fill="auto"/>
            <w:vAlign w:val="center"/>
          </w:tcPr>
          <w:p w:rsidR="003A56AD" w:rsidRPr="002152E4" w:rsidRDefault="003A56AD" w:rsidP="003A56AD">
            <w:pPr>
              <w:jc w:val="center"/>
              <w:rPr>
                <w:rFonts w:cs="Arial"/>
                <w:b/>
                <w:bCs/>
                <w:sz w:val="22"/>
                <w:szCs w:val="22"/>
                <w:lang w:val="ro-RO" w:eastAsia="ro-RO"/>
              </w:rPr>
            </w:pPr>
            <w:r w:rsidRPr="002152E4">
              <w:rPr>
                <w:rFonts w:cs="Arial"/>
                <w:b/>
                <w:bCs/>
                <w:sz w:val="22"/>
                <w:szCs w:val="22"/>
                <w:lang w:val="ro-RO" w:eastAsia="ro-RO"/>
              </w:rPr>
              <w:t>PRONUNTARE</w:t>
            </w:r>
          </w:p>
        </w:tc>
        <w:tc>
          <w:tcPr>
            <w:tcW w:w="1310" w:type="dxa"/>
            <w:tcBorders>
              <w:top w:val="nil"/>
              <w:left w:val="nil"/>
              <w:bottom w:val="single" w:sz="4" w:space="0" w:color="auto"/>
              <w:right w:val="single" w:sz="4" w:space="0" w:color="auto"/>
            </w:tcBorders>
            <w:shd w:val="clear" w:color="auto" w:fill="auto"/>
            <w:vAlign w:val="center"/>
          </w:tcPr>
          <w:p w:rsidR="003A56AD" w:rsidRPr="002152E4" w:rsidRDefault="003A56AD" w:rsidP="003A56AD">
            <w:pPr>
              <w:jc w:val="center"/>
              <w:rPr>
                <w:rFonts w:cs="Arial"/>
                <w:b/>
                <w:bCs/>
                <w:sz w:val="22"/>
                <w:szCs w:val="22"/>
                <w:lang w:val="ro-RO" w:eastAsia="ro-RO"/>
              </w:rPr>
            </w:pPr>
            <w:r w:rsidRPr="002152E4">
              <w:rPr>
                <w:rFonts w:cs="Arial"/>
                <w:b/>
                <w:bCs/>
                <w:sz w:val="22"/>
                <w:szCs w:val="22"/>
                <w:lang w:val="ro-RO" w:eastAsia="ro-RO"/>
              </w:rPr>
              <w:t>REDACTARE</w:t>
            </w:r>
          </w:p>
        </w:tc>
      </w:tr>
      <w:tr w:rsidR="003A56AD" w:rsidRPr="002152E4" w:rsidTr="003A56AD">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3A56AD" w:rsidRPr="002152E4" w:rsidRDefault="003A56AD" w:rsidP="003A56AD">
            <w:pPr>
              <w:rPr>
                <w:rFonts w:cs="Arial"/>
                <w:lang w:val="ro-RO" w:eastAsia="ro-RO"/>
              </w:rPr>
            </w:pPr>
            <w:r w:rsidRPr="002152E4">
              <w:rPr>
                <w:rFonts w:cs="Arial"/>
                <w:lang w:val="ro-RO" w:eastAsia="ro-RO"/>
              </w:rPr>
              <w:t>Contestaţie(NCPP)</w:t>
            </w:r>
          </w:p>
        </w:tc>
        <w:tc>
          <w:tcPr>
            <w:tcW w:w="94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177,1</w:t>
            </w:r>
          </w:p>
        </w:tc>
        <w:tc>
          <w:tcPr>
            <w:tcW w:w="151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25,4</w:t>
            </w:r>
          </w:p>
        </w:tc>
        <w:tc>
          <w:tcPr>
            <w:tcW w:w="1310"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151,7</w:t>
            </w:r>
          </w:p>
        </w:tc>
        <w:tc>
          <w:tcPr>
            <w:tcW w:w="94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340,4</w:t>
            </w:r>
          </w:p>
        </w:tc>
        <w:tc>
          <w:tcPr>
            <w:tcW w:w="151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27,4</w:t>
            </w:r>
          </w:p>
        </w:tc>
        <w:tc>
          <w:tcPr>
            <w:tcW w:w="1310"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313</w:t>
            </w:r>
          </w:p>
        </w:tc>
      </w:tr>
      <w:tr w:rsidR="003A56AD" w:rsidRPr="002152E4" w:rsidTr="003A56AD">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3A56AD" w:rsidRPr="002152E4" w:rsidRDefault="003A56AD" w:rsidP="003A56AD">
            <w:pPr>
              <w:rPr>
                <w:rFonts w:cs="Arial"/>
                <w:lang w:val="ro-RO" w:eastAsia="ro-RO"/>
              </w:rPr>
            </w:pPr>
            <w:r w:rsidRPr="002152E4">
              <w:rPr>
                <w:rFonts w:cs="Arial"/>
                <w:lang w:val="ro-RO" w:eastAsia="ro-RO"/>
              </w:rPr>
              <w:t>Fond</w:t>
            </w:r>
          </w:p>
        </w:tc>
        <w:tc>
          <w:tcPr>
            <w:tcW w:w="94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116,6</w:t>
            </w:r>
          </w:p>
        </w:tc>
        <w:tc>
          <w:tcPr>
            <w:tcW w:w="151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53,1</w:t>
            </w:r>
          </w:p>
        </w:tc>
        <w:tc>
          <w:tcPr>
            <w:tcW w:w="1310"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63,5</w:t>
            </w:r>
          </w:p>
        </w:tc>
        <w:tc>
          <w:tcPr>
            <w:tcW w:w="94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451,6</w:t>
            </w:r>
          </w:p>
        </w:tc>
        <w:tc>
          <w:tcPr>
            <w:tcW w:w="151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62</w:t>
            </w:r>
          </w:p>
        </w:tc>
        <w:tc>
          <w:tcPr>
            <w:tcW w:w="1310"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389,7</w:t>
            </w:r>
          </w:p>
        </w:tc>
      </w:tr>
      <w:tr w:rsidR="003A56AD" w:rsidRPr="002152E4" w:rsidTr="003A56AD">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3A56AD" w:rsidRPr="002152E4" w:rsidRDefault="003A56AD" w:rsidP="003A56AD">
            <w:pPr>
              <w:rPr>
                <w:rFonts w:cs="Arial"/>
                <w:lang w:val="ro-RO" w:eastAsia="ro-RO"/>
              </w:rPr>
            </w:pPr>
            <w:r w:rsidRPr="002152E4">
              <w:rPr>
                <w:rFonts w:cs="Arial"/>
                <w:lang w:val="ro-RO" w:eastAsia="ro-RO"/>
              </w:rPr>
              <w:t>Recurs</w:t>
            </w:r>
          </w:p>
        </w:tc>
        <w:tc>
          <w:tcPr>
            <w:tcW w:w="94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473,4</w:t>
            </w:r>
          </w:p>
        </w:tc>
        <w:tc>
          <w:tcPr>
            <w:tcW w:w="151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291,4</w:t>
            </w:r>
          </w:p>
        </w:tc>
        <w:tc>
          <w:tcPr>
            <w:tcW w:w="1310"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182</w:t>
            </w:r>
          </w:p>
        </w:tc>
        <w:tc>
          <w:tcPr>
            <w:tcW w:w="94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745,4</w:t>
            </w:r>
          </w:p>
        </w:tc>
        <w:tc>
          <w:tcPr>
            <w:tcW w:w="151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294,8</w:t>
            </w:r>
          </w:p>
        </w:tc>
        <w:tc>
          <w:tcPr>
            <w:tcW w:w="1310"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450,6</w:t>
            </w:r>
          </w:p>
        </w:tc>
      </w:tr>
      <w:tr w:rsidR="003A56AD" w:rsidRPr="002152E4" w:rsidTr="003A56AD">
        <w:trPr>
          <w:trHeight w:val="315"/>
          <w:jc w:val="center"/>
        </w:trPr>
        <w:tc>
          <w:tcPr>
            <w:tcW w:w="2017" w:type="dxa"/>
            <w:tcBorders>
              <w:top w:val="nil"/>
              <w:left w:val="single" w:sz="4" w:space="0" w:color="000000"/>
              <w:bottom w:val="single" w:sz="4" w:space="0" w:color="000000"/>
              <w:right w:val="single" w:sz="4" w:space="0" w:color="000000"/>
            </w:tcBorders>
            <w:shd w:val="clear" w:color="auto" w:fill="auto"/>
            <w:vAlign w:val="center"/>
          </w:tcPr>
          <w:p w:rsidR="003A56AD" w:rsidRPr="002152E4" w:rsidRDefault="003A56AD" w:rsidP="003A56AD">
            <w:pPr>
              <w:rPr>
                <w:rFonts w:cs="Arial"/>
                <w:lang w:val="ro-RO" w:eastAsia="ro-RO"/>
              </w:rPr>
            </w:pPr>
            <w:r w:rsidRPr="002152E4">
              <w:rPr>
                <w:rFonts w:cs="Arial"/>
                <w:lang w:val="ro-RO" w:eastAsia="ro-RO"/>
              </w:rPr>
              <w:t xml:space="preserve">Recurs in </w:t>
            </w:r>
            <w:r w:rsidR="002152E4" w:rsidRPr="002152E4">
              <w:rPr>
                <w:rFonts w:cs="Arial"/>
                <w:lang w:val="ro-RO" w:eastAsia="ro-RO"/>
              </w:rPr>
              <w:t>casație</w:t>
            </w:r>
          </w:p>
        </w:tc>
        <w:tc>
          <w:tcPr>
            <w:tcW w:w="94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164,6</w:t>
            </w:r>
          </w:p>
        </w:tc>
        <w:tc>
          <w:tcPr>
            <w:tcW w:w="151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57,2</w:t>
            </w:r>
          </w:p>
        </w:tc>
        <w:tc>
          <w:tcPr>
            <w:tcW w:w="1310"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107,4</w:t>
            </w:r>
          </w:p>
        </w:tc>
        <w:tc>
          <w:tcPr>
            <w:tcW w:w="94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354,8</w:t>
            </w:r>
          </w:p>
        </w:tc>
        <w:tc>
          <w:tcPr>
            <w:tcW w:w="1513"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57,6</w:t>
            </w:r>
          </w:p>
        </w:tc>
        <w:tc>
          <w:tcPr>
            <w:tcW w:w="1310" w:type="dxa"/>
            <w:tcBorders>
              <w:top w:val="nil"/>
              <w:left w:val="nil"/>
              <w:bottom w:val="single" w:sz="4" w:space="0" w:color="000000"/>
              <w:right w:val="single" w:sz="4" w:space="0" w:color="000000"/>
            </w:tcBorders>
            <w:shd w:val="clear" w:color="auto" w:fill="auto"/>
            <w:vAlign w:val="center"/>
          </w:tcPr>
          <w:p w:rsidR="003A56AD" w:rsidRPr="002152E4" w:rsidRDefault="003A56AD" w:rsidP="003A56AD">
            <w:pPr>
              <w:jc w:val="center"/>
              <w:rPr>
                <w:rFonts w:cs="Arial"/>
                <w:lang w:val="ro-RO" w:eastAsia="ro-RO"/>
              </w:rPr>
            </w:pPr>
            <w:r w:rsidRPr="002152E4">
              <w:rPr>
                <w:rFonts w:cs="Arial"/>
                <w:lang w:val="ro-RO" w:eastAsia="ro-RO"/>
              </w:rPr>
              <w:t>297,2</w:t>
            </w:r>
          </w:p>
        </w:tc>
      </w:tr>
    </w:tbl>
    <w:p w:rsidR="001F15E7" w:rsidRPr="002152E4" w:rsidRDefault="001F15E7" w:rsidP="001E62DE">
      <w:pPr>
        <w:rPr>
          <w:rFonts w:cs="Arial"/>
          <w:lang w:val="ro-RO"/>
        </w:rPr>
      </w:pPr>
    </w:p>
    <w:p w:rsidR="001A66BB" w:rsidRDefault="001A66BB" w:rsidP="001A66BB">
      <w:pPr>
        <w:pStyle w:val="Heading1"/>
      </w:pPr>
      <w:bookmarkStart w:id="100" w:name="_Toc475363410"/>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Default="001A66BB" w:rsidP="001A66BB">
      <w:pPr>
        <w:rPr>
          <w:lang w:val="ro-RO"/>
        </w:rPr>
      </w:pPr>
    </w:p>
    <w:p w:rsidR="001A66BB" w:rsidRPr="001A66BB" w:rsidRDefault="001A66BB" w:rsidP="001A66BB">
      <w:pPr>
        <w:rPr>
          <w:lang w:val="ro-RO"/>
        </w:rPr>
      </w:pPr>
    </w:p>
    <w:p w:rsidR="001B2741" w:rsidRPr="002152E4" w:rsidRDefault="001B2741" w:rsidP="001A66BB">
      <w:pPr>
        <w:pStyle w:val="Heading1"/>
        <w:rPr>
          <w:rFonts w:ascii="Cambria" w:hAnsi="Cambria"/>
        </w:rPr>
      </w:pPr>
      <w:bookmarkStart w:id="101" w:name="_Toc486576533"/>
      <w:r w:rsidRPr="002152E4">
        <w:lastRenderedPageBreak/>
        <w:t>III. Date statistice privind activitatea parchetelor</w:t>
      </w:r>
      <w:bookmarkEnd w:id="100"/>
      <w:bookmarkEnd w:id="101"/>
    </w:p>
    <w:p w:rsidR="007442AA" w:rsidRPr="002152E4" w:rsidRDefault="00AF44B5" w:rsidP="00AF44B5">
      <w:pPr>
        <w:pStyle w:val="Heading2"/>
      </w:pPr>
      <w:r w:rsidRPr="002152E4">
        <w:t xml:space="preserve"> </w:t>
      </w:r>
      <w:bookmarkStart w:id="102" w:name="_Toc475363411"/>
      <w:bookmarkStart w:id="103" w:name="_Toc486576534"/>
      <w:r w:rsidRPr="002152E4">
        <w:t>III.</w:t>
      </w:r>
      <w:r w:rsidR="007442AA" w:rsidRPr="002152E4">
        <w:t>1</w:t>
      </w:r>
      <w:r w:rsidRPr="002152E4">
        <w:t>.</w:t>
      </w:r>
      <w:r w:rsidR="007442AA" w:rsidRPr="002152E4">
        <w:t xml:space="preserve"> Volumul de activitate la nivelul parchetelor</w:t>
      </w:r>
      <w:bookmarkEnd w:id="102"/>
      <w:bookmarkEnd w:id="103"/>
    </w:p>
    <w:p w:rsidR="007442AA" w:rsidRDefault="007442AA" w:rsidP="00D5288F">
      <w:pPr>
        <w:widowControl w:val="0"/>
        <w:autoSpaceDE w:val="0"/>
        <w:autoSpaceDN w:val="0"/>
        <w:adjustRightInd w:val="0"/>
        <w:ind w:firstLine="684"/>
        <w:jc w:val="both"/>
        <w:rPr>
          <w:lang w:val="ro-RO"/>
        </w:rPr>
      </w:pPr>
      <w:r w:rsidRPr="002152E4">
        <w:rPr>
          <w:lang w:val="ro-RO"/>
        </w:rPr>
        <w:t xml:space="preserve">În anul 2016, la nivelul întregii ţări şi-au desfăşurat activitatea un număr de 176 de parchete pe lângă judecătorii, 42 parchete pe lângă tribunale, 1 parchet specializat pentru cauze cu minori şi familie, 15 parchete pe lângă curţile de apel şi parchetul de pe lângă instanţa supremă, înregistrând cu tot cu parchetele militare un volum total de activitate de </w:t>
      </w:r>
      <w:r w:rsidRPr="002152E4">
        <w:rPr>
          <w:rFonts w:eastAsia="Tahoma"/>
          <w:lang w:val="ro-RO"/>
        </w:rPr>
        <w:t>3258290</w:t>
      </w:r>
      <w:r w:rsidRPr="002152E4">
        <w:rPr>
          <w:lang w:val="ro-RO"/>
        </w:rPr>
        <w:t xml:space="preserve"> de lucrări, din care 1776215</w:t>
      </w:r>
      <w:r w:rsidRPr="002152E4">
        <w:rPr>
          <w:rFonts w:eastAsia="Tahoma"/>
          <w:b/>
          <w:lang w:val="ro-RO"/>
        </w:rPr>
        <w:t xml:space="preserve"> </w:t>
      </w:r>
      <w:r w:rsidRPr="002152E4">
        <w:rPr>
          <w:lang w:val="ro-RO"/>
        </w:rPr>
        <w:t>dosare penale, cele 2 reprezentări grafice de mai jos incluzând în cadrul volumului de activitate al Parchetului de pe lângă Înalta Curte de Casaţie şi Justiţie atât activitatea D.N.A şi D.I.I.C.O.T. cât şi a parchetelor militare.</w:t>
      </w:r>
    </w:p>
    <w:p w:rsidR="00E51382" w:rsidRPr="002152E4" w:rsidRDefault="00E51382" w:rsidP="00D5288F">
      <w:pPr>
        <w:widowControl w:val="0"/>
        <w:autoSpaceDE w:val="0"/>
        <w:autoSpaceDN w:val="0"/>
        <w:adjustRightInd w:val="0"/>
        <w:ind w:firstLine="684"/>
        <w:jc w:val="both"/>
        <w:rPr>
          <w:lang w:val="ro-RO"/>
        </w:rPr>
      </w:pPr>
    </w:p>
    <w:p w:rsidR="007442AA" w:rsidRPr="002152E4" w:rsidRDefault="007041EF" w:rsidP="007442AA">
      <w:pPr>
        <w:tabs>
          <w:tab w:val="left" w:pos="1260"/>
        </w:tabs>
        <w:spacing w:before="120" w:line="360" w:lineRule="auto"/>
        <w:jc w:val="center"/>
        <w:rPr>
          <w:lang w:val="ro-RO"/>
        </w:rPr>
      </w:pPr>
      <w:r w:rsidRPr="002152E4">
        <w:rPr>
          <w:noProof/>
        </w:rPr>
        <w:drawing>
          <wp:inline distT="0" distB="0" distL="0" distR="0">
            <wp:extent cx="5494020" cy="1935480"/>
            <wp:effectExtent l="0" t="0" r="0" b="0"/>
            <wp:docPr id="41" name="Object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7442AA" w:rsidRPr="002152E4" w:rsidRDefault="007041EF" w:rsidP="007442AA">
      <w:pPr>
        <w:spacing w:before="120" w:line="360" w:lineRule="auto"/>
        <w:jc w:val="center"/>
        <w:rPr>
          <w:lang w:val="ro-RO"/>
        </w:rPr>
      </w:pPr>
      <w:r w:rsidRPr="002152E4">
        <w:rPr>
          <w:b/>
          <w:i/>
          <w:noProof/>
        </w:rPr>
        <w:drawing>
          <wp:inline distT="0" distB="0" distL="0" distR="0">
            <wp:extent cx="5509260" cy="2156460"/>
            <wp:effectExtent l="0" t="0" r="0" b="0"/>
            <wp:docPr id="42" name="Object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7442AA" w:rsidRPr="002152E4" w:rsidRDefault="007442AA" w:rsidP="007442AA">
      <w:pPr>
        <w:jc w:val="both"/>
        <w:rPr>
          <w:lang w:val="ro-RO"/>
        </w:rPr>
      </w:pPr>
    </w:p>
    <w:p w:rsidR="007442AA" w:rsidRPr="002152E4" w:rsidRDefault="00305DEF" w:rsidP="00305DEF">
      <w:pPr>
        <w:pStyle w:val="Heading3"/>
      </w:pPr>
      <w:bookmarkStart w:id="104" w:name="_Toc475363412"/>
      <w:bookmarkStart w:id="105" w:name="_Toc486576535"/>
      <w:r w:rsidRPr="002152E4">
        <w:t>III</w:t>
      </w:r>
      <w:r w:rsidR="007442AA" w:rsidRPr="002152E4">
        <w:t>.1.1. Activitatea la nivelul Parchetului de pe lângă Înalta Curte de Casaţie şi Justiţie</w:t>
      </w:r>
      <w:bookmarkEnd w:id="104"/>
      <w:bookmarkEnd w:id="105"/>
    </w:p>
    <w:p w:rsidR="00305DEF" w:rsidRPr="002152E4" w:rsidRDefault="00305DEF" w:rsidP="00D5288F">
      <w:pPr>
        <w:widowControl w:val="0"/>
        <w:autoSpaceDE w:val="0"/>
        <w:autoSpaceDN w:val="0"/>
        <w:adjustRightInd w:val="0"/>
        <w:ind w:firstLine="855"/>
        <w:jc w:val="both"/>
        <w:rPr>
          <w:lang w:val="ro-RO"/>
        </w:rPr>
      </w:pPr>
    </w:p>
    <w:p w:rsidR="007442AA" w:rsidRPr="002152E4" w:rsidRDefault="007442AA" w:rsidP="00D5288F">
      <w:pPr>
        <w:widowControl w:val="0"/>
        <w:autoSpaceDE w:val="0"/>
        <w:autoSpaceDN w:val="0"/>
        <w:adjustRightInd w:val="0"/>
        <w:ind w:firstLine="855"/>
        <w:jc w:val="both"/>
        <w:rPr>
          <w:lang w:val="ro-RO"/>
        </w:rPr>
      </w:pPr>
      <w:r w:rsidRPr="002152E4">
        <w:rPr>
          <w:lang w:val="ro-RO"/>
        </w:rPr>
        <w:t>La nivelul Parchetului de pe lângă Înalta Curte de Casaţie şi Justiţie (cu excepţia Secţiei parchetelor militare), numărul lucrărilor de soluţionat s-a ridicat la 26951 , în timp ce numărul înregistrat al dosarelor de soluţionat a fost de 1180 . Faţă de anul 2015, numărul lucrărilor de soluţionat a scăzut cu 1961 de lucrări (cu 6,8%), în timp ce numărul cauzelor de soluţionat a crescut cu 50 de dosare (4,4%).</w:t>
      </w:r>
    </w:p>
    <w:p w:rsidR="007442AA" w:rsidRPr="002152E4" w:rsidRDefault="007442AA" w:rsidP="00D5288F">
      <w:pPr>
        <w:widowControl w:val="0"/>
        <w:autoSpaceDE w:val="0"/>
        <w:autoSpaceDN w:val="0"/>
        <w:adjustRightInd w:val="0"/>
        <w:ind w:firstLine="684"/>
        <w:jc w:val="both"/>
        <w:rPr>
          <w:lang w:val="ro-RO"/>
        </w:rPr>
      </w:pPr>
      <w:r w:rsidRPr="002152E4">
        <w:rPr>
          <w:lang w:val="ro-RO"/>
        </w:rPr>
        <w:t>Numărul cauzelor soluţionate în acest an s-a ridicat la 494</w:t>
      </w:r>
      <w:r w:rsidRPr="002152E4">
        <w:rPr>
          <w:b/>
          <w:lang w:val="ro-RO"/>
        </w:rPr>
        <w:t xml:space="preserve">, </w:t>
      </w:r>
      <w:r w:rsidRPr="002152E4">
        <w:rPr>
          <w:lang w:val="ro-RO"/>
        </w:rPr>
        <w:t>adică 42% din numărul dosarelor de soluţionat.</w:t>
      </w:r>
    </w:p>
    <w:p w:rsidR="007442AA" w:rsidRPr="002152E4" w:rsidRDefault="007442AA" w:rsidP="00D5288F">
      <w:pPr>
        <w:widowControl w:val="0"/>
        <w:autoSpaceDE w:val="0"/>
        <w:autoSpaceDN w:val="0"/>
        <w:adjustRightInd w:val="0"/>
        <w:ind w:firstLine="684"/>
        <w:jc w:val="both"/>
        <w:rPr>
          <w:lang w:val="ro-RO"/>
        </w:rPr>
      </w:pPr>
      <w:r w:rsidRPr="002152E4">
        <w:rPr>
          <w:lang w:val="ro-RO"/>
        </w:rPr>
        <w:t xml:space="preserve">În acelaşi timp, </w:t>
      </w:r>
      <w:r w:rsidRPr="002152E4">
        <w:rPr>
          <w:b/>
          <w:lang w:val="ro-RO"/>
        </w:rPr>
        <w:t>Direcţia Naţională Anticorupţie</w:t>
      </w:r>
      <w:r w:rsidRPr="002152E4">
        <w:rPr>
          <w:lang w:val="ro-RO"/>
        </w:rPr>
        <w:t xml:space="preserve"> a înregistrat în anul 2016 un număr de 52004 de lucrări şi 12353</w:t>
      </w:r>
      <w:r w:rsidRPr="002152E4">
        <w:rPr>
          <w:rFonts w:eastAsia="Tahoma"/>
          <w:lang w:val="ro-RO"/>
        </w:rPr>
        <w:t xml:space="preserve"> </w:t>
      </w:r>
      <w:r w:rsidRPr="002152E4">
        <w:rPr>
          <w:lang w:val="ro-RO"/>
        </w:rPr>
        <w:t>cauze de soluţionat. Comparativ cu anul 2015, numărul lucrărilor a crescut cu 1487 de unităţi (3%), în timp ce numărul dosarelor de soluţionat a crescut cu 1379 de cauze (12,6 %).</w:t>
      </w:r>
    </w:p>
    <w:p w:rsidR="007442AA" w:rsidRPr="002152E4" w:rsidRDefault="007442AA" w:rsidP="00D5288F">
      <w:pPr>
        <w:widowControl w:val="0"/>
        <w:autoSpaceDE w:val="0"/>
        <w:autoSpaceDN w:val="0"/>
        <w:adjustRightInd w:val="0"/>
        <w:ind w:firstLine="684"/>
        <w:jc w:val="both"/>
        <w:rPr>
          <w:lang w:val="ro-RO"/>
        </w:rPr>
      </w:pPr>
      <w:r w:rsidRPr="002152E4">
        <w:rPr>
          <w:lang w:val="ro-RO"/>
        </w:rPr>
        <w:t>Numărul cauzelor soluţionate în acest an s-a ridicat la 3341 de cauze ( 27% din totalul cauzelor de soluţionat ).</w:t>
      </w:r>
    </w:p>
    <w:p w:rsidR="007442AA" w:rsidRPr="002152E4" w:rsidRDefault="007442AA" w:rsidP="00D5288F">
      <w:pPr>
        <w:widowControl w:val="0"/>
        <w:autoSpaceDE w:val="0"/>
        <w:autoSpaceDN w:val="0"/>
        <w:adjustRightInd w:val="0"/>
        <w:ind w:firstLine="684"/>
        <w:jc w:val="both"/>
        <w:rPr>
          <w:lang w:val="ro-RO"/>
        </w:rPr>
      </w:pPr>
      <w:r w:rsidRPr="002152E4">
        <w:rPr>
          <w:lang w:val="ro-RO"/>
        </w:rPr>
        <w:t xml:space="preserve">La nivelul </w:t>
      </w:r>
      <w:r w:rsidRPr="002152E4">
        <w:rPr>
          <w:b/>
          <w:lang w:val="ro-RO"/>
        </w:rPr>
        <w:t>Direcţiei de Investigare a Infracţiunilor de Criminalitate Organizată şi Terorism</w:t>
      </w:r>
      <w:r w:rsidRPr="002152E4">
        <w:rPr>
          <w:lang w:val="ro-RO"/>
        </w:rPr>
        <w:t xml:space="preserve">, </w:t>
      </w:r>
      <w:r w:rsidRPr="002152E4">
        <w:rPr>
          <w:lang w:val="ro-RO"/>
        </w:rPr>
        <w:lastRenderedPageBreak/>
        <w:t xml:space="preserve">numărul lucrărilor de soluţionat s-a ridicat la 93104, iar cel al dosarelor la 25657 de cauze. Comparativ cu anul 2015, numărul de lucrări a crescut cu 7531 de lucrări (8,8%); în aceeaşi perioadă de timp, numărul de cauze de soluţionat a crescut cu 3632 de dosare, </w:t>
      </w:r>
      <w:r w:rsidR="002152E4" w:rsidRPr="002152E4">
        <w:rPr>
          <w:lang w:val="ro-RO"/>
        </w:rPr>
        <w:t>adică</w:t>
      </w:r>
      <w:r w:rsidRPr="002152E4">
        <w:rPr>
          <w:lang w:val="ro-RO"/>
        </w:rPr>
        <w:t xml:space="preserve"> 16,4 %</w:t>
      </w:r>
    </w:p>
    <w:p w:rsidR="007442AA" w:rsidRPr="002152E4" w:rsidRDefault="007442AA" w:rsidP="00D5288F">
      <w:pPr>
        <w:widowControl w:val="0"/>
        <w:autoSpaceDE w:val="0"/>
        <w:autoSpaceDN w:val="0"/>
        <w:adjustRightInd w:val="0"/>
        <w:ind w:firstLine="684"/>
        <w:jc w:val="both"/>
        <w:rPr>
          <w:lang w:val="ro-RO"/>
        </w:rPr>
      </w:pPr>
      <w:r w:rsidRPr="002152E4">
        <w:rPr>
          <w:lang w:val="ro-RO"/>
        </w:rPr>
        <w:t xml:space="preserve">Numărul cauzelor soluţionate în acest an s-a ridicat la </w:t>
      </w:r>
      <w:r w:rsidRPr="002152E4">
        <w:rPr>
          <w:b/>
          <w:lang w:val="ro-RO"/>
        </w:rPr>
        <w:t xml:space="preserve">8149 </w:t>
      </w:r>
      <w:r w:rsidRPr="002152E4">
        <w:rPr>
          <w:lang w:val="ro-RO"/>
        </w:rPr>
        <w:t>( 31,8% din numărul dosarelor de soluţionat).</w:t>
      </w:r>
    </w:p>
    <w:p w:rsidR="007442AA" w:rsidRPr="002152E4" w:rsidRDefault="007442AA" w:rsidP="00D5288F">
      <w:pPr>
        <w:spacing w:before="120"/>
        <w:ind w:firstLine="684"/>
        <w:jc w:val="both"/>
        <w:rPr>
          <w:lang w:val="ro-RO"/>
        </w:rPr>
      </w:pPr>
      <w:r w:rsidRPr="002152E4">
        <w:rPr>
          <w:lang w:val="ro-RO"/>
        </w:rPr>
        <w:t>Dinamica numărului de cauze de soluţionat în ultimii 5 ani la aceste trei mari structuri de parchet se prezintă astfel :</w:t>
      </w:r>
    </w:p>
    <w:p w:rsidR="007442AA" w:rsidRPr="002152E4" w:rsidRDefault="007041EF" w:rsidP="007442AA">
      <w:pPr>
        <w:spacing w:before="120" w:line="360" w:lineRule="auto"/>
        <w:jc w:val="both"/>
        <w:rPr>
          <w:lang w:val="ro-RO"/>
        </w:rPr>
      </w:pPr>
      <w:r w:rsidRPr="002152E4">
        <w:rPr>
          <w:noProof/>
        </w:rPr>
        <w:drawing>
          <wp:anchor distT="0" distB="0" distL="114300" distR="114300" simplePos="0" relativeHeight="251655680" behindDoc="0" locked="0" layoutInCell="1" allowOverlap="1">
            <wp:simplePos x="0" y="0"/>
            <wp:positionH relativeFrom="column">
              <wp:posOffset>434340</wp:posOffset>
            </wp:positionH>
            <wp:positionV relativeFrom="paragraph">
              <wp:posOffset>229235</wp:posOffset>
            </wp:positionV>
            <wp:extent cx="5858510" cy="2265045"/>
            <wp:effectExtent l="1270" t="0" r="0" b="2540"/>
            <wp:wrapSquare wrapText="left"/>
            <wp:docPr id="6" name="Objec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page">
              <wp14:pctWidth>0</wp14:pctWidth>
            </wp14:sizeRelH>
            <wp14:sizeRelV relativeFrom="page">
              <wp14:pctHeight>0</wp14:pctHeight>
            </wp14:sizeRelV>
          </wp:anchor>
        </w:drawing>
      </w:r>
    </w:p>
    <w:p w:rsidR="007442AA" w:rsidRPr="002152E4" w:rsidRDefault="007442AA" w:rsidP="007442AA">
      <w:pPr>
        <w:spacing w:before="120" w:line="360" w:lineRule="auto"/>
        <w:rPr>
          <w:lang w:val="ro-RO"/>
        </w:rPr>
      </w:pPr>
    </w:p>
    <w:p w:rsidR="00305DEF" w:rsidRPr="002152E4" w:rsidRDefault="00305DEF" w:rsidP="00305DEF">
      <w:pPr>
        <w:pStyle w:val="Heading3"/>
      </w:pPr>
    </w:p>
    <w:p w:rsidR="007442AA" w:rsidRPr="002152E4" w:rsidRDefault="00305DEF" w:rsidP="00305DEF">
      <w:pPr>
        <w:pStyle w:val="Heading3"/>
      </w:pPr>
      <w:bookmarkStart w:id="106" w:name="_Toc475363413"/>
      <w:bookmarkStart w:id="107" w:name="_Toc486576536"/>
      <w:r w:rsidRPr="002152E4">
        <w:t>III</w:t>
      </w:r>
      <w:r w:rsidR="007442AA" w:rsidRPr="002152E4">
        <w:t>.1.2</w:t>
      </w:r>
      <w:r w:rsidRPr="002152E4">
        <w:t>.</w:t>
      </w:r>
      <w:r w:rsidR="007442AA" w:rsidRPr="002152E4">
        <w:t xml:space="preserve"> Activitatea la nivelul parchetelor de pe lângă curţile de apel</w:t>
      </w:r>
      <w:bookmarkEnd w:id="106"/>
      <w:bookmarkEnd w:id="107"/>
    </w:p>
    <w:p w:rsidR="00305DEF" w:rsidRPr="002152E4" w:rsidRDefault="00305DEF" w:rsidP="00D5288F">
      <w:pPr>
        <w:widowControl w:val="0"/>
        <w:autoSpaceDE w:val="0"/>
        <w:autoSpaceDN w:val="0"/>
        <w:adjustRightInd w:val="0"/>
        <w:ind w:firstLine="684"/>
        <w:jc w:val="both"/>
        <w:rPr>
          <w:lang w:val="ro-RO"/>
        </w:rPr>
      </w:pPr>
    </w:p>
    <w:p w:rsidR="007442AA" w:rsidRPr="002152E4" w:rsidRDefault="007442AA" w:rsidP="00D5288F">
      <w:pPr>
        <w:widowControl w:val="0"/>
        <w:autoSpaceDE w:val="0"/>
        <w:autoSpaceDN w:val="0"/>
        <w:adjustRightInd w:val="0"/>
        <w:ind w:firstLine="684"/>
        <w:jc w:val="both"/>
        <w:rPr>
          <w:lang w:val="ro-RO"/>
        </w:rPr>
      </w:pPr>
      <w:r w:rsidRPr="002152E4">
        <w:rPr>
          <w:lang w:val="ro-RO"/>
        </w:rPr>
        <w:t xml:space="preserve">Cele 15 parchete de pe lângă curţile de apel, au înregistrat spre soluţionare în perioada de referinţă un număr de 154122 de lucrări, dintre acestea 16360 constituind dosare penale, repartizate unui număr de 233 de procurori care au ocupat efectiv schema. </w:t>
      </w:r>
    </w:p>
    <w:p w:rsidR="007442AA" w:rsidRPr="002152E4" w:rsidRDefault="007442AA" w:rsidP="00D5288F">
      <w:pPr>
        <w:widowControl w:val="0"/>
        <w:autoSpaceDE w:val="0"/>
        <w:autoSpaceDN w:val="0"/>
        <w:adjustRightInd w:val="0"/>
        <w:jc w:val="both"/>
        <w:rPr>
          <w:lang w:val="ro-RO"/>
        </w:rPr>
      </w:pPr>
      <w:r w:rsidRPr="002152E4">
        <w:rPr>
          <w:lang w:val="ro-RO"/>
        </w:rPr>
        <w:t>Cei doi indicatori, în ultimii 5 ani au înregistrat următoarea evoluţie:</w:t>
      </w:r>
    </w:p>
    <w:p w:rsidR="007442AA" w:rsidRPr="002152E4" w:rsidRDefault="007041EF" w:rsidP="007442AA">
      <w:pPr>
        <w:tabs>
          <w:tab w:val="left" w:pos="225"/>
        </w:tabs>
        <w:spacing w:before="120" w:line="360" w:lineRule="auto"/>
        <w:jc w:val="center"/>
        <w:rPr>
          <w:lang w:val="ro-RO"/>
        </w:rPr>
      </w:pPr>
      <w:r w:rsidRPr="002152E4">
        <w:rPr>
          <w:noProof/>
        </w:rPr>
        <w:drawing>
          <wp:inline distT="0" distB="0" distL="0" distR="0">
            <wp:extent cx="4876800" cy="2598420"/>
            <wp:effectExtent l="0" t="0" r="0" b="0"/>
            <wp:docPr id="43" name="Object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7442AA" w:rsidRPr="002152E4" w:rsidRDefault="007442AA" w:rsidP="00D5288F">
      <w:pPr>
        <w:widowControl w:val="0"/>
        <w:autoSpaceDE w:val="0"/>
        <w:autoSpaceDN w:val="0"/>
        <w:adjustRightInd w:val="0"/>
        <w:ind w:firstLine="684"/>
        <w:jc w:val="both"/>
        <w:rPr>
          <w:lang w:val="ro-RO"/>
        </w:rPr>
      </w:pPr>
      <w:r w:rsidRPr="002152E4">
        <w:rPr>
          <w:lang w:val="ro-RO"/>
        </w:rPr>
        <w:t>În funcţie de volumul dosarelor penale, parchetele de pe lângă curţile de apel se pot grupa astfel:</w:t>
      </w:r>
    </w:p>
    <w:p w:rsidR="007442AA" w:rsidRPr="002152E4" w:rsidRDefault="007442AA" w:rsidP="007442AA">
      <w:pPr>
        <w:widowControl w:val="0"/>
        <w:autoSpaceDE w:val="0"/>
        <w:autoSpaceDN w:val="0"/>
        <w:adjustRightInd w:val="0"/>
        <w:spacing w:line="360" w:lineRule="auto"/>
        <w:jc w:val="both"/>
        <w:rPr>
          <w:lang w:val="ro-RO"/>
        </w:rPr>
      </w:pPr>
      <w:r w:rsidRPr="002152E4">
        <w:rPr>
          <w:lang w:val="ro-RO"/>
        </w:rPr>
        <w:t xml:space="preserve">- unităţi cu volum mai mic de 500 dosare: </w:t>
      </w:r>
      <w:r w:rsidRPr="002152E4">
        <w:rPr>
          <w:b/>
          <w:lang w:val="ro-RO"/>
        </w:rPr>
        <w:t xml:space="preserve">1 </w:t>
      </w:r>
      <w:r w:rsidRPr="002152E4">
        <w:rPr>
          <w:lang w:val="ro-RO"/>
        </w:rPr>
        <w:t>(1 şi în anul 2015);</w:t>
      </w:r>
    </w:p>
    <w:p w:rsidR="007442AA" w:rsidRPr="002152E4" w:rsidRDefault="007442AA" w:rsidP="007442AA">
      <w:pPr>
        <w:widowControl w:val="0"/>
        <w:autoSpaceDE w:val="0"/>
        <w:autoSpaceDN w:val="0"/>
        <w:adjustRightInd w:val="0"/>
        <w:spacing w:line="360" w:lineRule="auto"/>
        <w:jc w:val="both"/>
        <w:rPr>
          <w:lang w:val="ro-RO"/>
        </w:rPr>
      </w:pPr>
      <w:r w:rsidRPr="002152E4">
        <w:rPr>
          <w:lang w:val="ro-RO"/>
        </w:rPr>
        <w:t xml:space="preserve">- unităţi cu un volum cuprins între 500 şi 1.000 dosare: </w:t>
      </w:r>
      <w:r w:rsidRPr="002152E4">
        <w:rPr>
          <w:b/>
          <w:lang w:val="ro-RO"/>
        </w:rPr>
        <w:t xml:space="preserve">6 </w:t>
      </w:r>
      <w:r w:rsidRPr="002152E4">
        <w:rPr>
          <w:lang w:val="ro-RO"/>
        </w:rPr>
        <w:t>(8 în anul 2015);</w:t>
      </w:r>
    </w:p>
    <w:p w:rsidR="007442AA" w:rsidRPr="002152E4" w:rsidRDefault="007442AA" w:rsidP="007442AA">
      <w:pPr>
        <w:widowControl w:val="0"/>
        <w:autoSpaceDE w:val="0"/>
        <w:autoSpaceDN w:val="0"/>
        <w:adjustRightInd w:val="0"/>
        <w:spacing w:line="360" w:lineRule="auto"/>
        <w:jc w:val="both"/>
        <w:rPr>
          <w:lang w:val="ro-RO"/>
        </w:rPr>
      </w:pPr>
      <w:r w:rsidRPr="002152E4">
        <w:rPr>
          <w:lang w:val="ro-RO"/>
        </w:rPr>
        <w:t>- unităţi cu un volum situat peste 1.000 dosare:</w:t>
      </w:r>
      <w:r w:rsidRPr="002152E4">
        <w:rPr>
          <w:b/>
          <w:lang w:val="ro-RO"/>
        </w:rPr>
        <w:t xml:space="preserve"> 8 </w:t>
      </w:r>
      <w:r w:rsidRPr="002152E4">
        <w:rPr>
          <w:lang w:val="ro-RO"/>
        </w:rPr>
        <w:t>(6 în anul 2015).</w:t>
      </w:r>
      <w:r w:rsidRPr="002152E4">
        <w:rPr>
          <w:lang w:val="ro-RO"/>
        </w:rPr>
        <w:tab/>
      </w:r>
    </w:p>
    <w:p w:rsidR="007442AA" w:rsidRPr="002152E4" w:rsidRDefault="007442AA" w:rsidP="007442AA">
      <w:pPr>
        <w:tabs>
          <w:tab w:val="left" w:pos="225"/>
        </w:tabs>
        <w:spacing w:before="120" w:line="360" w:lineRule="auto"/>
        <w:jc w:val="both"/>
        <w:rPr>
          <w:b/>
          <w:lang w:val="ro-RO"/>
        </w:rPr>
      </w:pPr>
      <w:r w:rsidRPr="002152E4">
        <w:rPr>
          <w:b/>
          <w:lang w:val="ro-RO"/>
        </w:rPr>
        <w:lastRenderedPageBreak/>
        <w:t>Volumul de activitate privind numărul de dosare penale al parchetelor de pe lângă curţile de apel – situaţie comparativă:</w:t>
      </w:r>
    </w:p>
    <w:p w:rsidR="007442AA" w:rsidRPr="002152E4" w:rsidRDefault="007041EF" w:rsidP="007442AA">
      <w:pPr>
        <w:tabs>
          <w:tab w:val="left" w:pos="225"/>
        </w:tabs>
        <w:spacing w:line="360" w:lineRule="auto"/>
        <w:ind w:left="180"/>
        <w:jc w:val="center"/>
        <w:rPr>
          <w:lang w:val="ro-RO"/>
        </w:rPr>
      </w:pPr>
      <w:r w:rsidRPr="002152E4">
        <w:rPr>
          <w:noProof/>
        </w:rPr>
        <w:drawing>
          <wp:inline distT="0" distB="0" distL="0" distR="0">
            <wp:extent cx="5090160" cy="2430780"/>
            <wp:effectExtent l="0" t="0" r="0" b="0"/>
            <wp:docPr id="44" name="Object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7442AA" w:rsidRPr="002152E4" w:rsidRDefault="007442AA" w:rsidP="00D5288F">
      <w:pPr>
        <w:widowControl w:val="0"/>
        <w:autoSpaceDE w:val="0"/>
        <w:autoSpaceDN w:val="0"/>
        <w:adjustRightInd w:val="0"/>
        <w:ind w:firstLine="686"/>
        <w:jc w:val="both"/>
        <w:rPr>
          <w:lang w:val="ro-RO"/>
        </w:rPr>
      </w:pPr>
      <w:r w:rsidRPr="002152E4">
        <w:rPr>
          <w:lang w:val="ro-RO"/>
        </w:rPr>
        <w:t xml:space="preserve">Parchetele cu cel mai mare volum de dosare înregistrat în anul 2016 au fost Parchetul de pe lângă Curtea de Apel Bucureşti cu 2498 de dosare, având cu 319 dosare mai </w:t>
      </w:r>
      <w:r w:rsidR="002152E4" w:rsidRPr="002152E4">
        <w:rPr>
          <w:lang w:val="ro-RO"/>
        </w:rPr>
        <w:t>puţin</w:t>
      </w:r>
      <w:r w:rsidRPr="002152E4">
        <w:rPr>
          <w:lang w:val="ro-RO"/>
        </w:rPr>
        <w:t xml:space="preserve"> decât în anul 2015 (rămânând însă pe prima poziţie ca şi în anii anteriori), urmat de Parchetul de pe lângă Curtea de Apel Constanța cu 1747 de cauze, acesta înregistrând o creştere de 174 de dosare şi de Parchetul de pe lângă Curtea de Apel Timișoara cu 1291 de dosare, cu 604 de cauze mai puţin faţă de anul precedent.</w:t>
      </w:r>
    </w:p>
    <w:p w:rsidR="007442AA" w:rsidRPr="002152E4" w:rsidRDefault="007442AA" w:rsidP="00D5288F">
      <w:pPr>
        <w:widowControl w:val="0"/>
        <w:autoSpaceDE w:val="0"/>
        <w:autoSpaceDN w:val="0"/>
        <w:adjustRightInd w:val="0"/>
        <w:ind w:firstLine="686"/>
        <w:jc w:val="both"/>
        <w:rPr>
          <w:lang w:val="ro-RO"/>
        </w:rPr>
      </w:pPr>
      <w:r w:rsidRPr="002152E4">
        <w:rPr>
          <w:lang w:val="ro-RO"/>
        </w:rPr>
        <w:t>La polul opus s-au aflat Parchetul d</w:t>
      </w:r>
      <w:r w:rsidR="00583E06">
        <w:rPr>
          <w:lang w:val="ro-RO"/>
        </w:rPr>
        <w:t>e pe lângă Curtea de Apel Cluj</w:t>
      </w:r>
      <w:r w:rsidRPr="002152E4">
        <w:rPr>
          <w:lang w:val="ro-RO"/>
        </w:rPr>
        <w:t xml:space="preserve"> cu un număr de numai 390, în scădere faţă de cele 490 de dosare din 2015 şi Parchetul de pe lângă Curtea de Apel Târgu Mureş cu 657 de cauze.</w:t>
      </w:r>
    </w:p>
    <w:p w:rsidR="007442AA" w:rsidRPr="002152E4" w:rsidRDefault="007442AA" w:rsidP="00D5288F">
      <w:pPr>
        <w:widowControl w:val="0"/>
        <w:autoSpaceDE w:val="0"/>
        <w:autoSpaceDN w:val="0"/>
        <w:adjustRightInd w:val="0"/>
        <w:ind w:firstLine="686"/>
        <w:jc w:val="both"/>
        <w:rPr>
          <w:lang w:val="ro-RO"/>
        </w:rPr>
      </w:pPr>
      <w:r w:rsidRPr="002152E4">
        <w:rPr>
          <w:lang w:val="ro-RO"/>
        </w:rPr>
        <w:t>Din totalul celor 154122 lucrări de soluţionat înregistrate la aceste unităţi de parchet în anul 2016, au fost soluţionate 138229, reprezentând o operativitate de 89,6%. În acelaşi timp, au fost înregistrate 16360 cauze penale de soluţionat, fiind soluţionate un număr de 10041 de dosare (61,3%).</w:t>
      </w:r>
    </w:p>
    <w:p w:rsidR="007442AA" w:rsidRPr="002152E4" w:rsidRDefault="00D5288F" w:rsidP="002B1A5B">
      <w:pPr>
        <w:pStyle w:val="Normal1"/>
        <w:rPr>
          <w:rFonts w:ascii="Calibri" w:hAnsi="Calibri"/>
        </w:rPr>
      </w:pPr>
      <w:bookmarkStart w:id="108" w:name="_Toc475362937"/>
      <w:r w:rsidRPr="002152E4">
        <w:rPr>
          <w:rFonts w:ascii="Calibri" w:hAnsi="Calibri"/>
        </w:rPr>
        <w:tab/>
      </w:r>
      <w:r w:rsidR="007442AA" w:rsidRPr="002152E4">
        <w:rPr>
          <w:rFonts w:ascii="Calibri" w:hAnsi="Calibri"/>
        </w:rPr>
        <w:t>Sub aspectul numărului de cauze soluţionate, situaţia din ultimii 5 ani se prezintă astfel:</w:t>
      </w:r>
      <w:bookmarkEnd w:id="108"/>
      <w:r w:rsidR="007442AA" w:rsidRPr="002152E4">
        <w:rPr>
          <w:rFonts w:ascii="Calibri" w:hAnsi="Calibri"/>
        </w:rPr>
        <w:t xml:space="preserve"> </w:t>
      </w:r>
    </w:p>
    <w:p w:rsidR="007442AA" w:rsidRPr="002152E4" w:rsidRDefault="007041EF" w:rsidP="002B1A5B">
      <w:pPr>
        <w:pStyle w:val="Normal1"/>
        <w:rPr>
          <w:b/>
        </w:rPr>
      </w:pPr>
      <w:r w:rsidRPr="002152E4">
        <w:rPr>
          <w:rFonts w:ascii="Calibri" w:hAnsi="Calibri"/>
          <w:b/>
          <w:noProof/>
          <w:lang w:val="en-US"/>
        </w:rPr>
        <w:drawing>
          <wp:inline distT="0" distB="0" distL="0" distR="0">
            <wp:extent cx="4343400" cy="2611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343400" cy="2611120"/>
                    </a:xfrm>
                    <a:prstGeom prst="rect">
                      <a:avLst/>
                    </a:prstGeom>
                    <a:noFill/>
                  </pic:spPr>
                </pic:pic>
              </a:graphicData>
            </a:graphic>
          </wp:inline>
        </w:drawing>
      </w:r>
    </w:p>
    <w:p w:rsidR="007442AA" w:rsidRPr="002152E4" w:rsidRDefault="00763975" w:rsidP="00763975">
      <w:pPr>
        <w:pStyle w:val="Heading3"/>
      </w:pPr>
      <w:bookmarkStart w:id="109" w:name="_Toc475363414"/>
      <w:bookmarkStart w:id="110" w:name="_Toc486576537"/>
      <w:r w:rsidRPr="002152E4">
        <w:t>III</w:t>
      </w:r>
      <w:r w:rsidR="007442AA" w:rsidRPr="002152E4">
        <w:t>.1.3. Activitatea la nivelul parchetelor de pe lângă tribunale</w:t>
      </w:r>
      <w:bookmarkEnd w:id="109"/>
      <w:bookmarkEnd w:id="110"/>
    </w:p>
    <w:p w:rsidR="007442AA" w:rsidRPr="002152E4" w:rsidRDefault="007442AA" w:rsidP="00D5288F">
      <w:pPr>
        <w:widowControl w:val="0"/>
        <w:autoSpaceDE w:val="0"/>
        <w:autoSpaceDN w:val="0"/>
        <w:adjustRightInd w:val="0"/>
        <w:ind w:firstLine="856"/>
        <w:jc w:val="both"/>
        <w:rPr>
          <w:lang w:val="ro-RO"/>
        </w:rPr>
      </w:pPr>
      <w:r w:rsidRPr="002152E4">
        <w:rPr>
          <w:lang w:val="ro-RO"/>
        </w:rPr>
        <w:t>La nivelul celor 43 de parchete de pe lângă tribunale a fost înregistrat un volum de activitate de 340779 de lucrări, din care 78363 de dosare penale, repartizate unui număr de 530 de procurori care au ocupat efectiv posturile existente în schema parchetelor de la acest nivel.</w:t>
      </w:r>
    </w:p>
    <w:p w:rsidR="007442AA" w:rsidRPr="002152E4" w:rsidRDefault="007442AA" w:rsidP="007442AA">
      <w:pPr>
        <w:spacing w:before="120" w:line="360" w:lineRule="auto"/>
        <w:jc w:val="both"/>
        <w:rPr>
          <w:lang w:val="ro-RO"/>
        </w:rPr>
      </w:pPr>
      <w:r w:rsidRPr="002152E4">
        <w:rPr>
          <w:lang w:val="ro-RO"/>
        </w:rPr>
        <w:tab/>
        <w:t>Comparativ, evoluţia acestor indicatori în ultimii 5 ani se prezintă astfel:</w:t>
      </w:r>
    </w:p>
    <w:p w:rsidR="007442AA" w:rsidRPr="002152E4" w:rsidRDefault="007041EF" w:rsidP="007442AA">
      <w:pPr>
        <w:spacing w:before="120" w:line="360" w:lineRule="auto"/>
        <w:jc w:val="center"/>
        <w:rPr>
          <w:lang w:val="ro-RO"/>
        </w:rPr>
      </w:pPr>
      <w:r w:rsidRPr="002152E4">
        <w:rPr>
          <w:noProof/>
        </w:rPr>
        <w:lastRenderedPageBreak/>
        <w:drawing>
          <wp:inline distT="0" distB="0" distL="0" distR="0">
            <wp:extent cx="5943600" cy="4000500"/>
            <wp:effectExtent l="0" t="0" r="0" b="0"/>
            <wp:docPr id="45" name="Object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7442AA" w:rsidRPr="002152E4" w:rsidRDefault="007442AA" w:rsidP="007442AA">
      <w:pPr>
        <w:widowControl w:val="0"/>
        <w:autoSpaceDE w:val="0"/>
        <w:autoSpaceDN w:val="0"/>
        <w:adjustRightInd w:val="0"/>
        <w:spacing w:line="360" w:lineRule="auto"/>
        <w:ind w:firstLine="684"/>
        <w:jc w:val="both"/>
        <w:rPr>
          <w:lang w:val="ro-RO"/>
        </w:rPr>
      </w:pPr>
      <w:r w:rsidRPr="002152E4">
        <w:rPr>
          <w:lang w:val="ro-RO"/>
        </w:rPr>
        <w:t>În funcţie de volumul de dosare penale, aceste unităţi de parchet se pot grupa astfel:</w:t>
      </w:r>
    </w:p>
    <w:p w:rsidR="007442AA" w:rsidRPr="002152E4" w:rsidRDefault="007442AA" w:rsidP="007442AA">
      <w:pPr>
        <w:widowControl w:val="0"/>
        <w:autoSpaceDE w:val="0"/>
        <w:autoSpaceDN w:val="0"/>
        <w:adjustRightInd w:val="0"/>
        <w:spacing w:line="360" w:lineRule="auto"/>
        <w:jc w:val="both"/>
        <w:rPr>
          <w:lang w:val="ro-RO"/>
        </w:rPr>
      </w:pPr>
      <w:r w:rsidRPr="002152E4">
        <w:rPr>
          <w:lang w:val="ro-RO"/>
        </w:rPr>
        <w:t>- unităţi cu un volum situat sub 1.000 de dosare: 10 parchete( 8 în anul precedent );</w:t>
      </w:r>
    </w:p>
    <w:p w:rsidR="007442AA" w:rsidRPr="002152E4" w:rsidRDefault="007442AA" w:rsidP="007442AA">
      <w:pPr>
        <w:widowControl w:val="0"/>
        <w:autoSpaceDE w:val="0"/>
        <w:autoSpaceDN w:val="0"/>
        <w:adjustRightInd w:val="0"/>
        <w:spacing w:line="360" w:lineRule="auto"/>
        <w:jc w:val="both"/>
        <w:rPr>
          <w:lang w:val="ro-RO"/>
        </w:rPr>
      </w:pPr>
      <w:r w:rsidRPr="002152E4">
        <w:rPr>
          <w:lang w:val="ro-RO"/>
        </w:rPr>
        <w:t>- unităţi cu un volum cuprins între 1.000 – 3.000 de dosare: 28 de unități de parchet, faţă de 30 în 2015;</w:t>
      </w:r>
    </w:p>
    <w:p w:rsidR="007442AA" w:rsidRPr="002152E4" w:rsidRDefault="007442AA" w:rsidP="007442AA">
      <w:pPr>
        <w:widowControl w:val="0"/>
        <w:autoSpaceDE w:val="0"/>
        <w:autoSpaceDN w:val="0"/>
        <w:adjustRightInd w:val="0"/>
        <w:spacing w:line="360" w:lineRule="auto"/>
        <w:jc w:val="both"/>
        <w:rPr>
          <w:lang w:val="ro-RO"/>
        </w:rPr>
      </w:pPr>
      <w:r w:rsidRPr="002152E4">
        <w:rPr>
          <w:lang w:val="ro-RO"/>
        </w:rPr>
        <w:t>- unităţi cu un volum de peste 3.000 de dosare: 5 parchete ( 5 şi în 2015 )</w:t>
      </w:r>
    </w:p>
    <w:p w:rsidR="007442AA" w:rsidRPr="002152E4" w:rsidRDefault="007442AA" w:rsidP="007442AA">
      <w:pPr>
        <w:spacing w:before="120" w:line="360" w:lineRule="auto"/>
        <w:ind w:firstLine="708"/>
        <w:jc w:val="both"/>
        <w:rPr>
          <w:b/>
          <w:lang w:val="ro-RO"/>
        </w:rPr>
      </w:pPr>
      <w:r w:rsidRPr="002152E4">
        <w:rPr>
          <w:b/>
          <w:lang w:val="ro-RO"/>
        </w:rPr>
        <w:t>Volumul de activitate al parchetelor de pe lângă tribunale – situaţie comparativă privind dosarele penale:</w:t>
      </w:r>
    </w:p>
    <w:p w:rsidR="007442AA" w:rsidRPr="002152E4" w:rsidRDefault="007041EF" w:rsidP="007442AA">
      <w:pPr>
        <w:spacing w:before="120" w:line="360" w:lineRule="auto"/>
        <w:ind w:firstLine="708"/>
        <w:jc w:val="center"/>
        <w:rPr>
          <w:b/>
          <w:lang w:val="ro-RO"/>
        </w:rPr>
      </w:pPr>
      <w:r w:rsidRPr="002152E4">
        <w:rPr>
          <w:b/>
          <w:noProof/>
        </w:rPr>
        <w:drawing>
          <wp:inline distT="0" distB="0" distL="0" distR="0">
            <wp:extent cx="4732020" cy="2232660"/>
            <wp:effectExtent l="0" t="0" r="0" b="0"/>
            <wp:docPr id="46" name="Object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7442AA" w:rsidRPr="002152E4" w:rsidRDefault="007442AA" w:rsidP="007442AA">
      <w:pPr>
        <w:tabs>
          <w:tab w:val="left" w:pos="225"/>
        </w:tabs>
        <w:spacing w:line="360" w:lineRule="auto"/>
        <w:jc w:val="both"/>
        <w:rPr>
          <w:lang w:val="ro-RO"/>
        </w:rPr>
      </w:pPr>
    </w:p>
    <w:p w:rsidR="007442AA" w:rsidRPr="002152E4" w:rsidRDefault="007442AA" w:rsidP="00D5288F">
      <w:pPr>
        <w:spacing w:before="120"/>
        <w:ind w:firstLine="720"/>
        <w:jc w:val="both"/>
        <w:rPr>
          <w:lang w:val="ro-RO"/>
        </w:rPr>
      </w:pPr>
      <w:r w:rsidRPr="002152E4">
        <w:rPr>
          <w:lang w:val="ro-RO"/>
        </w:rPr>
        <w:t xml:space="preserve">Cu un volum ridicat de activitate se remarcă, aşa cum s-a întâmplat mereu în ultimii ani, Parchetul de pe lângă Tribunalul Bucureşti, care a înregistrat în perioada de referinţă un volum de lucrări de 38737,  dintre care 12927 de dosare penale, în creştere faţă de anul anterior la capitolul lucrări, cu 2190 de unităţi şi în scădere cu 294 de unităţi în ceea ce priveşte numărul de dosare. În ordine descrescătoare a volumului de activitate, prin prisma numărului cauzelor penale, Parchetul de </w:t>
      </w:r>
      <w:r w:rsidRPr="002152E4">
        <w:rPr>
          <w:lang w:val="ro-RO"/>
        </w:rPr>
        <w:lastRenderedPageBreak/>
        <w:t>pe lângă Tribunalul Bucureşti a fost urmat de Parchetul de pe lângă Tribunalul Constanţa cu 4965 de dosare (în creştere la acest indicator si păstrând neschimbată ierarhia de anul trecut) şi de Parchetul de pe lângă Tribunalul Vrancea cu 3450 de dosare de soluţionat.</w:t>
      </w:r>
    </w:p>
    <w:p w:rsidR="007442AA" w:rsidRPr="002152E4" w:rsidRDefault="007442AA" w:rsidP="00D5288F">
      <w:pPr>
        <w:spacing w:before="120"/>
        <w:ind w:firstLine="720"/>
        <w:jc w:val="both"/>
        <w:rPr>
          <w:lang w:val="ro-RO"/>
        </w:rPr>
      </w:pPr>
      <w:r w:rsidRPr="002152E4">
        <w:rPr>
          <w:lang w:val="ro-RO"/>
        </w:rPr>
        <w:t>Din totalul de 340779 de lucrări de soluţionat (dintre care 78363 de dosare penale) înregistrate la aceste unităţi de parchet, au fost soluţionate un număr de 281442 de lucrări (din care 32908 dosare penale). Procentul de soluţionare a lucrărilor a fost determinat la 82,5%, iar cel al dosarelor la 42 %.</w:t>
      </w:r>
    </w:p>
    <w:p w:rsidR="007442AA" w:rsidRPr="002152E4" w:rsidRDefault="00D5288F" w:rsidP="00E51382">
      <w:pPr>
        <w:jc w:val="both"/>
        <w:rPr>
          <w:lang w:val="ro-RO"/>
        </w:rPr>
      </w:pPr>
      <w:r w:rsidRPr="002152E4">
        <w:rPr>
          <w:lang w:val="ro-RO"/>
        </w:rPr>
        <w:tab/>
      </w:r>
      <w:r w:rsidR="007442AA" w:rsidRPr="002152E4">
        <w:rPr>
          <w:lang w:val="ro-RO"/>
        </w:rPr>
        <w:t xml:space="preserve"> Sub aspectul numărului de dosare soluţionate, dinamica ultimilor 5 ani se prezintă astfel:</w:t>
      </w:r>
    </w:p>
    <w:p w:rsidR="007442AA" w:rsidRPr="002152E4" w:rsidRDefault="007041EF" w:rsidP="007442AA">
      <w:pPr>
        <w:spacing w:line="360" w:lineRule="auto"/>
        <w:jc w:val="both"/>
        <w:rPr>
          <w:lang w:val="ro-RO"/>
        </w:rPr>
      </w:pPr>
      <w:r w:rsidRPr="002152E4">
        <w:rPr>
          <w:noProof/>
        </w:rPr>
        <w:drawing>
          <wp:inline distT="0" distB="0" distL="0" distR="0">
            <wp:extent cx="4574540" cy="2745740"/>
            <wp:effectExtent l="0" t="0" r="16510" b="16510"/>
            <wp:docPr id="4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7442AA" w:rsidRPr="002152E4" w:rsidRDefault="007442AA" w:rsidP="007442AA">
      <w:pPr>
        <w:spacing w:before="120" w:line="360" w:lineRule="auto"/>
        <w:ind w:firstLine="720"/>
        <w:jc w:val="both"/>
        <w:rPr>
          <w:b/>
          <w:lang w:val="ro-RO"/>
        </w:rPr>
      </w:pPr>
      <w:r w:rsidRPr="002152E4">
        <w:rPr>
          <w:b/>
          <w:lang w:val="ro-RO"/>
        </w:rPr>
        <w:t xml:space="preserve">Activitatea </w:t>
      </w:r>
      <w:smartTag w:uri="urn:schemas-microsoft-com:office:smarttags" w:element="PersonName">
        <w:smartTagPr>
          <w:attr w:name="ProductID" w:val="la nivelul Parchetului"/>
        </w:smartTagPr>
        <w:r w:rsidRPr="002152E4">
          <w:rPr>
            <w:b/>
            <w:lang w:val="ro-RO"/>
          </w:rPr>
          <w:t>la nivelul Parchetului</w:t>
        </w:r>
      </w:smartTag>
      <w:r w:rsidRPr="002152E4">
        <w:rPr>
          <w:b/>
          <w:lang w:val="ro-RO"/>
        </w:rPr>
        <w:t xml:space="preserve"> de pe lângă Tribunalul pentru cauze cu minori şi de familie Braşov</w:t>
      </w:r>
    </w:p>
    <w:p w:rsidR="00763975" w:rsidRPr="002152E4" w:rsidRDefault="007442AA" w:rsidP="00D5288F">
      <w:pPr>
        <w:spacing w:before="120"/>
        <w:ind w:firstLine="720"/>
        <w:jc w:val="both"/>
        <w:rPr>
          <w:kern w:val="28"/>
          <w:lang w:val="ro-RO"/>
        </w:rPr>
      </w:pPr>
      <w:r w:rsidRPr="002152E4">
        <w:rPr>
          <w:kern w:val="28"/>
          <w:lang w:val="ro-RO"/>
        </w:rPr>
        <w:t>La nivelul unicului parchet specializat existent în prezent în această materie la nivel naţional, în 2016 s-au înregistrat 2318 de lucrări de soluţionat, din care 211 dosare. În anul 2016 au fost soluţionate 2196 de lucrări, din care 147 de dosare penale. Cât priveşte numărul de procurori activi care operează la nivelul Parchetului de pe lângă Tribunalul Specializat pentru Minori şi Familie Braşov, acesta este de 2 procurori, cu schema ocupată integral.</w:t>
      </w:r>
    </w:p>
    <w:p w:rsidR="00763975" w:rsidRPr="002152E4" w:rsidRDefault="007442AA" w:rsidP="00D5288F">
      <w:pPr>
        <w:pStyle w:val="Heading3"/>
      </w:pPr>
      <w:bookmarkStart w:id="111" w:name="_Toc475363415"/>
      <w:bookmarkStart w:id="112" w:name="_Toc486576538"/>
      <w:r w:rsidRPr="002152E4">
        <w:t>I</w:t>
      </w:r>
      <w:r w:rsidR="00763975" w:rsidRPr="002152E4">
        <w:t>II</w:t>
      </w:r>
      <w:r w:rsidRPr="002152E4">
        <w:t>.1.4. Activitatea la nivelul parchetelor de pe lângă judecătorii</w:t>
      </w:r>
      <w:bookmarkEnd w:id="111"/>
      <w:bookmarkEnd w:id="112"/>
    </w:p>
    <w:p w:rsidR="007442AA" w:rsidRPr="002152E4" w:rsidRDefault="007442AA" w:rsidP="00D5288F">
      <w:pPr>
        <w:tabs>
          <w:tab w:val="left" w:pos="720"/>
        </w:tabs>
        <w:spacing w:before="120"/>
        <w:ind w:firstLine="708"/>
        <w:jc w:val="both"/>
        <w:rPr>
          <w:lang w:val="ro-RO"/>
        </w:rPr>
      </w:pPr>
      <w:r w:rsidRPr="002152E4">
        <w:rPr>
          <w:lang w:val="ro-RO"/>
        </w:rPr>
        <w:t>În perioada de referinţă, la nivelul întregii ţări au funcţionat un număr de 176 parchete pe lângă judecătorii, care au înregistrat un volum de activitate de 2580170 de lucrări de soluţionat, din care 1638332 de dosare, repartizate unui număr de 1107 de procurori activi într-o schemă de 1345 de posturi.</w:t>
      </w:r>
    </w:p>
    <w:p w:rsidR="00D5288F" w:rsidRPr="002152E4" w:rsidRDefault="007442AA" w:rsidP="00D5288F">
      <w:pPr>
        <w:spacing w:before="120"/>
        <w:ind w:firstLine="708"/>
        <w:jc w:val="both"/>
        <w:rPr>
          <w:lang w:val="ro-RO"/>
        </w:rPr>
      </w:pPr>
      <w:r w:rsidRPr="002152E4">
        <w:rPr>
          <w:lang w:val="ro-RO"/>
        </w:rPr>
        <w:t>Volumul de activitate al acestor unităţi a crescut nesemnificativ în anul 2016 faţă de anul precedent în ceea ce priveşte numărul de lucrări (cu 6923 de lucrări, crestere de doar 0,26%) dar a scăzut cu 59605 de unităţi la dosarele penale (scădere de 3,5%).</w:t>
      </w:r>
    </w:p>
    <w:p w:rsidR="007442AA" w:rsidRPr="002152E4" w:rsidRDefault="007442AA" w:rsidP="00D5288F">
      <w:pPr>
        <w:spacing w:before="120"/>
        <w:ind w:firstLine="708"/>
        <w:jc w:val="both"/>
        <w:rPr>
          <w:lang w:val="ro-RO"/>
        </w:rPr>
      </w:pPr>
      <w:r w:rsidRPr="002152E4">
        <w:rPr>
          <w:bCs/>
          <w:lang w:val="ro-RO"/>
        </w:rPr>
        <w:t>Din punct de vedere grafic, situaţia din ultimii 5 ani se prezintă astfel:</w:t>
      </w:r>
    </w:p>
    <w:p w:rsidR="007442AA" w:rsidRPr="002152E4" w:rsidRDefault="007041EF" w:rsidP="007442AA">
      <w:pPr>
        <w:spacing w:before="120" w:line="360" w:lineRule="auto"/>
        <w:jc w:val="both"/>
        <w:rPr>
          <w:bCs/>
          <w:lang w:val="ro-RO"/>
        </w:rPr>
      </w:pPr>
      <w:r w:rsidRPr="002152E4">
        <w:rPr>
          <w:noProof/>
        </w:rPr>
        <w:lastRenderedPageBreak/>
        <w:drawing>
          <wp:inline distT="0" distB="0" distL="0" distR="0">
            <wp:extent cx="5311775" cy="2738120"/>
            <wp:effectExtent l="0" t="0" r="3175" b="5080"/>
            <wp:docPr id="4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7442AA" w:rsidRPr="002152E4" w:rsidRDefault="007442AA" w:rsidP="007442AA">
      <w:pPr>
        <w:spacing w:before="120" w:line="360" w:lineRule="auto"/>
        <w:ind w:firstLine="684"/>
        <w:jc w:val="both"/>
        <w:rPr>
          <w:lang w:val="ro-RO"/>
        </w:rPr>
      </w:pPr>
      <w:r w:rsidRPr="002152E4">
        <w:rPr>
          <w:b/>
          <w:lang w:val="ro-RO"/>
        </w:rPr>
        <w:t xml:space="preserve"> </w:t>
      </w:r>
      <w:r w:rsidRPr="002152E4">
        <w:rPr>
          <w:lang w:val="ro-RO"/>
        </w:rPr>
        <w:t>În funcţie de volumul de activitate, parchetele de pe lângă judecătorii se pot clasifica astfel:</w:t>
      </w:r>
    </w:p>
    <w:p w:rsidR="007442AA" w:rsidRPr="002152E4" w:rsidRDefault="007442AA" w:rsidP="007442AA">
      <w:pPr>
        <w:spacing w:before="120" w:line="360" w:lineRule="auto"/>
        <w:ind w:firstLine="684"/>
        <w:jc w:val="both"/>
        <w:rPr>
          <w:lang w:val="ro-RO"/>
        </w:rPr>
      </w:pPr>
      <w:r w:rsidRPr="002152E4">
        <w:rPr>
          <w:lang w:val="ro-RO"/>
        </w:rPr>
        <w:t xml:space="preserve">- unităţi cu volum mai mic de 3.000 dosare:  </w:t>
      </w:r>
      <w:r w:rsidRPr="002152E4">
        <w:rPr>
          <w:b/>
          <w:lang w:val="ro-RO"/>
        </w:rPr>
        <w:t xml:space="preserve">65 </w:t>
      </w:r>
      <w:r w:rsidRPr="002152E4">
        <w:rPr>
          <w:lang w:val="ro-RO"/>
        </w:rPr>
        <w:t>( 64 în anul 2015);</w:t>
      </w:r>
    </w:p>
    <w:p w:rsidR="007442AA" w:rsidRPr="002152E4" w:rsidRDefault="007442AA" w:rsidP="007442AA">
      <w:pPr>
        <w:spacing w:before="120" w:line="360" w:lineRule="auto"/>
        <w:ind w:firstLine="684"/>
        <w:jc w:val="both"/>
        <w:rPr>
          <w:b/>
          <w:lang w:val="ro-RO"/>
        </w:rPr>
      </w:pPr>
      <w:r w:rsidRPr="002152E4">
        <w:rPr>
          <w:lang w:val="ro-RO"/>
        </w:rPr>
        <w:t xml:space="preserve">- unităţi cu volum cuprins între 3.000 – 5.000 dosare: </w:t>
      </w:r>
      <w:r w:rsidRPr="002152E4">
        <w:rPr>
          <w:b/>
          <w:lang w:val="ro-RO"/>
        </w:rPr>
        <w:t xml:space="preserve">36 </w:t>
      </w:r>
      <w:r w:rsidRPr="002152E4">
        <w:rPr>
          <w:lang w:val="ro-RO"/>
        </w:rPr>
        <w:t>(35</w:t>
      </w:r>
      <w:r w:rsidRPr="002152E4">
        <w:rPr>
          <w:b/>
          <w:lang w:val="ro-RO"/>
        </w:rPr>
        <w:t xml:space="preserve"> </w:t>
      </w:r>
      <w:r w:rsidRPr="002152E4">
        <w:rPr>
          <w:lang w:val="ro-RO"/>
        </w:rPr>
        <w:t>în 2015);</w:t>
      </w:r>
      <w:r w:rsidRPr="002152E4">
        <w:rPr>
          <w:b/>
          <w:lang w:val="ro-RO"/>
        </w:rPr>
        <w:tab/>
      </w:r>
    </w:p>
    <w:p w:rsidR="007442AA" w:rsidRPr="002152E4" w:rsidRDefault="007442AA" w:rsidP="007442AA">
      <w:pPr>
        <w:spacing w:before="120" w:line="360" w:lineRule="auto"/>
        <w:ind w:firstLine="708"/>
        <w:jc w:val="both"/>
        <w:rPr>
          <w:lang w:val="ro-RO"/>
        </w:rPr>
      </w:pPr>
      <w:r w:rsidRPr="002152E4">
        <w:rPr>
          <w:lang w:val="ro-RO"/>
        </w:rPr>
        <w:t xml:space="preserve">- unităţi cu volum cuprins între 5.000 – 10.000 dosare: </w:t>
      </w:r>
      <w:r w:rsidRPr="002152E4">
        <w:rPr>
          <w:b/>
          <w:lang w:val="ro-RO"/>
        </w:rPr>
        <w:t xml:space="preserve">29 </w:t>
      </w:r>
      <w:r w:rsidRPr="002152E4">
        <w:rPr>
          <w:lang w:val="ro-RO"/>
        </w:rPr>
        <w:t>(32 în anul trecut);</w:t>
      </w:r>
    </w:p>
    <w:p w:rsidR="007442AA" w:rsidRPr="002152E4" w:rsidRDefault="007442AA" w:rsidP="007442AA">
      <w:pPr>
        <w:spacing w:before="120" w:line="360" w:lineRule="auto"/>
        <w:ind w:firstLine="708"/>
        <w:jc w:val="both"/>
        <w:rPr>
          <w:lang w:val="ro-RO"/>
        </w:rPr>
      </w:pPr>
      <w:r w:rsidRPr="002152E4">
        <w:rPr>
          <w:lang w:val="ro-RO"/>
        </w:rPr>
        <w:t xml:space="preserve">- unităţi cu volum cuprins între 10.000 – 15.000 dosare: </w:t>
      </w:r>
      <w:r w:rsidRPr="002152E4">
        <w:rPr>
          <w:b/>
          <w:lang w:val="ro-RO"/>
        </w:rPr>
        <w:t xml:space="preserve">19 </w:t>
      </w:r>
      <w:r w:rsidRPr="002152E4">
        <w:rPr>
          <w:lang w:val="ro-RO"/>
        </w:rPr>
        <w:t>(19 şi în 2015)</w:t>
      </w:r>
    </w:p>
    <w:p w:rsidR="007442AA" w:rsidRPr="002152E4" w:rsidRDefault="007442AA" w:rsidP="007442AA">
      <w:pPr>
        <w:spacing w:before="120" w:line="360" w:lineRule="auto"/>
        <w:ind w:firstLine="708"/>
        <w:jc w:val="both"/>
        <w:rPr>
          <w:lang w:val="ro-RO"/>
        </w:rPr>
      </w:pPr>
      <w:r w:rsidRPr="002152E4">
        <w:rPr>
          <w:lang w:val="ro-RO"/>
        </w:rPr>
        <w:t xml:space="preserve">- unităţi cu volum cuprins între 15.000 – 20.000 dosare: </w:t>
      </w:r>
      <w:r w:rsidRPr="002152E4">
        <w:rPr>
          <w:b/>
          <w:lang w:val="ro-RO"/>
        </w:rPr>
        <w:t>7</w:t>
      </w:r>
      <w:r w:rsidRPr="002152E4">
        <w:rPr>
          <w:lang w:val="ro-RO"/>
        </w:rPr>
        <w:t xml:space="preserve"> (6 în 2015)</w:t>
      </w:r>
      <w:r w:rsidRPr="002152E4">
        <w:rPr>
          <w:b/>
          <w:lang w:val="ro-RO"/>
        </w:rPr>
        <w:t>;</w:t>
      </w:r>
    </w:p>
    <w:p w:rsidR="007442AA" w:rsidRPr="002152E4" w:rsidRDefault="007442AA" w:rsidP="007442AA">
      <w:pPr>
        <w:spacing w:before="120" w:line="360" w:lineRule="auto"/>
        <w:ind w:firstLine="708"/>
        <w:jc w:val="both"/>
        <w:rPr>
          <w:lang w:val="ro-RO"/>
        </w:rPr>
      </w:pPr>
      <w:r w:rsidRPr="002152E4">
        <w:rPr>
          <w:lang w:val="ro-RO"/>
        </w:rPr>
        <w:t xml:space="preserve">- unităţi cu volum cuprins între 20.000 – 30.000 dosare: </w:t>
      </w:r>
      <w:r w:rsidRPr="002152E4">
        <w:rPr>
          <w:b/>
          <w:lang w:val="ro-RO"/>
        </w:rPr>
        <w:t xml:space="preserve">7 </w:t>
      </w:r>
      <w:r w:rsidRPr="002152E4">
        <w:rPr>
          <w:lang w:val="ro-RO"/>
        </w:rPr>
        <w:t>(la fel şi anul trecut);</w:t>
      </w:r>
    </w:p>
    <w:p w:rsidR="007442AA" w:rsidRPr="002152E4" w:rsidRDefault="007442AA" w:rsidP="007442AA">
      <w:pPr>
        <w:spacing w:before="120" w:line="360" w:lineRule="auto"/>
        <w:ind w:firstLine="708"/>
        <w:jc w:val="both"/>
        <w:rPr>
          <w:lang w:val="ro-RO"/>
        </w:rPr>
      </w:pPr>
      <w:r w:rsidRPr="002152E4">
        <w:rPr>
          <w:lang w:val="ro-RO"/>
        </w:rPr>
        <w:t xml:space="preserve">- unităţi cu un volum de peste 30.000 dosare: </w:t>
      </w:r>
      <w:r w:rsidRPr="002152E4">
        <w:rPr>
          <w:b/>
          <w:lang w:val="ro-RO"/>
        </w:rPr>
        <w:t xml:space="preserve">13 </w:t>
      </w:r>
      <w:r w:rsidRPr="002152E4">
        <w:rPr>
          <w:lang w:val="ro-RO"/>
        </w:rPr>
        <w:t>(13 şi în anul 2015).</w:t>
      </w:r>
    </w:p>
    <w:p w:rsidR="007442AA" w:rsidRPr="002152E4" w:rsidRDefault="007442AA" w:rsidP="007442AA">
      <w:pPr>
        <w:spacing w:before="120" w:line="360" w:lineRule="auto"/>
        <w:ind w:firstLine="708"/>
        <w:jc w:val="both"/>
        <w:rPr>
          <w:b/>
          <w:lang w:val="ro-RO"/>
        </w:rPr>
      </w:pPr>
      <w:r w:rsidRPr="002152E4">
        <w:rPr>
          <w:b/>
          <w:lang w:val="ro-RO"/>
        </w:rPr>
        <w:t>Clasificarea parchetelor de pe lângă judecătorii  după volumul de activitate al acestora în materia dosarelor penale se prezintă grafic astfel:</w:t>
      </w:r>
    </w:p>
    <w:p w:rsidR="007442AA" w:rsidRPr="002152E4" w:rsidRDefault="007041EF" w:rsidP="007442AA">
      <w:pPr>
        <w:tabs>
          <w:tab w:val="left" w:pos="1335"/>
        </w:tabs>
        <w:rPr>
          <w:b/>
          <w:lang w:val="ro-RO"/>
        </w:rPr>
      </w:pPr>
      <w:r w:rsidRPr="002152E4">
        <w:rPr>
          <w:noProof/>
        </w:rPr>
        <w:lastRenderedPageBreak/>
        <w:drawing>
          <wp:anchor distT="0" distB="0" distL="114300" distR="114300" simplePos="0" relativeHeight="251654656" behindDoc="0" locked="0" layoutInCell="1" allowOverlap="1">
            <wp:simplePos x="0" y="0"/>
            <wp:positionH relativeFrom="column">
              <wp:posOffset>434340</wp:posOffset>
            </wp:positionH>
            <wp:positionV relativeFrom="paragraph">
              <wp:posOffset>48260</wp:posOffset>
            </wp:positionV>
            <wp:extent cx="5105400" cy="3235325"/>
            <wp:effectExtent l="10795" t="8255" r="8255" b="13970"/>
            <wp:wrapSquare wrapText="left"/>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page">
              <wp14:pctWidth>0</wp14:pctWidth>
            </wp14:sizeRelH>
            <wp14:sizeRelV relativeFrom="page">
              <wp14:pctHeight>0</wp14:pctHeight>
            </wp14:sizeRelV>
          </wp:anchor>
        </w:drawing>
      </w:r>
      <w:r w:rsidR="007442AA" w:rsidRPr="002152E4">
        <w:rPr>
          <w:b/>
          <w:lang w:val="ro-RO"/>
        </w:rPr>
        <w:br w:type="textWrapping" w:clear="all"/>
      </w:r>
    </w:p>
    <w:p w:rsidR="007442AA" w:rsidRPr="002152E4" w:rsidRDefault="007442AA" w:rsidP="00D5288F">
      <w:pPr>
        <w:ind w:firstLine="708"/>
        <w:jc w:val="both"/>
        <w:rPr>
          <w:lang w:val="ro-RO"/>
        </w:rPr>
      </w:pPr>
      <w:r w:rsidRPr="002152E4">
        <w:rPr>
          <w:lang w:val="ro-RO"/>
        </w:rPr>
        <w:t xml:space="preserve">Se constată astfel că, în ultimii 3 ani, au existat 13 unităţi de parchet ce au înregistrat un volum de activitate de peste 30.000 de cauze. Se poate de asemenea observa că, sub aspectul criteriului volumului de activitate, fluctuaţiile de la o categorie la alta au fost nesemnificative în perioada 2014-2016. </w:t>
      </w:r>
    </w:p>
    <w:p w:rsidR="007442AA" w:rsidRPr="002152E4" w:rsidRDefault="007442AA" w:rsidP="00D5288F">
      <w:pPr>
        <w:spacing w:before="120"/>
        <w:ind w:firstLine="720"/>
        <w:jc w:val="both"/>
        <w:rPr>
          <w:lang w:val="ro-RO"/>
        </w:rPr>
      </w:pPr>
      <w:r w:rsidRPr="002152E4">
        <w:rPr>
          <w:lang w:val="ro-RO"/>
        </w:rPr>
        <w:t xml:space="preserve"> De asemenea, este de reţinut şi faptul că din cele 13 parchete care au avut un volum de activitate mai mare de 30.000 de dosare penale, 10 (la fel cu un an în urma) unităţi de parchet au depăşit numărul de 40.000 de cauze, iar 7 (anul trecut, 9) parchete dintre acestea au avut chiar un volum de activitate mai mare de 50.000 de dosare ( între acestea trebuie menţionate în mod special 3 parchete, </w:t>
      </w:r>
      <w:r w:rsidRPr="002152E4">
        <w:rPr>
          <w:b/>
          <w:bCs/>
          <w:lang w:val="ro-RO"/>
        </w:rPr>
        <w:t>Parchetul de pe lângă Judecătoria Sectorului 2 Bucureşti, Parchetul de pe lângă Judecătoria Sectorului 3 Bucureşti</w:t>
      </w:r>
      <w:r w:rsidRPr="002152E4">
        <w:rPr>
          <w:lang w:val="ro-RO"/>
        </w:rPr>
        <w:t xml:space="preserve"> şi </w:t>
      </w:r>
      <w:r w:rsidRPr="002152E4">
        <w:rPr>
          <w:b/>
          <w:bCs/>
          <w:lang w:val="ro-RO"/>
        </w:rPr>
        <w:t xml:space="preserve">Parchetul de pe lângă Judecătoria Constanţa </w:t>
      </w:r>
      <w:r w:rsidRPr="002152E4">
        <w:rPr>
          <w:bCs/>
          <w:lang w:val="ro-RO"/>
        </w:rPr>
        <w:t>cu peste 65000 de cauze de solutionat).</w:t>
      </w:r>
      <w:r w:rsidRPr="002152E4">
        <w:rPr>
          <w:lang w:val="ro-RO"/>
        </w:rPr>
        <w:t xml:space="preserve"> Urmează în ordinea numărului de dosare de solutionat, mai mare oricum de 50000 de cauze, </w:t>
      </w:r>
      <w:r w:rsidRPr="002152E4">
        <w:rPr>
          <w:b/>
          <w:bCs/>
          <w:lang w:val="ro-RO"/>
        </w:rPr>
        <w:t xml:space="preserve">Parchetul de pe lângă Judecătoria Sectorului 6 Bucureşti, Parchetul de pe lângă Judecătoria Sectorului 1 Bucureşti, Parchetul de pe lângă Judecătoria Iaşi şi Parchetul de pe lângă Judecătoria Sectorului 4 Bucureşti. </w:t>
      </w:r>
      <w:r w:rsidRPr="002152E4">
        <w:rPr>
          <w:lang w:val="ro-RO"/>
        </w:rPr>
        <w:t>Din totalul de 2580170 de lucrări de soluţionat înregistrate la aceste unităţi de parchet, au fost soluţionate un număr de 1688332 de lucrări, reprezentând aproximativ 55%, un procentaj de soluţionare similar celui de anul trecut.</w:t>
      </w:r>
    </w:p>
    <w:p w:rsidR="007442AA" w:rsidRPr="002152E4" w:rsidRDefault="007442AA" w:rsidP="00D5288F">
      <w:pPr>
        <w:spacing w:before="120"/>
        <w:ind w:firstLine="720"/>
        <w:jc w:val="both"/>
        <w:rPr>
          <w:lang w:val="ro-RO"/>
        </w:rPr>
      </w:pPr>
      <w:r w:rsidRPr="002152E4">
        <w:rPr>
          <w:lang w:val="ro-RO"/>
        </w:rPr>
        <w:t>De asemenea, din cele 1638332 de dosare penale de soluţionat în anul 2016, au fost soluţionate 512767 de cauze, reprezentând un procentaj de 31%, în scădere cu 3% faţă de cel din anul anterior.</w:t>
      </w:r>
    </w:p>
    <w:p w:rsidR="007442AA" w:rsidRPr="002152E4" w:rsidRDefault="007442AA" w:rsidP="00D5288F">
      <w:pPr>
        <w:ind w:firstLine="684"/>
        <w:jc w:val="both"/>
        <w:rPr>
          <w:lang w:val="ro-RO"/>
        </w:rPr>
      </w:pPr>
      <w:r w:rsidRPr="002152E4">
        <w:rPr>
          <w:lang w:val="ro-RO"/>
        </w:rPr>
        <w:t xml:space="preserve"> Sub aspectul numărului de dosare soluţionate, dinamica ultimilor 5 ani se prezintă astfel:</w:t>
      </w:r>
    </w:p>
    <w:p w:rsidR="007442AA" w:rsidRPr="002152E4" w:rsidRDefault="007041EF" w:rsidP="007442AA">
      <w:pPr>
        <w:spacing w:line="360" w:lineRule="auto"/>
        <w:jc w:val="center"/>
        <w:rPr>
          <w:lang w:val="ro-RO"/>
        </w:rPr>
      </w:pPr>
      <w:r w:rsidRPr="002152E4">
        <w:rPr>
          <w:noProof/>
        </w:rPr>
        <w:lastRenderedPageBreak/>
        <w:drawing>
          <wp:inline distT="0" distB="0" distL="0" distR="0">
            <wp:extent cx="5486400" cy="3657600"/>
            <wp:effectExtent l="0" t="0" r="0" b="0"/>
            <wp:docPr id="49" name="Object 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7442AA" w:rsidRPr="002152E4" w:rsidRDefault="007442AA" w:rsidP="007442AA">
      <w:pPr>
        <w:jc w:val="both"/>
        <w:rPr>
          <w:lang w:val="ro-RO"/>
        </w:rPr>
      </w:pPr>
    </w:p>
    <w:p w:rsidR="007442AA" w:rsidRPr="002152E4" w:rsidRDefault="007442AA" w:rsidP="00D5288F">
      <w:pPr>
        <w:ind w:firstLine="708"/>
        <w:jc w:val="both"/>
        <w:rPr>
          <w:lang w:val="ro-RO"/>
        </w:rPr>
      </w:pPr>
      <w:r w:rsidRPr="002152E4">
        <w:rPr>
          <w:lang w:val="ro-RO"/>
        </w:rPr>
        <w:t xml:space="preserve">În ceea ce priveşte </w:t>
      </w:r>
      <w:r w:rsidRPr="002152E4">
        <w:rPr>
          <w:b/>
          <w:bCs/>
          <w:lang w:val="ro-RO"/>
        </w:rPr>
        <w:t>Parchetele Militare</w:t>
      </w:r>
      <w:r w:rsidRPr="002152E4">
        <w:rPr>
          <w:lang w:val="ro-RO"/>
        </w:rPr>
        <w:t xml:space="preserve">, numărul lucrărilor de soluţionat în anul </w:t>
      </w:r>
      <w:smartTag w:uri="urn:schemas-microsoft-com:office:smarttags" w:element="metricconverter">
        <w:smartTagPr>
          <w:attr w:name="ProductID" w:val="2016 a"/>
        </w:smartTagPr>
        <w:r w:rsidRPr="002152E4">
          <w:rPr>
            <w:lang w:val="ro-RO"/>
          </w:rPr>
          <w:t>2016 a</w:t>
        </w:r>
      </w:smartTag>
      <w:r w:rsidRPr="002152E4">
        <w:rPr>
          <w:lang w:val="ro-RO"/>
        </w:rPr>
        <w:t xml:space="preserve"> fost de 11160, din care au fost soluţionate 8630 (77%) prin participarea unui număr total de 59 procurori militari. De asemenea, numărul cauzelor de soluţionat a fost de 3970, fiind soluţionate 1973 dosare (50%) prin participarea unui număr 40 de procurori militari care au lucrat efectiv la instrumentarea acestor cauze penale.</w:t>
      </w:r>
    </w:p>
    <w:p w:rsidR="005B0822" w:rsidRPr="002152E4" w:rsidRDefault="005B0822" w:rsidP="00D5288F">
      <w:pPr>
        <w:ind w:firstLine="708"/>
        <w:jc w:val="both"/>
        <w:rPr>
          <w:lang w:val="ro-RO"/>
        </w:rPr>
      </w:pPr>
    </w:p>
    <w:p w:rsidR="007442AA" w:rsidRPr="002152E4" w:rsidRDefault="009230D2" w:rsidP="00D5288F">
      <w:pPr>
        <w:pStyle w:val="Heading2"/>
        <w:spacing w:line="240" w:lineRule="auto"/>
      </w:pPr>
      <w:bookmarkStart w:id="113" w:name="_Toc475363416"/>
      <w:bookmarkStart w:id="114" w:name="_Toc486576539"/>
      <w:bookmarkStart w:id="115" w:name="_GoBack"/>
      <w:bookmarkEnd w:id="115"/>
      <w:r w:rsidRPr="002152E4">
        <w:t>III</w:t>
      </w:r>
      <w:r w:rsidR="007442AA" w:rsidRPr="002152E4">
        <w:t>.2. Încărcătura pe procuror</w:t>
      </w:r>
      <w:bookmarkEnd w:id="113"/>
      <w:bookmarkEnd w:id="114"/>
    </w:p>
    <w:p w:rsidR="007442AA" w:rsidRPr="002152E4" w:rsidRDefault="007442AA" w:rsidP="00D5288F">
      <w:pPr>
        <w:tabs>
          <w:tab w:val="left" w:pos="-3060"/>
        </w:tabs>
        <w:spacing w:before="120"/>
        <w:ind w:firstLine="720"/>
        <w:jc w:val="both"/>
        <w:rPr>
          <w:lang w:val="ro-RO"/>
        </w:rPr>
      </w:pPr>
      <w:r w:rsidRPr="002152E4">
        <w:rPr>
          <w:lang w:val="ro-RO"/>
        </w:rPr>
        <w:t>Acest indicator statistic reflectă numărul de dosare pe care un procuror le-a avut spre soluţionare în intervalul de timp analizat şi se determină concret prin raportarea numărului total de dosare de soluţionat din perioada de referinţă la numărul total de procurori. Trebuie precizat faptul că pentru calcularea acestui indicator statistic se au în vedere posturile efectiv ocupate, aşa cum au fost acestea comunicate de către Parchetul de pe lângă Înalta Curte de Casaţie şi Justiţie.</w:t>
      </w:r>
    </w:p>
    <w:p w:rsidR="007B5AA1" w:rsidRPr="002152E4" w:rsidRDefault="007B5AA1" w:rsidP="00D5288F">
      <w:pPr>
        <w:pStyle w:val="Heading3"/>
        <w:spacing w:line="240" w:lineRule="auto"/>
      </w:pPr>
    </w:p>
    <w:p w:rsidR="007442AA" w:rsidRPr="002152E4" w:rsidRDefault="009230D2" w:rsidP="00D5288F">
      <w:pPr>
        <w:pStyle w:val="Heading3"/>
        <w:spacing w:line="240" w:lineRule="auto"/>
      </w:pPr>
      <w:r w:rsidRPr="002152E4">
        <w:t xml:space="preserve"> </w:t>
      </w:r>
      <w:bookmarkStart w:id="116" w:name="_Toc475363417"/>
      <w:bookmarkStart w:id="117" w:name="_Toc486576540"/>
      <w:r w:rsidRPr="002152E4">
        <w:t>III</w:t>
      </w:r>
      <w:r w:rsidR="007442AA" w:rsidRPr="002152E4">
        <w:t>.2.1. Încărcătura de dosare pe procuror la nivelul Parchetului de pe lângă Înalta Curte de Casaţie şi Justiţie</w:t>
      </w:r>
      <w:bookmarkEnd w:id="116"/>
      <w:bookmarkEnd w:id="117"/>
    </w:p>
    <w:p w:rsidR="007442AA" w:rsidRPr="002152E4" w:rsidRDefault="007442AA" w:rsidP="00D5288F">
      <w:pPr>
        <w:spacing w:before="120"/>
        <w:ind w:firstLine="855"/>
        <w:jc w:val="both"/>
        <w:rPr>
          <w:bCs/>
          <w:lang w:val="ro-RO"/>
        </w:rPr>
      </w:pPr>
      <w:r w:rsidRPr="002152E4">
        <w:rPr>
          <w:b/>
          <w:lang w:val="ro-RO"/>
        </w:rPr>
        <w:t xml:space="preserve"> </w:t>
      </w:r>
      <w:r w:rsidRPr="002152E4">
        <w:rPr>
          <w:bCs/>
          <w:lang w:val="ro-RO"/>
        </w:rPr>
        <w:t>La nivelul Parchetului de pe lângă Înalta Curtea de Casaţie şi Justiţie, exceptând Secţia Parchetelor Militare, numărul cauzelor de soluţionat pe procuror a fost în perioada de referinţă de 9,67 dosare raportat la 126 de posturi ocupate efectiv.  În schimb, dacă se ia în calcul doar numărul procurorilor care au participat efectiv la soluţionarea dosarelor penale şi care a fost de 42, rezultă o încărcătură medie de 28,1 dosare pe procuror.</w:t>
      </w:r>
    </w:p>
    <w:p w:rsidR="00D5288F" w:rsidRPr="002152E4" w:rsidRDefault="007442AA" w:rsidP="00D5288F">
      <w:pPr>
        <w:spacing w:before="120"/>
        <w:ind w:firstLine="855"/>
        <w:jc w:val="both"/>
        <w:rPr>
          <w:bCs/>
          <w:lang w:val="ro-RO"/>
        </w:rPr>
      </w:pPr>
      <w:r w:rsidRPr="002152E4">
        <w:rPr>
          <w:bCs/>
          <w:lang w:val="ro-RO"/>
        </w:rPr>
        <w:t xml:space="preserve"> La nivelul Direcţiei Naţionale Anticorupţie, acest indicator s-a situat la 69,79 dosare pe procuror, iar la nivelul Direcţiei de Investigare a Infracţiunilor de Criminalitate Organizată şi Terorism la 99,06 de dosare pe procuror, cifre raportate la numărul posturilor de procuror ocupate efectiv în aceste instituţii. În mod similar, dacă se ţine cont doar de numărul procurorilor care au lucrat efectiv la soluţionarea dosarelor penale, va rezulta o încărcătură mai mare, de 102,94 dosare pe procuror </w:t>
      </w:r>
      <w:smartTag w:uri="urn:schemas-microsoft-com:office:smarttags" w:element="PersonName">
        <w:smartTagPr>
          <w:attr w:name="ProductID" w:val="la D.N"/>
        </w:smartTagPr>
        <w:r w:rsidRPr="002152E4">
          <w:rPr>
            <w:bCs/>
            <w:lang w:val="ro-RO"/>
          </w:rPr>
          <w:t>la D.N</w:t>
        </w:r>
      </w:smartTag>
      <w:r w:rsidRPr="002152E4">
        <w:rPr>
          <w:bCs/>
          <w:lang w:val="ro-RO"/>
        </w:rPr>
        <w:t>.A (raportată la cei 120 de procurori care au instrumentat dosarele penale) şi de 106,90 cauze pe procuror la D.I.I.C.O.T. (raportată pe acelaşi criteriu la 240 de procurori).</w:t>
      </w:r>
    </w:p>
    <w:p w:rsidR="007442AA" w:rsidRPr="002152E4" w:rsidRDefault="007442AA" w:rsidP="00530550">
      <w:pPr>
        <w:pStyle w:val="Heading3"/>
      </w:pPr>
      <w:bookmarkStart w:id="118" w:name="_Toc475363418"/>
      <w:bookmarkStart w:id="119" w:name="_Toc486576541"/>
      <w:r w:rsidRPr="002152E4">
        <w:lastRenderedPageBreak/>
        <w:t>I</w:t>
      </w:r>
      <w:r w:rsidR="00530550" w:rsidRPr="002152E4">
        <w:t>II</w:t>
      </w:r>
      <w:r w:rsidRPr="002152E4">
        <w:t>.2.2. Încărcătura la nivelul parchetelor de pe lângă curţile de apel</w:t>
      </w:r>
      <w:bookmarkEnd w:id="118"/>
      <w:bookmarkEnd w:id="119"/>
    </w:p>
    <w:p w:rsidR="007442AA" w:rsidRPr="002152E4" w:rsidRDefault="007442AA" w:rsidP="00D5288F">
      <w:pPr>
        <w:tabs>
          <w:tab w:val="left" w:pos="225"/>
        </w:tabs>
        <w:spacing w:before="120"/>
        <w:ind w:firstLine="720"/>
        <w:jc w:val="both"/>
        <w:rPr>
          <w:lang w:val="ro-RO"/>
        </w:rPr>
      </w:pPr>
      <w:r w:rsidRPr="002152E4">
        <w:rPr>
          <w:lang w:val="ro-RO"/>
        </w:rPr>
        <w:t>La nivelul parchetelor de pe lângă curţile de apel</w:t>
      </w:r>
      <w:r w:rsidRPr="002152E4">
        <w:rPr>
          <w:i/>
          <w:lang w:val="ro-RO"/>
        </w:rPr>
        <w:t>,</w:t>
      </w:r>
      <w:r w:rsidRPr="002152E4">
        <w:rPr>
          <w:lang w:val="ro-RO"/>
        </w:rPr>
        <w:t xml:space="preserve"> a fost stabilită o medie naţională de </w:t>
      </w:r>
      <w:r w:rsidRPr="002152E4">
        <w:rPr>
          <w:bCs/>
          <w:lang w:val="ro-RO"/>
        </w:rPr>
        <w:t xml:space="preserve">70,21 </w:t>
      </w:r>
      <w:r w:rsidRPr="002152E4">
        <w:rPr>
          <w:lang w:val="ro-RO"/>
        </w:rPr>
        <w:t>dosare penale pe procuror, raportată la numărul efectiv de procurori activi în 2016 şi de 129,84 dosare pe procuror dacă volumul dosarelor de soluţionat se raportează doar la numărul procurorilor ce au instrumentat efectiv dosare penale (dintr-un total de 233 de procuri care activează la nivelul de parchet de curte de apel, doar unui număr de 126 de procurori li s-au încredinţat dosare penale spre soluţionare).</w:t>
      </w:r>
    </w:p>
    <w:p w:rsidR="007442AA" w:rsidRPr="002152E4" w:rsidRDefault="007442AA" w:rsidP="00D5288F">
      <w:pPr>
        <w:tabs>
          <w:tab w:val="left" w:pos="225"/>
        </w:tabs>
        <w:spacing w:before="120"/>
        <w:ind w:firstLine="720"/>
        <w:jc w:val="both"/>
        <w:rPr>
          <w:lang w:val="ro-RO"/>
        </w:rPr>
      </w:pPr>
      <w:r w:rsidRPr="002152E4">
        <w:rPr>
          <w:lang w:val="ro-RO"/>
        </w:rPr>
        <w:t>Grafic, evoluţia indicatorului pe ultimii ani se prezintă după cum urmează:</w:t>
      </w:r>
    </w:p>
    <w:p w:rsidR="007442AA" w:rsidRPr="002152E4" w:rsidRDefault="007041EF" w:rsidP="007442AA">
      <w:pPr>
        <w:tabs>
          <w:tab w:val="left" w:pos="225"/>
        </w:tabs>
        <w:spacing w:before="120" w:line="360" w:lineRule="auto"/>
        <w:ind w:firstLine="720"/>
        <w:jc w:val="center"/>
        <w:rPr>
          <w:lang w:val="ro-RO"/>
        </w:rPr>
      </w:pPr>
      <w:r w:rsidRPr="002152E4">
        <w:rPr>
          <w:noProof/>
        </w:rPr>
        <w:drawing>
          <wp:inline distT="0" distB="0" distL="0" distR="0">
            <wp:extent cx="5133340" cy="32188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33340" cy="3218815"/>
                    </a:xfrm>
                    <a:prstGeom prst="rect">
                      <a:avLst/>
                    </a:prstGeom>
                    <a:noFill/>
                  </pic:spPr>
                </pic:pic>
              </a:graphicData>
            </a:graphic>
          </wp:inline>
        </w:drawing>
      </w:r>
    </w:p>
    <w:p w:rsidR="007442AA" w:rsidRPr="002152E4" w:rsidRDefault="007442AA" w:rsidP="00D5288F">
      <w:pPr>
        <w:tabs>
          <w:tab w:val="left" w:pos="225"/>
        </w:tabs>
        <w:spacing w:before="120"/>
        <w:ind w:firstLine="720"/>
        <w:jc w:val="both"/>
        <w:rPr>
          <w:lang w:val="ro-RO"/>
        </w:rPr>
      </w:pPr>
      <w:r w:rsidRPr="002152E4">
        <w:rPr>
          <w:lang w:val="ro-RO"/>
        </w:rPr>
        <w:t xml:space="preserve">În anul 2016, cea mai mare încărcătură de cauze pe procuror a fost înregistrată de  </w:t>
      </w:r>
      <w:r w:rsidRPr="002152E4">
        <w:rPr>
          <w:b/>
          <w:bCs/>
          <w:lang w:val="ro-RO"/>
        </w:rPr>
        <w:t>Parchetul de pe lângă Curtea de Apel Constanţa</w:t>
      </w:r>
      <w:r w:rsidRPr="002152E4">
        <w:rPr>
          <w:lang w:val="ro-RO"/>
        </w:rPr>
        <w:t>, cu un număr de 124,79 dosare penale pe procuror</w:t>
      </w:r>
      <w:r w:rsidRPr="002152E4">
        <w:rPr>
          <w:b/>
          <w:bCs/>
          <w:lang w:val="ro-RO"/>
        </w:rPr>
        <w:t xml:space="preserve">, Parchetul de pe lângă Curtea de Apel Alba-Iulia </w:t>
      </w:r>
      <w:r w:rsidRPr="002152E4">
        <w:rPr>
          <w:lang w:val="ro-RO"/>
        </w:rPr>
        <w:t xml:space="preserve"> cu un număr de 91,17 dosare penale pe procuror şi </w:t>
      </w:r>
      <w:r w:rsidRPr="002152E4">
        <w:rPr>
          <w:b/>
          <w:bCs/>
          <w:lang w:val="ro-RO"/>
        </w:rPr>
        <w:t>Parchetul de pe lângă Curtea de Apel Iaşi</w:t>
      </w:r>
      <w:r w:rsidRPr="002152E4">
        <w:rPr>
          <w:lang w:val="ro-RO"/>
        </w:rPr>
        <w:t xml:space="preserve">, cu un număr de 87,08 dosare penale pe procuror. </w:t>
      </w:r>
    </w:p>
    <w:p w:rsidR="007442AA" w:rsidRPr="002152E4" w:rsidRDefault="007442AA" w:rsidP="00D5288F">
      <w:pPr>
        <w:tabs>
          <w:tab w:val="left" w:pos="225"/>
        </w:tabs>
        <w:spacing w:before="120"/>
        <w:ind w:firstLine="720"/>
        <w:jc w:val="both"/>
        <w:rPr>
          <w:lang w:val="ro-RO"/>
        </w:rPr>
      </w:pPr>
      <w:r w:rsidRPr="002152E4">
        <w:rPr>
          <w:lang w:val="ro-RO"/>
        </w:rPr>
        <w:t xml:space="preserve">La încărcătura de cauze calculată strict pe procurorii care au fost desemnaţi să soluţioneze dosare, media cea mai ridicată a fost înregistrată la </w:t>
      </w:r>
      <w:r w:rsidRPr="002152E4">
        <w:rPr>
          <w:b/>
          <w:bCs/>
          <w:lang w:val="ro-RO"/>
        </w:rPr>
        <w:t>Parchetul de pe lângă Curtea de Apel Bacău</w:t>
      </w:r>
      <w:r w:rsidRPr="002152E4">
        <w:rPr>
          <w:lang w:val="ro-RO"/>
        </w:rPr>
        <w:t xml:space="preserve">, cu un număr de 211,60 cauze pe procuror, urmat de </w:t>
      </w:r>
      <w:r w:rsidRPr="002152E4">
        <w:rPr>
          <w:b/>
          <w:bCs/>
          <w:lang w:val="ro-RO"/>
        </w:rPr>
        <w:t xml:space="preserve">Parchetul de pe lângă Curtea de Apel Constanţa </w:t>
      </w:r>
      <w:r w:rsidR="002152E4">
        <w:rPr>
          <w:bCs/>
          <w:lang w:val="ro-RO"/>
        </w:rPr>
        <w:t xml:space="preserve">cu o medie de </w:t>
      </w:r>
      <w:r w:rsidRPr="002152E4">
        <w:rPr>
          <w:bCs/>
          <w:lang w:val="ro-RO"/>
        </w:rPr>
        <w:t xml:space="preserve">dosare de 194,11 şi </w:t>
      </w:r>
      <w:r w:rsidRPr="002152E4">
        <w:rPr>
          <w:b/>
          <w:bCs/>
          <w:lang w:val="ro-RO"/>
        </w:rPr>
        <w:t xml:space="preserve">Parchetul de pe lângă Curtea de Apel Timişoara </w:t>
      </w:r>
      <w:r w:rsidRPr="002152E4">
        <w:rPr>
          <w:bCs/>
          <w:lang w:val="ro-RO"/>
        </w:rPr>
        <w:t>cu o medie de 184,43 cauze.</w:t>
      </w:r>
    </w:p>
    <w:p w:rsidR="007442AA" w:rsidRPr="002152E4" w:rsidRDefault="007442AA" w:rsidP="00D5288F">
      <w:pPr>
        <w:tabs>
          <w:tab w:val="left" w:pos="225"/>
        </w:tabs>
        <w:spacing w:before="120"/>
        <w:ind w:firstLine="720"/>
        <w:jc w:val="both"/>
        <w:rPr>
          <w:lang w:val="ro-RO"/>
        </w:rPr>
      </w:pPr>
      <w:r w:rsidRPr="002152E4">
        <w:rPr>
          <w:lang w:val="ro-RO"/>
        </w:rPr>
        <w:t>La celălalt pol, s-au situat Parchetul de pe lângă Curtea de Apel Cluj cu numai 27,86 dosare penale pe procuror, Parchetul de pe lângă Curtea de Apel Bucureşti cu 49,96 dosare pe procuror şi Parchetul de pe lângă Curtea de Apel Târgu Mureş cu 50,54 de dosare penale pe procuror. Pe criteriul strict al numărului de procurori care au instrumentat dosarele penale din 2016 cele mai mici medii la dosare de soluționat s-au înregistrat la Parchetul de pe lângă Curtea de Apel Cluj cu numai 65 de dosare penale pe procuror, la Parchetul de pe lângă Curtea de Apel Târgu Mureş cu  82,13 cauze şi Parchetul de pe lângă Curtea de Apel Bucureşti cu 99,92 de dosare pe procuror.</w:t>
      </w:r>
    </w:p>
    <w:p w:rsidR="007442AA" w:rsidRPr="002152E4" w:rsidRDefault="007442AA" w:rsidP="00D5288F">
      <w:pPr>
        <w:tabs>
          <w:tab w:val="left" w:pos="225"/>
        </w:tabs>
        <w:spacing w:before="120"/>
        <w:ind w:firstLine="720"/>
        <w:jc w:val="both"/>
        <w:rPr>
          <w:lang w:val="ro-RO"/>
        </w:rPr>
      </w:pPr>
      <w:r w:rsidRPr="002152E4">
        <w:rPr>
          <w:lang w:val="ro-RO"/>
        </w:rPr>
        <w:t>În ipoteza în care la parchetele de pe lângă curţile de apel ar fi ocupate integral posturile  vacante de procuror s-ar obţine o încărcătură medie de 64,66 de dosare pe procuror (aşa-numita încărcătură pe schemă).</w:t>
      </w:r>
    </w:p>
    <w:p w:rsidR="007442AA" w:rsidRPr="002152E4" w:rsidRDefault="007442AA" w:rsidP="007442AA">
      <w:pPr>
        <w:ind w:firstLine="708"/>
        <w:jc w:val="both"/>
        <w:rPr>
          <w:lang w:val="ro-RO"/>
        </w:rPr>
      </w:pPr>
    </w:p>
    <w:p w:rsidR="007442AA" w:rsidRPr="002152E4" w:rsidRDefault="007442AA" w:rsidP="00530550">
      <w:pPr>
        <w:pStyle w:val="Heading3"/>
      </w:pPr>
      <w:r w:rsidRPr="002152E4">
        <w:lastRenderedPageBreak/>
        <w:tab/>
      </w:r>
      <w:bookmarkStart w:id="120" w:name="_Toc475363419"/>
      <w:bookmarkStart w:id="121" w:name="_Toc486576542"/>
      <w:r w:rsidR="00530550" w:rsidRPr="002152E4">
        <w:t>III</w:t>
      </w:r>
      <w:r w:rsidRPr="002152E4">
        <w:t>.2.3</w:t>
      </w:r>
      <w:r w:rsidR="00530550" w:rsidRPr="002152E4">
        <w:t>.</w:t>
      </w:r>
      <w:r w:rsidRPr="002152E4">
        <w:t xml:space="preserve"> Încărcătura la nivelul parchetelor de pe lângă tribunale</w:t>
      </w:r>
      <w:bookmarkEnd w:id="120"/>
      <w:bookmarkEnd w:id="121"/>
    </w:p>
    <w:p w:rsidR="007442AA" w:rsidRPr="002152E4" w:rsidRDefault="007442AA" w:rsidP="00D5288F">
      <w:pPr>
        <w:tabs>
          <w:tab w:val="left" w:pos="225"/>
        </w:tabs>
        <w:spacing w:before="120"/>
        <w:ind w:firstLine="720"/>
        <w:jc w:val="both"/>
        <w:rPr>
          <w:b/>
          <w:lang w:val="ro-RO"/>
        </w:rPr>
      </w:pPr>
      <w:r w:rsidRPr="002152E4">
        <w:rPr>
          <w:lang w:val="ro-RO"/>
        </w:rPr>
        <w:t xml:space="preserve">La nivelul parchetelor de pe lângă tribunale, a fost stabilită o medie naţională de </w:t>
      </w:r>
      <w:r w:rsidRPr="002152E4">
        <w:rPr>
          <w:bCs/>
          <w:lang w:val="ro-RO"/>
        </w:rPr>
        <w:t xml:space="preserve">147,85 </w:t>
      </w:r>
      <w:r w:rsidRPr="002152E4">
        <w:rPr>
          <w:lang w:val="ro-RO"/>
        </w:rPr>
        <w:t>dosare penale de soluţionat</w:t>
      </w:r>
      <w:r w:rsidRPr="002152E4">
        <w:rPr>
          <w:b/>
          <w:lang w:val="ro-RO"/>
        </w:rPr>
        <w:t xml:space="preserve"> </w:t>
      </w:r>
      <w:r w:rsidRPr="002152E4">
        <w:rPr>
          <w:lang w:val="ro-RO"/>
        </w:rPr>
        <w:t>pe procuror</w:t>
      </w:r>
      <w:r w:rsidRPr="002152E4">
        <w:rPr>
          <w:bCs/>
          <w:lang w:val="ro-RO"/>
        </w:rPr>
        <w:t>.</w:t>
      </w:r>
      <w:r w:rsidRPr="002152E4">
        <w:rPr>
          <w:lang w:val="ro-RO"/>
        </w:rPr>
        <w:t xml:space="preserve">  </w:t>
      </w:r>
    </w:p>
    <w:p w:rsidR="007442AA" w:rsidRPr="002152E4" w:rsidRDefault="007442AA" w:rsidP="00D5288F">
      <w:pPr>
        <w:tabs>
          <w:tab w:val="left" w:pos="225"/>
        </w:tabs>
        <w:spacing w:before="120"/>
        <w:ind w:firstLine="720"/>
        <w:jc w:val="both"/>
        <w:rPr>
          <w:lang w:val="ro-RO"/>
        </w:rPr>
      </w:pPr>
      <w:r w:rsidRPr="002152E4">
        <w:rPr>
          <w:lang w:val="ro-RO"/>
        </w:rPr>
        <w:t>În ultimii 5 ani, evoluţia acestui indicator a fost următoarea:</w:t>
      </w:r>
    </w:p>
    <w:p w:rsidR="007442AA" w:rsidRPr="002152E4" w:rsidRDefault="007041EF" w:rsidP="007442AA">
      <w:pPr>
        <w:tabs>
          <w:tab w:val="left" w:pos="225"/>
        </w:tabs>
        <w:spacing w:before="120" w:line="360" w:lineRule="auto"/>
        <w:ind w:firstLine="720"/>
        <w:jc w:val="center"/>
        <w:rPr>
          <w:lang w:val="ro-RO"/>
        </w:rPr>
      </w:pPr>
      <w:r w:rsidRPr="002152E4">
        <w:rPr>
          <w:noProof/>
        </w:rPr>
        <w:drawing>
          <wp:inline distT="0" distB="0" distL="0" distR="0">
            <wp:extent cx="5638800" cy="3314700"/>
            <wp:effectExtent l="0" t="0" r="0" b="0"/>
            <wp:docPr id="50" name="Object 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7442AA" w:rsidRPr="002152E4" w:rsidRDefault="007442AA" w:rsidP="00D5288F">
      <w:pPr>
        <w:tabs>
          <w:tab w:val="left" w:pos="225"/>
        </w:tabs>
        <w:spacing w:before="120"/>
        <w:ind w:firstLine="720"/>
        <w:jc w:val="both"/>
        <w:rPr>
          <w:lang w:val="ro-RO"/>
        </w:rPr>
      </w:pPr>
      <w:r w:rsidRPr="002152E4">
        <w:rPr>
          <w:lang w:val="ro-RO"/>
        </w:rPr>
        <w:t xml:space="preserve">În anul 2016 s-au remarcat ca având cea mai mare încărcătură de dosare pe procuror, în raport cu media naţională, următoarele unităţi: </w:t>
      </w:r>
      <w:r w:rsidRPr="002152E4">
        <w:rPr>
          <w:b/>
          <w:bCs/>
          <w:lang w:val="ro-RO"/>
        </w:rPr>
        <w:t>Parchetul de pe lângă Tribunalul Tulcea</w:t>
      </w:r>
      <w:r w:rsidRPr="002152E4">
        <w:rPr>
          <w:lang w:val="ro-RO"/>
        </w:rPr>
        <w:t xml:space="preserve"> (o medie de 453,14 dosare), </w:t>
      </w:r>
      <w:r w:rsidRPr="002152E4">
        <w:rPr>
          <w:b/>
          <w:bCs/>
          <w:lang w:val="ro-RO"/>
        </w:rPr>
        <w:t xml:space="preserve">Parchetul de pe lângă Tribunalul Ilfov </w:t>
      </w:r>
      <w:r w:rsidRPr="002152E4">
        <w:rPr>
          <w:lang w:val="ro-RO"/>
        </w:rPr>
        <w:t xml:space="preserve">(361,50 dosare) şi </w:t>
      </w:r>
      <w:r w:rsidRPr="002152E4">
        <w:rPr>
          <w:b/>
          <w:bCs/>
          <w:lang w:val="ro-RO"/>
        </w:rPr>
        <w:t>Parchetul de pe lângă Tribunalul Constanţa</w:t>
      </w:r>
      <w:r w:rsidRPr="002152E4">
        <w:rPr>
          <w:lang w:val="ro-RO"/>
        </w:rPr>
        <w:t xml:space="preserve"> (292,06 dosare)</w:t>
      </w:r>
    </w:p>
    <w:p w:rsidR="007442AA" w:rsidRPr="002152E4" w:rsidRDefault="007442AA" w:rsidP="00D5288F">
      <w:pPr>
        <w:tabs>
          <w:tab w:val="left" w:pos="225"/>
        </w:tabs>
        <w:spacing w:before="120"/>
        <w:ind w:firstLine="720"/>
        <w:jc w:val="both"/>
        <w:rPr>
          <w:lang w:val="ro-RO"/>
        </w:rPr>
      </w:pPr>
      <w:r w:rsidRPr="002152E4">
        <w:rPr>
          <w:lang w:val="ro-RO"/>
        </w:rPr>
        <w:t>Încărcătura cea mai mică de dosare pe procuror a fost înregistrată de Parchetul de pe lângă Tribunalul Sălaj (o medie de 50,80 de dosare), Parchetul de pe lângă Tribunalul Gorj (54,29 de dosare) şi Parchetul de pe lângă Tribunalul Caraş-Severin (70,78 de dosare pe procuror), primele două parchete ocupând şi anul trecut acelaşi poziţii.</w:t>
      </w:r>
    </w:p>
    <w:p w:rsidR="007442AA" w:rsidRPr="002152E4" w:rsidRDefault="007442AA" w:rsidP="00D5288F">
      <w:pPr>
        <w:tabs>
          <w:tab w:val="left" w:pos="225"/>
        </w:tabs>
        <w:spacing w:before="120"/>
        <w:ind w:firstLine="720"/>
        <w:jc w:val="both"/>
        <w:rPr>
          <w:lang w:val="ro-RO"/>
        </w:rPr>
      </w:pPr>
      <w:r w:rsidRPr="002152E4">
        <w:rPr>
          <w:lang w:val="ro-RO"/>
        </w:rPr>
        <w:t xml:space="preserve">Pe criteriul numărului de procurori repartizaţi efectiv la soluţionarea dosarelor penale, la nivelul parchetelor de pe lângă tribunale, în anul 2016 s-a înregistrat o medie naţională de 212,94 dosare pe procuror. Cea mai mare medie calculată pe acest criteriu a înregistrat-o </w:t>
      </w:r>
      <w:r w:rsidRPr="002152E4">
        <w:rPr>
          <w:b/>
          <w:bCs/>
          <w:lang w:val="ro-RO"/>
        </w:rPr>
        <w:t>Parchetul de pe lângă Tribunalul Ilfov</w:t>
      </w:r>
      <w:r w:rsidRPr="002152E4">
        <w:rPr>
          <w:lang w:val="ro-RO"/>
        </w:rPr>
        <w:t xml:space="preserve"> (482 de dosare pe procuror), urmat fiind de </w:t>
      </w:r>
      <w:r w:rsidRPr="002152E4">
        <w:rPr>
          <w:b/>
          <w:bCs/>
          <w:lang w:val="ro-RO"/>
        </w:rPr>
        <w:t>Parchetul de pe lângă Tribunalul Constanţa</w:t>
      </w:r>
      <w:r w:rsidRPr="002152E4">
        <w:rPr>
          <w:lang w:val="ro-RO"/>
        </w:rPr>
        <w:t xml:space="preserve"> ( o medie de 451,36 dosare) şi de </w:t>
      </w:r>
      <w:r w:rsidRPr="002152E4">
        <w:rPr>
          <w:b/>
          <w:bCs/>
          <w:lang w:val="ro-RO"/>
        </w:rPr>
        <w:t>Parchetul de pe lângă Tribunalul Mureş</w:t>
      </w:r>
      <w:r w:rsidRPr="002152E4">
        <w:rPr>
          <w:lang w:val="ro-RO"/>
        </w:rPr>
        <w:t xml:space="preserve"> (373,67 dosare). Cele mai mici medii, pe acelaşi mod de calcul, au fost la </w:t>
      </w:r>
      <w:r w:rsidRPr="002152E4">
        <w:rPr>
          <w:b/>
          <w:bCs/>
          <w:lang w:val="ro-RO"/>
        </w:rPr>
        <w:t xml:space="preserve">Parchetul de pe lângă </w:t>
      </w:r>
      <w:r w:rsidRPr="002152E4">
        <w:rPr>
          <w:b/>
          <w:lang w:val="ro-RO"/>
        </w:rPr>
        <w:t>Caraş Severin</w:t>
      </w:r>
      <w:r w:rsidRPr="002152E4">
        <w:rPr>
          <w:lang w:val="ro-RO"/>
        </w:rPr>
        <w:t xml:space="preserve"> (o medie de 79,63 dosare), </w:t>
      </w:r>
      <w:r w:rsidRPr="002152E4">
        <w:rPr>
          <w:b/>
          <w:bCs/>
          <w:lang w:val="ro-RO"/>
        </w:rPr>
        <w:t xml:space="preserve">Parchetul de pe lângă Tribunalul Sălaj </w:t>
      </w:r>
      <w:r w:rsidRPr="002152E4">
        <w:rPr>
          <w:lang w:val="ro-RO"/>
        </w:rPr>
        <w:t xml:space="preserve">(84,67 dosare) şi </w:t>
      </w:r>
      <w:r w:rsidRPr="002152E4">
        <w:rPr>
          <w:b/>
          <w:bCs/>
          <w:lang w:val="ro-RO"/>
        </w:rPr>
        <w:t xml:space="preserve">Parchetul de pe lângă Tribunalul Gorj </w:t>
      </w:r>
      <w:r w:rsidRPr="002152E4">
        <w:rPr>
          <w:lang w:val="ro-RO"/>
        </w:rPr>
        <w:t xml:space="preserve"> (95 de   dosare).</w:t>
      </w:r>
    </w:p>
    <w:p w:rsidR="007442AA" w:rsidRPr="002152E4" w:rsidRDefault="007442AA" w:rsidP="00D5288F">
      <w:pPr>
        <w:tabs>
          <w:tab w:val="left" w:pos="225"/>
        </w:tabs>
        <w:spacing w:before="120"/>
        <w:ind w:firstLine="720"/>
        <w:jc w:val="both"/>
        <w:rPr>
          <w:b/>
          <w:lang w:val="ro-RO"/>
        </w:rPr>
      </w:pPr>
      <w:r w:rsidRPr="002152E4">
        <w:rPr>
          <w:b/>
          <w:lang w:val="ro-RO"/>
        </w:rPr>
        <w:t xml:space="preserve">Încărcătura </w:t>
      </w:r>
      <w:smartTag w:uri="urn:schemas-microsoft-com:office:smarttags" w:element="PersonName">
        <w:smartTagPr>
          <w:attr w:name="ProductID" w:val="la nivelul Parchetului"/>
        </w:smartTagPr>
        <w:r w:rsidRPr="002152E4">
          <w:rPr>
            <w:b/>
            <w:lang w:val="ro-RO"/>
          </w:rPr>
          <w:t>la nivelul Parchetului</w:t>
        </w:r>
      </w:smartTag>
      <w:r w:rsidRPr="002152E4">
        <w:rPr>
          <w:b/>
          <w:lang w:val="ro-RO"/>
        </w:rPr>
        <w:t xml:space="preserve"> de pe lângă Tribunalul specializat pentru cauze cu minori şi de familie Braşov</w:t>
      </w:r>
    </w:p>
    <w:p w:rsidR="007442AA" w:rsidRPr="002152E4" w:rsidRDefault="007442AA" w:rsidP="00D5288F">
      <w:pPr>
        <w:tabs>
          <w:tab w:val="left" w:pos="225"/>
        </w:tabs>
        <w:spacing w:before="120"/>
        <w:ind w:firstLine="720"/>
        <w:jc w:val="both"/>
        <w:rPr>
          <w:b/>
          <w:i/>
          <w:lang w:val="ro-RO"/>
        </w:rPr>
      </w:pPr>
      <w:r w:rsidRPr="002152E4">
        <w:rPr>
          <w:lang w:val="ro-RO"/>
        </w:rPr>
        <w:t xml:space="preserve">Activitatea Parchetului de pe lângă Tribunalul pentru Minori şi Familie Braşov a înregistrat o medie de </w:t>
      </w:r>
      <w:r w:rsidRPr="002152E4">
        <w:rPr>
          <w:b/>
          <w:lang w:val="ro-RO"/>
        </w:rPr>
        <w:t>105,50 dosare</w:t>
      </w:r>
      <w:r w:rsidRPr="002152E4">
        <w:rPr>
          <w:lang w:val="ro-RO"/>
        </w:rPr>
        <w:t xml:space="preserve"> penale pe procuror, acest parchet funcţionând în continuare cu 2 procurori, cu schema completă. </w:t>
      </w:r>
    </w:p>
    <w:p w:rsidR="007442AA" w:rsidRPr="002152E4" w:rsidRDefault="007442AA" w:rsidP="00D5288F">
      <w:pPr>
        <w:tabs>
          <w:tab w:val="left" w:pos="225"/>
        </w:tabs>
        <w:spacing w:before="120"/>
        <w:ind w:firstLine="720"/>
        <w:jc w:val="both"/>
        <w:rPr>
          <w:lang w:val="ro-RO"/>
        </w:rPr>
      </w:pPr>
    </w:p>
    <w:p w:rsidR="007442AA" w:rsidRPr="002152E4" w:rsidRDefault="00530550" w:rsidP="00530550">
      <w:pPr>
        <w:pStyle w:val="Heading3"/>
      </w:pPr>
      <w:bookmarkStart w:id="122" w:name="_Toc475363420"/>
      <w:bookmarkStart w:id="123" w:name="_Toc486576543"/>
      <w:r w:rsidRPr="002152E4">
        <w:lastRenderedPageBreak/>
        <w:t>III</w:t>
      </w:r>
      <w:r w:rsidR="007442AA" w:rsidRPr="002152E4">
        <w:t>.2.4. Încărcătura la nivelul parchetelor de pe lângă judecătorii</w:t>
      </w:r>
      <w:bookmarkEnd w:id="122"/>
      <w:bookmarkEnd w:id="123"/>
    </w:p>
    <w:p w:rsidR="007442AA" w:rsidRPr="002152E4" w:rsidRDefault="007442AA" w:rsidP="00D5288F">
      <w:pPr>
        <w:tabs>
          <w:tab w:val="left" w:pos="225"/>
        </w:tabs>
        <w:spacing w:before="120"/>
        <w:ind w:firstLine="720"/>
        <w:jc w:val="both"/>
        <w:rPr>
          <w:lang w:val="ro-RO"/>
        </w:rPr>
      </w:pPr>
      <w:r w:rsidRPr="002152E4">
        <w:rPr>
          <w:lang w:val="ro-RO"/>
        </w:rPr>
        <w:t xml:space="preserve">La sfârşitul perioadei de referinţă, la nivelul parchetelor de pe lângă judecătorii, a fost stabilită o medie naţională de dosare penale de soluţionat pe procuror de </w:t>
      </w:r>
      <w:r w:rsidRPr="002152E4">
        <w:rPr>
          <w:b/>
          <w:bCs/>
          <w:lang w:val="ro-RO"/>
        </w:rPr>
        <w:t xml:space="preserve">1.480 </w:t>
      </w:r>
      <w:r w:rsidRPr="002152E4">
        <w:rPr>
          <w:bCs/>
          <w:lang w:val="ro-RO"/>
        </w:rPr>
        <w:t>de cauze</w:t>
      </w:r>
      <w:r w:rsidRPr="002152E4">
        <w:rPr>
          <w:lang w:val="ro-RO"/>
        </w:rPr>
        <w:t>.</w:t>
      </w:r>
    </w:p>
    <w:p w:rsidR="007442AA" w:rsidRPr="002152E4" w:rsidRDefault="007442AA" w:rsidP="00D5288F">
      <w:pPr>
        <w:tabs>
          <w:tab w:val="left" w:pos="225"/>
        </w:tabs>
        <w:spacing w:before="120"/>
        <w:ind w:firstLine="684"/>
        <w:jc w:val="both"/>
        <w:rPr>
          <w:lang w:val="ro-RO"/>
        </w:rPr>
      </w:pPr>
      <w:r w:rsidRPr="002152E4">
        <w:rPr>
          <w:lang w:val="ro-RO"/>
        </w:rPr>
        <w:t>Evoluţia încărcăturii pe procuror în ultimii ani a fost următoarea:</w:t>
      </w:r>
    </w:p>
    <w:p w:rsidR="007442AA" w:rsidRPr="002152E4" w:rsidRDefault="007041EF" w:rsidP="007442AA">
      <w:pPr>
        <w:tabs>
          <w:tab w:val="left" w:pos="225"/>
        </w:tabs>
        <w:spacing w:before="120" w:line="360" w:lineRule="auto"/>
        <w:ind w:firstLine="720"/>
        <w:jc w:val="center"/>
        <w:rPr>
          <w:lang w:val="ro-RO"/>
        </w:rPr>
      </w:pPr>
      <w:r w:rsidRPr="002152E4">
        <w:rPr>
          <w:noProof/>
        </w:rPr>
        <w:drawing>
          <wp:inline distT="0" distB="0" distL="0" distR="0">
            <wp:extent cx="5097780" cy="2766060"/>
            <wp:effectExtent l="0" t="0" r="0" b="0"/>
            <wp:docPr id="51" name="Object 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7442AA" w:rsidRPr="002152E4" w:rsidRDefault="007442AA" w:rsidP="00D5288F">
      <w:pPr>
        <w:tabs>
          <w:tab w:val="left" w:pos="225"/>
        </w:tabs>
        <w:spacing w:before="120"/>
        <w:ind w:firstLine="720"/>
        <w:jc w:val="both"/>
        <w:rPr>
          <w:bCs/>
          <w:kern w:val="28"/>
          <w:lang w:val="ro-RO"/>
        </w:rPr>
      </w:pPr>
      <w:r w:rsidRPr="002152E4">
        <w:rPr>
          <w:lang w:val="ro-RO"/>
        </w:rPr>
        <w:t xml:space="preserve">În perioada de referinţă, cea mai mare încărcătură pe procuror a înregistrat-o </w:t>
      </w:r>
      <w:r w:rsidRPr="002152E4">
        <w:rPr>
          <w:b/>
          <w:bCs/>
          <w:kern w:val="28"/>
          <w:lang w:val="ro-RO"/>
        </w:rPr>
        <w:t>Parchetul de pe lângă Judecătoria Vişeu de sus</w:t>
      </w:r>
      <w:r w:rsidRPr="002152E4">
        <w:rPr>
          <w:kern w:val="28"/>
          <w:lang w:val="ro-RO"/>
        </w:rPr>
        <w:t xml:space="preserve"> </w:t>
      </w:r>
      <w:r w:rsidRPr="002152E4">
        <w:rPr>
          <w:bCs/>
          <w:kern w:val="28"/>
          <w:lang w:val="ro-RO"/>
        </w:rPr>
        <w:t>cu 3451 dosare penale pe procuror (explicabil prin fap</w:t>
      </w:r>
      <w:r w:rsidR="002152E4">
        <w:rPr>
          <w:bCs/>
          <w:kern w:val="28"/>
          <w:lang w:val="ro-RO"/>
        </w:rPr>
        <w:t>t</w:t>
      </w:r>
      <w:r w:rsidRPr="002152E4">
        <w:rPr>
          <w:bCs/>
          <w:kern w:val="28"/>
          <w:lang w:val="ro-RO"/>
        </w:rPr>
        <w:t xml:space="preserve">ul că stocurile de </w:t>
      </w:r>
      <w:r w:rsidR="002152E4" w:rsidRPr="002152E4">
        <w:rPr>
          <w:bCs/>
          <w:kern w:val="28"/>
          <w:lang w:val="ro-RO"/>
        </w:rPr>
        <w:t>sfârșit</w:t>
      </w:r>
      <w:r w:rsidRPr="002152E4">
        <w:rPr>
          <w:bCs/>
          <w:kern w:val="28"/>
          <w:lang w:val="ro-RO"/>
        </w:rPr>
        <w:t xml:space="preserve"> de an au crescut progresiv în condiţiile în care acest parchet a funcţionat cu o schemă deficitar ocupată – 67%, anul trecut)</w:t>
      </w:r>
      <w:r w:rsidRPr="002152E4">
        <w:rPr>
          <w:lang w:val="ro-RO"/>
        </w:rPr>
        <w:t xml:space="preserve"> urmat de </w:t>
      </w:r>
      <w:r w:rsidRPr="002152E4">
        <w:rPr>
          <w:b/>
          <w:bCs/>
          <w:kern w:val="28"/>
          <w:lang w:val="ro-RO"/>
        </w:rPr>
        <w:t xml:space="preserve">Parchetul de pe lângă Judecătoria Constanţa </w:t>
      </w:r>
      <w:r w:rsidRPr="002152E4">
        <w:rPr>
          <w:kern w:val="28"/>
          <w:lang w:val="ro-RO"/>
        </w:rPr>
        <w:t xml:space="preserve">cu 2841 de cauze pe procuror la un grad de ocupare a schemei de 83% ( aici activează 24 procurori dintr-o schemă de 29) şi, îndeaproape, de </w:t>
      </w:r>
      <w:r w:rsidRPr="002152E4">
        <w:rPr>
          <w:b/>
          <w:kern w:val="28"/>
          <w:lang w:val="ro-RO"/>
        </w:rPr>
        <w:t>Parchetele de pe lângă Judecătoriile Luduş, Sector 2 Bucureşti şi Strehaia</w:t>
      </w:r>
      <w:r w:rsidRPr="002152E4">
        <w:rPr>
          <w:kern w:val="28"/>
          <w:lang w:val="ro-RO"/>
        </w:rPr>
        <w:t xml:space="preserve">, cu 2756, 2644 şi, respectiv, 2400 de dosare penale pe procuror, ca rezultat imediat şi logic al gradului mic de ocupare a schemei la care se adaugă, în cazul Parchetului de pe lângă Judecatoria Sector 6, şi un volum ridicat de </w:t>
      </w:r>
      <w:r w:rsidR="002152E4" w:rsidRPr="002152E4">
        <w:rPr>
          <w:kern w:val="28"/>
          <w:lang w:val="ro-RO"/>
        </w:rPr>
        <w:t>dosare</w:t>
      </w:r>
      <w:r w:rsidRPr="002152E4">
        <w:rPr>
          <w:kern w:val="28"/>
          <w:lang w:val="ro-RO"/>
        </w:rPr>
        <w:t xml:space="preserve"> de soluţionat. Celelalte unităţi care au depăşit nivelul de 2300 de dosare pe procuror sunt, în ordinea descrescătoare a mediei de dosare, </w:t>
      </w:r>
      <w:r w:rsidRPr="002152E4">
        <w:rPr>
          <w:b/>
          <w:bCs/>
          <w:kern w:val="28"/>
          <w:lang w:val="ro-RO"/>
        </w:rPr>
        <w:t xml:space="preserve">Parchetele de pe lângă Judecătoriile Beclean, Sectoarelor 6 Bucureşti, Iaşi şi Sector 2 Bucureşti. </w:t>
      </w:r>
      <w:r w:rsidRPr="002152E4">
        <w:rPr>
          <w:bCs/>
          <w:kern w:val="28"/>
          <w:lang w:val="ro-RO"/>
        </w:rPr>
        <w:t xml:space="preserve"> De asemenea,</w:t>
      </w:r>
      <w:r w:rsidRPr="002152E4">
        <w:rPr>
          <w:b/>
          <w:bCs/>
          <w:kern w:val="28"/>
          <w:lang w:val="ro-RO"/>
        </w:rPr>
        <w:t xml:space="preserve"> </w:t>
      </w:r>
      <w:r w:rsidRPr="002152E4">
        <w:rPr>
          <w:bCs/>
          <w:kern w:val="28"/>
          <w:lang w:val="ro-RO"/>
        </w:rPr>
        <w:t>alte 6 parchete de la acest nivel jurisdicţional au înregistrat în anul 2016 o încărcătură de dosare de soluţionat pe procuror situată între 2000 şi 2300 de cauze penale.</w:t>
      </w:r>
    </w:p>
    <w:p w:rsidR="007442AA" w:rsidRPr="002152E4" w:rsidRDefault="007442AA" w:rsidP="00D5288F">
      <w:pPr>
        <w:tabs>
          <w:tab w:val="left" w:pos="225"/>
        </w:tabs>
        <w:spacing w:before="120"/>
        <w:ind w:firstLine="720"/>
        <w:jc w:val="both"/>
        <w:rPr>
          <w:b/>
          <w:lang w:val="ro-RO"/>
        </w:rPr>
      </w:pPr>
      <w:r w:rsidRPr="002152E4">
        <w:rPr>
          <w:lang w:val="ro-RO"/>
        </w:rPr>
        <w:t xml:space="preserve">La polul opus, în perioada de referinţă, au existat mai multe parchete care au înregistrat o încărcătură de dosare de soluţionat pe procuror situată cu mult sub media naţională de dosare: Parchetul de pe lângă Judecătoria Întorsura Buzăului – 285,5 dosare,  Parchetul de pe lângă Judecătoria </w:t>
      </w:r>
      <w:r w:rsidR="002152E4" w:rsidRPr="002152E4">
        <w:rPr>
          <w:lang w:val="ro-RO"/>
        </w:rPr>
        <w:t>Orșova</w:t>
      </w:r>
      <w:r w:rsidRPr="002152E4">
        <w:rPr>
          <w:lang w:val="ro-RO"/>
        </w:rPr>
        <w:t xml:space="preserve"> – 328,33 de dosare</w:t>
      </w:r>
      <w:r w:rsidRPr="002152E4">
        <w:rPr>
          <w:b/>
          <w:lang w:val="ro-RO"/>
        </w:rPr>
        <w:t>,</w:t>
      </w:r>
      <w:r w:rsidRPr="002152E4">
        <w:rPr>
          <w:lang w:val="ro-RO"/>
        </w:rPr>
        <w:t xml:space="preserve"> Parchetul de pe lângă Judecătoria Făget – 412 dosare,  Parchetul de pe lângă Judecătoria Sălişte – 416 dosare, etc.</w:t>
      </w:r>
    </w:p>
    <w:p w:rsidR="007442AA" w:rsidRPr="002152E4" w:rsidRDefault="007442AA" w:rsidP="00D5288F">
      <w:pPr>
        <w:jc w:val="both"/>
        <w:rPr>
          <w:lang w:val="ro-RO"/>
        </w:rPr>
      </w:pPr>
    </w:p>
    <w:p w:rsidR="007442AA" w:rsidRPr="002152E4" w:rsidRDefault="007442AA" w:rsidP="00D5288F">
      <w:pPr>
        <w:ind w:firstLine="684"/>
        <w:jc w:val="both"/>
        <w:rPr>
          <w:lang w:val="ro-RO"/>
        </w:rPr>
      </w:pPr>
      <w:r w:rsidRPr="002152E4">
        <w:rPr>
          <w:lang w:val="ro-RO"/>
        </w:rPr>
        <w:t xml:space="preserve">Încărcătura pe schemă a </w:t>
      </w:r>
      <w:r w:rsidRPr="002152E4">
        <w:rPr>
          <w:b/>
          <w:bCs/>
          <w:lang w:val="ro-RO"/>
        </w:rPr>
        <w:t>Parchetelor militare</w:t>
      </w:r>
      <w:r w:rsidRPr="002152E4">
        <w:rPr>
          <w:lang w:val="ro-RO"/>
        </w:rPr>
        <w:t xml:space="preserve"> în raport de numărul cauzelor s-a ridicat în anul 2016 la 43 de dosare, iar încărcătura pe procuror la 67 de dosare .</w:t>
      </w:r>
    </w:p>
    <w:p w:rsidR="007442AA" w:rsidRPr="002152E4" w:rsidRDefault="007442AA" w:rsidP="00D5288F">
      <w:pPr>
        <w:tabs>
          <w:tab w:val="left" w:pos="0"/>
        </w:tabs>
        <w:spacing w:before="120"/>
        <w:jc w:val="both"/>
        <w:rPr>
          <w:bCs/>
          <w:lang w:val="ro-RO"/>
        </w:rPr>
      </w:pPr>
      <w:r w:rsidRPr="002152E4">
        <w:rPr>
          <w:bCs/>
          <w:lang w:val="ro-RO"/>
        </w:rPr>
        <w:t>Comparativ, gradul de încărcare cu dosare de soluţionat pe procuror la nivel naţional în 2016, raportat exclusiv la procurorii cu activitate de instrumentare dosare penale se prezintă astfel:</w:t>
      </w:r>
    </w:p>
    <w:p w:rsidR="007442AA" w:rsidRPr="002152E4" w:rsidRDefault="007041EF" w:rsidP="007442AA">
      <w:pPr>
        <w:tabs>
          <w:tab w:val="left" w:pos="0"/>
        </w:tabs>
        <w:spacing w:before="120" w:line="360" w:lineRule="auto"/>
        <w:jc w:val="both"/>
        <w:rPr>
          <w:bCs/>
          <w:lang w:val="ro-RO"/>
        </w:rPr>
      </w:pPr>
      <w:r w:rsidRPr="002152E4">
        <w:rPr>
          <w:bCs/>
          <w:noProof/>
        </w:rPr>
        <w:lastRenderedPageBreak/>
        <w:drawing>
          <wp:inline distT="0" distB="0" distL="0" distR="0">
            <wp:extent cx="5243195" cy="27559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43195" cy="2755900"/>
                    </a:xfrm>
                    <a:prstGeom prst="rect">
                      <a:avLst/>
                    </a:prstGeom>
                    <a:noFill/>
                  </pic:spPr>
                </pic:pic>
              </a:graphicData>
            </a:graphic>
          </wp:inline>
        </w:drawing>
      </w:r>
    </w:p>
    <w:p w:rsidR="007442AA" w:rsidRPr="002152E4" w:rsidRDefault="007442AA" w:rsidP="007442AA">
      <w:pPr>
        <w:spacing w:before="120" w:line="360" w:lineRule="auto"/>
        <w:ind w:firstLine="720"/>
        <w:jc w:val="both"/>
        <w:rPr>
          <w:b/>
          <w:lang w:val="ro-RO"/>
        </w:rPr>
      </w:pPr>
    </w:p>
    <w:p w:rsidR="007442AA" w:rsidRPr="002152E4" w:rsidRDefault="00530550" w:rsidP="00530550">
      <w:pPr>
        <w:pStyle w:val="Heading2"/>
      </w:pPr>
      <w:bookmarkStart w:id="124" w:name="_Toc475363421"/>
      <w:bookmarkStart w:id="125" w:name="_Toc486576544"/>
      <w:r w:rsidRPr="002152E4">
        <w:t>III</w:t>
      </w:r>
      <w:r w:rsidR="007442AA" w:rsidRPr="002152E4">
        <w:t>.3. Operat</w:t>
      </w:r>
      <w:r w:rsidR="00DC18C2" w:rsidRPr="002152E4">
        <w:t>ivitatea</w:t>
      </w:r>
      <w:r w:rsidR="007442AA" w:rsidRPr="002152E4">
        <w:t xml:space="preserve"> soluţionării cauzelor</w:t>
      </w:r>
      <w:bookmarkEnd w:id="124"/>
      <w:bookmarkEnd w:id="125"/>
    </w:p>
    <w:p w:rsidR="007442AA" w:rsidRPr="002152E4" w:rsidRDefault="007442AA" w:rsidP="00D5288F">
      <w:pPr>
        <w:spacing w:before="120"/>
        <w:ind w:firstLine="720"/>
        <w:jc w:val="both"/>
        <w:rPr>
          <w:kern w:val="28"/>
          <w:lang w:val="ro-RO"/>
        </w:rPr>
      </w:pPr>
      <w:r w:rsidRPr="002152E4">
        <w:rPr>
          <w:kern w:val="28"/>
          <w:lang w:val="ro-RO"/>
        </w:rPr>
        <w:t xml:space="preserve">Numărul lucrărilor soluţionate în anul 2016 la nivelul tuturor parchetelor, inclusiv la nivelul parchetelor militare, a fost de 1973372 de </w:t>
      </w:r>
      <w:r w:rsidR="002152E4" w:rsidRPr="002152E4">
        <w:rPr>
          <w:kern w:val="28"/>
          <w:lang w:val="ro-RO"/>
        </w:rPr>
        <w:t>lucrări</w:t>
      </w:r>
      <w:r w:rsidRPr="002152E4">
        <w:rPr>
          <w:kern w:val="28"/>
          <w:lang w:val="ro-RO"/>
        </w:rPr>
        <w:t xml:space="preserve">, în creştere faţă de anul 2015 cu 13981 lucrări soluţionate, în timp ce numărul dosarelor penale soluţionate, inclusiv la nivelul parchetelor militare, a fost de 569673 de cauze (în scădere cu 74718 de dosare </w:t>
      </w:r>
      <w:r w:rsidR="002152E4" w:rsidRPr="002152E4">
        <w:rPr>
          <w:kern w:val="28"/>
          <w:lang w:val="ro-RO"/>
        </w:rPr>
        <w:t>soluţionate</w:t>
      </w:r>
      <w:r w:rsidRPr="002152E4">
        <w:rPr>
          <w:kern w:val="28"/>
          <w:lang w:val="ro-RO"/>
        </w:rPr>
        <w:t>) din care 47682 prin rechizitoriu (în creştere cu 11,53% faţă de anul 2015)  însemnând o pondere de 8.4 % din totalul cauzelor soluţionate.</w:t>
      </w:r>
    </w:p>
    <w:p w:rsidR="007442AA" w:rsidRPr="002152E4" w:rsidRDefault="007442AA" w:rsidP="00D5288F">
      <w:pPr>
        <w:spacing w:before="120"/>
        <w:ind w:firstLine="720"/>
        <w:jc w:val="both"/>
        <w:rPr>
          <w:kern w:val="28"/>
          <w:lang w:val="ro-RO"/>
        </w:rPr>
      </w:pPr>
      <w:r w:rsidRPr="002152E4">
        <w:rPr>
          <w:kern w:val="28"/>
          <w:lang w:val="ro-RO"/>
        </w:rPr>
        <w:t>În acelaşi timp, numărul cauzelor rămase nesoluţionate (fără cauzele cu autor neidentificat) a fost de 528716 şi a crescut faţă anul de 2015 cu  3,6%.</w:t>
      </w:r>
    </w:p>
    <w:p w:rsidR="007442AA" w:rsidRPr="002152E4" w:rsidRDefault="007442AA" w:rsidP="00D5288F">
      <w:pPr>
        <w:spacing w:before="120"/>
        <w:ind w:firstLine="720"/>
        <w:jc w:val="both"/>
        <w:rPr>
          <w:kern w:val="28"/>
          <w:lang w:val="ro-RO"/>
        </w:rPr>
      </w:pPr>
      <w:r w:rsidRPr="002152E4">
        <w:rPr>
          <w:kern w:val="28"/>
          <w:lang w:val="ro-RO"/>
        </w:rPr>
        <w:t>Numărul cauzelor cu autor neidentificat rămase nesoluţionate a crescut în anul 2016 la 588986 de cauze, fiind cu 0,7% mai mare faţă de cel din anul 2015 când au rămas nesoluţionate 584889 cauze cu A.N.</w:t>
      </w:r>
    </w:p>
    <w:p w:rsidR="007442AA" w:rsidRPr="002152E4" w:rsidRDefault="007442AA" w:rsidP="00D5288F">
      <w:pPr>
        <w:spacing w:before="120"/>
        <w:ind w:firstLine="720"/>
        <w:jc w:val="both"/>
        <w:rPr>
          <w:kern w:val="28"/>
          <w:lang w:val="ro-RO"/>
        </w:rPr>
      </w:pPr>
      <w:r w:rsidRPr="002152E4">
        <w:rPr>
          <w:kern w:val="28"/>
          <w:lang w:val="ro-RO"/>
        </w:rPr>
        <w:t xml:space="preserve">În procente, operativitatea înregistrată la nivelul tuturor parchetelor  în anul </w:t>
      </w:r>
      <w:smartTag w:uri="urn:schemas-microsoft-com:office:smarttags" w:element="metricconverter">
        <w:smartTagPr>
          <w:attr w:name="ProductID" w:val="2016 a"/>
        </w:smartTagPr>
        <w:r w:rsidRPr="002152E4">
          <w:rPr>
            <w:kern w:val="28"/>
            <w:lang w:val="ro-RO"/>
          </w:rPr>
          <w:t>2016 a</w:t>
        </w:r>
      </w:smartTag>
      <w:r w:rsidRPr="002152E4">
        <w:rPr>
          <w:kern w:val="28"/>
          <w:lang w:val="ro-RO"/>
        </w:rPr>
        <w:t xml:space="preserve"> fost de 60.56% pentru lucrări,</w:t>
      </w:r>
      <w:r w:rsidRPr="002152E4">
        <w:rPr>
          <w:b/>
          <w:kern w:val="28"/>
          <w:lang w:val="ro-RO"/>
        </w:rPr>
        <w:t xml:space="preserve"> </w:t>
      </w:r>
      <w:r w:rsidRPr="002152E4">
        <w:rPr>
          <w:kern w:val="28"/>
          <w:lang w:val="ro-RO"/>
        </w:rPr>
        <w:t>respectiv de 32% pentru dosare.</w:t>
      </w:r>
    </w:p>
    <w:p w:rsidR="007442AA" w:rsidRPr="002152E4" w:rsidRDefault="007442AA" w:rsidP="00D5288F">
      <w:pPr>
        <w:spacing w:before="120"/>
        <w:ind w:firstLine="720"/>
        <w:jc w:val="both"/>
        <w:rPr>
          <w:kern w:val="28"/>
          <w:lang w:val="ro-RO"/>
        </w:rPr>
      </w:pPr>
      <w:r w:rsidRPr="002152E4">
        <w:rPr>
          <w:kern w:val="28"/>
          <w:lang w:val="ro-RO"/>
        </w:rPr>
        <w:t xml:space="preserve">În ceea ce priveşte operativitatea în funcţie de durata soluţionării unei cauze, numărul de cauze soluţionate până în 6 luni de la sesizare a scăzut cu 8,5% ( 234596 de cauze în anul 2016, faţă de 256458 în anul 2015), cele soluţionate între 6 luni şi 1 an de la sesizare au </w:t>
      </w:r>
      <w:r w:rsidR="002152E4" w:rsidRPr="002152E4">
        <w:rPr>
          <w:kern w:val="28"/>
          <w:lang w:val="ro-RO"/>
        </w:rPr>
        <w:t>scăzut</w:t>
      </w:r>
      <w:r w:rsidRPr="002152E4">
        <w:rPr>
          <w:kern w:val="28"/>
          <w:lang w:val="ro-RO"/>
        </w:rPr>
        <w:t xml:space="preserve"> cu 8.5% faţă de anul precedent (124069  de cauze în anul 2016, faţă de 135582 în anul 2015).</w:t>
      </w:r>
    </w:p>
    <w:p w:rsidR="007442AA" w:rsidRPr="002152E4" w:rsidRDefault="007442AA" w:rsidP="00D5288F">
      <w:pPr>
        <w:spacing w:before="120"/>
        <w:ind w:firstLine="720"/>
        <w:jc w:val="both"/>
        <w:rPr>
          <w:kern w:val="28"/>
          <w:lang w:val="ro-RO"/>
        </w:rPr>
      </w:pPr>
      <w:r w:rsidRPr="002152E4">
        <w:rPr>
          <w:kern w:val="28"/>
          <w:lang w:val="ro-RO"/>
        </w:rPr>
        <w:t xml:space="preserve">151150 cauze au fost soluţionate la peste 1 an de la sesizare,  în </w:t>
      </w:r>
      <w:r w:rsidR="002152E4" w:rsidRPr="002152E4">
        <w:rPr>
          <w:kern w:val="28"/>
          <w:lang w:val="ro-RO"/>
        </w:rPr>
        <w:t>scădere</w:t>
      </w:r>
      <w:r w:rsidRPr="002152E4">
        <w:rPr>
          <w:kern w:val="28"/>
          <w:lang w:val="ro-RO"/>
        </w:rPr>
        <w:t xml:space="preserve"> cu 15% faţă de aceeași perioadă de referinţă a anului trecut.</w:t>
      </w:r>
    </w:p>
    <w:p w:rsidR="007442AA" w:rsidRPr="002152E4" w:rsidRDefault="007442AA" w:rsidP="00D5288F">
      <w:pPr>
        <w:spacing w:before="120"/>
        <w:ind w:firstLine="720"/>
        <w:jc w:val="both"/>
        <w:rPr>
          <w:kern w:val="28"/>
          <w:lang w:val="ro-RO"/>
        </w:rPr>
      </w:pPr>
      <w:r w:rsidRPr="002152E4">
        <w:rPr>
          <w:kern w:val="28"/>
          <w:lang w:val="ro-RO"/>
        </w:rPr>
        <w:t>Din numărul de cauze rămase nesoluţionate în 2016, în total pe Ministerul Public de 528716, fără cauzele cu A.N.,  în 150857 de cauze s-a depăşit termenul de 6 luni de la începerea urmăririi penale, adică în 28,5% din totalul cauzelor nesoluţionate, în scădere cu 7,7% faţă de anul 2015.</w:t>
      </w:r>
    </w:p>
    <w:p w:rsidR="007442AA" w:rsidRPr="002152E4" w:rsidRDefault="007442AA" w:rsidP="00D5288F">
      <w:pPr>
        <w:tabs>
          <w:tab w:val="left" w:pos="8640"/>
          <w:tab w:val="left" w:pos="8820"/>
        </w:tabs>
        <w:jc w:val="both"/>
        <w:rPr>
          <w:b/>
          <w:lang w:val="ro-RO"/>
        </w:rPr>
      </w:pPr>
    </w:p>
    <w:p w:rsidR="007442AA" w:rsidRPr="002152E4" w:rsidRDefault="00E32C5E" w:rsidP="00D5288F">
      <w:pPr>
        <w:pStyle w:val="Heading3"/>
        <w:spacing w:line="240" w:lineRule="auto"/>
      </w:pPr>
      <w:r w:rsidRPr="002152E4">
        <w:t xml:space="preserve"> </w:t>
      </w:r>
      <w:bookmarkStart w:id="126" w:name="_Toc475363422"/>
      <w:bookmarkStart w:id="127" w:name="_Toc486576545"/>
      <w:r w:rsidRPr="002152E4">
        <w:t>III</w:t>
      </w:r>
      <w:r w:rsidR="007442AA" w:rsidRPr="002152E4">
        <w:t>.3.1. Operativitatea la nivelul Parchetului de pe lângă Înalta Curte de Casaţie şi Justiţie</w:t>
      </w:r>
      <w:bookmarkEnd w:id="126"/>
      <w:bookmarkEnd w:id="127"/>
    </w:p>
    <w:p w:rsidR="007442AA" w:rsidRPr="002152E4" w:rsidRDefault="007442AA" w:rsidP="00D5288F">
      <w:pPr>
        <w:tabs>
          <w:tab w:val="left" w:pos="8640"/>
          <w:tab w:val="left" w:pos="8820"/>
        </w:tabs>
        <w:ind w:firstLine="684"/>
        <w:jc w:val="both"/>
        <w:rPr>
          <w:b/>
          <w:lang w:val="ro-RO"/>
        </w:rPr>
      </w:pPr>
    </w:p>
    <w:p w:rsidR="007442AA" w:rsidRPr="002152E4" w:rsidRDefault="007442AA" w:rsidP="00D5288F">
      <w:pPr>
        <w:tabs>
          <w:tab w:val="left" w:pos="8640"/>
          <w:tab w:val="left" w:pos="8820"/>
        </w:tabs>
        <w:ind w:firstLine="684"/>
        <w:jc w:val="both"/>
        <w:rPr>
          <w:bCs/>
          <w:lang w:val="ro-RO"/>
        </w:rPr>
      </w:pPr>
      <w:r w:rsidRPr="002152E4">
        <w:rPr>
          <w:bCs/>
          <w:lang w:val="ro-RO"/>
        </w:rPr>
        <w:t>În anul 2016, numărul lucrărilor de soluţionat la această unitate a fost de 29651, fiind soluţionate 18729 lucrări, ceea ce reprezintă o operativitate de 69,5</w:t>
      </w:r>
      <w:r w:rsidRPr="002152E4">
        <w:rPr>
          <w:b/>
          <w:bCs/>
          <w:lang w:val="ro-RO"/>
        </w:rPr>
        <w:t>%</w:t>
      </w:r>
      <w:r w:rsidRPr="002152E4">
        <w:rPr>
          <w:bCs/>
          <w:lang w:val="ro-RO"/>
        </w:rPr>
        <w:t>. Numărul dosarelor de soluţionat a fost de 1180, fiind soluţionate 494</w:t>
      </w:r>
      <w:r w:rsidRPr="002152E4">
        <w:rPr>
          <w:b/>
          <w:bCs/>
          <w:lang w:val="ro-RO"/>
        </w:rPr>
        <w:t xml:space="preserve"> </w:t>
      </w:r>
      <w:r w:rsidRPr="002152E4">
        <w:rPr>
          <w:bCs/>
          <w:lang w:val="ro-RO"/>
        </w:rPr>
        <w:t>de dosare dintre acestea, ceea ce se transpune într-o operativitate de 42%.</w:t>
      </w:r>
    </w:p>
    <w:p w:rsidR="007442AA" w:rsidRPr="002152E4" w:rsidRDefault="007442AA" w:rsidP="00D5288F">
      <w:pPr>
        <w:tabs>
          <w:tab w:val="left" w:pos="8640"/>
          <w:tab w:val="left" w:pos="8820"/>
        </w:tabs>
        <w:ind w:firstLine="684"/>
        <w:jc w:val="both"/>
        <w:rPr>
          <w:bCs/>
          <w:lang w:val="ro-RO"/>
        </w:rPr>
      </w:pPr>
      <w:r w:rsidRPr="002152E4">
        <w:rPr>
          <w:bCs/>
          <w:lang w:val="ro-RO"/>
        </w:rPr>
        <w:lastRenderedPageBreak/>
        <w:t xml:space="preserve"> În acelaşi mod, operativitatea </w:t>
      </w:r>
      <w:r w:rsidRPr="002152E4">
        <w:rPr>
          <w:b/>
          <w:bCs/>
          <w:lang w:val="ro-RO"/>
        </w:rPr>
        <w:t>D.N.A.</w:t>
      </w:r>
      <w:r w:rsidRPr="002152E4">
        <w:rPr>
          <w:bCs/>
          <w:lang w:val="ro-RO"/>
        </w:rPr>
        <w:t xml:space="preserve"> este determinată la 65% pentru lucrări, respectiv la 27</w:t>
      </w:r>
      <w:r w:rsidRPr="002152E4">
        <w:rPr>
          <w:b/>
          <w:bCs/>
          <w:lang w:val="ro-RO"/>
        </w:rPr>
        <w:t>%</w:t>
      </w:r>
      <w:r w:rsidRPr="002152E4">
        <w:rPr>
          <w:bCs/>
          <w:lang w:val="ro-RO"/>
        </w:rPr>
        <w:t xml:space="preserve"> pentru dosare. Cele două procente ale operativităţii pentru </w:t>
      </w:r>
      <w:r w:rsidRPr="002152E4">
        <w:rPr>
          <w:b/>
          <w:bCs/>
          <w:lang w:val="ro-RO"/>
        </w:rPr>
        <w:t>D.I.I.C.O.T</w:t>
      </w:r>
      <w:r w:rsidRPr="002152E4">
        <w:rPr>
          <w:bCs/>
          <w:lang w:val="ro-RO"/>
        </w:rPr>
        <w:t xml:space="preserve"> sunt de 74</w:t>
      </w:r>
      <w:r w:rsidRPr="002152E4">
        <w:rPr>
          <w:b/>
          <w:bCs/>
          <w:lang w:val="ro-RO"/>
        </w:rPr>
        <w:t>%</w:t>
      </w:r>
      <w:r w:rsidRPr="002152E4">
        <w:rPr>
          <w:bCs/>
          <w:lang w:val="ro-RO"/>
        </w:rPr>
        <w:t>, respectiv 32</w:t>
      </w:r>
      <w:r w:rsidRPr="002152E4">
        <w:rPr>
          <w:b/>
          <w:bCs/>
          <w:lang w:val="ro-RO"/>
        </w:rPr>
        <w:t>%</w:t>
      </w:r>
      <w:r w:rsidRPr="002152E4">
        <w:rPr>
          <w:bCs/>
          <w:lang w:val="ro-RO"/>
        </w:rPr>
        <w:t>.</w:t>
      </w:r>
    </w:p>
    <w:p w:rsidR="007442AA" w:rsidRPr="002152E4" w:rsidRDefault="007442AA" w:rsidP="00D5288F">
      <w:pPr>
        <w:spacing w:before="120"/>
        <w:ind w:firstLine="720"/>
        <w:jc w:val="center"/>
        <w:rPr>
          <w:b/>
          <w:lang w:val="ro-RO"/>
        </w:rPr>
      </w:pPr>
    </w:p>
    <w:p w:rsidR="007442AA" w:rsidRPr="002152E4" w:rsidRDefault="001352E8" w:rsidP="00D5288F">
      <w:pPr>
        <w:pStyle w:val="Heading3"/>
        <w:spacing w:line="240" w:lineRule="auto"/>
        <w:rPr>
          <w:kern w:val="28"/>
        </w:rPr>
      </w:pPr>
      <w:bookmarkStart w:id="128" w:name="_Toc475363423"/>
      <w:bookmarkStart w:id="129" w:name="_Toc486576546"/>
      <w:r w:rsidRPr="002152E4">
        <w:rPr>
          <w:kern w:val="28"/>
        </w:rPr>
        <w:t>III</w:t>
      </w:r>
      <w:r w:rsidR="007442AA" w:rsidRPr="002152E4">
        <w:rPr>
          <w:kern w:val="28"/>
        </w:rPr>
        <w:t>.3.2. Operativitatea la nivelul parchetelor de pe lângă curţile de apel</w:t>
      </w:r>
      <w:bookmarkEnd w:id="128"/>
      <w:bookmarkEnd w:id="129"/>
    </w:p>
    <w:p w:rsidR="007442AA" w:rsidRPr="002152E4" w:rsidRDefault="007442AA" w:rsidP="00D5288F">
      <w:pPr>
        <w:spacing w:before="120"/>
        <w:ind w:firstLine="720"/>
        <w:jc w:val="both"/>
        <w:rPr>
          <w:kern w:val="28"/>
          <w:lang w:val="ro-RO"/>
        </w:rPr>
      </w:pPr>
      <w:r w:rsidRPr="002152E4">
        <w:rPr>
          <w:kern w:val="28"/>
          <w:lang w:val="ro-RO"/>
        </w:rPr>
        <w:t>În anul 2016, din totalul de 154122 de lucrări de soluţionat (din care 16360 de dosare penale), parchetele de pe lângă curţile de apel au soluţionat un număr de 138229 de  lucrări (din care 10041 de dosare penale).</w:t>
      </w:r>
    </w:p>
    <w:p w:rsidR="007442AA" w:rsidRPr="002152E4" w:rsidRDefault="007442AA" w:rsidP="00D5288F">
      <w:pPr>
        <w:spacing w:before="120"/>
        <w:ind w:firstLine="720"/>
        <w:jc w:val="both"/>
        <w:rPr>
          <w:kern w:val="28"/>
          <w:lang w:val="ro-RO"/>
        </w:rPr>
      </w:pPr>
      <w:r w:rsidRPr="002152E4">
        <w:rPr>
          <w:kern w:val="28"/>
          <w:lang w:val="ro-RO"/>
        </w:rPr>
        <w:t>Procentual, operativitatea generală a fost de 90</w:t>
      </w:r>
      <w:r w:rsidRPr="002152E4">
        <w:rPr>
          <w:b/>
          <w:kern w:val="28"/>
          <w:lang w:val="ro-RO"/>
        </w:rPr>
        <w:t>%</w:t>
      </w:r>
      <w:r w:rsidRPr="002152E4">
        <w:rPr>
          <w:b/>
          <w:i/>
          <w:kern w:val="28"/>
          <w:lang w:val="ro-RO"/>
        </w:rPr>
        <w:t xml:space="preserve"> </w:t>
      </w:r>
      <w:r w:rsidRPr="002152E4">
        <w:rPr>
          <w:kern w:val="28"/>
          <w:lang w:val="ro-RO"/>
        </w:rPr>
        <w:t>în ceea ce priveşte numărul de lucrări şi</w:t>
      </w:r>
      <w:r w:rsidRPr="002152E4">
        <w:rPr>
          <w:b/>
          <w:kern w:val="28"/>
          <w:lang w:val="ro-RO"/>
        </w:rPr>
        <w:t xml:space="preserve"> </w:t>
      </w:r>
      <w:r w:rsidRPr="002152E4">
        <w:rPr>
          <w:kern w:val="28"/>
          <w:lang w:val="ro-RO"/>
        </w:rPr>
        <w:t>de</w:t>
      </w:r>
      <w:r w:rsidRPr="002152E4">
        <w:rPr>
          <w:b/>
          <w:kern w:val="28"/>
          <w:lang w:val="ro-RO"/>
        </w:rPr>
        <w:t xml:space="preserve"> </w:t>
      </w:r>
      <w:r w:rsidRPr="002152E4">
        <w:rPr>
          <w:kern w:val="28"/>
          <w:lang w:val="ro-RO"/>
        </w:rPr>
        <w:t>61</w:t>
      </w:r>
      <w:r w:rsidRPr="002152E4">
        <w:rPr>
          <w:b/>
          <w:kern w:val="28"/>
          <w:lang w:val="ro-RO"/>
        </w:rPr>
        <w:t xml:space="preserve">% </w:t>
      </w:r>
      <w:r w:rsidRPr="002152E4">
        <w:rPr>
          <w:kern w:val="28"/>
          <w:lang w:val="ro-RO"/>
        </w:rPr>
        <w:t xml:space="preserve">raportat la numărul de dosare. </w:t>
      </w:r>
    </w:p>
    <w:p w:rsidR="007442AA" w:rsidRPr="002152E4" w:rsidRDefault="007442AA" w:rsidP="00D5288F">
      <w:pPr>
        <w:spacing w:before="120"/>
        <w:ind w:firstLine="720"/>
        <w:jc w:val="both"/>
        <w:rPr>
          <w:kern w:val="28"/>
          <w:lang w:val="ro-RO"/>
        </w:rPr>
      </w:pPr>
      <w:r w:rsidRPr="002152E4">
        <w:rPr>
          <w:kern w:val="28"/>
          <w:lang w:val="ro-RO"/>
        </w:rPr>
        <w:t xml:space="preserve">Sub aspectul procentului de </w:t>
      </w:r>
      <w:r w:rsidR="002152E4" w:rsidRPr="002152E4">
        <w:rPr>
          <w:kern w:val="28"/>
          <w:lang w:val="ro-RO"/>
        </w:rPr>
        <w:t>soluţionare</w:t>
      </w:r>
      <w:r w:rsidRPr="002152E4">
        <w:rPr>
          <w:kern w:val="28"/>
          <w:lang w:val="ro-RO"/>
        </w:rPr>
        <w:t xml:space="preserve"> a dosarelor, cea mai mare operativitate a înregistrat-o </w:t>
      </w:r>
      <w:r w:rsidRPr="002152E4">
        <w:rPr>
          <w:b/>
          <w:bCs/>
          <w:kern w:val="28"/>
          <w:lang w:val="ro-RO"/>
        </w:rPr>
        <w:t>Parchetul de pe lângă Curtea de apel Timişoara</w:t>
      </w:r>
      <w:r w:rsidRPr="002152E4">
        <w:rPr>
          <w:kern w:val="28"/>
          <w:lang w:val="ro-RO"/>
        </w:rPr>
        <w:t xml:space="preserve"> cu 79%, urmat de </w:t>
      </w:r>
      <w:r w:rsidRPr="002152E4">
        <w:rPr>
          <w:b/>
          <w:bCs/>
          <w:kern w:val="28"/>
          <w:lang w:val="ro-RO"/>
        </w:rPr>
        <w:t>Parchetul de pe lângă Curtea de apel Cluj</w:t>
      </w:r>
      <w:r w:rsidRPr="002152E4">
        <w:rPr>
          <w:kern w:val="28"/>
          <w:lang w:val="ro-RO"/>
        </w:rPr>
        <w:t xml:space="preserve"> cu 73%. Operativitatea cea mai mică a înregistrat-o </w:t>
      </w:r>
      <w:r w:rsidRPr="002152E4">
        <w:rPr>
          <w:b/>
          <w:kern w:val="28"/>
          <w:lang w:val="ro-RO"/>
        </w:rPr>
        <w:t>Parchetul de pe lângă Curtea de apel Constanta,</w:t>
      </w:r>
      <w:r w:rsidRPr="002152E4">
        <w:rPr>
          <w:kern w:val="28"/>
          <w:lang w:val="ro-RO"/>
        </w:rPr>
        <w:t xml:space="preserve"> cu un procent de 41%.</w:t>
      </w:r>
    </w:p>
    <w:p w:rsidR="000F07DA" w:rsidRPr="002152E4" w:rsidRDefault="007442AA" w:rsidP="00D5288F">
      <w:pPr>
        <w:spacing w:before="120"/>
        <w:ind w:firstLine="720"/>
        <w:jc w:val="both"/>
        <w:rPr>
          <w:kern w:val="28"/>
          <w:lang w:val="ro-RO"/>
        </w:rPr>
      </w:pPr>
      <w:r w:rsidRPr="002152E4">
        <w:rPr>
          <w:kern w:val="28"/>
          <w:lang w:val="ro-RO"/>
        </w:rPr>
        <w:t xml:space="preserve">Media naţională a cauzelor penale soluţionate la parchetele de acest rang în anul </w:t>
      </w:r>
      <w:smartTag w:uri="urn:schemas-microsoft-com:office:smarttags" w:element="metricconverter">
        <w:smartTagPr>
          <w:attr w:name="ProductID" w:val="2016 a"/>
        </w:smartTagPr>
        <w:r w:rsidRPr="002152E4">
          <w:rPr>
            <w:kern w:val="28"/>
            <w:lang w:val="ro-RO"/>
          </w:rPr>
          <w:t>2016 a</w:t>
        </w:r>
      </w:smartTag>
      <w:r w:rsidRPr="002152E4">
        <w:rPr>
          <w:kern w:val="28"/>
          <w:lang w:val="ro-RO"/>
        </w:rPr>
        <w:t xml:space="preserve"> fost de 43 de dosare pe procuror</w:t>
      </w:r>
      <w:r w:rsidRPr="002152E4">
        <w:rPr>
          <w:b/>
          <w:kern w:val="28"/>
          <w:lang w:val="ro-RO"/>
        </w:rPr>
        <w:t xml:space="preserve"> </w:t>
      </w:r>
      <w:r w:rsidRPr="002152E4">
        <w:rPr>
          <w:kern w:val="28"/>
          <w:lang w:val="ro-RO"/>
        </w:rPr>
        <w:t xml:space="preserve"> şi de 80 de dosare soluţionate pe procuror dacă se iau în calcul doar procurorii care au lucrat efectiv la soluționarea cauzelor penale.</w:t>
      </w:r>
    </w:p>
    <w:p w:rsidR="007442AA" w:rsidRPr="002152E4" w:rsidRDefault="001352E8" w:rsidP="001352E8">
      <w:pPr>
        <w:pStyle w:val="Heading3"/>
        <w:rPr>
          <w:kern w:val="28"/>
        </w:rPr>
      </w:pPr>
      <w:bookmarkStart w:id="130" w:name="_Toc475363424"/>
      <w:bookmarkStart w:id="131" w:name="_Toc486576547"/>
      <w:r w:rsidRPr="002152E4">
        <w:rPr>
          <w:kern w:val="28"/>
        </w:rPr>
        <w:t>III</w:t>
      </w:r>
      <w:r w:rsidR="007442AA" w:rsidRPr="002152E4">
        <w:rPr>
          <w:kern w:val="28"/>
        </w:rPr>
        <w:t>.3.3. Operativitatea la nivelul parchetelor de pe lângă tribunale</w:t>
      </w:r>
      <w:bookmarkEnd w:id="130"/>
      <w:bookmarkEnd w:id="131"/>
    </w:p>
    <w:p w:rsidR="007442AA" w:rsidRPr="002152E4" w:rsidRDefault="007442AA" w:rsidP="00D5288F">
      <w:pPr>
        <w:spacing w:before="120"/>
        <w:ind w:firstLine="720"/>
        <w:jc w:val="both"/>
        <w:rPr>
          <w:b/>
          <w:kern w:val="28"/>
          <w:lang w:val="ro-RO"/>
        </w:rPr>
      </w:pPr>
      <w:r w:rsidRPr="002152E4">
        <w:rPr>
          <w:kern w:val="28"/>
          <w:lang w:val="ro-RO"/>
        </w:rPr>
        <w:t>Dintre cele 340779 de</w:t>
      </w:r>
      <w:r w:rsidRPr="002152E4">
        <w:rPr>
          <w:b/>
          <w:i/>
          <w:kern w:val="28"/>
          <w:lang w:val="ro-RO"/>
        </w:rPr>
        <w:t xml:space="preserve"> </w:t>
      </w:r>
      <w:r w:rsidRPr="002152E4">
        <w:rPr>
          <w:kern w:val="28"/>
          <w:lang w:val="ro-RO"/>
        </w:rPr>
        <w:t>lucrări de soluţionat în cursul anului 2016, au fost soluţionate la nivelul parchetelor de pe lângă tribunale un număr de 281442 de lucrări. De asemenea, din totalul de 78363 de dosare penale înregistrate, au fost soluţionate 32908 de cauze</w:t>
      </w:r>
      <w:r w:rsidRPr="002152E4">
        <w:rPr>
          <w:b/>
          <w:kern w:val="28"/>
          <w:lang w:val="ro-RO"/>
        </w:rPr>
        <w:t>.</w:t>
      </w:r>
    </w:p>
    <w:p w:rsidR="007442AA" w:rsidRPr="002152E4" w:rsidRDefault="007442AA" w:rsidP="00D5288F">
      <w:pPr>
        <w:spacing w:before="120"/>
        <w:ind w:firstLine="720"/>
        <w:jc w:val="both"/>
        <w:rPr>
          <w:kern w:val="28"/>
          <w:lang w:val="ro-RO"/>
        </w:rPr>
      </w:pPr>
      <w:r w:rsidRPr="002152E4">
        <w:rPr>
          <w:kern w:val="28"/>
          <w:lang w:val="ro-RO"/>
        </w:rPr>
        <w:t>În procente, operativitatea generală a fost determinată la 83</w:t>
      </w:r>
      <w:r w:rsidRPr="002152E4">
        <w:rPr>
          <w:b/>
          <w:kern w:val="28"/>
          <w:lang w:val="ro-RO"/>
        </w:rPr>
        <w:t xml:space="preserve"> % </w:t>
      </w:r>
      <w:r w:rsidRPr="002152E4">
        <w:rPr>
          <w:kern w:val="28"/>
          <w:lang w:val="ro-RO"/>
        </w:rPr>
        <w:t>pentru lucrări, respectiv</w:t>
      </w:r>
      <w:r w:rsidRPr="002152E4">
        <w:rPr>
          <w:b/>
          <w:kern w:val="28"/>
          <w:lang w:val="ro-RO"/>
        </w:rPr>
        <w:t xml:space="preserve"> </w:t>
      </w:r>
      <w:r w:rsidRPr="002152E4">
        <w:rPr>
          <w:kern w:val="28"/>
          <w:lang w:val="ro-RO"/>
        </w:rPr>
        <w:t>la</w:t>
      </w:r>
      <w:r w:rsidRPr="002152E4">
        <w:rPr>
          <w:b/>
          <w:kern w:val="28"/>
          <w:lang w:val="ro-RO"/>
        </w:rPr>
        <w:t xml:space="preserve"> </w:t>
      </w:r>
      <w:r w:rsidRPr="002152E4">
        <w:rPr>
          <w:kern w:val="28"/>
          <w:lang w:val="ro-RO"/>
        </w:rPr>
        <w:t>42</w:t>
      </w:r>
      <w:r w:rsidRPr="002152E4">
        <w:rPr>
          <w:b/>
          <w:kern w:val="28"/>
          <w:lang w:val="ro-RO"/>
        </w:rPr>
        <w:t xml:space="preserve"> % </w:t>
      </w:r>
      <w:r w:rsidRPr="002152E4">
        <w:rPr>
          <w:kern w:val="28"/>
          <w:lang w:val="ro-RO"/>
        </w:rPr>
        <w:t xml:space="preserve">pentru dosare penale. </w:t>
      </w:r>
    </w:p>
    <w:p w:rsidR="007442AA" w:rsidRPr="002152E4" w:rsidRDefault="007442AA" w:rsidP="00D5288F">
      <w:pPr>
        <w:spacing w:before="120"/>
        <w:ind w:firstLine="720"/>
        <w:jc w:val="both"/>
        <w:rPr>
          <w:kern w:val="28"/>
          <w:lang w:val="ro-RO"/>
        </w:rPr>
      </w:pPr>
      <w:r w:rsidRPr="002152E4">
        <w:rPr>
          <w:kern w:val="28"/>
          <w:lang w:val="ro-RO"/>
        </w:rPr>
        <w:t xml:space="preserve">În ceea ce priveşte operativitatea calculată în raport cu numărul de dosare de soluționat, cea mai mare operativitate a înregistrat-o </w:t>
      </w:r>
      <w:r w:rsidRPr="002152E4">
        <w:rPr>
          <w:b/>
          <w:kern w:val="28"/>
          <w:lang w:val="ro-RO"/>
        </w:rPr>
        <w:t xml:space="preserve">Parchetul de pe lângă Tribunalul Braşov pentru minori si familie  </w:t>
      </w:r>
      <w:r w:rsidRPr="002152E4">
        <w:rPr>
          <w:kern w:val="28"/>
          <w:lang w:val="ro-RO"/>
        </w:rPr>
        <w:t xml:space="preserve">cu 70%, fiind însă un caz aparte dat fiind numărul mic de cauze  ce trebuiau soluționate (211) </w:t>
      </w:r>
      <w:r w:rsidRPr="002152E4">
        <w:rPr>
          <w:b/>
          <w:kern w:val="28"/>
          <w:lang w:val="ro-RO"/>
        </w:rPr>
        <w:t xml:space="preserve">, </w:t>
      </w:r>
      <w:r w:rsidRPr="002152E4">
        <w:rPr>
          <w:kern w:val="28"/>
          <w:lang w:val="ro-RO"/>
        </w:rPr>
        <w:t xml:space="preserve">urmat de </w:t>
      </w:r>
      <w:r w:rsidRPr="002152E4">
        <w:rPr>
          <w:b/>
          <w:bCs/>
          <w:kern w:val="28"/>
          <w:lang w:val="ro-RO"/>
        </w:rPr>
        <w:t xml:space="preserve">Parchetele de pe lângă Tribunalele Vrancea </w:t>
      </w:r>
      <w:r w:rsidRPr="002152E4">
        <w:rPr>
          <w:bCs/>
          <w:kern w:val="28"/>
          <w:lang w:val="ro-RO"/>
        </w:rPr>
        <w:t>si</w:t>
      </w:r>
      <w:r w:rsidRPr="002152E4">
        <w:rPr>
          <w:b/>
          <w:bCs/>
          <w:kern w:val="28"/>
          <w:lang w:val="ro-RO"/>
        </w:rPr>
        <w:t xml:space="preserve"> Brăila,</w:t>
      </w:r>
      <w:r w:rsidRPr="002152E4">
        <w:rPr>
          <w:kern w:val="28"/>
          <w:lang w:val="ro-RO"/>
        </w:rPr>
        <w:t xml:space="preserve"> cu 67%, respectiv 66%, iar cea mai mică operativitate a fost înregistrată de </w:t>
      </w:r>
      <w:r w:rsidRPr="002152E4">
        <w:rPr>
          <w:b/>
          <w:kern w:val="28"/>
          <w:lang w:val="ro-RO"/>
        </w:rPr>
        <w:t>Parchetul de pe lângă Tribunalul Bucureşti</w:t>
      </w:r>
      <w:r w:rsidRPr="002152E4">
        <w:rPr>
          <w:kern w:val="28"/>
          <w:lang w:val="ro-RO"/>
        </w:rPr>
        <w:t xml:space="preserve"> cu 20% şi </w:t>
      </w:r>
      <w:r w:rsidRPr="002152E4">
        <w:rPr>
          <w:b/>
          <w:kern w:val="28"/>
          <w:lang w:val="ro-RO"/>
        </w:rPr>
        <w:t xml:space="preserve">Parchetul de pe lângă Tribunalul Harghita </w:t>
      </w:r>
      <w:r w:rsidRPr="002152E4">
        <w:rPr>
          <w:kern w:val="28"/>
          <w:lang w:val="ro-RO"/>
        </w:rPr>
        <w:t>cu</w:t>
      </w:r>
      <w:r w:rsidRPr="002152E4">
        <w:rPr>
          <w:b/>
          <w:kern w:val="28"/>
          <w:lang w:val="ro-RO"/>
        </w:rPr>
        <w:t xml:space="preserve"> </w:t>
      </w:r>
      <w:r w:rsidRPr="002152E4">
        <w:rPr>
          <w:kern w:val="28"/>
          <w:lang w:val="ro-RO"/>
        </w:rPr>
        <w:t>24%.</w:t>
      </w:r>
    </w:p>
    <w:p w:rsidR="007442AA" w:rsidRPr="002152E4" w:rsidRDefault="007442AA" w:rsidP="00D5288F">
      <w:pPr>
        <w:spacing w:before="120"/>
        <w:ind w:firstLine="720"/>
        <w:jc w:val="both"/>
        <w:rPr>
          <w:kern w:val="28"/>
          <w:lang w:val="ro-RO"/>
        </w:rPr>
      </w:pPr>
      <w:r w:rsidRPr="002152E4">
        <w:rPr>
          <w:kern w:val="28"/>
          <w:lang w:val="ro-RO"/>
        </w:rPr>
        <w:t>Media naţională a cauzelor penale soluţionate pe procuror, înregistrată la nivelul parchetelor de pe lângă tribunale,  a fost de 62</w:t>
      </w:r>
      <w:r w:rsidRPr="002152E4">
        <w:rPr>
          <w:b/>
          <w:kern w:val="28"/>
          <w:lang w:val="ro-RO"/>
        </w:rPr>
        <w:t xml:space="preserve"> </w:t>
      </w:r>
      <w:r w:rsidRPr="002152E4">
        <w:rPr>
          <w:kern w:val="28"/>
          <w:lang w:val="ro-RO"/>
        </w:rPr>
        <w:t>de dosare</w:t>
      </w:r>
      <w:r w:rsidRPr="002152E4">
        <w:rPr>
          <w:b/>
          <w:kern w:val="28"/>
          <w:lang w:val="ro-RO"/>
        </w:rPr>
        <w:t xml:space="preserve"> </w:t>
      </w:r>
      <w:r w:rsidRPr="002152E4">
        <w:rPr>
          <w:kern w:val="28"/>
          <w:lang w:val="ro-RO"/>
        </w:rPr>
        <w:t>în anul 2016. Dacă aceasta se calculează ținând cont de numărul real de procurori care au soluționat aceste dosare, se va înregistra o medie de dosare soluționate pe procuror de 89 de cauze.</w:t>
      </w:r>
    </w:p>
    <w:p w:rsidR="007442AA" w:rsidRPr="002152E4" w:rsidRDefault="007442AA" w:rsidP="00D5288F">
      <w:pPr>
        <w:spacing w:before="120"/>
        <w:ind w:firstLine="720"/>
        <w:jc w:val="both"/>
        <w:rPr>
          <w:b/>
          <w:kern w:val="28"/>
          <w:lang w:val="ro-RO"/>
        </w:rPr>
      </w:pPr>
      <w:r w:rsidRPr="002152E4">
        <w:rPr>
          <w:b/>
          <w:kern w:val="28"/>
          <w:lang w:val="ro-RO"/>
        </w:rPr>
        <w:t>Operativitatea la nivelul Parchetului de pe lângă Tribunalul pentru minori şi familie Braşov</w:t>
      </w:r>
    </w:p>
    <w:p w:rsidR="00355E43" w:rsidRPr="002152E4" w:rsidRDefault="007442AA" w:rsidP="00D5288F">
      <w:pPr>
        <w:spacing w:before="120"/>
        <w:ind w:firstLine="720"/>
        <w:jc w:val="both"/>
        <w:rPr>
          <w:b/>
          <w:kern w:val="28"/>
          <w:lang w:val="ro-RO"/>
        </w:rPr>
      </w:pPr>
      <w:r w:rsidRPr="002152E4">
        <w:rPr>
          <w:kern w:val="28"/>
          <w:lang w:val="ro-RO"/>
        </w:rPr>
        <w:t xml:space="preserve"> Din cele </w:t>
      </w:r>
      <w:r w:rsidRPr="002152E4">
        <w:rPr>
          <w:b/>
          <w:kern w:val="28"/>
          <w:lang w:val="ro-RO"/>
        </w:rPr>
        <w:t xml:space="preserve">2318 </w:t>
      </w:r>
      <w:r w:rsidRPr="002152E4">
        <w:rPr>
          <w:kern w:val="28"/>
          <w:lang w:val="ro-RO"/>
        </w:rPr>
        <w:t xml:space="preserve">de lucrări aflate pe rol în anul 2016, au fost soluţionate </w:t>
      </w:r>
      <w:r w:rsidRPr="002152E4">
        <w:rPr>
          <w:b/>
          <w:kern w:val="28"/>
          <w:lang w:val="ro-RO"/>
        </w:rPr>
        <w:t xml:space="preserve">2196 </w:t>
      </w:r>
      <w:r w:rsidRPr="002152E4">
        <w:rPr>
          <w:kern w:val="28"/>
          <w:lang w:val="ro-RO"/>
        </w:rPr>
        <w:t xml:space="preserve">de lucrări, rezultând o operativitate de 95%, iar în ceea ce priveşte dosarele penale, din cele </w:t>
      </w:r>
      <w:r w:rsidRPr="002152E4">
        <w:rPr>
          <w:b/>
          <w:kern w:val="28"/>
          <w:lang w:val="ro-RO"/>
        </w:rPr>
        <w:t>211</w:t>
      </w:r>
      <w:r w:rsidRPr="002152E4">
        <w:rPr>
          <w:kern w:val="28"/>
          <w:lang w:val="ro-RO"/>
        </w:rPr>
        <w:t xml:space="preserve"> cauze aflate în lucru au fost finalizate </w:t>
      </w:r>
      <w:r w:rsidRPr="002152E4">
        <w:rPr>
          <w:b/>
          <w:kern w:val="28"/>
          <w:lang w:val="ro-RO"/>
        </w:rPr>
        <w:t>147</w:t>
      </w:r>
      <w:r w:rsidRPr="002152E4">
        <w:rPr>
          <w:kern w:val="28"/>
          <w:lang w:val="ro-RO"/>
        </w:rPr>
        <w:t xml:space="preserve"> de dosare</w:t>
      </w:r>
      <w:r w:rsidRPr="002152E4">
        <w:rPr>
          <w:b/>
          <w:kern w:val="28"/>
          <w:lang w:val="ro-RO"/>
        </w:rPr>
        <w:t xml:space="preserve">, </w:t>
      </w:r>
      <w:r w:rsidRPr="002152E4">
        <w:rPr>
          <w:kern w:val="28"/>
          <w:lang w:val="ro-RO"/>
        </w:rPr>
        <w:t>ceea ce determină o operativitate de 70%. Numărul mediu de cauze soluţionate de cei 2 procurori ai parchetului a fost de 73,50</w:t>
      </w:r>
      <w:r w:rsidRPr="002152E4">
        <w:rPr>
          <w:b/>
          <w:kern w:val="28"/>
          <w:lang w:val="ro-RO"/>
        </w:rPr>
        <w:t xml:space="preserve"> </w:t>
      </w:r>
      <w:r w:rsidRPr="002152E4">
        <w:rPr>
          <w:kern w:val="28"/>
          <w:lang w:val="ro-RO"/>
        </w:rPr>
        <w:t>de dosare pe procuror</w:t>
      </w:r>
      <w:r w:rsidRPr="002152E4">
        <w:rPr>
          <w:b/>
          <w:kern w:val="28"/>
          <w:lang w:val="ro-RO"/>
        </w:rPr>
        <w:t>.</w:t>
      </w:r>
    </w:p>
    <w:p w:rsidR="007442AA" w:rsidRPr="002152E4" w:rsidRDefault="00355E43" w:rsidP="00355E43">
      <w:pPr>
        <w:pStyle w:val="Heading3"/>
        <w:rPr>
          <w:kern w:val="28"/>
        </w:rPr>
      </w:pPr>
      <w:bookmarkStart w:id="132" w:name="_Toc475363425"/>
      <w:bookmarkStart w:id="133" w:name="_Toc486576548"/>
      <w:r w:rsidRPr="002152E4">
        <w:rPr>
          <w:kern w:val="28"/>
        </w:rPr>
        <w:t>III</w:t>
      </w:r>
      <w:r w:rsidR="007442AA" w:rsidRPr="002152E4">
        <w:rPr>
          <w:kern w:val="28"/>
        </w:rPr>
        <w:t>.3.4. Operativitatea la nivelul parchetelor de pe lângă judecătorii</w:t>
      </w:r>
      <w:bookmarkEnd w:id="132"/>
      <w:bookmarkEnd w:id="133"/>
    </w:p>
    <w:p w:rsidR="007442AA" w:rsidRPr="002152E4" w:rsidRDefault="007442AA" w:rsidP="00D5288F">
      <w:pPr>
        <w:spacing w:before="120"/>
        <w:ind w:firstLine="720"/>
        <w:jc w:val="both"/>
        <w:rPr>
          <w:kern w:val="28"/>
          <w:lang w:val="ro-RO"/>
        </w:rPr>
      </w:pPr>
      <w:r w:rsidRPr="002152E4">
        <w:rPr>
          <w:kern w:val="28"/>
          <w:lang w:val="ro-RO"/>
        </w:rPr>
        <w:t>Din cele 2580170 de lucrări de soluţionat, în cursul anului 2016 au fost soluţionate un număr de 1423225. Din totalul lucrărilor, numărul de dosare de soluţionat a fost de 1638332, dintre acestea fiind soluţionate 512767 de cauze.</w:t>
      </w:r>
    </w:p>
    <w:p w:rsidR="007442AA" w:rsidRPr="002152E4" w:rsidRDefault="007442AA" w:rsidP="00D5288F">
      <w:pPr>
        <w:spacing w:before="120"/>
        <w:ind w:firstLine="720"/>
        <w:jc w:val="both"/>
        <w:rPr>
          <w:kern w:val="28"/>
          <w:lang w:val="ro-RO"/>
        </w:rPr>
      </w:pPr>
      <w:r w:rsidRPr="002152E4">
        <w:rPr>
          <w:kern w:val="28"/>
          <w:lang w:val="ro-RO"/>
        </w:rPr>
        <w:t xml:space="preserve">Procentual, operativitatea înregistrată a fost de 55 </w:t>
      </w:r>
      <w:r w:rsidRPr="002152E4">
        <w:rPr>
          <w:b/>
          <w:kern w:val="28"/>
          <w:lang w:val="ro-RO"/>
        </w:rPr>
        <w:t xml:space="preserve">% </w:t>
      </w:r>
      <w:r w:rsidRPr="002152E4">
        <w:rPr>
          <w:kern w:val="28"/>
          <w:lang w:val="ro-RO"/>
        </w:rPr>
        <w:t>raportat la numărul de lucrări, respectiv 31</w:t>
      </w:r>
      <w:r w:rsidRPr="002152E4">
        <w:rPr>
          <w:b/>
          <w:kern w:val="28"/>
          <w:lang w:val="ro-RO"/>
        </w:rPr>
        <w:t>%</w:t>
      </w:r>
      <w:r w:rsidRPr="002152E4">
        <w:rPr>
          <w:kern w:val="28"/>
          <w:lang w:val="ro-RO"/>
        </w:rPr>
        <w:t xml:space="preserve"> raportat la numărul de  dosare.</w:t>
      </w:r>
    </w:p>
    <w:p w:rsidR="007442AA" w:rsidRPr="002152E4" w:rsidRDefault="007442AA" w:rsidP="00D5288F">
      <w:pPr>
        <w:spacing w:before="120"/>
        <w:ind w:firstLine="720"/>
        <w:jc w:val="both"/>
        <w:rPr>
          <w:kern w:val="28"/>
          <w:lang w:val="ro-RO"/>
        </w:rPr>
      </w:pPr>
      <w:r w:rsidRPr="002152E4">
        <w:rPr>
          <w:kern w:val="28"/>
          <w:lang w:val="ro-RO"/>
        </w:rPr>
        <w:lastRenderedPageBreak/>
        <w:t xml:space="preserve">Sub aspectul numărului de dosare soluţionate raportat la volumul de activitate, se remarcă având operativitatea cea mai mare </w:t>
      </w:r>
      <w:r w:rsidRPr="002152E4">
        <w:rPr>
          <w:b/>
          <w:bCs/>
          <w:kern w:val="28"/>
          <w:lang w:val="ro-RO"/>
        </w:rPr>
        <w:t xml:space="preserve">Parchetul de pe lângă Judecătoria </w:t>
      </w:r>
      <w:r w:rsidR="002152E4" w:rsidRPr="002152E4">
        <w:rPr>
          <w:b/>
          <w:bCs/>
          <w:kern w:val="28"/>
          <w:lang w:val="ro-RO"/>
        </w:rPr>
        <w:t>Orșova</w:t>
      </w:r>
      <w:r w:rsidRPr="002152E4">
        <w:rPr>
          <w:b/>
          <w:bCs/>
          <w:kern w:val="28"/>
          <w:lang w:val="ro-RO"/>
        </w:rPr>
        <w:t xml:space="preserve"> </w:t>
      </w:r>
      <w:r w:rsidRPr="002152E4">
        <w:rPr>
          <w:bCs/>
          <w:kern w:val="28"/>
          <w:lang w:val="ro-RO"/>
        </w:rPr>
        <w:t>cu 65%</w:t>
      </w:r>
      <w:r w:rsidRPr="002152E4">
        <w:rPr>
          <w:kern w:val="28"/>
          <w:lang w:val="ro-RO"/>
        </w:rPr>
        <w:t xml:space="preserve"> şi </w:t>
      </w:r>
      <w:r w:rsidRPr="002152E4">
        <w:rPr>
          <w:b/>
          <w:bCs/>
          <w:kern w:val="28"/>
          <w:lang w:val="ro-RO"/>
        </w:rPr>
        <w:t>Parchetul de pe lângă Judecătoria Strehaia</w:t>
      </w:r>
      <w:r w:rsidRPr="002152E4">
        <w:rPr>
          <w:kern w:val="28"/>
          <w:lang w:val="ro-RO"/>
        </w:rPr>
        <w:t xml:space="preserve"> cu 60% şi </w:t>
      </w:r>
      <w:r w:rsidRPr="002152E4">
        <w:rPr>
          <w:b/>
          <w:bCs/>
          <w:kern w:val="28"/>
          <w:lang w:val="ro-RO"/>
        </w:rPr>
        <w:t xml:space="preserve">Parchetul de pe lângă Judecătoria </w:t>
      </w:r>
      <w:r w:rsidR="002152E4" w:rsidRPr="002152E4">
        <w:rPr>
          <w:b/>
          <w:bCs/>
          <w:kern w:val="28"/>
          <w:lang w:val="ro-RO"/>
        </w:rPr>
        <w:t>Dragomireşti</w:t>
      </w:r>
      <w:r w:rsidRPr="002152E4">
        <w:rPr>
          <w:b/>
          <w:bCs/>
          <w:kern w:val="28"/>
          <w:lang w:val="ro-RO"/>
        </w:rPr>
        <w:t>,</w:t>
      </w:r>
      <w:r w:rsidRPr="002152E4">
        <w:rPr>
          <w:kern w:val="28"/>
          <w:lang w:val="ro-RO"/>
        </w:rPr>
        <w:t xml:space="preserve"> cu 59%. La polul opus se află Parchetul de pe lângă Judecătoria Babadag cu 7%, Parchetul de pe lângă Judecătoria </w:t>
      </w:r>
      <w:r w:rsidR="002152E4" w:rsidRPr="002152E4">
        <w:rPr>
          <w:kern w:val="28"/>
          <w:lang w:val="ro-RO"/>
        </w:rPr>
        <w:t>Fetești</w:t>
      </w:r>
      <w:r w:rsidRPr="002152E4">
        <w:rPr>
          <w:kern w:val="28"/>
          <w:lang w:val="ro-RO"/>
        </w:rPr>
        <w:t xml:space="preserve"> cu 19% şi Parchetul de pe lângă judecătoria Sector 1 Bucureşti cu o operativitate de 20%.</w:t>
      </w:r>
    </w:p>
    <w:p w:rsidR="007442AA" w:rsidRPr="002152E4" w:rsidRDefault="007442AA" w:rsidP="00D5288F">
      <w:pPr>
        <w:spacing w:before="120"/>
        <w:ind w:firstLine="720"/>
        <w:jc w:val="both"/>
        <w:rPr>
          <w:b/>
          <w:i/>
          <w:kern w:val="28"/>
          <w:lang w:val="ro-RO"/>
        </w:rPr>
      </w:pPr>
      <w:r w:rsidRPr="002152E4">
        <w:rPr>
          <w:kern w:val="28"/>
          <w:lang w:val="ro-RO"/>
        </w:rPr>
        <w:t xml:space="preserve">Media naţională înregistrată la nivelul parchetelor de pe lângă judecătorii şi referitoare la cauzele penale soluţionate pe procuror  a fost de </w:t>
      </w:r>
      <w:r w:rsidRPr="002152E4">
        <w:rPr>
          <w:bCs/>
          <w:kern w:val="28"/>
          <w:lang w:val="ro-RO"/>
        </w:rPr>
        <w:t>463</w:t>
      </w:r>
      <w:r w:rsidRPr="002152E4">
        <w:rPr>
          <w:b/>
          <w:bCs/>
          <w:kern w:val="28"/>
          <w:lang w:val="ro-RO"/>
        </w:rPr>
        <w:t xml:space="preserve"> </w:t>
      </w:r>
      <w:r w:rsidRPr="002152E4">
        <w:rPr>
          <w:bCs/>
          <w:kern w:val="28"/>
          <w:lang w:val="ro-RO"/>
        </w:rPr>
        <w:t>de dosare</w:t>
      </w:r>
      <w:r w:rsidRPr="002152E4">
        <w:rPr>
          <w:kern w:val="28"/>
          <w:lang w:val="ro-RO"/>
        </w:rPr>
        <w:t>.</w:t>
      </w:r>
    </w:p>
    <w:p w:rsidR="007442AA" w:rsidRPr="002152E4" w:rsidRDefault="007442AA" w:rsidP="00D5288F">
      <w:pPr>
        <w:spacing w:before="120"/>
        <w:ind w:firstLine="720"/>
        <w:jc w:val="both"/>
        <w:rPr>
          <w:kern w:val="28"/>
          <w:lang w:val="ro-RO"/>
        </w:rPr>
      </w:pPr>
      <w:r w:rsidRPr="002152E4">
        <w:rPr>
          <w:kern w:val="28"/>
          <w:lang w:val="ro-RO"/>
        </w:rPr>
        <w:t>Operativitatea la nivelul Parchetelor Militare s-a ridicat în anul 2015 la 77% în ceea ce priveşte numărul de lucrări soluționate şi la 50 % în ceea ce priveşte numărul de dosare penale.</w:t>
      </w:r>
    </w:p>
    <w:p w:rsidR="007442AA" w:rsidRPr="002152E4" w:rsidRDefault="007442AA" w:rsidP="00D5288F">
      <w:pPr>
        <w:spacing w:before="120"/>
        <w:ind w:firstLine="720"/>
        <w:jc w:val="both"/>
        <w:rPr>
          <w:kern w:val="28"/>
          <w:lang w:val="ro-RO"/>
        </w:rPr>
      </w:pPr>
      <w:r w:rsidRPr="002152E4">
        <w:rPr>
          <w:kern w:val="28"/>
          <w:lang w:val="ro-RO"/>
        </w:rPr>
        <w:t xml:space="preserve">O privire comparativă asupra operativităţii pe grade </w:t>
      </w:r>
      <w:r w:rsidR="002152E4" w:rsidRPr="002152E4">
        <w:rPr>
          <w:kern w:val="28"/>
          <w:lang w:val="ro-RO"/>
        </w:rPr>
        <w:t>jurisdicţionale</w:t>
      </w:r>
      <w:r w:rsidRPr="002152E4">
        <w:rPr>
          <w:kern w:val="28"/>
          <w:lang w:val="ro-RO"/>
        </w:rPr>
        <w:t xml:space="preserve"> la parchete se </w:t>
      </w:r>
      <w:r w:rsidR="002152E4" w:rsidRPr="002152E4">
        <w:rPr>
          <w:kern w:val="28"/>
          <w:lang w:val="ro-RO"/>
        </w:rPr>
        <w:t>regăsește</w:t>
      </w:r>
      <w:r w:rsidRPr="002152E4">
        <w:rPr>
          <w:kern w:val="28"/>
          <w:lang w:val="ro-RO"/>
        </w:rPr>
        <w:t xml:space="preserve"> în graficul de mai jos:</w:t>
      </w:r>
    </w:p>
    <w:p w:rsidR="007442AA" w:rsidRPr="002152E4" w:rsidRDefault="007041EF" w:rsidP="007442AA">
      <w:pPr>
        <w:spacing w:before="120" w:line="360" w:lineRule="auto"/>
        <w:ind w:firstLine="720"/>
        <w:jc w:val="both"/>
        <w:rPr>
          <w:kern w:val="28"/>
          <w:lang w:val="ro-RO"/>
        </w:rPr>
      </w:pPr>
      <w:r w:rsidRPr="002152E4">
        <w:rPr>
          <w:b/>
          <w:noProof/>
        </w:rPr>
        <w:drawing>
          <wp:inline distT="0" distB="0" distL="0" distR="0">
            <wp:extent cx="5410200" cy="2125980"/>
            <wp:effectExtent l="0" t="0" r="0" b="0"/>
            <wp:docPr id="52" name="Object 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7442AA" w:rsidRPr="002152E4" w:rsidRDefault="007442AA" w:rsidP="007442AA">
      <w:pPr>
        <w:ind w:left="2136"/>
        <w:rPr>
          <w:lang w:val="ro-RO"/>
        </w:rPr>
      </w:pPr>
    </w:p>
    <w:p w:rsidR="007442AA" w:rsidRPr="002152E4" w:rsidRDefault="007442AA" w:rsidP="007442AA">
      <w:pPr>
        <w:tabs>
          <w:tab w:val="left" w:pos="930"/>
        </w:tabs>
        <w:jc w:val="both"/>
        <w:rPr>
          <w:lang w:val="ro-RO"/>
        </w:rPr>
      </w:pPr>
    </w:p>
    <w:p w:rsidR="007442AA" w:rsidRPr="002152E4" w:rsidRDefault="00355E43" w:rsidP="00355E43">
      <w:pPr>
        <w:pStyle w:val="Heading2"/>
      </w:pPr>
      <w:bookmarkStart w:id="134" w:name="_Toc475363426"/>
      <w:bookmarkStart w:id="135" w:name="_Toc486576549"/>
      <w:r w:rsidRPr="002152E4">
        <w:t>III.4.</w:t>
      </w:r>
      <w:r w:rsidR="007442AA" w:rsidRPr="002152E4">
        <w:t xml:space="preserve"> Ponderea achitărilor la nivelul tuturor parchetelor:</w:t>
      </w:r>
      <w:bookmarkEnd w:id="134"/>
      <w:bookmarkEnd w:id="135"/>
    </w:p>
    <w:p w:rsidR="007442AA" w:rsidRPr="002152E4" w:rsidRDefault="007442AA" w:rsidP="00D5288F">
      <w:pPr>
        <w:spacing w:before="120"/>
        <w:ind w:firstLine="720"/>
        <w:jc w:val="both"/>
        <w:rPr>
          <w:kern w:val="28"/>
          <w:lang w:val="ro-RO"/>
        </w:rPr>
      </w:pPr>
      <w:r w:rsidRPr="002152E4">
        <w:rPr>
          <w:kern w:val="28"/>
          <w:lang w:val="ro-RO"/>
        </w:rPr>
        <w:t xml:space="preserve">Numărul inculpaţilor trimişi în judecată în anul </w:t>
      </w:r>
      <w:smartTag w:uri="urn:schemas-microsoft-com:office:smarttags" w:element="metricconverter">
        <w:smartTagPr>
          <w:attr w:name="ProductID" w:val="2016 a"/>
        </w:smartTagPr>
        <w:r w:rsidRPr="002152E4">
          <w:rPr>
            <w:kern w:val="28"/>
            <w:lang w:val="ro-RO"/>
          </w:rPr>
          <w:t>2016 a</w:t>
        </w:r>
      </w:smartTag>
      <w:r w:rsidRPr="002152E4">
        <w:rPr>
          <w:kern w:val="28"/>
          <w:lang w:val="ro-RO"/>
        </w:rPr>
        <w:t xml:space="preserve"> fost de 63722  de persoane (58909  în anul 2015) înregistrându-se aşadar o creştere de 8,2% faţă de anul anterior. Dintre aceştia, numărul inculpaţilor arestaţi preventiv a fost de 6791 ( în scădere cu 10,1% faţă de cei 7551 inculpaţi arestaţi preventiv în anul 2015), cu o ponder</w:t>
      </w:r>
      <w:r w:rsidR="002152E4">
        <w:rPr>
          <w:kern w:val="28"/>
          <w:lang w:val="ro-RO"/>
        </w:rPr>
        <w:t>e în totalul inculpaţilor trimiş</w:t>
      </w:r>
      <w:r w:rsidRPr="002152E4">
        <w:rPr>
          <w:kern w:val="28"/>
          <w:lang w:val="ro-RO"/>
        </w:rPr>
        <w:t>i în judecată de 10,7%. Au existat şi 148 invinuiţi arestaţi preventiv netrimişi în judecată (fa</w:t>
      </w:r>
      <w:r w:rsidRPr="002152E4">
        <w:rPr>
          <w:rFonts w:cs="Tahoma"/>
          <w:kern w:val="28"/>
          <w:lang w:val="ro-RO"/>
        </w:rPr>
        <w:t>ţ</w:t>
      </w:r>
      <w:r w:rsidRPr="002152E4">
        <w:rPr>
          <w:kern w:val="28"/>
          <w:lang w:val="ro-RO"/>
        </w:rPr>
        <w:t>ă de 155 în anul 2015).</w:t>
      </w:r>
    </w:p>
    <w:p w:rsidR="007442AA" w:rsidRPr="002152E4" w:rsidRDefault="007442AA" w:rsidP="00D5288F">
      <w:pPr>
        <w:spacing w:before="120"/>
        <w:ind w:firstLine="720"/>
        <w:jc w:val="both"/>
        <w:rPr>
          <w:kern w:val="28"/>
          <w:lang w:val="ro-RO"/>
        </w:rPr>
      </w:pPr>
      <w:r w:rsidRPr="002152E4">
        <w:rPr>
          <w:kern w:val="28"/>
          <w:lang w:val="ro-RO"/>
        </w:rPr>
        <w:t>Dispoziţiile de renunţare la urmărirea penală (până în anul 2013 erau prevăzute de art.18</w:t>
      </w:r>
      <w:r w:rsidRPr="002152E4">
        <w:rPr>
          <w:kern w:val="28"/>
          <w:vertAlign w:val="superscript"/>
          <w:lang w:val="ro-RO"/>
        </w:rPr>
        <w:t>1</w:t>
      </w:r>
      <w:r w:rsidRPr="002152E4">
        <w:rPr>
          <w:kern w:val="28"/>
          <w:lang w:val="ro-RO"/>
        </w:rPr>
        <w:t xml:space="preserve"> C.pen) au fost aplicate faţă de un număr de 32876 de învinuiţi şi inculpaţi (cu 33,6% mai puţin faţă de 2015 când numărul acestora a fost de 49479).</w:t>
      </w:r>
    </w:p>
    <w:p w:rsidR="007442AA" w:rsidRPr="002152E4" w:rsidRDefault="007442AA" w:rsidP="00D5288F">
      <w:pPr>
        <w:spacing w:before="120"/>
        <w:ind w:firstLine="720"/>
        <w:jc w:val="both"/>
        <w:rPr>
          <w:kern w:val="28"/>
          <w:lang w:val="ro-RO"/>
        </w:rPr>
      </w:pPr>
      <w:r w:rsidRPr="002152E4">
        <w:rPr>
          <w:kern w:val="28"/>
          <w:lang w:val="ro-RO"/>
        </w:rPr>
        <w:t>Numărul inculpaţilor achitaţi definitiv a scăzut cu 32,2 % în anul 2016, la 809, în comparaţie cu 1193 de achitaţi definitiv în anul 2015, indiferent de perioada trimiterii în judecată, cu menţiunea că s-a luat în calcul inclusiv numărul inculpaţilor persoane juridice.</w:t>
      </w:r>
    </w:p>
    <w:p w:rsidR="007442AA" w:rsidRPr="002152E4" w:rsidRDefault="007442AA" w:rsidP="007442AA">
      <w:pPr>
        <w:spacing w:line="360" w:lineRule="auto"/>
        <w:ind w:firstLine="684"/>
        <w:jc w:val="both"/>
        <w:rPr>
          <w:lang w:val="ro-RO"/>
        </w:rPr>
      </w:pPr>
      <w:r w:rsidRPr="002152E4">
        <w:rPr>
          <w:b/>
          <w:bCs/>
          <w:lang w:val="ro-RO"/>
        </w:rPr>
        <w:t xml:space="preserve"> Ponderea achitărilor din totalul trimiterilor în judecată </w:t>
      </w:r>
      <w:r w:rsidRPr="002152E4">
        <w:rPr>
          <w:lang w:val="ro-RO"/>
        </w:rPr>
        <w:t>poate fi reprezentată astfel:</w:t>
      </w:r>
    </w:p>
    <w:tbl>
      <w:tblPr>
        <w:tblW w:w="9180"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clear" w:color="auto" w:fill="E0E0E0"/>
        <w:tblLayout w:type="fixed"/>
        <w:tblLook w:val="0000" w:firstRow="0" w:lastRow="0" w:firstColumn="0" w:lastColumn="0" w:noHBand="0" w:noVBand="0"/>
      </w:tblPr>
      <w:tblGrid>
        <w:gridCol w:w="1101"/>
        <w:gridCol w:w="1842"/>
        <w:gridCol w:w="2552"/>
        <w:gridCol w:w="1843"/>
        <w:gridCol w:w="1842"/>
      </w:tblGrid>
      <w:tr w:rsidR="007442AA" w:rsidRPr="002152E4" w:rsidTr="007442AA">
        <w:trPr>
          <w:trHeight w:val="411"/>
        </w:trPr>
        <w:tc>
          <w:tcPr>
            <w:tcW w:w="1101" w:type="dxa"/>
            <w:vMerge w:val="restart"/>
            <w:tcBorders>
              <w:top w:val="threeDEmboss" w:sz="6" w:space="0" w:color="00B050"/>
              <w:left w:val="threeDEmboss" w:sz="6" w:space="0" w:color="00B050"/>
            </w:tcBorders>
            <w:shd w:val="clear" w:color="auto" w:fill="FCE0C8"/>
            <w:vAlign w:val="center"/>
          </w:tcPr>
          <w:p w:rsidR="007442AA" w:rsidRPr="002152E4" w:rsidRDefault="007442AA" w:rsidP="007442AA">
            <w:pPr>
              <w:jc w:val="center"/>
              <w:rPr>
                <w:b/>
                <w:lang w:val="ro-RO"/>
              </w:rPr>
            </w:pPr>
            <w:r w:rsidRPr="002152E4">
              <w:rPr>
                <w:b/>
                <w:lang w:val="ro-RO"/>
              </w:rPr>
              <w:t>ANUL</w:t>
            </w:r>
          </w:p>
        </w:tc>
        <w:tc>
          <w:tcPr>
            <w:tcW w:w="8079" w:type="dxa"/>
            <w:gridSpan w:val="4"/>
            <w:tcBorders>
              <w:top w:val="threeDEmboss" w:sz="6" w:space="0" w:color="00B050"/>
              <w:right w:val="threeDEmboss" w:sz="6" w:space="0" w:color="00B050"/>
            </w:tcBorders>
            <w:shd w:val="clear" w:color="auto" w:fill="FCE0C8"/>
            <w:vAlign w:val="center"/>
          </w:tcPr>
          <w:p w:rsidR="007442AA" w:rsidRPr="002152E4" w:rsidRDefault="007442AA" w:rsidP="007442AA">
            <w:pPr>
              <w:jc w:val="center"/>
              <w:rPr>
                <w:b/>
                <w:lang w:val="ro-RO"/>
              </w:rPr>
            </w:pPr>
            <w:r w:rsidRPr="002152E4">
              <w:rPr>
                <w:b/>
                <w:lang w:val="ro-RO"/>
              </w:rPr>
              <w:t xml:space="preserve"> NUMĂRUL INCULPAŢILOR PERSOANE FIZICE ȘI JURIDICE </w:t>
            </w:r>
          </w:p>
          <w:p w:rsidR="007442AA" w:rsidRPr="002152E4" w:rsidRDefault="007442AA" w:rsidP="007442AA">
            <w:pPr>
              <w:jc w:val="center"/>
              <w:rPr>
                <w:b/>
                <w:lang w:val="ro-RO"/>
              </w:rPr>
            </w:pPr>
            <w:r w:rsidRPr="002152E4">
              <w:rPr>
                <w:b/>
                <w:lang w:val="ro-RO"/>
              </w:rPr>
              <w:t>ACHITAŢI DEFINITIV* INDIFERENT DE PERIOADA TRIMITERII ÎN JUDECATĂ</w:t>
            </w:r>
          </w:p>
        </w:tc>
      </w:tr>
      <w:tr w:rsidR="007442AA" w:rsidRPr="002152E4" w:rsidTr="007442AA">
        <w:trPr>
          <w:cantSplit/>
          <w:trHeight w:val="1064"/>
        </w:trPr>
        <w:tc>
          <w:tcPr>
            <w:tcW w:w="1101" w:type="dxa"/>
            <w:vMerge/>
            <w:tcBorders>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tc>
        <w:tc>
          <w:tcPr>
            <w:tcW w:w="1842" w:type="dxa"/>
            <w:tcBorders>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TOTAL, </w:t>
            </w:r>
          </w:p>
          <w:p w:rsidR="007442AA" w:rsidRPr="002152E4" w:rsidRDefault="007442AA" w:rsidP="007442AA">
            <w:pPr>
              <w:jc w:val="center"/>
              <w:rPr>
                <w:lang w:val="ro-RO"/>
              </w:rPr>
            </w:pPr>
            <w:r w:rsidRPr="002152E4">
              <w:rPr>
                <w:b/>
                <w:lang w:val="ro-RO"/>
              </w:rPr>
              <w:t>din care:</w:t>
            </w:r>
          </w:p>
        </w:tc>
        <w:tc>
          <w:tcPr>
            <w:tcW w:w="2552" w:type="dxa"/>
            <w:tcBorders>
              <w:bottom w:val="threeDEmboss" w:sz="6" w:space="0" w:color="00B050"/>
            </w:tcBorders>
            <w:shd w:val="clear" w:color="auto" w:fill="FCE0C8"/>
          </w:tcPr>
          <w:p w:rsidR="007442AA" w:rsidRPr="002152E4" w:rsidRDefault="007442AA" w:rsidP="007442AA">
            <w:pPr>
              <w:ind w:left="113" w:right="113"/>
              <w:jc w:val="center"/>
              <w:rPr>
                <w:lang w:val="ro-RO"/>
              </w:rPr>
            </w:pPr>
            <w:r w:rsidRPr="002152E4">
              <w:rPr>
                <w:lang w:val="ro-RO"/>
              </w:rPr>
              <w:t xml:space="preserve">ponderea în </w:t>
            </w:r>
          </w:p>
          <w:p w:rsidR="007442AA" w:rsidRPr="002152E4" w:rsidRDefault="007442AA" w:rsidP="007442AA">
            <w:pPr>
              <w:ind w:left="113" w:right="113"/>
              <w:jc w:val="center"/>
              <w:rPr>
                <w:lang w:val="ro-RO"/>
              </w:rPr>
            </w:pPr>
            <w:r w:rsidRPr="002152E4">
              <w:rPr>
                <w:lang w:val="ro-RO"/>
              </w:rPr>
              <w:t xml:space="preserve">total inculpați </w:t>
            </w:r>
          </w:p>
          <w:p w:rsidR="007442AA" w:rsidRPr="002152E4" w:rsidRDefault="007442AA" w:rsidP="007442AA">
            <w:pPr>
              <w:ind w:left="113" w:right="113"/>
              <w:jc w:val="center"/>
              <w:rPr>
                <w:lang w:val="ro-RO"/>
              </w:rPr>
            </w:pPr>
            <w:r w:rsidRPr="002152E4">
              <w:rPr>
                <w:lang w:val="ro-RO"/>
              </w:rPr>
              <w:t xml:space="preserve">trimişi în judecată </w:t>
            </w:r>
          </w:p>
          <w:p w:rsidR="007442AA" w:rsidRPr="002152E4" w:rsidRDefault="007442AA" w:rsidP="007442AA">
            <w:pPr>
              <w:ind w:left="113" w:right="113"/>
              <w:jc w:val="center"/>
              <w:rPr>
                <w:lang w:val="ro-RO"/>
              </w:rPr>
            </w:pPr>
            <w:r w:rsidRPr="002152E4">
              <w:rPr>
                <w:lang w:val="ro-RO"/>
              </w:rPr>
              <w:t>(%)</w:t>
            </w:r>
          </w:p>
        </w:tc>
        <w:tc>
          <w:tcPr>
            <w:tcW w:w="1843" w:type="dxa"/>
            <w:tcBorders>
              <w:bottom w:val="threeDEmboss" w:sz="6" w:space="0" w:color="00B050"/>
            </w:tcBorders>
            <w:shd w:val="clear" w:color="auto" w:fill="FCE0C8"/>
          </w:tcPr>
          <w:p w:rsidR="007442AA" w:rsidRPr="002152E4" w:rsidRDefault="007442AA" w:rsidP="007442AA">
            <w:pPr>
              <w:widowControl w:val="0"/>
              <w:autoSpaceDE w:val="0"/>
              <w:autoSpaceDN w:val="0"/>
              <w:adjustRightInd w:val="0"/>
              <w:jc w:val="center"/>
              <w:rPr>
                <w:lang w:val="ro-RO"/>
              </w:rPr>
            </w:pPr>
            <w:r w:rsidRPr="002152E4">
              <w:rPr>
                <w:lang w:val="ro-RO"/>
              </w:rPr>
              <w:t xml:space="preserve">Nr. achitaţi definitiv arestaţi </w:t>
            </w:r>
          </w:p>
          <w:p w:rsidR="007442AA" w:rsidRPr="002152E4" w:rsidRDefault="007442AA" w:rsidP="007442AA">
            <w:pPr>
              <w:widowControl w:val="0"/>
              <w:autoSpaceDE w:val="0"/>
              <w:autoSpaceDN w:val="0"/>
              <w:adjustRightInd w:val="0"/>
              <w:jc w:val="center"/>
              <w:rPr>
                <w:lang w:val="ro-RO"/>
              </w:rPr>
            </w:pPr>
            <w:r w:rsidRPr="002152E4">
              <w:rPr>
                <w:lang w:val="ro-RO"/>
              </w:rPr>
              <w:t>preventiv</w:t>
            </w:r>
          </w:p>
        </w:tc>
        <w:tc>
          <w:tcPr>
            <w:tcW w:w="1842" w:type="dxa"/>
            <w:tcBorders>
              <w:bottom w:val="threeDEmboss" w:sz="6" w:space="0" w:color="00B050"/>
              <w:right w:val="threeDEmboss" w:sz="6" w:space="0" w:color="00B050"/>
            </w:tcBorders>
            <w:shd w:val="clear" w:color="auto" w:fill="FCE0C8"/>
          </w:tcPr>
          <w:p w:rsidR="007442AA" w:rsidRPr="002152E4" w:rsidRDefault="007442AA" w:rsidP="007442AA">
            <w:pPr>
              <w:widowControl w:val="0"/>
              <w:autoSpaceDE w:val="0"/>
              <w:autoSpaceDN w:val="0"/>
              <w:adjustRightInd w:val="0"/>
              <w:jc w:val="center"/>
              <w:rPr>
                <w:lang w:val="ro-RO"/>
              </w:rPr>
            </w:pPr>
            <w:r w:rsidRPr="002152E4">
              <w:rPr>
                <w:lang w:val="ro-RO"/>
              </w:rPr>
              <w:t xml:space="preserve">Nr. inculpați minori achitaţi </w:t>
            </w:r>
            <w:r w:rsidR="002152E4" w:rsidRPr="002152E4">
              <w:rPr>
                <w:lang w:val="ro-RO"/>
              </w:rPr>
              <w:t>definitiv</w:t>
            </w:r>
          </w:p>
        </w:tc>
      </w:tr>
      <w:tr w:rsidR="007442AA" w:rsidRPr="002152E4" w:rsidTr="007442AA">
        <w:tblPrEx>
          <w:shd w:val="clear" w:color="auto" w:fill="auto"/>
        </w:tblPrEx>
        <w:tc>
          <w:tcPr>
            <w:tcW w:w="1101" w:type="dxa"/>
            <w:tcBorders>
              <w:top w:val="threeDEmboss" w:sz="6" w:space="0" w:color="00B050"/>
            </w:tcBorders>
          </w:tcPr>
          <w:p w:rsidR="007442AA" w:rsidRPr="002152E4" w:rsidRDefault="007442AA" w:rsidP="007442AA">
            <w:pPr>
              <w:jc w:val="center"/>
              <w:rPr>
                <w:lang w:val="ro-RO"/>
              </w:rPr>
            </w:pPr>
            <w:r w:rsidRPr="002152E4">
              <w:rPr>
                <w:lang w:val="ro-RO"/>
              </w:rPr>
              <w:t>2007</w:t>
            </w:r>
          </w:p>
        </w:tc>
        <w:tc>
          <w:tcPr>
            <w:tcW w:w="1842" w:type="dxa"/>
            <w:tcBorders>
              <w:top w:val="threeDEmboss" w:sz="6" w:space="0" w:color="00B050"/>
            </w:tcBorders>
          </w:tcPr>
          <w:p w:rsidR="007442AA" w:rsidRPr="002152E4" w:rsidRDefault="007442AA" w:rsidP="007442AA">
            <w:pPr>
              <w:jc w:val="center"/>
              <w:rPr>
                <w:lang w:val="ro-RO"/>
              </w:rPr>
            </w:pPr>
            <w:r w:rsidRPr="002152E4">
              <w:rPr>
                <w:lang w:val="ro-RO"/>
              </w:rPr>
              <w:t>1.211</w:t>
            </w:r>
          </w:p>
        </w:tc>
        <w:tc>
          <w:tcPr>
            <w:tcW w:w="2552" w:type="dxa"/>
            <w:tcBorders>
              <w:top w:val="threeDEmboss" w:sz="6" w:space="0" w:color="00B050"/>
            </w:tcBorders>
            <w:vAlign w:val="center"/>
          </w:tcPr>
          <w:p w:rsidR="007442AA" w:rsidRPr="002152E4" w:rsidRDefault="007442AA" w:rsidP="007442AA">
            <w:pPr>
              <w:jc w:val="center"/>
              <w:rPr>
                <w:lang w:val="ro-RO"/>
              </w:rPr>
            </w:pPr>
            <w:r w:rsidRPr="002152E4">
              <w:rPr>
                <w:lang w:val="ro-RO"/>
              </w:rPr>
              <w:t>2,5</w:t>
            </w:r>
          </w:p>
        </w:tc>
        <w:tc>
          <w:tcPr>
            <w:tcW w:w="1843" w:type="dxa"/>
            <w:tcBorders>
              <w:top w:val="threeDEmboss" w:sz="6" w:space="0" w:color="00B050"/>
            </w:tcBorders>
          </w:tcPr>
          <w:p w:rsidR="007442AA" w:rsidRPr="002152E4" w:rsidRDefault="007442AA" w:rsidP="007442AA">
            <w:pPr>
              <w:widowControl w:val="0"/>
              <w:autoSpaceDE w:val="0"/>
              <w:autoSpaceDN w:val="0"/>
              <w:adjustRightInd w:val="0"/>
              <w:jc w:val="center"/>
              <w:rPr>
                <w:lang w:val="ro-RO"/>
              </w:rPr>
            </w:pPr>
            <w:r w:rsidRPr="002152E4">
              <w:rPr>
                <w:lang w:val="ro-RO"/>
              </w:rPr>
              <w:t>22</w:t>
            </w:r>
          </w:p>
        </w:tc>
        <w:tc>
          <w:tcPr>
            <w:tcW w:w="1842" w:type="dxa"/>
            <w:tcBorders>
              <w:top w:val="threeDEmboss" w:sz="6" w:space="0" w:color="00B050"/>
            </w:tcBorders>
          </w:tcPr>
          <w:p w:rsidR="007442AA" w:rsidRPr="002152E4" w:rsidRDefault="007442AA" w:rsidP="007442AA">
            <w:pPr>
              <w:widowControl w:val="0"/>
              <w:autoSpaceDE w:val="0"/>
              <w:autoSpaceDN w:val="0"/>
              <w:adjustRightInd w:val="0"/>
              <w:jc w:val="center"/>
              <w:rPr>
                <w:lang w:val="ro-RO"/>
              </w:rPr>
            </w:pPr>
            <w:r w:rsidRPr="002152E4">
              <w:rPr>
                <w:lang w:val="ro-RO"/>
              </w:rPr>
              <w:t>6</w:t>
            </w:r>
          </w:p>
        </w:tc>
      </w:tr>
      <w:tr w:rsidR="007442AA" w:rsidRPr="002152E4" w:rsidTr="007442AA">
        <w:tblPrEx>
          <w:shd w:val="clear" w:color="auto" w:fill="auto"/>
        </w:tblPrEx>
        <w:tc>
          <w:tcPr>
            <w:tcW w:w="1101" w:type="dxa"/>
          </w:tcPr>
          <w:p w:rsidR="007442AA" w:rsidRPr="002152E4" w:rsidRDefault="007442AA" w:rsidP="007442AA">
            <w:pPr>
              <w:jc w:val="center"/>
              <w:rPr>
                <w:lang w:val="ro-RO"/>
              </w:rPr>
            </w:pPr>
            <w:r w:rsidRPr="002152E4">
              <w:rPr>
                <w:lang w:val="ro-RO"/>
              </w:rPr>
              <w:t>2008</w:t>
            </w:r>
          </w:p>
        </w:tc>
        <w:tc>
          <w:tcPr>
            <w:tcW w:w="1842" w:type="dxa"/>
          </w:tcPr>
          <w:p w:rsidR="007442AA" w:rsidRPr="002152E4" w:rsidRDefault="007442AA" w:rsidP="007442AA">
            <w:pPr>
              <w:jc w:val="center"/>
              <w:rPr>
                <w:lang w:val="ro-RO"/>
              </w:rPr>
            </w:pPr>
            <w:r w:rsidRPr="002152E4">
              <w:rPr>
                <w:lang w:val="ro-RO"/>
              </w:rPr>
              <w:t>1.182</w:t>
            </w:r>
          </w:p>
        </w:tc>
        <w:tc>
          <w:tcPr>
            <w:tcW w:w="2552" w:type="dxa"/>
            <w:vAlign w:val="center"/>
          </w:tcPr>
          <w:p w:rsidR="007442AA" w:rsidRPr="002152E4" w:rsidRDefault="007442AA" w:rsidP="007442AA">
            <w:pPr>
              <w:jc w:val="center"/>
              <w:rPr>
                <w:lang w:val="ro-RO"/>
              </w:rPr>
            </w:pPr>
            <w:r w:rsidRPr="002152E4">
              <w:rPr>
                <w:lang w:val="ro-RO"/>
              </w:rPr>
              <w:t>2,6</w:t>
            </w:r>
          </w:p>
        </w:tc>
        <w:tc>
          <w:tcPr>
            <w:tcW w:w="1843" w:type="dxa"/>
          </w:tcPr>
          <w:p w:rsidR="007442AA" w:rsidRPr="002152E4" w:rsidRDefault="007442AA" w:rsidP="007442AA">
            <w:pPr>
              <w:widowControl w:val="0"/>
              <w:autoSpaceDE w:val="0"/>
              <w:autoSpaceDN w:val="0"/>
              <w:adjustRightInd w:val="0"/>
              <w:jc w:val="center"/>
              <w:rPr>
                <w:lang w:val="ro-RO"/>
              </w:rPr>
            </w:pPr>
            <w:r w:rsidRPr="002152E4">
              <w:rPr>
                <w:lang w:val="ro-RO"/>
              </w:rPr>
              <w:t>23</w:t>
            </w:r>
          </w:p>
        </w:tc>
        <w:tc>
          <w:tcPr>
            <w:tcW w:w="1842" w:type="dxa"/>
          </w:tcPr>
          <w:p w:rsidR="007442AA" w:rsidRPr="002152E4" w:rsidRDefault="007442AA" w:rsidP="007442AA">
            <w:pPr>
              <w:widowControl w:val="0"/>
              <w:autoSpaceDE w:val="0"/>
              <w:autoSpaceDN w:val="0"/>
              <w:adjustRightInd w:val="0"/>
              <w:jc w:val="center"/>
              <w:rPr>
                <w:lang w:val="ro-RO"/>
              </w:rPr>
            </w:pPr>
            <w:r w:rsidRPr="002152E4">
              <w:rPr>
                <w:lang w:val="ro-RO"/>
              </w:rPr>
              <w:t>15</w:t>
            </w:r>
          </w:p>
        </w:tc>
      </w:tr>
      <w:tr w:rsidR="007442AA" w:rsidRPr="002152E4" w:rsidTr="007442AA">
        <w:tblPrEx>
          <w:shd w:val="clear" w:color="auto" w:fill="auto"/>
        </w:tblPrEx>
        <w:tc>
          <w:tcPr>
            <w:tcW w:w="1101" w:type="dxa"/>
          </w:tcPr>
          <w:p w:rsidR="007442AA" w:rsidRPr="002152E4" w:rsidRDefault="007442AA" w:rsidP="007442AA">
            <w:pPr>
              <w:jc w:val="center"/>
              <w:rPr>
                <w:lang w:val="ro-RO"/>
              </w:rPr>
            </w:pPr>
            <w:r w:rsidRPr="002152E4">
              <w:rPr>
                <w:lang w:val="ro-RO"/>
              </w:rPr>
              <w:t>2009</w:t>
            </w:r>
          </w:p>
        </w:tc>
        <w:tc>
          <w:tcPr>
            <w:tcW w:w="1842" w:type="dxa"/>
          </w:tcPr>
          <w:p w:rsidR="007442AA" w:rsidRPr="002152E4" w:rsidRDefault="007442AA" w:rsidP="007442AA">
            <w:pPr>
              <w:jc w:val="center"/>
              <w:rPr>
                <w:lang w:val="ro-RO"/>
              </w:rPr>
            </w:pPr>
            <w:r w:rsidRPr="002152E4">
              <w:rPr>
                <w:lang w:val="ro-RO"/>
              </w:rPr>
              <w:t>818</w:t>
            </w:r>
          </w:p>
        </w:tc>
        <w:tc>
          <w:tcPr>
            <w:tcW w:w="2552" w:type="dxa"/>
            <w:vAlign w:val="center"/>
          </w:tcPr>
          <w:p w:rsidR="007442AA" w:rsidRPr="002152E4" w:rsidRDefault="007442AA" w:rsidP="007442AA">
            <w:pPr>
              <w:jc w:val="center"/>
              <w:rPr>
                <w:lang w:val="ro-RO"/>
              </w:rPr>
            </w:pPr>
            <w:r w:rsidRPr="002152E4">
              <w:rPr>
                <w:lang w:val="ro-RO"/>
              </w:rPr>
              <w:t>1,6</w:t>
            </w:r>
          </w:p>
        </w:tc>
        <w:tc>
          <w:tcPr>
            <w:tcW w:w="1843" w:type="dxa"/>
          </w:tcPr>
          <w:p w:rsidR="007442AA" w:rsidRPr="002152E4" w:rsidRDefault="007442AA" w:rsidP="007442AA">
            <w:pPr>
              <w:widowControl w:val="0"/>
              <w:autoSpaceDE w:val="0"/>
              <w:autoSpaceDN w:val="0"/>
              <w:adjustRightInd w:val="0"/>
              <w:jc w:val="center"/>
              <w:rPr>
                <w:lang w:val="ro-RO"/>
              </w:rPr>
            </w:pPr>
            <w:r w:rsidRPr="002152E4">
              <w:rPr>
                <w:lang w:val="ro-RO"/>
              </w:rPr>
              <w:t>19</w:t>
            </w:r>
          </w:p>
        </w:tc>
        <w:tc>
          <w:tcPr>
            <w:tcW w:w="1842" w:type="dxa"/>
          </w:tcPr>
          <w:p w:rsidR="007442AA" w:rsidRPr="002152E4" w:rsidRDefault="007442AA" w:rsidP="007442AA">
            <w:pPr>
              <w:widowControl w:val="0"/>
              <w:autoSpaceDE w:val="0"/>
              <w:autoSpaceDN w:val="0"/>
              <w:adjustRightInd w:val="0"/>
              <w:jc w:val="center"/>
              <w:rPr>
                <w:lang w:val="ro-RO"/>
              </w:rPr>
            </w:pPr>
            <w:r w:rsidRPr="002152E4">
              <w:rPr>
                <w:lang w:val="ro-RO"/>
              </w:rPr>
              <w:t>8</w:t>
            </w:r>
          </w:p>
        </w:tc>
      </w:tr>
      <w:tr w:rsidR="007442AA" w:rsidRPr="002152E4" w:rsidTr="007442AA">
        <w:tblPrEx>
          <w:shd w:val="clear" w:color="auto" w:fill="auto"/>
        </w:tblPrEx>
        <w:tc>
          <w:tcPr>
            <w:tcW w:w="1101" w:type="dxa"/>
          </w:tcPr>
          <w:p w:rsidR="007442AA" w:rsidRPr="002152E4" w:rsidRDefault="007442AA" w:rsidP="007442AA">
            <w:pPr>
              <w:jc w:val="center"/>
              <w:rPr>
                <w:lang w:val="ro-RO"/>
              </w:rPr>
            </w:pPr>
            <w:r w:rsidRPr="002152E4">
              <w:rPr>
                <w:lang w:val="ro-RO"/>
              </w:rPr>
              <w:lastRenderedPageBreak/>
              <w:t>2010</w:t>
            </w:r>
          </w:p>
        </w:tc>
        <w:tc>
          <w:tcPr>
            <w:tcW w:w="1842" w:type="dxa"/>
          </w:tcPr>
          <w:p w:rsidR="007442AA" w:rsidRPr="002152E4" w:rsidRDefault="007442AA" w:rsidP="007442AA">
            <w:pPr>
              <w:jc w:val="center"/>
              <w:rPr>
                <w:lang w:val="ro-RO"/>
              </w:rPr>
            </w:pPr>
            <w:r w:rsidRPr="002152E4">
              <w:rPr>
                <w:lang w:val="ro-RO"/>
              </w:rPr>
              <w:t>794</w:t>
            </w:r>
          </w:p>
        </w:tc>
        <w:tc>
          <w:tcPr>
            <w:tcW w:w="2552" w:type="dxa"/>
            <w:vAlign w:val="center"/>
          </w:tcPr>
          <w:p w:rsidR="007442AA" w:rsidRPr="002152E4" w:rsidRDefault="007442AA" w:rsidP="007442AA">
            <w:pPr>
              <w:jc w:val="center"/>
              <w:rPr>
                <w:lang w:val="ro-RO"/>
              </w:rPr>
            </w:pPr>
            <w:r w:rsidRPr="002152E4">
              <w:rPr>
                <w:lang w:val="ro-RO"/>
              </w:rPr>
              <w:t>1,4</w:t>
            </w:r>
          </w:p>
        </w:tc>
        <w:tc>
          <w:tcPr>
            <w:tcW w:w="1843" w:type="dxa"/>
          </w:tcPr>
          <w:p w:rsidR="007442AA" w:rsidRPr="002152E4" w:rsidRDefault="007442AA" w:rsidP="007442AA">
            <w:pPr>
              <w:widowControl w:val="0"/>
              <w:autoSpaceDE w:val="0"/>
              <w:autoSpaceDN w:val="0"/>
              <w:adjustRightInd w:val="0"/>
              <w:jc w:val="center"/>
              <w:rPr>
                <w:lang w:val="ro-RO"/>
              </w:rPr>
            </w:pPr>
            <w:r w:rsidRPr="002152E4">
              <w:rPr>
                <w:lang w:val="ro-RO"/>
              </w:rPr>
              <w:t>17</w:t>
            </w:r>
          </w:p>
        </w:tc>
        <w:tc>
          <w:tcPr>
            <w:tcW w:w="1842" w:type="dxa"/>
          </w:tcPr>
          <w:p w:rsidR="007442AA" w:rsidRPr="002152E4" w:rsidRDefault="007442AA" w:rsidP="007442AA">
            <w:pPr>
              <w:widowControl w:val="0"/>
              <w:autoSpaceDE w:val="0"/>
              <w:autoSpaceDN w:val="0"/>
              <w:adjustRightInd w:val="0"/>
              <w:jc w:val="center"/>
              <w:rPr>
                <w:lang w:val="ro-RO"/>
              </w:rPr>
            </w:pPr>
            <w:r w:rsidRPr="002152E4">
              <w:rPr>
                <w:lang w:val="ro-RO"/>
              </w:rPr>
              <w:t>5</w:t>
            </w:r>
          </w:p>
        </w:tc>
      </w:tr>
      <w:tr w:rsidR="007442AA" w:rsidRPr="002152E4" w:rsidTr="007442AA">
        <w:tblPrEx>
          <w:shd w:val="clear" w:color="auto" w:fill="auto"/>
        </w:tblPrEx>
        <w:tc>
          <w:tcPr>
            <w:tcW w:w="1101" w:type="dxa"/>
          </w:tcPr>
          <w:p w:rsidR="007442AA" w:rsidRPr="002152E4" w:rsidRDefault="007442AA" w:rsidP="007442AA">
            <w:pPr>
              <w:jc w:val="center"/>
              <w:rPr>
                <w:lang w:val="ro-RO"/>
              </w:rPr>
            </w:pPr>
            <w:r w:rsidRPr="002152E4">
              <w:rPr>
                <w:lang w:val="ro-RO"/>
              </w:rPr>
              <w:t>2011</w:t>
            </w:r>
          </w:p>
        </w:tc>
        <w:tc>
          <w:tcPr>
            <w:tcW w:w="1842" w:type="dxa"/>
          </w:tcPr>
          <w:p w:rsidR="007442AA" w:rsidRPr="002152E4" w:rsidRDefault="007442AA" w:rsidP="007442AA">
            <w:pPr>
              <w:jc w:val="center"/>
              <w:rPr>
                <w:lang w:val="ro-RO"/>
              </w:rPr>
            </w:pPr>
            <w:r w:rsidRPr="002152E4">
              <w:rPr>
                <w:lang w:val="ro-RO"/>
              </w:rPr>
              <w:t>1.105</w:t>
            </w:r>
          </w:p>
        </w:tc>
        <w:tc>
          <w:tcPr>
            <w:tcW w:w="2552" w:type="dxa"/>
            <w:vAlign w:val="center"/>
          </w:tcPr>
          <w:p w:rsidR="007442AA" w:rsidRPr="002152E4" w:rsidRDefault="007442AA" w:rsidP="007442AA">
            <w:pPr>
              <w:jc w:val="center"/>
              <w:rPr>
                <w:lang w:val="ro-RO"/>
              </w:rPr>
            </w:pPr>
            <w:r w:rsidRPr="002152E4">
              <w:rPr>
                <w:lang w:val="ro-RO"/>
              </w:rPr>
              <w:t>1,8</w:t>
            </w:r>
          </w:p>
        </w:tc>
        <w:tc>
          <w:tcPr>
            <w:tcW w:w="1843" w:type="dxa"/>
          </w:tcPr>
          <w:p w:rsidR="007442AA" w:rsidRPr="002152E4" w:rsidRDefault="007442AA" w:rsidP="007442AA">
            <w:pPr>
              <w:widowControl w:val="0"/>
              <w:autoSpaceDE w:val="0"/>
              <w:autoSpaceDN w:val="0"/>
              <w:adjustRightInd w:val="0"/>
              <w:jc w:val="center"/>
              <w:rPr>
                <w:lang w:val="ro-RO"/>
              </w:rPr>
            </w:pPr>
            <w:r w:rsidRPr="002152E4">
              <w:rPr>
                <w:lang w:val="ro-RO"/>
              </w:rPr>
              <w:t>38</w:t>
            </w:r>
          </w:p>
        </w:tc>
        <w:tc>
          <w:tcPr>
            <w:tcW w:w="1842" w:type="dxa"/>
          </w:tcPr>
          <w:p w:rsidR="007442AA" w:rsidRPr="002152E4" w:rsidRDefault="007442AA" w:rsidP="007442AA">
            <w:pPr>
              <w:widowControl w:val="0"/>
              <w:autoSpaceDE w:val="0"/>
              <w:autoSpaceDN w:val="0"/>
              <w:adjustRightInd w:val="0"/>
              <w:jc w:val="center"/>
              <w:rPr>
                <w:lang w:val="ro-RO"/>
              </w:rPr>
            </w:pPr>
            <w:r w:rsidRPr="002152E4">
              <w:rPr>
                <w:lang w:val="ro-RO"/>
              </w:rPr>
              <w:t>19</w:t>
            </w:r>
          </w:p>
        </w:tc>
      </w:tr>
      <w:tr w:rsidR="007442AA" w:rsidRPr="002152E4" w:rsidTr="007442AA">
        <w:tblPrEx>
          <w:shd w:val="clear" w:color="auto" w:fill="auto"/>
        </w:tblPrEx>
        <w:tc>
          <w:tcPr>
            <w:tcW w:w="1101" w:type="dxa"/>
          </w:tcPr>
          <w:p w:rsidR="007442AA" w:rsidRPr="002152E4" w:rsidRDefault="007442AA" w:rsidP="007442AA">
            <w:pPr>
              <w:jc w:val="center"/>
              <w:rPr>
                <w:lang w:val="ro-RO"/>
              </w:rPr>
            </w:pPr>
            <w:r w:rsidRPr="002152E4">
              <w:rPr>
                <w:lang w:val="ro-RO"/>
              </w:rPr>
              <w:t>2012</w:t>
            </w:r>
          </w:p>
        </w:tc>
        <w:tc>
          <w:tcPr>
            <w:tcW w:w="1842" w:type="dxa"/>
          </w:tcPr>
          <w:p w:rsidR="007442AA" w:rsidRPr="002152E4" w:rsidRDefault="007442AA" w:rsidP="007442AA">
            <w:pPr>
              <w:jc w:val="center"/>
              <w:rPr>
                <w:lang w:val="ro-RO"/>
              </w:rPr>
            </w:pPr>
            <w:r w:rsidRPr="002152E4">
              <w:rPr>
                <w:lang w:val="ro-RO"/>
              </w:rPr>
              <w:t>975</w:t>
            </w:r>
          </w:p>
        </w:tc>
        <w:tc>
          <w:tcPr>
            <w:tcW w:w="2552" w:type="dxa"/>
            <w:vAlign w:val="center"/>
          </w:tcPr>
          <w:p w:rsidR="007442AA" w:rsidRPr="002152E4" w:rsidRDefault="007442AA" w:rsidP="007442AA">
            <w:pPr>
              <w:jc w:val="center"/>
              <w:rPr>
                <w:lang w:val="ro-RO"/>
              </w:rPr>
            </w:pPr>
            <w:r w:rsidRPr="002152E4">
              <w:rPr>
                <w:lang w:val="ro-RO"/>
              </w:rPr>
              <w:t>1,6</w:t>
            </w:r>
          </w:p>
        </w:tc>
        <w:tc>
          <w:tcPr>
            <w:tcW w:w="1843" w:type="dxa"/>
          </w:tcPr>
          <w:p w:rsidR="007442AA" w:rsidRPr="002152E4" w:rsidRDefault="007442AA" w:rsidP="007442AA">
            <w:pPr>
              <w:widowControl w:val="0"/>
              <w:autoSpaceDE w:val="0"/>
              <w:autoSpaceDN w:val="0"/>
              <w:adjustRightInd w:val="0"/>
              <w:jc w:val="center"/>
              <w:rPr>
                <w:lang w:val="ro-RO"/>
              </w:rPr>
            </w:pPr>
            <w:r w:rsidRPr="002152E4">
              <w:rPr>
                <w:lang w:val="ro-RO"/>
              </w:rPr>
              <w:t>39</w:t>
            </w:r>
          </w:p>
        </w:tc>
        <w:tc>
          <w:tcPr>
            <w:tcW w:w="1842" w:type="dxa"/>
          </w:tcPr>
          <w:p w:rsidR="007442AA" w:rsidRPr="002152E4" w:rsidRDefault="007442AA" w:rsidP="007442AA">
            <w:pPr>
              <w:widowControl w:val="0"/>
              <w:autoSpaceDE w:val="0"/>
              <w:autoSpaceDN w:val="0"/>
              <w:adjustRightInd w:val="0"/>
              <w:jc w:val="center"/>
              <w:rPr>
                <w:lang w:val="ro-RO"/>
              </w:rPr>
            </w:pPr>
            <w:r w:rsidRPr="002152E4">
              <w:rPr>
                <w:lang w:val="ro-RO"/>
              </w:rPr>
              <w:t>3</w:t>
            </w:r>
          </w:p>
        </w:tc>
      </w:tr>
      <w:tr w:rsidR="007442AA" w:rsidRPr="002152E4" w:rsidTr="007442AA">
        <w:tblPrEx>
          <w:shd w:val="clear" w:color="auto" w:fill="auto"/>
        </w:tblPrEx>
        <w:tc>
          <w:tcPr>
            <w:tcW w:w="1101" w:type="dxa"/>
          </w:tcPr>
          <w:p w:rsidR="007442AA" w:rsidRPr="002152E4" w:rsidRDefault="007442AA" w:rsidP="007442AA">
            <w:pPr>
              <w:jc w:val="center"/>
              <w:rPr>
                <w:lang w:val="ro-RO"/>
              </w:rPr>
            </w:pPr>
            <w:r w:rsidRPr="002152E4">
              <w:rPr>
                <w:lang w:val="ro-RO"/>
              </w:rPr>
              <w:t>2013</w:t>
            </w:r>
          </w:p>
        </w:tc>
        <w:tc>
          <w:tcPr>
            <w:tcW w:w="1842" w:type="dxa"/>
          </w:tcPr>
          <w:p w:rsidR="007442AA" w:rsidRPr="002152E4" w:rsidRDefault="007442AA" w:rsidP="007442AA">
            <w:pPr>
              <w:jc w:val="center"/>
              <w:rPr>
                <w:lang w:val="ro-RO"/>
              </w:rPr>
            </w:pPr>
            <w:r w:rsidRPr="002152E4">
              <w:rPr>
                <w:lang w:val="ro-RO"/>
              </w:rPr>
              <w:t>853</w:t>
            </w:r>
          </w:p>
        </w:tc>
        <w:tc>
          <w:tcPr>
            <w:tcW w:w="2552" w:type="dxa"/>
            <w:vAlign w:val="center"/>
          </w:tcPr>
          <w:p w:rsidR="007442AA" w:rsidRPr="002152E4" w:rsidRDefault="007442AA" w:rsidP="007442AA">
            <w:pPr>
              <w:jc w:val="center"/>
              <w:rPr>
                <w:lang w:val="ro-RO"/>
              </w:rPr>
            </w:pPr>
            <w:r w:rsidRPr="002152E4">
              <w:rPr>
                <w:lang w:val="ro-RO"/>
              </w:rPr>
              <w:t>1,3</w:t>
            </w:r>
          </w:p>
        </w:tc>
        <w:tc>
          <w:tcPr>
            <w:tcW w:w="1843" w:type="dxa"/>
          </w:tcPr>
          <w:p w:rsidR="007442AA" w:rsidRPr="002152E4" w:rsidRDefault="007442AA" w:rsidP="007442AA">
            <w:pPr>
              <w:widowControl w:val="0"/>
              <w:autoSpaceDE w:val="0"/>
              <w:autoSpaceDN w:val="0"/>
              <w:adjustRightInd w:val="0"/>
              <w:jc w:val="center"/>
              <w:rPr>
                <w:lang w:val="ro-RO"/>
              </w:rPr>
            </w:pPr>
            <w:r w:rsidRPr="002152E4">
              <w:rPr>
                <w:lang w:val="ro-RO"/>
              </w:rPr>
              <w:t>40</w:t>
            </w:r>
          </w:p>
        </w:tc>
        <w:tc>
          <w:tcPr>
            <w:tcW w:w="1842" w:type="dxa"/>
          </w:tcPr>
          <w:p w:rsidR="007442AA" w:rsidRPr="002152E4" w:rsidRDefault="007442AA" w:rsidP="007442AA">
            <w:pPr>
              <w:widowControl w:val="0"/>
              <w:autoSpaceDE w:val="0"/>
              <w:autoSpaceDN w:val="0"/>
              <w:adjustRightInd w:val="0"/>
              <w:jc w:val="center"/>
              <w:rPr>
                <w:lang w:val="ro-RO"/>
              </w:rPr>
            </w:pPr>
            <w:r w:rsidRPr="002152E4">
              <w:rPr>
                <w:lang w:val="ro-RO"/>
              </w:rPr>
              <w:t>9</w:t>
            </w:r>
          </w:p>
        </w:tc>
      </w:tr>
      <w:tr w:rsidR="007442AA" w:rsidRPr="002152E4" w:rsidTr="007442AA">
        <w:tblPrEx>
          <w:shd w:val="clear" w:color="auto" w:fill="auto"/>
        </w:tblPrEx>
        <w:tc>
          <w:tcPr>
            <w:tcW w:w="1101" w:type="dxa"/>
          </w:tcPr>
          <w:p w:rsidR="007442AA" w:rsidRPr="002152E4" w:rsidRDefault="007442AA" w:rsidP="007442AA">
            <w:pPr>
              <w:jc w:val="center"/>
              <w:rPr>
                <w:lang w:val="ro-RO"/>
              </w:rPr>
            </w:pPr>
            <w:r w:rsidRPr="002152E4">
              <w:rPr>
                <w:lang w:val="ro-RO"/>
              </w:rPr>
              <w:t>2014</w:t>
            </w:r>
          </w:p>
        </w:tc>
        <w:tc>
          <w:tcPr>
            <w:tcW w:w="1842" w:type="dxa"/>
          </w:tcPr>
          <w:p w:rsidR="007442AA" w:rsidRPr="002152E4" w:rsidRDefault="007442AA" w:rsidP="007442AA">
            <w:pPr>
              <w:jc w:val="center"/>
              <w:rPr>
                <w:lang w:val="ro-RO"/>
              </w:rPr>
            </w:pPr>
            <w:r w:rsidRPr="002152E4">
              <w:rPr>
                <w:lang w:val="ro-RO"/>
              </w:rPr>
              <w:t>1.403</w:t>
            </w:r>
          </w:p>
        </w:tc>
        <w:tc>
          <w:tcPr>
            <w:tcW w:w="2552" w:type="dxa"/>
          </w:tcPr>
          <w:p w:rsidR="007442AA" w:rsidRPr="002152E4" w:rsidRDefault="007442AA" w:rsidP="007442AA">
            <w:pPr>
              <w:widowControl w:val="0"/>
              <w:autoSpaceDE w:val="0"/>
              <w:autoSpaceDN w:val="0"/>
              <w:adjustRightInd w:val="0"/>
              <w:jc w:val="center"/>
              <w:rPr>
                <w:lang w:val="ro-RO"/>
              </w:rPr>
            </w:pPr>
            <w:r w:rsidRPr="002152E4">
              <w:rPr>
                <w:lang w:val="ro-RO"/>
              </w:rPr>
              <w:t>2,8</w:t>
            </w:r>
          </w:p>
        </w:tc>
        <w:tc>
          <w:tcPr>
            <w:tcW w:w="1843" w:type="dxa"/>
          </w:tcPr>
          <w:p w:rsidR="007442AA" w:rsidRPr="002152E4" w:rsidRDefault="007442AA" w:rsidP="007442AA">
            <w:pPr>
              <w:widowControl w:val="0"/>
              <w:autoSpaceDE w:val="0"/>
              <w:autoSpaceDN w:val="0"/>
              <w:adjustRightInd w:val="0"/>
              <w:jc w:val="center"/>
              <w:rPr>
                <w:lang w:val="ro-RO"/>
              </w:rPr>
            </w:pPr>
            <w:r w:rsidRPr="002152E4">
              <w:rPr>
                <w:lang w:val="ro-RO"/>
              </w:rPr>
              <w:t>63</w:t>
            </w:r>
          </w:p>
        </w:tc>
        <w:tc>
          <w:tcPr>
            <w:tcW w:w="1842" w:type="dxa"/>
          </w:tcPr>
          <w:p w:rsidR="007442AA" w:rsidRPr="002152E4" w:rsidRDefault="007442AA" w:rsidP="007442AA">
            <w:pPr>
              <w:widowControl w:val="0"/>
              <w:autoSpaceDE w:val="0"/>
              <w:autoSpaceDN w:val="0"/>
              <w:adjustRightInd w:val="0"/>
              <w:jc w:val="center"/>
              <w:rPr>
                <w:lang w:val="ro-RO"/>
              </w:rPr>
            </w:pPr>
            <w:r w:rsidRPr="002152E4">
              <w:rPr>
                <w:lang w:val="ro-RO"/>
              </w:rPr>
              <w:t>23</w:t>
            </w:r>
          </w:p>
        </w:tc>
      </w:tr>
      <w:tr w:rsidR="007442AA" w:rsidRPr="002152E4" w:rsidTr="007442AA">
        <w:tblPrEx>
          <w:shd w:val="clear" w:color="auto" w:fill="auto"/>
        </w:tblPrEx>
        <w:tc>
          <w:tcPr>
            <w:tcW w:w="1101" w:type="dxa"/>
          </w:tcPr>
          <w:p w:rsidR="007442AA" w:rsidRPr="002152E4" w:rsidRDefault="007442AA" w:rsidP="007442AA">
            <w:pPr>
              <w:jc w:val="center"/>
              <w:rPr>
                <w:lang w:val="ro-RO"/>
              </w:rPr>
            </w:pPr>
            <w:r w:rsidRPr="002152E4">
              <w:rPr>
                <w:lang w:val="ro-RO"/>
              </w:rPr>
              <w:t>2015</w:t>
            </w:r>
          </w:p>
        </w:tc>
        <w:tc>
          <w:tcPr>
            <w:tcW w:w="1842" w:type="dxa"/>
          </w:tcPr>
          <w:p w:rsidR="007442AA" w:rsidRPr="002152E4" w:rsidRDefault="007442AA" w:rsidP="007442AA">
            <w:pPr>
              <w:jc w:val="center"/>
              <w:rPr>
                <w:lang w:val="ro-RO"/>
              </w:rPr>
            </w:pPr>
            <w:r w:rsidRPr="002152E4">
              <w:rPr>
                <w:lang w:val="ro-RO"/>
              </w:rPr>
              <w:t>1.193</w:t>
            </w:r>
          </w:p>
        </w:tc>
        <w:tc>
          <w:tcPr>
            <w:tcW w:w="2552" w:type="dxa"/>
          </w:tcPr>
          <w:p w:rsidR="007442AA" w:rsidRPr="002152E4" w:rsidRDefault="007442AA" w:rsidP="007442AA">
            <w:pPr>
              <w:widowControl w:val="0"/>
              <w:autoSpaceDE w:val="0"/>
              <w:autoSpaceDN w:val="0"/>
              <w:adjustRightInd w:val="0"/>
              <w:jc w:val="center"/>
              <w:rPr>
                <w:lang w:val="ro-RO"/>
              </w:rPr>
            </w:pPr>
            <w:r w:rsidRPr="002152E4">
              <w:rPr>
                <w:lang w:val="ro-RO"/>
              </w:rPr>
              <w:t>2,0</w:t>
            </w:r>
          </w:p>
        </w:tc>
        <w:tc>
          <w:tcPr>
            <w:tcW w:w="1843" w:type="dxa"/>
          </w:tcPr>
          <w:p w:rsidR="007442AA" w:rsidRPr="002152E4" w:rsidRDefault="007442AA" w:rsidP="007442AA">
            <w:pPr>
              <w:widowControl w:val="0"/>
              <w:autoSpaceDE w:val="0"/>
              <w:autoSpaceDN w:val="0"/>
              <w:adjustRightInd w:val="0"/>
              <w:jc w:val="center"/>
              <w:rPr>
                <w:lang w:val="ro-RO"/>
              </w:rPr>
            </w:pPr>
            <w:r w:rsidRPr="002152E4">
              <w:rPr>
                <w:lang w:val="ro-RO"/>
              </w:rPr>
              <w:t>40</w:t>
            </w:r>
          </w:p>
        </w:tc>
        <w:tc>
          <w:tcPr>
            <w:tcW w:w="1842" w:type="dxa"/>
          </w:tcPr>
          <w:p w:rsidR="007442AA" w:rsidRPr="002152E4" w:rsidRDefault="007442AA" w:rsidP="007442AA">
            <w:pPr>
              <w:widowControl w:val="0"/>
              <w:autoSpaceDE w:val="0"/>
              <w:autoSpaceDN w:val="0"/>
              <w:adjustRightInd w:val="0"/>
              <w:jc w:val="center"/>
              <w:rPr>
                <w:lang w:val="ro-RO"/>
              </w:rPr>
            </w:pPr>
            <w:r w:rsidRPr="002152E4">
              <w:rPr>
                <w:lang w:val="ro-RO"/>
              </w:rPr>
              <w:t>7</w:t>
            </w:r>
          </w:p>
        </w:tc>
      </w:tr>
      <w:tr w:rsidR="007442AA" w:rsidRPr="002152E4" w:rsidTr="007442AA">
        <w:tblPrEx>
          <w:shd w:val="clear" w:color="auto" w:fill="auto"/>
        </w:tblPrEx>
        <w:tc>
          <w:tcPr>
            <w:tcW w:w="1101" w:type="dxa"/>
            <w:tcBorders>
              <w:bottom w:val="threeDEmboss" w:sz="6" w:space="0" w:color="00B050"/>
            </w:tcBorders>
          </w:tcPr>
          <w:p w:rsidR="007442AA" w:rsidRPr="002152E4" w:rsidRDefault="007442AA" w:rsidP="007442AA">
            <w:pPr>
              <w:jc w:val="center"/>
              <w:rPr>
                <w:lang w:val="ro-RO"/>
              </w:rPr>
            </w:pPr>
            <w:r w:rsidRPr="002152E4">
              <w:rPr>
                <w:lang w:val="ro-RO"/>
              </w:rPr>
              <w:t>2016</w:t>
            </w:r>
          </w:p>
        </w:tc>
        <w:tc>
          <w:tcPr>
            <w:tcW w:w="1842" w:type="dxa"/>
            <w:tcBorders>
              <w:bottom w:val="threeDEmboss" w:sz="6" w:space="0" w:color="00B050"/>
            </w:tcBorders>
          </w:tcPr>
          <w:p w:rsidR="007442AA" w:rsidRPr="002152E4" w:rsidRDefault="007442AA" w:rsidP="007442AA">
            <w:pPr>
              <w:jc w:val="center"/>
              <w:rPr>
                <w:lang w:val="ro-RO"/>
              </w:rPr>
            </w:pPr>
            <w:r w:rsidRPr="002152E4">
              <w:rPr>
                <w:lang w:val="ro-RO"/>
              </w:rPr>
              <w:t>809</w:t>
            </w:r>
          </w:p>
        </w:tc>
        <w:tc>
          <w:tcPr>
            <w:tcW w:w="2552" w:type="dxa"/>
            <w:tcBorders>
              <w:bottom w:val="threeDEmboss" w:sz="6" w:space="0" w:color="00B050"/>
            </w:tcBorders>
          </w:tcPr>
          <w:p w:rsidR="007442AA" w:rsidRPr="002152E4" w:rsidRDefault="007442AA" w:rsidP="007442AA">
            <w:pPr>
              <w:widowControl w:val="0"/>
              <w:autoSpaceDE w:val="0"/>
              <w:autoSpaceDN w:val="0"/>
              <w:adjustRightInd w:val="0"/>
              <w:jc w:val="center"/>
              <w:rPr>
                <w:lang w:val="ro-RO"/>
              </w:rPr>
            </w:pPr>
            <w:r w:rsidRPr="002152E4">
              <w:rPr>
                <w:lang w:val="ro-RO"/>
              </w:rPr>
              <w:t>1,3</w:t>
            </w:r>
          </w:p>
        </w:tc>
        <w:tc>
          <w:tcPr>
            <w:tcW w:w="1843" w:type="dxa"/>
            <w:tcBorders>
              <w:bottom w:val="threeDEmboss" w:sz="6" w:space="0" w:color="00B050"/>
            </w:tcBorders>
          </w:tcPr>
          <w:p w:rsidR="007442AA" w:rsidRPr="002152E4" w:rsidRDefault="007442AA" w:rsidP="007442AA">
            <w:pPr>
              <w:widowControl w:val="0"/>
              <w:autoSpaceDE w:val="0"/>
              <w:autoSpaceDN w:val="0"/>
              <w:adjustRightInd w:val="0"/>
              <w:jc w:val="center"/>
              <w:rPr>
                <w:lang w:val="ro-RO"/>
              </w:rPr>
            </w:pPr>
            <w:r w:rsidRPr="002152E4">
              <w:rPr>
                <w:lang w:val="ro-RO"/>
              </w:rPr>
              <w:t>30</w:t>
            </w:r>
          </w:p>
        </w:tc>
        <w:tc>
          <w:tcPr>
            <w:tcW w:w="1842" w:type="dxa"/>
            <w:tcBorders>
              <w:bottom w:val="threeDEmboss" w:sz="6" w:space="0" w:color="00B050"/>
            </w:tcBorders>
          </w:tcPr>
          <w:p w:rsidR="007442AA" w:rsidRPr="002152E4" w:rsidRDefault="007442AA" w:rsidP="007442AA">
            <w:pPr>
              <w:widowControl w:val="0"/>
              <w:autoSpaceDE w:val="0"/>
              <w:autoSpaceDN w:val="0"/>
              <w:adjustRightInd w:val="0"/>
              <w:jc w:val="center"/>
              <w:rPr>
                <w:lang w:val="ro-RO"/>
              </w:rPr>
            </w:pPr>
            <w:r w:rsidRPr="002152E4">
              <w:rPr>
                <w:lang w:val="ro-RO"/>
              </w:rPr>
              <w:t>3</w:t>
            </w:r>
          </w:p>
        </w:tc>
      </w:tr>
      <w:tr w:rsidR="007442AA" w:rsidRPr="002152E4" w:rsidTr="007442AA">
        <w:tblPrEx>
          <w:shd w:val="clear" w:color="auto" w:fill="auto"/>
        </w:tblPrEx>
        <w:tc>
          <w:tcPr>
            <w:tcW w:w="1101"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rPr>
                <w:b/>
                <w:i/>
                <w:u w:val="single"/>
                <w:lang w:val="ro-RO"/>
              </w:rPr>
            </w:pPr>
            <w:r w:rsidRPr="002152E4">
              <w:rPr>
                <w:b/>
                <w:lang w:val="ro-RO"/>
              </w:rPr>
              <w:t xml:space="preserve"> </w:t>
            </w:r>
            <w:r w:rsidRPr="002152E4">
              <w:rPr>
                <w:b/>
                <w:i/>
                <w:lang w:val="ro-RO"/>
              </w:rPr>
              <w:t xml:space="preserve">% </w:t>
            </w:r>
            <w:r w:rsidRPr="002152E4">
              <w:rPr>
                <w:b/>
                <w:i/>
                <w:u w:val="single"/>
                <w:lang w:val="ro-RO"/>
              </w:rPr>
              <w:t>2016</w:t>
            </w:r>
          </w:p>
          <w:p w:rsidR="007442AA" w:rsidRPr="002152E4" w:rsidRDefault="007442AA" w:rsidP="007442AA">
            <w:pPr>
              <w:rPr>
                <w:b/>
                <w:lang w:val="ro-RO"/>
              </w:rPr>
            </w:pPr>
            <w:r w:rsidRPr="002152E4">
              <w:rPr>
                <w:b/>
                <w:i/>
                <w:lang w:val="ro-RO"/>
              </w:rPr>
              <w:t>+/- 2015</w:t>
            </w:r>
          </w:p>
        </w:tc>
        <w:tc>
          <w:tcPr>
            <w:tcW w:w="1842"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tabs>
                <w:tab w:val="left" w:pos="252"/>
              </w:tabs>
              <w:autoSpaceDE w:val="0"/>
              <w:autoSpaceDN w:val="0"/>
              <w:adjustRightInd w:val="0"/>
              <w:ind w:left="-40"/>
              <w:jc w:val="center"/>
              <w:rPr>
                <w:b/>
                <w:lang w:val="ro-RO"/>
              </w:rPr>
            </w:pPr>
            <w:r w:rsidRPr="002152E4">
              <w:rPr>
                <w:b/>
                <w:lang w:val="ro-RO"/>
              </w:rPr>
              <w:t>-32,2</w:t>
            </w:r>
          </w:p>
        </w:tc>
        <w:tc>
          <w:tcPr>
            <w:tcW w:w="2552"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autoSpaceDE w:val="0"/>
              <w:autoSpaceDN w:val="0"/>
              <w:adjustRightInd w:val="0"/>
              <w:jc w:val="center"/>
              <w:rPr>
                <w:b/>
                <w:lang w:val="ro-RO"/>
              </w:rPr>
            </w:pPr>
            <w:r w:rsidRPr="002152E4">
              <w:rPr>
                <w:b/>
                <w:lang w:val="ro-RO"/>
              </w:rPr>
              <w:t>-</w:t>
            </w:r>
          </w:p>
        </w:tc>
        <w:tc>
          <w:tcPr>
            <w:tcW w:w="1843"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autoSpaceDE w:val="0"/>
              <w:autoSpaceDN w:val="0"/>
              <w:adjustRightInd w:val="0"/>
              <w:jc w:val="center"/>
              <w:rPr>
                <w:b/>
                <w:lang w:val="ro-RO"/>
              </w:rPr>
            </w:pPr>
            <w:r w:rsidRPr="002152E4">
              <w:rPr>
                <w:b/>
                <w:lang w:val="ro-RO"/>
              </w:rPr>
              <w:t>-25,0</w:t>
            </w:r>
          </w:p>
        </w:tc>
        <w:tc>
          <w:tcPr>
            <w:tcW w:w="1842" w:type="dxa"/>
            <w:tcBorders>
              <w:top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autoSpaceDE w:val="0"/>
              <w:autoSpaceDN w:val="0"/>
              <w:adjustRightInd w:val="0"/>
              <w:jc w:val="center"/>
              <w:rPr>
                <w:b/>
                <w:lang w:val="ro-RO"/>
              </w:rPr>
            </w:pPr>
            <w:r w:rsidRPr="002152E4">
              <w:rPr>
                <w:b/>
                <w:lang w:val="ro-RO"/>
              </w:rPr>
              <w:t>-57,1</w:t>
            </w:r>
          </w:p>
        </w:tc>
      </w:tr>
    </w:tbl>
    <w:p w:rsidR="007442AA" w:rsidRPr="002152E4" w:rsidRDefault="007442AA" w:rsidP="007442AA">
      <w:pPr>
        <w:spacing w:line="360" w:lineRule="auto"/>
        <w:ind w:firstLine="855"/>
        <w:jc w:val="both"/>
        <w:rPr>
          <w:lang w:val="ro-RO"/>
        </w:rPr>
      </w:pPr>
    </w:p>
    <w:p w:rsidR="007442AA" w:rsidRPr="002152E4" w:rsidRDefault="007442AA" w:rsidP="003F105E">
      <w:pPr>
        <w:pStyle w:val="Heading2"/>
      </w:pPr>
      <w:bookmarkStart w:id="136" w:name="_Toc475363427"/>
      <w:bookmarkStart w:id="137" w:name="_Toc486576550"/>
      <w:r w:rsidRPr="002152E4">
        <w:t>I</w:t>
      </w:r>
      <w:r w:rsidR="003F105E" w:rsidRPr="002152E4">
        <w:t>II.5.</w:t>
      </w:r>
      <w:r w:rsidRPr="002152E4">
        <w:t xml:space="preserve"> Ponderea cauzelor restituite de către instanţele de judecată în vederea refacerii urmăririi penale</w:t>
      </w:r>
      <w:bookmarkEnd w:id="136"/>
      <w:bookmarkEnd w:id="137"/>
    </w:p>
    <w:p w:rsidR="007442AA" w:rsidRPr="002152E4" w:rsidRDefault="007442AA" w:rsidP="00D5288F">
      <w:pPr>
        <w:ind w:firstLine="684"/>
        <w:jc w:val="both"/>
        <w:rPr>
          <w:lang w:val="ro-RO"/>
        </w:rPr>
      </w:pPr>
      <w:r w:rsidRPr="002152E4">
        <w:rPr>
          <w:lang w:val="ro-RO"/>
        </w:rPr>
        <w:t xml:space="preserve">În ceea ce priveşte </w:t>
      </w:r>
      <w:r w:rsidRPr="002152E4">
        <w:rPr>
          <w:bCs/>
          <w:lang w:val="ro-RO"/>
        </w:rPr>
        <w:t>ponderea cauzelor restituite de către instanţele de judecată în vederea refacerii urmăririi penale,</w:t>
      </w:r>
      <w:r w:rsidRPr="002152E4">
        <w:rPr>
          <w:b/>
          <w:bCs/>
          <w:lang w:val="ro-RO"/>
        </w:rPr>
        <w:t xml:space="preserve"> </w:t>
      </w:r>
      <w:r w:rsidRPr="002152E4">
        <w:rPr>
          <w:lang w:val="ro-RO"/>
        </w:rPr>
        <w:t>datele statistice se prezintă astfel:</w:t>
      </w:r>
    </w:p>
    <w:p w:rsidR="005B0822" w:rsidRPr="002152E4" w:rsidRDefault="005B0822" w:rsidP="007442AA">
      <w:pPr>
        <w:spacing w:line="360" w:lineRule="auto"/>
        <w:ind w:firstLine="684"/>
        <w:jc w:val="both"/>
        <w:rPr>
          <w:lang w:val="ro-RO"/>
        </w:rPr>
      </w:pPr>
    </w:p>
    <w:tbl>
      <w:tblPr>
        <w:tblW w:w="8653"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1456"/>
        <w:gridCol w:w="1342"/>
        <w:gridCol w:w="2697"/>
        <w:gridCol w:w="3158"/>
      </w:tblGrid>
      <w:tr w:rsidR="007442AA" w:rsidRPr="002152E4" w:rsidTr="007442AA">
        <w:trPr>
          <w:trHeight w:val="891"/>
        </w:trPr>
        <w:tc>
          <w:tcPr>
            <w:tcW w:w="1456" w:type="dxa"/>
            <w:vMerge w:val="restart"/>
            <w:tcBorders>
              <w:top w:val="threeDEmboss" w:sz="6" w:space="0" w:color="00B050"/>
              <w:left w:val="threeDEmboss" w:sz="6" w:space="0" w:color="00B050"/>
            </w:tcBorders>
            <w:shd w:val="clear" w:color="auto" w:fill="FCE0C8"/>
            <w:vAlign w:val="center"/>
          </w:tcPr>
          <w:p w:rsidR="007442AA" w:rsidRPr="002152E4" w:rsidRDefault="007442AA" w:rsidP="007442AA">
            <w:pPr>
              <w:jc w:val="center"/>
              <w:rPr>
                <w:b/>
                <w:lang w:val="ro-RO"/>
              </w:rPr>
            </w:pPr>
            <w:r w:rsidRPr="002152E4">
              <w:rPr>
                <w:b/>
                <w:lang w:val="ro-RO"/>
              </w:rPr>
              <w:t>ANUL</w:t>
            </w:r>
          </w:p>
        </w:tc>
        <w:tc>
          <w:tcPr>
            <w:tcW w:w="4039" w:type="dxa"/>
            <w:gridSpan w:val="2"/>
            <w:tcBorders>
              <w:top w:val="threeDEmboss" w:sz="6" w:space="0" w:color="00B050"/>
              <w:right w:val="single" w:sz="4" w:space="0" w:color="00B050"/>
            </w:tcBorders>
            <w:shd w:val="clear" w:color="auto" w:fill="FCE0C8"/>
          </w:tcPr>
          <w:p w:rsidR="007442AA" w:rsidRPr="002152E4" w:rsidRDefault="007442AA" w:rsidP="007442AA">
            <w:pPr>
              <w:jc w:val="center"/>
              <w:rPr>
                <w:b/>
                <w:lang w:val="ro-RO"/>
              </w:rPr>
            </w:pPr>
            <w:r w:rsidRPr="002152E4">
              <w:rPr>
                <w:b/>
                <w:lang w:val="ro-RO"/>
              </w:rPr>
              <w:t>NR. CAUZELOR RESTITUITE DE JUDECĂTORUL DE CAMERĂ PRELIMINARĂ ȘI DE INSTANŢE*</w:t>
            </w:r>
          </w:p>
        </w:tc>
        <w:tc>
          <w:tcPr>
            <w:tcW w:w="3158" w:type="dxa"/>
            <w:vMerge w:val="restart"/>
            <w:tcBorders>
              <w:top w:val="threeDEmboss" w:sz="6" w:space="0" w:color="00B050"/>
              <w:left w:val="single" w:sz="4" w:space="0" w:color="00B050"/>
              <w:bottom w:val="threeDEmboss" w:sz="6" w:space="0" w:color="00B050"/>
              <w:right w:val="threeDEmboss" w:sz="6" w:space="0" w:color="00B050"/>
            </w:tcBorders>
            <w:shd w:val="clear" w:color="auto" w:fill="FCE0C8"/>
          </w:tcPr>
          <w:p w:rsidR="007442AA" w:rsidRPr="002152E4" w:rsidRDefault="007442AA" w:rsidP="007442AA">
            <w:pPr>
              <w:ind w:left="-25" w:firstLine="25"/>
              <w:jc w:val="center"/>
              <w:rPr>
                <w:b/>
                <w:lang w:val="ro-RO"/>
              </w:rPr>
            </w:pPr>
            <w:r w:rsidRPr="002152E4">
              <w:rPr>
                <w:b/>
                <w:lang w:val="ro-RO"/>
              </w:rPr>
              <w:t>NR. CAUZELOR  ÎN CARE S-A DISPUS INFIRMAREA</w:t>
            </w:r>
          </w:p>
          <w:p w:rsidR="007442AA" w:rsidRPr="002152E4" w:rsidRDefault="007442AA" w:rsidP="007442AA">
            <w:pPr>
              <w:tabs>
                <w:tab w:val="left" w:pos="377"/>
              </w:tabs>
              <w:ind w:left="175" w:hanging="175"/>
              <w:jc w:val="center"/>
              <w:rPr>
                <w:b/>
                <w:lang w:val="ro-RO"/>
              </w:rPr>
            </w:pPr>
            <w:r w:rsidRPr="002152E4">
              <w:rPr>
                <w:b/>
                <w:lang w:val="ro-RO"/>
              </w:rPr>
              <w:t>SAU REDESCHIDEREA</w:t>
            </w:r>
          </w:p>
          <w:p w:rsidR="007442AA" w:rsidRPr="002152E4" w:rsidRDefault="007442AA" w:rsidP="007442AA">
            <w:pPr>
              <w:ind w:left="-25" w:firstLine="25"/>
              <w:jc w:val="center"/>
              <w:rPr>
                <w:b/>
                <w:lang w:val="ro-RO"/>
              </w:rPr>
            </w:pPr>
            <w:r w:rsidRPr="002152E4">
              <w:rPr>
                <w:b/>
                <w:lang w:val="ro-RO"/>
              </w:rPr>
              <w:t xml:space="preserve">URMĂRIRII PENALE </w:t>
            </w:r>
          </w:p>
          <w:p w:rsidR="007442AA" w:rsidRPr="002152E4" w:rsidRDefault="007442AA" w:rsidP="007442AA">
            <w:pPr>
              <w:ind w:left="-25" w:firstLine="25"/>
              <w:jc w:val="center"/>
              <w:rPr>
                <w:b/>
                <w:lang w:val="ro-RO"/>
              </w:rPr>
            </w:pPr>
            <w:r w:rsidRPr="002152E4">
              <w:rPr>
                <w:b/>
                <w:lang w:val="ro-RO"/>
              </w:rPr>
              <w:t xml:space="preserve">(inclusiv cele desființate conform art. </w:t>
            </w:r>
            <w:smartTag w:uri="urn:schemas-microsoft-com:office:smarttags" w:element="metricconverter">
              <w:smartTagPr>
                <w:attr w:name="ProductID" w:val="341 C"/>
              </w:smartTagPr>
              <w:r w:rsidRPr="002152E4">
                <w:rPr>
                  <w:b/>
                  <w:lang w:val="ro-RO"/>
                </w:rPr>
                <w:t>341 C</w:t>
              </w:r>
            </w:smartTag>
            <w:r w:rsidRPr="002152E4">
              <w:rPr>
                <w:b/>
                <w:lang w:val="ro-RO"/>
              </w:rPr>
              <w:t>.p.p.)</w:t>
            </w:r>
          </w:p>
        </w:tc>
      </w:tr>
      <w:tr w:rsidR="007442AA" w:rsidRPr="00631BB4" w:rsidTr="007442AA">
        <w:trPr>
          <w:trHeight w:val="407"/>
        </w:trPr>
        <w:tc>
          <w:tcPr>
            <w:tcW w:w="1456" w:type="dxa"/>
            <w:vMerge/>
            <w:tcBorders>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tc>
        <w:tc>
          <w:tcPr>
            <w:tcW w:w="1342" w:type="dxa"/>
            <w:tcBorders>
              <w:bottom w:val="threeDEmboss" w:sz="6" w:space="0" w:color="00B050"/>
            </w:tcBorders>
            <w:shd w:val="clear" w:color="auto" w:fill="FCE0C8"/>
            <w:vAlign w:val="center"/>
          </w:tcPr>
          <w:p w:rsidR="007442AA" w:rsidRPr="002152E4" w:rsidRDefault="007442AA" w:rsidP="007442AA">
            <w:pPr>
              <w:jc w:val="center"/>
              <w:rPr>
                <w:b/>
                <w:lang w:val="ro-RO"/>
              </w:rPr>
            </w:pPr>
            <w:r w:rsidRPr="002152E4">
              <w:rPr>
                <w:b/>
                <w:lang w:val="ro-RO"/>
              </w:rPr>
              <w:t>TOTAL,</w:t>
            </w:r>
          </w:p>
          <w:p w:rsidR="007442AA" w:rsidRPr="002152E4" w:rsidRDefault="007442AA" w:rsidP="007442AA">
            <w:pPr>
              <w:jc w:val="center"/>
              <w:rPr>
                <w:lang w:val="ro-RO"/>
              </w:rPr>
            </w:pPr>
            <w:r w:rsidRPr="002152E4">
              <w:rPr>
                <w:b/>
                <w:lang w:val="ro-RO"/>
              </w:rPr>
              <w:t>din care:</w:t>
            </w:r>
          </w:p>
        </w:tc>
        <w:tc>
          <w:tcPr>
            <w:tcW w:w="2697" w:type="dxa"/>
            <w:tcBorders>
              <w:bottom w:val="threeDEmboss" w:sz="6" w:space="0" w:color="00B050"/>
              <w:right w:val="single" w:sz="4" w:space="0" w:color="00B050"/>
            </w:tcBorders>
            <w:shd w:val="clear" w:color="auto" w:fill="FCE0C8"/>
            <w:vAlign w:val="center"/>
          </w:tcPr>
          <w:p w:rsidR="007442AA" w:rsidRPr="002152E4" w:rsidRDefault="007442AA" w:rsidP="007442AA">
            <w:pPr>
              <w:jc w:val="center"/>
              <w:rPr>
                <w:lang w:val="ro-RO"/>
              </w:rPr>
            </w:pPr>
            <w:r w:rsidRPr="002152E4">
              <w:rPr>
                <w:lang w:val="ro-RO"/>
              </w:rPr>
              <w:t>pondere în total cauze soluţionate prin trimitere în judecată (prin rechizitoriu și acord de recunoaștere a vinovăției) %</w:t>
            </w:r>
          </w:p>
        </w:tc>
        <w:tc>
          <w:tcPr>
            <w:tcW w:w="3158" w:type="dxa"/>
            <w:vMerge/>
            <w:tcBorders>
              <w:left w:val="single" w:sz="4" w:space="0" w:color="00B050"/>
              <w:bottom w:val="threeDEmboss" w:sz="6" w:space="0" w:color="00B050"/>
              <w:right w:val="threeDEmboss" w:sz="6" w:space="0" w:color="00B050"/>
            </w:tcBorders>
            <w:shd w:val="clear" w:color="auto" w:fill="E6E6E6"/>
          </w:tcPr>
          <w:p w:rsidR="007442AA" w:rsidRPr="002152E4" w:rsidRDefault="007442AA" w:rsidP="007442AA">
            <w:pPr>
              <w:ind w:left="207"/>
              <w:jc w:val="center"/>
              <w:rPr>
                <w:lang w:val="ro-RO"/>
              </w:rPr>
            </w:pPr>
          </w:p>
        </w:tc>
      </w:tr>
      <w:tr w:rsidR="007442AA" w:rsidRPr="002152E4" w:rsidTr="007442AA">
        <w:tc>
          <w:tcPr>
            <w:tcW w:w="1456" w:type="dxa"/>
            <w:tcBorders>
              <w:top w:val="threeDEmboss" w:sz="6" w:space="0" w:color="00B050"/>
            </w:tcBorders>
          </w:tcPr>
          <w:p w:rsidR="007442AA" w:rsidRPr="002152E4" w:rsidRDefault="007442AA" w:rsidP="007442AA">
            <w:pPr>
              <w:jc w:val="center"/>
              <w:rPr>
                <w:lang w:val="ro-RO"/>
              </w:rPr>
            </w:pPr>
            <w:r w:rsidRPr="002152E4">
              <w:rPr>
                <w:lang w:val="ro-RO"/>
              </w:rPr>
              <w:t>2007</w:t>
            </w:r>
          </w:p>
        </w:tc>
        <w:tc>
          <w:tcPr>
            <w:tcW w:w="1342" w:type="dxa"/>
            <w:tcBorders>
              <w:top w:val="threeDEmboss" w:sz="6" w:space="0" w:color="00B050"/>
            </w:tcBorders>
            <w:vAlign w:val="center"/>
          </w:tcPr>
          <w:p w:rsidR="007442AA" w:rsidRPr="002152E4" w:rsidRDefault="007442AA" w:rsidP="007442AA">
            <w:pPr>
              <w:jc w:val="center"/>
              <w:rPr>
                <w:lang w:val="ro-RO"/>
              </w:rPr>
            </w:pPr>
            <w:r w:rsidRPr="002152E4">
              <w:rPr>
                <w:lang w:val="ro-RO"/>
              </w:rPr>
              <w:t>129</w:t>
            </w:r>
          </w:p>
        </w:tc>
        <w:tc>
          <w:tcPr>
            <w:tcW w:w="2697" w:type="dxa"/>
            <w:tcBorders>
              <w:top w:val="threeDEmboss" w:sz="6" w:space="0" w:color="00B050"/>
            </w:tcBorders>
            <w:vAlign w:val="center"/>
          </w:tcPr>
          <w:p w:rsidR="007442AA" w:rsidRPr="002152E4" w:rsidRDefault="007442AA" w:rsidP="007442AA">
            <w:pPr>
              <w:jc w:val="center"/>
              <w:rPr>
                <w:lang w:val="ro-RO"/>
              </w:rPr>
            </w:pPr>
            <w:r w:rsidRPr="002152E4">
              <w:rPr>
                <w:lang w:val="ro-RO"/>
              </w:rPr>
              <w:t>0,35</w:t>
            </w:r>
          </w:p>
        </w:tc>
        <w:tc>
          <w:tcPr>
            <w:tcW w:w="3158" w:type="dxa"/>
            <w:tcBorders>
              <w:top w:val="threeDEmboss" w:sz="6" w:space="0" w:color="00B050"/>
            </w:tcBorders>
            <w:vAlign w:val="center"/>
          </w:tcPr>
          <w:p w:rsidR="007442AA" w:rsidRPr="002152E4" w:rsidRDefault="007442AA" w:rsidP="007442AA">
            <w:pPr>
              <w:jc w:val="center"/>
              <w:rPr>
                <w:lang w:val="ro-RO"/>
              </w:rPr>
            </w:pPr>
            <w:r w:rsidRPr="002152E4">
              <w:rPr>
                <w:lang w:val="ro-RO"/>
              </w:rPr>
              <w:t>3.949</w:t>
            </w:r>
          </w:p>
        </w:tc>
      </w:tr>
      <w:tr w:rsidR="007442AA" w:rsidRPr="002152E4" w:rsidTr="007442AA">
        <w:tc>
          <w:tcPr>
            <w:tcW w:w="1456" w:type="dxa"/>
          </w:tcPr>
          <w:p w:rsidR="007442AA" w:rsidRPr="002152E4" w:rsidRDefault="007442AA" w:rsidP="007442AA">
            <w:pPr>
              <w:jc w:val="center"/>
              <w:rPr>
                <w:lang w:val="ro-RO"/>
              </w:rPr>
            </w:pPr>
            <w:r w:rsidRPr="002152E4">
              <w:rPr>
                <w:lang w:val="ro-RO"/>
              </w:rPr>
              <w:t>2008</w:t>
            </w:r>
          </w:p>
        </w:tc>
        <w:tc>
          <w:tcPr>
            <w:tcW w:w="1342" w:type="dxa"/>
            <w:vAlign w:val="center"/>
          </w:tcPr>
          <w:p w:rsidR="007442AA" w:rsidRPr="002152E4" w:rsidRDefault="007442AA" w:rsidP="007442AA">
            <w:pPr>
              <w:jc w:val="center"/>
              <w:rPr>
                <w:lang w:val="ro-RO"/>
              </w:rPr>
            </w:pPr>
            <w:r w:rsidRPr="002152E4">
              <w:rPr>
                <w:lang w:val="ro-RO"/>
              </w:rPr>
              <w:t>139</w:t>
            </w:r>
          </w:p>
        </w:tc>
        <w:tc>
          <w:tcPr>
            <w:tcW w:w="2697" w:type="dxa"/>
            <w:vAlign w:val="center"/>
          </w:tcPr>
          <w:p w:rsidR="007442AA" w:rsidRPr="002152E4" w:rsidRDefault="007442AA" w:rsidP="007442AA">
            <w:pPr>
              <w:jc w:val="center"/>
              <w:rPr>
                <w:lang w:val="ro-RO"/>
              </w:rPr>
            </w:pPr>
            <w:r w:rsidRPr="002152E4">
              <w:rPr>
                <w:lang w:val="ro-RO"/>
              </w:rPr>
              <w:t>0,41</w:t>
            </w:r>
          </w:p>
        </w:tc>
        <w:tc>
          <w:tcPr>
            <w:tcW w:w="3158" w:type="dxa"/>
            <w:vAlign w:val="center"/>
          </w:tcPr>
          <w:p w:rsidR="007442AA" w:rsidRPr="002152E4" w:rsidRDefault="007442AA" w:rsidP="007442AA">
            <w:pPr>
              <w:jc w:val="center"/>
              <w:rPr>
                <w:lang w:val="ro-RO"/>
              </w:rPr>
            </w:pPr>
            <w:r w:rsidRPr="002152E4">
              <w:rPr>
                <w:lang w:val="ro-RO"/>
              </w:rPr>
              <w:t>4.527</w:t>
            </w:r>
          </w:p>
        </w:tc>
      </w:tr>
      <w:tr w:rsidR="007442AA" w:rsidRPr="002152E4" w:rsidTr="007442AA">
        <w:tc>
          <w:tcPr>
            <w:tcW w:w="1456" w:type="dxa"/>
          </w:tcPr>
          <w:p w:rsidR="007442AA" w:rsidRPr="002152E4" w:rsidRDefault="007442AA" w:rsidP="007442AA">
            <w:pPr>
              <w:jc w:val="center"/>
              <w:rPr>
                <w:lang w:val="ro-RO"/>
              </w:rPr>
            </w:pPr>
            <w:r w:rsidRPr="002152E4">
              <w:rPr>
                <w:lang w:val="ro-RO"/>
              </w:rPr>
              <w:t>2009</w:t>
            </w:r>
          </w:p>
        </w:tc>
        <w:tc>
          <w:tcPr>
            <w:tcW w:w="1342" w:type="dxa"/>
            <w:vAlign w:val="center"/>
          </w:tcPr>
          <w:p w:rsidR="007442AA" w:rsidRPr="002152E4" w:rsidRDefault="007442AA" w:rsidP="007442AA">
            <w:pPr>
              <w:jc w:val="center"/>
              <w:rPr>
                <w:lang w:val="ro-RO"/>
              </w:rPr>
            </w:pPr>
            <w:r w:rsidRPr="002152E4">
              <w:rPr>
                <w:lang w:val="ro-RO"/>
              </w:rPr>
              <w:t>93</w:t>
            </w:r>
          </w:p>
        </w:tc>
        <w:tc>
          <w:tcPr>
            <w:tcW w:w="2697" w:type="dxa"/>
            <w:vAlign w:val="center"/>
          </w:tcPr>
          <w:p w:rsidR="007442AA" w:rsidRPr="002152E4" w:rsidRDefault="007442AA" w:rsidP="007442AA">
            <w:pPr>
              <w:jc w:val="center"/>
              <w:rPr>
                <w:lang w:val="ro-RO"/>
              </w:rPr>
            </w:pPr>
            <w:r w:rsidRPr="002152E4">
              <w:rPr>
                <w:lang w:val="ro-RO"/>
              </w:rPr>
              <w:t>0,24</w:t>
            </w:r>
          </w:p>
        </w:tc>
        <w:tc>
          <w:tcPr>
            <w:tcW w:w="3158" w:type="dxa"/>
            <w:vAlign w:val="center"/>
          </w:tcPr>
          <w:p w:rsidR="007442AA" w:rsidRPr="002152E4" w:rsidRDefault="007442AA" w:rsidP="007442AA">
            <w:pPr>
              <w:jc w:val="center"/>
              <w:rPr>
                <w:lang w:val="ro-RO"/>
              </w:rPr>
            </w:pPr>
            <w:r w:rsidRPr="002152E4">
              <w:rPr>
                <w:lang w:val="ro-RO"/>
              </w:rPr>
              <w:t>4.655</w:t>
            </w:r>
          </w:p>
        </w:tc>
      </w:tr>
      <w:tr w:rsidR="007442AA" w:rsidRPr="002152E4" w:rsidTr="007442AA">
        <w:tc>
          <w:tcPr>
            <w:tcW w:w="1456" w:type="dxa"/>
          </w:tcPr>
          <w:p w:rsidR="007442AA" w:rsidRPr="002152E4" w:rsidRDefault="007442AA" w:rsidP="007442AA">
            <w:pPr>
              <w:jc w:val="center"/>
              <w:rPr>
                <w:lang w:val="ro-RO"/>
              </w:rPr>
            </w:pPr>
            <w:r w:rsidRPr="002152E4">
              <w:rPr>
                <w:lang w:val="ro-RO"/>
              </w:rPr>
              <w:t>2010</w:t>
            </w:r>
          </w:p>
        </w:tc>
        <w:tc>
          <w:tcPr>
            <w:tcW w:w="1342" w:type="dxa"/>
            <w:vAlign w:val="center"/>
          </w:tcPr>
          <w:p w:rsidR="007442AA" w:rsidRPr="002152E4" w:rsidRDefault="007442AA" w:rsidP="007442AA">
            <w:pPr>
              <w:jc w:val="center"/>
              <w:rPr>
                <w:lang w:val="ro-RO"/>
              </w:rPr>
            </w:pPr>
            <w:r w:rsidRPr="002152E4">
              <w:rPr>
                <w:lang w:val="ro-RO"/>
              </w:rPr>
              <w:t>74</w:t>
            </w:r>
          </w:p>
        </w:tc>
        <w:tc>
          <w:tcPr>
            <w:tcW w:w="2697" w:type="dxa"/>
            <w:vAlign w:val="center"/>
          </w:tcPr>
          <w:p w:rsidR="007442AA" w:rsidRPr="002152E4" w:rsidRDefault="007442AA" w:rsidP="007442AA">
            <w:pPr>
              <w:jc w:val="center"/>
              <w:rPr>
                <w:lang w:val="ro-RO"/>
              </w:rPr>
            </w:pPr>
            <w:r w:rsidRPr="002152E4">
              <w:rPr>
                <w:lang w:val="ro-RO"/>
              </w:rPr>
              <w:t>0,18</w:t>
            </w:r>
          </w:p>
        </w:tc>
        <w:tc>
          <w:tcPr>
            <w:tcW w:w="3158" w:type="dxa"/>
            <w:vAlign w:val="center"/>
          </w:tcPr>
          <w:p w:rsidR="007442AA" w:rsidRPr="002152E4" w:rsidRDefault="007442AA" w:rsidP="007442AA">
            <w:pPr>
              <w:jc w:val="center"/>
              <w:rPr>
                <w:lang w:val="ro-RO"/>
              </w:rPr>
            </w:pPr>
            <w:r w:rsidRPr="002152E4">
              <w:rPr>
                <w:lang w:val="ro-RO"/>
              </w:rPr>
              <w:t>4.672</w:t>
            </w:r>
          </w:p>
        </w:tc>
      </w:tr>
      <w:tr w:rsidR="007442AA" w:rsidRPr="002152E4" w:rsidTr="007442AA">
        <w:tc>
          <w:tcPr>
            <w:tcW w:w="1456" w:type="dxa"/>
          </w:tcPr>
          <w:p w:rsidR="007442AA" w:rsidRPr="002152E4" w:rsidRDefault="007442AA" w:rsidP="007442AA">
            <w:pPr>
              <w:jc w:val="center"/>
              <w:rPr>
                <w:lang w:val="ro-RO"/>
              </w:rPr>
            </w:pPr>
            <w:r w:rsidRPr="002152E4">
              <w:rPr>
                <w:lang w:val="ro-RO"/>
              </w:rPr>
              <w:t>2011</w:t>
            </w:r>
          </w:p>
        </w:tc>
        <w:tc>
          <w:tcPr>
            <w:tcW w:w="1342" w:type="dxa"/>
            <w:vAlign w:val="center"/>
          </w:tcPr>
          <w:p w:rsidR="007442AA" w:rsidRPr="002152E4" w:rsidRDefault="007442AA" w:rsidP="007442AA">
            <w:pPr>
              <w:jc w:val="center"/>
              <w:rPr>
                <w:lang w:val="ro-RO"/>
              </w:rPr>
            </w:pPr>
            <w:r w:rsidRPr="002152E4">
              <w:rPr>
                <w:lang w:val="ro-RO"/>
              </w:rPr>
              <w:t>78</w:t>
            </w:r>
          </w:p>
        </w:tc>
        <w:tc>
          <w:tcPr>
            <w:tcW w:w="2697" w:type="dxa"/>
            <w:vAlign w:val="center"/>
          </w:tcPr>
          <w:p w:rsidR="007442AA" w:rsidRPr="002152E4" w:rsidRDefault="007442AA" w:rsidP="007442AA">
            <w:pPr>
              <w:jc w:val="center"/>
              <w:rPr>
                <w:lang w:val="ro-RO"/>
              </w:rPr>
            </w:pPr>
            <w:r w:rsidRPr="002152E4">
              <w:rPr>
                <w:lang w:val="ro-RO"/>
              </w:rPr>
              <w:t>0,18</w:t>
            </w:r>
          </w:p>
        </w:tc>
        <w:tc>
          <w:tcPr>
            <w:tcW w:w="3158" w:type="dxa"/>
            <w:vAlign w:val="center"/>
          </w:tcPr>
          <w:p w:rsidR="007442AA" w:rsidRPr="002152E4" w:rsidRDefault="007442AA" w:rsidP="007442AA">
            <w:pPr>
              <w:jc w:val="center"/>
              <w:rPr>
                <w:lang w:val="ro-RO"/>
              </w:rPr>
            </w:pPr>
            <w:r w:rsidRPr="002152E4">
              <w:rPr>
                <w:lang w:val="ro-RO"/>
              </w:rPr>
              <w:t>5.634</w:t>
            </w:r>
          </w:p>
        </w:tc>
      </w:tr>
      <w:tr w:rsidR="007442AA" w:rsidRPr="002152E4" w:rsidTr="007442AA">
        <w:tc>
          <w:tcPr>
            <w:tcW w:w="1456" w:type="dxa"/>
          </w:tcPr>
          <w:p w:rsidR="007442AA" w:rsidRPr="002152E4" w:rsidRDefault="007442AA" w:rsidP="007442AA">
            <w:pPr>
              <w:jc w:val="center"/>
              <w:rPr>
                <w:lang w:val="ro-RO"/>
              </w:rPr>
            </w:pPr>
            <w:r w:rsidRPr="002152E4">
              <w:rPr>
                <w:lang w:val="ro-RO"/>
              </w:rPr>
              <w:t>2012</w:t>
            </w:r>
          </w:p>
        </w:tc>
        <w:tc>
          <w:tcPr>
            <w:tcW w:w="1342" w:type="dxa"/>
            <w:vAlign w:val="center"/>
          </w:tcPr>
          <w:p w:rsidR="007442AA" w:rsidRPr="002152E4" w:rsidRDefault="007442AA" w:rsidP="007442AA">
            <w:pPr>
              <w:jc w:val="center"/>
              <w:rPr>
                <w:lang w:val="ro-RO"/>
              </w:rPr>
            </w:pPr>
            <w:r w:rsidRPr="002152E4">
              <w:rPr>
                <w:lang w:val="ro-RO"/>
              </w:rPr>
              <w:t>77</w:t>
            </w:r>
          </w:p>
        </w:tc>
        <w:tc>
          <w:tcPr>
            <w:tcW w:w="2697" w:type="dxa"/>
            <w:vAlign w:val="center"/>
          </w:tcPr>
          <w:p w:rsidR="007442AA" w:rsidRPr="002152E4" w:rsidRDefault="007442AA" w:rsidP="007442AA">
            <w:pPr>
              <w:jc w:val="center"/>
              <w:rPr>
                <w:lang w:val="ro-RO"/>
              </w:rPr>
            </w:pPr>
            <w:r w:rsidRPr="002152E4">
              <w:rPr>
                <w:lang w:val="ro-RO"/>
              </w:rPr>
              <w:t>0,18</w:t>
            </w:r>
          </w:p>
        </w:tc>
        <w:tc>
          <w:tcPr>
            <w:tcW w:w="3158" w:type="dxa"/>
            <w:vAlign w:val="center"/>
          </w:tcPr>
          <w:p w:rsidR="007442AA" w:rsidRPr="002152E4" w:rsidRDefault="007442AA" w:rsidP="007442AA">
            <w:pPr>
              <w:jc w:val="center"/>
              <w:rPr>
                <w:lang w:val="ro-RO"/>
              </w:rPr>
            </w:pPr>
            <w:r w:rsidRPr="002152E4">
              <w:rPr>
                <w:lang w:val="ro-RO"/>
              </w:rPr>
              <w:t>5.143</w:t>
            </w:r>
          </w:p>
        </w:tc>
      </w:tr>
      <w:tr w:rsidR="007442AA" w:rsidRPr="002152E4" w:rsidTr="007442AA">
        <w:tc>
          <w:tcPr>
            <w:tcW w:w="1456" w:type="dxa"/>
          </w:tcPr>
          <w:p w:rsidR="007442AA" w:rsidRPr="002152E4" w:rsidRDefault="007442AA" w:rsidP="007442AA">
            <w:pPr>
              <w:jc w:val="center"/>
              <w:rPr>
                <w:lang w:val="ro-RO"/>
              </w:rPr>
            </w:pPr>
            <w:r w:rsidRPr="002152E4">
              <w:rPr>
                <w:lang w:val="ro-RO"/>
              </w:rPr>
              <w:t>2013</w:t>
            </w:r>
          </w:p>
        </w:tc>
        <w:tc>
          <w:tcPr>
            <w:tcW w:w="1342" w:type="dxa"/>
            <w:vAlign w:val="center"/>
          </w:tcPr>
          <w:p w:rsidR="007442AA" w:rsidRPr="002152E4" w:rsidRDefault="007442AA" w:rsidP="007442AA">
            <w:pPr>
              <w:jc w:val="center"/>
              <w:rPr>
                <w:lang w:val="ro-RO"/>
              </w:rPr>
            </w:pPr>
            <w:r w:rsidRPr="002152E4">
              <w:rPr>
                <w:lang w:val="ro-RO"/>
              </w:rPr>
              <w:t>49</w:t>
            </w:r>
          </w:p>
        </w:tc>
        <w:tc>
          <w:tcPr>
            <w:tcW w:w="2697" w:type="dxa"/>
            <w:vAlign w:val="center"/>
          </w:tcPr>
          <w:p w:rsidR="007442AA" w:rsidRPr="002152E4" w:rsidRDefault="007442AA" w:rsidP="007442AA">
            <w:pPr>
              <w:jc w:val="center"/>
              <w:rPr>
                <w:lang w:val="ro-RO"/>
              </w:rPr>
            </w:pPr>
            <w:r w:rsidRPr="002152E4">
              <w:rPr>
                <w:lang w:val="ro-RO"/>
              </w:rPr>
              <w:t>0,10</w:t>
            </w:r>
          </w:p>
        </w:tc>
        <w:tc>
          <w:tcPr>
            <w:tcW w:w="3158" w:type="dxa"/>
            <w:vAlign w:val="center"/>
          </w:tcPr>
          <w:p w:rsidR="007442AA" w:rsidRPr="002152E4" w:rsidRDefault="007442AA" w:rsidP="007442AA">
            <w:pPr>
              <w:jc w:val="center"/>
              <w:rPr>
                <w:lang w:val="ro-RO"/>
              </w:rPr>
            </w:pPr>
            <w:r w:rsidRPr="002152E4">
              <w:rPr>
                <w:lang w:val="ro-RO"/>
              </w:rPr>
              <w:t>5.577</w:t>
            </w:r>
          </w:p>
        </w:tc>
      </w:tr>
      <w:tr w:rsidR="007442AA" w:rsidRPr="002152E4" w:rsidTr="007442AA">
        <w:tc>
          <w:tcPr>
            <w:tcW w:w="1456" w:type="dxa"/>
          </w:tcPr>
          <w:p w:rsidR="007442AA" w:rsidRPr="002152E4" w:rsidRDefault="007442AA" w:rsidP="007442AA">
            <w:pPr>
              <w:rPr>
                <w:lang w:val="ro-RO"/>
              </w:rPr>
            </w:pPr>
            <w:r w:rsidRPr="002152E4">
              <w:rPr>
                <w:lang w:val="ro-RO"/>
              </w:rPr>
              <w:t xml:space="preserve">        2014</w:t>
            </w:r>
          </w:p>
        </w:tc>
        <w:tc>
          <w:tcPr>
            <w:tcW w:w="1342" w:type="dxa"/>
            <w:vAlign w:val="center"/>
          </w:tcPr>
          <w:p w:rsidR="007442AA" w:rsidRPr="002152E4" w:rsidRDefault="007442AA" w:rsidP="007442AA">
            <w:pPr>
              <w:jc w:val="center"/>
              <w:rPr>
                <w:lang w:val="ro-RO"/>
              </w:rPr>
            </w:pPr>
            <w:r w:rsidRPr="002152E4">
              <w:rPr>
                <w:lang w:val="ro-RO"/>
              </w:rPr>
              <w:t>161</w:t>
            </w:r>
          </w:p>
        </w:tc>
        <w:tc>
          <w:tcPr>
            <w:tcW w:w="2697" w:type="dxa"/>
            <w:vAlign w:val="center"/>
          </w:tcPr>
          <w:p w:rsidR="007442AA" w:rsidRPr="002152E4" w:rsidRDefault="007442AA" w:rsidP="007442AA">
            <w:pPr>
              <w:jc w:val="center"/>
              <w:rPr>
                <w:lang w:val="ro-RO"/>
              </w:rPr>
            </w:pPr>
            <w:r w:rsidRPr="002152E4">
              <w:rPr>
                <w:lang w:val="ro-RO"/>
              </w:rPr>
              <w:t>0,44</w:t>
            </w:r>
          </w:p>
        </w:tc>
        <w:tc>
          <w:tcPr>
            <w:tcW w:w="3158" w:type="dxa"/>
            <w:vAlign w:val="center"/>
          </w:tcPr>
          <w:p w:rsidR="007442AA" w:rsidRPr="002152E4" w:rsidRDefault="007442AA" w:rsidP="007442AA">
            <w:pPr>
              <w:widowControl w:val="0"/>
              <w:autoSpaceDE w:val="0"/>
              <w:autoSpaceDN w:val="0"/>
              <w:adjustRightInd w:val="0"/>
              <w:jc w:val="center"/>
              <w:rPr>
                <w:lang w:val="ro-RO"/>
              </w:rPr>
            </w:pPr>
            <w:r w:rsidRPr="002152E4">
              <w:rPr>
                <w:lang w:val="ro-RO"/>
              </w:rPr>
              <w:t>4.319</w:t>
            </w:r>
          </w:p>
        </w:tc>
      </w:tr>
      <w:tr w:rsidR="007442AA" w:rsidRPr="002152E4" w:rsidTr="007442AA">
        <w:tc>
          <w:tcPr>
            <w:tcW w:w="1456" w:type="dxa"/>
          </w:tcPr>
          <w:p w:rsidR="007442AA" w:rsidRPr="002152E4" w:rsidRDefault="007442AA" w:rsidP="007442AA">
            <w:pPr>
              <w:rPr>
                <w:lang w:val="ro-RO"/>
              </w:rPr>
            </w:pPr>
            <w:r w:rsidRPr="002152E4">
              <w:rPr>
                <w:lang w:val="ro-RO"/>
              </w:rPr>
              <w:t xml:space="preserve">        2015</w:t>
            </w:r>
          </w:p>
        </w:tc>
        <w:tc>
          <w:tcPr>
            <w:tcW w:w="1342" w:type="dxa"/>
            <w:vAlign w:val="center"/>
          </w:tcPr>
          <w:p w:rsidR="007442AA" w:rsidRPr="002152E4" w:rsidRDefault="007442AA" w:rsidP="007442AA">
            <w:pPr>
              <w:jc w:val="center"/>
              <w:rPr>
                <w:lang w:val="ro-RO"/>
              </w:rPr>
            </w:pPr>
            <w:r w:rsidRPr="002152E4">
              <w:rPr>
                <w:lang w:val="ro-RO"/>
              </w:rPr>
              <w:t>218</w:t>
            </w:r>
          </w:p>
        </w:tc>
        <w:tc>
          <w:tcPr>
            <w:tcW w:w="2697" w:type="dxa"/>
            <w:vAlign w:val="center"/>
          </w:tcPr>
          <w:p w:rsidR="007442AA" w:rsidRPr="002152E4" w:rsidRDefault="007442AA" w:rsidP="007442AA">
            <w:pPr>
              <w:jc w:val="center"/>
              <w:rPr>
                <w:lang w:val="ro-RO"/>
              </w:rPr>
            </w:pPr>
            <w:r w:rsidRPr="002152E4">
              <w:rPr>
                <w:lang w:val="ro-RO"/>
              </w:rPr>
              <w:t>0,51</w:t>
            </w:r>
          </w:p>
        </w:tc>
        <w:tc>
          <w:tcPr>
            <w:tcW w:w="3158" w:type="dxa"/>
            <w:vAlign w:val="center"/>
          </w:tcPr>
          <w:p w:rsidR="007442AA" w:rsidRPr="002152E4" w:rsidRDefault="007442AA" w:rsidP="007442AA">
            <w:pPr>
              <w:widowControl w:val="0"/>
              <w:autoSpaceDE w:val="0"/>
              <w:autoSpaceDN w:val="0"/>
              <w:adjustRightInd w:val="0"/>
              <w:jc w:val="center"/>
              <w:rPr>
                <w:lang w:val="ro-RO"/>
              </w:rPr>
            </w:pPr>
            <w:r w:rsidRPr="002152E4">
              <w:rPr>
                <w:lang w:val="ro-RO"/>
              </w:rPr>
              <w:t>4.211</w:t>
            </w:r>
          </w:p>
        </w:tc>
      </w:tr>
      <w:tr w:rsidR="007442AA" w:rsidRPr="002152E4" w:rsidTr="007442AA">
        <w:tc>
          <w:tcPr>
            <w:tcW w:w="1456" w:type="dxa"/>
            <w:tcBorders>
              <w:bottom w:val="threeDEmboss" w:sz="6" w:space="0" w:color="00B050"/>
            </w:tcBorders>
          </w:tcPr>
          <w:p w:rsidR="007442AA" w:rsidRPr="002152E4" w:rsidRDefault="007442AA" w:rsidP="007442AA">
            <w:pPr>
              <w:rPr>
                <w:lang w:val="ro-RO"/>
              </w:rPr>
            </w:pPr>
            <w:r w:rsidRPr="002152E4">
              <w:rPr>
                <w:lang w:val="ro-RO"/>
              </w:rPr>
              <w:t xml:space="preserve">        2016</w:t>
            </w:r>
          </w:p>
        </w:tc>
        <w:tc>
          <w:tcPr>
            <w:tcW w:w="1342" w:type="dxa"/>
            <w:tcBorders>
              <w:bottom w:val="threeDEmboss" w:sz="6" w:space="0" w:color="00B050"/>
            </w:tcBorders>
            <w:vAlign w:val="center"/>
          </w:tcPr>
          <w:p w:rsidR="007442AA" w:rsidRPr="002152E4" w:rsidRDefault="007442AA" w:rsidP="007442AA">
            <w:pPr>
              <w:jc w:val="center"/>
              <w:rPr>
                <w:lang w:val="ro-RO"/>
              </w:rPr>
            </w:pPr>
            <w:r w:rsidRPr="002152E4">
              <w:rPr>
                <w:lang w:val="ro-RO"/>
              </w:rPr>
              <w:t>219</w:t>
            </w:r>
          </w:p>
        </w:tc>
        <w:tc>
          <w:tcPr>
            <w:tcW w:w="2697" w:type="dxa"/>
            <w:tcBorders>
              <w:bottom w:val="threeDEmboss" w:sz="6" w:space="0" w:color="00B050"/>
            </w:tcBorders>
            <w:vAlign w:val="center"/>
          </w:tcPr>
          <w:p w:rsidR="007442AA" w:rsidRPr="002152E4" w:rsidRDefault="007442AA" w:rsidP="007442AA">
            <w:pPr>
              <w:jc w:val="center"/>
              <w:rPr>
                <w:lang w:val="ro-RO"/>
              </w:rPr>
            </w:pPr>
            <w:r w:rsidRPr="002152E4">
              <w:rPr>
                <w:lang w:val="ro-RO"/>
              </w:rPr>
              <w:t>0,46</w:t>
            </w:r>
          </w:p>
        </w:tc>
        <w:tc>
          <w:tcPr>
            <w:tcW w:w="3158" w:type="dxa"/>
            <w:tcBorders>
              <w:bottom w:val="threeDEmboss" w:sz="6" w:space="0" w:color="00B050"/>
            </w:tcBorders>
            <w:vAlign w:val="center"/>
          </w:tcPr>
          <w:p w:rsidR="007442AA" w:rsidRPr="002152E4" w:rsidRDefault="007442AA" w:rsidP="007442AA">
            <w:pPr>
              <w:widowControl w:val="0"/>
              <w:autoSpaceDE w:val="0"/>
              <w:autoSpaceDN w:val="0"/>
              <w:adjustRightInd w:val="0"/>
              <w:jc w:val="center"/>
              <w:rPr>
                <w:lang w:val="ro-RO"/>
              </w:rPr>
            </w:pPr>
            <w:r w:rsidRPr="002152E4">
              <w:rPr>
                <w:lang w:val="ro-RO"/>
              </w:rPr>
              <w:t>5.050</w:t>
            </w:r>
          </w:p>
        </w:tc>
      </w:tr>
      <w:tr w:rsidR="007442AA" w:rsidRPr="002152E4" w:rsidTr="007442AA">
        <w:tc>
          <w:tcPr>
            <w:tcW w:w="1456"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rPr>
                <w:b/>
                <w:i/>
                <w:u w:val="single"/>
                <w:lang w:val="ro-RO"/>
              </w:rPr>
            </w:pPr>
            <w:r w:rsidRPr="002152E4">
              <w:rPr>
                <w:b/>
                <w:lang w:val="ro-RO"/>
              </w:rPr>
              <w:t xml:space="preserve">    </w:t>
            </w:r>
            <w:r w:rsidRPr="002152E4">
              <w:rPr>
                <w:b/>
                <w:i/>
                <w:lang w:val="ro-RO"/>
              </w:rPr>
              <w:t xml:space="preserve">% </w:t>
            </w:r>
            <w:r w:rsidRPr="002152E4">
              <w:rPr>
                <w:b/>
                <w:i/>
                <w:u w:val="single"/>
                <w:lang w:val="ro-RO"/>
              </w:rPr>
              <w:t>2016</w:t>
            </w:r>
          </w:p>
          <w:p w:rsidR="007442AA" w:rsidRPr="002152E4" w:rsidRDefault="007442AA" w:rsidP="007442AA">
            <w:pPr>
              <w:rPr>
                <w:b/>
                <w:u w:val="single"/>
                <w:lang w:val="ro-RO"/>
              </w:rPr>
            </w:pPr>
            <w:r w:rsidRPr="002152E4">
              <w:rPr>
                <w:b/>
                <w:i/>
                <w:lang w:val="ro-RO"/>
              </w:rPr>
              <w:t xml:space="preserve">   +/- 2015</w:t>
            </w:r>
          </w:p>
        </w:tc>
        <w:tc>
          <w:tcPr>
            <w:tcW w:w="1342"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autoSpaceDE w:val="0"/>
              <w:autoSpaceDN w:val="0"/>
              <w:adjustRightInd w:val="0"/>
              <w:jc w:val="center"/>
              <w:rPr>
                <w:b/>
                <w:lang w:val="ro-RO"/>
              </w:rPr>
            </w:pPr>
            <w:r w:rsidRPr="002152E4">
              <w:rPr>
                <w:b/>
                <w:lang w:val="ro-RO"/>
              </w:rPr>
              <w:t>+0,5</w:t>
            </w:r>
          </w:p>
        </w:tc>
        <w:tc>
          <w:tcPr>
            <w:tcW w:w="2697"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autoSpaceDE w:val="0"/>
              <w:autoSpaceDN w:val="0"/>
              <w:adjustRightInd w:val="0"/>
              <w:jc w:val="center"/>
              <w:rPr>
                <w:b/>
                <w:lang w:val="ro-RO"/>
              </w:rPr>
            </w:pPr>
            <w:r w:rsidRPr="002152E4">
              <w:rPr>
                <w:b/>
                <w:lang w:val="ro-RO"/>
              </w:rPr>
              <w:t>-</w:t>
            </w:r>
          </w:p>
        </w:tc>
        <w:tc>
          <w:tcPr>
            <w:tcW w:w="3158" w:type="dxa"/>
            <w:tcBorders>
              <w:top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autoSpaceDE w:val="0"/>
              <w:autoSpaceDN w:val="0"/>
              <w:adjustRightInd w:val="0"/>
              <w:jc w:val="center"/>
              <w:rPr>
                <w:b/>
                <w:lang w:val="ro-RO"/>
              </w:rPr>
            </w:pPr>
            <w:r w:rsidRPr="002152E4">
              <w:rPr>
                <w:b/>
                <w:lang w:val="ro-RO"/>
              </w:rPr>
              <w:t>+19,9</w:t>
            </w:r>
          </w:p>
        </w:tc>
      </w:tr>
    </w:tbl>
    <w:p w:rsidR="007442AA" w:rsidRPr="002152E4" w:rsidRDefault="007442AA" w:rsidP="007442AA">
      <w:pPr>
        <w:jc w:val="both"/>
        <w:rPr>
          <w:lang w:val="ro-RO"/>
        </w:rPr>
      </w:pPr>
      <w:r w:rsidRPr="002152E4">
        <w:rPr>
          <w:lang w:val="ro-RO"/>
        </w:rPr>
        <w:t xml:space="preserve">      *Datele din perioada 2007- 2013 se referă la cauzele restituite de instanţe pentru refacerea </w:t>
      </w:r>
    </w:p>
    <w:p w:rsidR="007442AA" w:rsidRPr="002152E4" w:rsidRDefault="007442AA" w:rsidP="007442AA">
      <w:pPr>
        <w:spacing w:line="360" w:lineRule="auto"/>
        <w:jc w:val="both"/>
        <w:rPr>
          <w:lang w:val="ro-RO"/>
        </w:rPr>
      </w:pPr>
      <w:r w:rsidRPr="002152E4">
        <w:rPr>
          <w:lang w:val="ro-RO"/>
        </w:rPr>
        <w:t>urm</w:t>
      </w:r>
      <w:r w:rsidRPr="002152E4">
        <w:rPr>
          <w:rFonts w:cs="Franklin Gothic Book"/>
          <w:lang w:val="ro-RO"/>
        </w:rPr>
        <w:t>ă</w:t>
      </w:r>
      <w:r w:rsidRPr="002152E4">
        <w:rPr>
          <w:lang w:val="ro-RO"/>
        </w:rPr>
        <w:t>ririi penale</w:t>
      </w:r>
    </w:p>
    <w:p w:rsidR="007442AA" w:rsidRPr="002152E4" w:rsidRDefault="007442AA" w:rsidP="00D5288F">
      <w:pPr>
        <w:jc w:val="both"/>
        <w:rPr>
          <w:lang w:val="ro-RO"/>
        </w:rPr>
      </w:pPr>
    </w:p>
    <w:p w:rsidR="007442AA" w:rsidRPr="002152E4" w:rsidRDefault="007442AA" w:rsidP="00D5288F">
      <w:pPr>
        <w:ind w:firstLine="684"/>
        <w:jc w:val="both"/>
        <w:rPr>
          <w:lang w:val="ro-RO"/>
        </w:rPr>
      </w:pPr>
      <w:r w:rsidRPr="002152E4">
        <w:rPr>
          <w:lang w:val="ro-RO"/>
        </w:rPr>
        <w:t>Se poate observa că numărul cauzelor restituite de judecătorul de cameră preliminară şi de instanţele de judecată a rămas aproape la fel faţă de anul trecut (219 cauze în anul 2016 şi 218 cauze în anul 2015).</w:t>
      </w:r>
    </w:p>
    <w:p w:rsidR="007442AA" w:rsidRPr="002152E4" w:rsidRDefault="007442AA" w:rsidP="00D5288F">
      <w:pPr>
        <w:jc w:val="both"/>
        <w:rPr>
          <w:lang w:val="ro-RO"/>
        </w:rPr>
      </w:pPr>
      <w:r w:rsidRPr="002152E4">
        <w:rPr>
          <w:lang w:val="ro-RO"/>
        </w:rPr>
        <w:t xml:space="preserve">Numărul cauzelor în care s-a dispus infirmarea soluţiei sau redeschiderea urmăririi penale (inclusiv cele </w:t>
      </w:r>
      <w:r w:rsidR="002152E4" w:rsidRPr="002152E4">
        <w:rPr>
          <w:lang w:val="ro-RO"/>
        </w:rPr>
        <w:t>desființate</w:t>
      </w:r>
      <w:r w:rsidRPr="002152E4">
        <w:rPr>
          <w:lang w:val="ro-RO"/>
        </w:rPr>
        <w:t xml:space="preserve"> conform art. </w:t>
      </w:r>
      <w:smartTag w:uri="urn:schemas-microsoft-com:office:smarttags" w:element="metricconverter">
        <w:smartTagPr>
          <w:attr w:name="ProductID" w:val="341 C"/>
        </w:smartTagPr>
        <w:r w:rsidRPr="002152E4">
          <w:rPr>
            <w:lang w:val="ro-RO"/>
          </w:rPr>
          <w:t>341 C</w:t>
        </w:r>
      </w:smartTag>
      <w:r w:rsidRPr="002152E4">
        <w:rPr>
          <w:lang w:val="ro-RO"/>
        </w:rPr>
        <w:t>.p.p.) a crescut cu 19,9% (de la 4211 în anul 2015, la 5050 în anul 2016).</w:t>
      </w:r>
    </w:p>
    <w:p w:rsidR="007442AA" w:rsidRPr="002152E4" w:rsidRDefault="00DE63FB" w:rsidP="00DE63FB">
      <w:pPr>
        <w:pStyle w:val="Heading2"/>
      </w:pPr>
      <w:bookmarkStart w:id="138" w:name="_Toc475363428"/>
      <w:bookmarkStart w:id="139" w:name="_Toc486576551"/>
      <w:r w:rsidRPr="002152E4">
        <w:lastRenderedPageBreak/>
        <w:t>III.6.</w:t>
      </w:r>
      <w:r w:rsidR="007442AA" w:rsidRPr="002152E4">
        <w:t xml:space="preserve"> Plângerile împotriva măsurilor procurorului de netrimitere în judecată</w:t>
      </w:r>
      <w:bookmarkEnd w:id="138"/>
      <w:bookmarkEnd w:id="139"/>
    </w:p>
    <w:p w:rsidR="007442AA" w:rsidRPr="002152E4" w:rsidRDefault="007442AA" w:rsidP="007442AA">
      <w:pPr>
        <w:spacing w:line="360" w:lineRule="auto"/>
        <w:ind w:firstLine="810"/>
        <w:jc w:val="both"/>
        <w:rPr>
          <w:lang w:val="ro-RO"/>
        </w:rPr>
      </w:pPr>
      <w:r w:rsidRPr="002152E4">
        <w:rPr>
          <w:lang w:val="ro-RO"/>
        </w:rPr>
        <w:t>Situaţia cauzelor soluţionate la parchete prin soluţie de netrimitere în judecată apare în tabelul de mai jos:</w:t>
      </w:r>
    </w:p>
    <w:tbl>
      <w:tblPr>
        <w:tblW w:w="9806"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2363"/>
        <w:gridCol w:w="2330"/>
        <w:gridCol w:w="2585"/>
        <w:gridCol w:w="2528"/>
      </w:tblGrid>
      <w:tr w:rsidR="007442AA" w:rsidRPr="002152E4" w:rsidTr="007442AA">
        <w:tc>
          <w:tcPr>
            <w:tcW w:w="1278" w:type="dxa"/>
            <w:vMerge w:val="restart"/>
            <w:tcBorders>
              <w:top w:val="threeDEmboss" w:sz="6" w:space="0" w:color="00B050"/>
              <w:left w:val="threeDEmboss" w:sz="6" w:space="0" w:color="00B050"/>
            </w:tcBorders>
            <w:shd w:val="clear" w:color="auto" w:fill="FCE0C8"/>
            <w:vAlign w:val="center"/>
          </w:tcPr>
          <w:p w:rsidR="007442AA" w:rsidRPr="002152E4" w:rsidRDefault="007442AA" w:rsidP="007442AA">
            <w:pPr>
              <w:jc w:val="center"/>
              <w:rPr>
                <w:b/>
                <w:lang w:val="ro-RO"/>
              </w:rPr>
            </w:pPr>
            <w:r w:rsidRPr="002152E4">
              <w:rPr>
                <w:b/>
                <w:lang w:val="ro-RO"/>
              </w:rPr>
              <w:t>ANUL</w:t>
            </w:r>
          </w:p>
        </w:tc>
        <w:tc>
          <w:tcPr>
            <w:tcW w:w="4025" w:type="dxa"/>
            <w:gridSpan w:val="3"/>
            <w:tcBorders>
              <w:top w:val="threeDEmboss" w:sz="6" w:space="0" w:color="00B050"/>
            </w:tcBorders>
            <w:shd w:val="clear" w:color="auto" w:fill="FCE0C8"/>
            <w:vAlign w:val="center"/>
          </w:tcPr>
          <w:p w:rsidR="007442AA" w:rsidRPr="002152E4" w:rsidRDefault="007442AA" w:rsidP="007442AA">
            <w:pPr>
              <w:jc w:val="center"/>
              <w:rPr>
                <w:b/>
                <w:lang w:val="ro-RO"/>
              </w:rPr>
            </w:pPr>
            <w:r w:rsidRPr="002152E4">
              <w:rPr>
                <w:b/>
                <w:lang w:val="ro-RO"/>
              </w:rPr>
              <w:t xml:space="preserve"> NUMĂRUL CAUZELOR SOLUŢIONATE PRIN NETRIMITERE ÎN JUDECATĂ</w:t>
            </w:r>
          </w:p>
        </w:tc>
      </w:tr>
      <w:tr w:rsidR="007442AA" w:rsidRPr="002152E4" w:rsidTr="007442AA">
        <w:tc>
          <w:tcPr>
            <w:tcW w:w="1278" w:type="dxa"/>
            <w:vMerge/>
            <w:tcBorders>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tc>
        <w:tc>
          <w:tcPr>
            <w:tcW w:w="1260" w:type="dxa"/>
            <w:tcBorders>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TOTAL, </w:t>
            </w:r>
          </w:p>
          <w:p w:rsidR="007442AA" w:rsidRPr="002152E4" w:rsidRDefault="007442AA" w:rsidP="007442AA">
            <w:pPr>
              <w:jc w:val="center"/>
              <w:rPr>
                <w:lang w:val="ro-RO"/>
              </w:rPr>
            </w:pPr>
            <w:r w:rsidRPr="002152E4">
              <w:rPr>
                <w:b/>
                <w:lang w:val="ro-RO"/>
              </w:rPr>
              <w:t>din care:</w:t>
            </w:r>
          </w:p>
        </w:tc>
        <w:tc>
          <w:tcPr>
            <w:tcW w:w="1398" w:type="dxa"/>
            <w:tcBorders>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RENUNȚARE LA URMĂRIREA PENALĂ*</w:t>
            </w:r>
          </w:p>
        </w:tc>
        <w:tc>
          <w:tcPr>
            <w:tcW w:w="1367" w:type="dxa"/>
            <w:tcBorders>
              <w:bottom w:val="single" w:sz="4" w:space="0" w:color="00B050"/>
            </w:tcBorders>
            <w:shd w:val="clear" w:color="auto" w:fill="FCE0C8"/>
          </w:tcPr>
          <w:p w:rsidR="007442AA" w:rsidRPr="002152E4" w:rsidRDefault="007442AA" w:rsidP="007442AA">
            <w:pPr>
              <w:jc w:val="center"/>
              <w:rPr>
                <w:b/>
                <w:lang w:val="ro-RO"/>
              </w:rPr>
            </w:pPr>
            <w:r w:rsidRPr="002152E4">
              <w:rPr>
                <w:b/>
                <w:lang w:val="ro-RO"/>
              </w:rPr>
              <w:t>CLASARE**</w:t>
            </w:r>
          </w:p>
        </w:tc>
      </w:tr>
      <w:tr w:rsidR="007442AA" w:rsidRPr="002152E4" w:rsidTr="007442AA">
        <w:tc>
          <w:tcPr>
            <w:tcW w:w="1278" w:type="dxa"/>
            <w:tcBorders>
              <w:top w:val="threeDEmboss" w:sz="6" w:space="0" w:color="00B050"/>
            </w:tcBorders>
          </w:tcPr>
          <w:p w:rsidR="007442AA" w:rsidRPr="002152E4" w:rsidRDefault="007442AA" w:rsidP="007442AA">
            <w:pPr>
              <w:jc w:val="center"/>
              <w:rPr>
                <w:lang w:val="ro-RO"/>
              </w:rPr>
            </w:pPr>
            <w:r w:rsidRPr="002152E4">
              <w:rPr>
                <w:lang w:val="ro-RO"/>
              </w:rPr>
              <w:t>2007</w:t>
            </w:r>
          </w:p>
        </w:tc>
        <w:tc>
          <w:tcPr>
            <w:tcW w:w="1260" w:type="dxa"/>
            <w:tcBorders>
              <w:top w:val="threeDEmboss" w:sz="6" w:space="0" w:color="00B050"/>
            </w:tcBorders>
          </w:tcPr>
          <w:p w:rsidR="007442AA" w:rsidRPr="002152E4" w:rsidRDefault="007442AA" w:rsidP="007442AA">
            <w:pPr>
              <w:widowControl w:val="0"/>
              <w:autoSpaceDE w:val="0"/>
              <w:autoSpaceDN w:val="0"/>
              <w:adjustRightInd w:val="0"/>
              <w:jc w:val="center"/>
              <w:rPr>
                <w:lang w:val="ro-RO"/>
              </w:rPr>
            </w:pPr>
            <w:r w:rsidRPr="002152E4">
              <w:rPr>
                <w:lang w:val="ro-RO"/>
              </w:rPr>
              <w:t>425.577</w:t>
            </w:r>
          </w:p>
        </w:tc>
        <w:tc>
          <w:tcPr>
            <w:tcW w:w="1398" w:type="dxa"/>
            <w:tcBorders>
              <w:top w:val="threeDEmboss" w:sz="6" w:space="0" w:color="00B050"/>
            </w:tcBorders>
            <w:vAlign w:val="bottom"/>
          </w:tcPr>
          <w:p w:rsidR="007442AA" w:rsidRPr="002152E4" w:rsidRDefault="007442AA" w:rsidP="007442AA">
            <w:pPr>
              <w:widowControl w:val="0"/>
              <w:autoSpaceDE w:val="0"/>
              <w:autoSpaceDN w:val="0"/>
              <w:adjustRightInd w:val="0"/>
              <w:jc w:val="center"/>
              <w:rPr>
                <w:lang w:val="ro-RO"/>
              </w:rPr>
            </w:pPr>
            <w:r w:rsidRPr="002152E4">
              <w:rPr>
                <w:lang w:val="ro-RO"/>
              </w:rPr>
              <w:t>99.116</w:t>
            </w:r>
          </w:p>
        </w:tc>
        <w:tc>
          <w:tcPr>
            <w:tcW w:w="1367" w:type="dxa"/>
            <w:tcBorders>
              <w:top w:val="threeDEmboss" w:sz="6" w:space="0" w:color="00B050"/>
            </w:tcBorders>
            <w:vAlign w:val="bottom"/>
          </w:tcPr>
          <w:p w:rsidR="007442AA" w:rsidRPr="002152E4" w:rsidRDefault="007442AA" w:rsidP="007442AA">
            <w:pPr>
              <w:widowControl w:val="0"/>
              <w:autoSpaceDE w:val="0"/>
              <w:autoSpaceDN w:val="0"/>
              <w:adjustRightInd w:val="0"/>
              <w:jc w:val="center"/>
              <w:rPr>
                <w:lang w:val="ro-RO"/>
              </w:rPr>
            </w:pPr>
            <w:r w:rsidRPr="002152E4">
              <w:rPr>
                <w:lang w:val="ro-RO"/>
              </w:rPr>
              <w:t>326.461</w:t>
            </w:r>
          </w:p>
        </w:tc>
      </w:tr>
      <w:tr w:rsidR="007442AA" w:rsidRPr="002152E4" w:rsidTr="007442AA">
        <w:tc>
          <w:tcPr>
            <w:tcW w:w="1278" w:type="dxa"/>
          </w:tcPr>
          <w:p w:rsidR="007442AA" w:rsidRPr="002152E4" w:rsidRDefault="007442AA" w:rsidP="007442AA">
            <w:pPr>
              <w:jc w:val="center"/>
              <w:rPr>
                <w:lang w:val="ro-RO"/>
              </w:rPr>
            </w:pPr>
            <w:r w:rsidRPr="002152E4">
              <w:rPr>
                <w:lang w:val="ro-RO"/>
              </w:rPr>
              <w:t>2008</w:t>
            </w:r>
          </w:p>
        </w:tc>
        <w:tc>
          <w:tcPr>
            <w:tcW w:w="1260" w:type="dxa"/>
          </w:tcPr>
          <w:p w:rsidR="007442AA" w:rsidRPr="002152E4" w:rsidRDefault="007442AA" w:rsidP="007442AA">
            <w:pPr>
              <w:widowControl w:val="0"/>
              <w:autoSpaceDE w:val="0"/>
              <w:autoSpaceDN w:val="0"/>
              <w:adjustRightInd w:val="0"/>
              <w:jc w:val="center"/>
              <w:rPr>
                <w:lang w:val="ro-RO"/>
              </w:rPr>
            </w:pPr>
            <w:r w:rsidRPr="002152E4">
              <w:rPr>
                <w:lang w:val="ro-RO"/>
              </w:rPr>
              <w:t>458.238</w:t>
            </w:r>
          </w:p>
        </w:tc>
        <w:tc>
          <w:tcPr>
            <w:tcW w:w="1398"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109.306</w:t>
            </w:r>
          </w:p>
        </w:tc>
        <w:tc>
          <w:tcPr>
            <w:tcW w:w="1367"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348.932</w:t>
            </w:r>
          </w:p>
        </w:tc>
      </w:tr>
      <w:tr w:rsidR="007442AA" w:rsidRPr="002152E4" w:rsidTr="007442AA">
        <w:tc>
          <w:tcPr>
            <w:tcW w:w="1278" w:type="dxa"/>
          </w:tcPr>
          <w:p w:rsidR="007442AA" w:rsidRPr="002152E4" w:rsidRDefault="007442AA" w:rsidP="007442AA">
            <w:pPr>
              <w:jc w:val="center"/>
              <w:rPr>
                <w:lang w:val="ro-RO"/>
              </w:rPr>
            </w:pPr>
            <w:r w:rsidRPr="002152E4">
              <w:rPr>
                <w:lang w:val="ro-RO"/>
              </w:rPr>
              <w:t>2009</w:t>
            </w:r>
          </w:p>
        </w:tc>
        <w:tc>
          <w:tcPr>
            <w:tcW w:w="1260" w:type="dxa"/>
          </w:tcPr>
          <w:p w:rsidR="007442AA" w:rsidRPr="002152E4" w:rsidRDefault="007442AA" w:rsidP="007442AA">
            <w:pPr>
              <w:widowControl w:val="0"/>
              <w:autoSpaceDE w:val="0"/>
              <w:autoSpaceDN w:val="0"/>
              <w:adjustRightInd w:val="0"/>
              <w:jc w:val="center"/>
              <w:rPr>
                <w:lang w:val="ro-RO"/>
              </w:rPr>
            </w:pPr>
            <w:r w:rsidRPr="002152E4">
              <w:rPr>
                <w:lang w:val="ro-RO"/>
              </w:rPr>
              <w:t>459.010</w:t>
            </w:r>
          </w:p>
        </w:tc>
        <w:tc>
          <w:tcPr>
            <w:tcW w:w="1398"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106.051</w:t>
            </w:r>
          </w:p>
        </w:tc>
        <w:tc>
          <w:tcPr>
            <w:tcW w:w="1367"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352.959</w:t>
            </w:r>
          </w:p>
        </w:tc>
      </w:tr>
      <w:tr w:rsidR="007442AA" w:rsidRPr="002152E4" w:rsidTr="007442AA">
        <w:tc>
          <w:tcPr>
            <w:tcW w:w="1278" w:type="dxa"/>
          </w:tcPr>
          <w:p w:rsidR="007442AA" w:rsidRPr="002152E4" w:rsidRDefault="007442AA" w:rsidP="007442AA">
            <w:pPr>
              <w:jc w:val="center"/>
              <w:rPr>
                <w:lang w:val="ro-RO"/>
              </w:rPr>
            </w:pPr>
            <w:r w:rsidRPr="002152E4">
              <w:rPr>
                <w:lang w:val="ro-RO"/>
              </w:rPr>
              <w:t>2010</w:t>
            </w:r>
          </w:p>
        </w:tc>
        <w:tc>
          <w:tcPr>
            <w:tcW w:w="1260" w:type="dxa"/>
          </w:tcPr>
          <w:p w:rsidR="007442AA" w:rsidRPr="002152E4" w:rsidRDefault="007442AA" w:rsidP="007442AA">
            <w:pPr>
              <w:widowControl w:val="0"/>
              <w:autoSpaceDE w:val="0"/>
              <w:autoSpaceDN w:val="0"/>
              <w:adjustRightInd w:val="0"/>
              <w:jc w:val="center"/>
              <w:rPr>
                <w:lang w:val="ro-RO"/>
              </w:rPr>
            </w:pPr>
            <w:r w:rsidRPr="002152E4">
              <w:rPr>
                <w:lang w:val="ro-RO"/>
              </w:rPr>
              <w:t>476.285</w:t>
            </w:r>
          </w:p>
        </w:tc>
        <w:tc>
          <w:tcPr>
            <w:tcW w:w="1398"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101.972</w:t>
            </w:r>
          </w:p>
        </w:tc>
        <w:tc>
          <w:tcPr>
            <w:tcW w:w="1367"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374.313</w:t>
            </w:r>
          </w:p>
        </w:tc>
      </w:tr>
      <w:tr w:rsidR="007442AA" w:rsidRPr="002152E4" w:rsidTr="007442AA">
        <w:tc>
          <w:tcPr>
            <w:tcW w:w="1278" w:type="dxa"/>
          </w:tcPr>
          <w:p w:rsidR="007442AA" w:rsidRPr="002152E4" w:rsidRDefault="007442AA" w:rsidP="007442AA">
            <w:pPr>
              <w:jc w:val="center"/>
              <w:rPr>
                <w:lang w:val="ro-RO"/>
              </w:rPr>
            </w:pPr>
            <w:r w:rsidRPr="002152E4">
              <w:rPr>
                <w:lang w:val="ro-RO"/>
              </w:rPr>
              <w:t>2011</w:t>
            </w:r>
          </w:p>
        </w:tc>
        <w:tc>
          <w:tcPr>
            <w:tcW w:w="1260" w:type="dxa"/>
          </w:tcPr>
          <w:p w:rsidR="007442AA" w:rsidRPr="002152E4" w:rsidRDefault="007442AA" w:rsidP="007442AA">
            <w:pPr>
              <w:widowControl w:val="0"/>
              <w:autoSpaceDE w:val="0"/>
              <w:autoSpaceDN w:val="0"/>
              <w:adjustRightInd w:val="0"/>
              <w:jc w:val="center"/>
              <w:rPr>
                <w:lang w:val="ro-RO"/>
              </w:rPr>
            </w:pPr>
            <w:r w:rsidRPr="002152E4">
              <w:rPr>
                <w:lang w:val="ro-RO"/>
              </w:rPr>
              <w:t>535.496</w:t>
            </w:r>
          </w:p>
        </w:tc>
        <w:tc>
          <w:tcPr>
            <w:tcW w:w="1398"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128.148</w:t>
            </w:r>
          </w:p>
        </w:tc>
        <w:tc>
          <w:tcPr>
            <w:tcW w:w="1367"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407.348</w:t>
            </w:r>
          </w:p>
        </w:tc>
      </w:tr>
      <w:tr w:rsidR="007442AA" w:rsidRPr="002152E4" w:rsidTr="007442AA">
        <w:tc>
          <w:tcPr>
            <w:tcW w:w="1278" w:type="dxa"/>
          </w:tcPr>
          <w:p w:rsidR="007442AA" w:rsidRPr="002152E4" w:rsidRDefault="007442AA" w:rsidP="007442AA">
            <w:pPr>
              <w:jc w:val="center"/>
              <w:rPr>
                <w:lang w:val="ro-RO"/>
              </w:rPr>
            </w:pPr>
            <w:r w:rsidRPr="002152E4">
              <w:rPr>
                <w:lang w:val="ro-RO"/>
              </w:rPr>
              <w:t>2012</w:t>
            </w:r>
          </w:p>
        </w:tc>
        <w:tc>
          <w:tcPr>
            <w:tcW w:w="1260" w:type="dxa"/>
          </w:tcPr>
          <w:p w:rsidR="007442AA" w:rsidRPr="002152E4" w:rsidRDefault="007442AA" w:rsidP="007442AA">
            <w:pPr>
              <w:widowControl w:val="0"/>
              <w:autoSpaceDE w:val="0"/>
              <w:autoSpaceDN w:val="0"/>
              <w:adjustRightInd w:val="0"/>
              <w:jc w:val="center"/>
              <w:rPr>
                <w:lang w:val="ro-RO"/>
              </w:rPr>
            </w:pPr>
            <w:r w:rsidRPr="002152E4">
              <w:rPr>
                <w:lang w:val="ro-RO"/>
              </w:rPr>
              <w:t>548.661</w:t>
            </w:r>
          </w:p>
        </w:tc>
        <w:tc>
          <w:tcPr>
            <w:tcW w:w="1398"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142.332</w:t>
            </w:r>
          </w:p>
        </w:tc>
        <w:tc>
          <w:tcPr>
            <w:tcW w:w="1367"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406.329</w:t>
            </w:r>
          </w:p>
        </w:tc>
      </w:tr>
      <w:tr w:rsidR="007442AA" w:rsidRPr="002152E4" w:rsidTr="007442AA">
        <w:tc>
          <w:tcPr>
            <w:tcW w:w="1278" w:type="dxa"/>
          </w:tcPr>
          <w:p w:rsidR="007442AA" w:rsidRPr="002152E4" w:rsidRDefault="007442AA" w:rsidP="007442AA">
            <w:pPr>
              <w:jc w:val="center"/>
              <w:rPr>
                <w:lang w:val="ro-RO"/>
              </w:rPr>
            </w:pPr>
            <w:r w:rsidRPr="002152E4">
              <w:rPr>
                <w:lang w:val="ro-RO"/>
              </w:rPr>
              <w:t>2013</w:t>
            </w:r>
          </w:p>
        </w:tc>
        <w:tc>
          <w:tcPr>
            <w:tcW w:w="1260" w:type="dxa"/>
          </w:tcPr>
          <w:p w:rsidR="007442AA" w:rsidRPr="002152E4" w:rsidRDefault="007442AA" w:rsidP="007442AA">
            <w:pPr>
              <w:widowControl w:val="0"/>
              <w:autoSpaceDE w:val="0"/>
              <w:autoSpaceDN w:val="0"/>
              <w:adjustRightInd w:val="0"/>
              <w:jc w:val="center"/>
              <w:rPr>
                <w:lang w:val="ro-RO"/>
              </w:rPr>
            </w:pPr>
            <w:r w:rsidRPr="002152E4">
              <w:rPr>
                <w:lang w:val="ro-RO"/>
              </w:rPr>
              <w:t>588.687</w:t>
            </w:r>
          </w:p>
        </w:tc>
        <w:tc>
          <w:tcPr>
            <w:tcW w:w="1398"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159.268</w:t>
            </w:r>
          </w:p>
        </w:tc>
        <w:tc>
          <w:tcPr>
            <w:tcW w:w="1367" w:type="dxa"/>
            <w:vAlign w:val="bottom"/>
          </w:tcPr>
          <w:p w:rsidR="007442AA" w:rsidRPr="002152E4" w:rsidRDefault="007442AA" w:rsidP="007442AA">
            <w:pPr>
              <w:widowControl w:val="0"/>
              <w:autoSpaceDE w:val="0"/>
              <w:autoSpaceDN w:val="0"/>
              <w:adjustRightInd w:val="0"/>
              <w:jc w:val="center"/>
              <w:rPr>
                <w:lang w:val="ro-RO"/>
              </w:rPr>
            </w:pPr>
            <w:r w:rsidRPr="002152E4">
              <w:rPr>
                <w:lang w:val="ro-RO"/>
              </w:rPr>
              <w:t>429.419</w:t>
            </w:r>
          </w:p>
        </w:tc>
      </w:tr>
      <w:tr w:rsidR="007442AA" w:rsidRPr="002152E4" w:rsidTr="007442AA">
        <w:tc>
          <w:tcPr>
            <w:tcW w:w="1278" w:type="dxa"/>
          </w:tcPr>
          <w:p w:rsidR="007442AA" w:rsidRPr="002152E4" w:rsidRDefault="007442AA" w:rsidP="007442AA">
            <w:pPr>
              <w:jc w:val="center"/>
              <w:rPr>
                <w:lang w:val="ro-RO"/>
              </w:rPr>
            </w:pPr>
            <w:r w:rsidRPr="002152E4">
              <w:rPr>
                <w:lang w:val="ro-RO"/>
              </w:rPr>
              <w:t>2014</w:t>
            </w:r>
          </w:p>
        </w:tc>
        <w:tc>
          <w:tcPr>
            <w:tcW w:w="1260" w:type="dxa"/>
          </w:tcPr>
          <w:p w:rsidR="007442AA" w:rsidRPr="002152E4" w:rsidRDefault="007442AA" w:rsidP="007442AA">
            <w:pPr>
              <w:widowControl w:val="0"/>
              <w:autoSpaceDE w:val="0"/>
              <w:autoSpaceDN w:val="0"/>
              <w:adjustRightInd w:val="0"/>
              <w:jc w:val="center"/>
              <w:rPr>
                <w:lang w:val="ro-RO"/>
              </w:rPr>
            </w:pPr>
            <w:r w:rsidRPr="002152E4">
              <w:rPr>
                <w:lang w:val="ro-RO"/>
              </w:rPr>
              <w:t>637.578</w:t>
            </w:r>
          </w:p>
        </w:tc>
        <w:tc>
          <w:tcPr>
            <w:tcW w:w="1398" w:type="dxa"/>
          </w:tcPr>
          <w:p w:rsidR="007442AA" w:rsidRPr="002152E4" w:rsidRDefault="007442AA" w:rsidP="007442AA">
            <w:pPr>
              <w:widowControl w:val="0"/>
              <w:autoSpaceDE w:val="0"/>
              <w:autoSpaceDN w:val="0"/>
              <w:adjustRightInd w:val="0"/>
              <w:jc w:val="center"/>
              <w:rPr>
                <w:lang w:val="ro-RO"/>
              </w:rPr>
            </w:pPr>
            <w:r w:rsidRPr="002152E4">
              <w:rPr>
                <w:lang w:val="ro-RO"/>
              </w:rPr>
              <w:t>86.883</w:t>
            </w:r>
          </w:p>
        </w:tc>
        <w:tc>
          <w:tcPr>
            <w:tcW w:w="1367" w:type="dxa"/>
          </w:tcPr>
          <w:p w:rsidR="007442AA" w:rsidRPr="002152E4" w:rsidRDefault="007442AA" w:rsidP="007442AA">
            <w:pPr>
              <w:widowControl w:val="0"/>
              <w:autoSpaceDE w:val="0"/>
              <w:autoSpaceDN w:val="0"/>
              <w:adjustRightInd w:val="0"/>
              <w:jc w:val="center"/>
              <w:rPr>
                <w:lang w:val="ro-RO"/>
              </w:rPr>
            </w:pPr>
            <w:r w:rsidRPr="002152E4">
              <w:rPr>
                <w:lang w:val="ro-RO"/>
              </w:rPr>
              <w:t>550.695</w:t>
            </w:r>
          </w:p>
        </w:tc>
      </w:tr>
      <w:tr w:rsidR="007442AA" w:rsidRPr="002152E4" w:rsidTr="007442AA">
        <w:tc>
          <w:tcPr>
            <w:tcW w:w="1278" w:type="dxa"/>
          </w:tcPr>
          <w:p w:rsidR="007442AA" w:rsidRPr="002152E4" w:rsidRDefault="007442AA" w:rsidP="007442AA">
            <w:pPr>
              <w:jc w:val="center"/>
              <w:rPr>
                <w:lang w:val="ro-RO"/>
              </w:rPr>
            </w:pPr>
            <w:r w:rsidRPr="002152E4">
              <w:rPr>
                <w:lang w:val="ro-RO"/>
              </w:rPr>
              <w:t>2015</w:t>
            </w:r>
          </w:p>
        </w:tc>
        <w:tc>
          <w:tcPr>
            <w:tcW w:w="1260" w:type="dxa"/>
          </w:tcPr>
          <w:p w:rsidR="007442AA" w:rsidRPr="002152E4" w:rsidRDefault="007442AA" w:rsidP="007442AA">
            <w:pPr>
              <w:widowControl w:val="0"/>
              <w:autoSpaceDE w:val="0"/>
              <w:autoSpaceDN w:val="0"/>
              <w:adjustRightInd w:val="0"/>
              <w:jc w:val="center"/>
              <w:rPr>
                <w:lang w:val="ro-RO"/>
              </w:rPr>
            </w:pPr>
            <w:r w:rsidRPr="002152E4">
              <w:rPr>
                <w:lang w:val="ro-RO"/>
              </w:rPr>
              <w:t>601.642</w:t>
            </w:r>
          </w:p>
        </w:tc>
        <w:tc>
          <w:tcPr>
            <w:tcW w:w="1398" w:type="dxa"/>
          </w:tcPr>
          <w:p w:rsidR="007442AA" w:rsidRPr="002152E4" w:rsidRDefault="007442AA" w:rsidP="007442AA">
            <w:pPr>
              <w:widowControl w:val="0"/>
              <w:autoSpaceDE w:val="0"/>
              <w:autoSpaceDN w:val="0"/>
              <w:adjustRightInd w:val="0"/>
              <w:jc w:val="center"/>
              <w:rPr>
                <w:lang w:val="ro-RO"/>
              </w:rPr>
            </w:pPr>
            <w:r w:rsidRPr="002152E4">
              <w:rPr>
                <w:lang w:val="ro-RO"/>
              </w:rPr>
              <w:t>134.436</w:t>
            </w:r>
          </w:p>
        </w:tc>
        <w:tc>
          <w:tcPr>
            <w:tcW w:w="1367" w:type="dxa"/>
          </w:tcPr>
          <w:p w:rsidR="007442AA" w:rsidRPr="002152E4" w:rsidRDefault="007442AA" w:rsidP="007442AA">
            <w:pPr>
              <w:widowControl w:val="0"/>
              <w:autoSpaceDE w:val="0"/>
              <w:autoSpaceDN w:val="0"/>
              <w:adjustRightInd w:val="0"/>
              <w:jc w:val="center"/>
              <w:rPr>
                <w:lang w:val="ro-RO"/>
              </w:rPr>
            </w:pPr>
            <w:r w:rsidRPr="002152E4">
              <w:rPr>
                <w:lang w:val="ro-RO"/>
              </w:rPr>
              <w:t>467.206</w:t>
            </w:r>
          </w:p>
        </w:tc>
      </w:tr>
      <w:tr w:rsidR="007442AA" w:rsidRPr="002152E4" w:rsidTr="007442AA">
        <w:tc>
          <w:tcPr>
            <w:tcW w:w="1278" w:type="dxa"/>
            <w:tcBorders>
              <w:bottom w:val="threeDEmboss" w:sz="6" w:space="0" w:color="00B050"/>
            </w:tcBorders>
          </w:tcPr>
          <w:p w:rsidR="007442AA" w:rsidRPr="002152E4" w:rsidRDefault="007442AA" w:rsidP="007442AA">
            <w:pPr>
              <w:jc w:val="center"/>
              <w:rPr>
                <w:lang w:val="ro-RO"/>
              </w:rPr>
            </w:pPr>
            <w:r w:rsidRPr="002152E4">
              <w:rPr>
                <w:lang w:val="ro-RO"/>
              </w:rPr>
              <w:t>2016</w:t>
            </w:r>
          </w:p>
        </w:tc>
        <w:tc>
          <w:tcPr>
            <w:tcW w:w="1260" w:type="dxa"/>
            <w:tcBorders>
              <w:bottom w:val="threeDEmboss" w:sz="6" w:space="0" w:color="00B050"/>
            </w:tcBorders>
          </w:tcPr>
          <w:p w:rsidR="007442AA" w:rsidRPr="002152E4" w:rsidRDefault="007442AA" w:rsidP="007442AA">
            <w:pPr>
              <w:widowControl w:val="0"/>
              <w:autoSpaceDE w:val="0"/>
              <w:autoSpaceDN w:val="0"/>
              <w:adjustRightInd w:val="0"/>
              <w:jc w:val="center"/>
              <w:rPr>
                <w:lang w:val="ro-RO"/>
              </w:rPr>
            </w:pPr>
            <w:r w:rsidRPr="002152E4">
              <w:rPr>
                <w:lang w:val="ro-RO"/>
              </w:rPr>
              <w:t>521.991</w:t>
            </w:r>
          </w:p>
        </w:tc>
        <w:tc>
          <w:tcPr>
            <w:tcW w:w="1398" w:type="dxa"/>
            <w:tcBorders>
              <w:bottom w:val="threeDEmboss" w:sz="6" w:space="0" w:color="00B050"/>
            </w:tcBorders>
          </w:tcPr>
          <w:p w:rsidR="007442AA" w:rsidRPr="002152E4" w:rsidRDefault="007442AA" w:rsidP="007442AA">
            <w:pPr>
              <w:widowControl w:val="0"/>
              <w:autoSpaceDE w:val="0"/>
              <w:autoSpaceDN w:val="0"/>
              <w:adjustRightInd w:val="0"/>
              <w:jc w:val="center"/>
              <w:rPr>
                <w:lang w:val="ro-RO"/>
              </w:rPr>
            </w:pPr>
            <w:r w:rsidRPr="002152E4">
              <w:rPr>
                <w:lang w:val="ro-RO"/>
              </w:rPr>
              <w:t>89.725</w:t>
            </w:r>
          </w:p>
        </w:tc>
        <w:tc>
          <w:tcPr>
            <w:tcW w:w="1367" w:type="dxa"/>
            <w:tcBorders>
              <w:bottom w:val="threeDEmboss" w:sz="6" w:space="0" w:color="00B050"/>
            </w:tcBorders>
          </w:tcPr>
          <w:p w:rsidR="007442AA" w:rsidRPr="002152E4" w:rsidRDefault="007442AA" w:rsidP="007442AA">
            <w:pPr>
              <w:widowControl w:val="0"/>
              <w:autoSpaceDE w:val="0"/>
              <w:autoSpaceDN w:val="0"/>
              <w:adjustRightInd w:val="0"/>
              <w:jc w:val="center"/>
              <w:rPr>
                <w:lang w:val="ro-RO"/>
              </w:rPr>
            </w:pPr>
            <w:r w:rsidRPr="002152E4">
              <w:rPr>
                <w:lang w:val="ro-RO"/>
              </w:rPr>
              <w:t>432.266</w:t>
            </w:r>
          </w:p>
        </w:tc>
      </w:tr>
      <w:tr w:rsidR="007442AA" w:rsidRPr="002152E4" w:rsidTr="007442AA">
        <w:tc>
          <w:tcPr>
            <w:tcW w:w="1278"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ind w:left="-90"/>
              <w:rPr>
                <w:b/>
                <w:i/>
                <w:u w:val="single"/>
                <w:lang w:val="ro-RO"/>
              </w:rPr>
            </w:pPr>
            <w:r w:rsidRPr="002152E4">
              <w:rPr>
                <w:b/>
                <w:i/>
                <w:lang w:val="ro-RO"/>
              </w:rPr>
              <w:t xml:space="preserve">     % </w:t>
            </w:r>
            <w:r w:rsidRPr="002152E4">
              <w:rPr>
                <w:b/>
                <w:i/>
                <w:u w:val="single"/>
                <w:lang w:val="ro-RO"/>
              </w:rPr>
              <w:t>2016</w:t>
            </w:r>
          </w:p>
          <w:p w:rsidR="007442AA" w:rsidRPr="002152E4" w:rsidRDefault="007442AA" w:rsidP="007442AA">
            <w:pPr>
              <w:ind w:left="-90"/>
              <w:rPr>
                <w:b/>
                <w:i/>
                <w:u w:val="single"/>
                <w:lang w:val="ro-RO"/>
              </w:rPr>
            </w:pPr>
            <w:r w:rsidRPr="002152E4">
              <w:rPr>
                <w:b/>
                <w:i/>
                <w:lang w:val="ro-RO"/>
              </w:rPr>
              <w:t xml:space="preserve">    +/- 2015</w:t>
            </w:r>
          </w:p>
        </w:tc>
        <w:tc>
          <w:tcPr>
            <w:tcW w:w="1260"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autoSpaceDE w:val="0"/>
              <w:autoSpaceDN w:val="0"/>
              <w:adjustRightInd w:val="0"/>
              <w:jc w:val="center"/>
              <w:rPr>
                <w:b/>
                <w:lang w:val="ro-RO"/>
              </w:rPr>
            </w:pPr>
            <w:r w:rsidRPr="002152E4">
              <w:rPr>
                <w:b/>
                <w:lang w:val="ro-RO"/>
              </w:rPr>
              <w:t>-13,2</w:t>
            </w:r>
          </w:p>
        </w:tc>
        <w:tc>
          <w:tcPr>
            <w:tcW w:w="1398"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autoSpaceDE w:val="0"/>
              <w:autoSpaceDN w:val="0"/>
              <w:adjustRightInd w:val="0"/>
              <w:jc w:val="center"/>
              <w:rPr>
                <w:b/>
                <w:lang w:val="ro-RO"/>
              </w:rPr>
            </w:pPr>
            <w:r w:rsidRPr="002152E4">
              <w:rPr>
                <w:b/>
                <w:lang w:val="ro-RO"/>
              </w:rPr>
              <w:t>-33,3</w:t>
            </w:r>
          </w:p>
        </w:tc>
        <w:tc>
          <w:tcPr>
            <w:tcW w:w="1367"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autoSpaceDE w:val="0"/>
              <w:autoSpaceDN w:val="0"/>
              <w:adjustRightInd w:val="0"/>
              <w:jc w:val="center"/>
              <w:rPr>
                <w:b/>
                <w:lang w:val="ro-RO"/>
              </w:rPr>
            </w:pPr>
            <w:r w:rsidRPr="002152E4">
              <w:rPr>
                <w:b/>
                <w:lang w:val="ro-RO"/>
              </w:rPr>
              <w:t>-7,5</w:t>
            </w:r>
          </w:p>
        </w:tc>
      </w:tr>
    </w:tbl>
    <w:p w:rsidR="007442AA" w:rsidRPr="002152E4" w:rsidRDefault="007442AA" w:rsidP="007442AA">
      <w:pPr>
        <w:spacing w:line="360" w:lineRule="auto"/>
        <w:ind w:firstLine="810"/>
        <w:jc w:val="both"/>
        <w:rPr>
          <w:lang w:val="ro-RO"/>
        </w:rPr>
      </w:pPr>
    </w:p>
    <w:p w:rsidR="007442AA" w:rsidRPr="002152E4" w:rsidRDefault="007442AA" w:rsidP="007442AA">
      <w:pPr>
        <w:jc w:val="both"/>
        <w:rPr>
          <w:lang w:val="ro-RO"/>
        </w:rPr>
      </w:pPr>
      <w:r w:rsidRPr="002152E4">
        <w:rPr>
          <w:lang w:val="ro-RO"/>
        </w:rPr>
        <w:t>*Datele din perioada 2007- 2013 se referă la cauzele soluționate în temeiul art. 18¹ din vechiul Cod penal.</w:t>
      </w:r>
    </w:p>
    <w:p w:rsidR="007442AA" w:rsidRPr="002152E4" w:rsidRDefault="007442AA" w:rsidP="007442AA">
      <w:pPr>
        <w:jc w:val="both"/>
        <w:rPr>
          <w:lang w:val="ro-RO"/>
        </w:rPr>
      </w:pPr>
      <w:r w:rsidRPr="002152E4">
        <w:rPr>
          <w:lang w:val="ro-RO"/>
        </w:rPr>
        <w:t xml:space="preserve">** Datele din perioada 2007- 2013 se referă la cauzele soluționate prin alte soluții de netrimitere </w:t>
      </w:r>
      <w:r w:rsidRPr="002152E4">
        <w:rPr>
          <w:rFonts w:cs="Franklin Gothic Book"/>
          <w:lang w:val="ro-RO"/>
        </w:rPr>
        <w:t>î</w:t>
      </w:r>
      <w:r w:rsidRPr="002152E4">
        <w:rPr>
          <w:lang w:val="ro-RO"/>
        </w:rPr>
        <w:t>n judecat</w:t>
      </w:r>
      <w:r w:rsidRPr="002152E4">
        <w:rPr>
          <w:rFonts w:cs="Franklin Gothic Book"/>
          <w:lang w:val="ro-RO"/>
        </w:rPr>
        <w:t>ă</w:t>
      </w:r>
      <w:r w:rsidRPr="002152E4">
        <w:rPr>
          <w:lang w:val="ro-RO"/>
        </w:rPr>
        <w:t xml:space="preserve"> în afară de cele în temeiul art. 18¹ din vechiul Cod penal.</w:t>
      </w:r>
    </w:p>
    <w:p w:rsidR="007442AA" w:rsidRPr="002152E4" w:rsidRDefault="007442AA" w:rsidP="007442AA">
      <w:pPr>
        <w:rPr>
          <w:lang w:val="ro-RO"/>
        </w:rPr>
      </w:pPr>
    </w:p>
    <w:p w:rsidR="007442AA" w:rsidRPr="002152E4" w:rsidRDefault="007442AA" w:rsidP="007442AA">
      <w:pPr>
        <w:spacing w:line="360" w:lineRule="auto"/>
        <w:ind w:firstLine="810"/>
        <w:jc w:val="both"/>
        <w:rPr>
          <w:lang w:val="ro-RO"/>
        </w:rPr>
      </w:pPr>
      <w:r w:rsidRPr="002152E4">
        <w:rPr>
          <w:lang w:val="ro-RO"/>
        </w:rPr>
        <w:t>Situaţia plângerilor împotriva măsurilor procurorului de netrimitere în judecată cu raportare la totalul cauzelor soluţionate la parchete prin soluţie de netrimitere în judecată se relevă conform tabelului:</w:t>
      </w:r>
    </w:p>
    <w:tbl>
      <w:tblPr>
        <w:tblW w:w="9332" w:type="dxa"/>
        <w:jc w:val="center"/>
        <w:tblLook w:val="04A0" w:firstRow="1" w:lastRow="0" w:firstColumn="1" w:lastColumn="0" w:noHBand="0" w:noVBand="1"/>
      </w:tblPr>
      <w:tblGrid>
        <w:gridCol w:w="960"/>
        <w:gridCol w:w="1711"/>
        <w:gridCol w:w="2036"/>
        <w:gridCol w:w="1389"/>
        <w:gridCol w:w="1800"/>
        <w:gridCol w:w="1436"/>
      </w:tblGrid>
      <w:tr w:rsidR="007442AA" w:rsidRPr="002152E4" w:rsidTr="007442AA">
        <w:trPr>
          <w:trHeight w:val="1560"/>
          <w:jc w:val="center"/>
        </w:trPr>
        <w:tc>
          <w:tcPr>
            <w:tcW w:w="960" w:type="dxa"/>
            <w:tcBorders>
              <w:top w:val="single" w:sz="8" w:space="0" w:color="auto"/>
              <w:left w:val="single" w:sz="8" w:space="0" w:color="auto"/>
              <w:bottom w:val="single" w:sz="4" w:space="0" w:color="auto"/>
              <w:right w:val="single" w:sz="4" w:space="0" w:color="auto"/>
            </w:tcBorders>
            <w:shd w:val="clear" w:color="auto" w:fill="BFBFBF"/>
            <w:noWrap/>
            <w:vAlign w:val="center"/>
          </w:tcPr>
          <w:p w:rsidR="007442AA" w:rsidRPr="002152E4" w:rsidRDefault="007442AA" w:rsidP="007442AA">
            <w:pPr>
              <w:jc w:val="center"/>
              <w:rPr>
                <w:b/>
                <w:lang w:val="ro-RO"/>
              </w:rPr>
            </w:pPr>
            <w:r w:rsidRPr="002152E4">
              <w:rPr>
                <w:b/>
                <w:lang w:val="ro-RO"/>
              </w:rPr>
              <w:t>Anul</w:t>
            </w:r>
          </w:p>
        </w:tc>
        <w:tc>
          <w:tcPr>
            <w:tcW w:w="1711" w:type="dxa"/>
            <w:tcBorders>
              <w:top w:val="single" w:sz="8" w:space="0" w:color="auto"/>
              <w:left w:val="nil"/>
              <w:bottom w:val="single" w:sz="4" w:space="0" w:color="auto"/>
              <w:right w:val="single" w:sz="4" w:space="0" w:color="auto"/>
            </w:tcBorders>
            <w:shd w:val="clear" w:color="auto" w:fill="BFBFBF"/>
            <w:vAlign w:val="center"/>
          </w:tcPr>
          <w:p w:rsidR="007442AA" w:rsidRPr="002152E4" w:rsidRDefault="007442AA" w:rsidP="007442AA">
            <w:pPr>
              <w:jc w:val="center"/>
              <w:rPr>
                <w:b/>
                <w:lang w:val="ro-RO"/>
              </w:rPr>
            </w:pPr>
            <w:r w:rsidRPr="002152E4">
              <w:rPr>
                <w:b/>
                <w:lang w:val="ro-RO"/>
              </w:rPr>
              <w:t>Total nr. cauze solutionate prin netrimitere in judecata</w:t>
            </w:r>
          </w:p>
        </w:tc>
        <w:tc>
          <w:tcPr>
            <w:tcW w:w="2036" w:type="dxa"/>
            <w:tcBorders>
              <w:top w:val="single" w:sz="8" w:space="0" w:color="auto"/>
              <w:left w:val="nil"/>
              <w:bottom w:val="single" w:sz="4" w:space="0" w:color="auto"/>
              <w:right w:val="single" w:sz="4" w:space="0" w:color="auto"/>
            </w:tcBorders>
            <w:shd w:val="clear" w:color="auto" w:fill="BFBFBF"/>
            <w:vAlign w:val="center"/>
          </w:tcPr>
          <w:p w:rsidR="007442AA" w:rsidRPr="002152E4" w:rsidRDefault="007442AA" w:rsidP="007442AA">
            <w:pPr>
              <w:jc w:val="center"/>
              <w:rPr>
                <w:b/>
                <w:lang w:val="ro-RO"/>
              </w:rPr>
            </w:pPr>
            <w:r w:rsidRPr="002152E4">
              <w:rPr>
                <w:b/>
                <w:lang w:val="ro-RO"/>
              </w:rPr>
              <w:t>Volum plângeri împotriva măsurilor procurorului de netrimitere in judecata art 340 NCpp*</w:t>
            </w:r>
          </w:p>
        </w:tc>
        <w:tc>
          <w:tcPr>
            <w:tcW w:w="1389" w:type="dxa"/>
            <w:tcBorders>
              <w:top w:val="single" w:sz="8" w:space="0" w:color="auto"/>
              <w:left w:val="nil"/>
              <w:bottom w:val="single" w:sz="4" w:space="0" w:color="auto"/>
              <w:right w:val="single" w:sz="4" w:space="0" w:color="auto"/>
            </w:tcBorders>
            <w:shd w:val="clear" w:color="auto" w:fill="BFBFBF"/>
            <w:vAlign w:val="center"/>
          </w:tcPr>
          <w:p w:rsidR="007442AA" w:rsidRPr="002152E4" w:rsidRDefault="007442AA" w:rsidP="007442AA">
            <w:pPr>
              <w:jc w:val="center"/>
              <w:rPr>
                <w:b/>
                <w:lang w:val="ro-RO"/>
              </w:rPr>
            </w:pPr>
            <w:r w:rsidRPr="002152E4">
              <w:rPr>
                <w:b/>
                <w:lang w:val="ro-RO"/>
              </w:rPr>
              <w:t>Pondere</w:t>
            </w:r>
            <w:r w:rsidRPr="002152E4">
              <w:rPr>
                <w:b/>
                <w:lang w:val="ro-RO"/>
              </w:rPr>
              <w:br/>
              <w:t xml:space="preserve"> volum</w:t>
            </w:r>
          </w:p>
          <w:p w:rsidR="007442AA" w:rsidRPr="002152E4" w:rsidRDefault="007442AA" w:rsidP="007442AA">
            <w:pPr>
              <w:jc w:val="center"/>
              <w:rPr>
                <w:b/>
                <w:lang w:val="ro-RO"/>
              </w:rPr>
            </w:pPr>
            <w:r w:rsidRPr="002152E4">
              <w:rPr>
                <w:b/>
                <w:lang w:val="ro-RO"/>
              </w:rPr>
              <w:t>plangeri</w:t>
            </w:r>
          </w:p>
        </w:tc>
        <w:tc>
          <w:tcPr>
            <w:tcW w:w="1800" w:type="dxa"/>
            <w:tcBorders>
              <w:top w:val="single" w:sz="8" w:space="0" w:color="auto"/>
              <w:left w:val="single" w:sz="4" w:space="0" w:color="auto"/>
              <w:bottom w:val="single" w:sz="4" w:space="0" w:color="auto"/>
              <w:right w:val="nil"/>
            </w:tcBorders>
            <w:shd w:val="clear" w:color="auto" w:fill="BFBFBF"/>
            <w:vAlign w:val="center"/>
          </w:tcPr>
          <w:p w:rsidR="007442AA" w:rsidRPr="002152E4" w:rsidRDefault="007442AA" w:rsidP="007442AA">
            <w:pPr>
              <w:jc w:val="center"/>
              <w:rPr>
                <w:b/>
                <w:lang w:val="ro-RO"/>
              </w:rPr>
            </w:pPr>
            <w:r w:rsidRPr="002152E4">
              <w:rPr>
                <w:b/>
                <w:lang w:val="ro-RO"/>
              </w:rPr>
              <w:t>Total</w:t>
            </w:r>
            <w:r w:rsidRPr="002152E4">
              <w:rPr>
                <w:b/>
                <w:lang w:val="ro-RO"/>
              </w:rPr>
              <w:br/>
              <w:t xml:space="preserve"> plangeri</w:t>
            </w:r>
          </w:p>
          <w:p w:rsidR="007442AA" w:rsidRPr="002152E4" w:rsidRDefault="007442AA" w:rsidP="007442AA">
            <w:pPr>
              <w:jc w:val="center"/>
              <w:rPr>
                <w:b/>
                <w:lang w:val="ro-RO"/>
              </w:rPr>
            </w:pPr>
            <w:r w:rsidRPr="002152E4">
              <w:rPr>
                <w:b/>
                <w:lang w:val="ro-RO"/>
              </w:rPr>
              <w:t>solutionate</w:t>
            </w:r>
          </w:p>
          <w:p w:rsidR="007442AA" w:rsidRPr="002152E4" w:rsidRDefault="007442AA" w:rsidP="007442AA">
            <w:pPr>
              <w:jc w:val="center"/>
              <w:rPr>
                <w:b/>
                <w:lang w:val="ro-RO"/>
              </w:rPr>
            </w:pPr>
            <w:r w:rsidRPr="002152E4">
              <w:rPr>
                <w:b/>
                <w:lang w:val="ro-RO"/>
              </w:rPr>
              <w:t xml:space="preserve">împotriva măsurilor procurorului de netrimitere in judecata art 340 NCpp* </w:t>
            </w:r>
          </w:p>
        </w:tc>
        <w:tc>
          <w:tcPr>
            <w:tcW w:w="1436" w:type="dxa"/>
            <w:tcBorders>
              <w:top w:val="single" w:sz="8" w:space="0" w:color="auto"/>
              <w:left w:val="single" w:sz="4" w:space="0" w:color="auto"/>
              <w:bottom w:val="single" w:sz="4" w:space="0" w:color="auto"/>
              <w:right w:val="single" w:sz="8" w:space="0" w:color="auto"/>
            </w:tcBorders>
            <w:shd w:val="clear" w:color="auto" w:fill="BFBFBF"/>
            <w:vAlign w:val="center"/>
          </w:tcPr>
          <w:p w:rsidR="007442AA" w:rsidRPr="002152E4" w:rsidRDefault="007442AA" w:rsidP="007442AA">
            <w:pPr>
              <w:jc w:val="center"/>
              <w:rPr>
                <w:b/>
                <w:lang w:val="ro-RO"/>
              </w:rPr>
            </w:pPr>
            <w:r w:rsidRPr="002152E4">
              <w:rPr>
                <w:b/>
                <w:lang w:val="ro-RO"/>
              </w:rPr>
              <w:t>Pondere plangeri</w:t>
            </w:r>
            <w:r w:rsidRPr="002152E4">
              <w:rPr>
                <w:b/>
                <w:lang w:val="ro-RO"/>
              </w:rPr>
              <w:br/>
              <w:t xml:space="preserve"> solutionate</w:t>
            </w:r>
          </w:p>
        </w:tc>
      </w:tr>
      <w:tr w:rsidR="007442AA" w:rsidRPr="002152E4" w:rsidTr="007442AA">
        <w:trPr>
          <w:trHeight w:val="40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2008</w:t>
            </w:r>
          </w:p>
        </w:tc>
        <w:tc>
          <w:tcPr>
            <w:tcW w:w="1711"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458238</w:t>
            </w:r>
          </w:p>
        </w:tc>
        <w:tc>
          <w:tcPr>
            <w:tcW w:w="203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18437</w:t>
            </w:r>
          </w:p>
        </w:tc>
        <w:tc>
          <w:tcPr>
            <w:tcW w:w="1389"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4.0%</w:t>
            </w:r>
          </w:p>
        </w:tc>
        <w:tc>
          <w:tcPr>
            <w:tcW w:w="1800" w:type="dxa"/>
            <w:tcBorders>
              <w:top w:val="nil"/>
              <w:left w:val="single" w:sz="4" w:space="0" w:color="auto"/>
              <w:bottom w:val="single" w:sz="4" w:space="0" w:color="auto"/>
              <w:right w:val="nil"/>
            </w:tcBorders>
            <w:shd w:val="clear" w:color="auto" w:fill="auto"/>
            <w:noWrap/>
            <w:vAlign w:val="center"/>
          </w:tcPr>
          <w:p w:rsidR="007442AA" w:rsidRPr="002152E4" w:rsidRDefault="007442AA" w:rsidP="007442AA">
            <w:pPr>
              <w:jc w:val="center"/>
              <w:rPr>
                <w:lang w:val="ro-RO"/>
              </w:rPr>
            </w:pPr>
            <w:r w:rsidRPr="002152E4">
              <w:rPr>
                <w:lang w:val="ro-RO"/>
              </w:rPr>
              <w:t>15176</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7442AA" w:rsidRPr="002152E4" w:rsidRDefault="007442AA" w:rsidP="007442AA">
            <w:pPr>
              <w:jc w:val="center"/>
              <w:rPr>
                <w:lang w:val="ro-RO"/>
              </w:rPr>
            </w:pPr>
            <w:r w:rsidRPr="002152E4">
              <w:rPr>
                <w:lang w:val="ro-RO"/>
              </w:rPr>
              <w:t>3.3%</w:t>
            </w:r>
          </w:p>
        </w:tc>
      </w:tr>
      <w:tr w:rsidR="007442AA" w:rsidRPr="002152E4" w:rsidTr="007442AA">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2009</w:t>
            </w:r>
          </w:p>
        </w:tc>
        <w:tc>
          <w:tcPr>
            <w:tcW w:w="1711"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459010</w:t>
            </w:r>
          </w:p>
        </w:tc>
        <w:tc>
          <w:tcPr>
            <w:tcW w:w="203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19417</w:t>
            </w:r>
          </w:p>
        </w:tc>
        <w:tc>
          <w:tcPr>
            <w:tcW w:w="1389"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4.2%</w:t>
            </w:r>
          </w:p>
        </w:tc>
        <w:tc>
          <w:tcPr>
            <w:tcW w:w="1800" w:type="dxa"/>
            <w:tcBorders>
              <w:top w:val="nil"/>
              <w:left w:val="single" w:sz="4" w:space="0" w:color="auto"/>
              <w:bottom w:val="single" w:sz="4" w:space="0" w:color="auto"/>
              <w:right w:val="nil"/>
            </w:tcBorders>
            <w:shd w:val="clear" w:color="auto" w:fill="auto"/>
            <w:noWrap/>
            <w:vAlign w:val="center"/>
          </w:tcPr>
          <w:p w:rsidR="007442AA" w:rsidRPr="002152E4" w:rsidRDefault="007442AA" w:rsidP="007442AA">
            <w:pPr>
              <w:jc w:val="center"/>
              <w:rPr>
                <w:lang w:val="ro-RO"/>
              </w:rPr>
            </w:pPr>
            <w:r w:rsidRPr="002152E4">
              <w:rPr>
                <w:lang w:val="ro-RO"/>
              </w:rPr>
              <w:t>15116</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7442AA" w:rsidRPr="002152E4" w:rsidRDefault="007442AA" w:rsidP="007442AA">
            <w:pPr>
              <w:jc w:val="center"/>
              <w:rPr>
                <w:lang w:val="ro-RO"/>
              </w:rPr>
            </w:pPr>
            <w:r w:rsidRPr="002152E4">
              <w:rPr>
                <w:lang w:val="ro-RO"/>
              </w:rPr>
              <w:t>3.3%</w:t>
            </w:r>
          </w:p>
        </w:tc>
      </w:tr>
      <w:tr w:rsidR="007442AA" w:rsidRPr="002152E4" w:rsidTr="007442AA">
        <w:trPr>
          <w:trHeight w:val="25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2010</w:t>
            </w:r>
          </w:p>
        </w:tc>
        <w:tc>
          <w:tcPr>
            <w:tcW w:w="1711"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476285</w:t>
            </w:r>
          </w:p>
        </w:tc>
        <w:tc>
          <w:tcPr>
            <w:tcW w:w="203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20652</w:t>
            </w:r>
          </w:p>
        </w:tc>
        <w:tc>
          <w:tcPr>
            <w:tcW w:w="1389"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4.3%</w:t>
            </w:r>
          </w:p>
        </w:tc>
        <w:tc>
          <w:tcPr>
            <w:tcW w:w="1800" w:type="dxa"/>
            <w:tcBorders>
              <w:top w:val="nil"/>
              <w:left w:val="single" w:sz="4" w:space="0" w:color="auto"/>
              <w:bottom w:val="single" w:sz="4" w:space="0" w:color="auto"/>
              <w:right w:val="nil"/>
            </w:tcBorders>
            <w:shd w:val="clear" w:color="auto" w:fill="auto"/>
            <w:noWrap/>
            <w:vAlign w:val="center"/>
          </w:tcPr>
          <w:p w:rsidR="007442AA" w:rsidRPr="002152E4" w:rsidRDefault="007442AA" w:rsidP="007442AA">
            <w:pPr>
              <w:jc w:val="center"/>
              <w:rPr>
                <w:lang w:val="ro-RO"/>
              </w:rPr>
            </w:pPr>
            <w:r w:rsidRPr="002152E4">
              <w:rPr>
                <w:lang w:val="ro-RO"/>
              </w:rPr>
              <w:t>16593</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7442AA" w:rsidRPr="002152E4" w:rsidRDefault="007442AA" w:rsidP="007442AA">
            <w:pPr>
              <w:jc w:val="center"/>
              <w:rPr>
                <w:lang w:val="ro-RO"/>
              </w:rPr>
            </w:pPr>
            <w:r w:rsidRPr="002152E4">
              <w:rPr>
                <w:lang w:val="ro-RO"/>
              </w:rPr>
              <w:t>3.5%</w:t>
            </w:r>
          </w:p>
        </w:tc>
      </w:tr>
      <w:tr w:rsidR="007442AA" w:rsidRPr="002152E4" w:rsidTr="007442AA">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2011</w:t>
            </w:r>
          </w:p>
        </w:tc>
        <w:tc>
          <w:tcPr>
            <w:tcW w:w="1711"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535496</w:t>
            </w:r>
          </w:p>
        </w:tc>
        <w:tc>
          <w:tcPr>
            <w:tcW w:w="203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21345</w:t>
            </w:r>
          </w:p>
        </w:tc>
        <w:tc>
          <w:tcPr>
            <w:tcW w:w="1389"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4.0%</w:t>
            </w:r>
          </w:p>
        </w:tc>
        <w:tc>
          <w:tcPr>
            <w:tcW w:w="1800" w:type="dxa"/>
            <w:tcBorders>
              <w:top w:val="nil"/>
              <w:left w:val="single" w:sz="4" w:space="0" w:color="auto"/>
              <w:bottom w:val="single" w:sz="4" w:space="0" w:color="auto"/>
              <w:right w:val="nil"/>
            </w:tcBorders>
            <w:shd w:val="clear" w:color="auto" w:fill="auto"/>
            <w:noWrap/>
            <w:vAlign w:val="center"/>
          </w:tcPr>
          <w:p w:rsidR="007442AA" w:rsidRPr="002152E4" w:rsidRDefault="007442AA" w:rsidP="007442AA">
            <w:pPr>
              <w:jc w:val="center"/>
              <w:rPr>
                <w:lang w:val="ro-RO"/>
              </w:rPr>
            </w:pPr>
            <w:r w:rsidRPr="002152E4">
              <w:rPr>
                <w:lang w:val="ro-RO"/>
              </w:rPr>
              <w:t>17422</w:t>
            </w:r>
          </w:p>
        </w:tc>
        <w:tc>
          <w:tcPr>
            <w:tcW w:w="1436" w:type="dxa"/>
            <w:tcBorders>
              <w:top w:val="nil"/>
              <w:left w:val="single" w:sz="4" w:space="0" w:color="auto"/>
              <w:bottom w:val="single" w:sz="4" w:space="0" w:color="auto"/>
              <w:right w:val="single" w:sz="8" w:space="0" w:color="auto"/>
            </w:tcBorders>
            <w:shd w:val="clear" w:color="auto" w:fill="auto"/>
            <w:noWrap/>
            <w:vAlign w:val="center"/>
          </w:tcPr>
          <w:p w:rsidR="007442AA" w:rsidRPr="002152E4" w:rsidRDefault="007442AA" w:rsidP="007442AA">
            <w:pPr>
              <w:jc w:val="center"/>
              <w:rPr>
                <w:lang w:val="ro-RO"/>
              </w:rPr>
            </w:pPr>
            <w:r w:rsidRPr="002152E4">
              <w:rPr>
                <w:lang w:val="ro-RO"/>
              </w:rPr>
              <w:t>3.3%</w:t>
            </w:r>
          </w:p>
        </w:tc>
      </w:tr>
      <w:tr w:rsidR="007442AA" w:rsidRPr="002152E4" w:rsidTr="007442AA">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2012</w:t>
            </w:r>
          </w:p>
        </w:tc>
        <w:tc>
          <w:tcPr>
            <w:tcW w:w="1711" w:type="dxa"/>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548661</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20436</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3.7%</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7442AA" w:rsidRPr="002152E4" w:rsidRDefault="007442AA" w:rsidP="007442AA">
            <w:pPr>
              <w:jc w:val="center"/>
              <w:rPr>
                <w:lang w:val="ro-RO"/>
              </w:rPr>
            </w:pPr>
            <w:r w:rsidRPr="002152E4">
              <w:rPr>
                <w:lang w:val="ro-RO"/>
              </w:rPr>
              <w:t>16720</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3.0%</w:t>
            </w:r>
          </w:p>
        </w:tc>
      </w:tr>
      <w:tr w:rsidR="007442AA" w:rsidRPr="002152E4" w:rsidTr="007442AA">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2013</w:t>
            </w:r>
          </w:p>
        </w:tc>
        <w:tc>
          <w:tcPr>
            <w:tcW w:w="1711" w:type="dxa"/>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588687</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17982</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3.0%</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7442AA" w:rsidRPr="002152E4" w:rsidRDefault="007442AA" w:rsidP="007442AA">
            <w:pPr>
              <w:jc w:val="center"/>
              <w:rPr>
                <w:lang w:val="ro-RO"/>
              </w:rPr>
            </w:pPr>
            <w:r w:rsidRPr="002152E4">
              <w:rPr>
                <w:lang w:val="ro-RO"/>
              </w:rPr>
              <w:t>16159</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2.7%</w:t>
            </w:r>
          </w:p>
        </w:tc>
      </w:tr>
      <w:tr w:rsidR="007442AA" w:rsidRPr="002152E4" w:rsidTr="007442AA">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2014</w:t>
            </w:r>
          </w:p>
        </w:tc>
        <w:tc>
          <w:tcPr>
            <w:tcW w:w="1711" w:type="dxa"/>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637578</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15546</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2,4%</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7442AA" w:rsidRPr="002152E4" w:rsidRDefault="007442AA" w:rsidP="007442AA">
            <w:pPr>
              <w:jc w:val="center"/>
              <w:rPr>
                <w:lang w:val="ro-RO"/>
              </w:rPr>
            </w:pPr>
            <w:r w:rsidRPr="002152E4">
              <w:rPr>
                <w:lang w:val="ro-RO"/>
              </w:rPr>
              <w:t>14940</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2,3%</w:t>
            </w:r>
          </w:p>
        </w:tc>
      </w:tr>
      <w:tr w:rsidR="007442AA" w:rsidRPr="002152E4" w:rsidTr="007442AA">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2015</w:t>
            </w:r>
          </w:p>
        </w:tc>
        <w:tc>
          <w:tcPr>
            <w:tcW w:w="1711" w:type="dxa"/>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rFonts w:eastAsia="Arial Narrow" w:cs="Arial Narrow"/>
                <w:lang w:val="ro-RO"/>
              </w:rPr>
              <w:t>601642</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14402</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2,3%</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7442AA" w:rsidRPr="002152E4" w:rsidRDefault="007442AA" w:rsidP="007442AA">
            <w:pPr>
              <w:jc w:val="center"/>
              <w:rPr>
                <w:lang w:val="ro-RO"/>
              </w:rPr>
            </w:pPr>
            <w:r w:rsidRPr="002152E4">
              <w:rPr>
                <w:lang w:val="ro-RO"/>
              </w:rPr>
              <w:t>13027</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2,1%</w:t>
            </w:r>
          </w:p>
        </w:tc>
      </w:tr>
      <w:tr w:rsidR="007442AA" w:rsidRPr="002152E4" w:rsidTr="007442AA">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b/>
                <w:lang w:val="ro-RO"/>
              </w:rPr>
            </w:pPr>
            <w:r w:rsidRPr="002152E4">
              <w:rPr>
                <w:b/>
                <w:lang w:val="ro-RO"/>
              </w:rPr>
              <w:t>2016</w:t>
            </w:r>
          </w:p>
        </w:tc>
        <w:tc>
          <w:tcPr>
            <w:tcW w:w="1711" w:type="dxa"/>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jc w:val="center"/>
              <w:rPr>
                <w:rFonts w:eastAsia="Arial Narrow" w:cs="Arial Narrow"/>
                <w:b/>
                <w:lang w:val="ro-RO"/>
              </w:rPr>
            </w:pPr>
            <w:r w:rsidRPr="002152E4">
              <w:rPr>
                <w:b/>
                <w:lang w:val="ro-RO"/>
              </w:rPr>
              <w:t>521991</w:t>
            </w:r>
          </w:p>
        </w:tc>
        <w:tc>
          <w:tcPr>
            <w:tcW w:w="2036"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b/>
                <w:lang w:val="ro-RO"/>
              </w:rPr>
            </w:pPr>
            <w:r w:rsidRPr="002152E4">
              <w:rPr>
                <w:b/>
                <w:lang w:val="ro-RO"/>
              </w:rPr>
              <w:t>13670</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b/>
                <w:lang w:val="ro-RO"/>
              </w:rPr>
            </w:pPr>
            <w:r w:rsidRPr="002152E4">
              <w:rPr>
                <w:b/>
                <w:lang w:val="ro-RO"/>
              </w:rPr>
              <w:t>2,6%</w:t>
            </w:r>
          </w:p>
        </w:tc>
        <w:tc>
          <w:tcPr>
            <w:tcW w:w="1800" w:type="dxa"/>
            <w:tcBorders>
              <w:top w:val="single" w:sz="4" w:space="0" w:color="auto"/>
              <w:left w:val="single" w:sz="4" w:space="0" w:color="auto"/>
              <w:bottom w:val="single" w:sz="4" w:space="0" w:color="auto"/>
              <w:right w:val="nil"/>
            </w:tcBorders>
            <w:shd w:val="clear" w:color="auto" w:fill="auto"/>
            <w:noWrap/>
            <w:vAlign w:val="center"/>
          </w:tcPr>
          <w:p w:rsidR="007442AA" w:rsidRPr="002152E4" w:rsidRDefault="007442AA" w:rsidP="007442AA">
            <w:pPr>
              <w:jc w:val="center"/>
              <w:rPr>
                <w:b/>
                <w:lang w:val="ro-RO"/>
              </w:rPr>
            </w:pPr>
            <w:r w:rsidRPr="002152E4">
              <w:rPr>
                <w:b/>
                <w:lang w:val="ro-RO"/>
              </w:rPr>
              <w:t>12507</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b/>
                <w:lang w:val="ro-RO"/>
              </w:rPr>
            </w:pPr>
            <w:r w:rsidRPr="002152E4">
              <w:rPr>
                <w:b/>
                <w:lang w:val="ro-RO"/>
              </w:rPr>
              <w:t>2,3%</w:t>
            </w:r>
          </w:p>
        </w:tc>
      </w:tr>
    </w:tbl>
    <w:p w:rsidR="007442AA" w:rsidRPr="002152E4" w:rsidRDefault="007442AA" w:rsidP="007442AA">
      <w:pPr>
        <w:spacing w:before="120" w:line="360" w:lineRule="auto"/>
        <w:ind w:firstLine="684"/>
        <w:jc w:val="both"/>
        <w:rPr>
          <w:lang w:val="ro-RO"/>
        </w:rPr>
      </w:pPr>
      <w:r w:rsidRPr="002152E4">
        <w:rPr>
          <w:b/>
          <w:lang w:val="ro-RO"/>
        </w:rPr>
        <w:lastRenderedPageBreak/>
        <w:t>*</w:t>
      </w:r>
      <w:r w:rsidRPr="002152E4">
        <w:rPr>
          <w:lang w:val="ro-RO"/>
        </w:rPr>
        <w:t>Fostul articol 278</w:t>
      </w:r>
      <w:r w:rsidRPr="002152E4">
        <w:rPr>
          <w:vertAlign w:val="superscript"/>
          <w:lang w:val="ro-RO"/>
        </w:rPr>
        <w:t>1</w:t>
      </w:r>
      <w:r w:rsidRPr="002152E4">
        <w:rPr>
          <w:lang w:val="ro-RO"/>
        </w:rPr>
        <w:t xml:space="preserve"> vechiul</w:t>
      </w:r>
      <w:r w:rsidRPr="002152E4">
        <w:rPr>
          <w:vertAlign w:val="superscript"/>
          <w:lang w:val="ro-RO"/>
        </w:rPr>
        <w:t xml:space="preserve">  </w:t>
      </w:r>
      <w:r w:rsidRPr="002152E4">
        <w:rPr>
          <w:lang w:val="ro-RO"/>
        </w:rPr>
        <w:t>CPP</w:t>
      </w:r>
    </w:p>
    <w:p w:rsidR="007442AA" w:rsidRPr="002152E4" w:rsidRDefault="00325390" w:rsidP="00325390">
      <w:pPr>
        <w:pStyle w:val="Heading2"/>
      </w:pPr>
      <w:bookmarkStart w:id="140" w:name="_Toc475363429"/>
      <w:bookmarkStart w:id="141" w:name="_Toc486576552"/>
      <w:r w:rsidRPr="002152E4">
        <w:t>III.7.</w:t>
      </w:r>
      <w:r w:rsidR="007442AA" w:rsidRPr="002152E4">
        <w:t xml:space="preserve"> Date statistice relevante privind starea </w:t>
      </w:r>
      <w:r w:rsidR="002152E4" w:rsidRPr="002152E4">
        <w:t>infracțională</w:t>
      </w:r>
      <w:r w:rsidR="007442AA" w:rsidRPr="002152E4">
        <w:t xml:space="preserve"> prin prisma activităţii Parchetelor</w:t>
      </w:r>
      <w:bookmarkEnd w:id="140"/>
      <w:bookmarkEnd w:id="141"/>
    </w:p>
    <w:p w:rsidR="007442AA" w:rsidRPr="002152E4" w:rsidRDefault="007442AA" w:rsidP="00D5288F">
      <w:pPr>
        <w:ind w:firstLine="686"/>
        <w:jc w:val="both"/>
        <w:rPr>
          <w:lang w:val="ro-RO"/>
        </w:rPr>
      </w:pPr>
      <w:r w:rsidRPr="002152E4">
        <w:rPr>
          <w:lang w:val="ro-RO"/>
        </w:rPr>
        <w:t>În anul 2016 au fost trimişi în judecată 63772 inculpaţi (persoane fizice), cu 8,2% mai mult decât în anul 2015, ceea ce înseamnă o medie de 322,5 de inculpaţi (persoane fizice) trimişi în judecată la 100.000 locuitori.</w:t>
      </w:r>
    </w:p>
    <w:p w:rsidR="007442AA" w:rsidRPr="002152E4" w:rsidRDefault="007442AA" w:rsidP="00D5288F">
      <w:pPr>
        <w:ind w:firstLine="686"/>
        <w:jc w:val="both"/>
        <w:rPr>
          <w:lang w:val="ro-RO"/>
        </w:rPr>
      </w:pPr>
      <w:r w:rsidRPr="002152E4">
        <w:rPr>
          <w:lang w:val="ro-RO"/>
        </w:rPr>
        <w:t>Pe categorii de infracţiuni, tabelele de mai jos evidenţiază dinamicile anuale ale numărului de inculpaţi trimişi în judecată:</w:t>
      </w:r>
    </w:p>
    <w:p w:rsidR="00D5288F" w:rsidRPr="002152E4" w:rsidRDefault="00D5288F" w:rsidP="007442AA">
      <w:pPr>
        <w:rPr>
          <w:lang w:val="ro-RO"/>
        </w:rPr>
      </w:pPr>
    </w:p>
    <w:p w:rsidR="007442AA" w:rsidRPr="002152E4" w:rsidRDefault="007442AA" w:rsidP="007442AA">
      <w:pPr>
        <w:rPr>
          <w:b/>
          <w:lang w:val="ro-RO"/>
        </w:rPr>
      </w:pPr>
      <w:r w:rsidRPr="002152E4">
        <w:rPr>
          <w:b/>
          <w:lang w:val="ro-RO"/>
        </w:rPr>
        <w:t xml:space="preserve">1. INFRACŢIUNI CONTRA PERSOANEI (ART. 188 – </w:t>
      </w:r>
      <w:smartTag w:uri="urn:schemas-microsoft-com:office:smarttags" w:element="metricconverter">
        <w:smartTagPr>
          <w:attr w:name="ProductID" w:val="227 C"/>
        </w:smartTagPr>
        <w:r w:rsidRPr="002152E4">
          <w:rPr>
            <w:b/>
            <w:lang w:val="ro-RO"/>
          </w:rPr>
          <w:t>227 C</w:t>
        </w:r>
      </w:smartTag>
      <w:r w:rsidRPr="002152E4">
        <w:rPr>
          <w:b/>
          <w:lang w:val="ro-RO"/>
        </w:rPr>
        <w:t>.P.)</w:t>
      </w:r>
    </w:p>
    <w:tbl>
      <w:tblPr>
        <w:tblW w:w="10031"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076"/>
        <w:gridCol w:w="1418"/>
        <w:gridCol w:w="1718"/>
        <w:gridCol w:w="858"/>
        <w:gridCol w:w="6"/>
        <w:gridCol w:w="1269"/>
        <w:gridCol w:w="1985"/>
        <w:gridCol w:w="1701"/>
      </w:tblGrid>
      <w:tr w:rsidR="007442AA" w:rsidRPr="00631BB4" w:rsidTr="00325390">
        <w:trPr>
          <w:trHeight w:val="333"/>
        </w:trPr>
        <w:tc>
          <w:tcPr>
            <w:tcW w:w="1076" w:type="dxa"/>
            <w:vMerge w:val="restart"/>
            <w:tcBorders>
              <w:top w:val="threeDEmboss" w:sz="6" w:space="0" w:color="00B050"/>
              <w:left w:val="threeDEmboss" w:sz="6" w:space="0" w:color="00B050"/>
              <w:bottom w:val="threeDEmboss" w:sz="6" w:space="0" w:color="00B050"/>
              <w:right w:val="single" w:sz="4" w:space="0" w:color="00B050"/>
            </w:tcBorders>
            <w:shd w:val="clear" w:color="auto" w:fill="FCE0C8"/>
          </w:tcPr>
          <w:p w:rsidR="007442AA" w:rsidRPr="002152E4" w:rsidRDefault="007442AA" w:rsidP="007442AA">
            <w:pPr>
              <w:ind w:left="-18"/>
              <w:jc w:val="center"/>
              <w:rPr>
                <w:b/>
                <w:lang w:val="ro-RO"/>
              </w:rPr>
            </w:pPr>
          </w:p>
          <w:p w:rsidR="007442AA" w:rsidRPr="002152E4" w:rsidRDefault="007442AA" w:rsidP="007442AA">
            <w:pPr>
              <w:jc w:val="center"/>
              <w:rPr>
                <w:b/>
                <w:lang w:val="ro-RO"/>
              </w:rPr>
            </w:pPr>
            <w:r w:rsidRPr="002152E4">
              <w:rPr>
                <w:b/>
                <w:lang w:val="ro-RO"/>
              </w:rPr>
              <w:t xml:space="preserve">ANULI </w:t>
            </w:r>
          </w:p>
        </w:tc>
        <w:tc>
          <w:tcPr>
            <w:tcW w:w="1418" w:type="dxa"/>
            <w:vMerge w:val="restart"/>
            <w:tcBorders>
              <w:top w:val="threeDEmboss" w:sz="6" w:space="0" w:color="00B050"/>
              <w:left w:val="single" w:sz="4" w:space="0" w:color="00B050"/>
              <w:bottom w:val="threeDEmboss" w:sz="6" w:space="0" w:color="00B050"/>
              <w:right w:val="single" w:sz="4" w:space="0" w:color="00B050"/>
            </w:tcBorders>
            <w:shd w:val="clear" w:color="auto" w:fill="FCE0C8"/>
          </w:tcPr>
          <w:p w:rsidR="007442AA" w:rsidRPr="002152E4" w:rsidRDefault="007442AA" w:rsidP="007442AA">
            <w:pPr>
              <w:jc w:val="center"/>
              <w:rPr>
                <w:b/>
                <w:lang w:val="ro-RO"/>
              </w:rPr>
            </w:pPr>
            <w:r w:rsidRPr="002152E4">
              <w:rPr>
                <w:b/>
                <w:lang w:val="ro-RO"/>
              </w:rPr>
              <w:t>TOTAL</w:t>
            </w:r>
          </w:p>
          <w:p w:rsidR="007442AA" w:rsidRPr="002152E4" w:rsidRDefault="007442AA" w:rsidP="007442AA">
            <w:pPr>
              <w:jc w:val="center"/>
              <w:rPr>
                <w:b/>
                <w:lang w:val="ro-RO"/>
              </w:rPr>
            </w:pPr>
            <w:r w:rsidRPr="002152E4">
              <w:rPr>
                <w:b/>
                <w:lang w:val="ro-RO"/>
              </w:rPr>
              <w:t>TRIMIŞI ÎN</w:t>
            </w:r>
          </w:p>
          <w:p w:rsidR="007442AA" w:rsidRPr="002152E4" w:rsidRDefault="007442AA" w:rsidP="007442AA">
            <w:pPr>
              <w:jc w:val="center"/>
              <w:rPr>
                <w:b/>
                <w:lang w:val="ro-RO"/>
              </w:rPr>
            </w:pPr>
            <w:r w:rsidRPr="002152E4">
              <w:rPr>
                <w:b/>
                <w:lang w:val="ro-RO"/>
              </w:rPr>
              <w:t>JUDECATĂ</w:t>
            </w:r>
          </w:p>
        </w:tc>
        <w:tc>
          <w:tcPr>
            <w:tcW w:w="1718" w:type="dxa"/>
            <w:vMerge w:val="restart"/>
            <w:tcBorders>
              <w:top w:val="threeDEmboss" w:sz="6" w:space="0" w:color="00B050"/>
              <w:left w:val="single" w:sz="4" w:space="0" w:color="00B050"/>
              <w:bottom w:val="threeDEmboss" w:sz="6" w:space="0" w:color="00B050"/>
              <w:right w:val="single" w:sz="4" w:space="0" w:color="00B050"/>
            </w:tcBorders>
            <w:shd w:val="clear" w:color="auto" w:fill="FCE0C8"/>
          </w:tcPr>
          <w:p w:rsidR="007442AA" w:rsidRPr="002152E4" w:rsidRDefault="007442AA" w:rsidP="007442AA">
            <w:pPr>
              <w:jc w:val="center"/>
              <w:rPr>
                <w:b/>
                <w:lang w:val="ro-RO"/>
              </w:rPr>
            </w:pPr>
            <w:r w:rsidRPr="002152E4">
              <w:rPr>
                <w:b/>
                <w:lang w:val="ro-RO"/>
              </w:rPr>
              <w:t>pondere în total general inculpați p.f.</w:t>
            </w:r>
          </w:p>
          <w:p w:rsidR="007442AA" w:rsidRPr="002152E4" w:rsidRDefault="007442AA" w:rsidP="007442AA">
            <w:pPr>
              <w:jc w:val="center"/>
              <w:rPr>
                <w:b/>
                <w:lang w:val="ro-RO"/>
              </w:rPr>
            </w:pPr>
            <w:r w:rsidRPr="002152E4">
              <w:rPr>
                <w:b/>
                <w:lang w:val="ro-RO"/>
              </w:rPr>
              <w:t>trimişi în judecată (%)</w:t>
            </w:r>
          </w:p>
        </w:tc>
        <w:tc>
          <w:tcPr>
            <w:tcW w:w="2133" w:type="dxa"/>
            <w:gridSpan w:val="3"/>
            <w:tcBorders>
              <w:top w:val="threeDEmboss" w:sz="6" w:space="0" w:color="00B050"/>
              <w:left w:val="single" w:sz="4" w:space="0" w:color="00B050"/>
              <w:bottom w:val="single" w:sz="2" w:space="0" w:color="00B050"/>
            </w:tcBorders>
            <w:shd w:val="clear" w:color="auto" w:fill="FCE0C8"/>
          </w:tcPr>
          <w:p w:rsidR="007442AA" w:rsidRPr="002152E4" w:rsidRDefault="007442AA" w:rsidP="007442AA">
            <w:pPr>
              <w:jc w:val="center"/>
              <w:rPr>
                <w:b/>
                <w:lang w:val="ro-RO"/>
              </w:rPr>
            </w:pPr>
            <w:r w:rsidRPr="002152E4">
              <w:rPr>
                <w:b/>
                <w:lang w:val="ro-RO"/>
              </w:rPr>
              <w:t xml:space="preserve"> omor  </w:t>
            </w:r>
          </w:p>
          <w:p w:rsidR="007442AA" w:rsidRPr="002152E4" w:rsidRDefault="007442AA" w:rsidP="007442AA">
            <w:pPr>
              <w:jc w:val="center"/>
              <w:rPr>
                <w:b/>
                <w:lang w:val="ro-RO"/>
              </w:rPr>
            </w:pPr>
            <w:r w:rsidRPr="002152E4">
              <w:rPr>
                <w:b/>
                <w:lang w:val="ro-RO"/>
              </w:rPr>
              <w:t xml:space="preserve">(art. 188 – </w:t>
            </w:r>
            <w:smartTag w:uri="urn:schemas-microsoft-com:office:smarttags" w:element="metricconverter">
              <w:smartTagPr>
                <w:attr w:name="ProductID" w:val="189 C"/>
              </w:smartTagPr>
              <w:r w:rsidRPr="002152E4">
                <w:rPr>
                  <w:b/>
                  <w:lang w:val="ro-RO"/>
                </w:rPr>
                <w:t>189 C</w:t>
              </w:r>
            </w:smartTag>
            <w:r w:rsidRPr="002152E4">
              <w:rPr>
                <w:b/>
                <w:lang w:val="ro-RO"/>
              </w:rPr>
              <w:t>.p.)</w:t>
            </w:r>
          </w:p>
        </w:tc>
        <w:tc>
          <w:tcPr>
            <w:tcW w:w="1985" w:type="dxa"/>
            <w:vMerge w:val="restart"/>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accidente </w:t>
            </w:r>
          </w:p>
          <w:p w:rsidR="007442AA" w:rsidRPr="002152E4" w:rsidRDefault="007442AA" w:rsidP="007442AA">
            <w:pPr>
              <w:jc w:val="center"/>
              <w:rPr>
                <w:b/>
                <w:lang w:val="ro-RO"/>
              </w:rPr>
            </w:pPr>
            <w:r w:rsidRPr="002152E4">
              <w:rPr>
                <w:b/>
                <w:lang w:val="ro-RO"/>
              </w:rPr>
              <w:t xml:space="preserve">mortale </w:t>
            </w:r>
          </w:p>
          <w:p w:rsidR="007442AA" w:rsidRPr="002152E4" w:rsidRDefault="007442AA" w:rsidP="007442AA">
            <w:pPr>
              <w:jc w:val="center"/>
              <w:rPr>
                <w:b/>
                <w:lang w:val="ro-RO"/>
              </w:rPr>
            </w:pPr>
            <w:r w:rsidRPr="002152E4">
              <w:rPr>
                <w:b/>
                <w:lang w:val="ro-RO"/>
              </w:rPr>
              <w:t xml:space="preserve">de </w:t>
            </w:r>
            <w:r w:rsidR="002152E4" w:rsidRPr="002152E4">
              <w:rPr>
                <w:b/>
                <w:lang w:val="ro-RO"/>
              </w:rPr>
              <w:t>circulație</w:t>
            </w:r>
            <w:r w:rsidRPr="002152E4">
              <w:rPr>
                <w:b/>
                <w:lang w:val="ro-RO"/>
              </w:rPr>
              <w:t xml:space="preserve">      (art. </w:t>
            </w:r>
            <w:smartTag w:uri="urn:schemas-microsoft-com:office:smarttags" w:element="metricconverter">
              <w:smartTagPr>
                <w:attr w:name="ProductID" w:val="192 C"/>
              </w:smartTagPr>
              <w:r w:rsidRPr="002152E4">
                <w:rPr>
                  <w:b/>
                  <w:lang w:val="ro-RO"/>
                </w:rPr>
                <w:t>192 C</w:t>
              </w:r>
            </w:smartTag>
            <w:r w:rsidRPr="002152E4">
              <w:rPr>
                <w:b/>
                <w:lang w:val="ro-RO"/>
              </w:rPr>
              <w:t>.p.)</w:t>
            </w:r>
          </w:p>
        </w:tc>
        <w:tc>
          <w:tcPr>
            <w:tcW w:w="1701" w:type="dxa"/>
            <w:vMerge w:val="restart"/>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accidente mortale </w:t>
            </w:r>
          </w:p>
          <w:p w:rsidR="007442AA" w:rsidRPr="002152E4" w:rsidRDefault="007442AA" w:rsidP="007442AA">
            <w:pPr>
              <w:jc w:val="center"/>
              <w:rPr>
                <w:b/>
                <w:lang w:val="ro-RO"/>
              </w:rPr>
            </w:pPr>
            <w:r w:rsidRPr="002152E4">
              <w:rPr>
                <w:b/>
                <w:lang w:val="ro-RO"/>
              </w:rPr>
              <w:t>de muncă</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192 C"/>
              </w:smartTagPr>
              <w:r w:rsidRPr="002152E4">
                <w:rPr>
                  <w:b/>
                  <w:lang w:val="ro-RO"/>
                </w:rPr>
                <w:t>192 C</w:t>
              </w:r>
            </w:smartTag>
            <w:r w:rsidRPr="002152E4">
              <w:rPr>
                <w:b/>
                <w:lang w:val="ro-RO"/>
              </w:rPr>
              <w:t>.p.)</w:t>
            </w:r>
          </w:p>
        </w:tc>
      </w:tr>
      <w:tr w:rsidR="007442AA" w:rsidRPr="002152E4" w:rsidTr="00325390">
        <w:trPr>
          <w:trHeight w:val="615"/>
        </w:trPr>
        <w:tc>
          <w:tcPr>
            <w:tcW w:w="1076" w:type="dxa"/>
            <w:vMerge/>
            <w:tcBorders>
              <w:top w:val="single" w:sz="4" w:space="0" w:color="00B050"/>
              <w:left w:val="threeDEmboss" w:sz="6" w:space="0" w:color="00B050"/>
              <w:bottom w:val="threeDEmboss" w:sz="6" w:space="0" w:color="00B050"/>
              <w:right w:val="single" w:sz="4" w:space="0" w:color="00B050"/>
            </w:tcBorders>
            <w:shd w:val="clear" w:color="auto" w:fill="FCE0C8"/>
          </w:tcPr>
          <w:p w:rsidR="007442AA" w:rsidRPr="002152E4" w:rsidRDefault="007442AA" w:rsidP="007442AA">
            <w:pPr>
              <w:ind w:left="-18"/>
              <w:jc w:val="center"/>
              <w:rPr>
                <w:b/>
                <w:lang w:val="ro-RO"/>
              </w:rPr>
            </w:pPr>
          </w:p>
        </w:tc>
        <w:tc>
          <w:tcPr>
            <w:tcW w:w="1418" w:type="dxa"/>
            <w:vMerge/>
            <w:tcBorders>
              <w:top w:val="single" w:sz="4" w:space="0" w:color="00B050"/>
              <w:left w:val="single" w:sz="4" w:space="0" w:color="00B050"/>
              <w:bottom w:val="threeDEmboss" w:sz="6" w:space="0" w:color="00B050"/>
              <w:right w:val="single" w:sz="4" w:space="0" w:color="00B050"/>
            </w:tcBorders>
            <w:shd w:val="clear" w:color="auto" w:fill="FCE0C8"/>
          </w:tcPr>
          <w:p w:rsidR="007442AA" w:rsidRPr="002152E4" w:rsidRDefault="007442AA" w:rsidP="007442AA">
            <w:pPr>
              <w:jc w:val="center"/>
              <w:rPr>
                <w:b/>
                <w:lang w:val="ro-RO"/>
              </w:rPr>
            </w:pPr>
          </w:p>
        </w:tc>
        <w:tc>
          <w:tcPr>
            <w:tcW w:w="1718" w:type="dxa"/>
            <w:vMerge/>
            <w:tcBorders>
              <w:top w:val="single" w:sz="4" w:space="0" w:color="00B050"/>
              <w:left w:val="single" w:sz="4" w:space="0" w:color="00B050"/>
              <w:bottom w:val="threeDEmboss" w:sz="6" w:space="0" w:color="00B050"/>
              <w:right w:val="single" w:sz="4" w:space="0" w:color="00B050"/>
            </w:tcBorders>
            <w:shd w:val="clear" w:color="auto" w:fill="FCE0C8"/>
          </w:tcPr>
          <w:p w:rsidR="007442AA" w:rsidRPr="002152E4" w:rsidRDefault="007442AA" w:rsidP="007442AA">
            <w:pPr>
              <w:jc w:val="center"/>
              <w:rPr>
                <w:b/>
                <w:lang w:val="ro-RO"/>
              </w:rPr>
            </w:pPr>
          </w:p>
        </w:tc>
        <w:tc>
          <w:tcPr>
            <w:tcW w:w="864" w:type="dxa"/>
            <w:gridSpan w:val="2"/>
            <w:tcBorders>
              <w:top w:val="single" w:sz="2" w:space="0" w:color="00B050"/>
              <w:left w:val="single" w:sz="4"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TOTAL </w:t>
            </w:r>
          </w:p>
          <w:p w:rsidR="007442AA" w:rsidRPr="002152E4" w:rsidRDefault="007442AA" w:rsidP="007442AA">
            <w:pPr>
              <w:jc w:val="center"/>
              <w:rPr>
                <w:b/>
                <w:lang w:val="ro-RO"/>
              </w:rPr>
            </w:pPr>
            <w:r w:rsidRPr="002152E4">
              <w:rPr>
                <w:b/>
                <w:lang w:val="ro-RO"/>
              </w:rPr>
              <w:t>din care:</w:t>
            </w:r>
          </w:p>
        </w:tc>
        <w:tc>
          <w:tcPr>
            <w:tcW w:w="1269" w:type="dxa"/>
            <w:tcBorders>
              <w:top w:val="single" w:sz="2"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faptă consumată</w:t>
            </w:r>
          </w:p>
        </w:tc>
        <w:tc>
          <w:tcPr>
            <w:tcW w:w="1985" w:type="dxa"/>
            <w:vMerge/>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p>
        </w:tc>
        <w:tc>
          <w:tcPr>
            <w:tcW w:w="1701" w:type="dxa"/>
            <w:vMerge/>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p>
        </w:tc>
      </w:tr>
      <w:tr w:rsidR="007442AA" w:rsidRPr="002152E4" w:rsidTr="00325390">
        <w:tc>
          <w:tcPr>
            <w:tcW w:w="1076" w:type="dxa"/>
            <w:tcBorders>
              <w:top w:val="threeDEmboss" w:sz="6" w:space="0" w:color="00B050"/>
            </w:tcBorders>
          </w:tcPr>
          <w:p w:rsidR="007442AA" w:rsidRPr="002152E4" w:rsidRDefault="007442AA" w:rsidP="007442AA">
            <w:pPr>
              <w:jc w:val="center"/>
              <w:rPr>
                <w:lang w:val="ro-RO"/>
              </w:rPr>
            </w:pPr>
            <w:r w:rsidRPr="002152E4">
              <w:rPr>
                <w:lang w:val="ro-RO"/>
              </w:rPr>
              <w:t>2007</w:t>
            </w:r>
          </w:p>
        </w:tc>
        <w:tc>
          <w:tcPr>
            <w:tcW w:w="1418" w:type="dxa"/>
            <w:tcBorders>
              <w:top w:val="threeDEmboss" w:sz="6" w:space="0" w:color="00B050"/>
            </w:tcBorders>
            <w:vAlign w:val="bottom"/>
          </w:tcPr>
          <w:p w:rsidR="007442AA" w:rsidRPr="002152E4" w:rsidRDefault="007442AA" w:rsidP="007442AA">
            <w:pPr>
              <w:jc w:val="center"/>
              <w:rPr>
                <w:lang w:val="ro-RO"/>
              </w:rPr>
            </w:pPr>
            <w:r w:rsidRPr="002152E4">
              <w:rPr>
                <w:lang w:val="ro-RO"/>
              </w:rPr>
              <w:t>9.926</w:t>
            </w:r>
          </w:p>
        </w:tc>
        <w:tc>
          <w:tcPr>
            <w:tcW w:w="1718" w:type="dxa"/>
            <w:tcBorders>
              <w:top w:val="threeDEmboss" w:sz="6" w:space="0" w:color="00B050"/>
            </w:tcBorders>
            <w:vAlign w:val="bottom"/>
          </w:tcPr>
          <w:p w:rsidR="007442AA" w:rsidRPr="002152E4" w:rsidRDefault="007442AA" w:rsidP="007442AA">
            <w:pPr>
              <w:jc w:val="center"/>
              <w:rPr>
                <w:lang w:val="ro-RO"/>
              </w:rPr>
            </w:pPr>
            <w:r w:rsidRPr="002152E4">
              <w:rPr>
                <w:lang w:val="ro-RO"/>
              </w:rPr>
              <w:t>20,8</w:t>
            </w:r>
          </w:p>
        </w:tc>
        <w:tc>
          <w:tcPr>
            <w:tcW w:w="858" w:type="dxa"/>
            <w:tcBorders>
              <w:top w:val="threeDEmboss" w:sz="6" w:space="0" w:color="00B050"/>
            </w:tcBorders>
            <w:vAlign w:val="bottom"/>
          </w:tcPr>
          <w:p w:rsidR="007442AA" w:rsidRPr="002152E4" w:rsidRDefault="007442AA" w:rsidP="007442AA">
            <w:pPr>
              <w:jc w:val="center"/>
              <w:rPr>
                <w:lang w:val="ro-RO"/>
              </w:rPr>
            </w:pPr>
            <w:r w:rsidRPr="002152E4">
              <w:rPr>
                <w:lang w:val="ro-RO"/>
              </w:rPr>
              <w:t>1.027</w:t>
            </w:r>
          </w:p>
        </w:tc>
        <w:tc>
          <w:tcPr>
            <w:tcW w:w="1275" w:type="dxa"/>
            <w:gridSpan w:val="2"/>
            <w:tcBorders>
              <w:top w:val="threeDEmboss" w:sz="6" w:space="0" w:color="00B050"/>
            </w:tcBorders>
            <w:vAlign w:val="bottom"/>
          </w:tcPr>
          <w:p w:rsidR="007442AA" w:rsidRPr="002152E4" w:rsidRDefault="007442AA" w:rsidP="007442AA">
            <w:pPr>
              <w:jc w:val="center"/>
              <w:rPr>
                <w:lang w:val="ro-RO"/>
              </w:rPr>
            </w:pPr>
            <w:r w:rsidRPr="002152E4">
              <w:rPr>
                <w:lang w:val="ro-RO"/>
              </w:rPr>
              <w:t>413</w:t>
            </w:r>
          </w:p>
        </w:tc>
        <w:tc>
          <w:tcPr>
            <w:tcW w:w="1985" w:type="dxa"/>
            <w:tcBorders>
              <w:top w:val="threeDEmboss" w:sz="6" w:space="0" w:color="00B050"/>
            </w:tcBorders>
            <w:vAlign w:val="bottom"/>
          </w:tcPr>
          <w:p w:rsidR="007442AA" w:rsidRPr="002152E4" w:rsidRDefault="007442AA" w:rsidP="007442AA">
            <w:pPr>
              <w:jc w:val="center"/>
              <w:rPr>
                <w:lang w:val="ro-RO"/>
              </w:rPr>
            </w:pPr>
            <w:r w:rsidRPr="002152E4">
              <w:rPr>
                <w:lang w:val="ro-RO"/>
              </w:rPr>
              <w:t>627</w:t>
            </w:r>
          </w:p>
        </w:tc>
        <w:tc>
          <w:tcPr>
            <w:tcW w:w="1701" w:type="dxa"/>
            <w:tcBorders>
              <w:top w:val="threeDEmboss" w:sz="6" w:space="0" w:color="00B050"/>
            </w:tcBorders>
            <w:vAlign w:val="bottom"/>
          </w:tcPr>
          <w:p w:rsidR="007442AA" w:rsidRPr="002152E4" w:rsidRDefault="007442AA" w:rsidP="007442AA">
            <w:pPr>
              <w:jc w:val="center"/>
              <w:rPr>
                <w:lang w:val="ro-RO"/>
              </w:rPr>
            </w:pPr>
            <w:r w:rsidRPr="002152E4">
              <w:rPr>
                <w:lang w:val="ro-RO"/>
              </w:rPr>
              <w:t>39</w:t>
            </w:r>
          </w:p>
        </w:tc>
      </w:tr>
      <w:tr w:rsidR="007442AA" w:rsidRPr="002152E4" w:rsidTr="00325390">
        <w:tc>
          <w:tcPr>
            <w:tcW w:w="1076" w:type="dxa"/>
          </w:tcPr>
          <w:p w:rsidR="007442AA" w:rsidRPr="002152E4" w:rsidRDefault="007442AA" w:rsidP="007442AA">
            <w:pPr>
              <w:jc w:val="center"/>
              <w:rPr>
                <w:lang w:val="ro-RO"/>
              </w:rPr>
            </w:pPr>
            <w:r w:rsidRPr="002152E4">
              <w:rPr>
                <w:lang w:val="ro-RO"/>
              </w:rPr>
              <w:t>2008</w:t>
            </w:r>
          </w:p>
        </w:tc>
        <w:tc>
          <w:tcPr>
            <w:tcW w:w="1418" w:type="dxa"/>
            <w:vAlign w:val="bottom"/>
          </w:tcPr>
          <w:p w:rsidR="007442AA" w:rsidRPr="002152E4" w:rsidRDefault="007442AA" w:rsidP="007442AA">
            <w:pPr>
              <w:jc w:val="center"/>
              <w:rPr>
                <w:lang w:val="ro-RO"/>
              </w:rPr>
            </w:pPr>
            <w:r w:rsidRPr="002152E4">
              <w:rPr>
                <w:lang w:val="ro-RO"/>
              </w:rPr>
              <w:t>9.516</w:t>
            </w:r>
          </w:p>
        </w:tc>
        <w:tc>
          <w:tcPr>
            <w:tcW w:w="1718" w:type="dxa"/>
            <w:vAlign w:val="bottom"/>
          </w:tcPr>
          <w:p w:rsidR="007442AA" w:rsidRPr="002152E4" w:rsidRDefault="007442AA" w:rsidP="007442AA">
            <w:pPr>
              <w:jc w:val="center"/>
              <w:rPr>
                <w:lang w:val="ro-RO"/>
              </w:rPr>
            </w:pPr>
            <w:r w:rsidRPr="002152E4">
              <w:rPr>
                <w:lang w:val="ro-RO"/>
              </w:rPr>
              <w:t>21,1</w:t>
            </w:r>
          </w:p>
        </w:tc>
        <w:tc>
          <w:tcPr>
            <w:tcW w:w="858" w:type="dxa"/>
            <w:vAlign w:val="bottom"/>
          </w:tcPr>
          <w:p w:rsidR="007442AA" w:rsidRPr="002152E4" w:rsidRDefault="007442AA" w:rsidP="007442AA">
            <w:pPr>
              <w:jc w:val="center"/>
              <w:rPr>
                <w:lang w:val="ro-RO"/>
              </w:rPr>
            </w:pPr>
            <w:r w:rsidRPr="002152E4">
              <w:rPr>
                <w:lang w:val="ro-RO"/>
              </w:rPr>
              <w:t>986</w:t>
            </w:r>
          </w:p>
        </w:tc>
        <w:tc>
          <w:tcPr>
            <w:tcW w:w="1275" w:type="dxa"/>
            <w:gridSpan w:val="2"/>
            <w:vAlign w:val="bottom"/>
          </w:tcPr>
          <w:p w:rsidR="007442AA" w:rsidRPr="002152E4" w:rsidRDefault="007442AA" w:rsidP="007442AA">
            <w:pPr>
              <w:jc w:val="center"/>
              <w:rPr>
                <w:lang w:val="ro-RO"/>
              </w:rPr>
            </w:pPr>
            <w:r w:rsidRPr="002152E4">
              <w:rPr>
                <w:lang w:val="ro-RO"/>
              </w:rPr>
              <w:t>327</w:t>
            </w:r>
          </w:p>
        </w:tc>
        <w:tc>
          <w:tcPr>
            <w:tcW w:w="1985" w:type="dxa"/>
            <w:vAlign w:val="bottom"/>
          </w:tcPr>
          <w:p w:rsidR="007442AA" w:rsidRPr="002152E4" w:rsidRDefault="007442AA" w:rsidP="007442AA">
            <w:pPr>
              <w:jc w:val="center"/>
              <w:rPr>
                <w:lang w:val="ro-RO"/>
              </w:rPr>
            </w:pPr>
            <w:r w:rsidRPr="002152E4">
              <w:rPr>
                <w:lang w:val="ro-RO"/>
              </w:rPr>
              <w:t>606</w:t>
            </w:r>
          </w:p>
        </w:tc>
        <w:tc>
          <w:tcPr>
            <w:tcW w:w="1701" w:type="dxa"/>
            <w:vAlign w:val="bottom"/>
          </w:tcPr>
          <w:p w:rsidR="007442AA" w:rsidRPr="002152E4" w:rsidRDefault="007442AA" w:rsidP="007442AA">
            <w:pPr>
              <w:jc w:val="center"/>
              <w:rPr>
                <w:lang w:val="ro-RO"/>
              </w:rPr>
            </w:pPr>
            <w:r w:rsidRPr="002152E4">
              <w:rPr>
                <w:lang w:val="ro-RO"/>
              </w:rPr>
              <w:t>29</w:t>
            </w:r>
          </w:p>
        </w:tc>
      </w:tr>
      <w:tr w:rsidR="007442AA" w:rsidRPr="002152E4" w:rsidTr="00325390">
        <w:tc>
          <w:tcPr>
            <w:tcW w:w="1076" w:type="dxa"/>
          </w:tcPr>
          <w:p w:rsidR="007442AA" w:rsidRPr="002152E4" w:rsidRDefault="007442AA" w:rsidP="007442AA">
            <w:pPr>
              <w:jc w:val="center"/>
              <w:rPr>
                <w:lang w:val="ro-RO"/>
              </w:rPr>
            </w:pPr>
            <w:r w:rsidRPr="002152E4">
              <w:rPr>
                <w:lang w:val="ro-RO"/>
              </w:rPr>
              <w:t>2009</w:t>
            </w:r>
          </w:p>
        </w:tc>
        <w:tc>
          <w:tcPr>
            <w:tcW w:w="1418" w:type="dxa"/>
            <w:vAlign w:val="bottom"/>
          </w:tcPr>
          <w:p w:rsidR="007442AA" w:rsidRPr="002152E4" w:rsidRDefault="007442AA" w:rsidP="007442AA">
            <w:pPr>
              <w:jc w:val="center"/>
              <w:rPr>
                <w:lang w:val="ro-RO"/>
              </w:rPr>
            </w:pPr>
            <w:r w:rsidRPr="002152E4">
              <w:rPr>
                <w:lang w:val="ro-RO"/>
              </w:rPr>
              <w:t>9.980</w:t>
            </w:r>
          </w:p>
        </w:tc>
        <w:tc>
          <w:tcPr>
            <w:tcW w:w="1718" w:type="dxa"/>
            <w:vAlign w:val="bottom"/>
          </w:tcPr>
          <w:p w:rsidR="007442AA" w:rsidRPr="002152E4" w:rsidRDefault="007442AA" w:rsidP="007442AA">
            <w:pPr>
              <w:jc w:val="center"/>
              <w:rPr>
                <w:lang w:val="ro-RO"/>
              </w:rPr>
            </w:pPr>
            <w:r w:rsidRPr="002152E4">
              <w:rPr>
                <w:lang w:val="ro-RO"/>
              </w:rPr>
              <w:t>20,1</w:t>
            </w:r>
          </w:p>
        </w:tc>
        <w:tc>
          <w:tcPr>
            <w:tcW w:w="858" w:type="dxa"/>
            <w:vAlign w:val="bottom"/>
          </w:tcPr>
          <w:p w:rsidR="007442AA" w:rsidRPr="002152E4" w:rsidRDefault="007442AA" w:rsidP="007442AA">
            <w:pPr>
              <w:jc w:val="center"/>
              <w:rPr>
                <w:lang w:val="ro-RO"/>
              </w:rPr>
            </w:pPr>
            <w:r w:rsidRPr="002152E4">
              <w:rPr>
                <w:lang w:val="ro-RO"/>
              </w:rPr>
              <w:t>943</w:t>
            </w:r>
          </w:p>
        </w:tc>
        <w:tc>
          <w:tcPr>
            <w:tcW w:w="1275" w:type="dxa"/>
            <w:gridSpan w:val="2"/>
            <w:vAlign w:val="bottom"/>
          </w:tcPr>
          <w:p w:rsidR="007442AA" w:rsidRPr="002152E4" w:rsidRDefault="007442AA" w:rsidP="007442AA">
            <w:pPr>
              <w:jc w:val="center"/>
              <w:rPr>
                <w:lang w:val="ro-RO"/>
              </w:rPr>
            </w:pPr>
            <w:r w:rsidRPr="002152E4">
              <w:rPr>
                <w:lang w:val="ro-RO"/>
              </w:rPr>
              <w:t>296</w:t>
            </w:r>
          </w:p>
        </w:tc>
        <w:tc>
          <w:tcPr>
            <w:tcW w:w="1985" w:type="dxa"/>
            <w:vAlign w:val="bottom"/>
          </w:tcPr>
          <w:p w:rsidR="007442AA" w:rsidRPr="002152E4" w:rsidRDefault="007442AA" w:rsidP="007442AA">
            <w:pPr>
              <w:jc w:val="center"/>
              <w:rPr>
                <w:lang w:val="ro-RO"/>
              </w:rPr>
            </w:pPr>
            <w:r w:rsidRPr="002152E4">
              <w:rPr>
                <w:lang w:val="ro-RO"/>
              </w:rPr>
              <w:t>654</w:t>
            </w:r>
          </w:p>
        </w:tc>
        <w:tc>
          <w:tcPr>
            <w:tcW w:w="1701" w:type="dxa"/>
            <w:vAlign w:val="bottom"/>
          </w:tcPr>
          <w:p w:rsidR="007442AA" w:rsidRPr="002152E4" w:rsidRDefault="007442AA" w:rsidP="007442AA">
            <w:pPr>
              <w:jc w:val="center"/>
              <w:rPr>
                <w:lang w:val="ro-RO"/>
              </w:rPr>
            </w:pPr>
            <w:r w:rsidRPr="002152E4">
              <w:rPr>
                <w:lang w:val="ro-RO"/>
              </w:rPr>
              <w:t>27</w:t>
            </w:r>
          </w:p>
        </w:tc>
      </w:tr>
      <w:tr w:rsidR="007442AA" w:rsidRPr="002152E4" w:rsidTr="00325390">
        <w:tc>
          <w:tcPr>
            <w:tcW w:w="1076" w:type="dxa"/>
          </w:tcPr>
          <w:p w:rsidR="007442AA" w:rsidRPr="002152E4" w:rsidRDefault="007442AA" w:rsidP="007442AA">
            <w:pPr>
              <w:jc w:val="center"/>
              <w:rPr>
                <w:lang w:val="ro-RO"/>
              </w:rPr>
            </w:pPr>
            <w:r w:rsidRPr="002152E4">
              <w:rPr>
                <w:lang w:val="ro-RO"/>
              </w:rPr>
              <w:t>2010</w:t>
            </w:r>
          </w:p>
        </w:tc>
        <w:tc>
          <w:tcPr>
            <w:tcW w:w="1418" w:type="dxa"/>
            <w:vAlign w:val="bottom"/>
          </w:tcPr>
          <w:p w:rsidR="007442AA" w:rsidRPr="002152E4" w:rsidRDefault="007442AA" w:rsidP="007442AA">
            <w:pPr>
              <w:jc w:val="center"/>
              <w:rPr>
                <w:lang w:val="ro-RO"/>
              </w:rPr>
            </w:pPr>
            <w:r w:rsidRPr="002152E4">
              <w:rPr>
                <w:lang w:val="ro-RO"/>
              </w:rPr>
              <w:t>10.624</w:t>
            </w:r>
          </w:p>
        </w:tc>
        <w:tc>
          <w:tcPr>
            <w:tcW w:w="1718" w:type="dxa"/>
            <w:vAlign w:val="bottom"/>
          </w:tcPr>
          <w:p w:rsidR="007442AA" w:rsidRPr="002152E4" w:rsidRDefault="007442AA" w:rsidP="007442AA">
            <w:pPr>
              <w:jc w:val="center"/>
              <w:rPr>
                <w:lang w:val="ro-RO"/>
              </w:rPr>
            </w:pPr>
            <w:r w:rsidRPr="002152E4">
              <w:rPr>
                <w:lang w:val="ro-RO"/>
              </w:rPr>
              <w:t>18,7</w:t>
            </w:r>
          </w:p>
        </w:tc>
        <w:tc>
          <w:tcPr>
            <w:tcW w:w="858" w:type="dxa"/>
            <w:vAlign w:val="bottom"/>
          </w:tcPr>
          <w:p w:rsidR="007442AA" w:rsidRPr="002152E4" w:rsidRDefault="007442AA" w:rsidP="007442AA">
            <w:pPr>
              <w:jc w:val="center"/>
              <w:rPr>
                <w:lang w:val="ro-RO"/>
              </w:rPr>
            </w:pPr>
            <w:r w:rsidRPr="002152E4">
              <w:rPr>
                <w:lang w:val="ro-RO"/>
              </w:rPr>
              <w:t>1.008</w:t>
            </w:r>
          </w:p>
        </w:tc>
        <w:tc>
          <w:tcPr>
            <w:tcW w:w="1275" w:type="dxa"/>
            <w:gridSpan w:val="2"/>
            <w:vAlign w:val="bottom"/>
          </w:tcPr>
          <w:p w:rsidR="007442AA" w:rsidRPr="002152E4" w:rsidRDefault="007442AA" w:rsidP="007442AA">
            <w:pPr>
              <w:jc w:val="center"/>
              <w:rPr>
                <w:lang w:val="ro-RO"/>
              </w:rPr>
            </w:pPr>
            <w:r w:rsidRPr="002152E4">
              <w:rPr>
                <w:lang w:val="ro-RO"/>
              </w:rPr>
              <w:t>319</w:t>
            </w:r>
          </w:p>
        </w:tc>
        <w:tc>
          <w:tcPr>
            <w:tcW w:w="1985" w:type="dxa"/>
            <w:vAlign w:val="bottom"/>
          </w:tcPr>
          <w:p w:rsidR="007442AA" w:rsidRPr="002152E4" w:rsidRDefault="007442AA" w:rsidP="007442AA">
            <w:pPr>
              <w:jc w:val="center"/>
              <w:rPr>
                <w:lang w:val="ro-RO"/>
              </w:rPr>
            </w:pPr>
            <w:r w:rsidRPr="002152E4">
              <w:rPr>
                <w:lang w:val="ro-RO"/>
              </w:rPr>
              <w:t>747</w:t>
            </w:r>
          </w:p>
        </w:tc>
        <w:tc>
          <w:tcPr>
            <w:tcW w:w="1701" w:type="dxa"/>
            <w:vAlign w:val="bottom"/>
          </w:tcPr>
          <w:p w:rsidR="007442AA" w:rsidRPr="002152E4" w:rsidRDefault="007442AA" w:rsidP="007442AA">
            <w:pPr>
              <w:jc w:val="center"/>
              <w:rPr>
                <w:lang w:val="ro-RO"/>
              </w:rPr>
            </w:pPr>
            <w:r w:rsidRPr="002152E4">
              <w:rPr>
                <w:lang w:val="ro-RO"/>
              </w:rPr>
              <w:t>22</w:t>
            </w:r>
          </w:p>
        </w:tc>
      </w:tr>
      <w:tr w:rsidR="007442AA" w:rsidRPr="002152E4" w:rsidTr="00325390">
        <w:tc>
          <w:tcPr>
            <w:tcW w:w="1076" w:type="dxa"/>
          </w:tcPr>
          <w:p w:rsidR="007442AA" w:rsidRPr="002152E4" w:rsidRDefault="007442AA" w:rsidP="007442AA">
            <w:pPr>
              <w:jc w:val="center"/>
              <w:rPr>
                <w:lang w:val="ro-RO"/>
              </w:rPr>
            </w:pPr>
            <w:r w:rsidRPr="002152E4">
              <w:rPr>
                <w:lang w:val="ro-RO"/>
              </w:rPr>
              <w:t>2011</w:t>
            </w:r>
          </w:p>
        </w:tc>
        <w:tc>
          <w:tcPr>
            <w:tcW w:w="1418" w:type="dxa"/>
            <w:vAlign w:val="bottom"/>
          </w:tcPr>
          <w:p w:rsidR="007442AA" w:rsidRPr="002152E4" w:rsidRDefault="007442AA" w:rsidP="007442AA">
            <w:pPr>
              <w:jc w:val="center"/>
              <w:rPr>
                <w:lang w:val="ro-RO"/>
              </w:rPr>
            </w:pPr>
            <w:r w:rsidRPr="002152E4">
              <w:rPr>
                <w:lang w:val="ro-RO"/>
              </w:rPr>
              <w:t>10.262</w:t>
            </w:r>
          </w:p>
        </w:tc>
        <w:tc>
          <w:tcPr>
            <w:tcW w:w="1718" w:type="dxa"/>
            <w:vAlign w:val="bottom"/>
          </w:tcPr>
          <w:p w:rsidR="007442AA" w:rsidRPr="002152E4" w:rsidRDefault="007442AA" w:rsidP="007442AA">
            <w:pPr>
              <w:jc w:val="center"/>
              <w:rPr>
                <w:lang w:val="ro-RO"/>
              </w:rPr>
            </w:pPr>
            <w:r w:rsidRPr="002152E4">
              <w:rPr>
                <w:lang w:val="ro-RO"/>
              </w:rPr>
              <w:t>16,8</w:t>
            </w:r>
          </w:p>
        </w:tc>
        <w:tc>
          <w:tcPr>
            <w:tcW w:w="858" w:type="dxa"/>
            <w:vAlign w:val="bottom"/>
          </w:tcPr>
          <w:p w:rsidR="007442AA" w:rsidRPr="002152E4" w:rsidRDefault="007442AA" w:rsidP="007442AA">
            <w:pPr>
              <w:jc w:val="center"/>
              <w:rPr>
                <w:lang w:val="ro-RO"/>
              </w:rPr>
            </w:pPr>
            <w:r w:rsidRPr="002152E4">
              <w:rPr>
                <w:lang w:val="ro-RO"/>
              </w:rPr>
              <w:t>977</w:t>
            </w:r>
          </w:p>
        </w:tc>
        <w:tc>
          <w:tcPr>
            <w:tcW w:w="1275" w:type="dxa"/>
            <w:gridSpan w:val="2"/>
            <w:vAlign w:val="bottom"/>
          </w:tcPr>
          <w:p w:rsidR="007442AA" w:rsidRPr="002152E4" w:rsidRDefault="007442AA" w:rsidP="007442AA">
            <w:pPr>
              <w:jc w:val="center"/>
              <w:rPr>
                <w:lang w:val="ro-RO"/>
              </w:rPr>
            </w:pPr>
            <w:r w:rsidRPr="002152E4">
              <w:rPr>
                <w:lang w:val="ro-RO"/>
              </w:rPr>
              <w:t>217</w:t>
            </w:r>
          </w:p>
        </w:tc>
        <w:tc>
          <w:tcPr>
            <w:tcW w:w="1985" w:type="dxa"/>
            <w:vAlign w:val="bottom"/>
          </w:tcPr>
          <w:p w:rsidR="007442AA" w:rsidRPr="002152E4" w:rsidRDefault="007442AA" w:rsidP="007442AA">
            <w:pPr>
              <w:jc w:val="center"/>
              <w:rPr>
                <w:lang w:val="ro-RO"/>
              </w:rPr>
            </w:pPr>
            <w:r w:rsidRPr="002152E4">
              <w:rPr>
                <w:lang w:val="ro-RO"/>
              </w:rPr>
              <w:t>761</w:t>
            </w:r>
          </w:p>
        </w:tc>
        <w:tc>
          <w:tcPr>
            <w:tcW w:w="1701" w:type="dxa"/>
            <w:vAlign w:val="bottom"/>
          </w:tcPr>
          <w:p w:rsidR="007442AA" w:rsidRPr="002152E4" w:rsidRDefault="007442AA" w:rsidP="007442AA">
            <w:pPr>
              <w:jc w:val="center"/>
              <w:rPr>
                <w:lang w:val="ro-RO"/>
              </w:rPr>
            </w:pPr>
            <w:r w:rsidRPr="002152E4">
              <w:rPr>
                <w:lang w:val="ro-RO"/>
              </w:rPr>
              <w:t>34</w:t>
            </w:r>
          </w:p>
        </w:tc>
      </w:tr>
      <w:tr w:rsidR="007442AA" w:rsidRPr="002152E4" w:rsidTr="00325390">
        <w:tc>
          <w:tcPr>
            <w:tcW w:w="1076" w:type="dxa"/>
          </w:tcPr>
          <w:p w:rsidR="007442AA" w:rsidRPr="002152E4" w:rsidRDefault="007442AA" w:rsidP="007442AA">
            <w:pPr>
              <w:jc w:val="center"/>
              <w:rPr>
                <w:lang w:val="ro-RO"/>
              </w:rPr>
            </w:pPr>
            <w:r w:rsidRPr="002152E4">
              <w:rPr>
                <w:lang w:val="ro-RO"/>
              </w:rPr>
              <w:t>2012</w:t>
            </w:r>
          </w:p>
        </w:tc>
        <w:tc>
          <w:tcPr>
            <w:tcW w:w="1418" w:type="dxa"/>
            <w:vAlign w:val="bottom"/>
          </w:tcPr>
          <w:p w:rsidR="007442AA" w:rsidRPr="002152E4" w:rsidRDefault="007442AA" w:rsidP="007442AA">
            <w:pPr>
              <w:jc w:val="center"/>
              <w:rPr>
                <w:lang w:val="ro-RO"/>
              </w:rPr>
            </w:pPr>
            <w:r w:rsidRPr="002152E4">
              <w:rPr>
                <w:lang w:val="ro-RO"/>
              </w:rPr>
              <w:t>9.781</w:t>
            </w:r>
          </w:p>
        </w:tc>
        <w:tc>
          <w:tcPr>
            <w:tcW w:w="1718" w:type="dxa"/>
            <w:vAlign w:val="bottom"/>
          </w:tcPr>
          <w:p w:rsidR="007442AA" w:rsidRPr="002152E4" w:rsidRDefault="007442AA" w:rsidP="007442AA">
            <w:pPr>
              <w:jc w:val="center"/>
              <w:rPr>
                <w:lang w:val="ro-RO"/>
              </w:rPr>
            </w:pPr>
            <w:r w:rsidRPr="002152E4">
              <w:rPr>
                <w:lang w:val="ro-RO"/>
              </w:rPr>
              <w:t>16,4</w:t>
            </w:r>
          </w:p>
        </w:tc>
        <w:tc>
          <w:tcPr>
            <w:tcW w:w="858" w:type="dxa"/>
            <w:vAlign w:val="bottom"/>
          </w:tcPr>
          <w:p w:rsidR="007442AA" w:rsidRPr="002152E4" w:rsidRDefault="007442AA" w:rsidP="007442AA">
            <w:pPr>
              <w:jc w:val="center"/>
              <w:rPr>
                <w:lang w:val="ro-RO"/>
              </w:rPr>
            </w:pPr>
            <w:r w:rsidRPr="002152E4">
              <w:rPr>
                <w:lang w:val="ro-RO"/>
              </w:rPr>
              <w:t>1.014</w:t>
            </w:r>
          </w:p>
        </w:tc>
        <w:tc>
          <w:tcPr>
            <w:tcW w:w="1275" w:type="dxa"/>
            <w:gridSpan w:val="2"/>
            <w:vAlign w:val="bottom"/>
          </w:tcPr>
          <w:p w:rsidR="007442AA" w:rsidRPr="002152E4" w:rsidRDefault="007442AA" w:rsidP="007442AA">
            <w:pPr>
              <w:jc w:val="center"/>
              <w:rPr>
                <w:lang w:val="ro-RO"/>
              </w:rPr>
            </w:pPr>
            <w:r w:rsidRPr="002152E4">
              <w:rPr>
                <w:lang w:val="ro-RO"/>
              </w:rPr>
              <w:t>202</w:t>
            </w:r>
          </w:p>
        </w:tc>
        <w:tc>
          <w:tcPr>
            <w:tcW w:w="1985" w:type="dxa"/>
            <w:vAlign w:val="bottom"/>
          </w:tcPr>
          <w:p w:rsidR="007442AA" w:rsidRPr="002152E4" w:rsidRDefault="007442AA" w:rsidP="007442AA">
            <w:pPr>
              <w:jc w:val="center"/>
              <w:rPr>
                <w:lang w:val="ro-RO"/>
              </w:rPr>
            </w:pPr>
            <w:r w:rsidRPr="002152E4">
              <w:rPr>
                <w:lang w:val="ro-RO"/>
              </w:rPr>
              <w:t>683</w:t>
            </w:r>
          </w:p>
        </w:tc>
        <w:tc>
          <w:tcPr>
            <w:tcW w:w="1701" w:type="dxa"/>
            <w:vAlign w:val="bottom"/>
          </w:tcPr>
          <w:p w:rsidR="007442AA" w:rsidRPr="002152E4" w:rsidRDefault="007442AA" w:rsidP="007442AA">
            <w:pPr>
              <w:jc w:val="center"/>
              <w:rPr>
                <w:lang w:val="ro-RO"/>
              </w:rPr>
            </w:pPr>
            <w:r w:rsidRPr="002152E4">
              <w:rPr>
                <w:lang w:val="ro-RO"/>
              </w:rPr>
              <w:t>39</w:t>
            </w:r>
          </w:p>
        </w:tc>
      </w:tr>
      <w:tr w:rsidR="007442AA" w:rsidRPr="002152E4" w:rsidTr="00325390">
        <w:tc>
          <w:tcPr>
            <w:tcW w:w="1076" w:type="dxa"/>
          </w:tcPr>
          <w:p w:rsidR="007442AA" w:rsidRPr="002152E4" w:rsidRDefault="007442AA" w:rsidP="007442AA">
            <w:pPr>
              <w:jc w:val="center"/>
              <w:rPr>
                <w:lang w:val="ro-RO"/>
              </w:rPr>
            </w:pPr>
            <w:r w:rsidRPr="002152E4">
              <w:rPr>
                <w:lang w:val="ro-RO"/>
              </w:rPr>
              <w:t>2013</w:t>
            </w:r>
          </w:p>
        </w:tc>
        <w:tc>
          <w:tcPr>
            <w:tcW w:w="1418" w:type="dxa"/>
            <w:vAlign w:val="bottom"/>
          </w:tcPr>
          <w:p w:rsidR="007442AA" w:rsidRPr="002152E4" w:rsidRDefault="007442AA" w:rsidP="007442AA">
            <w:pPr>
              <w:jc w:val="center"/>
              <w:rPr>
                <w:lang w:val="ro-RO"/>
              </w:rPr>
            </w:pPr>
            <w:r w:rsidRPr="002152E4">
              <w:rPr>
                <w:lang w:val="ro-RO"/>
              </w:rPr>
              <w:t>10.730</w:t>
            </w:r>
          </w:p>
        </w:tc>
        <w:tc>
          <w:tcPr>
            <w:tcW w:w="1718" w:type="dxa"/>
            <w:vAlign w:val="bottom"/>
          </w:tcPr>
          <w:p w:rsidR="007442AA" w:rsidRPr="002152E4" w:rsidRDefault="007442AA" w:rsidP="007442AA">
            <w:pPr>
              <w:jc w:val="center"/>
              <w:rPr>
                <w:lang w:val="ro-RO"/>
              </w:rPr>
            </w:pPr>
            <w:r w:rsidRPr="002152E4">
              <w:rPr>
                <w:lang w:val="ro-RO"/>
              </w:rPr>
              <w:t>16,3</w:t>
            </w:r>
          </w:p>
        </w:tc>
        <w:tc>
          <w:tcPr>
            <w:tcW w:w="858" w:type="dxa"/>
            <w:vAlign w:val="bottom"/>
          </w:tcPr>
          <w:p w:rsidR="007442AA" w:rsidRPr="002152E4" w:rsidRDefault="007442AA" w:rsidP="007442AA">
            <w:pPr>
              <w:jc w:val="center"/>
              <w:rPr>
                <w:lang w:val="ro-RO"/>
              </w:rPr>
            </w:pPr>
            <w:r w:rsidRPr="002152E4">
              <w:rPr>
                <w:lang w:val="ro-RO"/>
              </w:rPr>
              <w:t>1.093</w:t>
            </w:r>
          </w:p>
        </w:tc>
        <w:tc>
          <w:tcPr>
            <w:tcW w:w="1275" w:type="dxa"/>
            <w:gridSpan w:val="2"/>
            <w:vAlign w:val="bottom"/>
          </w:tcPr>
          <w:p w:rsidR="007442AA" w:rsidRPr="002152E4" w:rsidRDefault="007442AA" w:rsidP="007442AA">
            <w:pPr>
              <w:jc w:val="center"/>
              <w:rPr>
                <w:lang w:val="ro-RO"/>
              </w:rPr>
            </w:pPr>
            <w:r w:rsidRPr="002152E4">
              <w:rPr>
                <w:lang w:val="ro-RO"/>
              </w:rPr>
              <w:t>241</w:t>
            </w:r>
          </w:p>
        </w:tc>
        <w:tc>
          <w:tcPr>
            <w:tcW w:w="1985" w:type="dxa"/>
            <w:vAlign w:val="bottom"/>
          </w:tcPr>
          <w:p w:rsidR="007442AA" w:rsidRPr="002152E4" w:rsidRDefault="007442AA" w:rsidP="007442AA">
            <w:pPr>
              <w:jc w:val="center"/>
              <w:rPr>
                <w:lang w:val="ro-RO"/>
              </w:rPr>
            </w:pPr>
            <w:r w:rsidRPr="002152E4">
              <w:rPr>
                <w:lang w:val="ro-RO"/>
              </w:rPr>
              <w:t>760</w:t>
            </w:r>
          </w:p>
        </w:tc>
        <w:tc>
          <w:tcPr>
            <w:tcW w:w="1701" w:type="dxa"/>
            <w:vAlign w:val="bottom"/>
          </w:tcPr>
          <w:p w:rsidR="007442AA" w:rsidRPr="002152E4" w:rsidRDefault="007442AA" w:rsidP="007442AA">
            <w:pPr>
              <w:jc w:val="center"/>
              <w:rPr>
                <w:lang w:val="ro-RO"/>
              </w:rPr>
            </w:pPr>
            <w:r w:rsidRPr="002152E4">
              <w:rPr>
                <w:lang w:val="ro-RO"/>
              </w:rPr>
              <w:t>39</w:t>
            </w:r>
          </w:p>
        </w:tc>
      </w:tr>
      <w:tr w:rsidR="007442AA" w:rsidRPr="002152E4" w:rsidTr="00325390">
        <w:tc>
          <w:tcPr>
            <w:tcW w:w="1076" w:type="dxa"/>
          </w:tcPr>
          <w:p w:rsidR="007442AA" w:rsidRPr="002152E4" w:rsidRDefault="007442AA" w:rsidP="007442AA">
            <w:pPr>
              <w:jc w:val="center"/>
              <w:rPr>
                <w:lang w:val="ro-RO"/>
              </w:rPr>
            </w:pPr>
            <w:r w:rsidRPr="002152E4">
              <w:rPr>
                <w:lang w:val="ro-RO"/>
              </w:rPr>
              <w:t>2014</w:t>
            </w:r>
          </w:p>
        </w:tc>
        <w:tc>
          <w:tcPr>
            <w:tcW w:w="1418" w:type="dxa"/>
          </w:tcPr>
          <w:p w:rsidR="007442AA" w:rsidRPr="002152E4" w:rsidRDefault="007442AA" w:rsidP="007442AA">
            <w:pPr>
              <w:widowControl w:val="0"/>
              <w:jc w:val="center"/>
              <w:rPr>
                <w:lang w:val="ro-RO"/>
              </w:rPr>
            </w:pPr>
            <w:r w:rsidRPr="002152E4">
              <w:rPr>
                <w:lang w:val="ro-RO"/>
              </w:rPr>
              <w:t>9.462</w:t>
            </w:r>
          </w:p>
        </w:tc>
        <w:tc>
          <w:tcPr>
            <w:tcW w:w="1718" w:type="dxa"/>
          </w:tcPr>
          <w:p w:rsidR="007442AA" w:rsidRPr="002152E4" w:rsidRDefault="007442AA" w:rsidP="007442AA">
            <w:pPr>
              <w:widowControl w:val="0"/>
              <w:jc w:val="center"/>
              <w:rPr>
                <w:lang w:val="ro-RO"/>
              </w:rPr>
            </w:pPr>
            <w:r w:rsidRPr="002152E4">
              <w:rPr>
                <w:lang w:val="ro-RO"/>
              </w:rPr>
              <w:t>18,8</w:t>
            </w:r>
          </w:p>
        </w:tc>
        <w:tc>
          <w:tcPr>
            <w:tcW w:w="858" w:type="dxa"/>
          </w:tcPr>
          <w:p w:rsidR="007442AA" w:rsidRPr="002152E4" w:rsidRDefault="007442AA" w:rsidP="007442AA">
            <w:pPr>
              <w:widowControl w:val="0"/>
              <w:jc w:val="center"/>
              <w:rPr>
                <w:lang w:val="ro-RO"/>
              </w:rPr>
            </w:pPr>
            <w:r w:rsidRPr="002152E4">
              <w:rPr>
                <w:lang w:val="ro-RO"/>
              </w:rPr>
              <w:t>1.004</w:t>
            </w:r>
          </w:p>
        </w:tc>
        <w:tc>
          <w:tcPr>
            <w:tcW w:w="1275" w:type="dxa"/>
            <w:gridSpan w:val="2"/>
          </w:tcPr>
          <w:p w:rsidR="007442AA" w:rsidRPr="002152E4" w:rsidRDefault="007442AA" w:rsidP="007442AA">
            <w:pPr>
              <w:widowControl w:val="0"/>
              <w:jc w:val="center"/>
              <w:rPr>
                <w:lang w:val="ro-RO"/>
              </w:rPr>
            </w:pPr>
            <w:r w:rsidRPr="002152E4">
              <w:rPr>
                <w:lang w:val="ro-RO"/>
              </w:rPr>
              <w:t>380</w:t>
            </w:r>
          </w:p>
        </w:tc>
        <w:tc>
          <w:tcPr>
            <w:tcW w:w="1985" w:type="dxa"/>
          </w:tcPr>
          <w:p w:rsidR="007442AA" w:rsidRPr="002152E4" w:rsidRDefault="007442AA" w:rsidP="007442AA">
            <w:pPr>
              <w:widowControl w:val="0"/>
              <w:jc w:val="center"/>
              <w:rPr>
                <w:lang w:val="ro-RO"/>
              </w:rPr>
            </w:pPr>
            <w:r w:rsidRPr="002152E4">
              <w:rPr>
                <w:lang w:val="ro-RO"/>
              </w:rPr>
              <w:t>445</w:t>
            </w:r>
          </w:p>
        </w:tc>
        <w:tc>
          <w:tcPr>
            <w:tcW w:w="1701" w:type="dxa"/>
          </w:tcPr>
          <w:p w:rsidR="007442AA" w:rsidRPr="002152E4" w:rsidRDefault="007442AA" w:rsidP="007442AA">
            <w:pPr>
              <w:widowControl w:val="0"/>
              <w:jc w:val="center"/>
              <w:rPr>
                <w:lang w:val="ro-RO"/>
              </w:rPr>
            </w:pPr>
            <w:r w:rsidRPr="002152E4">
              <w:rPr>
                <w:lang w:val="ro-RO"/>
              </w:rPr>
              <w:t>49</w:t>
            </w:r>
          </w:p>
        </w:tc>
      </w:tr>
      <w:tr w:rsidR="007442AA" w:rsidRPr="002152E4" w:rsidTr="00325390">
        <w:tc>
          <w:tcPr>
            <w:tcW w:w="1076" w:type="dxa"/>
          </w:tcPr>
          <w:p w:rsidR="007442AA" w:rsidRPr="002152E4" w:rsidRDefault="007442AA" w:rsidP="007442AA">
            <w:pPr>
              <w:jc w:val="center"/>
              <w:rPr>
                <w:lang w:val="ro-RO"/>
              </w:rPr>
            </w:pPr>
            <w:r w:rsidRPr="002152E4">
              <w:rPr>
                <w:lang w:val="ro-RO"/>
              </w:rPr>
              <w:t>2015</w:t>
            </w:r>
          </w:p>
        </w:tc>
        <w:tc>
          <w:tcPr>
            <w:tcW w:w="1418" w:type="dxa"/>
          </w:tcPr>
          <w:p w:rsidR="007442AA" w:rsidRPr="002152E4" w:rsidRDefault="007442AA" w:rsidP="007442AA">
            <w:pPr>
              <w:widowControl w:val="0"/>
              <w:jc w:val="center"/>
              <w:rPr>
                <w:lang w:val="ro-RO"/>
              </w:rPr>
            </w:pPr>
            <w:r w:rsidRPr="002152E4">
              <w:rPr>
                <w:lang w:val="ro-RO"/>
              </w:rPr>
              <w:t>11.539</w:t>
            </w:r>
          </w:p>
        </w:tc>
        <w:tc>
          <w:tcPr>
            <w:tcW w:w="1718" w:type="dxa"/>
          </w:tcPr>
          <w:p w:rsidR="007442AA" w:rsidRPr="002152E4" w:rsidRDefault="007442AA" w:rsidP="007442AA">
            <w:pPr>
              <w:widowControl w:val="0"/>
              <w:jc w:val="center"/>
              <w:rPr>
                <w:lang w:val="ro-RO"/>
              </w:rPr>
            </w:pPr>
            <w:r w:rsidRPr="002152E4">
              <w:rPr>
                <w:lang w:val="ro-RO"/>
              </w:rPr>
              <w:t>19,6</w:t>
            </w:r>
          </w:p>
        </w:tc>
        <w:tc>
          <w:tcPr>
            <w:tcW w:w="858" w:type="dxa"/>
          </w:tcPr>
          <w:p w:rsidR="007442AA" w:rsidRPr="002152E4" w:rsidRDefault="007442AA" w:rsidP="007442AA">
            <w:pPr>
              <w:widowControl w:val="0"/>
              <w:jc w:val="center"/>
              <w:rPr>
                <w:lang w:val="ro-RO"/>
              </w:rPr>
            </w:pPr>
            <w:r w:rsidRPr="002152E4">
              <w:rPr>
                <w:lang w:val="ro-RO"/>
              </w:rPr>
              <w:t>1.051</w:t>
            </w:r>
          </w:p>
        </w:tc>
        <w:tc>
          <w:tcPr>
            <w:tcW w:w="1275" w:type="dxa"/>
            <w:gridSpan w:val="2"/>
          </w:tcPr>
          <w:p w:rsidR="007442AA" w:rsidRPr="002152E4" w:rsidRDefault="007442AA" w:rsidP="007442AA">
            <w:pPr>
              <w:widowControl w:val="0"/>
              <w:jc w:val="center"/>
              <w:rPr>
                <w:lang w:val="ro-RO"/>
              </w:rPr>
            </w:pPr>
            <w:r w:rsidRPr="002152E4">
              <w:rPr>
                <w:lang w:val="ro-RO"/>
              </w:rPr>
              <w:t>395</w:t>
            </w:r>
          </w:p>
        </w:tc>
        <w:tc>
          <w:tcPr>
            <w:tcW w:w="1985" w:type="dxa"/>
          </w:tcPr>
          <w:p w:rsidR="007442AA" w:rsidRPr="002152E4" w:rsidRDefault="007442AA" w:rsidP="007442AA">
            <w:pPr>
              <w:widowControl w:val="0"/>
              <w:jc w:val="center"/>
              <w:rPr>
                <w:lang w:val="ro-RO"/>
              </w:rPr>
            </w:pPr>
            <w:r w:rsidRPr="002152E4">
              <w:rPr>
                <w:lang w:val="ro-RO"/>
              </w:rPr>
              <w:t>529</w:t>
            </w:r>
          </w:p>
        </w:tc>
        <w:tc>
          <w:tcPr>
            <w:tcW w:w="1701" w:type="dxa"/>
          </w:tcPr>
          <w:p w:rsidR="007442AA" w:rsidRPr="002152E4" w:rsidRDefault="007442AA" w:rsidP="007442AA">
            <w:pPr>
              <w:widowControl w:val="0"/>
              <w:jc w:val="center"/>
              <w:rPr>
                <w:lang w:val="ro-RO"/>
              </w:rPr>
            </w:pPr>
            <w:r w:rsidRPr="002152E4">
              <w:rPr>
                <w:lang w:val="ro-RO"/>
              </w:rPr>
              <w:t>62</w:t>
            </w:r>
          </w:p>
        </w:tc>
      </w:tr>
      <w:tr w:rsidR="007442AA" w:rsidRPr="002152E4" w:rsidTr="00325390">
        <w:tc>
          <w:tcPr>
            <w:tcW w:w="1076" w:type="dxa"/>
            <w:tcBorders>
              <w:bottom w:val="threeDEmboss" w:sz="6" w:space="0" w:color="00B050"/>
            </w:tcBorders>
          </w:tcPr>
          <w:p w:rsidR="007442AA" w:rsidRPr="002152E4" w:rsidRDefault="007442AA" w:rsidP="007442AA">
            <w:pPr>
              <w:jc w:val="center"/>
              <w:rPr>
                <w:lang w:val="ro-RO"/>
              </w:rPr>
            </w:pPr>
            <w:r w:rsidRPr="002152E4">
              <w:rPr>
                <w:lang w:val="ro-RO"/>
              </w:rPr>
              <w:t>2016</w:t>
            </w:r>
          </w:p>
        </w:tc>
        <w:tc>
          <w:tcPr>
            <w:tcW w:w="1418" w:type="dxa"/>
            <w:tcBorders>
              <w:bottom w:val="threeDEmboss" w:sz="6" w:space="0" w:color="00B050"/>
            </w:tcBorders>
          </w:tcPr>
          <w:p w:rsidR="007442AA" w:rsidRPr="002152E4" w:rsidRDefault="007442AA" w:rsidP="007442AA">
            <w:pPr>
              <w:widowControl w:val="0"/>
              <w:jc w:val="center"/>
              <w:rPr>
                <w:lang w:val="ro-RO"/>
              </w:rPr>
            </w:pPr>
            <w:r w:rsidRPr="002152E4">
              <w:rPr>
                <w:lang w:val="ro-RO"/>
              </w:rPr>
              <w:t>12.694</w:t>
            </w:r>
          </w:p>
        </w:tc>
        <w:tc>
          <w:tcPr>
            <w:tcW w:w="1718" w:type="dxa"/>
            <w:tcBorders>
              <w:bottom w:val="threeDEmboss" w:sz="6" w:space="0" w:color="00B050"/>
            </w:tcBorders>
          </w:tcPr>
          <w:p w:rsidR="007442AA" w:rsidRPr="002152E4" w:rsidRDefault="007442AA" w:rsidP="007442AA">
            <w:pPr>
              <w:widowControl w:val="0"/>
              <w:jc w:val="center"/>
              <w:rPr>
                <w:lang w:val="ro-RO"/>
              </w:rPr>
            </w:pPr>
            <w:r w:rsidRPr="002152E4">
              <w:rPr>
                <w:lang w:val="ro-RO"/>
              </w:rPr>
              <w:t>19,9</w:t>
            </w:r>
          </w:p>
        </w:tc>
        <w:tc>
          <w:tcPr>
            <w:tcW w:w="858" w:type="dxa"/>
            <w:tcBorders>
              <w:bottom w:val="threeDEmboss" w:sz="6" w:space="0" w:color="00B050"/>
            </w:tcBorders>
          </w:tcPr>
          <w:p w:rsidR="007442AA" w:rsidRPr="002152E4" w:rsidRDefault="007442AA" w:rsidP="007442AA">
            <w:pPr>
              <w:widowControl w:val="0"/>
              <w:jc w:val="center"/>
              <w:rPr>
                <w:lang w:val="ro-RO"/>
              </w:rPr>
            </w:pPr>
            <w:r w:rsidRPr="002152E4">
              <w:rPr>
                <w:lang w:val="ro-RO"/>
              </w:rPr>
              <w:t>919</w:t>
            </w:r>
          </w:p>
        </w:tc>
        <w:tc>
          <w:tcPr>
            <w:tcW w:w="1275" w:type="dxa"/>
            <w:gridSpan w:val="2"/>
            <w:tcBorders>
              <w:bottom w:val="threeDEmboss" w:sz="6" w:space="0" w:color="00B050"/>
            </w:tcBorders>
          </w:tcPr>
          <w:p w:rsidR="007442AA" w:rsidRPr="002152E4" w:rsidRDefault="007442AA" w:rsidP="007442AA">
            <w:pPr>
              <w:widowControl w:val="0"/>
              <w:jc w:val="center"/>
              <w:rPr>
                <w:lang w:val="ro-RO"/>
              </w:rPr>
            </w:pPr>
            <w:r w:rsidRPr="002152E4">
              <w:rPr>
                <w:lang w:val="ro-RO"/>
              </w:rPr>
              <w:t>371</w:t>
            </w:r>
          </w:p>
        </w:tc>
        <w:tc>
          <w:tcPr>
            <w:tcW w:w="1985" w:type="dxa"/>
            <w:tcBorders>
              <w:bottom w:val="threeDEmboss" w:sz="6" w:space="0" w:color="00B050"/>
            </w:tcBorders>
          </w:tcPr>
          <w:p w:rsidR="007442AA" w:rsidRPr="002152E4" w:rsidRDefault="007442AA" w:rsidP="007442AA">
            <w:pPr>
              <w:widowControl w:val="0"/>
              <w:jc w:val="center"/>
              <w:rPr>
                <w:lang w:val="ro-RO"/>
              </w:rPr>
            </w:pPr>
            <w:r w:rsidRPr="002152E4">
              <w:rPr>
                <w:lang w:val="ro-RO"/>
              </w:rPr>
              <w:t>418</w:t>
            </w:r>
          </w:p>
        </w:tc>
        <w:tc>
          <w:tcPr>
            <w:tcW w:w="1701" w:type="dxa"/>
            <w:tcBorders>
              <w:bottom w:val="threeDEmboss" w:sz="6" w:space="0" w:color="00B050"/>
            </w:tcBorders>
          </w:tcPr>
          <w:p w:rsidR="007442AA" w:rsidRPr="002152E4" w:rsidRDefault="007442AA" w:rsidP="007442AA">
            <w:pPr>
              <w:widowControl w:val="0"/>
              <w:jc w:val="center"/>
              <w:rPr>
                <w:lang w:val="ro-RO"/>
              </w:rPr>
            </w:pPr>
            <w:r w:rsidRPr="002152E4">
              <w:rPr>
                <w:lang w:val="ro-RO"/>
              </w:rPr>
              <w:t>67</w:t>
            </w:r>
          </w:p>
        </w:tc>
      </w:tr>
      <w:tr w:rsidR="007442AA" w:rsidRPr="002152E4" w:rsidTr="00325390">
        <w:tc>
          <w:tcPr>
            <w:tcW w:w="1076"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rPr>
                <w:b/>
                <w:i/>
                <w:u w:val="single"/>
                <w:lang w:val="ro-RO"/>
              </w:rPr>
            </w:pPr>
            <w:r w:rsidRPr="002152E4">
              <w:rPr>
                <w:i/>
                <w:lang w:val="ro-RO"/>
              </w:rPr>
              <w:t xml:space="preserve">% </w:t>
            </w:r>
            <w:r w:rsidRPr="002152E4">
              <w:rPr>
                <w:b/>
                <w:i/>
                <w:u w:val="single"/>
                <w:lang w:val="ro-RO"/>
              </w:rPr>
              <w:t>2016</w:t>
            </w:r>
          </w:p>
          <w:p w:rsidR="007442AA" w:rsidRPr="002152E4" w:rsidRDefault="007442AA" w:rsidP="007442AA">
            <w:pPr>
              <w:ind w:left="-90"/>
              <w:rPr>
                <w:b/>
                <w:lang w:val="ro-RO"/>
              </w:rPr>
            </w:pPr>
            <w:r w:rsidRPr="002152E4">
              <w:rPr>
                <w:i/>
                <w:lang w:val="ro-RO"/>
              </w:rPr>
              <w:t xml:space="preserve"> +/- </w:t>
            </w:r>
            <w:r w:rsidRPr="002152E4">
              <w:rPr>
                <w:b/>
                <w:i/>
                <w:lang w:val="ro-RO"/>
              </w:rPr>
              <w:t>2015</w:t>
            </w:r>
          </w:p>
        </w:tc>
        <w:tc>
          <w:tcPr>
            <w:tcW w:w="1418"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+10,0</w:t>
            </w:r>
          </w:p>
        </w:tc>
        <w:tc>
          <w:tcPr>
            <w:tcW w:w="1718"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w:t>
            </w:r>
          </w:p>
        </w:tc>
        <w:tc>
          <w:tcPr>
            <w:tcW w:w="858"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-12,6</w:t>
            </w:r>
          </w:p>
        </w:tc>
        <w:tc>
          <w:tcPr>
            <w:tcW w:w="1275" w:type="dxa"/>
            <w:gridSpan w:val="2"/>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-6,1</w:t>
            </w:r>
          </w:p>
        </w:tc>
        <w:tc>
          <w:tcPr>
            <w:tcW w:w="1985"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-21,0</w:t>
            </w:r>
          </w:p>
        </w:tc>
        <w:tc>
          <w:tcPr>
            <w:tcW w:w="1701" w:type="dxa"/>
            <w:tcBorders>
              <w:top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+8,1</w:t>
            </w:r>
          </w:p>
        </w:tc>
      </w:tr>
    </w:tbl>
    <w:p w:rsidR="007442AA" w:rsidRPr="002152E4" w:rsidRDefault="007442AA" w:rsidP="007442AA">
      <w:pPr>
        <w:widowControl w:val="0"/>
        <w:rPr>
          <w:lang w:val="ro-RO"/>
        </w:rPr>
      </w:pPr>
    </w:p>
    <w:tbl>
      <w:tblPr>
        <w:tblW w:w="10031"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1E0" w:firstRow="1" w:lastRow="1" w:firstColumn="1" w:lastColumn="1" w:noHBand="0" w:noVBand="0"/>
      </w:tblPr>
      <w:tblGrid>
        <w:gridCol w:w="1242"/>
        <w:gridCol w:w="1701"/>
        <w:gridCol w:w="1701"/>
        <w:gridCol w:w="1701"/>
        <w:gridCol w:w="1844"/>
        <w:gridCol w:w="1842"/>
      </w:tblGrid>
      <w:tr w:rsidR="007442AA" w:rsidRPr="002152E4" w:rsidTr="007442AA">
        <w:trPr>
          <w:cantSplit/>
          <w:trHeight w:val="1397"/>
        </w:trPr>
        <w:tc>
          <w:tcPr>
            <w:tcW w:w="1242"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r w:rsidRPr="002152E4">
              <w:rPr>
                <w:b/>
                <w:lang w:val="ro-RO"/>
              </w:rPr>
              <w:t>ANUL</w:t>
            </w:r>
          </w:p>
          <w:p w:rsidR="007442AA" w:rsidRPr="002152E4" w:rsidRDefault="007442AA" w:rsidP="007442AA">
            <w:pPr>
              <w:jc w:val="center"/>
              <w:rPr>
                <w:lang w:val="ro-RO"/>
              </w:rPr>
            </w:pPr>
          </w:p>
        </w:tc>
        <w:tc>
          <w:tcPr>
            <w:tcW w:w="1701"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loviri sau vătămări cauzatoare </w:t>
            </w:r>
          </w:p>
          <w:p w:rsidR="007442AA" w:rsidRPr="002152E4" w:rsidRDefault="007442AA" w:rsidP="007442AA">
            <w:pPr>
              <w:jc w:val="center"/>
              <w:rPr>
                <w:b/>
                <w:lang w:val="ro-RO"/>
              </w:rPr>
            </w:pPr>
            <w:r w:rsidRPr="002152E4">
              <w:rPr>
                <w:b/>
                <w:lang w:val="ro-RO"/>
              </w:rPr>
              <w:t>de moarte</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195 C"/>
              </w:smartTagPr>
              <w:r w:rsidRPr="002152E4">
                <w:rPr>
                  <w:b/>
                  <w:lang w:val="ro-RO"/>
                </w:rPr>
                <w:t>195 C</w:t>
              </w:r>
            </w:smartTag>
            <w:r w:rsidRPr="002152E4">
              <w:rPr>
                <w:b/>
                <w:lang w:val="ro-RO"/>
              </w:rPr>
              <w:t>.p.)</w:t>
            </w:r>
          </w:p>
        </w:tc>
        <w:tc>
          <w:tcPr>
            <w:tcW w:w="1701"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trafic de persoane</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10 C"/>
              </w:smartTagPr>
              <w:r w:rsidRPr="002152E4">
                <w:rPr>
                  <w:b/>
                  <w:lang w:val="ro-RO"/>
                </w:rPr>
                <w:t>210 C</w:t>
              </w:r>
            </w:smartTag>
            <w:r w:rsidRPr="002152E4">
              <w:rPr>
                <w:b/>
                <w:lang w:val="ro-RO"/>
              </w:rPr>
              <w:t>.p.)</w:t>
            </w:r>
          </w:p>
        </w:tc>
        <w:tc>
          <w:tcPr>
            <w:tcW w:w="1701"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trafic de </w:t>
            </w:r>
          </w:p>
          <w:p w:rsidR="007442AA" w:rsidRPr="002152E4" w:rsidRDefault="007442AA" w:rsidP="007442AA">
            <w:pPr>
              <w:jc w:val="center"/>
              <w:rPr>
                <w:b/>
                <w:lang w:val="ro-RO"/>
              </w:rPr>
            </w:pPr>
            <w:r w:rsidRPr="002152E4">
              <w:rPr>
                <w:b/>
                <w:lang w:val="ro-RO"/>
              </w:rPr>
              <w:t>minori</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11 C"/>
              </w:smartTagPr>
              <w:r w:rsidRPr="002152E4">
                <w:rPr>
                  <w:b/>
                  <w:lang w:val="ro-RO"/>
                </w:rPr>
                <w:t>211 C</w:t>
              </w:r>
            </w:smartTag>
            <w:r w:rsidRPr="002152E4">
              <w:rPr>
                <w:b/>
                <w:lang w:val="ro-RO"/>
              </w:rPr>
              <w:t>.p.)</w:t>
            </w:r>
          </w:p>
        </w:tc>
        <w:tc>
          <w:tcPr>
            <w:tcW w:w="1844"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proxenetism</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13 C"/>
              </w:smartTagPr>
              <w:r w:rsidRPr="002152E4">
                <w:rPr>
                  <w:b/>
                  <w:lang w:val="ro-RO"/>
                </w:rPr>
                <w:t>213 C</w:t>
              </w:r>
            </w:smartTag>
            <w:r w:rsidRPr="002152E4">
              <w:rPr>
                <w:b/>
                <w:lang w:val="ro-RO"/>
              </w:rPr>
              <w:t>.p.)</w:t>
            </w:r>
          </w:p>
        </w:tc>
        <w:tc>
          <w:tcPr>
            <w:tcW w:w="1842" w:type="dxa"/>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viol</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18 C"/>
              </w:smartTagPr>
              <w:r w:rsidRPr="002152E4">
                <w:rPr>
                  <w:b/>
                  <w:lang w:val="ro-RO"/>
                </w:rPr>
                <w:t>218 C</w:t>
              </w:r>
            </w:smartTag>
            <w:r w:rsidRPr="002152E4">
              <w:rPr>
                <w:b/>
                <w:lang w:val="ro-RO"/>
              </w:rPr>
              <w:t>.p.)</w:t>
            </w:r>
          </w:p>
        </w:tc>
      </w:tr>
      <w:tr w:rsidR="007442AA" w:rsidRPr="002152E4" w:rsidTr="007442AA">
        <w:tblPrEx>
          <w:tblLook w:val="0000" w:firstRow="0" w:lastRow="0" w:firstColumn="0" w:lastColumn="0" w:noHBand="0" w:noVBand="0"/>
        </w:tblPrEx>
        <w:tc>
          <w:tcPr>
            <w:tcW w:w="1242" w:type="dxa"/>
            <w:tcBorders>
              <w:top w:val="threeDEmboss" w:sz="6" w:space="0" w:color="00B050"/>
            </w:tcBorders>
          </w:tcPr>
          <w:p w:rsidR="007442AA" w:rsidRPr="002152E4" w:rsidRDefault="007442AA" w:rsidP="007442AA">
            <w:pPr>
              <w:jc w:val="center"/>
              <w:rPr>
                <w:lang w:val="ro-RO"/>
              </w:rPr>
            </w:pPr>
            <w:r w:rsidRPr="002152E4">
              <w:rPr>
                <w:lang w:val="ro-RO"/>
              </w:rPr>
              <w:t>2007</w:t>
            </w:r>
          </w:p>
        </w:tc>
        <w:tc>
          <w:tcPr>
            <w:tcW w:w="1701" w:type="dxa"/>
            <w:tcBorders>
              <w:top w:val="threeDEmboss" w:sz="6" w:space="0" w:color="00B050"/>
            </w:tcBorders>
            <w:vAlign w:val="bottom"/>
          </w:tcPr>
          <w:p w:rsidR="007442AA" w:rsidRPr="002152E4" w:rsidRDefault="007442AA" w:rsidP="007442AA">
            <w:pPr>
              <w:jc w:val="center"/>
              <w:rPr>
                <w:lang w:val="ro-RO"/>
              </w:rPr>
            </w:pPr>
            <w:r w:rsidRPr="002152E4">
              <w:rPr>
                <w:lang w:val="ro-RO"/>
              </w:rPr>
              <w:t>125</w:t>
            </w:r>
          </w:p>
        </w:tc>
        <w:tc>
          <w:tcPr>
            <w:tcW w:w="1701" w:type="dxa"/>
            <w:tcBorders>
              <w:top w:val="threeDEmboss" w:sz="6" w:space="0" w:color="00B050"/>
            </w:tcBorders>
            <w:vAlign w:val="bottom"/>
          </w:tcPr>
          <w:p w:rsidR="007442AA" w:rsidRPr="002152E4" w:rsidRDefault="007442AA" w:rsidP="007442AA">
            <w:pPr>
              <w:jc w:val="center"/>
              <w:rPr>
                <w:lang w:val="ro-RO"/>
              </w:rPr>
            </w:pPr>
            <w:r w:rsidRPr="002152E4">
              <w:rPr>
                <w:lang w:val="ro-RO"/>
              </w:rPr>
              <w:t>411</w:t>
            </w:r>
          </w:p>
        </w:tc>
        <w:tc>
          <w:tcPr>
            <w:tcW w:w="1701" w:type="dxa"/>
            <w:tcBorders>
              <w:top w:val="threeDEmboss" w:sz="6" w:space="0" w:color="00B050"/>
            </w:tcBorders>
            <w:vAlign w:val="bottom"/>
          </w:tcPr>
          <w:p w:rsidR="007442AA" w:rsidRPr="002152E4" w:rsidRDefault="007442AA" w:rsidP="007442AA">
            <w:pPr>
              <w:jc w:val="center"/>
              <w:rPr>
                <w:lang w:val="ro-RO"/>
              </w:rPr>
            </w:pPr>
            <w:r w:rsidRPr="002152E4">
              <w:rPr>
                <w:lang w:val="ro-RO"/>
              </w:rPr>
              <w:t>105</w:t>
            </w:r>
          </w:p>
        </w:tc>
        <w:tc>
          <w:tcPr>
            <w:tcW w:w="1844" w:type="dxa"/>
            <w:tcBorders>
              <w:top w:val="threeDEmboss" w:sz="6" w:space="0" w:color="00B050"/>
            </w:tcBorders>
            <w:vAlign w:val="bottom"/>
          </w:tcPr>
          <w:p w:rsidR="007442AA" w:rsidRPr="002152E4" w:rsidRDefault="007442AA" w:rsidP="007442AA">
            <w:pPr>
              <w:jc w:val="center"/>
              <w:rPr>
                <w:lang w:val="ro-RO"/>
              </w:rPr>
            </w:pPr>
            <w:r w:rsidRPr="002152E4">
              <w:rPr>
                <w:lang w:val="ro-RO"/>
              </w:rPr>
              <w:t>47</w:t>
            </w:r>
          </w:p>
        </w:tc>
        <w:tc>
          <w:tcPr>
            <w:tcW w:w="1842" w:type="dxa"/>
            <w:tcBorders>
              <w:top w:val="threeDEmboss" w:sz="6" w:space="0" w:color="00B050"/>
            </w:tcBorders>
            <w:vAlign w:val="bottom"/>
          </w:tcPr>
          <w:p w:rsidR="007442AA" w:rsidRPr="002152E4" w:rsidRDefault="007442AA" w:rsidP="007442AA">
            <w:pPr>
              <w:jc w:val="center"/>
              <w:rPr>
                <w:lang w:val="ro-RO"/>
              </w:rPr>
            </w:pPr>
            <w:r w:rsidRPr="002152E4">
              <w:rPr>
                <w:lang w:val="ro-RO"/>
              </w:rPr>
              <w:t>559</w:t>
            </w:r>
          </w:p>
        </w:tc>
      </w:tr>
      <w:tr w:rsidR="007442AA" w:rsidRPr="002152E4" w:rsidTr="007442AA">
        <w:tblPrEx>
          <w:tblLook w:val="0000" w:firstRow="0" w:lastRow="0" w:firstColumn="0" w:lastColumn="0" w:noHBand="0" w:noVBand="0"/>
        </w:tblPrEx>
        <w:tc>
          <w:tcPr>
            <w:tcW w:w="1242" w:type="dxa"/>
          </w:tcPr>
          <w:p w:rsidR="007442AA" w:rsidRPr="002152E4" w:rsidRDefault="007442AA" w:rsidP="007442AA">
            <w:pPr>
              <w:jc w:val="center"/>
              <w:rPr>
                <w:lang w:val="ro-RO"/>
              </w:rPr>
            </w:pPr>
            <w:r w:rsidRPr="002152E4">
              <w:rPr>
                <w:lang w:val="ro-RO"/>
              </w:rPr>
              <w:t>2008</w:t>
            </w:r>
          </w:p>
        </w:tc>
        <w:tc>
          <w:tcPr>
            <w:tcW w:w="1701" w:type="dxa"/>
            <w:vAlign w:val="bottom"/>
          </w:tcPr>
          <w:p w:rsidR="007442AA" w:rsidRPr="002152E4" w:rsidRDefault="007442AA" w:rsidP="007442AA">
            <w:pPr>
              <w:jc w:val="center"/>
              <w:rPr>
                <w:lang w:val="ro-RO"/>
              </w:rPr>
            </w:pPr>
            <w:r w:rsidRPr="002152E4">
              <w:rPr>
                <w:lang w:val="ro-RO"/>
              </w:rPr>
              <w:t>81</w:t>
            </w:r>
          </w:p>
        </w:tc>
        <w:tc>
          <w:tcPr>
            <w:tcW w:w="1701" w:type="dxa"/>
            <w:vAlign w:val="bottom"/>
          </w:tcPr>
          <w:p w:rsidR="007442AA" w:rsidRPr="002152E4" w:rsidRDefault="007442AA" w:rsidP="007442AA">
            <w:pPr>
              <w:jc w:val="center"/>
              <w:rPr>
                <w:lang w:val="ro-RO"/>
              </w:rPr>
            </w:pPr>
            <w:r w:rsidRPr="002152E4">
              <w:rPr>
                <w:lang w:val="ro-RO"/>
              </w:rPr>
              <w:t>333</w:t>
            </w:r>
          </w:p>
        </w:tc>
        <w:tc>
          <w:tcPr>
            <w:tcW w:w="1701" w:type="dxa"/>
            <w:vAlign w:val="bottom"/>
          </w:tcPr>
          <w:p w:rsidR="007442AA" w:rsidRPr="002152E4" w:rsidRDefault="007442AA" w:rsidP="007442AA">
            <w:pPr>
              <w:jc w:val="center"/>
              <w:rPr>
                <w:lang w:val="ro-RO"/>
              </w:rPr>
            </w:pPr>
            <w:r w:rsidRPr="002152E4">
              <w:rPr>
                <w:lang w:val="ro-RO"/>
              </w:rPr>
              <w:t>98</w:t>
            </w:r>
          </w:p>
        </w:tc>
        <w:tc>
          <w:tcPr>
            <w:tcW w:w="1844" w:type="dxa"/>
            <w:vAlign w:val="bottom"/>
          </w:tcPr>
          <w:p w:rsidR="007442AA" w:rsidRPr="002152E4" w:rsidRDefault="007442AA" w:rsidP="007442AA">
            <w:pPr>
              <w:jc w:val="center"/>
              <w:rPr>
                <w:lang w:val="ro-RO"/>
              </w:rPr>
            </w:pPr>
            <w:r w:rsidRPr="002152E4">
              <w:rPr>
                <w:lang w:val="ro-RO"/>
              </w:rPr>
              <w:t>46</w:t>
            </w:r>
          </w:p>
        </w:tc>
        <w:tc>
          <w:tcPr>
            <w:tcW w:w="1842" w:type="dxa"/>
            <w:vAlign w:val="bottom"/>
          </w:tcPr>
          <w:p w:rsidR="007442AA" w:rsidRPr="002152E4" w:rsidRDefault="007442AA" w:rsidP="007442AA">
            <w:pPr>
              <w:jc w:val="center"/>
              <w:rPr>
                <w:lang w:val="ro-RO"/>
              </w:rPr>
            </w:pPr>
            <w:r w:rsidRPr="002152E4">
              <w:rPr>
                <w:lang w:val="ro-RO"/>
              </w:rPr>
              <w:t>532</w:t>
            </w:r>
          </w:p>
        </w:tc>
      </w:tr>
      <w:tr w:rsidR="007442AA" w:rsidRPr="002152E4" w:rsidTr="007442AA">
        <w:tblPrEx>
          <w:tblLook w:val="0000" w:firstRow="0" w:lastRow="0" w:firstColumn="0" w:lastColumn="0" w:noHBand="0" w:noVBand="0"/>
        </w:tblPrEx>
        <w:tc>
          <w:tcPr>
            <w:tcW w:w="1242" w:type="dxa"/>
          </w:tcPr>
          <w:p w:rsidR="007442AA" w:rsidRPr="002152E4" w:rsidRDefault="007442AA" w:rsidP="007442AA">
            <w:pPr>
              <w:jc w:val="center"/>
              <w:rPr>
                <w:lang w:val="ro-RO"/>
              </w:rPr>
            </w:pPr>
            <w:r w:rsidRPr="002152E4">
              <w:rPr>
                <w:lang w:val="ro-RO"/>
              </w:rPr>
              <w:t>2009</w:t>
            </w:r>
          </w:p>
        </w:tc>
        <w:tc>
          <w:tcPr>
            <w:tcW w:w="1701" w:type="dxa"/>
            <w:vAlign w:val="bottom"/>
          </w:tcPr>
          <w:p w:rsidR="007442AA" w:rsidRPr="002152E4" w:rsidRDefault="007442AA" w:rsidP="007442AA">
            <w:pPr>
              <w:jc w:val="center"/>
              <w:rPr>
                <w:lang w:val="ro-RO"/>
              </w:rPr>
            </w:pPr>
            <w:r w:rsidRPr="002152E4">
              <w:rPr>
                <w:lang w:val="ro-RO"/>
              </w:rPr>
              <w:t>98</w:t>
            </w:r>
          </w:p>
        </w:tc>
        <w:tc>
          <w:tcPr>
            <w:tcW w:w="1701" w:type="dxa"/>
            <w:vAlign w:val="bottom"/>
          </w:tcPr>
          <w:p w:rsidR="007442AA" w:rsidRPr="002152E4" w:rsidRDefault="007442AA" w:rsidP="007442AA">
            <w:pPr>
              <w:jc w:val="center"/>
              <w:rPr>
                <w:lang w:val="ro-RO"/>
              </w:rPr>
            </w:pPr>
            <w:r w:rsidRPr="002152E4">
              <w:rPr>
                <w:lang w:val="ro-RO"/>
              </w:rPr>
              <w:t>262</w:t>
            </w:r>
          </w:p>
        </w:tc>
        <w:tc>
          <w:tcPr>
            <w:tcW w:w="1701" w:type="dxa"/>
            <w:vAlign w:val="bottom"/>
          </w:tcPr>
          <w:p w:rsidR="007442AA" w:rsidRPr="002152E4" w:rsidRDefault="007442AA" w:rsidP="007442AA">
            <w:pPr>
              <w:jc w:val="center"/>
              <w:rPr>
                <w:lang w:val="ro-RO"/>
              </w:rPr>
            </w:pPr>
            <w:r w:rsidRPr="002152E4">
              <w:rPr>
                <w:lang w:val="ro-RO"/>
              </w:rPr>
              <w:t>87</w:t>
            </w:r>
          </w:p>
        </w:tc>
        <w:tc>
          <w:tcPr>
            <w:tcW w:w="1844" w:type="dxa"/>
            <w:vAlign w:val="bottom"/>
          </w:tcPr>
          <w:p w:rsidR="007442AA" w:rsidRPr="002152E4" w:rsidRDefault="007442AA" w:rsidP="007442AA">
            <w:pPr>
              <w:jc w:val="center"/>
              <w:rPr>
                <w:lang w:val="ro-RO"/>
              </w:rPr>
            </w:pPr>
            <w:r w:rsidRPr="002152E4">
              <w:rPr>
                <w:lang w:val="ro-RO"/>
              </w:rPr>
              <w:t>46</w:t>
            </w:r>
          </w:p>
        </w:tc>
        <w:tc>
          <w:tcPr>
            <w:tcW w:w="1842" w:type="dxa"/>
            <w:vAlign w:val="bottom"/>
          </w:tcPr>
          <w:p w:rsidR="007442AA" w:rsidRPr="002152E4" w:rsidRDefault="007442AA" w:rsidP="007442AA">
            <w:pPr>
              <w:jc w:val="center"/>
              <w:rPr>
                <w:lang w:val="ro-RO"/>
              </w:rPr>
            </w:pPr>
            <w:r w:rsidRPr="002152E4">
              <w:rPr>
                <w:lang w:val="ro-RO"/>
              </w:rPr>
              <w:t>540</w:t>
            </w:r>
          </w:p>
        </w:tc>
      </w:tr>
      <w:tr w:rsidR="007442AA" w:rsidRPr="002152E4" w:rsidTr="007442AA">
        <w:tblPrEx>
          <w:tblLook w:val="0000" w:firstRow="0" w:lastRow="0" w:firstColumn="0" w:lastColumn="0" w:noHBand="0" w:noVBand="0"/>
        </w:tblPrEx>
        <w:tc>
          <w:tcPr>
            <w:tcW w:w="1242" w:type="dxa"/>
          </w:tcPr>
          <w:p w:rsidR="007442AA" w:rsidRPr="002152E4" w:rsidRDefault="007442AA" w:rsidP="007442AA">
            <w:pPr>
              <w:jc w:val="center"/>
              <w:rPr>
                <w:lang w:val="ro-RO"/>
              </w:rPr>
            </w:pPr>
            <w:r w:rsidRPr="002152E4">
              <w:rPr>
                <w:lang w:val="ro-RO"/>
              </w:rPr>
              <w:t>2010</w:t>
            </w:r>
          </w:p>
        </w:tc>
        <w:tc>
          <w:tcPr>
            <w:tcW w:w="1701" w:type="dxa"/>
            <w:vAlign w:val="bottom"/>
          </w:tcPr>
          <w:p w:rsidR="007442AA" w:rsidRPr="002152E4" w:rsidRDefault="007442AA" w:rsidP="007442AA">
            <w:pPr>
              <w:jc w:val="center"/>
              <w:rPr>
                <w:lang w:val="ro-RO"/>
              </w:rPr>
            </w:pPr>
            <w:r w:rsidRPr="002152E4">
              <w:rPr>
                <w:lang w:val="ro-RO"/>
              </w:rPr>
              <w:t>100</w:t>
            </w:r>
          </w:p>
        </w:tc>
        <w:tc>
          <w:tcPr>
            <w:tcW w:w="1701" w:type="dxa"/>
            <w:vAlign w:val="bottom"/>
          </w:tcPr>
          <w:p w:rsidR="007442AA" w:rsidRPr="002152E4" w:rsidRDefault="007442AA" w:rsidP="007442AA">
            <w:pPr>
              <w:jc w:val="center"/>
              <w:rPr>
                <w:lang w:val="ro-RO"/>
              </w:rPr>
            </w:pPr>
            <w:r w:rsidRPr="002152E4">
              <w:rPr>
                <w:lang w:val="ro-RO"/>
              </w:rPr>
              <w:t>415</w:t>
            </w:r>
          </w:p>
        </w:tc>
        <w:tc>
          <w:tcPr>
            <w:tcW w:w="1701" w:type="dxa"/>
            <w:vAlign w:val="bottom"/>
          </w:tcPr>
          <w:p w:rsidR="007442AA" w:rsidRPr="002152E4" w:rsidRDefault="007442AA" w:rsidP="007442AA">
            <w:pPr>
              <w:jc w:val="center"/>
              <w:rPr>
                <w:lang w:val="ro-RO"/>
              </w:rPr>
            </w:pPr>
            <w:r w:rsidRPr="002152E4">
              <w:rPr>
                <w:lang w:val="ro-RO"/>
              </w:rPr>
              <w:t>191</w:t>
            </w:r>
          </w:p>
        </w:tc>
        <w:tc>
          <w:tcPr>
            <w:tcW w:w="1844" w:type="dxa"/>
            <w:vAlign w:val="bottom"/>
          </w:tcPr>
          <w:p w:rsidR="007442AA" w:rsidRPr="002152E4" w:rsidRDefault="007442AA" w:rsidP="007442AA">
            <w:pPr>
              <w:jc w:val="center"/>
              <w:rPr>
                <w:lang w:val="ro-RO"/>
              </w:rPr>
            </w:pPr>
            <w:r w:rsidRPr="002152E4">
              <w:rPr>
                <w:lang w:val="ro-RO"/>
              </w:rPr>
              <w:t>43</w:t>
            </w:r>
          </w:p>
        </w:tc>
        <w:tc>
          <w:tcPr>
            <w:tcW w:w="1842" w:type="dxa"/>
            <w:vAlign w:val="bottom"/>
          </w:tcPr>
          <w:p w:rsidR="007442AA" w:rsidRPr="002152E4" w:rsidRDefault="007442AA" w:rsidP="007442AA">
            <w:pPr>
              <w:jc w:val="center"/>
              <w:rPr>
                <w:lang w:val="ro-RO"/>
              </w:rPr>
            </w:pPr>
            <w:r w:rsidRPr="002152E4">
              <w:rPr>
                <w:lang w:val="ro-RO"/>
              </w:rPr>
              <w:t>507</w:t>
            </w:r>
          </w:p>
        </w:tc>
      </w:tr>
      <w:tr w:rsidR="007442AA" w:rsidRPr="002152E4" w:rsidTr="007442AA">
        <w:tblPrEx>
          <w:tblLook w:val="0000" w:firstRow="0" w:lastRow="0" w:firstColumn="0" w:lastColumn="0" w:noHBand="0" w:noVBand="0"/>
        </w:tblPrEx>
        <w:tc>
          <w:tcPr>
            <w:tcW w:w="1242" w:type="dxa"/>
          </w:tcPr>
          <w:p w:rsidR="007442AA" w:rsidRPr="002152E4" w:rsidRDefault="007442AA" w:rsidP="007442AA">
            <w:pPr>
              <w:jc w:val="center"/>
              <w:rPr>
                <w:lang w:val="ro-RO"/>
              </w:rPr>
            </w:pPr>
            <w:r w:rsidRPr="002152E4">
              <w:rPr>
                <w:lang w:val="ro-RO"/>
              </w:rPr>
              <w:t>2011</w:t>
            </w:r>
          </w:p>
        </w:tc>
        <w:tc>
          <w:tcPr>
            <w:tcW w:w="1701" w:type="dxa"/>
            <w:vAlign w:val="bottom"/>
          </w:tcPr>
          <w:p w:rsidR="007442AA" w:rsidRPr="002152E4" w:rsidRDefault="007442AA" w:rsidP="007442AA">
            <w:pPr>
              <w:jc w:val="center"/>
              <w:rPr>
                <w:lang w:val="ro-RO"/>
              </w:rPr>
            </w:pPr>
            <w:r w:rsidRPr="002152E4">
              <w:rPr>
                <w:lang w:val="ro-RO"/>
              </w:rPr>
              <w:t>83</w:t>
            </w:r>
          </w:p>
        </w:tc>
        <w:tc>
          <w:tcPr>
            <w:tcW w:w="1701" w:type="dxa"/>
            <w:vAlign w:val="bottom"/>
          </w:tcPr>
          <w:p w:rsidR="007442AA" w:rsidRPr="002152E4" w:rsidRDefault="007442AA" w:rsidP="007442AA">
            <w:pPr>
              <w:jc w:val="center"/>
              <w:rPr>
                <w:lang w:val="ro-RO"/>
              </w:rPr>
            </w:pPr>
            <w:r w:rsidRPr="002152E4">
              <w:rPr>
                <w:lang w:val="ro-RO"/>
              </w:rPr>
              <w:t>480</w:t>
            </w:r>
          </w:p>
        </w:tc>
        <w:tc>
          <w:tcPr>
            <w:tcW w:w="1701" w:type="dxa"/>
            <w:vAlign w:val="bottom"/>
          </w:tcPr>
          <w:p w:rsidR="007442AA" w:rsidRPr="002152E4" w:rsidRDefault="007442AA" w:rsidP="007442AA">
            <w:pPr>
              <w:jc w:val="center"/>
              <w:rPr>
                <w:lang w:val="ro-RO"/>
              </w:rPr>
            </w:pPr>
            <w:r w:rsidRPr="002152E4">
              <w:rPr>
                <w:lang w:val="ro-RO"/>
              </w:rPr>
              <w:t>241</w:t>
            </w:r>
          </w:p>
        </w:tc>
        <w:tc>
          <w:tcPr>
            <w:tcW w:w="1844" w:type="dxa"/>
            <w:vAlign w:val="bottom"/>
          </w:tcPr>
          <w:p w:rsidR="007442AA" w:rsidRPr="002152E4" w:rsidRDefault="007442AA" w:rsidP="007442AA">
            <w:pPr>
              <w:jc w:val="center"/>
              <w:rPr>
                <w:lang w:val="ro-RO"/>
              </w:rPr>
            </w:pPr>
            <w:r w:rsidRPr="002152E4">
              <w:rPr>
                <w:lang w:val="ro-RO"/>
              </w:rPr>
              <w:t>73</w:t>
            </w:r>
          </w:p>
        </w:tc>
        <w:tc>
          <w:tcPr>
            <w:tcW w:w="1842" w:type="dxa"/>
            <w:vAlign w:val="bottom"/>
          </w:tcPr>
          <w:p w:rsidR="007442AA" w:rsidRPr="002152E4" w:rsidRDefault="007442AA" w:rsidP="007442AA">
            <w:pPr>
              <w:jc w:val="center"/>
              <w:rPr>
                <w:lang w:val="ro-RO"/>
              </w:rPr>
            </w:pPr>
            <w:r w:rsidRPr="002152E4">
              <w:rPr>
                <w:lang w:val="ro-RO"/>
              </w:rPr>
              <w:t>486</w:t>
            </w:r>
          </w:p>
        </w:tc>
      </w:tr>
      <w:tr w:rsidR="007442AA" w:rsidRPr="002152E4" w:rsidTr="007442AA">
        <w:tblPrEx>
          <w:tblLook w:val="0000" w:firstRow="0" w:lastRow="0" w:firstColumn="0" w:lastColumn="0" w:noHBand="0" w:noVBand="0"/>
        </w:tblPrEx>
        <w:tc>
          <w:tcPr>
            <w:tcW w:w="1242" w:type="dxa"/>
          </w:tcPr>
          <w:p w:rsidR="007442AA" w:rsidRPr="002152E4" w:rsidRDefault="007442AA" w:rsidP="007442AA">
            <w:pPr>
              <w:jc w:val="center"/>
              <w:rPr>
                <w:lang w:val="ro-RO"/>
              </w:rPr>
            </w:pPr>
            <w:r w:rsidRPr="002152E4">
              <w:rPr>
                <w:lang w:val="ro-RO"/>
              </w:rPr>
              <w:t>2012</w:t>
            </w:r>
          </w:p>
        </w:tc>
        <w:tc>
          <w:tcPr>
            <w:tcW w:w="1701" w:type="dxa"/>
            <w:vAlign w:val="bottom"/>
          </w:tcPr>
          <w:p w:rsidR="007442AA" w:rsidRPr="002152E4" w:rsidRDefault="007442AA" w:rsidP="007442AA">
            <w:pPr>
              <w:jc w:val="center"/>
              <w:rPr>
                <w:lang w:val="ro-RO"/>
              </w:rPr>
            </w:pPr>
            <w:r w:rsidRPr="002152E4">
              <w:rPr>
                <w:lang w:val="ro-RO"/>
              </w:rPr>
              <w:t>84</w:t>
            </w:r>
          </w:p>
        </w:tc>
        <w:tc>
          <w:tcPr>
            <w:tcW w:w="1701" w:type="dxa"/>
            <w:vAlign w:val="bottom"/>
          </w:tcPr>
          <w:p w:rsidR="007442AA" w:rsidRPr="002152E4" w:rsidRDefault="007442AA" w:rsidP="007442AA">
            <w:pPr>
              <w:jc w:val="center"/>
              <w:rPr>
                <w:lang w:val="ro-RO"/>
              </w:rPr>
            </w:pPr>
            <w:r w:rsidRPr="002152E4">
              <w:rPr>
                <w:lang w:val="ro-RO"/>
              </w:rPr>
              <w:t>536</w:t>
            </w:r>
          </w:p>
        </w:tc>
        <w:tc>
          <w:tcPr>
            <w:tcW w:w="1701" w:type="dxa"/>
            <w:vAlign w:val="bottom"/>
          </w:tcPr>
          <w:p w:rsidR="007442AA" w:rsidRPr="002152E4" w:rsidRDefault="007442AA" w:rsidP="007442AA">
            <w:pPr>
              <w:jc w:val="center"/>
              <w:rPr>
                <w:lang w:val="ro-RO"/>
              </w:rPr>
            </w:pPr>
            <w:r w:rsidRPr="002152E4">
              <w:rPr>
                <w:lang w:val="ro-RO"/>
              </w:rPr>
              <w:t>276</w:t>
            </w:r>
          </w:p>
        </w:tc>
        <w:tc>
          <w:tcPr>
            <w:tcW w:w="1844" w:type="dxa"/>
            <w:vAlign w:val="bottom"/>
          </w:tcPr>
          <w:p w:rsidR="007442AA" w:rsidRPr="002152E4" w:rsidRDefault="007442AA" w:rsidP="007442AA">
            <w:pPr>
              <w:jc w:val="center"/>
              <w:rPr>
                <w:lang w:val="ro-RO"/>
              </w:rPr>
            </w:pPr>
            <w:r w:rsidRPr="002152E4">
              <w:rPr>
                <w:lang w:val="ro-RO"/>
              </w:rPr>
              <w:t>76</w:t>
            </w:r>
          </w:p>
        </w:tc>
        <w:tc>
          <w:tcPr>
            <w:tcW w:w="1842" w:type="dxa"/>
            <w:vAlign w:val="bottom"/>
          </w:tcPr>
          <w:p w:rsidR="007442AA" w:rsidRPr="002152E4" w:rsidRDefault="007442AA" w:rsidP="007442AA">
            <w:pPr>
              <w:jc w:val="center"/>
              <w:rPr>
                <w:lang w:val="ro-RO"/>
              </w:rPr>
            </w:pPr>
            <w:r w:rsidRPr="002152E4">
              <w:rPr>
                <w:lang w:val="ro-RO"/>
              </w:rPr>
              <w:t>440</w:t>
            </w:r>
          </w:p>
        </w:tc>
      </w:tr>
      <w:tr w:rsidR="007442AA" w:rsidRPr="002152E4" w:rsidTr="007442AA">
        <w:tblPrEx>
          <w:tblLook w:val="0000" w:firstRow="0" w:lastRow="0" w:firstColumn="0" w:lastColumn="0" w:noHBand="0" w:noVBand="0"/>
        </w:tblPrEx>
        <w:tc>
          <w:tcPr>
            <w:tcW w:w="1242" w:type="dxa"/>
          </w:tcPr>
          <w:p w:rsidR="007442AA" w:rsidRPr="002152E4" w:rsidRDefault="007442AA" w:rsidP="007442AA">
            <w:pPr>
              <w:jc w:val="center"/>
              <w:rPr>
                <w:lang w:val="ro-RO"/>
              </w:rPr>
            </w:pPr>
            <w:r w:rsidRPr="002152E4">
              <w:rPr>
                <w:lang w:val="ro-RO"/>
              </w:rPr>
              <w:t>2013</w:t>
            </w:r>
          </w:p>
        </w:tc>
        <w:tc>
          <w:tcPr>
            <w:tcW w:w="1701" w:type="dxa"/>
            <w:vAlign w:val="bottom"/>
          </w:tcPr>
          <w:p w:rsidR="007442AA" w:rsidRPr="002152E4" w:rsidRDefault="007442AA" w:rsidP="007442AA">
            <w:pPr>
              <w:jc w:val="center"/>
              <w:rPr>
                <w:lang w:val="ro-RO"/>
              </w:rPr>
            </w:pPr>
            <w:r w:rsidRPr="002152E4">
              <w:rPr>
                <w:lang w:val="ro-RO"/>
              </w:rPr>
              <w:t>84</w:t>
            </w:r>
          </w:p>
        </w:tc>
        <w:tc>
          <w:tcPr>
            <w:tcW w:w="1701" w:type="dxa"/>
            <w:vAlign w:val="bottom"/>
          </w:tcPr>
          <w:p w:rsidR="007442AA" w:rsidRPr="002152E4" w:rsidRDefault="007442AA" w:rsidP="007442AA">
            <w:pPr>
              <w:jc w:val="center"/>
              <w:rPr>
                <w:lang w:val="ro-RO"/>
              </w:rPr>
            </w:pPr>
            <w:r w:rsidRPr="002152E4">
              <w:rPr>
                <w:lang w:val="ro-RO"/>
              </w:rPr>
              <w:t>552</w:t>
            </w:r>
          </w:p>
        </w:tc>
        <w:tc>
          <w:tcPr>
            <w:tcW w:w="1701" w:type="dxa"/>
            <w:vAlign w:val="bottom"/>
          </w:tcPr>
          <w:p w:rsidR="007442AA" w:rsidRPr="002152E4" w:rsidRDefault="007442AA" w:rsidP="007442AA">
            <w:pPr>
              <w:jc w:val="center"/>
              <w:rPr>
                <w:lang w:val="ro-RO"/>
              </w:rPr>
            </w:pPr>
            <w:r w:rsidRPr="002152E4">
              <w:rPr>
                <w:lang w:val="ro-RO"/>
              </w:rPr>
              <w:t>282</w:t>
            </w:r>
          </w:p>
        </w:tc>
        <w:tc>
          <w:tcPr>
            <w:tcW w:w="1844" w:type="dxa"/>
            <w:vAlign w:val="bottom"/>
          </w:tcPr>
          <w:p w:rsidR="007442AA" w:rsidRPr="002152E4" w:rsidRDefault="007442AA" w:rsidP="007442AA">
            <w:pPr>
              <w:jc w:val="center"/>
              <w:rPr>
                <w:lang w:val="ro-RO"/>
              </w:rPr>
            </w:pPr>
            <w:r w:rsidRPr="002152E4">
              <w:rPr>
                <w:lang w:val="ro-RO"/>
              </w:rPr>
              <w:t>80</w:t>
            </w:r>
          </w:p>
        </w:tc>
        <w:tc>
          <w:tcPr>
            <w:tcW w:w="1842" w:type="dxa"/>
            <w:vAlign w:val="bottom"/>
          </w:tcPr>
          <w:p w:rsidR="007442AA" w:rsidRPr="002152E4" w:rsidRDefault="007442AA" w:rsidP="007442AA">
            <w:pPr>
              <w:jc w:val="center"/>
              <w:rPr>
                <w:lang w:val="ro-RO"/>
              </w:rPr>
            </w:pPr>
            <w:r w:rsidRPr="002152E4">
              <w:rPr>
                <w:lang w:val="ro-RO"/>
              </w:rPr>
              <w:t>466</w:t>
            </w:r>
          </w:p>
        </w:tc>
      </w:tr>
      <w:tr w:rsidR="007442AA" w:rsidRPr="002152E4" w:rsidTr="007442AA">
        <w:tblPrEx>
          <w:tblLook w:val="0000" w:firstRow="0" w:lastRow="0" w:firstColumn="0" w:lastColumn="0" w:noHBand="0" w:noVBand="0"/>
        </w:tblPrEx>
        <w:tc>
          <w:tcPr>
            <w:tcW w:w="1242" w:type="dxa"/>
          </w:tcPr>
          <w:p w:rsidR="007442AA" w:rsidRPr="002152E4" w:rsidRDefault="007442AA" w:rsidP="007442AA">
            <w:pPr>
              <w:jc w:val="center"/>
              <w:rPr>
                <w:lang w:val="ro-RO"/>
              </w:rPr>
            </w:pPr>
            <w:r w:rsidRPr="002152E4">
              <w:rPr>
                <w:lang w:val="ro-RO"/>
              </w:rPr>
              <w:t>2014</w:t>
            </w:r>
          </w:p>
        </w:tc>
        <w:tc>
          <w:tcPr>
            <w:tcW w:w="1701" w:type="dxa"/>
          </w:tcPr>
          <w:p w:rsidR="007442AA" w:rsidRPr="002152E4" w:rsidRDefault="007442AA" w:rsidP="007442AA">
            <w:pPr>
              <w:widowControl w:val="0"/>
              <w:jc w:val="center"/>
              <w:rPr>
                <w:lang w:val="ro-RO"/>
              </w:rPr>
            </w:pPr>
            <w:r w:rsidRPr="002152E4">
              <w:rPr>
                <w:lang w:val="ro-RO"/>
              </w:rPr>
              <w:t>78</w:t>
            </w:r>
          </w:p>
        </w:tc>
        <w:tc>
          <w:tcPr>
            <w:tcW w:w="1701" w:type="dxa"/>
          </w:tcPr>
          <w:p w:rsidR="007442AA" w:rsidRPr="002152E4" w:rsidRDefault="007442AA" w:rsidP="007442AA">
            <w:pPr>
              <w:widowControl w:val="0"/>
              <w:jc w:val="center"/>
              <w:rPr>
                <w:lang w:val="ro-RO"/>
              </w:rPr>
            </w:pPr>
            <w:r w:rsidRPr="002152E4">
              <w:rPr>
                <w:lang w:val="ro-RO"/>
              </w:rPr>
              <w:t>183</w:t>
            </w:r>
          </w:p>
        </w:tc>
        <w:tc>
          <w:tcPr>
            <w:tcW w:w="1701" w:type="dxa"/>
          </w:tcPr>
          <w:p w:rsidR="007442AA" w:rsidRPr="002152E4" w:rsidRDefault="007442AA" w:rsidP="007442AA">
            <w:pPr>
              <w:widowControl w:val="0"/>
              <w:jc w:val="center"/>
              <w:rPr>
                <w:lang w:val="ro-RO"/>
              </w:rPr>
            </w:pPr>
            <w:r w:rsidRPr="002152E4">
              <w:rPr>
                <w:lang w:val="ro-RO"/>
              </w:rPr>
              <w:t>350</w:t>
            </w:r>
          </w:p>
        </w:tc>
        <w:tc>
          <w:tcPr>
            <w:tcW w:w="1844" w:type="dxa"/>
          </w:tcPr>
          <w:p w:rsidR="007442AA" w:rsidRPr="002152E4" w:rsidRDefault="007442AA" w:rsidP="007442AA">
            <w:pPr>
              <w:widowControl w:val="0"/>
              <w:jc w:val="center"/>
              <w:rPr>
                <w:lang w:val="ro-RO"/>
              </w:rPr>
            </w:pPr>
            <w:r w:rsidRPr="002152E4">
              <w:rPr>
                <w:lang w:val="ro-RO"/>
              </w:rPr>
              <w:t>137</w:t>
            </w:r>
          </w:p>
        </w:tc>
        <w:tc>
          <w:tcPr>
            <w:tcW w:w="1842" w:type="dxa"/>
          </w:tcPr>
          <w:p w:rsidR="007442AA" w:rsidRPr="002152E4" w:rsidRDefault="007442AA" w:rsidP="007442AA">
            <w:pPr>
              <w:widowControl w:val="0"/>
              <w:jc w:val="center"/>
              <w:rPr>
                <w:lang w:val="ro-RO"/>
              </w:rPr>
            </w:pPr>
            <w:r w:rsidRPr="002152E4">
              <w:rPr>
                <w:lang w:val="ro-RO"/>
              </w:rPr>
              <w:t>469</w:t>
            </w:r>
          </w:p>
        </w:tc>
      </w:tr>
      <w:tr w:rsidR="007442AA" w:rsidRPr="002152E4" w:rsidTr="007442AA">
        <w:tblPrEx>
          <w:tblLook w:val="0000" w:firstRow="0" w:lastRow="0" w:firstColumn="0" w:lastColumn="0" w:noHBand="0" w:noVBand="0"/>
        </w:tblPrEx>
        <w:tc>
          <w:tcPr>
            <w:tcW w:w="1242" w:type="dxa"/>
          </w:tcPr>
          <w:p w:rsidR="007442AA" w:rsidRPr="002152E4" w:rsidRDefault="007442AA" w:rsidP="007442AA">
            <w:pPr>
              <w:jc w:val="center"/>
              <w:rPr>
                <w:lang w:val="ro-RO"/>
              </w:rPr>
            </w:pPr>
            <w:r w:rsidRPr="002152E4">
              <w:rPr>
                <w:lang w:val="ro-RO"/>
              </w:rPr>
              <w:t>2015</w:t>
            </w:r>
          </w:p>
        </w:tc>
        <w:tc>
          <w:tcPr>
            <w:tcW w:w="1701" w:type="dxa"/>
          </w:tcPr>
          <w:p w:rsidR="007442AA" w:rsidRPr="002152E4" w:rsidRDefault="007442AA" w:rsidP="007442AA">
            <w:pPr>
              <w:widowControl w:val="0"/>
              <w:jc w:val="center"/>
              <w:rPr>
                <w:lang w:val="ro-RO"/>
              </w:rPr>
            </w:pPr>
            <w:r w:rsidRPr="002152E4">
              <w:rPr>
                <w:lang w:val="ro-RO"/>
              </w:rPr>
              <w:t>58</w:t>
            </w:r>
          </w:p>
        </w:tc>
        <w:tc>
          <w:tcPr>
            <w:tcW w:w="1701" w:type="dxa"/>
          </w:tcPr>
          <w:p w:rsidR="007442AA" w:rsidRPr="002152E4" w:rsidRDefault="007442AA" w:rsidP="007442AA">
            <w:pPr>
              <w:widowControl w:val="0"/>
              <w:jc w:val="center"/>
              <w:rPr>
                <w:lang w:val="ro-RO"/>
              </w:rPr>
            </w:pPr>
            <w:r w:rsidRPr="002152E4">
              <w:rPr>
                <w:lang w:val="ro-RO"/>
              </w:rPr>
              <w:t>107</w:t>
            </w:r>
          </w:p>
        </w:tc>
        <w:tc>
          <w:tcPr>
            <w:tcW w:w="1701" w:type="dxa"/>
          </w:tcPr>
          <w:p w:rsidR="007442AA" w:rsidRPr="002152E4" w:rsidRDefault="007442AA" w:rsidP="007442AA">
            <w:pPr>
              <w:widowControl w:val="0"/>
              <w:jc w:val="center"/>
              <w:rPr>
                <w:lang w:val="ro-RO"/>
              </w:rPr>
            </w:pPr>
            <w:r w:rsidRPr="002152E4">
              <w:rPr>
                <w:lang w:val="ro-RO"/>
              </w:rPr>
              <w:t>292</w:t>
            </w:r>
          </w:p>
        </w:tc>
        <w:tc>
          <w:tcPr>
            <w:tcW w:w="1844" w:type="dxa"/>
          </w:tcPr>
          <w:p w:rsidR="007442AA" w:rsidRPr="002152E4" w:rsidRDefault="007442AA" w:rsidP="007442AA">
            <w:pPr>
              <w:widowControl w:val="0"/>
              <w:jc w:val="center"/>
              <w:rPr>
                <w:lang w:val="ro-RO"/>
              </w:rPr>
            </w:pPr>
            <w:r w:rsidRPr="002152E4">
              <w:rPr>
                <w:lang w:val="ro-RO"/>
              </w:rPr>
              <w:t>295</w:t>
            </w:r>
          </w:p>
        </w:tc>
        <w:tc>
          <w:tcPr>
            <w:tcW w:w="1842" w:type="dxa"/>
          </w:tcPr>
          <w:p w:rsidR="007442AA" w:rsidRPr="002152E4" w:rsidRDefault="007442AA" w:rsidP="007442AA">
            <w:pPr>
              <w:widowControl w:val="0"/>
              <w:jc w:val="center"/>
              <w:rPr>
                <w:lang w:val="ro-RO"/>
              </w:rPr>
            </w:pPr>
            <w:r w:rsidRPr="002152E4">
              <w:rPr>
                <w:lang w:val="ro-RO"/>
              </w:rPr>
              <w:t>517</w:t>
            </w:r>
          </w:p>
        </w:tc>
      </w:tr>
      <w:tr w:rsidR="007442AA" w:rsidRPr="002152E4" w:rsidTr="007442AA">
        <w:tblPrEx>
          <w:tblLook w:val="0000" w:firstRow="0" w:lastRow="0" w:firstColumn="0" w:lastColumn="0" w:noHBand="0" w:noVBand="0"/>
        </w:tblPrEx>
        <w:tc>
          <w:tcPr>
            <w:tcW w:w="1242" w:type="dxa"/>
            <w:tcBorders>
              <w:bottom w:val="threeDEmboss" w:sz="6" w:space="0" w:color="00B050"/>
            </w:tcBorders>
          </w:tcPr>
          <w:p w:rsidR="007442AA" w:rsidRPr="002152E4" w:rsidRDefault="007442AA" w:rsidP="007442AA">
            <w:pPr>
              <w:jc w:val="center"/>
              <w:rPr>
                <w:lang w:val="ro-RO"/>
              </w:rPr>
            </w:pPr>
            <w:r w:rsidRPr="002152E4">
              <w:rPr>
                <w:lang w:val="ro-RO"/>
              </w:rPr>
              <w:t>2016</w:t>
            </w:r>
          </w:p>
        </w:tc>
        <w:tc>
          <w:tcPr>
            <w:tcW w:w="1701" w:type="dxa"/>
            <w:tcBorders>
              <w:bottom w:val="threeDEmboss" w:sz="6" w:space="0" w:color="00B050"/>
            </w:tcBorders>
          </w:tcPr>
          <w:p w:rsidR="007442AA" w:rsidRPr="002152E4" w:rsidRDefault="007442AA" w:rsidP="007442AA">
            <w:pPr>
              <w:widowControl w:val="0"/>
              <w:jc w:val="center"/>
              <w:rPr>
                <w:lang w:val="ro-RO"/>
              </w:rPr>
            </w:pPr>
            <w:r w:rsidRPr="002152E4">
              <w:rPr>
                <w:lang w:val="ro-RO"/>
              </w:rPr>
              <w:t>72</w:t>
            </w:r>
          </w:p>
        </w:tc>
        <w:tc>
          <w:tcPr>
            <w:tcW w:w="1701" w:type="dxa"/>
            <w:tcBorders>
              <w:bottom w:val="threeDEmboss" w:sz="6" w:space="0" w:color="00B050"/>
            </w:tcBorders>
          </w:tcPr>
          <w:p w:rsidR="007442AA" w:rsidRPr="002152E4" w:rsidRDefault="007442AA" w:rsidP="007442AA">
            <w:pPr>
              <w:widowControl w:val="0"/>
              <w:jc w:val="center"/>
              <w:rPr>
                <w:lang w:val="ro-RO"/>
              </w:rPr>
            </w:pPr>
            <w:r w:rsidRPr="002152E4">
              <w:rPr>
                <w:lang w:val="ro-RO"/>
              </w:rPr>
              <w:t>119</w:t>
            </w:r>
          </w:p>
        </w:tc>
        <w:tc>
          <w:tcPr>
            <w:tcW w:w="1701" w:type="dxa"/>
            <w:tcBorders>
              <w:bottom w:val="threeDEmboss" w:sz="6" w:space="0" w:color="00B050"/>
            </w:tcBorders>
          </w:tcPr>
          <w:p w:rsidR="007442AA" w:rsidRPr="002152E4" w:rsidRDefault="007442AA" w:rsidP="007442AA">
            <w:pPr>
              <w:widowControl w:val="0"/>
              <w:jc w:val="center"/>
              <w:rPr>
                <w:lang w:val="ro-RO"/>
              </w:rPr>
            </w:pPr>
            <w:r w:rsidRPr="002152E4">
              <w:rPr>
                <w:lang w:val="ro-RO"/>
              </w:rPr>
              <w:t>195</w:t>
            </w:r>
          </w:p>
        </w:tc>
        <w:tc>
          <w:tcPr>
            <w:tcW w:w="1844" w:type="dxa"/>
            <w:tcBorders>
              <w:bottom w:val="threeDEmboss" w:sz="6" w:space="0" w:color="00B050"/>
            </w:tcBorders>
          </w:tcPr>
          <w:p w:rsidR="007442AA" w:rsidRPr="002152E4" w:rsidRDefault="007442AA" w:rsidP="007442AA">
            <w:pPr>
              <w:widowControl w:val="0"/>
              <w:jc w:val="center"/>
              <w:rPr>
                <w:lang w:val="ro-RO"/>
              </w:rPr>
            </w:pPr>
            <w:r w:rsidRPr="002152E4">
              <w:rPr>
                <w:lang w:val="ro-RO"/>
              </w:rPr>
              <w:t>178</w:t>
            </w:r>
          </w:p>
        </w:tc>
        <w:tc>
          <w:tcPr>
            <w:tcW w:w="1842" w:type="dxa"/>
            <w:tcBorders>
              <w:bottom w:val="threeDEmboss" w:sz="6" w:space="0" w:color="00B050"/>
            </w:tcBorders>
          </w:tcPr>
          <w:p w:rsidR="007442AA" w:rsidRPr="002152E4" w:rsidRDefault="007442AA" w:rsidP="007442AA">
            <w:pPr>
              <w:widowControl w:val="0"/>
              <w:jc w:val="center"/>
              <w:rPr>
                <w:lang w:val="ro-RO"/>
              </w:rPr>
            </w:pPr>
            <w:r w:rsidRPr="002152E4">
              <w:rPr>
                <w:lang w:val="ro-RO"/>
              </w:rPr>
              <w:t>561</w:t>
            </w:r>
          </w:p>
        </w:tc>
      </w:tr>
      <w:tr w:rsidR="007442AA" w:rsidRPr="002152E4" w:rsidTr="007442AA">
        <w:tblPrEx>
          <w:tblLook w:val="0000" w:firstRow="0" w:lastRow="0" w:firstColumn="0" w:lastColumn="0" w:noHBand="0" w:noVBand="0"/>
        </w:tblPrEx>
        <w:tc>
          <w:tcPr>
            <w:tcW w:w="1242"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rPr>
                <w:b/>
                <w:i/>
                <w:u w:val="single"/>
                <w:lang w:val="ro-RO"/>
              </w:rPr>
            </w:pPr>
            <w:r w:rsidRPr="002152E4">
              <w:rPr>
                <w:b/>
                <w:i/>
                <w:lang w:val="ro-RO"/>
              </w:rPr>
              <w:t xml:space="preserve">  % </w:t>
            </w:r>
            <w:r w:rsidRPr="002152E4">
              <w:rPr>
                <w:b/>
                <w:i/>
                <w:u w:val="single"/>
                <w:lang w:val="ro-RO"/>
              </w:rPr>
              <w:t>2016</w:t>
            </w:r>
          </w:p>
          <w:p w:rsidR="007442AA" w:rsidRPr="002152E4" w:rsidRDefault="007442AA" w:rsidP="007442AA">
            <w:pPr>
              <w:rPr>
                <w:b/>
                <w:lang w:val="ro-RO"/>
              </w:rPr>
            </w:pPr>
            <w:r w:rsidRPr="002152E4">
              <w:rPr>
                <w:i/>
                <w:lang w:val="ro-RO"/>
              </w:rPr>
              <w:t xml:space="preserve"> +/- </w:t>
            </w:r>
            <w:r w:rsidRPr="002152E4">
              <w:rPr>
                <w:b/>
                <w:i/>
                <w:lang w:val="ro-RO"/>
              </w:rPr>
              <w:t>2015</w:t>
            </w:r>
          </w:p>
        </w:tc>
        <w:tc>
          <w:tcPr>
            <w:tcW w:w="1701"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+24,1</w:t>
            </w:r>
          </w:p>
        </w:tc>
        <w:tc>
          <w:tcPr>
            <w:tcW w:w="1701"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+11,2</w:t>
            </w:r>
          </w:p>
        </w:tc>
        <w:tc>
          <w:tcPr>
            <w:tcW w:w="1701"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ind w:left="459"/>
              <w:rPr>
                <w:b/>
                <w:lang w:val="ro-RO"/>
              </w:rPr>
            </w:pPr>
            <w:r w:rsidRPr="002152E4">
              <w:rPr>
                <w:b/>
                <w:lang w:val="ro-RO"/>
              </w:rPr>
              <w:t>-33,2</w:t>
            </w:r>
          </w:p>
        </w:tc>
        <w:tc>
          <w:tcPr>
            <w:tcW w:w="1844"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-39,7</w:t>
            </w:r>
          </w:p>
        </w:tc>
        <w:tc>
          <w:tcPr>
            <w:tcW w:w="1842" w:type="dxa"/>
            <w:tcBorders>
              <w:top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+8,5</w:t>
            </w:r>
          </w:p>
        </w:tc>
      </w:tr>
    </w:tbl>
    <w:p w:rsidR="005B0822" w:rsidRPr="002152E4" w:rsidRDefault="005B0822" w:rsidP="007442AA">
      <w:pPr>
        <w:rPr>
          <w:b/>
          <w:lang w:val="ro-RO"/>
        </w:rPr>
      </w:pPr>
    </w:p>
    <w:p w:rsidR="005B0822" w:rsidRPr="002152E4" w:rsidRDefault="005B0822" w:rsidP="007442AA">
      <w:pPr>
        <w:rPr>
          <w:b/>
          <w:lang w:val="ro-RO"/>
        </w:rPr>
      </w:pPr>
    </w:p>
    <w:p w:rsidR="007442AA" w:rsidRPr="002152E4" w:rsidRDefault="007442AA" w:rsidP="007442AA">
      <w:pPr>
        <w:rPr>
          <w:b/>
          <w:lang w:val="ro-RO"/>
        </w:rPr>
      </w:pPr>
      <w:r w:rsidRPr="002152E4">
        <w:rPr>
          <w:b/>
          <w:lang w:val="ro-RO"/>
        </w:rPr>
        <w:lastRenderedPageBreak/>
        <w:t xml:space="preserve">2. INFRACŢIUNI CONTRA PATRIMONIULUI (ART. 228 – </w:t>
      </w:r>
      <w:smartTag w:uri="urn:schemas-microsoft-com:office:smarttags" w:element="metricconverter">
        <w:smartTagPr>
          <w:attr w:name="ProductID" w:val="256 C"/>
        </w:smartTagPr>
        <w:r w:rsidRPr="002152E4">
          <w:rPr>
            <w:b/>
            <w:lang w:val="ro-RO"/>
          </w:rPr>
          <w:t>256 C</w:t>
        </w:r>
      </w:smartTag>
      <w:r w:rsidRPr="002152E4">
        <w:rPr>
          <w:b/>
          <w:lang w:val="ro-RO"/>
        </w:rPr>
        <w:t>.P.)</w:t>
      </w:r>
    </w:p>
    <w:p w:rsidR="007442AA" w:rsidRPr="002152E4" w:rsidRDefault="007442AA" w:rsidP="007442AA">
      <w:pPr>
        <w:rPr>
          <w:b/>
          <w:lang w:val="ro-RO"/>
        </w:rPr>
      </w:pPr>
    </w:p>
    <w:tbl>
      <w:tblPr>
        <w:tblW w:w="10348" w:type="dxa"/>
        <w:tblInd w:w="-176"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1E0" w:firstRow="1" w:lastRow="1" w:firstColumn="1" w:lastColumn="1" w:noHBand="0" w:noVBand="0"/>
      </w:tblPr>
      <w:tblGrid>
        <w:gridCol w:w="14"/>
        <w:gridCol w:w="837"/>
        <w:gridCol w:w="1417"/>
        <w:gridCol w:w="1418"/>
        <w:gridCol w:w="1276"/>
        <w:gridCol w:w="1276"/>
        <w:gridCol w:w="1559"/>
        <w:gridCol w:w="1276"/>
        <w:gridCol w:w="1275"/>
      </w:tblGrid>
      <w:tr w:rsidR="007442AA" w:rsidRPr="002152E4" w:rsidTr="007442AA">
        <w:trPr>
          <w:cantSplit/>
          <w:trHeight w:val="1272"/>
        </w:trPr>
        <w:tc>
          <w:tcPr>
            <w:tcW w:w="851" w:type="dxa"/>
            <w:gridSpan w:val="2"/>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r w:rsidRPr="002152E4">
              <w:rPr>
                <w:b/>
                <w:lang w:val="ro-RO"/>
              </w:rPr>
              <w:t>ANUL</w:t>
            </w:r>
          </w:p>
        </w:tc>
        <w:tc>
          <w:tcPr>
            <w:tcW w:w="1417"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TOTAL TRIMIŞI ÎN JUDECATĂ,</w:t>
            </w:r>
          </w:p>
          <w:p w:rsidR="007442AA" w:rsidRPr="002152E4" w:rsidRDefault="007442AA" w:rsidP="007442AA">
            <w:pPr>
              <w:jc w:val="center"/>
              <w:rPr>
                <w:lang w:val="ro-RO"/>
              </w:rPr>
            </w:pPr>
            <w:r w:rsidRPr="002152E4">
              <w:rPr>
                <w:b/>
                <w:lang w:val="ro-RO"/>
              </w:rPr>
              <w:t>din care:</w:t>
            </w:r>
          </w:p>
        </w:tc>
        <w:tc>
          <w:tcPr>
            <w:tcW w:w="1418"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pondere în total general inculpați p.f.</w:t>
            </w:r>
          </w:p>
          <w:p w:rsidR="007442AA" w:rsidRPr="002152E4" w:rsidRDefault="007442AA" w:rsidP="007442AA">
            <w:pPr>
              <w:jc w:val="center"/>
              <w:rPr>
                <w:b/>
                <w:lang w:val="ro-RO"/>
              </w:rPr>
            </w:pPr>
            <w:r w:rsidRPr="002152E4">
              <w:rPr>
                <w:b/>
                <w:lang w:val="ro-RO"/>
              </w:rPr>
              <w:t>trimişi în judecată (%)</w:t>
            </w:r>
          </w:p>
        </w:tc>
        <w:tc>
          <w:tcPr>
            <w:tcW w:w="1276"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furt</w:t>
            </w:r>
          </w:p>
          <w:p w:rsidR="007442AA" w:rsidRPr="002152E4" w:rsidRDefault="007442AA" w:rsidP="007442AA">
            <w:pPr>
              <w:jc w:val="center"/>
              <w:rPr>
                <w:lang w:val="ro-RO"/>
              </w:rPr>
            </w:pPr>
            <w:r w:rsidRPr="002152E4">
              <w:rPr>
                <w:b/>
                <w:lang w:val="ro-RO"/>
              </w:rPr>
              <w:t xml:space="preserve">(art. 228 </w:t>
            </w:r>
            <w:smartTag w:uri="urn:schemas-microsoft-com:office:smarttags" w:element="metricconverter">
              <w:smartTagPr>
                <w:attr w:name="ProductID" w:val="-232 C"/>
              </w:smartTagPr>
              <w:r w:rsidRPr="002152E4">
                <w:rPr>
                  <w:b/>
                  <w:lang w:val="ro-RO"/>
                </w:rPr>
                <w:t>-232 C</w:t>
              </w:r>
            </w:smartTag>
            <w:r w:rsidRPr="002152E4">
              <w:rPr>
                <w:b/>
                <w:lang w:val="ro-RO"/>
              </w:rPr>
              <w:t>.p.)</w:t>
            </w:r>
          </w:p>
        </w:tc>
        <w:tc>
          <w:tcPr>
            <w:tcW w:w="1276"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tâlhărie</w:t>
            </w:r>
          </w:p>
          <w:p w:rsidR="007442AA" w:rsidRPr="002152E4" w:rsidRDefault="007442AA" w:rsidP="007442AA">
            <w:pPr>
              <w:jc w:val="center"/>
              <w:rPr>
                <w:lang w:val="ro-RO"/>
              </w:rPr>
            </w:pPr>
            <w:r w:rsidRPr="002152E4">
              <w:rPr>
                <w:b/>
                <w:lang w:val="ro-RO"/>
              </w:rPr>
              <w:t xml:space="preserve">(art. 233 -234  și </w:t>
            </w:r>
            <w:smartTag w:uri="urn:schemas-microsoft-com:office:smarttags" w:element="metricconverter">
              <w:smartTagPr>
                <w:attr w:name="ProductID" w:val="236 C"/>
              </w:smartTagPr>
              <w:r w:rsidRPr="002152E4">
                <w:rPr>
                  <w:b/>
                  <w:lang w:val="ro-RO"/>
                </w:rPr>
                <w:t>236 C</w:t>
              </w:r>
            </w:smartTag>
            <w:r w:rsidRPr="002152E4">
              <w:rPr>
                <w:b/>
                <w:lang w:val="ro-RO"/>
              </w:rPr>
              <w:t>.p.)</w:t>
            </w:r>
          </w:p>
        </w:tc>
        <w:tc>
          <w:tcPr>
            <w:tcW w:w="1559"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bancrută</w:t>
            </w:r>
          </w:p>
          <w:p w:rsidR="007442AA" w:rsidRPr="002152E4" w:rsidRDefault="007442AA" w:rsidP="007442AA">
            <w:pPr>
              <w:jc w:val="center"/>
              <w:rPr>
                <w:b/>
                <w:lang w:val="ro-RO"/>
              </w:rPr>
            </w:pPr>
            <w:r w:rsidRPr="002152E4">
              <w:rPr>
                <w:b/>
                <w:lang w:val="ro-RO"/>
              </w:rPr>
              <w:t xml:space="preserve">(art. 240 </w:t>
            </w:r>
            <w:smartTag w:uri="urn:schemas-microsoft-com:office:smarttags" w:element="metricconverter">
              <w:smartTagPr>
                <w:attr w:name="ProductID" w:val="-241 C"/>
              </w:smartTagPr>
              <w:r w:rsidRPr="002152E4">
                <w:rPr>
                  <w:b/>
                  <w:lang w:val="ro-RO"/>
                </w:rPr>
                <w:t>-241 C</w:t>
              </w:r>
            </w:smartTag>
            <w:r w:rsidRPr="002152E4">
              <w:rPr>
                <w:b/>
                <w:lang w:val="ro-RO"/>
              </w:rPr>
              <w:t>.p.)</w:t>
            </w:r>
          </w:p>
        </w:tc>
        <w:tc>
          <w:tcPr>
            <w:tcW w:w="1276"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înşelăciune</w:t>
            </w:r>
          </w:p>
          <w:p w:rsidR="007442AA" w:rsidRPr="002152E4" w:rsidRDefault="007442AA" w:rsidP="007442AA">
            <w:pPr>
              <w:jc w:val="center"/>
              <w:rPr>
                <w:lang w:val="ro-RO"/>
              </w:rPr>
            </w:pPr>
            <w:r w:rsidRPr="002152E4">
              <w:rPr>
                <w:b/>
                <w:lang w:val="ro-RO"/>
              </w:rPr>
              <w:t xml:space="preserve">(art. 244 </w:t>
            </w:r>
            <w:smartTag w:uri="urn:schemas-microsoft-com:office:smarttags" w:element="metricconverter">
              <w:smartTagPr>
                <w:attr w:name="ProductID" w:val="-245 C"/>
              </w:smartTagPr>
              <w:r w:rsidRPr="002152E4">
                <w:rPr>
                  <w:b/>
                  <w:lang w:val="ro-RO"/>
                </w:rPr>
                <w:t>-245 C</w:t>
              </w:r>
            </w:smartTag>
            <w:r w:rsidRPr="002152E4">
              <w:rPr>
                <w:b/>
                <w:lang w:val="ro-RO"/>
              </w:rPr>
              <w:t>.p.)</w:t>
            </w:r>
          </w:p>
        </w:tc>
        <w:tc>
          <w:tcPr>
            <w:tcW w:w="1275" w:type="dxa"/>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distrugere</w:t>
            </w:r>
          </w:p>
          <w:p w:rsidR="007442AA" w:rsidRPr="002152E4" w:rsidRDefault="007442AA" w:rsidP="007442AA">
            <w:pPr>
              <w:jc w:val="center"/>
              <w:rPr>
                <w:lang w:val="ro-RO"/>
              </w:rPr>
            </w:pPr>
            <w:r w:rsidRPr="002152E4">
              <w:rPr>
                <w:b/>
                <w:lang w:val="ro-RO"/>
              </w:rPr>
              <w:t xml:space="preserve">(art. 253 </w:t>
            </w:r>
            <w:smartTag w:uri="urn:schemas-microsoft-com:office:smarttags" w:element="metricconverter">
              <w:smartTagPr>
                <w:attr w:name="ProductID" w:val="-255 C"/>
              </w:smartTagPr>
              <w:r w:rsidRPr="002152E4">
                <w:rPr>
                  <w:b/>
                  <w:lang w:val="ro-RO"/>
                </w:rPr>
                <w:t>-255 C</w:t>
              </w:r>
            </w:smartTag>
            <w:r w:rsidRPr="002152E4">
              <w:rPr>
                <w:b/>
                <w:lang w:val="ro-RO"/>
              </w:rPr>
              <w:t>.p.)</w:t>
            </w:r>
          </w:p>
        </w:tc>
      </w:tr>
      <w:tr w:rsidR="007442AA" w:rsidRPr="002152E4" w:rsidTr="007442AA">
        <w:tblPrEx>
          <w:tblLook w:val="0000" w:firstRow="0" w:lastRow="0" w:firstColumn="0" w:lastColumn="0" w:noHBand="0" w:noVBand="0"/>
        </w:tblPrEx>
        <w:trPr>
          <w:gridBefore w:val="1"/>
          <w:wBefore w:w="14" w:type="dxa"/>
        </w:trPr>
        <w:tc>
          <w:tcPr>
            <w:tcW w:w="837" w:type="dxa"/>
          </w:tcPr>
          <w:p w:rsidR="007442AA" w:rsidRPr="002152E4" w:rsidRDefault="007442AA" w:rsidP="007442AA">
            <w:pPr>
              <w:jc w:val="center"/>
              <w:rPr>
                <w:lang w:val="ro-RO"/>
              </w:rPr>
            </w:pPr>
            <w:r w:rsidRPr="002152E4">
              <w:rPr>
                <w:lang w:val="ro-RO"/>
              </w:rPr>
              <w:t>2007</w:t>
            </w:r>
          </w:p>
        </w:tc>
        <w:tc>
          <w:tcPr>
            <w:tcW w:w="1417" w:type="dxa"/>
            <w:vAlign w:val="bottom"/>
          </w:tcPr>
          <w:p w:rsidR="007442AA" w:rsidRPr="002152E4" w:rsidRDefault="007442AA" w:rsidP="007442AA">
            <w:pPr>
              <w:jc w:val="center"/>
              <w:rPr>
                <w:lang w:val="ro-RO"/>
              </w:rPr>
            </w:pPr>
            <w:r w:rsidRPr="002152E4">
              <w:rPr>
                <w:lang w:val="ro-RO"/>
              </w:rPr>
              <w:t>18.476</w:t>
            </w:r>
          </w:p>
        </w:tc>
        <w:tc>
          <w:tcPr>
            <w:tcW w:w="1418" w:type="dxa"/>
            <w:vAlign w:val="bottom"/>
          </w:tcPr>
          <w:p w:rsidR="007442AA" w:rsidRPr="002152E4" w:rsidRDefault="007442AA" w:rsidP="007442AA">
            <w:pPr>
              <w:jc w:val="center"/>
              <w:rPr>
                <w:lang w:val="ro-RO"/>
              </w:rPr>
            </w:pPr>
            <w:r w:rsidRPr="002152E4">
              <w:rPr>
                <w:lang w:val="ro-RO"/>
              </w:rPr>
              <w:t>38,7</w:t>
            </w:r>
          </w:p>
        </w:tc>
        <w:tc>
          <w:tcPr>
            <w:tcW w:w="1276" w:type="dxa"/>
            <w:vAlign w:val="bottom"/>
          </w:tcPr>
          <w:p w:rsidR="007442AA" w:rsidRPr="002152E4" w:rsidRDefault="007442AA" w:rsidP="007442AA">
            <w:pPr>
              <w:jc w:val="center"/>
              <w:rPr>
                <w:lang w:val="ro-RO"/>
              </w:rPr>
            </w:pPr>
            <w:r w:rsidRPr="002152E4">
              <w:rPr>
                <w:lang w:val="ro-RO"/>
              </w:rPr>
              <w:t>13.347</w:t>
            </w:r>
          </w:p>
        </w:tc>
        <w:tc>
          <w:tcPr>
            <w:tcW w:w="1276" w:type="dxa"/>
            <w:vAlign w:val="bottom"/>
          </w:tcPr>
          <w:p w:rsidR="007442AA" w:rsidRPr="002152E4" w:rsidRDefault="007442AA" w:rsidP="007442AA">
            <w:pPr>
              <w:jc w:val="center"/>
              <w:rPr>
                <w:lang w:val="ro-RO"/>
              </w:rPr>
            </w:pPr>
            <w:r w:rsidRPr="002152E4">
              <w:rPr>
                <w:lang w:val="ro-RO"/>
              </w:rPr>
              <w:t>2.262</w:t>
            </w:r>
          </w:p>
        </w:tc>
        <w:tc>
          <w:tcPr>
            <w:tcW w:w="1559" w:type="dxa"/>
            <w:vAlign w:val="bottom"/>
          </w:tcPr>
          <w:p w:rsidR="007442AA" w:rsidRPr="002152E4" w:rsidRDefault="007442AA" w:rsidP="007442AA">
            <w:pPr>
              <w:jc w:val="center"/>
              <w:rPr>
                <w:lang w:val="ro-RO"/>
              </w:rPr>
            </w:pPr>
            <w:r w:rsidRPr="002152E4">
              <w:rPr>
                <w:lang w:val="ro-RO"/>
              </w:rPr>
              <w:t>2</w:t>
            </w:r>
          </w:p>
        </w:tc>
        <w:tc>
          <w:tcPr>
            <w:tcW w:w="1276" w:type="dxa"/>
            <w:vAlign w:val="bottom"/>
          </w:tcPr>
          <w:p w:rsidR="007442AA" w:rsidRPr="002152E4" w:rsidRDefault="007442AA" w:rsidP="007442AA">
            <w:pPr>
              <w:jc w:val="center"/>
              <w:rPr>
                <w:lang w:val="ro-RO"/>
              </w:rPr>
            </w:pPr>
            <w:r w:rsidRPr="002152E4">
              <w:rPr>
                <w:lang w:val="ro-RO"/>
              </w:rPr>
              <w:t>1.635</w:t>
            </w:r>
          </w:p>
        </w:tc>
        <w:tc>
          <w:tcPr>
            <w:tcW w:w="1275" w:type="dxa"/>
            <w:vAlign w:val="bottom"/>
          </w:tcPr>
          <w:p w:rsidR="007442AA" w:rsidRPr="002152E4" w:rsidRDefault="007442AA" w:rsidP="007442AA">
            <w:pPr>
              <w:jc w:val="center"/>
              <w:rPr>
                <w:lang w:val="ro-RO"/>
              </w:rPr>
            </w:pPr>
            <w:r w:rsidRPr="002152E4">
              <w:rPr>
                <w:lang w:val="ro-RO"/>
              </w:rPr>
              <w:t>589</w:t>
            </w:r>
          </w:p>
        </w:tc>
      </w:tr>
      <w:tr w:rsidR="007442AA" w:rsidRPr="002152E4" w:rsidTr="007442AA">
        <w:tblPrEx>
          <w:tblLook w:val="0000" w:firstRow="0" w:lastRow="0" w:firstColumn="0" w:lastColumn="0" w:noHBand="0" w:noVBand="0"/>
        </w:tblPrEx>
        <w:trPr>
          <w:gridBefore w:val="1"/>
          <w:wBefore w:w="14" w:type="dxa"/>
        </w:trPr>
        <w:tc>
          <w:tcPr>
            <w:tcW w:w="837" w:type="dxa"/>
          </w:tcPr>
          <w:p w:rsidR="007442AA" w:rsidRPr="002152E4" w:rsidRDefault="007442AA" w:rsidP="007442AA">
            <w:pPr>
              <w:jc w:val="center"/>
              <w:rPr>
                <w:lang w:val="ro-RO"/>
              </w:rPr>
            </w:pPr>
            <w:r w:rsidRPr="002152E4">
              <w:rPr>
                <w:lang w:val="ro-RO"/>
              </w:rPr>
              <w:t>2008</w:t>
            </w:r>
          </w:p>
        </w:tc>
        <w:tc>
          <w:tcPr>
            <w:tcW w:w="1417" w:type="dxa"/>
            <w:vAlign w:val="bottom"/>
          </w:tcPr>
          <w:p w:rsidR="007442AA" w:rsidRPr="002152E4" w:rsidRDefault="007442AA" w:rsidP="007442AA">
            <w:pPr>
              <w:jc w:val="center"/>
              <w:rPr>
                <w:lang w:val="ro-RO"/>
              </w:rPr>
            </w:pPr>
            <w:r w:rsidRPr="002152E4">
              <w:rPr>
                <w:lang w:val="ro-RO"/>
              </w:rPr>
              <w:t>16.447</w:t>
            </w:r>
          </w:p>
        </w:tc>
        <w:tc>
          <w:tcPr>
            <w:tcW w:w="1418" w:type="dxa"/>
            <w:vAlign w:val="bottom"/>
          </w:tcPr>
          <w:p w:rsidR="007442AA" w:rsidRPr="002152E4" w:rsidRDefault="007442AA" w:rsidP="007442AA">
            <w:pPr>
              <w:jc w:val="center"/>
              <w:rPr>
                <w:lang w:val="ro-RO"/>
              </w:rPr>
            </w:pPr>
            <w:r w:rsidRPr="002152E4">
              <w:rPr>
                <w:lang w:val="ro-RO"/>
              </w:rPr>
              <w:t>36,5</w:t>
            </w:r>
          </w:p>
        </w:tc>
        <w:tc>
          <w:tcPr>
            <w:tcW w:w="1276" w:type="dxa"/>
            <w:vAlign w:val="bottom"/>
          </w:tcPr>
          <w:p w:rsidR="007442AA" w:rsidRPr="002152E4" w:rsidRDefault="007442AA" w:rsidP="007442AA">
            <w:pPr>
              <w:jc w:val="center"/>
              <w:rPr>
                <w:lang w:val="ro-RO"/>
              </w:rPr>
            </w:pPr>
            <w:r w:rsidRPr="002152E4">
              <w:rPr>
                <w:lang w:val="ro-RO"/>
              </w:rPr>
              <w:t>11.302</w:t>
            </w:r>
          </w:p>
        </w:tc>
        <w:tc>
          <w:tcPr>
            <w:tcW w:w="1276" w:type="dxa"/>
            <w:vAlign w:val="bottom"/>
          </w:tcPr>
          <w:p w:rsidR="007442AA" w:rsidRPr="002152E4" w:rsidRDefault="007442AA" w:rsidP="007442AA">
            <w:pPr>
              <w:jc w:val="center"/>
              <w:rPr>
                <w:lang w:val="ro-RO"/>
              </w:rPr>
            </w:pPr>
            <w:r w:rsidRPr="002152E4">
              <w:rPr>
                <w:lang w:val="ro-RO"/>
              </w:rPr>
              <w:t>2.379</w:t>
            </w:r>
          </w:p>
        </w:tc>
        <w:tc>
          <w:tcPr>
            <w:tcW w:w="1559" w:type="dxa"/>
            <w:vAlign w:val="bottom"/>
          </w:tcPr>
          <w:p w:rsidR="007442AA" w:rsidRPr="002152E4" w:rsidRDefault="007442AA" w:rsidP="007442AA">
            <w:pPr>
              <w:jc w:val="center"/>
              <w:rPr>
                <w:lang w:val="ro-RO"/>
              </w:rPr>
            </w:pPr>
            <w:r w:rsidRPr="002152E4">
              <w:rPr>
                <w:lang w:val="ro-RO"/>
              </w:rPr>
              <w:t>3</w:t>
            </w:r>
          </w:p>
        </w:tc>
        <w:tc>
          <w:tcPr>
            <w:tcW w:w="1276" w:type="dxa"/>
            <w:vAlign w:val="bottom"/>
          </w:tcPr>
          <w:p w:rsidR="007442AA" w:rsidRPr="002152E4" w:rsidRDefault="007442AA" w:rsidP="007442AA">
            <w:pPr>
              <w:jc w:val="center"/>
              <w:rPr>
                <w:lang w:val="ro-RO"/>
              </w:rPr>
            </w:pPr>
            <w:r w:rsidRPr="002152E4">
              <w:rPr>
                <w:lang w:val="ro-RO"/>
              </w:rPr>
              <w:t>1.755</w:t>
            </w:r>
          </w:p>
        </w:tc>
        <w:tc>
          <w:tcPr>
            <w:tcW w:w="1275" w:type="dxa"/>
            <w:vAlign w:val="bottom"/>
          </w:tcPr>
          <w:p w:rsidR="007442AA" w:rsidRPr="002152E4" w:rsidRDefault="007442AA" w:rsidP="007442AA">
            <w:pPr>
              <w:jc w:val="center"/>
              <w:rPr>
                <w:lang w:val="ro-RO"/>
              </w:rPr>
            </w:pPr>
            <w:r w:rsidRPr="002152E4">
              <w:rPr>
                <w:lang w:val="ro-RO"/>
              </w:rPr>
              <w:t>506</w:t>
            </w:r>
          </w:p>
        </w:tc>
      </w:tr>
      <w:tr w:rsidR="007442AA" w:rsidRPr="002152E4" w:rsidTr="007442AA">
        <w:tblPrEx>
          <w:tblLook w:val="0000" w:firstRow="0" w:lastRow="0" w:firstColumn="0" w:lastColumn="0" w:noHBand="0" w:noVBand="0"/>
        </w:tblPrEx>
        <w:trPr>
          <w:gridBefore w:val="1"/>
          <w:wBefore w:w="14" w:type="dxa"/>
        </w:trPr>
        <w:tc>
          <w:tcPr>
            <w:tcW w:w="837" w:type="dxa"/>
          </w:tcPr>
          <w:p w:rsidR="007442AA" w:rsidRPr="002152E4" w:rsidRDefault="007442AA" w:rsidP="007442AA">
            <w:pPr>
              <w:jc w:val="center"/>
              <w:rPr>
                <w:lang w:val="ro-RO"/>
              </w:rPr>
            </w:pPr>
            <w:r w:rsidRPr="002152E4">
              <w:rPr>
                <w:lang w:val="ro-RO"/>
              </w:rPr>
              <w:t>2009</w:t>
            </w:r>
          </w:p>
        </w:tc>
        <w:tc>
          <w:tcPr>
            <w:tcW w:w="1417" w:type="dxa"/>
            <w:vAlign w:val="bottom"/>
          </w:tcPr>
          <w:p w:rsidR="007442AA" w:rsidRPr="002152E4" w:rsidRDefault="007442AA" w:rsidP="007442AA">
            <w:pPr>
              <w:jc w:val="center"/>
              <w:rPr>
                <w:lang w:val="ro-RO"/>
              </w:rPr>
            </w:pPr>
            <w:r w:rsidRPr="002152E4">
              <w:rPr>
                <w:lang w:val="ro-RO"/>
              </w:rPr>
              <w:t>17.245</w:t>
            </w:r>
          </w:p>
        </w:tc>
        <w:tc>
          <w:tcPr>
            <w:tcW w:w="1418" w:type="dxa"/>
            <w:vAlign w:val="bottom"/>
          </w:tcPr>
          <w:p w:rsidR="007442AA" w:rsidRPr="002152E4" w:rsidRDefault="007442AA" w:rsidP="007442AA">
            <w:pPr>
              <w:jc w:val="center"/>
              <w:rPr>
                <w:lang w:val="ro-RO"/>
              </w:rPr>
            </w:pPr>
            <w:r w:rsidRPr="002152E4">
              <w:rPr>
                <w:lang w:val="ro-RO"/>
              </w:rPr>
              <w:t>34,7</w:t>
            </w:r>
          </w:p>
        </w:tc>
        <w:tc>
          <w:tcPr>
            <w:tcW w:w="1276" w:type="dxa"/>
            <w:vAlign w:val="bottom"/>
          </w:tcPr>
          <w:p w:rsidR="007442AA" w:rsidRPr="002152E4" w:rsidRDefault="007442AA" w:rsidP="007442AA">
            <w:pPr>
              <w:jc w:val="center"/>
              <w:rPr>
                <w:lang w:val="ro-RO"/>
              </w:rPr>
            </w:pPr>
            <w:r w:rsidRPr="002152E4">
              <w:rPr>
                <w:lang w:val="ro-RO"/>
              </w:rPr>
              <w:t>11.655</w:t>
            </w:r>
          </w:p>
        </w:tc>
        <w:tc>
          <w:tcPr>
            <w:tcW w:w="1276" w:type="dxa"/>
            <w:vAlign w:val="bottom"/>
          </w:tcPr>
          <w:p w:rsidR="007442AA" w:rsidRPr="002152E4" w:rsidRDefault="007442AA" w:rsidP="007442AA">
            <w:pPr>
              <w:jc w:val="center"/>
              <w:rPr>
                <w:lang w:val="ro-RO"/>
              </w:rPr>
            </w:pPr>
            <w:r w:rsidRPr="002152E4">
              <w:rPr>
                <w:lang w:val="ro-RO"/>
              </w:rPr>
              <w:t>2.761</w:t>
            </w:r>
          </w:p>
        </w:tc>
        <w:tc>
          <w:tcPr>
            <w:tcW w:w="1559" w:type="dxa"/>
            <w:vAlign w:val="bottom"/>
          </w:tcPr>
          <w:p w:rsidR="007442AA" w:rsidRPr="002152E4" w:rsidRDefault="007442AA" w:rsidP="007442AA">
            <w:pPr>
              <w:jc w:val="center"/>
              <w:rPr>
                <w:lang w:val="ro-RO"/>
              </w:rPr>
            </w:pPr>
            <w:r w:rsidRPr="002152E4">
              <w:rPr>
                <w:lang w:val="ro-RO"/>
              </w:rPr>
              <w:t>1</w:t>
            </w:r>
          </w:p>
        </w:tc>
        <w:tc>
          <w:tcPr>
            <w:tcW w:w="1276" w:type="dxa"/>
            <w:vAlign w:val="bottom"/>
          </w:tcPr>
          <w:p w:rsidR="007442AA" w:rsidRPr="002152E4" w:rsidRDefault="007442AA" w:rsidP="007442AA">
            <w:pPr>
              <w:jc w:val="center"/>
              <w:rPr>
                <w:lang w:val="ro-RO"/>
              </w:rPr>
            </w:pPr>
            <w:r w:rsidRPr="002152E4">
              <w:rPr>
                <w:lang w:val="ro-RO"/>
              </w:rPr>
              <w:t>1.605</w:t>
            </w:r>
          </w:p>
        </w:tc>
        <w:tc>
          <w:tcPr>
            <w:tcW w:w="1275" w:type="dxa"/>
            <w:vAlign w:val="bottom"/>
          </w:tcPr>
          <w:p w:rsidR="007442AA" w:rsidRPr="002152E4" w:rsidRDefault="007442AA" w:rsidP="007442AA">
            <w:pPr>
              <w:jc w:val="center"/>
              <w:rPr>
                <w:lang w:val="ro-RO"/>
              </w:rPr>
            </w:pPr>
            <w:r w:rsidRPr="002152E4">
              <w:rPr>
                <w:lang w:val="ro-RO"/>
              </w:rPr>
              <w:t>608</w:t>
            </w:r>
          </w:p>
        </w:tc>
      </w:tr>
      <w:tr w:rsidR="007442AA" w:rsidRPr="002152E4" w:rsidTr="007442AA">
        <w:tblPrEx>
          <w:tblLook w:val="0000" w:firstRow="0" w:lastRow="0" w:firstColumn="0" w:lastColumn="0" w:noHBand="0" w:noVBand="0"/>
        </w:tblPrEx>
        <w:trPr>
          <w:gridBefore w:val="1"/>
          <w:wBefore w:w="14" w:type="dxa"/>
        </w:trPr>
        <w:tc>
          <w:tcPr>
            <w:tcW w:w="837" w:type="dxa"/>
          </w:tcPr>
          <w:p w:rsidR="007442AA" w:rsidRPr="002152E4" w:rsidRDefault="007442AA" w:rsidP="007442AA">
            <w:pPr>
              <w:jc w:val="center"/>
              <w:rPr>
                <w:lang w:val="ro-RO"/>
              </w:rPr>
            </w:pPr>
            <w:r w:rsidRPr="002152E4">
              <w:rPr>
                <w:lang w:val="ro-RO"/>
              </w:rPr>
              <w:t>2010</w:t>
            </w:r>
          </w:p>
        </w:tc>
        <w:tc>
          <w:tcPr>
            <w:tcW w:w="1417" w:type="dxa"/>
            <w:vAlign w:val="bottom"/>
          </w:tcPr>
          <w:p w:rsidR="007442AA" w:rsidRPr="002152E4" w:rsidRDefault="007442AA" w:rsidP="007442AA">
            <w:pPr>
              <w:jc w:val="center"/>
              <w:rPr>
                <w:lang w:val="ro-RO"/>
              </w:rPr>
            </w:pPr>
            <w:r w:rsidRPr="002152E4">
              <w:rPr>
                <w:lang w:val="ro-RO"/>
              </w:rPr>
              <w:t>20.030</w:t>
            </w:r>
          </w:p>
        </w:tc>
        <w:tc>
          <w:tcPr>
            <w:tcW w:w="1418" w:type="dxa"/>
            <w:vAlign w:val="bottom"/>
          </w:tcPr>
          <w:p w:rsidR="007442AA" w:rsidRPr="002152E4" w:rsidRDefault="007442AA" w:rsidP="007442AA">
            <w:pPr>
              <w:jc w:val="center"/>
              <w:rPr>
                <w:lang w:val="ro-RO"/>
              </w:rPr>
            </w:pPr>
            <w:r w:rsidRPr="002152E4">
              <w:rPr>
                <w:lang w:val="ro-RO"/>
              </w:rPr>
              <w:t>35,2</w:t>
            </w:r>
          </w:p>
        </w:tc>
        <w:tc>
          <w:tcPr>
            <w:tcW w:w="1276" w:type="dxa"/>
            <w:vAlign w:val="bottom"/>
          </w:tcPr>
          <w:p w:rsidR="007442AA" w:rsidRPr="002152E4" w:rsidRDefault="007442AA" w:rsidP="007442AA">
            <w:pPr>
              <w:jc w:val="center"/>
              <w:rPr>
                <w:lang w:val="ro-RO"/>
              </w:rPr>
            </w:pPr>
            <w:r w:rsidRPr="002152E4">
              <w:rPr>
                <w:lang w:val="ro-RO"/>
              </w:rPr>
              <w:t>13.856</w:t>
            </w:r>
          </w:p>
        </w:tc>
        <w:tc>
          <w:tcPr>
            <w:tcW w:w="1276" w:type="dxa"/>
            <w:vAlign w:val="bottom"/>
          </w:tcPr>
          <w:p w:rsidR="007442AA" w:rsidRPr="002152E4" w:rsidRDefault="007442AA" w:rsidP="007442AA">
            <w:pPr>
              <w:jc w:val="center"/>
              <w:rPr>
                <w:lang w:val="ro-RO"/>
              </w:rPr>
            </w:pPr>
            <w:r w:rsidRPr="002152E4">
              <w:rPr>
                <w:lang w:val="ro-RO"/>
              </w:rPr>
              <w:t>2.731</w:t>
            </w:r>
          </w:p>
        </w:tc>
        <w:tc>
          <w:tcPr>
            <w:tcW w:w="1559" w:type="dxa"/>
            <w:vAlign w:val="bottom"/>
          </w:tcPr>
          <w:p w:rsidR="007442AA" w:rsidRPr="002152E4" w:rsidRDefault="007442AA" w:rsidP="007442AA">
            <w:pPr>
              <w:jc w:val="center"/>
              <w:rPr>
                <w:lang w:val="ro-RO"/>
              </w:rPr>
            </w:pPr>
            <w:r w:rsidRPr="002152E4">
              <w:rPr>
                <w:lang w:val="ro-RO"/>
              </w:rPr>
              <w:t>2</w:t>
            </w:r>
          </w:p>
        </w:tc>
        <w:tc>
          <w:tcPr>
            <w:tcW w:w="1276" w:type="dxa"/>
            <w:vAlign w:val="bottom"/>
          </w:tcPr>
          <w:p w:rsidR="007442AA" w:rsidRPr="002152E4" w:rsidRDefault="007442AA" w:rsidP="007442AA">
            <w:pPr>
              <w:jc w:val="center"/>
              <w:rPr>
                <w:lang w:val="ro-RO"/>
              </w:rPr>
            </w:pPr>
            <w:r w:rsidRPr="002152E4">
              <w:rPr>
                <w:lang w:val="ro-RO"/>
              </w:rPr>
              <w:t>2.155</w:t>
            </w:r>
          </w:p>
        </w:tc>
        <w:tc>
          <w:tcPr>
            <w:tcW w:w="1275" w:type="dxa"/>
            <w:vAlign w:val="bottom"/>
          </w:tcPr>
          <w:p w:rsidR="007442AA" w:rsidRPr="002152E4" w:rsidRDefault="007442AA" w:rsidP="007442AA">
            <w:pPr>
              <w:jc w:val="center"/>
              <w:rPr>
                <w:lang w:val="ro-RO"/>
              </w:rPr>
            </w:pPr>
            <w:r w:rsidRPr="002152E4">
              <w:rPr>
                <w:lang w:val="ro-RO"/>
              </w:rPr>
              <w:t>635</w:t>
            </w:r>
          </w:p>
        </w:tc>
      </w:tr>
      <w:tr w:rsidR="007442AA" w:rsidRPr="002152E4" w:rsidTr="007442AA">
        <w:tblPrEx>
          <w:tblLook w:val="0000" w:firstRow="0" w:lastRow="0" w:firstColumn="0" w:lastColumn="0" w:noHBand="0" w:noVBand="0"/>
        </w:tblPrEx>
        <w:trPr>
          <w:gridBefore w:val="1"/>
          <w:wBefore w:w="14" w:type="dxa"/>
        </w:trPr>
        <w:tc>
          <w:tcPr>
            <w:tcW w:w="837" w:type="dxa"/>
          </w:tcPr>
          <w:p w:rsidR="007442AA" w:rsidRPr="002152E4" w:rsidRDefault="007442AA" w:rsidP="007442AA">
            <w:pPr>
              <w:jc w:val="center"/>
              <w:rPr>
                <w:lang w:val="ro-RO"/>
              </w:rPr>
            </w:pPr>
            <w:r w:rsidRPr="002152E4">
              <w:rPr>
                <w:lang w:val="ro-RO"/>
              </w:rPr>
              <w:t>2011</w:t>
            </w:r>
          </w:p>
        </w:tc>
        <w:tc>
          <w:tcPr>
            <w:tcW w:w="1417" w:type="dxa"/>
            <w:vAlign w:val="bottom"/>
          </w:tcPr>
          <w:p w:rsidR="007442AA" w:rsidRPr="002152E4" w:rsidRDefault="007442AA" w:rsidP="007442AA">
            <w:pPr>
              <w:jc w:val="center"/>
              <w:rPr>
                <w:lang w:val="ro-RO"/>
              </w:rPr>
            </w:pPr>
            <w:r w:rsidRPr="002152E4">
              <w:rPr>
                <w:lang w:val="ro-RO"/>
              </w:rPr>
              <w:t>22.454</w:t>
            </w:r>
          </w:p>
        </w:tc>
        <w:tc>
          <w:tcPr>
            <w:tcW w:w="1418" w:type="dxa"/>
            <w:vAlign w:val="bottom"/>
          </w:tcPr>
          <w:p w:rsidR="007442AA" w:rsidRPr="002152E4" w:rsidRDefault="007442AA" w:rsidP="007442AA">
            <w:pPr>
              <w:jc w:val="center"/>
              <w:rPr>
                <w:lang w:val="ro-RO"/>
              </w:rPr>
            </w:pPr>
            <w:r w:rsidRPr="002152E4">
              <w:rPr>
                <w:lang w:val="ro-RO"/>
              </w:rPr>
              <w:t>36,8</w:t>
            </w:r>
          </w:p>
        </w:tc>
        <w:tc>
          <w:tcPr>
            <w:tcW w:w="1276" w:type="dxa"/>
            <w:vAlign w:val="bottom"/>
          </w:tcPr>
          <w:p w:rsidR="007442AA" w:rsidRPr="002152E4" w:rsidRDefault="007442AA" w:rsidP="007442AA">
            <w:pPr>
              <w:jc w:val="center"/>
              <w:rPr>
                <w:lang w:val="ro-RO"/>
              </w:rPr>
            </w:pPr>
            <w:r w:rsidRPr="002152E4">
              <w:rPr>
                <w:lang w:val="ro-RO"/>
              </w:rPr>
              <w:t>16.528</w:t>
            </w:r>
          </w:p>
        </w:tc>
        <w:tc>
          <w:tcPr>
            <w:tcW w:w="1276" w:type="dxa"/>
            <w:vAlign w:val="bottom"/>
          </w:tcPr>
          <w:p w:rsidR="007442AA" w:rsidRPr="002152E4" w:rsidRDefault="007442AA" w:rsidP="007442AA">
            <w:pPr>
              <w:jc w:val="center"/>
              <w:rPr>
                <w:lang w:val="ro-RO"/>
              </w:rPr>
            </w:pPr>
            <w:r w:rsidRPr="002152E4">
              <w:rPr>
                <w:lang w:val="ro-RO"/>
              </w:rPr>
              <w:t>2.644</w:t>
            </w:r>
          </w:p>
        </w:tc>
        <w:tc>
          <w:tcPr>
            <w:tcW w:w="1559" w:type="dxa"/>
            <w:vAlign w:val="bottom"/>
          </w:tcPr>
          <w:p w:rsidR="007442AA" w:rsidRPr="002152E4" w:rsidRDefault="007442AA" w:rsidP="007442AA">
            <w:pPr>
              <w:jc w:val="center"/>
              <w:rPr>
                <w:lang w:val="ro-RO"/>
              </w:rPr>
            </w:pPr>
            <w:r w:rsidRPr="002152E4">
              <w:rPr>
                <w:lang w:val="ro-RO"/>
              </w:rPr>
              <w:t>1</w:t>
            </w:r>
          </w:p>
        </w:tc>
        <w:tc>
          <w:tcPr>
            <w:tcW w:w="1276" w:type="dxa"/>
            <w:vAlign w:val="bottom"/>
          </w:tcPr>
          <w:p w:rsidR="007442AA" w:rsidRPr="002152E4" w:rsidRDefault="007442AA" w:rsidP="007442AA">
            <w:pPr>
              <w:jc w:val="center"/>
              <w:rPr>
                <w:lang w:val="ro-RO"/>
              </w:rPr>
            </w:pPr>
            <w:r w:rsidRPr="002152E4">
              <w:rPr>
                <w:lang w:val="ro-RO"/>
              </w:rPr>
              <w:t>2.070</w:t>
            </w:r>
          </w:p>
        </w:tc>
        <w:tc>
          <w:tcPr>
            <w:tcW w:w="1275" w:type="dxa"/>
            <w:vAlign w:val="bottom"/>
          </w:tcPr>
          <w:p w:rsidR="007442AA" w:rsidRPr="002152E4" w:rsidRDefault="007442AA" w:rsidP="007442AA">
            <w:pPr>
              <w:jc w:val="center"/>
              <w:rPr>
                <w:lang w:val="ro-RO"/>
              </w:rPr>
            </w:pPr>
            <w:r w:rsidRPr="002152E4">
              <w:rPr>
                <w:lang w:val="ro-RO"/>
              </w:rPr>
              <w:t>568</w:t>
            </w:r>
          </w:p>
        </w:tc>
      </w:tr>
      <w:tr w:rsidR="007442AA" w:rsidRPr="002152E4" w:rsidTr="007442AA">
        <w:tblPrEx>
          <w:tblLook w:val="0000" w:firstRow="0" w:lastRow="0" w:firstColumn="0" w:lastColumn="0" w:noHBand="0" w:noVBand="0"/>
        </w:tblPrEx>
        <w:trPr>
          <w:gridBefore w:val="1"/>
          <w:wBefore w:w="14" w:type="dxa"/>
        </w:trPr>
        <w:tc>
          <w:tcPr>
            <w:tcW w:w="837" w:type="dxa"/>
          </w:tcPr>
          <w:p w:rsidR="007442AA" w:rsidRPr="002152E4" w:rsidRDefault="007442AA" w:rsidP="007442AA">
            <w:pPr>
              <w:jc w:val="center"/>
              <w:rPr>
                <w:lang w:val="ro-RO"/>
              </w:rPr>
            </w:pPr>
            <w:r w:rsidRPr="002152E4">
              <w:rPr>
                <w:lang w:val="ro-RO"/>
              </w:rPr>
              <w:t>2012</w:t>
            </w:r>
          </w:p>
        </w:tc>
        <w:tc>
          <w:tcPr>
            <w:tcW w:w="1417" w:type="dxa"/>
            <w:vAlign w:val="bottom"/>
          </w:tcPr>
          <w:p w:rsidR="007442AA" w:rsidRPr="002152E4" w:rsidRDefault="007442AA" w:rsidP="007442AA">
            <w:pPr>
              <w:jc w:val="center"/>
              <w:rPr>
                <w:lang w:val="ro-RO"/>
              </w:rPr>
            </w:pPr>
            <w:r w:rsidRPr="002152E4">
              <w:rPr>
                <w:lang w:val="ro-RO"/>
              </w:rPr>
              <w:t>22.157</w:t>
            </w:r>
          </w:p>
        </w:tc>
        <w:tc>
          <w:tcPr>
            <w:tcW w:w="1418" w:type="dxa"/>
            <w:vAlign w:val="bottom"/>
          </w:tcPr>
          <w:p w:rsidR="007442AA" w:rsidRPr="002152E4" w:rsidRDefault="007442AA" w:rsidP="007442AA">
            <w:pPr>
              <w:jc w:val="center"/>
              <w:rPr>
                <w:lang w:val="ro-RO"/>
              </w:rPr>
            </w:pPr>
            <w:r w:rsidRPr="002152E4">
              <w:rPr>
                <w:lang w:val="ro-RO"/>
              </w:rPr>
              <w:t>37,1</w:t>
            </w:r>
          </w:p>
        </w:tc>
        <w:tc>
          <w:tcPr>
            <w:tcW w:w="1276" w:type="dxa"/>
            <w:vAlign w:val="bottom"/>
          </w:tcPr>
          <w:p w:rsidR="007442AA" w:rsidRPr="002152E4" w:rsidRDefault="007442AA" w:rsidP="007442AA">
            <w:pPr>
              <w:jc w:val="center"/>
              <w:rPr>
                <w:lang w:val="ro-RO"/>
              </w:rPr>
            </w:pPr>
            <w:r w:rsidRPr="002152E4">
              <w:rPr>
                <w:lang w:val="ro-RO"/>
              </w:rPr>
              <w:t>15.458</w:t>
            </w:r>
          </w:p>
        </w:tc>
        <w:tc>
          <w:tcPr>
            <w:tcW w:w="1276" w:type="dxa"/>
            <w:vAlign w:val="bottom"/>
          </w:tcPr>
          <w:p w:rsidR="007442AA" w:rsidRPr="002152E4" w:rsidRDefault="007442AA" w:rsidP="007442AA">
            <w:pPr>
              <w:jc w:val="center"/>
              <w:rPr>
                <w:lang w:val="ro-RO"/>
              </w:rPr>
            </w:pPr>
            <w:r w:rsidRPr="002152E4">
              <w:rPr>
                <w:lang w:val="ro-RO"/>
              </w:rPr>
              <w:t>2.963</w:t>
            </w:r>
          </w:p>
        </w:tc>
        <w:tc>
          <w:tcPr>
            <w:tcW w:w="1559" w:type="dxa"/>
            <w:vAlign w:val="bottom"/>
          </w:tcPr>
          <w:p w:rsidR="007442AA" w:rsidRPr="002152E4" w:rsidRDefault="007442AA" w:rsidP="007442AA">
            <w:pPr>
              <w:jc w:val="center"/>
              <w:rPr>
                <w:lang w:val="ro-RO"/>
              </w:rPr>
            </w:pPr>
            <w:r w:rsidRPr="002152E4">
              <w:rPr>
                <w:lang w:val="ro-RO"/>
              </w:rPr>
              <w:t>9</w:t>
            </w:r>
          </w:p>
        </w:tc>
        <w:tc>
          <w:tcPr>
            <w:tcW w:w="1276" w:type="dxa"/>
            <w:vAlign w:val="bottom"/>
          </w:tcPr>
          <w:p w:rsidR="007442AA" w:rsidRPr="002152E4" w:rsidRDefault="007442AA" w:rsidP="007442AA">
            <w:pPr>
              <w:jc w:val="center"/>
              <w:rPr>
                <w:lang w:val="ro-RO"/>
              </w:rPr>
            </w:pPr>
            <w:r w:rsidRPr="002152E4">
              <w:rPr>
                <w:lang w:val="ro-RO"/>
              </w:rPr>
              <w:t>2.479</w:t>
            </w:r>
          </w:p>
        </w:tc>
        <w:tc>
          <w:tcPr>
            <w:tcW w:w="1275" w:type="dxa"/>
            <w:vAlign w:val="bottom"/>
          </w:tcPr>
          <w:p w:rsidR="007442AA" w:rsidRPr="002152E4" w:rsidRDefault="007442AA" w:rsidP="007442AA">
            <w:pPr>
              <w:jc w:val="center"/>
              <w:rPr>
                <w:lang w:val="ro-RO"/>
              </w:rPr>
            </w:pPr>
            <w:r w:rsidRPr="002152E4">
              <w:rPr>
                <w:lang w:val="ro-RO"/>
              </w:rPr>
              <w:t>539</w:t>
            </w:r>
          </w:p>
        </w:tc>
      </w:tr>
      <w:tr w:rsidR="007442AA" w:rsidRPr="002152E4" w:rsidTr="007442AA">
        <w:tblPrEx>
          <w:tblLook w:val="0000" w:firstRow="0" w:lastRow="0" w:firstColumn="0" w:lastColumn="0" w:noHBand="0" w:noVBand="0"/>
        </w:tblPrEx>
        <w:trPr>
          <w:gridBefore w:val="1"/>
          <w:wBefore w:w="14" w:type="dxa"/>
        </w:trPr>
        <w:tc>
          <w:tcPr>
            <w:tcW w:w="837" w:type="dxa"/>
          </w:tcPr>
          <w:p w:rsidR="007442AA" w:rsidRPr="002152E4" w:rsidRDefault="007442AA" w:rsidP="007442AA">
            <w:pPr>
              <w:jc w:val="center"/>
              <w:rPr>
                <w:lang w:val="ro-RO"/>
              </w:rPr>
            </w:pPr>
            <w:r w:rsidRPr="002152E4">
              <w:rPr>
                <w:lang w:val="ro-RO"/>
              </w:rPr>
              <w:t>2013</w:t>
            </w:r>
          </w:p>
        </w:tc>
        <w:tc>
          <w:tcPr>
            <w:tcW w:w="1417" w:type="dxa"/>
            <w:vAlign w:val="bottom"/>
          </w:tcPr>
          <w:p w:rsidR="007442AA" w:rsidRPr="002152E4" w:rsidRDefault="007442AA" w:rsidP="007442AA">
            <w:pPr>
              <w:jc w:val="center"/>
              <w:rPr>
                <w:lang w:val="ro-RO"/>
              </w:rPr>
            </w:pPr>
            <w:r w:rsidRPr="002152E4">
              <w:rPr>
                <w:lang w:val="ro-RO"/>
              </w:rPr>
              <w:t>24.264</w:t>
            </w:r>
          </w:p>
        </w:tc>
        <w:tc>
          <w:tcPr>
            <w:tcW w:w="1418" w:type="dxa"/>
            <w:vAlign w:val="bottom"/>
          </w:tcPr>
          <w:p w:rsidR="007442AA" w:rsidRPr="002152E4" w:rsidRDefault="007442AA" w:rsidP="007442AA">
            <w:pPr>
              <w:jc w:val="center"/>
              <w:rPr>
                <w:lang w:val="ro-RO"/>
              </w:rPr>
            </w:pPr>
            <w:r w:rsidRPr="002152E4">
              <w:rPr>
                <w:lang w:val="ro-RO"/>
              </w:rPr>
              <w:t>36,9</w:t>
            </w:r>
          </w:p>
        </w:tc>
        <w:tc>
          <w:tcPr>
            <w:tcW w:w="1276" w:type="dxa"/>
            <w:vAlign w:val="bottom"/>
          </w:tcPr>
          <w:p w:rsidR="007442AA" w:rsidRPr="002152E4" w:rsidRDefault="007442AA" w:rsidP="007442AA">
            <w:pPr>
              <w:jc w:val="center"/>
              <w:rPr>
                <w:lang w:val="ro-RO"/>
              </w:rPr>
            </w:pPr>
            <w:r w:rsidRPr="002152E4">
              <w:rPr>
                <w:lang w:val="ro-RO"/>
              </w:rPr>
              <w:t>17.010</w:t>
            </w:r>
          </w:p>
        </w:tc>
        <w:tc>
          <w:tcPr>
            <w:tcW w:w="1276" w:type="dxa"/>
            <w:vAlign w:val="bottom"/>
          </w:tcPr>
          <w:p w:rsidR="007442AA" w:rsidRPr="002152E4" w:rsidRDefault="007442AA" w:rsidP="007442AA">
            <w:pPr>
              <w:jc w:val="center"/>
              <w:rPr>
                <w:lang w:val="ro-RO"/>
              </w:rPr>
            </w:pPr>
            <w:r w:rsidRPr="002152E4">
              <w:rPr>
                <w:lang w:val="ro-RO"/>
              </w:rPr>
              <w:t>2.847</w:t>
            </w:r>
          </w:p>
        </w:tc>
        <w:tc>
          <w:tcPr>
            <w:tcW w:w="1559" w:type="dxa"/>
            <w:vAlign w:val="bottom"/>
          </w:tcPr>
          <w:p w:rsidR="007442AA" w:rsidRPr="002152E4" w:rsidRDefault="007442AA" w:rsidP="007442AA">
            <w:pPr>
              <w:jc w:val="center"/>
              <w:rPr>
                <w:lang w:val="ro-RO"/>
              </w:rPr>
            </w:pPr>
            <w:r w:rsidRPr="002152E4">
              <w:rPr>
                <w:lang w:val="ro-RO"/>
              </w:rPr>
              <w:t>7</w:t>
            </w:r>
          </w:p>
        </w:tc>
        <w:tc>
          <w:tcPr>
            <w:tcW w:w="1276" w:type="dxa"/>
            <w:vAlign w:val="bottom"/>
          </w:tcPr>
          <w:p w:rsidR="007442AA" w:rsidRPr="002152E4" w:rsidRDefault="007442AA" w:rsidP="007442AA">
            <w:pPr>
              <w:jc w:val="center"/>
              <w:rPr>
                <w:lang w:val="ro-RO"/>
              </w:rPr>
            </w:pPr>
            <w:r w:rsidRPr="002152E4">
              <w:rPr>
                <w:lang w:val="ro-RO"/>
              </w:rPr>
              <w:t>2.933</w:t>
            </w:r>
          </w:p>
        </w:tc>
        <w:tc>
          <w:tcPr>
            <w:tcW w:w="1275" w:type="dxa"/>
            <w:vAlign w:val="bottom"/>
          </w:tcPr>
          <w:p w:rsidR="007442AA" w:rsidRPr="002152E4" w:rsidRDefault="007442AA" w:rsidP="007442AA">
            <w:pPr>
              <w:jc w:val="center"/>
              <w:rPr>
                <w:lang w:val="ro-RO"/>
              </w:rPr>
            </w:pPr>
            <w:r w:rsidRPr="002152E4">
              <w:rPr>
                <w:lang w:val="ro-RO"/>
              </w:rPr>
              <w:t>617</w:t>
            </w:r>
          </w:p>
        </w:tc>
      </w:tr>
      <w:tr w:rsidR="007442AA" w:rsidRPr="002152E4" w:rsidTr="007442AA">
        <w:tblPrEx>
          <w:tblLook w:val="0000" w:firstRow="0" w:lastRow="0" w:firstColumn="0" w:lastColumn="0" w:noHBand="0" w:noVBand="0"/>
        </w:tblPrEx>
        <w:trPr>
          <w:gridBefore w:val="1"/>
          <w:wBefore w:w="14" w:type="dxa"/>
        </w:trPr>
        <w:tc>
          <w:tcPr>
            <w:tcW w:w="837" w:type="dxa"/>
          </w:tcPr>
          <w:p w:rsidR="007442AA" w:rsidRPr="002152E4" w:rsidRDefault="007442AA" w:rsidP="007442AA">
            <w:pPr>
              <w:jc w:val="center"/>
              <w:rPr>
                <w:lang w:val="ro-RO"/>
              </w:rPr>
            </w:pPr>
            <w:r w:rsidRPr="002152E4">
              <w:rPr>
                <w:lang w:val="ro-RO"/>
              </w:rPr>
              <w:t>2014</w:t>
            </w:r>
          </w:p>
        </w:tc>
        <w:tc>
          <w:tcPr>
            <w:tcW w:w="1417" w:type="dxa"/>
          </w:tcPr>
          <w:p w:rsidR="007442AA" w:rsidRPr="002152E4" w:rsidRDefault="007442AA" w:rsidP="007442AA">
            <w:pPr>
              <w:widowControl w:val="0"/>
              <w:jc w:val="center"/>
              <w:rPr>
                <w:lang w:val="ro-RO"/>
              </w:rPr>
            </w:pPr>
            <w:r w:rsidRPr="002152E4">
              <w:rPr>
                <w:lang w:val="ro-RO"/>
              </w:rPr>
              <w:t>14.320</w:t>
            </w:r>
          </w:p>
        </w:tc>
        <w:tc>
          <w:tcPr>
            <w:tcW w:w="1418" w:type="dxa"/>
          </w:tcPr>
          <w:p w:rsidR="007442AA" w:rsidRPr="002152E4" w:rsidRDefault="007442AA" w:rsidP="007442AA">
            <w:pPr>
              <w:widowControl w:val="0"/>
              <w:jc w:val="center"/>
              <w:rPr>
                <w:lang w:val="ro-RO"/>
              </w:rPr>
            </w:pPr>
            <w:r w:rsidRPr="002152E4">
              <w:rPr>
                <w:lang w:val="ro-RO"/>
              </w:rPr>
              <w:t>28,4</w:t>
            </w:r>
          </w:p>
        </w:tc>
        <w:tc>
          <w:tcPr>
            <w:tcW w:w="1276" w:type="dxa"/>
          </w:tcPr>
          <w:p w:rsidR="007442AA" w:rsidRPr="002152E4" w:rsidRDefault="007442AA" w:rsidP="007442AA">
            <w:pPr>
              <w:widowControl w:val="0"/>
              <w:jc w:val="center"/>
              <w:rPr>
                <w:lang w:val="ro-RO"/>
              </w:rPr>
            </w:pPr>
            <w:r w:rsidRPr="002152E4">
              <w:rPr>
                <w:lang w:val="ro-RO"/>
              </w:rPr>
              <w:t>9.069</w:t>
            </w:r>
          </w:p>
        </w:tc>
        <w:tc>
          <w:tcPr>
            <w:tcW w:w="1276" w:type="dxa"/>
          </w:tcPr>
          <w:p w:rsidR="007442AA" w:rsidRPr="002152E4" w:rsidRDefault="007442AA" w:rsidP="007442AA">
            <w:pPr>
              <w:widowControl w:val="0"/>
              <w:jc w:val="center"/>
              <w:rPr>
                <w:lang w:val="ro-RO"/>
              </w:rPr>
            </w:pPr>
            <w:r w:rsidRPr="002152E4">
              <w:rPr>
                <w:lang w:val="ro-RO"/>
              </w:rPr>
              <w:t>2.369</w:t>
            </w:r>
          </w:p>
        </w:tc>
        <w:tc>
          <w:tcPr>
            <w:tcW w:w="1559" w:type="dxa"/>
          </w:tcPr>
          <w:p w:rsidR="007442AA" w:rsidRPr="002152E4" w:rsidRDefault="007442AA" w:rsidP="007442AA">
            <w:pPr>
              <w:widowControl w:val="0"/>
              <w:jc w:val="center"/>
              <w:rPr>
                <w:lang w:val="ro-RO"/>
              </w:rPr>
            </w:pPr>
            <w:r w:rsidRPr="002152E4">
              <w:rPr>
                <w:lang w:val="ro-RO"/>
              </w:rPr>
              <w:t>9</w:t>
            </w:r>
          </w:p>
        </w:tc>
        <w:tc>
          <w:tcPr>
            <w:tcW w:w="1276" w:type="dxa"/>
          </w:tcPr>
          <w:p w:rsidR="007442AA" w:rsidRPr="002152E4" w:rsidRDefault="007442AA" w:rsidP="007442AA">
            <w:pPr>
              <w:widowControl w:val="0"/>
              <w:jc w:val="center"/>
              <w:rPr>
                <w:lang w:val="ro-RO"/>
              </w:rPr>
            </w:pPr>
            <w:r w:rsidRPr="002152E4">
              <w:rPr>
                <w:lang w:val="ro-RO"/>
              </w:rPr>
              <w:t>2.109</w:t>
            </w:r>
          </w:p>
        </w:tc>
        <w:tc>
          <w:tcPr>
            <w:tcW w:w="1275" w:type="dxa"/>
          </w:tcPr>
          <w:p w:rsidR="007442AA" w:rsidRPr="002152E4" w:rsidRDefault="007442AA" w:rsidP="007442AA">
            <w:pPr>
              <w:widowControl w:val="0"/>
              <w:jc w:val="center"/>
              <w:rPr>
                <w:lang w:val="ro-RO"/>
              </w:rPr>
            </w:pPr>
            <w:r w:rsidRPr="002152E4">
              <w:rPr>
                <w:lang w:val="ro-RO"/>
              </w:rPr>
              <w:t>537</w:t>
            </w:r>
          </w:p>
        </w:tc>
      </w:tr>
      <w:tr w:rsidR="007442AA" w:rsidRPr="002152E4" w:rsidTr="007442AA">
        <w:tblPrEx>
          <w:tblLook w:val="0000" w:firstRow="0" w:lastRow="0" w:firstColumn="0" w:lastColumn="0" w:noHBand="0" w:noVBand="0"/>
        </w:tblPrEx>
        <w:trPr>
          <w:gridBefore w:val="1"/>
          <w:wBefore w:w="14" w:type="dxa"/>
        </w:trPr>
        <w:tc>
          <w:tcPr>
            <w:tcW w:w="837" w:type="dxa"/>
          </w:tcPr>
          <w:p w:rsidR="007442AA" w:rsidRPr="002152E4" w:rsidRDefault="007442AA" w:rsidP="007442AA">
            <w:pPr>
              <w:jc w:val="center"/>
              <w:rPr>
                <w:lang w:val="ro-RO"/>
              </w:rPr>
            </w:pPr>
            <w:r w:rsidRPr="002152E4">
              <w:rPr>
                <w:lang w:val="ro-RO"/>
              </w:rPr>
              <w:t>2015</w:t>
            </w:r>
          </w:p>
        </w:tc>
        <w:tc>
          <w:tcPr>
            <w:tcW w:w="1417" w:type="dxa"/>
          </w:tcPr>
          <w:p w:rsidR="007442AA" w:rsidRPr="002152E4" w:rsidRDefault="007442AA" w:rsidP="007442AA">
            <w:pPr>
              <w:widowControl w:val="0"/>
              <w:jc w:val="center"/>
              <w:rPr>
                <w:lang w:val="ro-RO"/>
              </w:rPr>
            </w:pPr>
            <w:r w:rsidRPr="002152E4">
              <w:rPr>
                <w:lang w:val="ro-RO"/>
              </w:rPr>
              <w:t>16.083</w:t>
            </w:r>
          </w:p>
        </w:tc>
        <w:tc>
          <w:tcPr>
            <w:tcW w:w="1418" w:type="dxa"/>
          </w:tcPr>
          <w:p w:rsidR="007442AA" w:rsidRPr="002152E4" w:rsidRDefault="007442AA" w:rsidP="007442AA">
            <w:pPr>
              <w:widowControl w:val="0"/>
              <w:jc w:val="center"/>
              <w:rPr>
                <w:lang w:val="ro-RO"/>
              </w:rPr>
            </w:pPr>
            <w:r w:rsidRPr="002152E4">
              <w:rPr>
                <w:lang w:val="ro-RO"/>
              </w:rPr>
              <w:t>27,3</w:t>
            </w:r>
          </w:p>
        </w:tc>
        <w:tc>
          <w:tcPr>
            <w:tcW w:w="1276" w:type="dxa"/>
          </w:tcPr>
          <w:p w:rsidR="007442AA" w:rsidRPr="002152E4" w:rsidRDefault="007442AA" w:rsidP="007442AA">
            <w:pPr>
              <w:widowControl w:val="0"/>
              <w:jc w:val="center"/>
              <w:rPr>
                <w:lang w:val="ro-RO"/>
              </w:rPr>
            </w:pPr>
            <w:r w:rsidRPr="002152E4">
              <w:rPr>
                <w:lang w:val="ro-RO"/>
              </w:rPr>
              <w:t>9.996</w:t>
            </w:r>
          </w:p>
        </w:tc>
        <w:tc>
          <w:tcPr>
            <w:tcW w:w="1276" w:type="dxa"/>
          </w:tcPr>
          <w:p w:rsidR="007442AA" w:rsidRPr="002152E4" w:rsidRDefault="007442AA" w:rsidP="007442AA">
            <w:pPr>
              <w:widowControl w:val="0"/>
              <w:jc w:val="center"/>
              <w:rPr>
                <w:lang w:val="ro-RO"/>
              </w:rPr>
            </w:pPr>
            <w:r w:rsidRPr="002152E4">
              <w:rPr>
                <w:lang w:val="ro-RO"/>
              </w:rPr>
              <w:t>2.499</w:t>
            </w:r>
          </w:p>
        </w:tc>
        <w:tc>
          <w:tcPr>
            <w:tcW w:w="1559" w:type="dxa"/>
          </w:tcPr>
          <w:p w:rsidR="007442AA" w:rsidRPr="002152E4" w:rsidRDefault="007442AA" w:rsidP="007442AA">
            <w:pPr>
              <w:widowControl w:val="0"/>
              <w:jc w:val="center"/>
              <w:rPr>
                <w:lang w:val="ro-RO"/>
              </w:rPr>
            </w:pPr>
            <w:r w:rsidRPr="002152E4">
              <w:rPr>
                <w:lang w:val="ro-RO"/>
              </w:rPr>
              <w:t>2</w:t>
            </w:r>
          </w:p>
        </w:tc>
        <w:tc>
          <w:tcPr>
            <w:tcW w:w="1276" w:type="dxa"/>
          </w:tcPr>
          <w:p w:rsidR="007442AA" w:rsidRPr="002152E4" w:rsidRDefault="007442AA" w:rsidP="007442AA">
            <w:pPr>
              <w:widowControl w:val="0"/>
              <w:jc w:val="center"/>
              <w:rPr>
                <w:lang w:val="ro-RO"/>
              </w:rPr>
            </w:pPr>
            <w:r w:rsidRPr="002152E4">
              <w:rPr>
                <w:lang w:val="ro-RO"/>
              </w:rPr>
              <w:t>2.436</w:t>
            </w:r>
          </w:p>
        </w:tc>
        <w:tc>
          <w:tcPr>
            <w:tcW w:w="1275" w:type="dxa"/>
          </w:tcPr>
          <w:p w:rsidR="007442AA" w:rsidRPr="002152E4" w:rsidRDefault="007442AA" w:rsidP="007442AA">
            <w:pPr>
              <w:widowControl w:val="0"/>
              <w:jc w:val="center"/>
              <w:rPr>
                <w:lang w:val="ro-RO"/>
              </w:rPr>
            </w:pPr>
            <w:r w:rsidRPr="002152E4">
              <w:rPr>
                <w:lang w:val="ro-RO"/>
              </w:rPr>
              <w:t>771</w:t>
            </w:r>
          </w:p>
        </w:tc>
      </w:tr>
      <w:tr w:rsidR="007442AA" w:rsidRPr="002152E4" w:rsidTr="007442AA">
        <w:tblPrEx>
          <w:tblLook w:val="0000" w:firstRow="0" w:lastRow="0" w:firstColumn="0" w:lastColumn="0" w:noHBand="0" w:noVBand="0"/>
        </w:tblPrEx>
        <w:trPr>
          <w:gridBefore w:val="1"/>
          <w:wBefore w:w="14" w:type="dxa"/>
        </w:trPr>
        <w:tc>
          <w:tcPr>
            <w:tcW w:w="837" w:type="dxa"/>
            <w:tcBorders>
              <w:bottom w:val="threeDEmboss" w:sz="6" w:space="0" w:color="00B050"/>
            </w:tcBorders>
          </w:tcPr>
          <w:p w:rsidR="007442AA" w:rsidRPr="002152E4" w:rsidRDefault="007442AA" w:rsidP="007442AA">
            <w:pPr>
              <w:jc w:val="center"/>
              <w:rPr>
                <w:lang w:val="ro-RO"/>
              </w:rPr>
            </w:pPr>
            <w:r w:rsidRPr="002152E4">
              <w:rPr>
                <w:lang w:val="ro-RO"/>
              </w:rPr>
              <w:t>2016</w:t>
            </w:r>
          </w:p>
        </w:tc>
        <w:tc>
          <w:tcPr>
            <w:tcW w:w="1417" w:type="dxa"/>
            <w:tcBorders>
              <w:bottom w:val="threeDEmboss" w:sz="6" w:space="0" w:color="00B050"/>
            </w:tcBorders>
          </w:tcPr>
          <w:p w:rsidR="007442AA" w:rsidRPr="002152E4" w:rsidRDefault="007442AA" w:rsidP="007442AA">
            <w:pPr>
              <w:widowControl w:val="0"/>
              <w:jc w:val="center"/>
              <w:rPr>
                <w:lang w:val="ro-RO"/>
              </w:rPr>
            </w:pPr>
            <w:r w:rsidRPr="002152E4">
              <w:rPr>
                <w:lang w:val="ro-RO"/>
              </w:rPr>
              <w:t>15.419</w:t>
            </w:r>
          </w:p>
        </w:tc>
        <w:tc>
          <w:tcPr>
            <w:tcW w:w="1418" w:type="dxa"/>
            <w:tcBorders>
              <w:bottom w:val="threeDEmboss" w:sz="6" w:space="0" w:color="00B050"/>
            </w:tcBorders>
          </w:tcPr>
          <w:p w:rsidR="007442AA" w:rsidRPr="002152E4" w:rsidRDefault="007442AA" w:rsidP="007442AA">
            <w:pPr>
              <w:widowControl w:val="0"/>
              <w:jc w:val="center"/>
              <w:rPr>
                <w:lang w:val="ro-RO"/>
              </w:rPr>
            </w:pPr>
            <w:r w:rsidRPr="002152E4">
              <w:rPr>
                <w:lang w:val="ro-RO"/>
              </w:rPr>
              <w:t>24,2</w:t>
            </w:r>
          </w:p>
        </w:tc>
        <w:tc>
          <w:tcPr>
            <w:tcW w:w="1276" w:type="dxa"/>
            <w:tcBorders>
              <w:bottom w:val="threeDEmboss" w:sz="6" w:space="0" w:color="00B050"/>
            </w:tcBorders>
          </w:tcPr>
          <w:p w:rsidR="007442AA" w:rsidRPr="002152E4" w:rsidRDefault="007442AA" w:rsidP="007442AA">
            <w:pPr>
              <w:widowControl w:val="0"/>
              <w:jc w:val="center"/>
              <w:rPr>
                <w:lang w:val="ro-RO"/>
              </w:rPr>
            </w:pPr>
            <w:r w:rsidRPr="002152E4">
              <w:rPr>
                <w:lang w:val="ro-RO"/>
              </w:rPr>
              <w:t>9.696</w:t>
            </w:r>
          </w:p>
        </w:tc>
        <w:tc>
          <w:tcPr>
            <w:tcW w:w="1276" w:type="dxa"/>
            <w:tcBorders>
              <w:bottom w:val="threeDEmboss" w:sz="6" w:space="0" w:color="00B050"/>
            </w:tcBorders>
          </w:tcPr>
          <w:p w:rsidR="007442AA" w:rsidRPr="002152E4" w:rsidRDefault="007442AA" w:rsidP="007442AA">
            <w:pPr>
              <w:widowControl w:val="0"/>
              <w:jc w:val="center"/>
              <w:rPr>
                <w:lang w:val="ro-RO"/>
              </w:rPr>
            </w:pPr>
            <w:r w:rsidRPr="002152E4">
              <w:rPr>
                <w:lang w:val="ro-RO"/>
              </w:rPr>
              <w:t>2.516</w:t>
            </w:r>
          </w:p>
        </w:tc>
        <w:tc>
          <w:tcPr>
            <w:tcW w:w="1559" w:type="dxa"/>
            <w:tcBorders>
              <w:bottom w:val="threeDEmboss" w:sz="6" w:space="0" w:color="00B050"/>
            </w:tcBorders>
          </w:tcPr>
          <w:p w:rsidR="007442AA" w:rsidRPr="002152E4" w:rsidRDefault="007442AA" w:rsidP="007442AA">
            <w:pPr>
              <w:widowControl w:val="0"/>
              <w:jc w:val="center"/>
              <w:rPr>
                <w:lang w:val="ro-RO"/>
              </w:rPr>
            </w:pPr>
            <w:r w:rsidRPr="002152E4">
              <w:rPr>
                <w:lang w:val="ro-RO"/>
              </w:rPr>
              <w:t>4</w:t>
            </w:r>
          </w:p>
        </w:tc>
        <w:tc>
          <w:tcPr>
            <w:tcW w:w="1276" w:type="dxa"/>
            <w:tcBorders>
              <w:bottom w:val="threeDEmboss" w:sz="6" w:space="0" w:color="00B050"/>
            </w:tcBorders>
          </w:tcPr>
          <w:p w:rsidR="007442AA" w:rsidRPr="002152E4" w:rsidRDefault="007442AA" w:rsidP="007442AA">
            <w:pPr>
              <w:widowControl w:val="0"/>
              <w:jc w:val="center"/>
              <w:rPr>
                <w:lang w:val="ro-RO"/>
              </w:rPr>
            </w:pPr>
            <w:r w:rsidRPr="002152E4">
              <w:rPr>
                <w:lang w:val="ro-RO"/>
              </w:rPr>
              <w:t>1.952</w:t>
            </w:r>
          </w:p>
        </w:tc>
        <w:tc>
          <w:tcPr>
            <w:tcW w:w="1275" w:type="dxa"/>
            <w:tcBorders>
              <w:bottom w:val="threeDEmboss" w:sz="6" w:space="0" w:color="00B050"/>
            </w:tcBorders>
          </w:tcPr>
          <w:p w:rsidR="007442AA" w:rsidRPr="002152E4" w:rsidRDefault="007442AA" w:rsidP="007442AA">
            <w:pPr>
              <w:widowControl w:val="0"/>
              <w:jc w:val="center"/>
              <w:rPr>
                <w:lang w:val="ro-RO"/>
              </w:rPr>
            </w:pPr>
            <w:r w:rsidRPr="002152E4">
              <w:rPr>
                <w:lang w:val="ro-RO"/>
              </w:rPr>
              <w:t>922</w:t>
            </w:r>
          </w:p>
        </w:tc>
      </w:tr>
      <w:tr w:rsidR="007442AA" w:rsidRPr="002152E4" w:rsidTr="007442AA">
        <w:tblPrEx>
          <w:tblLook w:val="0000" w:firstRow="0" w:lastRow="0" w:firstColumn="0" w:lastColumn="0" w:noHBand="0" w:noVBand="0"/>
        </w:tblPrEx>
        <w:trPr>
          <w:gridBefore w:val="1"/>
          <w:wBefore w:w="14" w:type="dxa"/>
        </w:trPr>
        <w:tc>
          <w:tcPr>
            <w:tcW w:w="837"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jc w:val="center"/>
              <w:rPr>
                <w:b/>
                <w:i/>
                <w:u w:val="single"/>
                <w:lang w:val="ro-RO"/>
              </w:rPr>
            </w:pPr>
            <w:r w:rsidRPr="002152E4">
              <w:rPr>
                <w:i/>
                <w:lang w:val="ro-RO"/>
              </w:rPr>
              <w:t>%</w:t>
            </w:r>
            <w:r w:rsidRPr="002152E4">
              <w:rPr>
                <w:b/>
                <w:i/>
                <w:u w:val="single"/>
                <w:lang w:val="ro-RO"/>
              </w:rPr>
              <w:t>2016</w:t>
            </w:r>
          </w:p>
          <w:p w:rsidR="007442AA" w:rsidRPr="002152E4" w:rsidRDefault="007442AA" w:rsidP="007442AA">
            <w:pPr>
              <w:ind w:left="-108"/>
              <w:jc w:val="center"/>
              <w:rPr>
                <w:b/>
                <w:u w:val="single"/>
                <w:lang w:val="ro-RO"/>
              </w:rPr>
            </w:pPr>
            <w:r w:rsidRPr="002152E4">
              <w:rPr>
                <w:i/>
                <w:lang w:val="ro-RO"/>
              </w:rPr>
              <w:t>+/-</w:t>
            </w:r>
            <w:r w:rsidRPr="002152E4">
              <w:rPr>
                <w:b/>
                <w:i/>
                <w:lang w:val="ro-RO"/>
              </w:rPr>
              <w:t>2015</w:t>
            </w:r>
          </w:p>
        </w:tc>
        <w:tc>
          <w:tcPr>
            <w:tcW w:w="1417"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-4,1</w:t>
            </w:r>
          </w:p>
        </w:tc>
        <w:tc>
          <w:tcPr>
            <w:tcW w:w="1418"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w:t>
            </w:r>
          </w:p>
        </w:tc>
        <w:tc>
          <w:tcPr>
            <w:tcW w:w="1276"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-3,0</w:t>
            </w:r>
          </w:p>
        </w:tc>
        <w:tc>
          <w:tcPr>
            <w:tcW w:w="1276"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+0,7</w:t>
            </w:r>
          </w:p>
        </w:tc>
        <w:tc>
          <w:tcPr>
            <w:tcW w:w="1559"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+100,0</w:t>
            </w:r>
          </w:p>
        </w:tc>
        <w:tc>
          <w:tcPr>
            <w:tcW w:w="1276"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-19,9</w:t>
            </w:r>
          </w:p>
        </w:tc>
        <w:tc>
          <w:tcPr>
            <w:tcW w:w="1275" w:type="dxa"/>
            <w:tcBorders>
              <w:top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+19,6</w:t>
            </w:r>
          </w:p>
        </w:tc>
      </w:tr>
    </w:tbl>
    <w:p w:rsidR="007442AA" w:rsidRPr="002152E4" w:rsidRDefault="007442AA" w:rsidP="007442AA">
      <w:pPr>
        <w:rPr>
          <w:lang w:val="ro-RO"/>
        </w:rPr>
      </w:pPr>
    </w:p>
    <w:p w:rsidR="005B0822" w:rsidRPr="002152E4" w:rsidRDefault="005B0822" w:rsidP="007442AA">
      <w:pPr>
        <w:rPr>
          <w:b/>
          <w:lang w:val="ro-RO"/>
        </w:rPr>
      </w:pPr>
    </w:p>
    <w:p w:rsidR="00D5288F" w:rsidRPr="002152E4" w:rsidRDefault="00D5288F" w:rsidP="007442AA">
      <w:pPr>
        <w:rPr>
          <w:b/>
          <w:lang w:val="ro-RO"/>
        </w:rPr>
      </w:pPr>
    </w:p>
    <w:p w:rsidR="00D5288F" w:rsidRPr="002152E4" w:rsidRDefault="00D5288F" w:rsidP="007442AA">
      <w:pPr>
        <w:rPr>
          <w:b/>
          <w:lang w:val="ro-RO"/>
        </w:rPr>
      </w:pPr>
    </w:p>
    <w:p w:rsidR="00D5288F" w:rsidRPr="002152E4" w:rsidRDefault="00D5288F" w:rsidP="007442AA">
      <w:pPr>
        <w:rPr>
          <w:b/>
          <w:lang w:val="ro-RO"/>
        </w:rPr>
      </w:pPr>
    </w:p>
    <w:p w:rsidR="00D5288F" w:rsidRPr="002152E4" w:rsidRDefault="00D5288F" w:rsidP="007442AA">
      <w:pPr>
        <w:rPr>
          <w:b/>
          <w:lang w:val="ro-RO"/>
        </w:rPr>
      </w:pPr>
    </w:p>
    <w:p w:rsidR="007442AA" w:rsidRPr="002152E4" w:rsidRDefault="007442AA" w:rsidP="007442AA">
      <w:pPr>
        <w:rPr>
          <w:b/>
          <w:lang w:val="ro-RO"/>
        </w:rPr>
      </w:pPr>
      <w:r w:rsidRPr="002152E4">
        <w:rPr>
          <w:b/>
          <w:lang w:val="ro-RO"/>
        </w:rPr>
        <w:t xml:space="preserve">3. INFRACŢIUNI PRIVIND AUTORITATEA ȘI FRONTIERA DE STAT (ART. 257 – </w:t>
      </w:r>
      <w:smartTag w:uri="urn:schemas-microsoft-com:office:smarttags" w:element="metricconverter">
        <w:smartTagPr>
          <w:attr w:name="ProductID" w:val="265 C"/>
        </w:smartTagPr>
        <w:r w:rsidRPr="002152E4">
          <w:rPr>
            <w:b/>
            <w:lang w:val="ro-RO"/>
          </w:rPr>
          <w:t>265 C</w:t>
        </w:r>
      </w:smartTag>
      <w:r w:rsidRPr="002152E4">
        <w:rPr>
          <w:b/>
          <w:lang w:val="ro-RO"/>
        </w:rPr>
        <w:t>.P.)</w:t>
      </w:r>
    </w:p>
    <w:tbl>
      <w:tblPr>
        <w:tblW w:w="9889"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548"/>
        <w:gridCol w:w="1679"/>
        <w:gridCol w:w="1843"/>
        <w:gridCol w:w="1559"/>
        <w:gridCol w:w="1701"/>
        <w:gridCol w:w="1559"/>
      </w:tblGrid>
      <w:tr w:rsidR="007442AA" w:rsidRPr="00631BB4" w:rsidTr="007442AA">
        <w:tc>
          <w:tcPr>
            <w:tcW w:w="1548"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r w:rsidRPr="002152E4">
              <w:rPr>
                <w:b/>
                <w:lang w:val="ro-RO"/>
              </w:rPr>
              <w:t>ANUL</w:t>
            </w:r>
          </w:p>
          <w:p w:rsidR="007442AA" w:rsidRPr="002152E4" w:rsidRDefault="007442AA" w:rsidP="007442AA">
            <w:pPr>
              <w:jc w:val="center"/>
              <w:rPr>
                <w:b/>
                <w:lang w:val="ro-RO"/>
              </w:rPr>
            </w:pPr>
          </w:p>
        </w:tc>
        <w:tc>
          <w:tcPr>
            <w:tcW w:w="1679"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TOTAL </w:t>
            </w:r>
          </w:p>
          <w:p w:rsidR="007442AA" w:rsidRPr="002152E4" w:rsidRDefault="007442AA" w:rsidP="007442AA">
            <w:pPr>
              <w:jc w:val="center"/>
              <w:rPr>
                <w:b/>
                <w:lang w:val="ro-RO"/>
              </w:rPr>
            </w:pPr>
            <w:r w:rsidRPr="002152E4">
              <w:rPr>
                <w:b/>
                <w:lang w:val="ro-RO"/>
              </w:rPr>
              <w:t xml:space="preserve">TRIMIŞI ÎN </w:t>
            </w:r>
          </w:p>
          <w:p w:rsidR="007442AA" w:rsidRPr="002152E4" w:rsidRDefault="007442AA" w:rsidP="007442AA">
            <w:pPr>
              <w:jc w:val="center"/>
              <w:rPr>
                <w:b/>
                <w:lang w:val="ro-RO"/>
              </w:rPr>
            </w:pPr>
            <w:r w:rsidRPr="002152E4">
              <w:rPr>
                <w:b/>
                <w:lang w:val="ro-RO"/>
              </w:rPr>
              <w:t xml:space="preserve">JUDECATĂ, </w:t>
            </w:r>
          </w:p>
          <w:p w:rsidR="007442AA" w:rsidRPr="002152E4" w:rsidRDefault="007442AA" w:rsidP="007442AA">
            <w:pPr>
              <w:jc w:val="center"/>
              <w:rPr>
                <w:lang w:val="ro-RO"/>
              </w:rPr>
            </w:pPr>
            <w:r w:rsidRPr="002152E4">
              <w:rPr>
                <w:b/>
                <w:lang w:val="ro-RO"/>
              </w:rPr>
              <w:t>din care</w:t>
            </w:r>
            <w:r w:rsidRPr="002152E4">
              <w:rPr>
                <w:lang w:val="ro-RO"/>
              </w:rPr>
              <w:t>:*</w:t>
            </w:r>
          </w:p>
        </w:tc>
        <w:tc>
          <w:tcPr>
            <w:tcW w:w="1843"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pondere în </w:t>
            </w:r>
          </w:p>
          <w:p w:rsidR="007442AA" w:rsidRPr="002152E4" w:rsidRDefault="007442AA" w:rsidP="007442AA">
            <w:pPr>
              <w:jc w:val="center"/>
              <w:rPr>
                <w:b/>
                <w:lang w:val="ro-RO"/>
              </w:rPr>
            </w:pPr>
            <w:r w:rsidRPr="002152E4">
              <w:rPr>
                <w:b/>
                <w:lang w:val="ro-RO"/>
              </w:rPr>
              <w:t xml:space="preserve">total general </w:t>
            </w:r>
          </w:p>
          <w:p w:rsidR="007442AA" w:rsidRPr="002152E4" w:rsidRDefault="007442AA" w:rsidP="007442AA">
            <w:pPr>
              <w:jc w:val="center"/>
              <w:rPr>
                <w:b/>
                <w:lang w:val="ro-RO"/>
              </w:rPr>
            </w:pPr>
            <w:r w:rsidRPr="002152E4">
              <w:rPr>
                <w:b/>
                <w:lang w:val="ro-RO"/>
              </w:rPr>
              <w:t>inculpați p.f.</w:t>
            </w:r>
          </w:p>
          <w:p w:rsidR="007442AA" w:rsidRPr="002152E4" w:rsidRDefault="007442AA" w:rsidP="007442AA">
            <w:pPr>
              <w:jc w:val="center"/>
              <w:rPr>
                <w:b/>
                <w:lang w:val="ro-RO"/>
              </w:rPr>
            </w:pPr>
            <w:r w:rsidRPr="002152E4">
              <w:rPr>
                <w:b/>
                <w:lang w:val="ro-RO"/>
              </w:rPr>
              <w:t xml:space="preserve">trimişi în </w:t>
            </w:r>
          </w:p>
          <w:p w:rsidR="007442AA" w:rsidRPr="002152E4" w:rsidRDefault="007442AA" w:rsidP="007442AA">
            <w:pPr>
              <w:jc w:val="center"/>
              <w:rPr>
                <w:b/>
                <w:lang w:val="ro-RO"/>
              </w:rPr>
            </w:pPr>
            <w:r w:rsidRPr="002152E4">
              <w:rPr>
                <w:b/>
                <w:lang w:val="ro-RO"/>
              </w:rPr>
              <w:t>judecată (%)</w:t>
            </w:r>
          </w:p>
        </w:tc>
        <w:tc>
          <w:tcPr>
            <w:tcW w:w="1559"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 ultraj </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57 C"/>
              </w:smartTagPr>
              <w:r w:rsidRPr="002152E4">
                <w:rPr>
                  <w:b/>
                  <w:lang w:val="ro-RO"/>
                </w:rPr>
                <w:t>257 C</w:t>
              </w:r>
            </w:smartTag>
            <w:r w:rsidRPr="002152E4">
              <w:rPr>
                <w:b/>
                <w:lang w:val="ro-RO"/>
              </w:rPr>
              <w:t>.p.)</w:t>
            </w:r>
          </w:p>
        </w:tc>
        <w:tc>
          <w:tcPr>
            <w:tcW w:w="1701"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trecerea frauduloasă </w:t>
            </w:r>
          </w:p>
          <w:p w:rsidR="007442AA" w:rsidRPr="002152E4" w:rsidRDefault="007442AA" w:rsidP="007442AA">
            <w:pPr>
              <w:jc w:val="center"/>
              <w:rPr>
                <w:b/>
                <w:lang w:val="ro-RO"/>
              </w:rPr>
            </w:pPr>
            <w:r w:rsidRPr="002152E4">
              <w:rPr>
                <w:b/>
                <w:lang w:val="ro-RO"/>
              </w:rPr>
              <w:t xml:space="preserve">a frontierei </w:t>
            </w:r>
          </w:p>
          <w:p w:rsidR="007442AA" w:rsidRPr="002152E4" w:rsidRDefault="007442AA" w:rsidP="007442AA">
            <w:pPr>
              <w:jc w:val="center"/>
              <w:rPr>
                <w:b/>
                <w:lang w:val="ro-RO"/>
              </w:rPr>
            </w:pPr>
            <w:r w:rsidRPr="002152E4">
              <w:rPr>
                <w:b/>
                <w:lang w:val="ro-RO"/>
              </w:rPr>
              <w:t xml:space="preserve">de stat </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62 C"/>
              </w:smartTagPr>
              <w:r w:rsidRPr="002152E4">
                <w:rPr>
                  <w:b/>
                  <w:lang w:val="ro-RO"/>
                </w:rPr>
                <w:t>262 C</w:t>
              </w:r>
            </w:smartTag>
            <w:r w:rsidRPr="002152E4">
              <w:rPr>
                <w:b/>
                <w:lang w:val="ro-RO"/>
              </w:rPr>
              <w:t>.p.)</w:t>
            </w:r>
          </w:p>
        </w:tc>
        <w:tc>
          <w:tcPr>
            <w:tcW w:w="1559" w:type="dxa"/>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trafic de migranți </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63 C"/>
              </w:smartTagPr>
              <w:r w:rsidRPr="002152E4">
                <w:rPr>
                  <w:b/>
                  <w:lang w:val="ro-RO"/>
                </w:rPr>
                <w:t>263 C</w:t>
              </w:r>
            </w:smartTag>
            <w:r w:rsidRPr="002152E4">
              <w:rPr>
                <w:b/>
                <w:lang w:val="ro-RO"/>
              </w:rPr>
              <w:t>.p.)</w:t>
            </w:r>
          </w:p>
        </w:tc>
      </w:tr>
      <w:tr w:rsidR="007442AA" w:rsidRPr="002152E4" w:rsidTr="007442AA">
        <w:tc>
          <w:tcPr>
            <w:tcW w:w="1548" w:type="dxa"/>
            <w:tcBorders>
              <w:top w:val="threeDEmboss" w:sz="6" w:space="0" w:color="00B050"/>
            </w:tcBorders>
          </w:tcPr>
          <w:p w:rsidR="007442AA" w:rsidRPr="002152E4" w:rsidRDefault="007442AA" w:rsidP="007442AA">
            <w:pPr>
              <w:jc w:val="center"/>
              <w:rPr>
                <w:lang w:val="ro-RO"/>
              </w:rPr>
            </w:pPr>
            <w:r w:rsidRPr="002152E4">
              <w:rPr>
                <w:lang w:val="ro-RO"/>
              </w:rPr>
              <w:t>2007</w:t>
            </w:r>
          </w:p>
        </w:tc>
        <w:tc>
          <w:tcPr>
            <w:tcW w:w="1679" w:type="dxa"/>
            <w:tcBorders>
              <w:top w:val="threeDEmboss" w:sz="6" w:space="0" w:color="00B050"/>
            </w:tcBorders>
            <w:vAlign w:val="bottom"/>
          </w:tcPr>
          <w:p w:rsidR="007442AA" w:rsidRPr="002152E4" w:rsidRDefault="007442AA" w:rsidP="007442AA">
            <w:pPr>
              <w:jc w:val="center"/>
              <w:rPr>
                <w:lang w:val="ro-RO"/>
              </w:rPr>
            </w:pPr>
            <w:r w:rsidRPr="002152E4">
              <w:rPr>
                <w:lang w:val="ro-RO"/>
              </w:rPr>
              <w:t>236</w:t>
            </w:r>
          </w:p>
        </w:tc>
        <w:tc>
          <w:tcPr>
            <w:tcW w:w="1843" w:type="dxa"/>
            <w:tcBorders>
              <w:top w:val="threeDEmboss" w:sz="6" w:space="0" w:color="00B050"/>
            </w:tcBorders>
            <w:vAlign w:val="bottom"/>
          </w:tcPr>
          <w:p w:rsidR="007442AA" w:rsidRPr="002152E4" w:rsidRDefault="007442AA" w:rsidP="007442AA">
            <w:pPr>
              <w:jc w:val="center"/>
              <w:rPr>
                <w:lang w:val="ro-RO"/>
              </w:rPr>
            </w:pPr>
            <w:r w:rsidRPr="002152E4">
              <w:rPr>
                <w:lang w:val="ro-RO"/>
              </w:rPr>
              <w:t>0,5</w:t>
            </w:r>
          </w:p>
        </w:tc>
        <w:tc>
          <w:tcPr>
            <w:tcW w:w="1559" w:type="dxa"/>
            <w:tcBorders>
              <w:top w:val="threeDEmboss" w:sz="6" w:space="0" w:color="00B050"/>
            </w:tcBorders>
            <w:vAlign w:val="bottom"/>
          </w:tcPr>
          <w:p w:rsidR="007442AA" w:rsidRPr="002152E4" w:rsidRDefault="007442AA" w:rsidP="007442AA">
            <w:pPr>
              <w:jc w:val="center"/>
              <w:rPr>
                <w:lang w:val="ro-RO"/>
              </w:rPr>
            </w:pPr>
            <w:r w:rsidRPr="002152E4">
              <w:rPr>
                <w:lang w:val="ro-RO"/>
              </w:rPr>
              <w:t>220</w:t>
            </w:r>
          </w:p>
        </w:tc>
        <w:tc>
          <w:tcPr>
            <w:tcW w:w="1701" w:type="dxa"/>
            <w:tcBorders>
              <w:top w:val="threeDEmboss" w:sz="6" w:space="0" w:color="00B050"/>
            </w:tcBorders>
            <w:vAlign w:val="bottom"/>
          </w:tcPr>
          <w:p w:rsidR="007442AA" w:rsidRPr="002152E4" w:rsidRDefault="007442AA" w:rsidP="007442AA">
            <w:pPr>
              <w:jc w:val="center"/>
              <w:rPr>
                <w:lang w:val="ro-RO"/>
              </w:rPr>
            </w:pPr>
            <w:r w:rsidRPr="002152E4">
              <w:rPr>
                <w:lang w:val="ro-RO"/>
              </w:rPr>
              <w:t>641</w:t>
            </w:r>
          </w:p>
        </w:tc>
        <w:tc>
          <w:tcPr>
            <w:tcW w:w="1559" w:type="dxa"/>
            <w:tcBorders>
              <w:top w:val="threeDEmboss" w:sz="6" w:space="0" w:color="00B050"/>
            </w:tcBorders>
            <w:vAlign w:val="bottom"/>
          </w:tcPr>
          <w:p w:rsidR="007442AA" w:rsidRPr="002152E4" w:rsidRDefault="007442AA" w:rsidP="007442AA">
            <w:pPr>
              <w:jc w:val="center"/>
              <w:rPr>
                <w:lang w:val="ro-RO"/>
              </w:rPr>
            </w:pPr>
            <w:r w:rsidRPr="002152E4">
              <w:rPr>
                <w:lang w:val="ro-RO"/>
              </w:rPr>
              <w:t>13</w:t>
            </w:r>
          </w:p>
        </w:tc>
      </w:tr>
      <w:tr w:rsidR="007442AA" w:rsidRPr="002152E4" w:rsidTr="007442AA">
        <w:tc>
          <w:tcPr>
            <w:tcW w:w="1548" w:type="dxa"/>
          </w:tcPr>
          <w:p w:rsidR="007442AA" w:rsidRPr="002152E4" w:rsidRDefault="007442AA" w:rsidP="007442AA">
            <w:pPr>
              <w:jc w:val="center"/>
              <w:rPr>
                <w:lang w:val="ro-RO"/>
              </w:rPr>
            </w:pPr>
            <w:r w:rsidRPr="002152E4">
              <w:rPr>
                <w:lang w:val="ro-RO"/>
              </w:rPr>
              <w:t>2008</w:t>
            </w:r>
          </w:p>
        </w:tc>
        <w:tc>
          <w:tcPr>
            <w:tcW w:w="1679" w:type="dxa"/>
            <w:vAlign w:val="bottom"/>
          </w:tcPr>
          <w:p w:rsidR="007442AA" w:rsidRPr="002152E4" w:rsidRDefault="007442AA" w:rsidP="007442AA">
            <w:pPr>
              <w:jc w:val="center"/>
              <w:rPr>
                <w:lang w:val="ro-RO"/>
              </w:rPr>
            </w:pPr>
            <w:r w:rsidRPr="002152E4">
              <w:rPr>
                <w:lang w:val="ro-RO"/>
              </w:rPr>
              <w:t>278</w:t>
            </w:r>
          </w:p>
        </w:tc>
        <w:tc>
          <w:tcPr>
            <w:tcW w:w="1843" w:type="dxa"/>
            <w:vAlign w:val="bottom"/>
          </w:tcPr>
          <w:p w:rsidR="007442AA" w:rsidRPr="002152E4" w:rsidRDefault="007442AA" w:rsidP="007442AA">
            <w:pPr>
              <w:jc w:val="center"/>
              <w:rPr>
                <w:lang w:val="ro-RO"/>
              </w:rPr>
            </w:pPr>
            <w:r w:rsidRPr="002152E4">
              <w:rPr>
                <w:lang w:val="ro-RO"/>
              </w:rPr>
              <w:t>0,6</w:t>
            </w:r>
          </w:p>
        </w:tc>
        <w:tc>
          <w:tcPr>
            <w:tcW w:w="1559" w:type="dxa"/>
            <w:vAlign w:val="bottom"/>
          </w:tcPr>
          <w:p w:rsidR="007442AA" w:rsidRPr="002152E4" w:rsidRDefault="007442AA" w:rsidP="007442AA">
            <w:pPr>
              <w:jc w:val="center"/>
              <w:rPr>
                <w:lang w:val="ro-RO"/>
              </w:rPr>
            </w:pPr>
            <w:r w:rsidRPr="002152E4">
              <w:rPr>
                <w:lang w:val="ro-RO"/>
              </w:rPr>
              <w:t>269</w:t>
            </w:r>
          </w:p>
        </w:tc>
        <w:tc>
          <w:tcPr>
            <w:tcW w:w="1701" w:type="dxa"/>
            <w:vAlign w:val="bottom"/>
          </w:tcPr>
          <w:p w:rsidR="007442AA" w:rsidRPr="002152E4" w:rsidRDefault="007442AA" w:rsidP="007442AA">
            <w:pPr>
              <w:jc w:val="center"/>
              <w:rPr>
                <w:lang w:val="ro-RO"/>
              </w:rPr>
            </w:pPr>
            <w:r w:rsidRPr="002152E4">
              <w:rPr>
                <w:lang w:val="ro-RO"/>
              </w:rPr>
              <w:t>581</w:t>
            </w:r>
          </w:p>
        </w:tc>
        <w:tc>
          <w:tcPr>
            <w:tcW w:w="1559" w:type="dxa"/>
            <w:vAlign w:val="bottom"/>
          </w:tcPr>
          <w:p w:rsidR="007442AA" w:rsidRPr="002152E4" w:rsidRDefault="007442AA" w:rsidP="007442AA">
            <w:pPr>
              <w:jc w:val="center"/>
              <w:rPr>
                <w:lang w:val="ro-RO"/>
              </w:rPr>
            </w:pPr>
            <w:r w:rsidRPr="002152E4">
              <w:rPr>
                <w:lang w:val="ro-RO"/>
              </w:rPr>
              <w:t>6</w:t>
            </w:r>
          </w:p>
        </w:tc>
      </w:tr>
      <w:tr w:rsidR="007442AA" w:rsidRPr="002152E4" w:rsidTr="007442AA">
        <w:tc>
          <w:tcPr>
            <w:tcW w:w="1548" w:type="dxa"/>
          </w:tcPr>
          <w:p w:rsidR="007442AA" w:rsidRPr="002152E4" w:rsidRDefault="007442AA" w:rsidP="007442AA">
            <w:pPr>
              <w:jc w:val="center"/>
              <w:rPr>
                <w:lang w:val="ro-RO"/>
              </w:rPr>
            </w:pPr>
            <w:r w:rsidRPr="002152E4">
              <w:rPr>
                <w:lang w:val="ro-RO"/>
              </w:rPr>
              <w:t>2009</w:t>
            </w:r>
          </w:p>
        </w:tc>
        <w:tc>
          <w:tcPr>
            <w:tcW w:w="1679" w:type="dxa"/>
            <w:vAlign w:val="bottom"/>
          </w:tcPr>
          <w:p w:rsidR="007442AA" w:rsidRPr="002152E4" w:rsidRDefault="007442AA" w:rsidP="007442AA">
            <w:pPr>
              <w:jc w:val="center"/>
              <w:rPr>
                <w:lang w:val="ro-RO"/>
              </w:rPr>
            </w:pPr>
            <w:r w:rsidRPr="002152E4">
              <w:rPr>
                <w:lang w:val="ro-RO"/>
              </w:rPr>
              <w:t>433</w:t>
            </w:r>
          </w:p>
        </w:tc>
        <w:tc>
          <w:tcPr>
            <w:tcW w:w="1843" w:type="dxa"/>
            <w:vAlign w:val="bottom"/>
          </w:tcPr>
          <w:p w:rsidR="007442AA" w:rsidRPr="002152E4" w:rsidRDefault="007442AA" w:rsidP="007442AA">
            <w:pPr>
              <w:jc w:val="center"/>
              <w:rPr>
                <w:lang w:val="ro-RO"/>
              </w:rPr>
            </w:pPr>
            <w:r w:rsidRPr="002152E4">
              <w:rPr>
                <w:lang w:val="ro-RO"/>
              </w:rPr>
              <w:t>0,9</w:t>
            </w:r>
          </w:p>
        </w:tc>
        <w:tc>
          <w:tcPr>
            <w:tcW w:w="1559" w:type="dxa"/>
            <w:vAlign w:val="bottom"/>
          </w:tcPr>
          <w:p w:rsidR="007442AA" w:rsidRPr="002152E4" w:rsidRDefault="007442AA" w:rsidP="007442AA">
            <w:pPr>
              <w:jc w:val="center"/>
              <w:rPr>
                <w:lang w:val="ro-RO"/>
              </w:rPr>
            </w:pPr>
            <w:r w:rsidRPr="002152E4">
              <w:rPr>
                <w:lang w:val="ro-RO"/>
              </w:rPr>
              <w:t>407</w:t>
            </w:r>
          </w:p>
        </w:tc>
        <w:tc>
          <w:tcPr>
            <w:tcW w:w="1701" w:type="dxa"/>
            <w:vAlign w:val="bottom"/>
          </w:tcPr>
          <w:p w:rsidR="007442AA" w:rsidRPr="002152E4" w:rsidRDefault="007442AA" w:rsidP="007442AA">
            <w:pPr>
              <w:jc w:val="center"/>
              <w:rPr>
                <w:lang w:val="ro-RO"/>
              </w:rPr>
            </w:pPr>
            <w:r w:rsidRPr="002152E4">
              <w:rPr>
                <w:lang w:val="ro-RO"/>
              </w:rPr>
              <w:t>417</w:t>
            </w:r>
          </w:p>
        </w:tc>
        <w:tc>
          <w:tcPr>
            <w:tcW w:w="1559" w:type="dxa"/>
            <w:vAlign w:val="bottom"/>
          </w:tcPr>
          <w:p w:rsidR="007442AA" w:rsidRPr="002152E4" w:rsidRDefault="007442AA" w:rsidP="007442AA">
            <w:pPr>
              <w:jc w:val="center"/>
              <w:rPr>
                <w:lang w:val="ro-RO"/>
              </w:rPr>
            </w:pPr>
            <w:r w:rsidRPr="002152E4">
              <w:rPr>
                <w:lang w:val="ro-RO"/>
              </w:rPr>
              <w:t>4</w:t>
            </w:r>
          </w:p>
        </w:tc>
      </w:tr>
      <w:tr w:rsidR="007442AA" w:rsidRPr="002152E4" w:rsidTr="007442AA">
        <w:tc>
          <w:tcPr>
            <w:tcW w:w="1548" w:type="dxa"/>
          </w:tcPr>
          <w:p w:rsidR="007442AA" w:rsidRPr="002152E4" w:rsidRDefault="007442AA" w:rsidP="007442AA">
            <w:pPr>
              <w:jc w:val="center"/>
              <w:rPr>
                <w:lang w:val="ro-RO"/>
              </w:rPr>
            </w:pPr>
            <w:r w:rsidRPr="002152E4">
              <w:rPr>
                <w:lang w:val="ro-RO"/>
              </w:rPr>
              <w:t>2010</w:t>
            </w:r>
          </w:p>
        </w:tc>
        <w:tc>
          <w:tcPr>
            <w:tcW w:w="1679" w:type="dxa"/>
            <w:vAlign w:val="bottom"/>
          </w:tcPr>
          <w:p w:rsidR="007442AA" w:rsidRPr="002152E4" w:rsidRDefault="007442AA" w:rsidP="007442AA">
            <w:pPr>
              <w:jc w:val="center"/>
              <w:rPr>
                <w:lang w:val="ro-RO"/>
              </w:rPr>
            </w:pPr>
            <w:r w:rsidRPr="002152E4">
              <w:rPr>
                <w:lang w:val="ro-RO"/>
              </w:rPr>
              <w:t>499</w:t>
            </w:r>
          </w:p>
        </w:tc>
        <w:tc>
          <w:tcPr>
            <w:tcW w:w="1843" w:type="dxa"/>
            <w:vAlign w:val="bottom"/>
          </w:tcPr>
          <w:p w:rsidR="007442AA" w:rsidRPr="002152E4" w:rsidRDefault="007442AA" w:rsidP="007442AA">
            <w:pPr>
              <w:jc w:val="center"/>
              <w:rPr>
                <w:lang w:val="ro-RO"/>
              </w:rPr>
            </w:pPr>
            <w:r w:rsidRPr="002152E4">
              <w:rPr>
                <w:lang w:val="ro-RO"/>
              </w:rPr>
              <w:t>0,9</w:t>
            </w:r>
          </w:p>
        </w:tc>
        <w:tc>
          <w:tcPr>
            <w:tcW w:w="1559" w:type="dxa"/>
            <w:vAlign w:val="bottom"/>
          </w:tcPr>
          <w:p w:rsidR="007442AA" w:rsidRPr="002152E4" w:rsidRDefault="007442AA" w:rsidP="007442AA">
            <w:pPr>
              <w:jc w:val="center"/>
              <w:rPr>
                <w:lang w:val="ro-RO"/>
              </w:rPr>
            </w:pPr>
            <w:r w:rsidRPr="002152E4">
              <w:rPr>
                <w:lang w:val="ro-RO"/>
              </w:rPr>
              <w:t>492</w:t>
            </w:r>
          </w:p>
        </w:tc>
        <w:tc>
          <w:tcPr>
            <w:tcW w:w="1701" w:type="dxa"/>
            <w:vAlign w:val="bottom"/>
          </w:tcPr>
          <w:p w:rsidR="007442AA" w:rsidRPr="002152E4" w:rsidRDefault="007442AA" w:rsidP="007442AA">
            <w:pPr>
              <w:jc w:val="center"/>
              <w:rPr>
                <w:lang w:val="ro-RO"/>
              </w:rPr>
            </w:pPr>
            <w:r w:rsidRPr="002152E4">
              <w:rPr>
                <w:lang w:val="ro-RO"/>
              </w:rPr>
              <w:t>435</w:t>
            </w:r>
          </w:p>
        </w:tc>
        <w:tc>
          <w:tcPr>
            <w:tcW w:w="1559" w:type="dxa"/>
            <w:vAlign w:val="bottom"/>
          </w:tcPr>
          <w:p w:rsidR="007442AA" w:rsidRPr="002152E4" w:rsidRDefault="007442AA" w:rsidP="007442AA">
            <w:pPr>
              <w:jc w:val="center"/>
              <w:rPr>
                <w:lang w:val="ro-RO"/>
              </w:rPr>
            </w:pPr>
            <w:r w:rsidRPr="002152E4">
              <w:rPr>
                <w:lang w:val="ro-RO"/>
              </w:rPr>
              <w:t>0</w:t>
            </w:r>
          </w:p>
        </w:tc>
      </w:tr>
      <w:tr w:rsidR="007442AA" w:rsidRPr="002152E4" w:rsidTr="007442AA">
        <w:tc>
          <w:tcPr>
            <w:tcW w:w="1548" w:type="dxa"/>
          </w:tcPr>
          <w:p w:rsidR="007442AA" w:rsidRPr="002152E4" w:rsidRDefault="007442AA" w:rsidP="007442AA">
            <w:pPr>
              <w:jc w:val="center"/>
              <w:rPr>
                <w:lang w:val="ro-RO"/>
              </w:rPr>
            </w:pPr>
            <w:r w:rsidRPr="002152E4">
              <w:rPr>
                <w:lang w:val="ro-RO"/>
              </w:rPr>
              <w:t>2011</w:t>
            </w:r>
          </w:p>
        </w:tc>
        <w:tc>
          <w:tcPr>
            <w:tcW w:w="1679" w:type="dxa"/>
            <w:vAlign w:val="bottom"/>
          </w:tcPr>
          <w:p w:rsidR="007442AA" w:rsidRPr="002152E4" w:rsidRDefault="007442AA" w:rsidP="007442AA">
            <w:pPr>
              <w:jc w:val="center"/>
              <w:rPr>
                <w:lang w:val="ro-RO"/>
              </w:rPr>
            </w:pPr>
            <w:r w:rsidRPr="002152E4">
              <w:rPr>
                <w:lang w:val="ro-RO"/>
              </w:rPr>
              <w:t>401</w:t>
            </w:r>
          </w:p>
        </w:tc>
        <w:tc>
          <w:tcPr>
            <w:tcW w:w="1843" w:type="dxa"/>
            <w:vAlign w:val="bottom"/>
          </w:tcPr>
          <w:p w:rsidR="007442AA" w:rsidRPr="002152E4" w:rsidRDefault="007442AA" w:rsidP="007442AA">
            <w:pPr>
              <w:jc w:val="center"/>
              <w:rPr>
                <w:lang w:val="ro-RO"/>
              </w:rPr>
            </w:pPr>
            <w:r w:rsidRPr="002152E4">
              <w:rPr>
                <w:lang w:val="ro-RO"/>
              </w:rPr>
              <w:t>0,7</w:t>
            </w:r>
          </w:p>
        </w:tc>
        <w:tc>
          <w:tcPr>
            <w:tcW w:w="1559" w:type="dxa"/>
            <w:vAlign w:val="bottom"/>
          </w:tcPr>
          <w:p w:rsidR="007442AA" w:rsidRPr="002152E4" w:rsidRDefault="007442AA" w:rsidP="007442AA">
            <w:pPr>
              <w:jc w:val="center"/>
              <w:rPr>
                <w:lang w:val="ro-RO"/>
              </w:rPr>
            </w:pPr>
            <w:r w:rsidRPr="002152E4">
              <w:rPr>
                <w:lang w:val="ro-RO"/>
              </w:rPr>
              <w:t>392</w:t>
            </w:r>
          </w:p>
        </w:tc>
        <w:tc>
          <w:tcPr>
            <w:tcW w:w="1701" w:type="dxa"/>
            <w:vAlign w:val="bottom"/>
          </w:tcPr>
          <w:p w:rsidR="007442AA" w:rsidRPr="002152E4" w:rsidRDefault="007442AA" w:rsidP="007442AA">
            <w:pPr>
              <w:jc w:val="center"/>
              <w:rPr>
                <w:lang w:val="ro-RO"/>
              </w:rPr>
            </w:pPr>
            <w:r w:rsidRPr="002152E4">
              <w:rPr>
                <w:lang w:val="ro-RO"/>
              </w:rPr>
              <w:t>365</w:t>
            </w:r>
          </w:p>
        </w:tc>
        <w:tc>
          <w:tcPr>
            <w:tcW w:w="1559" w:type="dxa"/>
            <w:vAlign w:val="bottom"/>
          </w:tcPr>
          <w:p w:rsidR="007442AA" w:rsidRPr="002152E4" w:rsidRDefault="007442AA" w:rsidP="007442AA">
            <w:pPr>
              <w:jc w:val="center"/>
              <w:rPr>
                <w:lang w:val="ro-RO"/>
              </w:rPr>
            </w:pPr>
            <w:r w:rsidRPr="002152E4">
              <w:rPr>
                <w:lang w:val="ro-RO"/>
              </w:rPr>
              <w:t>5</w:t>
            </w:r>
          </w:p>
        </w:tc>
      </w:tr>
      <w:tr w:rsidR="007442AA" w:rsidRPr="002152E4" w:rsidTr="007442AA">
        <w:tc>
          <w:tcPr>
            <w:tcW w:w="1548" w:type="dxa"/>
          </w:tcPr>
          <w:p w:rsidR="007442AA" w:rsidRPr="002152E4" w:rsidRDefault="007442AA" w:rsidP="007442AA">
            <w:pPr>
              <w:jc w:val="center"/>
              <w:rPr>
                <w:lang w:val="ro-RO"/>
              </w:rPr>
            </w:pPr>
            <w:r w:rsidRPr="002152E4">
              <w:rPr>
                <w:lang w:val="ro-RO"/>
              </w:rPr>
              <w:t>2012</w:t>
            </w:r>
          </w:p>
        </w:tc>
        <w:tc>
          <w:tcPr>
            <w:tcW w:w="1679" w:type="dxa"/>
            <w:vAlign w:val="bottom"/>
          </w:tcPr>
          <w:p w:rsidR="007442AA" w:rsidRPr="002152E4" w:rsidRDefault="007442AA" w:rsidP="007442AA">
            <w:pPr>
              <w:jc w:val="center"/>
              <w:rPr>
                <w:lang w:val="ro-RO"/>
              </w:rPr>
            </w:pPr>
            <w:r w:rsidRPr="002152E4">
              <w:rPr>
                <w:lang w:val="ro-RO"/>
              </w:rPr>
              <w:t>427</w:t>
            </w:r>
          </w:p>
        </w:tc>
        <w:tc>
          <w:tcPr>
            <w:tcW w:w="1843" w:type="dxa"/>
            <w:vAlign w:val="bottom"/>
          </w:tcPr>
          <w:p w:rsidR="007442AA" w:rsidRPr="002152E4" w:rsidRDefault="007442AA" w:rsidP="007442AA">
            <w:pPr>
              <w:jc w:val="center"/>
              <w:rPr>
                <w:lang w:val="ro-RO"/>
              </w:rPr>
            </w:pPr>
            <w:r w:rsidRPr="002152E4">
              <w:rPr>
                <w:lang w:val="ro-RO"/>
              </w:rPr>
              <w:t>0,7</w:t>
            </w:r>
          </w:p>
        </w:tc>
        <w:tc>
          <w:tcPr>
            <w:tcW w:w="1559" w:type="dxa"/>
            <w:vAlign w:val="bottom"/>
          </w:tcPr>
          <w:p w:rsidR="007442AA" w:rsidRPr="002152E4" w:rsidRDefault="007442AA" w:rsidP="007442AA">
            <w:pPr>
              <w:jc w:val="center"/>
              <w:rPr>
                <w:lang w:val="ro-RO"/>
              </w:rPr>
            </w:pPr>
            <w:r w:rsidRPr="002152E4">
              <w:rPr>
                <w:lang w:val="ro-RO"/>
              </w:rPr>
              <w:t>417</w:t>
            </w:r>
          </w:p>
        </w:tc>
        <w:tc>
          <w:tcPr>
            <w:tcW w:w="1701" w:type="dxa"/>
            <w:vAlign w:val="bottom"/>
          </w:tcPr>
          <w:p w:rsidR="007442AA" w:rsidRPr="002152E4" w:rsidRDefault="007442AA" w:rsidP="007442AA">
            <w:pPr>
              <w:jc w:val="center"/>
              <w:rPr>
                <w:lang w:val="ro-RO"/>
              </w:rPr>
            </w:pPr>
            <w:r w:rsidRPr="002152E4">
              <w:rPr>
                <w:lang w:val="ro-RO"/>
              </w:rPr>
              <w:t>281</w:t>
            </w:r>
          </w:p>
        </w:tc>
        <w:tc>
          <w:tcPr>
            <w:tcW w:w="1559" w:type="dxa"/>
            <w:vAlign w:val="bottom"/>
          </w:tcPr>
          <w:p w:rsidR="007442AA" w:rsidRPr="002152E4" w:rsidRDefault="007442AA" w:rsidP="007442AA">
            <w:pPr>
              <w:jc w:val="center"/>
              <w:rPr>
                <w:lang w:val="ro-RO"/>
              </w:rPr>
            </w:pPr>
            <w:r w:rsidRPr="002152E4">
              <w:rPr>
                <w:lang w:val="ro-RO"/>
              </w:rPr>
              <w:t>4</w:t>
            </w:r>
          </w:p>
        </w:tc>
      </w:tr>
      <w:tr w:rsidR="007442AA" w:rsidRPr="002152E4" w:rsidTr="007442AA">
        <w:tc>
          <w:tcPr>
            <w:tcW w:w="1548" w:type="dxa"/>
          </w:tcPr>
          <w:p w:rsidR="007442AA" w:rsidRPr="002152E4" w:rsidRDefault="007442AA" w:rsidP="007442AA">
            <w:pPr>
              <w:jc w:val="center"/>
              <w:rPr>
                <w:lang w:val="ro-RO"/>
              </w:rPr>
            </w:pPr>
            <w:r w:rsidRPr="002152E4">
              <w:rPr>
                <w:lang w:val="ro-RO"/>
              </w:rPr>
              <w:t>2013</w:t>
            </w:r>
          </w:p>
        </w:tc>
        <w:tc>
          <w:tcPr>
            <w:tcW w:w="1679" w:type="dxa"/>
            <w:vAlign w:val="bottom"/>
          </w:tcPr>
          <w:p w:rsidR="007442AA" w:rsidRPr="002152E4" w:rsidRDefault="007442AA" w:rsidP="007442AA">
            <w:pPr>
              <w:jc w:val="center"/>
              <w:rPr>
                <w:lang w:val="ro-RO"/>
              </w:rPr>
            </w:pPr>
            <w:r w:rsidRPr="002152E4">
              <w:rPr>
                <w:lang w:val="ro-RO"/>
              </w:rPr>
              <w:t>439</w:t>
            </w:r>
          </w:p>
        </w:tc>
        <w:tc>
          <w:tcPr>
            <w:tcW w:w="1843" w:type="dxa"/>
            <w:vAlign w:val="bottom"/>
          </w:tcPr>
          <w:p w:rsidR="007442AA" w:rsidRPr="002152E4" w:rsidRDefault="007442AA" w:rsidP="007442AA">
            <w:pPr>
              <w:jc w:val="center"/>
              <w:rPr>
                <w:lang w:val="ro-RO"/>
              </w:rPr>
            </w:pPr>
            <w:r w:rsidRPr="002152E4">
              <w:rPr>
                <w:lang w:val="ro-RO"/>
              </w:rPr>
              <w:t>0,7</w:t>
            </w:r>
          </w:p>
        </w:tc>
        <w:tc>
          <w:tcPr>
            <w:tcW w:w="1559" w:type="dxa"/>
            <w:vAlign w:val="bottom"/>
          </w:tcPr>
          <w:p w:rsidR="007442AA" w:rsidRPr="002152E4" w:rsidRDefault="007442AA" w:rsidP="007442AA">
            <w:pPr>
              <w:jc w:val="center"/>
              <w:rPr>
                <w:lang w:val="ro-RO"/>
              </w:rPr>
            </w:pPr>
            <w:r w:rsidRPr="002152E4">
              <w:rPr>
                <w:lang w:val="ro-RO"/>
              </w:rPr>
              <w:t>424</w:t>
            </w:r>
          </w:p>
        </w:tc>
        <w:tc>
          <w:tcPr>
            <w:tcW w:w="1701" w:type="dxa"/>
            <w:vAlign w:val="bottom"/>
          </w:tcPr>
          <w:p w:rsidR="007442AA" w:rsidRPr="002152E4" w:rsidRDefault="007442AA" w:rsidP="007442AA">
            <w:pPr>
              <w:jc w:val="center"/>
              <w:rPr>
                <w:lang w:val="ro-RO"/>
              </w:rPr>
            </w:pPr>
            <w:r w:rsidRPr="002152E4">
              <w:rPr>
                <w:lang w:val="ro-RO"/>
              </w:rPr>
              <w:t>196</w:t>
            </w:r>
          </w:p>
        </w:tc>
        <w:tc>
          <w:tcPr>
            <w:tcW w:w="1559" w:type="dxa"/>
            <w:vAlign w:val="bottom"/>
          </w:tcPr>
          <w:p w:rsidR="007442AA" w:rsidRPr="002152E4" w:rsidRDefault="007442AA" w:rsidP="007442AA">
            <w:pPr>
              <w:jc w:val="center"/>
              <w:rPr>
                <w:lang w:val="ro-RO"/>
              </w:rPr>
            </w:pPr>
            <w:r w:rsidRPr="002152E4">
              <w:rPr>
                <w:lang w:val="ro-RO"/>
              </w:rPr>
              <w:t>0</w:t>
            </w:r>
          </w:p>
        </w:tc>
      </w:tr>
      <w:tr w:rsidR="007442AA" w:rsidRPr="002152E4" w:rsidTr="007442AA">
        <w:tc>
          <w:tcPr>
            <w:tcW w:w="1548" w:type="dxa"/>
          </w:tcPr>
          <w:p w:rsidR="007442AA" w:rsidRPr="002152E4" w:rsidRDefault="007442AA" w:rsidP="007442AA">
            <w:pPr>
              <w:jc w:val="center"/>
              <w:rPr>
                <w:lang w:val="ro-RO"/>
              </w:rPr>
            </w:pPr>
            <w:r w:rsidRPr="002152E4">
              <w:rPr>
                <w:lang w:val="ro-RO"/>
              </w:rPr>
              <w:t>2014</w:t>
            </w:r>
          </w:p>
        </w:tc>
        <w:tc>
          <w:tcPr>
            <w:tcW w:w="1679" w:type="dxa"/>
          </w:tcPr>
          <w:p w:rsidR="007442AA" w:rsidRPr="002152E4" w:rsidRDefault="007442AA" w:rsidP="007442AA">
            <w:pPr>
              <w:widowControl w:val="0"/>
              <w:jc w:val="center"/>
              <w:rPr>
                <w:lang w:val="ro-RO"/>
              </w:rPr>
            </w:pPr>
            <w:r w:rsidRPr="002152E4">
              <w:rPr>
                <w:lang w:val="ro-RO"/>
              </w:rPr>
              <w:t>593</w:t>
            </w:r>
          </w:p>
        </w:tc>
        <w:tc>
          <w:tcPr>
            <w:tcW w:w="1843" w:type="dxa"/>
          </w:tcPr>
          <w:p w:rsidR="007442AA" w:rsidRPr="002152E4" w:rsidRDefault="007442AA" w:rsidP="007442AA">
            <w:pPr>
              <w:widowControl w:val="0"/>
              <w:jc w:val="center"/>
              <w:rPr>
                <w:lang w:val="ro-RO"/>
              </w:rPr>
            </w:pPr>
            <w:r w:rsidRPr="002152E4">
              <w:rPr>
                <w:lang w:val="ro-RO"/>
              </w:rPr>
              <w:t>1,2</w:t>
            </w:r>
          </w:p>
        </w:tc>
        <w:tc>
          <w:tcPr>
            <w:tcW w:w="1559" w:type="dxa"/>
          </w:tcPr>
          <w:p w:rsidR="007442AA" w:rsidRPr="002152E4" w:rsidRDefault="007442AA" w:rsidP="007442AA">
            <w:pPr>
              <w:widowControl w:val="0"/>
              <w:jc w:val="center"/>
              <w:rPr>
                <w:lang w:val="ro-RO"/>
              </w:rPr>
            </w:pPr>
            <w:r w:rsidRPr="002152E4">
              <w:rPr>
                <w:lang w:val="ro-RO"/>
              </w:rPr>
              <w:t>425</w:t>
            </w:r>
          </w:p>
        </w:tc>
        <w:tc>
          <w:tcPr>
            <w:tcW w:w="1701" w:type="dxa"/>
          </w:tcPr>
          <w:p w:rsidR="007442AA" w:rsidRPr="002152E4" w:rsidRDefault="007442AA" w:rsidP="007442AA">
            <w:pPr>
              <w:widowControl w:val="0"/>
              <w:jc w:val="center"/>
              <w:rPr>
                <w:lang w:val="ro-RO"/>
              </w:rPr>
            </w:pPr>
            <w:r w:rsidRPr="002152E4">
              <w:rPr>
                <w:lang w:val="ro-RO"/>
              </w:rPr>
              <w:t>49</w:t>
            </w:r>
          </w:p>
        </w:tc>
        <w:tc>
          <w:tcPr>
            <w:tcW w:w="1559" w:type="dxa"/>
          </w:tcPr>
          <w:p w:rsidR="007442AA" w:rsidRPr="002152E4" w:rsidRDefault="007442AA" w:rsidP="007442AA">
            <w:pPr>
              <w:widowControl w:val="0"/>
              <w:jc w:val="center"/>
              <w:rPr>
                <w:lang w:val="ro-RO"/>
              </w:rPr>
            </w:pPr>
            <w:r w:rsidRPr="002152E4">
              <w:rPr>
                <w:lang w:val="ro-RO"/>
              </w:rPr>
              <w:t>105</w:t>
            </w:r>
          </w:p>
        </w:tc>
      </w:tr>
      <w:tr w:rsidR="007442AA" w:rsidRPr="002152E4" w:rsidTr="007442AA">
        <w:tc>
          <w:tcPr>
            <w:tcW w:w="1548" w:type="dxa"/>
          </w:tcPr>
          <w:p w:rsidR="007442AA" w:rsidRPr="002152E4" w:rsidRDefault="007442AA" w:rsidP="007442AA">
            <w:pPr>
              <w:jc w:val="center"/>
              <w:rPr>
                <w:lang w:val="ro-RO"/>
              </w:rPr>
            </w:pPr>
            <w:r w:rsidRPr="002152E4">
              <w:rPr>
                <w:lang w:val="ro-RO"/>
              </w:rPr>
              <w:t>2015</w:t>
            </w:r>
          </w:p>
        </w:tc>
        <w:tc>
          <w:tcPr>
            <w:tcW w:w="1679" w:type="dxa"/>
          </w:tcPr>
          <w:p w:rsidR="007442AA" w:rsidRPr="002152E4" w:rsidRDefault="007442AA" w:rsidP="007442AA">
            <w:pPr>
              <w:widowControl w:val="0"/>
              <w:jc w:val="center"/>
              <w:rPr>
                <w:lang w:val="ro-RO"/>
              </w:rPr>
            </w:pPr>
            <w:r w:rsidRPr="002152E4">
              <w:rPr>
                <w:lang w:val="ro-RO"/>
              </w:rPr>
              <w:t>648</w:t>
            </w:r>
          </w:p>
        </w:tc>
        <w:tc>
          <w:tcPr>
            <w:tcW w:w="1843" w:type="dxa"/>
          </w:tcPr>
          <w:p w:rsidR="007442AA" w:rsidRPr="002152E4" w:rsidRDefault="007442AA" w:rsidP="007442AA">
            <w:pPr>
              <w:widowControl w:val="0"/>
              <w:jc w:val="center"/>
              <w:rPr>
                <w:lang w:val="ro-RO"/>
              </w:rPr>
            </w:pPr>
            <w:r w:rsidRPr="002152E4">
              <w:rPr>
                <w:lang w:val="ro-RO"/>
              </w:rPr>
              <w:t>1,1</w:t>
            </w:r>
          </w:p>
        </w:tc>
        <w:tc>
          <w:tcPr>
            <w:tcW w:w="1559" w:type="dxa"/>
          </w:tcPr>
          <w:p w:rsidR="007442AA" w:rsidRPr="002152E4" w:rsidRDefault="007442AA" w:rsidP="007442AA">
            <w:pPr>
              <w:widowControl w:val="0"/>
              <w:jc w:val="center"/>
              <w:rPr>
                <w:lang w:val="ro-RO"/>
              </w:rPr>
            </w:pPr>
            <w:r w:rsidRPr="002152E4">
              <w:rPr>
                <w:lang w:val="ro-RO"/>
              </w:rPr>
              <w:t>446</w:t>
            </w:r>
          </w:p>
        </w:tc>
        <w:tc>
          <w:tcPr>
            <w:tcW w:w="1701" w:type="dxa"/>
          </w:tcPr>
          <w:p w:rsidR="007442AA" w:rsidRPr="002152E4" w:rsidRDefault="007442AA" w:rsidP="007442AA">
            <w:pPr>
              <w:widowControl w:val="0"/>
              <w:jc w:val="center"/>
              <w:rPr>
                <w:lang w:val="ro-RO"/>
              </w:rPr>
            </w:pPr>
            <w:r w:rsidRPr="002152E4">
              <w:rPr>
                <w:lang w:val="ro-RO"/>
              </w:rPr>
              <w:t>31</w:t>
            </w:r>
          </w:p>
        </w:tc>
        <w:tc>
          <w:tcPr>
            <w:tcW w:w="1559" w:type="dxa"/>
          </w:tcPr>
          <w:p w:rsidR="007442AA" w:rsidRPr="002152E4" w:rsidRDefault="007442AA" w:rsidP="007442AA">
            <w:pPr>
              <w:widowControl w:val="0"/>
              <w:jc w:val="center"/>
              <w:rPr>
                <w:lang w:val="ro-RO"/>
              </w:rPr>
            </w:pPr>
            <w:r w:rsidRPr="002152E4">
              <w:rPr>
                <w:lang w:val="ro-RO"/>
              </w:rPr>
              <w:t>154</w:t>
            </w:r>
          </w:p>
        </w:tc>
      </w:tr>
      <w:tr w:rsidR="007442AA" w:rsidRPr="002152E4" w:rsidTr="007442AA">
        <w:tc>
          <w:tcPr>
            <w:tcW w:w="1548" w:type="dxa"/>
            <w:tcBorders>
              <w:bottom w:val="threeDEmboss" w:sz="6" w:space="0" w:color="00B050"/>
            </w:tcBorders>
          </w:tcPr>
          <w:p w:rsidR="007442AA" w:rsidRPr="002152E4" w:rsidRDefault="007442AA" w:rsidP="007442AA">
            <w:pPr>
              <w:jc w:val="center"/>
              <w:rPr>
                <w:lang w:val="ro-RO"/>
              </w:rPr>
            </w:pPr>
            <w:r w:rsidRPr="002152E4">
              <w:rPr>
                <w:lang w:val="ro-RO"/>
              </w:rPr>
              <w:t>2016</w:t>
            </w:r>
          </w:p>
        </w:tc>
        <w:tc>
          <w:tcPr>
            <w:tcW w:w="1679" w:type="dxa"/>
            <w:tcBorders>
              <w:bottom w:val="threeDEmboss" w:sz="6" w:space="0" w:color="00B050"/>
            </w:tcBorders>
          </w:tcPr>
          <w:p w:rsidR="007442AA" w:rsidRPr="002152E4" w:rsidRDefault="007442AA" w:rsidP="007442AA">
            <w:pPr>
              <w:widowControl w:val="0"/>
              <w:jc w:val="center"/>
              <w:rPr>
                <w:lang w:val="ro-RO"/>
              </w:rPr>
            </w:pPr>
            <w:r w:rsidRPr="002152E4">
              <w:rPr>
                <w:lang w:val="ro-RO"/>
              </w:rPr>
              <w:t>709</w:t>
            </w:r>
          </w:p>
        </w:tc>
        <w:tc>
          <w:tcPr>
            <w:tcW w:w="1843" w:type="dxa"/>
            <w:tcBorders>
              <w:bottom w:val="threeDEmboss" w:sz="6" w:space="0" w:color="00B050"/>
            </w:tcBorders>
          </w:tcPr>
          <w:p w:rsidR="007442AA" w:rsidRPr="002152E4" w:rsidRDefault="007442AA" w:rsidP="007442AA">
            <w:pPr>
              <w:widowControl w:val="0"/>
              <w:jc w:val="center"/>
              <w:rPr>
                <w:lang w:val="ro-RO"/>
              </w:rPr>
            </w:pPr>
            <w:r w:rsidRPr="002152E4">
              <w:rPr>
                <w:lang w:val="ro-RO"/>
              </w:rPr>
              <w:t>1,1</w:t>
            </w:r>
          </w:p>
        </w:tc>
        <w:tc>
          <w:tcPr>
            <w:tcW w:w="1559" w:type="dxa"/>
            <w:tcBorders>
              <w:bottom w:val="threeDEmboss" w:sz="6" w:space="0" w:color="00B050"/>
            </w:tcBorders>
          </w:tcPr>
          <w:p w:rsidR="007442AA" w:rsidRPr="002152E4" w:rsidRDefault="007442AA" w:rsidP="007442AA">
            <w:pPr>
              <w:widowControl w:val="0"/>
              <w:jc w:val="center"/>
              <w:rPr>
                <w:lang w:val="ro-RO"/>
              </w:rPr>
            </w:pPr>
            <w:r w:rsidRPr="002152E4">
              <w:rPr>
                <w:lang w:val="ro-RO"/>
              </w:rPr>
              <w:t>533</w:t>
            </w:r>
          </w:p>
        </w:tc>
        <w:tc>
          <w:tcPr>
            <w:tcW w:w="1701" w:type="dxa"/>
            <w:tcBorders>
              <w:bottom w:val="threeDEmboss" w:sz="6" w:space="0" w:color="00B050"/>
            </w:tcBorders>
          </w:tcPr>
          <w:p w:rsidR="007442AA" w:rsidRPr="002152E4" w:rsidRDefault="007442AA" w:rsidP="007442AA">
            <w:pPr>
              <w:widowControl w:val="0"/>
              <w:jc w:val="center"/>
              <w:rPr>
                <w:lang w:val="ro-RO"/>
              </w:rPr>
            </w:pPr>
            <w:r w:rsidRPr="002152E4">
              <w:rPr>
                <w:lang w:val="ro-RO"/>
              </w:rPr>
              <w:t>111</w:t>
            </w:r>
          </w:p>
        </w:tc>
        <w:tc>
          <w:tcPr>
            <w:tcW w:w="1559" w:type="dxa"/>
            <w:tcBorders>
              <w:bottom w:val="threeDEmboss" w:sz="6" w:space="0" w:color="00B050"/>
            </w:tcBorders>
          </w:tcPr>
          <w:p w:rsidR="007442AA" w:rsidRPr="002152E4" w:rsidRDefault="007442AA" w:rsidP="007442AA">
            <w:pPr>
              <w:widowControl w:val="0"/>
              <w:jc w:val="center"/>
              <w:rPr>
                <w:lang w:val="ro-RO"/>
              </w:rPr>
            </w:pPr>
            <w:r w:rsidRPr="002152E4">
              <w:rPr>
                <w:lang w:val="ro-RO"/>
              </w:rPr>
              <w:t>47</w:t>
            </w:r>
          </w:p>
        </w:tc>
      </w:tr>
      <w:tr w:rsidR="007442AA" w:rsidRPr="002152E4" w:rsidTr="007442AA">
        <w:tc>
          <w:tcPr>
            <w:tcW w:w="1548"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rPr>
                <w:b/>
                <w:i/>
                <w:u w:val="single"/>
                <w:lang w:val="ro-RO"/>
              </w:rPr>
            </w:pPr>
            <w:r w:rsidRPr="002152E4">
              <w:rPr>
                <w:b/>
                <w:i/>
                <w:lang w:val="ro-RO"/>
              </w:rPr>
              <w:t xml:space="preserve">       </w:t>
            </w:r>
            <w:r w:rsidRPr="002152E4">
              <w:rPr>
                <w:i/>
                <w:lang w:val="ro-RO"/>
              </w:rPr>
              <w:t>%</w:t>
            </w:r>
            <w:r w:rsidRPr="002152E4">
              <w:rPr>
                <w:b/>
                <w:i/>
                <w:u w:val="single"/>
                <w:lang w:val="ro-RO"/>
              </w:rPr>
              <w:t>2016</w:t>
            </w:r>
          </w:p>
          <w:p w:rsidR="007442AA" w:rsidRPr="002152E4" w:rsidRDefault="007442AA" w:rsidP="007442AA">
            <w:pPr>
              <w:rPr>
                <w:b/>
                <w:lang w:val="ro-RO"/>
              </w:rPr>
            </w:pPr>
            <w:r w:rsidRPr="002152E4">
              <w:rPr>
                <w:b/>
                <w:i/>
                <w:lang w:val="ro-RO"/>
              </w:rPr>
              <w:t xml:space="preserve">      </w:t>
            </w:r>
            <w:r w:rsidRPr="002152E4">
              <w:rPr>
                <w:i/>
                <w:lang w:val="ro-RO"/>
              </w:rPr>
              <w:t>+/-</w:t>
            </w:r>
            <w:r w:rsidRPr="002152E4">
              <w:rPr>
                <w:b/>
                <w:i/>
                <w:lang w:val="ro-RO"/>
              </w:rPr>
              <w:t>2015</w:t>
            </w:r>
          </w:p>
        </w:tc>
        <w:tc>
          <w:tcPr>
            <w:tcW w:w="1679"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+9,4</w:t>
            </w:r>
          </w:p>
        </w:tc>
        <w:tc>
          <w:tcPr>
            <w:tcW w:w="1843"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w:t>
            </w:r>
          </w:p>
        </w:tc>
        <w:tc>
          <w:tcPr>
            <w:tcW w:w="1559"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+19,5</w:t>
            </w:r>
          </w:p>
        </w:tc>
        <w:tc>
          <w:tcPr>
            <w:tcW w:w="1701"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+258,1</w:t>
            </w:r>
          </w:p>
        </w:tc>
        <w:tc>
          <w:tcPr>
            <w:tcW w:w="1559" w:type="dxa"/>
            <w:tcBorders>
              <w:top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-69,5</w:t>
            </w:r>
          </w:p>
        </w:tc>
      </w:tr>
    </w:tbl>
    <w:p w:rsidR="007442AA" w:rsidRPr="002152E4" w:rsidRDefault="007442AA" w:rsidP="007442AA">
      <w:pPr>
        <w:jc w:val="both"/>
        <w:rPr>
          <w:lang w:val="ro-RO"/>
        </w:rPr>
      </w:pPr>
      <w:r w:rsidRPr="002152E4">
        <w:rPr>
          <w:lang w:val="ro-RO"/>
        </w:rPr>
        <w:lastRenderedPageBreak/>
        <w:t xml:space="preserve">*Datele din perioada 2007 – 2013 se referă la inculpații persoane fizice trimiși </w:t>
      </w:r>
      <w:r w:rsidRPr="002152E4">
        <w:rPr>
          <w:rFonts w:cs="Franklin Gothic Book"/>
          <w:lang w:val="ro-RO"/>
        </w:rPr>
        <w:t>î</w:t>
      </w:r>
      <w:r w:rsidRPr="002152E4">
        <w:rPr>
          <w:lang w:val="ro-RO"/>
        </w:rPr>
        <w:t>n judecată pentru infracțiuni contra autorit</w:t>
      </w:r>
      <w:r w:rsidRPr="002152E4">
        <w:rPr>
          <w:rFonts w:cs="Franklin Gothic Book"/>
          <w:lang w:val="ro-RO"/>
        </w:rPr>
        <w:t>ă</w:t>
      </w:r>
      <w:r w:rsidRPr="002152E4">
        <w:rPr>
          <w:lang w:val="ro-RO"/>
        </w:rPr>
        <w:t>ții (art. 236 -244 din vechiul Cod penal).</w:t>
      </w:r>
    </w:p>
    <w:p w:rsidR="005B0822" w:rsidRPr="002152E4" w:rsidRDefault="005B0822" w:rsidP="007442AA">
      <w:pPr>
        <w:jc w:val="both"/>
        <w:rPr>
          <w:lang w:val="ro-RO"/>
        </w:rPr>
      </w:pPr>
    </w:p>
    <w:p w:rsidR="007442AA" w:rsidRPr="002152E4" w:rsidRDefault="007442AA" w:rsidP="007442AA">
      <w:pPr>
        <w:rPr>
          <w:b/>
          <w:lang w:val="ro-RO"/>
        </w:rPr>
      </w:pPr>
    </w:p>
    <w:p w:rsidR="007442AA" w:rsidRPr="002152E4" w:rsidRDefault="007442AA" w:rsidP="007442AA">
      <w:pPr>
        <w:rPr>
          <w:b/>
          <w:lang w:val="ro-RO"/>
        </w:rPr>
      </w:pPr>
      <w:r w:rsidRPr="002152E4">
        <w:rPr>
          <w:b/>
          <w:lang w:val="ro-RO"/>
        </w:rPr>
        <w:t xml:space="preserve">4. INFRACŢIUNI CONTRA ÎNFĂPTUIRII JUSTIȚIEI (ART. 266 – </w:t>
      </w:r>
      <w:smartTag w:uri="urn:schemas-microsoft-com:office:smarttags" w:element="metricconverter">
        <w:smartTagPr>
          <w:attr w:name="ProductID" w:val="288 C"/>
        </w:smartTagPr>
        <w:r w:rsidRPr="002152E4">
          <w:rPr>
            <w:b/>
            <w:lang w:val="ro-RO"/>
          </w:rPr>
          <w:t>288 C</w:t>
        </w:r>
      </w:smartTag>
      <w:r w:rsidRPr="002152E4">
        <w:rPr>
          <w:b/>
          <w:lang w:val="ro-RO"/>
        </w:rPr>
        <w:t>.P.)</w:t>
      </w:r>
    </w:p>
    <w:tbl>
      <w:tblPr>
        <w:tblW w:w="6264"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526"/>
        <w:gridCol w:w="2344"/>
        <w:gridCol w:w="2394"/>
      </w:tblGrid>
      <w:tr w:rsidR="007442AA" w:rsidRPr="002152E4" w:rsidTr="00F8404C">
        <w:trPr>
          <w:trHeight w:val="828"/>
        </w:trPr>
        <w:tc>
          <w:tcPr>
            <w:tcW w:w="1526"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p w:rsidR="007442AA" w:rsidRPr="002152E4" w:rsidRDefault="007442AA" w:rsidP="00F8404C">
            <w:pPr>
              <w:jc w:val="center"/>
              <w:rPr>
                <w:b/>
                <w:lang w:val="ro-RO"/>
              </w:rPr>
            </w:pPr>
            <w:r w:rsidRPr="002152E4">
              <w:rPr>
                <w:b/>
                <w:lang w:val="ro-RO"/>
              </w:rPr>
              <w:t>ANUL</w:t>
            </w:r>
          </w:p>
        </w:tc>
        <w:tc>
          <w:tcPr>
            <w:tcW w:w="2344"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TOTAL </w:t>
            </w:r>
          </w:p>
          <w:p w:rsidR="007442AA" w:rsidRPr="002152E4" w:rsidRDefault="007442AA" w:rsidP="007442AA">
            <w:pPr>
              <w:jc w:val="center"/>
              <w:rPr>
                <w:lang w:val="ro-RO"/>
              </w:rPr>
            </w:pPr>
            <w:r w:rsidRPr="002152E4">
              <w:rPr>
                <w:b/>
                <w:lang w:val="ro-RO"/>
              </w:rPr>
              <w:t>TRIMIŞI ÎN</w:t>
            </w:r>
            <w:r w:rsidR="00F8404C" w:rsidRPr="002152E4">
              <w:rPr>
                <w:b/>
                <w:lang w:val="ro-RO"/>
              </w:rPr>
              <w:t xml:space="preserve"> </w:t>
            </w:r>
            <w:r w:rsidRPr="002152E4">
              <w:rPr>
                <w:b/>
                <w:lang w:val="ro-RO"/>
              </w:rPr>
              <w:t>JUDECATĂ, din</w:t>
            </w:r>
            <w:r w:rsidR="00F8404C" w:rsidRPr="002152E4">
              <w:rPr>
                <w:b/>
                <w:lang w:val="ro-RO"/>
              </w:rPr>
              <w:t xml:space="preserve"> </w:t>
            </w:r>
            <w:r w:rsidRPr="002152E4">
              <w:rPr>
                <w:b/>
                <w:lang w:val="ro-RO"/>
              </w:rPr>
              <w:t>care</w:t>
            </w:r>
            <w:r w:rsidRPr="002152E4">
              <w:rPr>
                <w:lang w:val="ro-RO"/>
              </w:rPr>
              <w:t>:</w:t>
            </w:r>
          </w:p>
        </w:tc>
        <w:tc>
          <w:tcPr>
            <w:tcW w:w="2394" w:type="dxa"/>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pondere în total general </w:t>
            </w:r>
            <w:r w:rsidR="00F8404C" w:rsidRPr="002152E4">
              <w:rPr>
                <w:b/>
                <w:lang w:val="ro-RO"/>
              </w:rPr>
              <w:t xml:space="preserve"> </w:t>
            </w:r>
            <w:r w:rsidRPr="002152E4">
              <w:rPr>
                <w:b/>
                <w:lang w:val="ro-RO"/>
              </w:rPr>
              <w:t>inculpați p.f.</w:t>
            </w:r>
            <w:r w:rsidR="00F8404C" w:rsidRPr="002152E4">
              <w:rPr>
                <w:b/>
                <w:lang w:val="ro-RO"/>
              </w:rPr>
              <w:t xml:space="preserve"> </w:t>
            </w:r>
            <w:r w:rsidRPr="002152E4">
              <w:rPr>
                <w:b/>
                <w:lang w:val="ro-RO"/>
              </w:rPr>
              <w:t>trimişi în judecată (%)</w:t>
            </w:r>
          </w:p>
        </w:tc>
      </w:tr>
      <w:tr w:rsidR="007442AA" w:rsidRPr="002152E4" w:rsidTr="00F8404C">
        <w:tc>
          <w:tcPr>
            <w:tcW w:w="1526"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jc w:val="center"/>
              <w:rPr>
                <w:lang w:val="ro-RO"/>
              </w:rPr>
            </w:pPr>
            <w:r w:rsidRPr="002152E4">
              <w:rPr>
                <w:lang w:val="ro-RO"/>
              </w:rPr>
              <w:t>2014</w:t>
            </w:r>
          </w:p>
        </w:tc>
        <w:tc>
          <w:tcPr>
            <w:tcW w:w="2344"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611</w:t>
            </w:r>
          </w:p>
        </w:tc>
        <w:tc>
          <w:tcPr>
            <w:tcW w:w="2394"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1,2</w:t>
            </w:r>
          </w:p>
        </w:tc>
      </w:tr>
      <w:tr w:rsidR="007442AA" w:rsidRPr="002152E4" w:rsidTr="00F8404C">
        <w:tc>
          <w:tcPr>
            <w:tcW w:w="1526"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jc w:val="center"/>
              <w:rPr>
                <w:lang w:val="ro-RO"/>
              </w:rPr>
            </w:pPr>
            <w:r w:rsidRPr="002152E4">
              <w:rPr>
                <w:lang w:val="ro-RO"/>
              </w:rPr>
              <w:t>2015</w:t>
            </w:r>
          </w:p>
        </w:tc>
        <w:tc>
          <w:tcPr>
            <w:tcW w:w="2344"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800</w:t>
            </w:r>
          </w:p>
        </w:tc>
        <w:tc>
          <w:tcPr>
            <w:tcW w:w="2394"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1,4</w:t>
            </w:r>
          </w:p>
        </w:tc>
      </w:tr>
      <w:tr w:rsidR="007442AA" w:rsidRPr="002152E4" w:rsidTr="00F8404C">
        <w:tc>
          <w:tcPr>
            <w:tcW w:w="1526"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jc w:val="center"/>
              <w:rPr>
                <w:lang w:val="ro-RO"/>
              </w:rPr>
            </w:pPr>
            <w:r w:rsidRPr="002152E4">
              <w:rPr>
                <w:lang w:val="ro-RO"/>
              </w:rPr>
              <w:t>2016</w:t>
            </w:r>
          </w:p>
        </w:tc>
        <w:tc>
          <w:tcPr>
            <w:tcW w:w="2344"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1.078</w:t>
            </w:r>
          </w:p>
        </w:tc>
        <w:tc>
          <w:tcPr>
            <w:tcW w:w="2394"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1,7</w:t>
            </w:r>
          </w:p>
        </w:tc>
      </w:tr>
      <w:tr w:rsidR="007442AA" w:rsidRPr="002152E4" w:rsidTr="00F8404C">
        <w:tc>
          <w:tcPr>
            <w:tcW w:w="1526" w:type="dxa"/>
            <w:tcBorders>
              <w:top w:val="threeDEmboss" w:sz="6" w:space="0" w:color="00B050"/>
              <w:left w:val="threeDEmboss" w:sz="6" w:space="0" w:color="00B050"/>
              <w:bottom w:val="threeDEmboss" w:sz="6" w:space="0" w:color="00B050"/>
              <w:right w:val="threeDEmboss" w:sz="6" w:space="0" w:color="00B050"/>
            </w:tcBorders>
            <w:shd w:val="clear" w:color="auto" w:fill="FBD4B4"/>
          </w:tcPr>
          <w:p w:rsidR="007442AA" w:rsidRPr="002152E4" w:rsidRDefault="007442AA" w:rsidP="007442AA">
            <w:pPr>
              <w:rPr>
                <w:b/>
                <w:i/>
                <w:u w:val="single"/>
                <w:lang w:val="ro-RO"/>
              </w:rPr>
            </w:pPr>
            <w:r w:rsidRPr="002152E4">
              <w:rPr>
                <w:b/>
                <w:i/>
                <w:lang w:val="ro-RO"/>
              </w:rPr>
              <w:t xml:space="preserve">       </w:t>
            </w:r>
            <w:r w:rsidRPr="002152E4">
              <w:rPr>
                <w:i/>
                <w:lang w:val="ro-RO"/>
              </w:rPr>
              <w:t>%</w:t>
            </w:r>
            <w:r w:rsidRPr="002152E4">
              <w:rPr>
                <w:b/>
                <w:i/>
                <w:u w:val="single"/>
                <w:lang w:val="ro-RO"/>
              </w:rPr>
              <w:t>2016</w:t>
            </w:r>
          </w:p>
          <w:p w:rsidR="007442AA" w:rsidRPr="002152E4" w:rsidRDefault="007442AA" w:rsidP="007442AA">
            <w:pPr>
              <w:rPr>
                <w:lang w:val="ro-RO"/>
              </w:rPr>
            </w:pPr>
            <w:r w:rsidRPr="002152E4">
              <w:rPr>
                <w:b/>
                <w:i/>
                <w:lang w:val="ro-RO"/>
              </w:rPr>
              <w:t xml:space="preserve">      </w:t>
            </w:r>
            <w:r w:rsidRPr="002152E4">
              <w:rPr>
                <w:i/>
                <w:lang w:val="ro-RO"/>
              </w:rPr>
              <w:t>+/-</w:t>
            </w:r>
            <w:r w:rsidRPr="002152E4">
              <w:rPr>
                <w:b/>
                <w:i/>
                <w:lang w:val="ro-RO"/>
              </w:rPr>
              <w:t>2015</w:t>
            </w:r>
          </w:p>
        </w:tc>
        <w:tc>
          <w:tcPr>
            <w:tcW w:w="2344"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7442AA" w:rsidRPr="002152E4" w:rsidRDefault="007442AA" w:rsidP="007442AA">
            <w:pPr>
              <w:widowControl w:val="0"/>
              <w:jc w:val="center"/>
              <w:rPr>
                <w:b/>
                <w:lang w:val="ro-RO"/>
              </w:rPr>
            </w:pPr>
            <w:r w:rsidRPr="002152E4">
              <w:rPr>
                <w:b/>
                <w:lang w:val="ro-RO"/>
              </w:rPr>
              <w:t>+34,8</w:t>
            </w:r>
          </w:p>
        </w:tc>
        <w:tc>
          <w:tcPr>
            <w:tcW w:w="2394"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7442AA" w:rsidRPr="002152E4" w:rsidRDefault="007442AA" w:rsidP="007442AA">
            <w:pPr>
              <w:widowControl w:val="0"/>
              <w:jc w:val="center"/>
              <w:rPr>
                <w:b/>
                <w:lang w:val="ro-RO"/>
              </w:rPr>
            </w:pPr>
            <w:r w:rsidRPr="002152E4">
              <w:rPr>
                <w:b/>
                <w:lang w:val="ro-RO"/>
              </w:rPr>
              <w:t>-</w:t>
            </w:r>
          </w:p>
        </w:tc>
      </w:tr>
    </w:tbl>
    <w:p w:rsidR="007442AA" w:rsidRPr="002152E4" w:rsidRDefault="007442AA" w:rsidP="007442AA">
      <w:pPr>
        <w:ind w:left="270" w:hanging="270"/>
        <w:rPr>
          <w:b/>
          <w:lang w:val="ro-RO"/>
        </w:rPr>
      </w:pPr>
    </w:p>
    <w:p w:rsidR="007442AA" w:rsidRPr="002152E4" w:rsidRDefault="007442AA" w:rsidP="007442AA">
      <w:pPr>
        <w:ind w:left="270" w:hanging="270"/>
        <w:rPr>
          <w:b/>
          <w:lang w:val="ro-RO"/>
        </w:rPr>
      </w:pPr>
      <w:r w:rsidRPr="002152E4">
        <w:rPr>
          <w:b/>
          <w:lang w:val="ro-RO"/>
        </w:rPr>
        <w:t xml:space="preserve">5. INFRACŢIUNI DE CORUPȚIE ȘI DE SERVICIU (ART. 289 – </w:t>
      </w:r>
      <w:smartTag w:uri="urn:schemas-microsoft-com:office:smarttags" w:element="metricconverter">
        <w:smartTagPr>
          <w:attr w:name="ProductID" w:val="309 C"/>
        </w:smartTagPr>
        <w:r w:rsidRPr="002152E4">
          <w:rPr>
            <w:b/>
            <w:lang w:val="ro-RO"/>
          </w:rPr>
          <w:t>309 C</w:t>
        </w:r>
      </w:smartTag>
      <w:r w:rsidRPr="002152E4">
        <w:rPr>
          <w:b/>
          <w:lang w:val="ro-RO"/>
        </w:rPr>
        <w:t>.P.)</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43"/>
        <w:gridCol w:w="1080"/>
        <w:gridCol w:w="961"/>
        <w:gridCol w:w="992"/>
        <w:gridCol w:w="993"/>
        <w:gridCol w:w="1219"/>
        <w:gridCol w:w="1276"/>
        <w:gridCol w:w="1275"/>
      </w:tblGrid>
      <w:tr w:rsidR="007442AA" w:rsidRPr="002152E4" w:rsidTr="007442AA">
        <w:trPr>
          <w:cantSplit/>
          <w:trHeight w:val="675"/>
        </w:trPr>
        <w:tc>
          <w:tcPr>
            <w:tcW w:w="1008" w:type="dxa"/>
            <w:vMerge w:val="restart"/>
            <w:tcBorders>
              <w:top w:val="threeDEmboss" w:sz="6" w:space="0" w:color="00B050"/>
              <w:left w:val="threeDEmboss" w:sz="6" w:space="0" w:color="00B050"/>
              <w:bottom w:val="single" w:sz="6" w:space="0" w:color="00B050"/>
              <w:right w:val="single" w:sz="6" w:space="0" w:color="00B050"/>
            </w:tcBorders>
            <w:shd w:val="clear" w:color="auto" w:fill="FCE0C8"/>
          </w:tcPr>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lang w:val="ro-RO"/>
              </w:rPr>
            </w:pPr>
            <w:r w:rsidRPr="002152E4">
              <w:rPr>
                <w:b/>
                <w:lang w:val="ro-RO"/>
              </w:rPr>
              <w:t>ANUL</w:t>
            </w:r>
          </w:p>
        </w:tc>
        <w:tc>
          <w:tcPr>
            <w:tcW w:w="943" w:type="dxa"/>
            <w:vMerge w:val="restart"/>
            <w:tcBorders>
              <w:top w:val="threeDEmboss" w:sz="6" w:space="0" w:color="00B050"/>
              <w:left w:val="single" w:sz="6" w:space="0" w:color="00B050"/>
              <w:bottom w:val="single" w:sz="6" w:space="0" w:color="00B050"/>
              <w:right w:val="single" w:sz="6" w:space="0" w:color="00B050"/>
            </w:tcBorders>
            <w:shd w:val="clear" w:color="auto" w:fill="FCE0C8"/>
            <w:textDirection w:val="btLr"/>
            <w:vAlign w:val="center"/>
          </w:tcPr>
          <w:p w:rsidR="007442AA" w:rsidRPr="002152E4" w:rsidRDefault="007442AA" w:rsidP="007442AA">
            <w:pPr>
              <w:ind w:left="113" w:right="113"/>
              <w:jc w:val="center"/>
              <w:rPr>
                <w:b/>
                <w:lang w:val="ro-RO"/>
              </w:rPr>
            </w:pPr>
            <w:r w:rsidRPr="002152E4">
              <w:rPr>
                <w:b/>
                <w:lang w:val="ro-RO"/>
              </w:rPr>
              <w:t>TOTAL TRIMIŞI ÎN JUDECATĂ,</w:t>
            </w:r>
          </w:p>
          <w:p w:rsidR="007442AA" w:rsidRPr="002152E4" w:rsidRDefault="007442AA" w:rsidP="007442AA">
            <w:pPr>
              <w:ind w:left="113" w:right="113"/>
              <w:jc w:val="center"/>
              <w:rPr>
                <w:lang w:val="ro-RO"/>
              </w:rPr>
            </w:pPr>
            <w:r w:rsidRPr="002152E4">
              <w:rPr>
                <w:b/>
                <w:lang w:val="ro-RO"/>
              </w:rPr>
              <w:t>din care:*</w:t>
            </w:r>
          </w:p>
        </w:tc>
        <w:tc>
          <w:tcPr>
            <w:tcW w:w="1080" w:type="dxa"/>
            <w:vMerge w:val="restart"/>
            <w:tcBorders>
              <w:top w:val="threeDEmboss" w:sz="6" w:space="0" w:color="00B050"/>
              <w:left w:val="single" w:sz="6" w:space="0" w:color="00B050"/>
              <w:bottom w:val="single" w:sz="6" w:space="0" w:color="00B050"/>
              <w:right w:val="single" w:sz="6" w:space="0" w:color="00B050"/>
            </w:tcBorders>
            <w:shd w:val="clear" w:color="auto" w:fill="FCE0C8"/>
            <w:textDirection w:val="btLr"/>
          </w:tcPr>
          <w:p w:rsidR="007442AA" w:rsidRPr="002152E4" w:rsidRDefault="007442AA" w:rsidP="007442AA">
            <w:pPr>
              <w:jc w:val="center"/>
              <w:rPr>
                <w:b/>
                <w:lang w:val="ro-RO"/>
              </w:rPr>
            </w:pPr>
            <w:r w:rsidRPr="002152E4">
              <w:rPr>
                <w:b/>
                <w:lang w:val="ro-RO"/>
              </w:rPr>
              <w:t xml:space="preserve">pondere în total general </w:t>
            </w:r>
          </w:p>
          <w:p w:rsidR="007442AA" w:rsidRPr="002152E4" w:rsidRDefault="007442AA" w:rsidP="007442AA">
            <w:pPr>
              <w:jc w:val="center"/>
              <w:rPr>
                <w:b/>
                <w:lang w:val="ro-RO"/>
              </w:rPr>
            </w:pPr>
            <w:r w:rsidRPr="002152E4">
              <w:rPr>
                <w:b/>
                <w:lang w:val="ro-RO"/>
              </w:rPr>
              <w:t>inculpați p.f.</w:t>
            </w:r>
          </w:p>
          <w:p w:rsidR="007442AA" w:rsidRPr="002152E4" w:rsidRDefault="007442AA" w:rsidP="007442AA">
            <w:pPr>
              <w:jc w:val="center"/>
              <w:rPr>
                <w:b/>
                <w:lang w:val="ro-RO"/>
              </w:rPr>
            </w:pPr>
            <w:r w:rsidRPr="002152E4">
              <w:rPr>
                <w:b/>
                <w:lang w:val="ro-RO"/>
              </w:rPr>
              <w:t>trimişi în judecată (%)</w:t>
            </w:r>
          </w:p>
        </w:tc>
        <w:tc>
          <w:tcPr>
            <w:tcW w:w="4165" w:type="dxa"/>
            <w:gridSpan w:val="4"/>
            <w:tcBorders>
              <w:top w:val="threeDEmboss" w:sz="6" w:space="0" w:color="00B050"/>
              <w:left w:val="single" w:sz="6" w:space="0" w:color="00B050"/>
              <w:bottom w:val="single" w:sz="6" w:space="0" w:color="00B050"/>
              <w:right w:val="threeDEmboss" w:sz="6" w:space="0" w:color="00B050"/>
            </w:tcBorders>
            <w:shd w:val="clear" w:color="auto" w:fill="FCE0C8"/>
            <w:vAlign w:val="center"/>
          </w:tcPr>
          <w:p w:rsidR="007442AA" w:rsidRPr="002152E4" w:rsidRDefault="007442AA" w:rsidP="007442AA">
            <w:pPr>
              <w:jc w:val="center"/>
              <w:rPr>
                <w:b/>
                <w:lang w:val="ro-RO"/>
              </w:rPr>
            </w:pPr>
            <w:r w:rsidRPr="002152E4">
              <w:rPr>
                <w:b/>
                <w:lang w:val="ro-RO"/>
              </w:rPr>
              <w:t>Infracțiuni de corupție prevăzute de Codul penal</w:t>
            </w:r>
          </w:p>
        </w:tc>
        <w:tc>
          <w:tcPr>
            <w:tcW w:w="1276" w:type="dxa"/>
            <w:vMerge w:val="restart"/>
            <w:tcBorders>
              <w:top w:val="threeDEmboss" w:sz="6" w:space="0" w:color="00B050"/>
              <w:left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p>
          <w:p w:rsidR="007442AA" w:rsidRPr="002152E4" w:rsidRDefault="007442AA" w:rsidP="007442AA">
            <w:pPr>
              <w:jc w:val="center"/>
              <w:rPr>
                <w:b/>
                <w:lang w:val="ro-RO"/>
              </w:rPr>
            </w:pPr>
            <w:r w:rsidRPr="002152E4">
              <w:rPr>
                <w:b/>
                <w:lang w:val="ro-RO"/>
              </w:rPr>
              <w:t>Legea 78/2000</w:t>
            </w:r>
          </w:p>
          <w:p w:rsidR="007442AA" w:rsidRPr="002152E4" w:rsidRDefault="007442AA" w:rsidP="007442AA">
            <w:pPr>
              <w:jc w:val="center"/>
              <w:rPr>
                <w:b/>
                <w:lang w:val="ro-RO"/>
              </w:rPr>
            </w:pPr>
            <w:r w:rsidRPr="002152E4">
              <w:rPr>
                <w:b/>
                <w:lang w:val="ro-RO"/>
              </w:rPr>
              <w:t>-fapte de corupţie,</w:t>
            </w:r>
          </w:p>
          <w:p w:rsidR="007442AA" w:rsidRPr="002152E4" w:rsidRDefault="007442AA" w:rsidP="007442AA">
            <w:pPr>
              <w:jc w:val="center"/>
              <w:rPr>
                <w:b/>
                <w:lang w:val="ro-RO"/>
              </w:rPr>
            </w:pPr>
            <w:r w:rsidRPr="002152E4">
              <w:rPr>
                <w:b/>
                <w:lang w:val="ro-RO"/>
              </w:rPr>
              <w:t xml:space="preserve"> din care</w:t>
            </w:r>
          </w:p>
          <w:p w:rsidR="007442AA" w:rsidRPr="002152E4" w:rsidRDefault="007442AA" w:rsidP="007442AA">
            <w:pPr>
              <w:jc w:val="center"/>
              <w:rPr>
                <w:b/>
                <w:lang w:val="ro-RO"/>
              </w:rPr>
            </w:pPr>
            <w:r w:rsidRPr="002152E4">
              <w:rPr>
                <w:b/>
                <w:lang w:val="ro-RO"/>
              </w:rPr>
              <w:t>activitatea DNA</w:t>
            </w:r>
          </w:p>
          <w:p w:rsidR="007442AA" w:rsidRPr="002152E4" w:rsidRDefault="007442AA" w:rsidP="007442AA">
            <w:pPr>
              <w:jc w:val="center"/>
              <w:rPr>
                <w:b/>
                <w:lang w:val="ro-RO"/>
              </w:rPr>
            </w:pPr>
          </w:p>
        </w:tc>
        <w:tc>
          <w:tcPr>
            <w:tcW w:w="1275" w:type="dxa"/>
            <w:vMerge w:val="restart"/>
            <w:tcBorders>
              <w:top w:val="threeDEmboss" w:sz="6" w:space="0" w:color="00B050"/>
              <w:left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p>
          <w:p w:rsidR="007442AA" w:rsidRPr="002152E4" w:rsidRDefault="007442AA" w:rsidP="007442AA">
            <w:pPr>
              <w:jc w:val="center"/>
              <w:rPr>
                <w:b/>
                <w:lang w:val="ro-RO"/>
              </w:rPr>
            </w:pPr>
            <w:r w:rsidRPr="002152E4">
              <w:rPr>
                <w:b/>
                <w:lang w:val="ro-RO"/>
              </w:rPr>
              <w:t>Total infracțiuni de corupţie,</w:t>
            </w:r>
          </w:p>
          <w:p w:rsidR="007442AA" w:rsidRPr="002152E4" w:rsidRDefault="007442AA" w:rsidP="007442AA">
            <w:pPr>
              <w:jc w:val="center"/>
              <w:rPr>
                <w:b/>
                <w:lang w:val="ro-RO"/>
              </w:rPr>
            </w:pPr>
            <w:r w:rsidRPr="002152E4">
              <w:rPr>
                <w:b/>
                <w:lang w:val="ro-RO"/>
              </w:rPr>
              <w:t xml:space="preserve"> din care</w:t>
            </w:r>
          </w:p>
          <w:p w:rsidR="007442AA" w:rsidRPr="002152E4" w:rsidRDefault="007442AA" w:rsidP="007442AA">
            <w:pPr>
              <w:jc w:val="center"/>
              <w:rPr>
                <w:b/>
                <w:lang w:val="ro-RO"/>
              </w:rPr>
            </w:pPr>
            <w:r w:rsidRPr="002152E4">
              <w:rPr>
                <w:b/>
                <w:lang w:val="ro-RO"/>
              </w:rPr>
              <w:t>activitatea DNA</w:t>
            </w:r>
          </w:p>
          <w:p w:rsidR="007442AA" w:rsidRPr="002152E4" w:rsidRDefault="007442AA" w:rsidP="007442AA">
            <w:pPr>
              <w:jc w:val="center"/>
              <w:rPr>
                <w:b/>
                <w:lang w:val="ro-RO"/>
              </w:rPr>
            </w:pPr>
          </w:p>
        </w:tc>
      </w:tr>
      <w:tr w:rsidR="007442AA" w:rsidRPr="002152E4" w:rsidTr="007442AA">
        <w:trPr>
          <w:cantSplit/>
          <w:trHeight w:val="1415"/>
        </w:trPr>
        <w:tc>
          <w:tcPr>
            <w:tcW w:w="1008" w:type="dxa"/>
            <w:vMerge/>
            <w:tcBorders>
              <w:top w:val="single" w:sz="6" w:space="0" w:color="00B050"/>
              <w:left w:val="threeDEmboss" w:sz="6" w:space="0" w:color="00B050"/>
              <w:bottom w:val="threeDEmboss" w:sz="6" w:space="0" w:color="00B050"/>
              <w:right w:val="single" w:sz="6" w:space="0" w:color="00B050"/>
            </w:tcBorders>
          </w:tcPr>
          <w:p w:rsidR="007442AA" w:rsidRPr="002152E4" w:rsidRDefault="007442AA" w:rsidP="007442AA">
            <w:pPr>
              <w:rPr>
                <w:b/>
                <w:lang w:val="ro-RO"/>
              </w:rPr>
            </w:pPr>
          </w:p>
        </w:tc>
        <w:tc>
          <w:tcPr>
            <w:tcW w:w="943" w:type="dxa"/>
            <w:vMerge/>
            <w:tcBorders>
              <w:top w:val="single" w:sz="6" w:space="0" w:color="00B050"/>
              <w:left w:val="single" w:sz="6" w:space="0" w:color="00B050"/>
              <w:bottom w:val="threeDEmboss" w:sz="6" w:space="0" w:color="00B050"/>
              <w:right w:val="single" w:sz="6" w:space="0" w:color="00B050"/>
            </w:tcBorders>
            <w:textDirection w:val="btLr"/>
          </w:tcPr>
          <w:p w:rsidR="007442AA" w:rsidRPr="002152E4" w:rsidRDefault="007442AA" w:rsidP="007442AA">
            <w:pPr>
              <w:ind w:left="113" w:right="113"/>
              <w:rPr>
                <w:b/>
                <w:lang w:val="ro-RO"/>
              </w:rPr>
            </w:pPr>
          </w:p>
        </w:tc>
        <w:tc>
          <w:tcPr>
            <w:tcW w:w="1080" w:type="dxa"/>
            <w:vMerge/>
            <w:tcBorders>
              <w:top w:val="single" w:sz="6" w:space="0" w:color="00B050"/>
              <w:left w:val="single" w:sz="6" w:space="0" w:color="00B050"/>
              <w:bottom w:val="threeDEmboss" w:sz="6" w:space="0" w:color="00B050"/>
              <w:right w:val="single" w:sz="6" w:space="0" w:color="00B050"/>
            </w:tcBorders>
            <w:textDirection w:val="btLr"/>
          </w:tcPr>
          <w:p w:rsidR="007442AA" w:rsidRPr="002152E4" w:rsidRDefault="007442AA" w:rsidP="007442AA">
            <w:pPr>
              <w:ind w:left="113" w:right="113"/>
              <w:rPr>
                <w:lang w:val="ro-RO"/>
              </w:rPr>
            </w:pPr>
          </w:p>
        </w:tc>
        <w:tc>
          <w:tcPr>
            <w:tcW w:w="961" w:type="dxa"/>
            <w:tcBorders>
              <w:top w:val="single" w:sz="6" w:space="0" w:color="00B050"/>
              <w:left w:val="single" w:sz="6" w:space="0" w:color="00B050"/>
              <w:bottom w:val="threeDEmboss" w:sz="6" w:space="0" w:color="00B050"/>
              <w:right w:val="single" w:sz="6" w:space="0" w:color="00B050"/>
            </w:tcBorders>
            <w:shd w:val="clear" w:color="auto" w:fill="FCE0C8"/>
          </w:tcPr>
          <w:p w:rsidR="007442AA" w:rsidRPr="002152E4" w:rsidRDefault="007442AA" w:rsidP="007442AA">
            <w:pPr>
              <w:jc w:val="center"/>
              <w:rPr>
                <w:b/>
                <w:lang w:val="ro-RO"/>
              </w:rPr>
            </w:pPr>
            <w:r w:rsidRPr="002152E4">
              <w:rPr>
                <w:b/>
                <w:lang w:val="ro-RO"/>
              </w:rPr>
              <w:t>luare de mită</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89 C"/>
              </w:smartTagPr>
              <w:r w:rsidRPr="002152E4">
                <w:rPr>
                  <w:b/>
                  <w:lang w:val="ro-RO"/>
                </w:rPr>
                <w:t>289 C</w:t>
              </w:r>
            </w:smartTag>
            <w:r w:rsidRPr="002152E4">
              <w:rPr>
                <w:b/>
                <w:lang w:val="ro-RO"/>
              </w:rPr>
              <w:t>.p.)</w:t>
            </w:r>
          </w:p>
        </w:tc>
        <w:tc>
          <w:tcPr>
            <w:tcW w:w="992" w:type="dxa"/>
            <w:tcBorders>
              <w:top w:val="single" w:sz="6" w:space="0" w:color="00B050"/>
              <w:left w:val="single" w:sz="6" w:space="0" w:color="00B050"/>
              <w:bottom w:val="threeDEmboss" w:sz="6" w:space="0" w:color="00B050"/>
              <w:right w:val="single" w:sz="6" w:space="0" w:color="00B050"/>
            </w:tcBorders>
            <w:shd w:val="clear" w:color="auto" w:fill="FCE0C8"/>
          </w:tcPr>
          <w:p w:rsidR="007442AA" w:rsidRPr="002152E4" w:rsidRDefault="007442AA" w:rsidP="007442AA">
            <w:pPr>
              <w:jc w:val="center"/>
              <w:rPr>
                <w:b/>
                <w:lang w:val="ro-RO"/>
              </w:rPr>
            </w:pPr>
            <w:r w:rsidRPr="002152E4">
              <w:rPr>
                <w:b/>
                <w:lang w:val="ro-RO"/>
              </w:rPr>
              <w:t>dare de mită</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90 C"/>
              </w:smartTagPr>
              <w:r w:rsidRPr="002152E4">
                <w:rPr>
                  <w:b/>
                  <w:lang w:val="ro-RO"/>
                </w:rPr>
                <w:t>290 C</w:t>
              </w:r>
            </w:smartTag>
            <w:r w:rsidRPr="002152E4">
              <w:rPr>
                <w:b/>
                <w:lang w:val="ro-RO"/>
              </w:rPr>
              <w:t>.p.)</w:t>
            </w:r>
          </w:p>
        </w:tc>
        <w:tc>
          <w:tcPr>
            <w:tcW w:w="993" w:type="dxa"/>
            <w:tcBorders>
              <w:top w:val="single" w:sz="6" w:space="0" w:color="00B050"/>
              <w:left w:val="single" w:sz="6" w:space="0" w:color="00B050"/>
              <w:bottom w:val="threeDEmboss" w:sz="6" w:space="0" w:color="00B050"/>
              <w:right w:val="single" w:sz="6" w:space="0" w:color="00B050"/>
            </w:tcBorders>
            <w:shd w:val="clear" w:color="auto" w:fill="FCE0C8"/>
          </w:tcPr>
          <w:p w:rsidR="007442AA" w:rsidRPr="002152E4" w:rsidRDefault="007442AA" w:rsidP="007442AA">
            <w:pPr>
              <w:jc w:val="center"/>
              <w:rPr>
                <w:b/>
                <w:lang w:val="ro-RO"/>
              </w:rPr>
            </w:pPr>
            <w:r w:rsidRPr="002152E4">
              <w:rPr>
                <w:b/>
                <w:lang w:val="ro-RO"/>
              </w:rPr>
              <w:t>trafic de influenţă</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91 C"/>
              </w:smartTagPr>
              <w:r w:rsidRPr="002152E4">
                <w:rPr>
                  <w:b/>
                  <w:lang w:val="ro-RO"/>
                </w:rPr>
                <w:t>291 C</w:t>
              </w:r>
            </w:smartTag>
            <w:r w:rsidRPr="002152E4">
              <w:rPr>
                <w:b/>
                <w:lang w:val="ro-RO"/>
              </w:rPr>
              <w:t>.p.)</w:t>
            </w:r>
          </w:p>
        </w:tc>
        <w:tc>
          <w:tcPr>
            <w:tcW w:w="1219" w:type="dxa"/>
            <w:tcBorders>
              <w:top w:val="single" w:sz="6" w:space="0" w:color="00B050"/>
              <w:left w:val="single"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cumpărare de influență</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92 C"/>
              </w:smartTagPr>
              <w:r w:rsidRPr="002152E4">
                <w:rPr>
                  <w:b/>
                  <w:lang w:val="ro-RO"/>
                </w:rPr>
                <w:t>292 C</w:t>
              </w:r>
            </w:smartTag>
            <w:r w:rsidRPr="002152E4">
              <w:rPr>
                <w:b/>
                <w:lang w:val="ro-RO"/>
              </w:rPr>
              <w:t>.p.)</w:t>
            </w:r>
          </w:p>
        </w:tc>
        <w:tc>
          <w:tcPr>
            <w:tcW w:w="1276" w:type="dxa"/>
            <w:vMerge/>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rPr>
                <w:lang w:val="ro-RO"/>
              </w:rPr>
            </w:pPr>
          </w:p>
        </w:tc>
        <w:tc>
          <w:tcPr>
            <w:tcW w:w="1275" w:type="dxa"/>
            <w:vMerge/>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rPr>
                <w:lang w:val="ro-RO"/>
              </w:rPr>
            </w:pPr>
          </w:p>
        </w:tc>
      </w:tr>
      <w:tr w:rsidR="007442AA" w:rsidRPr="002152E4" w:rsidTr="00744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 w:type="dxa"/>
            <w:tcBorders>
              <w:top w:val="threeDEmboss" w:sz="6" w:space="0" w:color="00B050"/>
              <w:left w:val="single" w:sz="6" w:space="0" w:color="00B050"/>
              <w:bottom w:val="single" w:sz="6" w:space="0" w:color="00B050"/>
              <w:right w:val="single" w:sz="6" w:space="0" w:color="00B050"/>
            </w:tcBorders>
          </w:tcPr>
          <w:p w:rsidR="007442AA" w:rsidRPr="002152E4" w:rsidRDefault="007442AA" w:rsidP="007442AA">
            <w:pPr>
              <w:jc w:val="center"/>
              <w:rPr>
                <w:lang w:val="ro-RO"/>
              </w:rPr>
            </w:pPr>
            <w:r w:rsidRPr="002152E4">
              <w:rPr>
                <w:lang w:val="ro-RO"/>
              </w:rPr>
              <w:t>2007</w:t>
            </w:r>
          </w:p>
        </w:tc>
        <w:tc>
          <w:tcPr>
            <w:tcW w:w="943" w:type="dxa"/>
            <w:tcBorders>
              <w:top w:val="threeDEmboss"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881</w:t>
            </w:r>
          </w:p>
        </w:tc>
        <w:tc>
          <w:tcPr>
            <w:tcW w:w="1080" w:type="dxa"/>
            <w:tcBorders>
              <w:top w:val="threeDEmboss"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1,8</w:t>
            </w:r>
          </w:p>
        </w:tc>
        <w:tc>
          <w:tcPr>
            <w:tcW w:w="961" w:type="dxa"/>
            <w:tcBorders>
              <w:top w:val="threeDEmboss"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68</w:t>
            </w:r>
          </w:p>
        </w:tc>
        <w:tc>
          <w:tcPr>
            <w:tcW w:w="992" w:type="dxa"/>
            <w:tcBorders>
              <w:top w:val="threeDEmboss"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97</w:t>
            </w:r>
          </w:p>
        </w:tc>
        <w:tc>
          <w:tcPr>
            <w:tcW w:w="993" w:type="dxa"/>
            <w:tcBorders>
              <w:top w:val="threeDEmboss"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59</w:t>
            </w:r>
          </w:p>
        </w:tc>
        <w:tc>
          <w:tcPr>
            <w:tcW w:w="1219" w:type="dxa"/>
            <w:vMerge w:val="restart"/>
            <w:tcBorders>
              <w:top w:val="threeDEmboss" w:sz="6" w:space="0" w:color="00B050"/>
              <w:left w:val="single" w:sz="6" w:space="0" w:color="00B050"/>
              <w:bottom w:val="single" w:sz="6" w:space="0" w:color="00B050"/>
              <w:right w:val="threeDEmboss" w:sz="6" w:space="0" w:color="00B050"/>
            </w:tcBorders>
            <w:vAlign w:val="center"/>
          </w:tcPr>
          <w:p w:rsidR="007442AA" w:rsidRPr="002152E4" w:rsidRDefault="007442AA" w:rsidP="007442AA">
            <w:pPr>
              <w:widowControl w:val="0"/>
              <w:jc w:val="center"/>
              <w:rPr>
                <w:lang w:val="ro-RO"/>
              </w:rPr>
            </w:pPr>
            <w:r w:rsidRPr="002152E4">
              <w:rPr>
                <w:lang w:val="ro-RO"/>
              </w:rPr>
              <w:t>NU EXISTĂ DATE</w:t>
            </w: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316/292</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541/292</w:t>
            </w:r>
          </w:p>
        </w:tc>
      </w:tr>
      <w:tr w:rsidR="007442AA" w:rsidRPr="002152E4" w:rsidTr="00744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jc w:val="center"/>
              <w:rPr>
                <w:lang w:val="ro-RO"/>
              </w:rPr>
            </w:pPr>
            <w:r w:rsidRPr="002152E4">
              <w:rPr>
                <w:lang w:val="ro-RO"/>
              </w:rPr>
              <w:t>2008</w:t>
            </w:r>
          </w:p>
        </w:tc>
        <w:tc>
          <w:tcPr>
            <w:tcW w:w="94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685</w:t>
            </w:r>
          </w:p>
        </w:tc>
        <w:tc>
          <w:tcPr>
            <w:tcW w:w="1080"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1,5</w:t>
            </w:r>
          </w:p>
        </w:tc>
        <w:tc>
          <w:tcPr>
            <w:tcW w:w="961"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37</w:t>
            </w:r>
          </w:p>
        </w:tc>
        <w:tc>
          <w:tcPr>
            <w:tcW w:w="992"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62</w:t>
            </w:r>
          </w:p>
        </w:tc>
        <w:tc>
          <w:tcPr>
            <w:tcW w:w="99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54</w:t>
            </w:r>
          </w:p>
        </w:tc>
        <w:tc>
          <w:tcPr>
            <w:tcW w:w="1219" w:type="dxa"/>
            <w:vMerge/>
            <w:tcBorders>
              <w:top w:val="single" w:sz="6" w:space="0" w:color="00B050"/>
              <w:left w:val="single" w:sz="6" w:space="0" w:color="00B050"/>
              <w:bottom w:val="single" w:sz="6" w:space="0" w:color="00B050"/>
              <w:right w:val="threeDEmboss" w:sz="6" w:space="0" w:color="00B050"/>
            </w:tcBorders>
          </w:tcPr>
          <w:p w:rsidR="007442AA" w:rsidRPr="002152E4" w:rsidRDefault="007442AA" w:rsidP="007442AA">
            <w:pPr>
              <w:widowControl w:val="0"/>
              <w:jc w:val="center"/>
              <w:rPr>
                <w:lang w:val="ro-RO"/>
              </w:rPr>
            </w:pP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543/518</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698/518</w:t>
            </w:r>
          </w:p>
        </w:tc>
      </w:tr>
      <w:tr w:rsidR="007442AA" w:rsidRPr="002152E4" w:rsidTr="00744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jc w:val="center"/>
              <w:rPr>
                <w:lang w:val="ro-RO"/>
              </w:rPr>
            </w:pPr>
            <w:r w:rsidRPr="002152E4">
              <w:rPr>
                <w:lang w:val="ro-RO"/>
              </w:rPr>
              <w:t>2009</w:t>
            </w:r>
          </w:p>
        </w:tc>
        <w:tc>
          <w:tcPr>
            <w:tcW w:w="94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771</w:t>
            </w:r>
          </w:p>
        </w:tc>
        <w:tc>
          <w:tcPr>
            <w:tcW w:w="1080"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1,5</w:t>
            </w:r>
          </w:p>
        </w:tc>
        <w:tc>
          <w:tcPr>
            <w:tcW w:w="961"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70</w:t>
            </w:r>
          </w:p>
        </w:tc>
        <w:tc>
          <w:tcPr>
            <w:tcW w:w="992"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67</w:t>
            </w:r>
          </w:p>
        </w:tc>
        <w:tc>
          <w:tcPr>
            <w:tcW w:w="99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58</w:t>
            </w:r>
          </w:p>
        </w:tc>
        <w:tc>
          <w:tcPr>
            <w:tcW w:w="1219" w:type="dxa"/>
            <w:vMerge/>
            <w:tcBorders>
              <w:top w:val="single" w:sz="6" w:space="0" w:color="00B050"/>
              <w:left w:val="single" w:sz="6" w:space="0" w:color="00B050"/>
              <w:bottom w:val="single" w:sz="6" w:space="0" w:color="00B050"/>
              <w:right w:val="threeDEmboss" w:sz="6" w:space="0" w:color="00B050"/>
            </w:tcBorders>
          </w:tcPr>
          <w:p w:rsidR="007442AA" w:rsidRPr="002152E4" w:rsidRDefault="007442AA" w:rsidP="007442AA">
            <w:pPr>
              <w:widowControl w:val="0"/>
              <w:jc w:val="center"/>
              <w:rPr>
                <w:lang w:val="ro-RO"/>
              </w:rPr>
            </w:pP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467/383</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662/383</w:t>
            </w:r>
          </w:p>
        </w:tc>
      </w:tr>
      <w:tr w:rsidR="007442AA" w:rsidRPr="002152E4" w:rsidTr="00744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jc w:val="center"/>
              <w:rPr>
                <w:lang w:val="ro-RO"/>
              </w:rPr>
            </w:pPr>
            <w:r w:rsidRPr="002152E4">
              <w:rPr>
                <w:lang w:val="ro-RO"/>
              </w:rPr>
              <w:t>2010</w:t>
            </w:r>
          </w:p>
        </w:tc>
        <w:tc>
          <w:tcPr>
            <w:tcW w:w="94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1.084</w:t>
            </w:r>
          </w:p>
        </w:tc>
        <w:tc>
          <w:tcPr>
            <w:tcW w:w="1080"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1,9</w:t>
            </w:r>
          </w:p>
        </w:tc>
        <w:tc>
          <w:tcPr>
            <w:tcW w:w="961"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68</w:t>
            </w:r>
          </w:p>
        </w:tc>
        <w:tc>
          <w:tcPr>
            <w:tcW w:w="992"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78</w:t>
            </w:r>
          </w:p>
        </w:tc>
        <w:tc>
          <w:tcPr>
            <w:tcW w:w="99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62</w:t>
            </w:r>
          </w:p>
        </w:tc>
        <w:tc>
          <w:tcPr>
            <w:tcW w:w="1219" w:type="dxa"/>
            <w:vMerge/>
            <w:tcBorders>
              <w:top w:val="single" w:sz="6" w:space="0" w:color="00B050"/>
              <w:left w:val="single" w:sz="6" w:space="0" w:color="00B050"/>
              <w:bottom w:val="single" w:sz="6" w:space="0" w:color="00B050"/>
              <w:right w:val="threeDEmboss" w:sz="6" w:space="0" w:color="00B050"/>
            </w:tcBorders>
          </w:tcPr>
          <w:p w:rsidR="007442AA" w:rsidRPr="002152E4" w:rsidRDefault="007442AA" w:rsidP="007442AA">
            <w:pPr>
              <w:widowControl w:val="0"/>
              <w:jc w:val="center"/>
              <w:rPr>
                <w:lang w:val="ro-RO"/>
              </w:rPr>
            </w:pP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726/600</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934/600</w:t>
            </w:r>
          </w:p>
        </w:tc>
      </w:tr>
      <w:tr w:rsidR="007442AA" w:rsidRPr="002152E4" w:rsidTr="00744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jc w:val="center"/>
              <w:rPr>
                <w:lang w:val="ro-RO"/>
              </w:rPr>
            </w:pPr>
            <w:r w:rsidRPr="002152E4">
              <w:rPr>
                <w:lang w:val="ro-RO"/>
              </w:rPr>
              <w:t>2011</w:t>
            </w:r>
          </w:p>
        </w:tc>
        <w:tc>
          <w:tcPr>
            <w:tcW w:w="94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1.021</w:t>
            </w:r>
          </w:p>
        </w:tc>
        <w:tc>
          <w:tcPr>
            <w:tcW w:w="1080"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1,7</w:t>
            </w:r>
          </w:p>
        </w:tc>
        <w:tc>
          <w:tcPr>
            <w:tcW w:w="961"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99</w:t>
            </w:r>
          </w:p>
        </w:tc>
        <w:tc>
          <w:tcPr>
            <w:tcW w:w="992"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58</w:t>
            </w:r>
          </w:p>
        </w:tc>
        <w:tc>
          <w:tcPr>
            <w:tcW w:w="99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92</w:t>
            </w:r>
          </w:p>
        </w:tc>
        <w:tc>
          <w:tcPr>
            <w:tcW w:w="1219" w:type="dxa"/>
            <w:vMerge/>
            <w:tcBorders>
              <w:top w:val="single" w:sz="6" w:space="0" w:color="00B050"/>
              <w:left w:val="single" w:sz="6" w:space="0" w:color="00B050"/>
              <w:bottom w:val="single" w:sz="6" w:space="0" w:color="00B050"/>
              <w:right w:val="threeDEmboss" w:sz="6" w:space="0" w:color="00B050"/>
            </w:tcBorders>
          </w:tcPr>
          <w:p w:rsidR="007442AA" w:rsidRPr="002152E4" w:rsidRDefault="007442AA" w:rsidP="007442AA">
            <w:pPr>
              <w:widowControl w:val="0"/>
              <w:jc w:val="center"/>
              <w:rPr>
                <w:lang w:val="ro-RO"/>
              </w:rPr>
            </w:pP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870/740</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1.119/740</w:t>
            </w:r>
          </w:p>
        </w:tc>
      </w:tr>
      <w:tr w:rsidR="007442AA" w:rsidRPr="002152E4" w:rsidTr="00744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jc w:val="center"/>
              <w:rPr>
                <w:lang w:val="ro-RO"/>
              </w:rPr>
            </w:pPr>
            <w:r w:rsidRPr="002152E4">
              <w:rPr>
                <w:lang w:val="ro-RO"/>
              </w:rPr>
              <w:t>2012</w:t>
            </w:r>
          </w:p>
        </w:tc>
        <w:tc>
          <w:tcPr>
            <w:tcW w:w="94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1.043</w:t>
            </w:r>
          </w:p>
        </w:tc>
        <w:tc>
          <w:tcPr>
            <w:tcW w:w="1080"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1,7</w:t>
            </w:r>
          </w:p>
        </w:tc>
        <w:tc>
          <w:tcPr>
            <w:tcW w:w="961"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141</w:t>
            </w:r>
          </w:p>
        </w:tc>
        <w:tc>
          <w:tcPr>
            <w:tcW w:w="992"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76</w:t>
            </w:r>
          </w:p>
        </w:tc>
        <w:tc>
          <w:tcPr>
            <w:tcW w:w="99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84</w:t>
            </w:r>
          </w:p>
        </w:tc>
        <w:tc>
          <w:tcPr>
            <w:tcW w:w="1219" w:type="dxa"/>
            <w:vMerge/>
            <w:tcBorders>
              <w:top w:val="single" w:sz="6" w:space="0" w:color="00B050"/>
              <w:left w:val="single" w:sz="6" w:space="0" w:color="00B050"/>
              <w:bottom w:val="single" w:sz="6" w:space="0" w:color="00B050"/>
              <w:right w:val="threeDEmboss" w:sz="6" w:space="0" w:color="00B050"/>
            </w:tcBorders>
          </w:tcPr>
          <w:p w:rsidR="007442AA" w:rsidRPr="002152E4" w:rsidRDefault="007442AA" w:rsidP="007442AA">
            <w:pPr>
              <w:widowControl w:val="0"/>
              <w:jc w:val="center"/>
              <w:rPr>
                <w:lang w:val="ro-RO"/>
              </w:rPr>
            </w:pP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625/451</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926/451</w:t>
            </w:r>
          </w:p>
        </w:tc>
      </w:tr>
      <w:tr w:rsidR="007442AA" w:rsidRPr="002152E4" w:rsidTr="00744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jc w:val="center"/>
              <w:rPr>
                <w:lang w:val="ro-RO"/>
              </w:rPr>
            </w:pPr>
            <w:r w:rsidRPr="002152E4">
              <w:rPr>
                <w:lang w:val="ro-RO"/>
              </w:rPr>
              <w:t>2013</w:t>
            </w:r>
          </w:p>
        </w:tc>
        <w:tc>
          <w:tcPr>
            <w:tcW w:w="94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1.221</w:t>
            </w:r>
          </w:p>
        </w:tc>
        <w:tc>
          <w:tcPr>
            <w:tcW w:w="1080"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1,9</w:t>
            </w:r>
          </w:p>
        </w:tc>
        <w:tc>
          <w:tcPr>
            <w:tcW w:w="961"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140</w:t>
            </w:r>
          </w:p>
        </w:tc>
        <w:tc>
          <w:tcPr>
            <w:tcW w:w="992"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124</w:t>
            </w:r>
          </w:p>
        </w:tc>
        <w:tc>
          <w:tcPr>
            <w:tcW w:w="993" w:type="dxa"/>
            <w:tcBorders>
              <w:top w:val="single" w:sz="6" w:space="0" w:color="00B050"/>
              <w:left w:val="single" w:sz="6" w:space="0" w:color="00B050"/>
              <w:bottom w:val="single" w:sz="6" w:space="0" w:color="00B050"/>
              <w:right w:val="single" w:sz="6" w:space="0" w:color="00B050"/>
            </w:tcBorders>
            <w:vAlign w:val="bottom"/>
          </w:tcPr>
          <w:p w:rsidR="007442AA" w:rsidRPr="002152E4" w:rsidRDefault="007442AA" w:rsidP="007442AA">
            <w:pPr>
              <w:jc w:val="center"/>
              <w:rPr>
                <w:lang w:val="ro-RO"/>
              </w:rPr>
            </w:pPr>
            <w:r w:rsidRPr="002152E4">
              <w:rPr>
                <w:lang w:val="ro-RO"/>
              </w:rPr>
              <w:t>109</w:t>
            </w:r>
          </w:p>
        </w:tc>
        <w:tc>
          <w:tcPr>
            <w:tcW w:w="1219" w:type="dxa"/>
            <w:vMerge/>
            <w:tcBorders>
              <w:top w:val="single" w:sz="6" w:space="0" w:color="00B050"/>
              <w:left w:val="single" w:sz="6" w:space="0" w:color="00B050"/>
              <w:bottom w:val="single" w:sz="6" w:space="0" w:color="00B050"/>
              <w:right w:val="threeDEmboss" w:sz="6" w:space="0" w:color="00B050"/>
            </w:tcBorders>
          </w:tcPr>
          <w:p w:rsidR="007442AA" w:rsidRPr="002152E4" w:rsidRDefault="007442AA" w:rsidP="007442AA">
            <w:pPr>
              <w:widowControl w:val="0"/>
              <w:jc w:val="center"/>
              <w:rPr>
                <w:lang w:val="ro-RO"/>
              </w:rPr>
            </w:pPr>
          </w:p>
        </w:tc>
        <w:tc>
          <w:tcPr>
            <w:tcW w:w="1276"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811/635</w:t>
            </w:r>
          </w:p>
        </w:tc>
        <w:tc>
          <w:tcPr>
            <w:tcW w:w="1275" w:type="dxa"/>
            <w:tcBorders>
              <w:top w:val="threeDEmboss" w:sz="6" w:space="0" w:color="00B050"/>
              <w:left w:val="threeDEmboss" w:sz="6" w:space="0" w:color="00B050"/>
              <w:bottom w:val="threeDEmboss" w:sz="6" w:space="0" w:color="00B050"/>
              <w:right w:val="threeDEmboss" w:sz="6" w:space="0" w:color="00B050"/>
            </w:tcBorders>
            <w:vAlign w:val="bottom"/>
          </w:tcPr>
          <w:p w:rsidR="007442AA" w:rsidRPr="002152E4" w:rsidRDefault="007442AA" w:rsidP="007442AA">
            <w:pPr>
              <w:jc w:val="center"/>
              <w:rPr>
                <w:lang w:val="ro-RO"/>
              </w:rPr>
            </w:pPr>
            <w:r w:rsidRPr="002152E4">
              <w:rPr>
                <w:lang w:val="ro-RO"/>
              </w:rPr>
              <w:t>1.184/635</w:t>
            </w:r>
          </w:p>
        </w:tc>
      </w:tr>
      <w:tr w:rsidR="007442AA" w:rsidRPr="002152E4" w:rsidTr="00744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jc w:val="center"/>
              <w:rPr>
                <w:lang w:val="ro-RO"/>
              </w:rPr>
            </w:pPr>
            <w:r w:rsidRPr="002152E4">
              <w:rPr>
                <w:lang w:val="ro-RO"/>
              </w:rPr>
              <w:t>2014</w:t>
            </w:r>
          </w:p>
        </w:tc>
        <w:tc>
          <w:tcPr>
            <w:tcW w:w="943"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widowControl w:val="0"/>
              <w:jc w:val="center"/>
              <w:rPr>
                <w:lang w:val="ro-RO"/>
              </w:rPr>
            </w:pPr>
            <w:r w:rsidRPr="002152E4">
              <w:rPr>
                <w:lang w:val="ro-RO"/>
              </w:rPr>
              <w:t>1.414</w:t>
            </w:r>
          </w:p>
        </w:tc>
        <w:tc>
          <w:tcPr>
            <w:tcW w:w="1080"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widowControl w:val="0"/>
              <w:jc w:val="center"/>
              <w:rPr>
                <w:lang w:val="ro-RO"/>
              </w:rPr>
            </w:pPr>
            <w:r w:rsidRPr="002152E4">
              <w:rPr>
                <w:lang w:val="ro-RO"/>
              </w:rPr>
              <w:t>2,8</w:t>
            </w:r>
          </w:p>
        </w:tc>
        <w:tc>
          <w:tcPr>
            <w:tcW w:w="961"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widowControl w:val="0"/>
              <w:jc w:val="center"/>
              <w:rPr>
                <w:lang w:val="ro-RO"/>
              </w:rPr>
            </w:pPr>
            <w:r w:rsidRPr="002152E4">
              <w:rPr>
                <w:lang w:val="ro-RO"/>
              </w:rPr>
              <w:t>291</w:t>
            </w:r>
          </w:p>
        </w:tc>
        <w:tc>
          <w:tcPr>
            <w:tcW w:w="992"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widowControl w:val="0"/>
              <w:jc w:val="center"/>
              <w:rPr>
                <w:lang w:val="ro-RO"/>
              </w:rPr>
            </w:pPr>
            <w:r w:rsidRPr="002152E4">
              <w:rPr>
                <w:lang w:val="ro-RO"/>
              </w:rPr>
              <w:t>127</w:t>
            </w:r>
          </w:p>
        </w:tc>
        <w:tc>
          <w:tcPr>
            <w:tcW w:w="993"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widowControl w:val="0"/>
              <w:jc w:val="center"/>
              <w:rPr>
                <w:lang w:val="ro-RO"/>
              </w:rPr>
            </w:pPr>
            <w:r w:rsidRPr="002152E4">
              <w:rPr>
                <w:lang w:val="ro-RO"/>
              </w:rPr>
              <w:t>65</w:t>
            </w:r>
          </w:p>
        </w:tc>
        <w:tc>
          <w:tcPr>
            <w:tcW w:w="1219" w:type="dxa"/>
            <w:tcBorders>
              <w:top w:val="single" w:sz="6" w:space="0" w:color="00B050"/>
              <w:left w:val="single" w:sz="6" w:space="0" w:color="00B050"/>
              <w:bottom w:val="single"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37</w:t>
            </w:r>
          </w:p>
        </w:tc>
        <w:tc>
          <w:tcPr>
            <w:tcW w:w="1276"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844/708</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1.364/708</w:t>
            </w:r>
          </w:p>
        </w:tc>
      </w:tr>
      <w:tr w:rsidR="007442AA" w:rsidRPr="002152E4" w:rsidTr="00744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jc w:val="center"/>
              <w:rPr>
                <w:lang w:val="ro-RO"/>
              </w:rPr>
            </w:pPr>
            <w:r w:rsidRPr="002152E4">
              <w:rPr>
                <w:lang w:val="ro-RO"/>
              </w:rPr>
              <w:t>2015</w:t>
            </w:r>
          </w:p>
        </w:tc>
        <w:tc>
          <w:tcPr>
            <w:tcW w:w="943"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widowControl w:val="0"/>
              <w:jc w:val="center"/>
              <w:rPr>
                <w:lang w:val="ro-RO"/>
              </w:rPr>
            </w:pPr>
            <w:r w:rsidRPr="002152E4">
              <w:rPr>
                <w:lang w:val="ro-RO"/>
              </w:rPr>
              <w:t>1.786</w:t>
            </w:r>
          </w:p>
        </w:tc>
        <w:tc>
          <w:tcPr>
            <w:tcW w:w="1080"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widowControl w:val="0"/>
              <w:jc w:val="center"/>
              <w:rPr>
                <w:lang w:val="ro-RO"/>
              </w:rPr>
            </w:pPr>
            <w:r w:rsidRPr="002152E4">
              <w:rPr>
                <w:lang w:val="ro-RO"/>
              </w:rPr>
              <w:t>3,0</w:t>
            </w:r>
          </w:p>
        </w:tc>
        <w:tc>
          <w:tcPr>
            <w:tcW w:w="961"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widowControl w:val="0"/>
              <w:jc w:val="center"/>
              <w:rPr>
                <w:lang w:val="ro-RO"/>
              </w:rPr>
            </w:pPr>
            <w:r w:rsidRPr="002152E4">
              <w:rPr>
                <w:lang w:val="ro-RO"/>
              </w:rPr>
              <w:t>235</w:t>
            </w:r>
          </w:p>
        </w:tc>
        <w:tc>
          <w:tcPr>
            <w:tcW w:w="992"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widowControl w:val="0"/>
              <w:jc w:val="center"/>
              <w:rPr>
                <w:lang w:val="ro-RO"/>
              </w:rPr>
            </w:pPr>
            <w:r w:rsidRPr="002152E4">
              <w:rPr>
                <w:lang w:val="ro-RO"/>
              </w:rPr>
              <w:t>218</w:t>
            </w:r>
          </w:p>
        </w:tc>
        <w:tc>
          <w:tcPr>
            <w:tcW w:w="993" w:type="dxa"/>
            <w:tcBorders>
              <w:top w:val="single" w:sz="6" w:space="0" w:color="00B050"/>
              <w:left w:val="single" w:sz="6" w:space="0" w:color="00B050"/>
              <w:bottom w:val="single" w:sz="6" w:space="0" w:color="00B050"/>
              <w:right w:val="single" w:sz="6" w:space="0" w:color="00B050"/>
            </w:tcBorders>
          </w:tcPr>
          <w:p w:rsidR="007442AA" w:rsidRPr="002152E4" w:rsidRDefault="007442AA" w:rsidP="007442AA">
            <w:pPr>
              <w:widowControl w:val="0"/>
              <w:jc w:val="center"/>
              <w:rPr>
                <w:lang w:val="ro-RO"/>
              </w:rPr>
            </w:pPr>
            <w:r w:rsidRPr="002152E4">
              <w:rPr>
                <w:lang w:val="ro-RO"/>
              </w:rPr>
              <w:t>106</w:t>
            </w:r>
          </w:p>
        </w:tc>
        <w:tc>
          <w:tcPr>
            <w:tcW w:w="1219" w:type="dxa"/>
            <w:tcBorders>
              <w:top w:val="single" w:sz="6" w:space="0" w:color="00B050"/>
              <w:left w:val="single" w:sz="6" w:space="0" w:color="00B050"/>
              <w:bottom w:val="single"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168</w:t>
            </w:r>
          </w:p>
        </w:tc>
        <w:tc>
          <w:tcPr>
            <w:tcW w:w="1276"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1.183/992</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1.910/992</w:t>
            </w:r>
          </w:p>
        </w:tc>
      </w:tr>
      <w:tr w:rsidR="007442AA" w:rsidRPr="002152E4" w:rsidTr="00744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 w:type="dxa"/>
            <w:tcBorders>
              <w:top w:val="single" w:sz="6" w:space="0" w:color="00B050"/>
              <w:left w:val="single" w:sz="6" w:space="0" w:color="00B050"/>
              <w:bottom w:val="threeDEmboss" w:sz="6" w:space="0" w:color="00B050"/>
              <w:right w:val="single" w:sz="6" w:space="0" w:color="00B050"/>
            </w:tcBorders>
          </w:tcPr>
          <w:p w:rsidR="007442AA" w:rsidRPr="002152E4" w:rsidRDefault="007442AA" w:rsidP="007442AA">
            <w:pPr>
              <w:jc w:val="center"/>
              <w:rPr>
                <w:lang w:val="ro-RO"/>
              </w:rPr>
            </w:pPr>
            <w:r w:rsidRPr="002152E4">
              <w:rPr>
                <w:lang w:val="ro-RO"/>
              </w:rPr>
              <w:t>2016</w:t>
            </w:r>
          </w:p>
        </w:tc>
        <w:tc>
          <w:tcPr>
            <w:tcW w:w="943" w:type="dxa"/>
            <w:tcBorders>
              <w:top w:val="single" w:sz="6" w:space="0" w:color="00B050"/>
              <w:left w:val="single" w:sz="6" w:space="0" w:color="00B050"/>
              <w:bottom w:val="threeDEmboss" w:sz="6" w:space="0" w:color="00B050"/>
              <w:right w:val="single" w:sz="6" w:space="0" w:color="00B050"/>
            </w:tcBorders>
          </w:tcPr>
          <w:p w:rsidR="007442AA" w:rsidRPr="002152E4" w:rsidRDefault="007442AA" w:rsidP="007442AA">
            <w:pPr>
              <w:widowControl w:val="0"/>
              <w:jc w:val="center"/>
              <w:rPr>
                <w:lang w:val="ro-RO"/>
              </w:rPr>
            </w:pPr>
            <w:r w:rsidRPr="002152E4">
              <w:rPr>
                <w:lang w:val="ro-RO"/>
              </w:rPr>
              <w:t>1.795</w:t>
            </w:r>
          </w:p>
        </w:tc>
        <w:tc>
          <w:tcPr>
            <w:tcW w:w="1080" w:type="dxa"/>
            <w:tcBorders>
              <w:top w:val="single" w:sz="6" w:space="0" w:color="00B050"/>
              <w:left w:val="single" w:sz="6" w:space="0" w:color="00B050"/>
              <w:bottom w:val="threeDEmboss" w:sz="6" w:space="0" w:color="00B050"/>
              <w:right w:val="single" w:sz="6" w:space="0" w:color="00B050"/>
            </w:tcBorders>
          </w:tcPr>
          <w:p w:rsidR="007442AA" w:rsidRPr="002152E4" w:rsidRDefault="007442AA" w:rsidP="007442AA">
            <w:pPr>
              <w:widowControl w:val="0"/>
              <w:jc w:val="center"/>
              <w:rPr>
                <w:lang w:val="ro-RO"/>
              </w:rPr>
            </w:pPr>
            <w:r w:rsidRPr="002152E4">
              <w:rPr>
                <w:lang w:val="ro-RO"/>
              </w:rPr>
              <w:t>2,8</w:t>
            </w:r>
          </w:p>
        </w:tc>
        <w:tc>
          <w:tcPr>
            <w:tcW w:w="961" w:type="dxa"/>
            <w:tcBorders>
              <w:top w:val="single" w:sz="6" w:space="0" w:color="00B050"/>
              <w:left w:val="single" w:sz="6" w:space="0" w:color="00B050"/>
              <w:bottom w:val="threeDEmboss" w:sz="6" w:space="0" w:color="00B050"/>
              <w:right w:val="single" w:sz="6" w:space="0" w:color="00B050"/>
            </w:tcBorders>
          </w:tcPr>
          <w:p w:rsidR="007442AA" w:rsidRPr="002152E4" w:rsidRDefault="007442AA" w:rsidP="007442AA">
            <w:pPr>
              <w:widowControl w:val="0"/>
              <w:jc w:val="center"/>
              <w:rPr>
                <w:lang w:val="ro-RO"/>
              </w:rPr>
            </w:pPr>
            <w:r w:rsidRPr="002152E4">
              <w:rPr>
                <w:lang w:val="ro-RO"/>
              </w:rPr>
              <w:t>183</w:t>
            </w:r>
          </w:p>
        </w:tc>
        <w:tc>
          <w:tcPr>
            <w:tcW w:w="992" w:type="dxa"/>
            <w:tcBorders>
              <w:top w:val="single" w:sz="6" w:space="0" w:color="00B050"/>
              <w:left w:val="single" w:sz="6" w:space="0" w:color="00B050"/>
              <w:bottom w:val="threeDEmboss" w:sz="6" w:space="0" w:color="00B050"/>
              <w:right w:val="single" w:sz="6" w:space="0" w:color="00B050"/>
            </w:tcBorders>
          </w:tcPr>
          <w:p w:rsidR="007442AA" w:rsidRPr="002152E4" w:rsidRDefault="007442AA" w:rsidP="007442AA">
            <w:pPr>
              <w:widowControl w:val="0"/>
              <w:jc w:val="center"/>
              <w:rPr>
                <w:lang w:val="ro-RO"/>
              </w:rPr>
            </w:pPr>
            <w:r w:rsidRPr="002152E4">
              <w:rPr>
                <w:lang w:val="ro-RO"/>
              </w:rPr>
              <w:t>212</w:t>
            </w:r>
          </w:p>
        </w:tc>
        <w:tc>
          <w:tcPr>
            <w:tcW w:w="993" w:type="dxa"/>
            <w:tcBorders>
              <w:top w:val="single" w:sz="6" w:space="0" w:color="00B050"/>
              <w:left w:val="single" w:sz="6" w:space="0" w:color="00B050"/>
              <w:bottom w:val="threeDEmboss" w:sz="6" w:space="0" w:color="00B050"/>
              <w:right w:val="single" w:sz="6" w:space="0" w:color="00B050"/>
            </w:tcBorders>
          </w:tcPr>
          <w:p w:rsidR="007442AA" w:rsidRPr="002152E4" w:rsidRDefault="007442AA" w:rsidP="007442AA">
            <w:pPr>
              <w:widowControl w:val="0"/>
              <w:jc w:val="center"/>
              <w:rPr>
                <w:lang w:val="ro-RO"/>
              </w:rPr>
            </w:pPr>
            <w:r w:rsidRPr="002152E4">
              <w:rPr>
                <w:lang w:val="ro-RO"/>
              </w:rPr>
              <w:t>84</w:t>
            </w:r>
          </w:p>
        </w:tc>
        <w:tc>
          <w:tcPr>
            <w:tcW w:w="1219" w:type="dxa"/>
            <w:tcBorders>
              <w:top w:val="single" w:sz="6" w:space="0" w:color="00B050"/>
              <w:left w:val="single"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64</w:t>
            </w:r>
          </w:p>
        </w:tc>
        <w:tc>
          <w:tcPr>
            <w:tcW w:w="1276"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1.109/925</w:t>
            </w:r>
          </w:p>
        </w:tc>
        <w:tc>
          <w:tcPr>
            <w:tcW w:w="1275"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1.652/925</w:t>
            </w:r>
          </w:p>
        </w:tc>
      </w:tr>
      <w:tr w:rsidR="007442AA" w:rsidRPr="002152E4" w:rsidTr="007442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 w:type="dxa"/>
            <w:tcBorders>
              <w:top w:val="threeDEmboss" w:sz="6" w:space="0" w:color="00B050"/>
              <w:left w:val="threeDEmboss" w:sz="6" w:space="0" w:color="00B050"/>
              <w:bottom w:val="threeDEmboss" w:sz="6" w:space="0" w:color="00B050"/>
              <w:right w:val="single" w:sz="6" w:space="0" w:color="00B050"/>
            </w:tcBorders>
            <w:shd w:val="clear" w:color="auto" w:fill="FCE0C8"/>
          </w:tcPr>
          <w:p w:rsidR="007442AA" w:rsidRPr="002152E4" w:rsidRDefault="007442AA" w:rsidP="007442AA">
            <w:pPr>
              <w:tabs>
                <w:tab w:val="left" w:pos="142"/>
              </w:tabs>
              <w:ind w:left="-90"/>
              <w:jc w:val="center"/>
              <w:rPr>
                <w:b/>
                <w:i/>
                <w:u w:val="single"/>
                <w:lang w:val="ro-RO"/>
              </w:rPr>
            </w:pPr>
            <w:r w:rsidRPr="002152E4">
              <w:rPr>
                <w:i/>
                <w:lang w:val="ro-RO"/>
              </w:rPr>
              <w:t>%</w:t>
            </w:r>
            <w:r w:rsidRPr="002152E4">
              <w:rPr>
                <w:b/>
                <w:i/>
                <w:lang w:val="ro-RO"/>
              </w:rPr>
              <w:t xml:space="preserve"> </w:t>
            </w:r>
            <w:r w:rsidRPr="002152E4">
              <w:rPr>
                <w:b/>
                <w:i/>
                <w:u w:val="single"/>
                <w:lang w:val="ro-RO"/>
              </w:rPr>
              <w:t>2016</w:t>
            </w:r>
            <w:r w:rsidRPr="002152E4">
              <w:rPr>
                <w:b/>
                <w:i/>
                <w:lang w:val="ro-RO"/>
              </w:rPr>
              <w:t xml:space="preserve">               </w:t>
            </w:r>
            <w:r w:rsidRPr="002152E4">
              <w:rPr>
                <w:i/>
                <w:lang w:val="ro-RO"/>
              </w:rPr>
              <w:t>+/-</w:t>
            </w:r>
            <w:r w:rsidRPr="002152E4">
              <w:rPr>
                <w:b/>
                <w:i/>
                <w:lang w:val="ro-RO"/>
              </w:rPr>
              <w:t>2015</w:t>
            </w:r>
          </w:p>
        </w:tc>
        <w:tc>
          <w:tcPr>
            <w:tcW w:w="943"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+0,5</w:t>
            </w:r>
          </w:p>
        </w:tc>
        <w:tc>
          <w:tcPr>
            <w:tcW w:w="1080"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w:t>
            </w:r>
          </w:p>
        </w:tc>
        <w:tc>
          <w:tcPr>
            <w:tcW w:w="961"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-22,1</w:t>
            </w:r>
          </w:p>
        </w:tc>
        <w:tc>
          <w:tcPr>
            <w:tcW w:w="992"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-2,8</w:t>
            </w:r>
          </w:p>
        </w:tc>
        <w:tc>
          <w:tcPr>
            <w:tcW w:w="993" w:type="dxa"/>
            <w:tcBorders>
              <w:top w:val="threeDEmboss" w:sz="6" w:space="0" w:color="00B050"/>
              <w:left w:val="single" w:sz="6" w:space="0" w:color="00B050"/>
              <w:bottom w:val="threeDEmboss" w:sz="6" w:space="0" w:color="00B050"/>
              <w:right w:val="single" w:sz="6" w:space="0" w:color="00B050"/>
            </w:tcBorders>
            <w:shd w:val="clear" w:color="auto" w:fill="FCE0C8"/>
            <w:vAlign w:val="center"/>
          </w:tcPr>
          <w:p w:rsidR="007442AA" w:rsidRPr="002152E4" w:rsidRDefault="007442AA" w:rsidP="007442AA">
            <w:pPr>
              <w:widowControl w:val="0"/>
              <w:ind w:left="-198" w:firstLine="90"/>
              <w:jc w:val="center"/>
              <w:rPr>
                <w:b/>
                <w:lang w:val="ro-RO"/>
              </w:rPr>
            </w:pPr>
            <w:r w:rsidRPr="002152E4">
              <w:rPr>
                <w:b/>
                <w:lang w:val="ro-RO"/>
              </w:rPr>
              <w:t>-20,8</w:t>
            </w:r>
          </w:p>
        </w:tc>
        <w:tc>
          <w:tcPr>
            <w:tcW w:w="1219" w:type="dxa"/>
            <w:tcBorders>
              <w:top w:val="threeDEmboss" w:sz="6" w:space="0" w:color="00B050"/>
              <w:left w:val="single"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-61,9</w:t>
            </w:r>
          </w:p>
        </w:tc>
        <w:tc>
          <w:tcPr>
            <w:tcW w:w="1276" w:type="dxa"/>
            <w:tcBorders>
              <w:top w:val="threeDEmboss" w:sz="6" w:space="0" w:color="00B050"/>
              <w:left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ind w:left="-108" w:right="-88"/>
              <w:jc w:val="center"/>
              <w:rPr>
                <w:b/>
                <w:lang w:val="ro-RO"/>
              </w:rPr>
            </w:pPr>
            <w:r w:rsidRPr="002152E4">
              <w:rPr>
                <w:b/>
                <w:lang w:val="ro-RO"/>
              </w:rPr>
              <w:t>-6,3</w:t>
            </w:r>
          </w:p>
        </w:tc>
        <w:tc>
          <w:tcPr>
            <w:tcW w:w="1275" w:type="dxa"/>
            <w:tcBorders>
              <w:top w:val="threeDEmboss" w:sz="6" w:space="0" w:color="00B050"/>
              <w:left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ind w:left="-108" w:right="-86"/>
              <w:jc w:val="center"/>
              <w:rPr>
                <w:b/>
                <w:lang w:val="ro-RO"/>
              </w:rPr>
            </w:pPr>
            <w:r w:rsidRPr="002152E4">
              <w:rPr>
                <w:b/>
                <w:lang w:val="ro-RO"/>
              </w:rPr>
              <w:t>-13,5</w:t>
            </w:r>
          </w:p>
        </w:tc>
      </w:tr>
    </w:tbl>
    <w:p w:rsidR="007442AA" w:rsidRPr="002152E4" w:rsidRDefault="007442AA" w:rsidP="007442AA">
      <w:pPr>
        <w:jc w:val="both"/>
        <w:rPr>
          <w:lang w:val="ro-RO"/>
        </w:rPr>
      </w:pPr>
    </w:p>
    <w:p w:rsidR="007442AA" w:rsidRPr="002152E4" w:rsidRDefault="007442AA" w:rsidP="007442AA">
      <w:pPr>
        <w:jc w:val="both"/>
        <w:rPr>
          <w:lang w:val="ro-RO"/>
        </w:rPr>
      </w:pPr>
      <w:r w:rsidRPr="002152E4">
        <w:rPr>
          <w:lang w:val="ro-RO"/>
        </w:rPr>
        <w:t xml:space="preserve">*Datele din perioada 2007 – 2013 se referă la inculpații persoane fizice trimiși </w:t>
      </w:r>
      <w:r w:rsidRPr="002152E4">
        <w:rPr>
          <w:rFonts w:cs="Franklin Gothic Book"/>
          <w:lang w:val="ro-RO"/>
        </w:rPr>
        <w:t>î</w:t>
      </w:r>
      <w:r w:rsidRPr="002152E4">
        <w:rPr>
          <w:lang w:val="ro-RO"/>
        </w:rPr>
        <w:t>n judecată pentru infracțiuni care aduc atingere unor activități de interes public reglementate de lege (art. 246 -281 din vechiul Cod penal).</w:t>
      </w:r>
    </w:p>
    <w:p w:rsidR="007442AA" w:rsidRPr="002152E4" w:rsidRDefault="007442AA" w:rsidP="007442AA">
      <w:pPr>
        <w:jc w:val="both"/>
        <w:rPr>
          <w:b/>
          <w:lang w:val="ro-RO"/>
        </w:rPr>
      </w:pPr>
    </w:p>
    <w:p w:rsidR="007442AA" w:rsidRPr="002152E4" w:rsidRDefault="007442AA" w:rsidP="007442AA">
      <w:pPr>
        <w:jc w:val="both"/>
        <w:rPr>
          <w:b/>
          <w:lang w:val="ro-RO"/>
        </w:rPr>
      </w:pPr>
      <w:r w:rsidRPr="002152E4">
        <w:rPr>
          <w:b/>
          <w:lang w:val="ro-RO"/>
        </w:rPr>
        <w:t xml:space="preserve">INFRACŢIUNI DE CORUPȚIE ȘI DE SERVICIU (ART. 289 – </w:t>
      </w:r>
      <w:smartTag w:uri="urn:schemas-microsoft-com:office:smarttags" w:element="metricconverter">
        <w:smartTagPr>
          <w:attr w:name="ProductID" w:val="309 C"/>
        </w:smartTagPr>
        <w:r w:rsidRPr="002152E4">
          <w:rPr>
            <w:b/>
            <w:lang w:val="ro-RO"/>
          </w:rPr>
          <w:t>309 C</w:t>
        </w:r>
      </w:smartTag>
      <w:r w:rsidRPr="002152E4">
        <w:rPr>
          <w:b/>
          <w:lang w:val="ro-RO"/>
        </w:rPr>
        <w:t>.P.) - CONTINUARE</w:t>
      </w:r>
    </w:p>
    <w:tbl>
      <w:tblPr>
        <w:tblW w:w="9606"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242"/>
        <w:gridCol w:w="1843"/>
        <w:gridCol w:w="1985"/>
        <w:gridCol w:w="2268"/>
        <w:gridCol w:w="2268"/>
      </w:tblGrid>
      <w:tr w:rsidR="007442AA" w:rsidRPr="002152E4" w:rsidTr="007442AA">
        <w:trPr>
          <w:cantSplit/>
          <w:trHeight w:val="732"/>
        </w:trPr>
        <w:tc>
          <w:tcPr>
            <w:tcW w:w="1242" w:type="dxa"/>
            <w:tcBorders>
              <w:top w:val="threeDEmboss" w:sz="6" w:space="0" w:color="00B050"/>
              <w:left w:val="threeDEmboss" w:sz="6" w:space="0" w:color="00B050"/>
              <w:bottom w:val="threeDEmboss" w:sz="6" w:space="0" w:color="00B050"/>
            </w:tcBorders>
            <w:shd w:val="clear" w:color="auto" w:fill="FCE0C8"/>
            <w:vAlign w:val="center"/>
          </w:tcPr>
          <w:p w:rsidR="007442AA" w:rsidRPr="002152E4" w:rsidRDefault="007442AA" w:rsidP="007442AA">
            <w:pPr>
              <w:jc w:val="center"/>
              <w:rPr>
                <w:b/>
                <w:lang w:val="ro-RO"/>
              </w:rPr>
            </w:pPr>
            <w:r w:rsidRPr="002152E4">
              <w:rPr>
                <w:b/>
                <w:lang w:val="ro-RO"/>
              </w:rPr>
              <w:t>ANUL</w:t>
            </w:r>
          </w:p>
        </w:tc>
        <w:tc>
          <w:tcPr>
            <w:tcW w:w="1843"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delapidare</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95 C"/>
              </w:smartTagPr>
              <w:r w:rsidRPr="002152E4">
                <w:rPr>
                  <w:b/>
                  <w:lang w:val="ro-RO"/>
                </w:rPr>
                <w:t>295 C</w:t>
              </w:r>
            </w:smartTag>
            <w:r w:rsidRPr="002152E4">
              <w:rPr>
                <w:b/>
                <w:lang w:val="ro-RO"/>
              </w:rPr>
              <w:t>.p.)</w:t>
            </w:r>
          </w:p>
        </w:tc>
        <w:tc>
          <w:tcPr>
            <w:tcW w:w="1985"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abuz în serviciu</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97 C"/>
              </w:smartTagPr>
              <w:r w:rsidRPr="002152E4">
                <w:rPr>
                  <w:b/>
                  <w:lang w:val="ro-RO"/>
                </w:rPr>
                <w:t>297 C</w:t>
              </w:r>
            </w:smartTag>
            <w:r w:rsidRPr="002152E4">
              <w:rPr>
                <w:b/>
                <w:lang w:val="ro-RO"/>
              </w:rPr>
              <w:t>.p.)</w:t>
            </w:r>
          </w:p>
        </w:tc>
        <w:tc>
          <w:tcPr>
            <w:tcW w:w="2268"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neglijenţă în serviciu</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298 C"/>
              </w:smartTagPr>
              <w:r w:rsidRPr="002152E4">
                <w:rPr>
                  <w:b/>
                  <w:lang w:val="ro-RO"/>
                </w:rPr>
                <w:t>298 C</w:t>
              </w:r>
            </w:smartTag>
            <w:r w:rsidRPr="002152E4">
              <w:rPr>
                <w:b/>
                <w:lang w:val="ro-RO"/>
              </w:rPr>
              <w:t>.p.)</w:t>
            </w:r>
          </w:p>
        </w:tc>
        <w:tc>
          <w:tcPr>
            <w:tcW w:w="2268" w:type="dxa"/>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conflict de interese</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301 C"/>
              </w:smartTagPr>
              <w:r w:rsidRPr="002152E4">
                <w:rPr>
                  <w:b/>
                  <w:lang w:val="ro-RO"/>
                </w:rPr>
                <w:t>301 C</w:t>
              </w:r>
            </w:smartTag>
            <w:r w:rsidRPr="002152E4">
              <w:rPr>
                <w:b/>
                <w:lang w:val="ro-RO"/>
              </w:rPr>
              <w:t>.p.)</w:t>
            </w:r>
          </w:p>
        </w:tc>
      </w:tr>
      <w:tr w:rsidR="007442AA" w:rsidRPr="002152E4" w:rsidTr="007442AA">
        <w:tc>
          <w:tcPr>
            <w:tcW w:w="1242" w:type="dxa"/>
            <w:tcBorders>
              <w:top w:val="threeDEmboss" w:sz="6" w:space="0" w:color="00B050"/>
            </w:tcBorders>
          </w:tcPr>
          <w:p w:rsidR="007442AA" w:rsidRPr="002152E4" w:rsidRDefault="007442AA" w:rsidP="007442AA">
            <w:pPr>
              <w:jc w:val="center"/>
              <w:rPr>
                <w:lang w:val="ro-RO"/>
              </w:rPr>
            </w:pPr>
            <w:r w:rsidRPr="002152E4">
              <w:rPr>
                <w:lang w:val="ro-RO"/>
              </w:rPr>
              <w:t>2007</w:t>
            </w:r>
          </w:p>
        </w:tc>
        <w:tc>
          <w:tcPr>
            <w:tcW w:w="1843" w:type="dxa"/>
            <w:tcBorders>
              <w:top w:val="threeDEmboss" w:sz="6" w:space="0" w:color="00B050"/>
            </w:tcBorders>
            <w:vAlign w:val="bottom"/>
          </w:tcPr>
          <w:p w:rsidR="007442AA" w:rsidRPr="002152E4" w:rsidRDefault="007442AA" w:rsidP="007442AA">
            <w:pPr>
              <w:jc w:val="center"/>
              <w:rPr>
                <w:lang w:val="ro-RO"/>
              </w:rPr>
            </w:pPr>
            <w:r w:rsidRPr="002152E4">
              <w:rPr>
                <w:lang w:val="ro-RO"/>
              </w:rPr>
              <w:t>381</w:t>
            </w:r>
          </w:p>
        </w:tc>
        <w:tc>
          <w:tcPr>
            <w:tcW w:w="1985" w:type="dxa"/>
            <w:tcBorders>
              <w:top w:val="threeDEmboss" w:sz="6" w:space="0" w:color="00B050"/>
            </w:tcBorders>
            <w:vAlign w:val="bottom"/>
          </w:tcPr>
          <w:p w:rsidR="007442AA" w:rsidRPr="002152E4" w:rsidRDefault="007442AA" w:rsidP="007442AA">
            <w:pPr>
              <w:jc w:val="center"/>
              <w:rPr>
                <w:lang w:val="ro-RO"/>
              </w:rPr>
            </w:pPr>
            <w:r w:rsidRPr="002152E4">
              <w:rPr>
                <w:lang w:val="ro-RO"/>
              </w:rPr>
              <w:t>159</w:t>
            </w:r>
          </w:p>
        </w:tc>
        <w:tc>
          <w:tcPr>
            <w:tcW w:w="2268" w:type="dxa"/>
            <w:tcBorders>
              <w:top w:val="threeDEmboss" w:sz="6" w:space="0" w:color="00B050"/>
            </w:tcBorders>
            <w:vAlign w:val="bottom"/>
          </w:tcPr>
          <w:p w:rsidR="007442AA" w:rsidRPr="002152E4" w:rsidRDefault="007442AA" w:rsidP="007442AA">
            <w:pPr>
              <w:jc w:val="center"/>
              <w:rPr>
                <w:lang w:val="ro-RO"/>
              </w:rPr>
            </w:pPr>
            <w:r w:rsidRPr="002152E4">
              <w:rPr>
                <w:lang w:val="ro-RO"/>
              </w:rPr>
              <w:t>52</w:t>
            </w:r>
          </w:p>
        </w:tc>
        <w:tc>
          <w:tcPr>
            <w:tcW w:w="2268" w:type="dxa"/>
            <w:tcBorders>
              <w:top w:val="threeDEmboss" w:sz="6" w:space="0" w:color="00B050"/>
            </w:tcBorders>
            <w:vAlign w:val="bottom"/>
          </w:tcPr>
          <w:p w:rsidR="007442AA" w:rsidRPr="002152E4" w:rsidRDefault="007442AA" w:rsidP="007442AA">
            <w:pPr>
              <w:jc w:val="center"/>
              <w:rPr>
                <w:lang w:val="ro-RO"/>
              </w:rPr>
            </w:pPr>
            <w:r w:rsidRPr="002152E4">
              <w:rPr>
                <w:lang w:val="ro-RO"/>
              </w:rPr>
              <w:t>0</w:t>
            </w:r>
          </w:p>
        </w:tc>
      </w:tr>
      <w:tr w:rsidR="007442AA" w:rsidRPr="002152E4" w:rsidTr="007442AA">
        <w:tc>
          <w:tcPr>
            <w:tcW w:w="1242" w:type="dxa"/>
          </w:tcPr>
          <w:p w:rsidR="007442AA" w:rsidRPr="002152E4" w:rsidRDefault="007442AA" w:rsidP="007442AA">
            <w:pPr>
              <w:jc w:val="center"/>
              <w:rPr>
                <w:lang w:val="ro-RO"/>
              </w:rPr>
            </w:pPr>
            <w:r w:rsidRPr="002152E4">
              <w:rPr>
                <w:lang w:val="ro-RO"/>
              </w:rPr>
              <w:t>2008</w:t>
            </w:r>
          </w:p>
        </w:tc>
        <w:tc>
          <w:tcPr>
            <w:tcW w:w="1843" w:type="dxa"/>
            <w:vAlign w:val="bottom"/>
          </w:tcPr>
          <w:p w:rsidR="007442AA" w:rsidRPr="002152E4" w:rsidRDefault="007442AA" w:rsidP="007442AA">
            <w:pPr>
              <w:jc w:val="center"/>
              <w:rPr>
                <w:lang w:val="ro-RO"/>
              </w:rPr>
            </w:pPr>
            <w:r w:rsidRPr="002152E4">
              <w:rPr>
                <w:lang w:val="ro-RO"/>
              </w:rPr>
              <w:t>354</w:t>
            </w:r>
          </w:p>
        </w:tc>
        <w:tc>
          <w:tcPr>
            <w:tcW w:w="1985" w:type="dxa"/>
            <w:vAlign w:val="bottom"/>
          </w:tcPr>
          <w:p w:rsidR="007442AA" w:rsidRPr="002152E4" w:rsidRDefault="007442AA" w:rsidP="007442AA">
            <w:pPr>
              <w:jc w:val="center"/>
              <w:rPr>
                <w:lang w:val="ro-RO"/>
              </w:rPr>
            </w:pPr>
            <w:r w:rsidRPr="002152E4">
              <w:rPr>
                <w:lang w:val="ro-RO"/>
              </w:rPr>
              <w:t>102</w:t>
            </w:r>
          </w:p>
        </w:tc>
        <w:tc>
          <w:tcPr>
            <w:tcW w:w="2268" w:type="dxa"/>
            <w:vAlign w:val="bottom"/>
          </w:tcPr>
          <w:p w:rsidR="007442AA" w:rsidRPr="002152E4" w:rsidRDefault="007442AA" w:rsidP="007442AA">
            <w:pPr>
              <w:jc w:val="center"/>
              <w:rPr>
                <w:lang w:val="ro-RO"/>
              </w:rPr>
            </w:pPr>
            <w:r w:rsidRPr="002152E4">
              <w:rPr>
                <w:lang w:val="ro-RO"/>
              </w:rPr>
              <w:t>35</w:t>
            </w:r>
          </w:p>
        </w:tc>
        <w:tc>
          <w:tcPr>
            <w:tcW w:w="2268" w:type="dxa"/>
            <w:vAlign w:val="bottom"/>
          </w:tcPr>
          <w:p w:rsidR="007442AA" w:rsidRPr="002152E4" w:rsidRDefault="007442AA" w:rsidP="007442AA">
            <w:pPr>
              <w:jc w:val="center"/>
              <w:rPr>
                <w:lang w:val="ro-RO"/>
              </w:rPr>
            </w:pPr>
            <w:r w:rsidRPr="002152E4">
              <w:rPr>
                <w:lang w:val="ro-RO"/>
              </w:rPr>
              <w:t>1</w:t>
            </w:r>
          </w:p>
        </w:tc>
      </w:tr>
      <w:tr w:rsidR="007442AA" w:rsidRPr="002152E4" w:rsidTr="007442AA">
        <w:tc>
          <w:tcPr>
            <w:tcW w:w="1242" w:type="dxa"/>
          </w:tcPr>
          <w:p w:rsidR="007442AA" w:rsidRPr="002152E4" w:rsidRDefault="007442AA" w:rsidP="007442AA">
            <w:pPr>
              <w:jc w:val="center"/>
              <w:rPr>
                <w:lang w:val="ro-RO"/>
              </w:rPr>
            </w:pPr>
            <w:r w:rsidRPr="002152E4">
              <w:rPr>
                <w:lang w:val="ro-RO"/>
              </w:rPr>
              <w:t>2009</w:t>
            </w:r>
          </w:p>
        </w:tc>
        <w:tc>
          <w:tcPr>
            <w:tcW w:w="1843" w:type="dxa"/>
            <w:vAlign w:val="bottom"/>
          </w:tcPr>
          <w:p w:rsidR="007442AA" w:rsidRPr="002152E4" w:rsidRDefault="007442AA" w:rsidP="007442AA">
            <w:pPr>
              <w:jc w:val="center"/>
              <w:rPr>
                <w:lang w:val="ro-RO"/>
              </w:rPr>
            </w:pPr>
            <w:r w:rsidRPr="002152E4">
              <w:rPr>
                <w:lang w:val="ro-RO"/>
              </w:rPr>
              <w:t>416</w:t>
            </w:r>
          </w:p>
        </w:tc>
        <w:tc>
          <w:tcPr>
            <w:tcW w:w="1985" w:type="dxa"/>
            <w:vAlign w:val="bottom"/>
          </w:tcPr>
          <w:p w:rsidR="007442AA" w:rsidRPr="002152E4" w:rsidRDefault="007442AA" w:rsidP="007442AA">
            <w:pPr>
              <w:jc w:val="center"/>
              <w:rPr>
                <w:lang w:val="ro-RO"/>
              </w:rPr>
            </w:pPr>
            <w:r w:rsidRPr="002152E4">
              <w:rPr>
                <w:lang w:val="ro-RO"/>
              </w:rPr>
              <w:t>81</w:t>
            </w:r>
          </w:p>
        </w:tc>
        <w:tc>
          <w:tcPr>
            <w:tcW w:w="2268" w:type="dxa"/>
            <w:vAlign w:val="bottom"/>
          </w:tcPr>
          <w:p w:rsidR="007442AA" w:rsidRPr="002152E4" w:rsidRDefault="007442AA" w:rsidP="007442AA">
            <w:pPr>
              <w:jc w:val="center"/>
              <w:rPr>
                <w:lang w:val="ro-RO"/>
              </w:rPr>
            </w:pPr>
            <w:r w:rsidRPr="002152E4">
              <w:rPr>
                <w:lang w:val="ro-RO"/>
              </w:rPr>
              <w:t>24</w:t>
            </w:r>
          </w:p>
        </w:tc>
        <w:tc>
          <w:tcPr>
            <w:tcW w:w="2268" w:type="dxa"/>
            <w:vAlign w:val="bottom"/>
          </w:tcPr>
          <w:p w:rsidR="007442AA" w:rsidRPr="002152E4" w:rsidRDefault="007442AA" w:rsidP="007442AA">
            <w:pPr>
              <w:jc w:val="center"/>
              <w:rPr>
                <w:lang w:val="ro-RO"/>
              </w:rPr>
            </w:pPr>
            <w:r w:rsidRPr="002152E4">
              <w:rPr>
                <w:lang w:val="ro-RO"/>
              </w:rPr>
              <w:t>2</w:t>
            </w:r>
          </w:p>
        </w:tc>
      </w:tr>
      <w:tr w:rsidR="007442AA" w:rsidRPr="002152E4" w:rsidTr="007442AA">
        <w:tc>
          <w:tcPr>
            <w:tcW w:w="1242" w:type="dxa"/>
          </w:tcPr>
          <w:p w:rsidR="007442AA" w:rsidRPr="002152E4" w:rsidRDefault="007442AA" w:rsidP="007442AA">
            <w:pPr>
              <w:jc w:val="center"/>
              <w:rPr>
                <w:lang w:val="ro-RO"/>
              </w:rPr>
            </w:pPr>
            <w:r w:rsidRPr="002152E4">
              <w:rPr>
                <w:lang w:val="ro-RO"/>
              </w:rPr>
              <w:lastRenderedPageBreak/>
              <w:t>2010</w:t>
            </w:r>
          </w:p>
        </w:tc>
        <w:tc>
          <w:tcPr>
            <w:tcW w:w="1843" w:type="dxa"/>
            <w:vAlign w:val="bottom"/>
          </w:tcPr>
          <w:p w:rsidR="007442AA" w:rsidRPr="002152E4" w:rsidRDefault="007442AA" w:rsidP="007442AA">
            <w:pPr>
              <w:jc w:val="center"/>
              <w:rPr>
                <w:lang w:val="ro-RO"/>
              </w:rPr>
            </w:pPr>
            <w:r w:rsidRPr="002152E4">
              <w:rPr>
                <w:lang w:val="ro-RO"/>
              </w:rPr>
              <w:t>456</w:t>
            </w:r>
          </w:p>
        </w:tc>
        <w:tc>
          <w:tcPr>
            <w:tcW w:w="1985" w:type="dxa"/>
            <w:vAlign w:val="bottom"/>
          </w:tcPr>
          <w:p w:rsidR="007442AA" w:rsidRPr="002152E4" w:rsidRDefault="007442AA" w:rsidP="007442AA">
            <w:pPr>
              <w:jc w:val="center"/>
              <w:rPr>
                <w:lang w:val="ro-RO"/>
              </w:rPr>
            </w:pPr>
            <w:r w:rsidRPr="002152E4">
              <w:rPr>
                <w:lang w:val="ro-RO"/>
              </w:rPr>
              <w:t>258</w:t>
            </w:r>
          </w:p>
        </w:tc>
        <w:tc>
          <w:tcPr>
            <w:tcW w:w="2268" w:type="dxa"/>
            <w:vAlign w:val="bottom"/>
          </w:tcPr>
          <w:p w:rsidR="007442AA" w:rsidRPr="002152E4" w:rsidRDefault="007442AA" w:rsidP="007442AA">
            <w:pPr>
              <w:jc w:val="center"/>
              <w:rPr>
                <w:lang w:val="ro-RO"/>
              </w:rPr>
            </w:pPr>
            <w:r w:rsidRPr="002152E4">
              <w:rPr>
                <w:lang w:val="ro-RO"/>
              </w:rPr>
              <w:t>37</w:t>
            </w:r>
          </w:p>
        </w:tc>
        <w:tc>
          <w:tcPr>
            <w:tcW w:w="2268" w:type="dxa"/>
            <w:vAlign w:val="bottom"/>
          </w:tcPr>
          <w:p w:rsidR="007442AA" w:rsidRPr="002152E4" w:rsidRDefault="007442AA" w:rsidP="007442AA">
            <w:pPr>
              <w:jc w:val="center"/>
              <w:rPr>
                <w:lang w:val="ro-RO"/>
              </w:rPr>
            </w:pPr>
            <w:r w:rsidRPr="002152E4">
              <w:rPr>
                <w:lang w:val="ro-RO"/>
              </w:rPr>
              <w:t>1</w:t>
            </w:r>
          </w:p>
        </w:tc>
      </w:tr>
      <w:tr w:rsidR="007442AA" w:rsidRPr="002152E4" w:rsidTr="007442AA">
        <w:tc>
          <w:tcPr>
            <w:tcW w:w="1242" w:type="dxa"/>
          </w:tcPr>
          <w:p w:rsidR="007442AA" w:rsidRPr="002152E4" w:rsidRDefault="007442AA" w:rsidP="007442AA">
            <w:pPr>
              <w:jc w:val="center"/>
              <w:rPr>
                <w:lang w:val="ro-RO"/>
              </w:rPr>
            </w:pPr>
            <w:r w:rsidRPr="002152E4">
              <w:rPr>
                <w:lang w:val="ro-RO"/>
              </w:rPr>
              <w:t>2011</w:t>
            </w:r>
          </w:p>
        </w:tc>
        <w:tc>
          <w:tcPr>
            <w:tcW w:w="1843" w:type="dxa"/>
            <w:vAlign w:val="bottom"/>
          </w:tcPr>
          <w:p w:rsidR="007442AA" w:rsidRPr="002152E4" w:rsidRDefault="007442AA" w:rsidP="007442AA">
            <w:pPr>
              <w:jc w:val="center"/>
              <w:rPr>
                <w:lang w:val="ro-RO"/>
              </w:rPr>
            </w:pPr>
            <w:r w:rsidRPr="002152E4">
              <w:rPr>
                <w:lang w:val="ro-RO"/>
              </w:rPr>
              <w:t>414</w:t>
            </w:r>
          </w:p>
        </w:tc>
        <w:tc>
          <w:tcPr>
            <w:tcW w:w="1985" w:type="dxa"/>
            <w:vAlign w:val="bottom"/>
          </w:tcPr>
          <w:p w:rsidR="007442AA" w:rsidRPr="002152E4" w:rsidRDefault="007442AA" w:rsidP="007442AA">
            <w:pPr>
              <w:jc w:val="center"/>
              <w:rPr>
                <w:lang w:val="ro-RO"/>
              </w:rPr>
            </w:pPr>
            <w:r w:rsidRPr="002152E4">
              <w:rPr>
                <w:lang w:val="ro-RO"/>
              </w:rPr>
              <w:t>74</w:t>
            </w:r>
          </w:p>
        </w:tc>
        <w:tc>
          <w:tcPr>
            <w:tcW w:w="2268" w:type="dxa"/>
            <w:vAlign w:val="bottom"/>
          </w:tcPr>
          <w:p w:rsidR="007442AA" w:rsidRPr="002152E4" w:rsidRDefault="007442AA" w:rsidP="007442AA">
            <w:pPr>
              <w:jc w:val="center"/>
              <w:rPr>
                <w:lang w:val="ro-RO"/>
              </w:rPr>
            </w:pPr>
            <w:r w:rsidRPr="002152E4">
              <w:rPr>
                <w:lang w:val="ro-RO"/>
              </w:rPr>
              <w:t>43</w:t>
            </w:r>
          </w:p>
        </w:tc>
        <w:tc>
          <w:tcPr>
            <w:tcW w:w="2268" w:type="dxa"/>
            <w:vAlign w:val="bottom"/>
          </w:tcPr>
          <w:p w:rsidR="007442AA" w:rsidRPr="002152E4" w:rsidRDefault="007442AA" w:rsidP="007442AA">
            <w:pPr>
              <w:jc w:val="center"/>
              <w:rPr>
                <w:lang w:val="ro-RO"/>
              </w:rPr>
            </w:pPr>
            <w:r w:rsidRPr="002152E4">
              <w:rPr>
                <w:lang w:val="ro-RO"/>
              </w:rPr>
              <w:t>11</w:t>
            </w:r>
          </w:p>
        </w:tc>
      </w:tr>
      <w:tr w:rsidR="007442AA" w:rsidRPr="002152E4" w:rsidTr="007442AA">
        <w:tc>
          <w:tcPr>
            <w:tcW w:w="1242" w:type="dxa"/>
          </w:tcPr>
          <w:p w:rsidR="007442AA" w:rsidRPr="002152E4" w:rsidRDefault="007442AA" w:rsidP="007442AA">
            <w:pPr>
              <w:jc w:val="center"/>
              <w:rPr>
                <w:lang w:val="ro-RO"/>
              </w:rPr>
            </w:pPr>
            <w:r w:rsidRPr="002152E4">
              <w:rPr>
                <w:lang w:val="ro-RO"/>
              </w:rPr>
              <w:t>2012</w:t>
            </w:r>
          </w:p>
        </w:tc>
        <w:tc>
          <w:tcPr>
            <w:tcW w:w="1843" w:type="dxa"/>
            <w:vAlign w:val="bottom"/>
          </w:tcPr>
          <w:p w:rsidR="007442AA" w:rsidRPr="002152E4" w:rsidRDefault="007442AA" w:rsidP="007442AA">
            <w:pPr>
              <w:jc w:val="center"/>
              <w:rPr>
                <w:lang w:val="ro-RO"/>
              </w:rPr>
            </w:pPr>
            <w:r w:rsidRPr="002152E4">
              <w:rPr>
                <w:lang w:val="ro-RO"/>
              </w:rPr>
              <w:t>450</w:t>
            </w:r>
          </w:p>
        </w:tc>
        <w:tc>
          <w:tcPr>
            <w:tcW w:w="1985" w:type="dxa"/>
            <w:vAlign w:val="bottom"/>
          </w:tcPr>
          <w:p w:rsidR="007442AA" w:rsidRPr="002152E4" w:rsidRDefault="007442AA" w:rsidP="007442AA">
            <w:pPr>
              <w:jc w:val="center"/>
              <w:rPr>
                <w:lang w:val="ro-RO"/>
              </w:rPr>
            </w:pPr>
            <w:r w:rsidRPr="002152E4">
              <w:rPr>
                <w:lang w:val="ro-RO"/>
              </w:rPr>
              <w:t>120</w:t>
            </w:r>
          </w:p>
        </w:tc>
        <w:tc>
          <w:tcPr>
            <w:tcW w:w="2268" w:type="dxa"/>
            <w:vAlign w:val="bottom"/>
          </w:tcPr>
          <w:p w:rsidR="007442AA" w:rsidRPr="002152E4" w:rsidRDefault="007442AA" w:rsidP="007442AA">
            <w:pPr>
              <w:jc w:val="center"/>
              <w:rPr>
                <w:lang w:val="ro-RO"/>
              </w:rPr>
            </w:pPr>
            <w:r w:rsidRPr="002152E4">
              <w:rPr>
                <w:lang w:val="ro-RO"/>
              </w:rPr>
              <w:t>31</w:t>
            </w:r>
          </w:p>
        </w:tc>
        <w:tc>
          <w:tcPr>
            <w:tcW w:w="2268" w:type="dxa"/>
            <w:vAlign w:val="bottom"/>
          </w:tcPr>
          <w:p w:rsidR="007442AA" w:rsidRPr="002152E4" w:rsidRDefault="007442AA" w:rsidP="007442AA">
            <w:pPr>
              <w:jc w:val="center"/>
              <w:rPr>
                <w:lang w:val="ro-RO"/>
              </w:rPr>
            </w:pPr>
            <w:r w:rsidRPr="002152E4">
              <w:rPr>
                <w:lang w:val="ro-RO"/>
              </w:rPr>
              <w:t>13</w:t>
            </w:r>
          </w:p>
        </w:tc>
      </w:tr>
      <w:tr w:rsidR="007442AA" w:rsidRPr="002152E4" w:rsidTr="007442AA">
        <w:tc>
          <w:tcPr>
            <w:tcW w:w="1242" w:type="dxa"/>
          </w:tcPr>
          <w:p w:rsidR="007442AA" w:rsidRPr="002152E4" w:rsidRDefault="007442AA" w:rsidP="007442AA">
            <w:pPr>
              <w:jc w:val="center"/>
              <w:rPr>
                <w:lang w:val="ro-RO"/>
              </w:rPr>
            </w:pPr>
            <w:r w:rsidRPr="002152E4">
              <w:rPr>
                <w:lang w:val="ro-RO"/>
              </w:rPr>
              <w:t>2013</w:t>
            </w:r>
          </w:p>
        </w:tc>
        <w:tc>
          <w:tcPr>
            <w:tcW w:w="1843" w:type="dxa"/>
            <w:vAlign w:val="bottom"/>
          </w:tcPr>
          <w:p w:rsidR="007442AA" w:rsidRPr="002152E4" w:rsidRDefault="007442AA" w:rsidP="007442AA">
            <w:pPr>
              <w:jc w:val="center"/>
              <w:rPr>
                <w:lang w:val="ro-RO"/>
              </w:rPr>
            </w:pPr>
            <w:r w:rsidRPr="002152E4">
              <w:rPr>
                <w:lang w:val="ro-RO"/>
              </w:rPr>
              <w:t>565</w:t>
            </w:r>
          </w:p>
        </w:tc>
        <w:tc>
          <w:tcPr>
            <w:tcW w:w="1985" w:type="dxa"/>
            <w:vAlign w:val="bottom"/>
          </w:tcPr>
          <w:p w:rsidR="007442AA" w:rsidRPr="002152E4" w:rsidRDefault="007442AA" w:rsidP="007442AA">
            <w:pPr>
              <w:jc w:val="center"/>
              <w:rPr>
                <w:lang w:val="ro-RO"/>
              </w:rPr>
            </w:pPr>
            <w:r w:rsidRPr="002152E4">
              <w:rPr>
                <w:lang w:val="ro-RO"/>
              </w:rPr>
              <w:t>108</w:t>
            </w:r>
          </w:p>
        </w:tc>
        <w:tc>
          <w:tcPr>
            <w:tcW w:w="2268" w:type="dxa"/>
            <w:vAlign w:val="bottom"/>
          </w:tcPr>
          <w:p w:rsidR="007442AA" w:rsidRPr="002152E4" w:rsidRDefault="007442AA" w:rsidP="007442AA">
            <w:pPr>
              <w:jc w:val="center"/>
              <w:rPr>
                <w:lang w:val="ro-RO"/>
              </w:rPr>
            </w:pPr>
            <w:r w:rsidRPr="002152E4">
              <w:rPr>
                <w:lang w:val="ro-RO"/>
              </w:rPr>
              <w:t>55</w:t>
            </w:r>
          </w:p>
        </w:tc>
        <w:tc>
          <w:tcPr>
            <w:tcW w:w="2268" w:type="dxa"/>
            <w:vAlign w:val="bottom"/>
          </w:tcPr>
          <w:p w:rsidR="007442AA" w:rsidRPr="002152E4" w:rsidRDefault="007442AA" w:rsidP="007442AA">
            <w:pPr>
              <w:jc w:val="center"/>
              <w:rPr>
                <w:lang w:val="ro-RO"/>
              </w:rPr>
            </w:pPr>
            <w:r w:rsidRPr="002152E4">
              <w:rPr>
                <w:lang w:val="ro-RO"/>
              </w:rPr>
              <w:t>51</w:t>
            </w:r>
          </w:p>
        </w:tc>
      </w:tr>
      <w:tr w:rsidR="007442AA" w:rsidRPr="002152E4" w:rsidTr="007442AA">
        <w:tc>
          <w:tcPr>
            <w:tcW w:w="1242" w:type="dxa"/>
          </w:tcPr>
          <w:p w:rsidR="007442AA" w:rsidRPr="002152E4" w:rsidRDefault="007442AA" w:rsidP="007442AA">
            <w:pPr>
              <w:jc w:val="center"/>
              <w:rPr>
                <w:lang w:val="ro-RO"/>
              </w:rPr>
            </w:pPr>
            <w:r w:rsidRPr="002152E4">
              <w:rPr>
                <w:lang w:val="ro-RO"/>
              </w:rPr>
              <w:t>2014</w:t>
            </w:r>
          </w:p>
        </w:tc>
        <w:tc>
          <w:tcPr>
            <w:tcW w:w="1843" w:type="dxa"/>
          </w:tcPr>
          <w:p w:rsidR="007442AA" w:rsidRPr="002152E4" w:rsidRDefault="007442AA" w:rsidP="007442AA">
            <w:pPr>
              <w:widowControl w:val="0"/>
              <w:jc w:val="center"/>
              <w:rPr>
                <w:lang w:val="ro-RO"/>
              </w:rPr>
            </w:pPr>
            <w:r w:rsidRPr="002152E4">
              <w:rPr>
                <w:lang w:val="ro-RO"/>
              </w:rPr>
              <w:t>513</w:t>
            </w:r>
          </w:p>
        </w:tc>
        <w:tc>
          <w:tcPr>
            <w:tcW w:w="1985" w:type="dxa"/>
          </w:tcPr>
          <w:p w:rsidR="007442AA" w:rsidRPr="002152E4" w:rsidRDefault="007442AA" w:rsidP="007442AA">
            <w:pPr>
              <w:widowControl w:val="0"/>
              <w:jc w:val="center"/>
              <w:rPr>
                <w:lang w:val="ro-RO"/>
              </w:rPr>
            </w:pPr>
            <w:r w:rsidRPr="002152E4">
              <w:rPr>
                <w:lang w:val="ro-RO"/>
              </w:rPr>
              <w:t>222</w:t>
            </w:r>
          </w:p>
        </w:tc>
        <w:tc>
          <w:tcPr>
            <w:tcW w:w="2268" w:type="dxa"/>
          </w:tcPr>
          <w:p w:rsidR="007442AA" w:rsidRPr="002152E4" w:rsidRDefault="007442AA" w:rsidP="007442AA">
            <w:pPr>
              <w:widowControl w:val="0"/>
              <w:jc w:val="center"/>
              <w:rPr>
                <w:lang w:val="ro-RO"/>
              </w:rPr>
            </w:pPr>
            <w:r w:rsidRPr="002152E4">
              <w:rPr>
                <w:lang w:val="ro-RO"/>
              </w:rPr>
              <w:t>30</w:t>
            </w:r>
          </w:p>
        </w:tc>
        <w:tc>
          <w:tcPr>
            <w:tcW w:w="2268" w:type="dxa"/>
          </w:tcPr>
          <w:p w:rsidR="007442AA" w:rsidRPr="002152E4" w:rsidRDefault="007442AA" w:rsidP="007442AA">
            <w:pPr>
              <w:widowControl w:val="0"/>
              <w:jc w:val="center"/>
              <w:rPr>
                <w:lang w:val="ro-RO"/>
              </w:rPr>
            </w:pPr>
            <w:r w:rsidRPr="002152E4">
              <w:rPr>
                <w:lang w:val="ro-RO"/>
              </w:rPr>
              <w:t>56</w:t>
            </w:r>
          </w:p>
        </w:tc>
      </w:tr>
      <w:tr w:rsidR="007442AA" w:rsidRPr="002152E4" w:rsidTr="007442AA">
        <w:tc>
          <w:tcPr>
            <w:tcW w:w="1242" w:type="dxa"/>
          </w:tcPr>
          <w:p w:rsidR="007442AA" w:rsidRPr="002152E4" w:rsidRDefault="007442AA" w:rsidP="007442AA">
            <w:pPr>
              <w:jc w:val="center"/>
              <w:rPr>
                <w:lang w:val="ro-RO"/>
              </w:rPr>
            </w:pPr>
            <w:r w:rsidRPr="002152E4">
              <w:rPr>
                <w:lang w:val="ro-RO"/>
              </w:rPr>
              <w:t>2015</w:t>
            </w:r>
          </w:p>
        </w:tc>
        <w:tc>
          <w:tcPr>
            <w:tcW w:w="1843" w:type="dxa"/>
          </w:tcPr>
          <w:p w:rsidR="007442AA" w:rsidRPr="002152E4" w:rsidRDefault="007442AA" w:rsidP="007442AA">
            <w:pPr>
              <w:widowControl w:val="0"/>
              <w:jc w:val="center"/>
              <w:rPr>
                <w:lang w:val="ro-RO"/>
              </w:rPr>
            </w:pPr>
            <w:r w:rsidRPr="002152E4">
              <w:rPr>
                <w:lang w:val="ro-RO"/>
              </w:rPr>
              <w:t>577</w:t>
            </w:r>
          </w:p>
        </w:tc>
        <w:tc>
          <w:tcPr>
            <w:tcW w:w="1985" w:type="dxa"/>
          </w:tcPr>
          <w:p w:rsidR="007442AA" w:rsidRPr="002152E4" w:rsidRDefault="007442AA" w:rsidP="007442AA">
            <w:pPr>
              <w:widowControl w:val="0"/>
              <w:jc w:val="center"/>
              <w:rPr>
                <w:lang w:val="ro-RO"/>
              </w:rPr>
            </w:pPr>
            <w:r w:rsidRPr="002152E4">
              <w:rPr>
                <w:lang w:val="ro-RO"/>
              </w:rPr>
              <w:t>259</w:t>
            </w:r>
          </w:p>
        </w:tc>
        <w:tc>
          <w:tcPr>
            <w:tcW w:w="2268" w:type="dxa"/>
          </w:tcPr>
          <w:p w:rsidR="007442AA" w:rsidRPr="002152E4" w:rsidRDefault="007442AA" w:rsidP="007442AA">
            <w:pPr>
              <w:widowControl w:val="0"/>
              <w:jc w:val="center"/>
              <w:rPr>
                <w:lang w:val="ro-RO"/>
              </w:rPr>
            </w:pPr>
            <w:r w:rsidRPr="002152E4">
              <w:rPr>
                <w:lang w:val="ro-RO"/>
              </w:rPr>
              <w:t>66</w:t>
            </w:r>
          </w:p>
        </w:tc>
        <w:tc>
          <w:tcPr>
            <w:tcW w:w="2268" w:type="dxa"/>
          </w:tcPr>
          <w:p w:rsidR="007442AA" w:rsidRPr="002152E4" w:rsidRDefault="007442AA" w:rsidP="007442AA">
            <w:pPr>
              <w:widowControl w:val="0"/>
              <w:jc w:val="center"/>
              <w:rPr>
                <w:lang w:val="ro-RO"/>
              </w:rPr>
            </w:pPr>
            <w:r w:rsidRPr="002152E4">
              <w:rPr>
                <w:lang w:val="ro-RO"/>
              </w:rPr>
              <w:t>58</w:t>
            </w:r>
          </w:p>
        </w:tc>
      </w:tr>
      <w:tr w:rsidR="007442AA" w:rsidRPr="002152E4" w:rsidTr="007442AA">
        <w:tc>
          <w:tcPr>
            <w:tcW w:w="1242" w:type="dxa"/>
            <w:tcBorders>
              <w:bottom w:val="threeDEmboss" w:sz="6" w:space="0" w:color="00B050"/>
            </w:tcBorders>
          </w:tcPr>
          <w:p w:rsidR="007442AA" w:rsidRPr="002152E4" w:rsidRDefault="007442AA" w:rsidP="007442AA">
            <w:pPr>
              <w:jc w:val="center"/>
              <w:rPr>
                <w:lang w:val="ro-RO"/>
              </w:rPr>
            </w:pPr>
            <w:r w:rsidRPr="002152E4">
              <w:rPr>
                <w:lang w:val="ro-RO"/>
              </w:rPr>
              <w:t>2016</w:t>
            </w:r>
          </w:p>
        </w:tc>
        <w:tc>
          <w:tcPr>
            <w:tcW w:w="1843" w:type="dxa"/>
            <w:tcBorders>
              <w:bottom w:val="threeDEmboss" w:sz="6" w:space="0" w:color="00B050"/>
            </w:tcBorders>
          </w:tcPr>
          <w:p w:rsidR="007442AA" w:rsidRPr="002152E4" w:rsidRDefault="007442AA" w:rsidP="007442AA">
            <w:pPr>
              <w:widowControl w:val="0"/>
              <w:jc w:val="center"/>
              <w:rPr>
                <w:lang w:val="ro-RO"/>
              </w:rPr>
            </w:pPr>
            <w:r w:rsidRPr="002152E4">
              <w:rPr>
                <w:lang w:val="ro-RO"/>
              </w:rPr>
              <w:t>647</w:t>
            </w:r>
          </w:p>
        </w:tc>
        <w:tc>
          <w:tcPr>
            <w:tcW w:w="1985" w:type="dxa"/>
            <w:tcBorders>
              <w:bottom w:val="threeDEmboss" w:sz="6" w:space="0" w:color="00B050"/>
            </w:tcBorders>
          </w:tcPr>
          <w:p w:rsidR="007442AA" w:rsidRPr="002152E4" w:rsidRDefault="007442AA" w:rsidP="007442AA">
            <w:pPr>
              <w:widowControl w:val="0"/>
              <w:jc w:val="center"/>
              <w:rPr>
                <w:lang w:val="ro-RO"/>
              </w:rPr>
            </w:pPr>
            <w:r w:rsidRPr="002152E4">
              <w:rPr>
                <w:lang w:val="ro-RO"/>
              </w:rPr>
              <w:t>295</w:t>
            </w:r>
          </w:p>
        </w:tc>
        <w:tc>
          <w:tcPr>
            <w:tcW w:w="2268" w:type="dxa"/>
            <w:tcBorders>
              <w:bottom w:val="threeDEmboss" w:sz="6" w:space="0" w:color="00B050"/>
            </w:tcBorders>
          </w:tcPr>
          <w:p w:rsidR="007442AA" w:rsidRPr="002152E4" w:rsidRDefault="007442AA" w:rsidP="007442AA">
            <w:pPr>
              <w:widowControl w:val="0"/>
              <w:jc w:val="center"/>
              <w:rPr>
                <w:lang w:val="ro-RO"/>
              </w:rPr>
            </w:pPr>
            <w:r w:rsidRPr="002152E4">
              <w:rPr>
                <w:lang w:val="ro-RO"/>
              </w:rPr>
              <w:t>101</w:t>
            </w:r>
          </w:p>
        </w:tc>
        <w:tc>
          <w:tcPr>
            <w:tcW w:w="2268" w:type="dxa"/>
            <w:tcBorders>
              <w:bottom w:val="threeDEmboss" w:sz="6" w:space="0" w:color="00B050"/>
            </w:tcBorders>
          </w:tcPr>
          <w:p w:rsidR="007442AA" w:rsidRPr="002152E4" w:rsidRDefault="007442AA" w:rsidP="007442AA">
            <w:pPr>
              <w:widowControl w:val="0"/>
              <w:jc w:val="center"/>
              <w:rPr>
                <w:lang w:val="ro-RO"/>
              </w:rPr>
            </w:pPr>
            <w:r w:rsidRPr="002152E4">
              <w:rPr>
                <w:lang w:val="ro-RO"/>
              </w:rPr>
              <w:t>58</w:t>
            </w:r>
          </w:p>
        </w:tc>
      </w:tr>
      <w:tr w:rsidR="007442AA" w:rsidRPr="002152E4" w:rsidTr="007442AA">
        <w:tc>
          <w:tcPr>
            <w:tcW w:w="1242"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rPr>
                <w:b/>
                <w:i/>
                <w:u w:val="single"/>
                <w:lang w:val="ro-RO"/>
              </w:rPr>
            </w:pPr>
            <w:r w:rsidRPr="002152E4">
              <w:rPr>
                <w:b/>
                <w:lang w:val="ro-RO"/>
              </w:rPr>
              <w:t xml:space="preserve">  </w:t>
            </w:r>
            <w:r w:rsidRPr="002152E4">
              <w:rPr>
                <w:i/>
                <w:lang w:val="ro-RO"/>
              </w:rPr>
              <w:t>%</w:t>
            </w:r>
            <w:r w:rsidRPr="002152E4">
              <w:rPr>
                <w:b/>
                <w:i/>
                <w:lang w:val="ro-RO"/>
              </w:rPr>
              <w:t xml:space="preserve"> </w:t>
            </w:r>
            <w:r w:rsidRPr="002152E4">
              <w:rPr>
                <w:b/>
                <w:i/>
                <w:u w:val="single"/>
                <w:lang w:val="ro-RO"/>
              </w:rPr>
              <w:t>2016</w:t>
            </w:r>
          </w:p>
          <w:p w:rsidR="007442AA" w:rsidRPr="002152E4" w:rsidRDefault="007442AA" w:rsidP="007442AA">
            <w:pPr>
              <w:rPr>
                <w:b/>
                <w:lang w:val="ro-RO"/>
              </w:rPr>
            </w:pPr>
            <w:r w:rsidRPr="002152E4">
              <w:rPr>
                <w:i/>
                <w:lang w:val="ro-RO"/>
              </w:rPr>
              <w:t xml:space="preserve">  +/-</w:t>
            </w:r>
            <w:r w:rsidRPr="002152E4">
              <w:rPr>
                <w:b/>
                <w:i/>
                <w:lang w:val="ro-RO"/>
              </w:rPr>
              <w:t>2015</w:t>
            </w:r>
          </w:p>
        </w:tc>
        <w:tc>
          <w:tcPr>
            <w:tcW w:w="1843"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+12,1</w:t>
            </w:r>
          </w:p>
        </w:tc>
        <w:tc>
          <w:tcPr>
            <w:tcW w:w="1985"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+13,9</w:t>
            </w:r>
          </w:p>
        </w:tc>
        <w:tc>
          <w:tcPr>
            <w:tcW w:w="2268"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+53,0</w:t>
            </w:r>
          </w:p>
        </w:tc>
        <w:tc>
          <w:tcPr>
            <w:tcW w:w="2268" w:type="dxa"/>
            <w:tcBorders>
              <w:top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w:t>
            </w:r>
          </w:p>
        </w:tc>
      </w:tr>
    </w:tbl>
    <w:p w:rsidR="007442AA" w:rsidRPr="002152E4" w:rsidRDefault="007442AA" w:rsidP="007442AA">
      <w:pPr>
        <w:rPr>
          <w:b/>
          <w:lang w:val="ro-RO"/>
        </w:rPr>
      </w:pPr>
    </w:p>
    <w:p w:rsidR="007442AA" w:rsidRPr="002152E4" w:rsidRDefault="007442AA" w:rsidP="007442AA">
      <w:pPr>
        <w:rPr>
          <w:b/>
          <w:lang w:val="ro-RO"/>
        </w:rPr>
      </w:pPr>
      <w:r w:rsidRPr="002152E4">
        <w:rPr>
          <w:b/>
          <w:lang w:val="ro-RO"/>
        </w:rPr>
        <w:t xml:space="preserve">6. INFRACŢIUNI DE FALS (ART. 310 – </w:t>
      </w:r>
      <w:smartTag w:uri="urn:schemas-microsoft-com:office:smarttags" w:element="metricconverter">
        <w:smartTagPr>
          <w:attr w:name="ProductID" w:val="328 C"/>
        </w:smartTagPr>
        <w:r w:rsidRPr="002152E4">
          <w:rPr>
            <w:b/>
            <w:lang w:val="ro-RO"/>
          </w:rPr>
          <w:t>328 C</w:t>
        </w:r>
      </w:smartTag>
      <w:r w:rsidRPr="002152E4">
        <w:rPr>
          <w:b/>
          <w:lang w:val="ro-RO"/>
        </w:rPr>
        <w:t>.P.)</w:t>
      </w:r>
    </w:p>
    <w:tbl>
      <w:tblPr>
        <w:tblW w:w="5070"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242"/>
        <w:gridCol w:w="1843"/>
        <w:gridCol w:w="1985"/>
      </w:tblGrid>
      <w:tr w:rsidR="007442AA" w:rsidRPr="002152E4" w:rsidTr="007442AA">
        <w:trPr>
          <w:trHeight w:val="418"/>
        </w:trPr>
        <w:tc>
          <w:tcPr>
            <w:tcW w:w="1242"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r w:rsidRPr="002152E4">
              <w:rPr>
                <w:b/>
                <w:lang w:val="ro-RO"/>
              </w:rPr>
              <w:t>ANUL</w:t>
            </w:r>
          </w:p>
        </w:tc>
        <w:tc>
          <w:tcPr>
            <w:tcW w:w="1843"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TOTAL TRIMIŞI ÎN JUDECATĂ, din care:</w:t>
            </w:r>
          </w:p>
        </w:tc>
        <w:tc>
          <w:tcPr>
            <w:tcW w:w="1985" w:type="dxa"/>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pondere în </w:t>
            </w:r>
          </w:p>
          <w:p w:rsidR="007442AA" w:rsidRPr="002152E4" w:rsidRDefault="007442AA" w:rsidP="007442AA">
            <w:pPr>
              <w:jc w:val="center"/>
              <w:rPr>
                <w:b/>
                <w:lang w:val="ro-RO"/>
              </w:rPr>
            </w:pPr>
            <w:r w:rsidRPr="002152E4">
              <w:rPr>
                <w:b/>
                <w:lang w:val="ro-RO"/>
              </w:rPr>
              <w:t xml:space="preserve">total general </w:t>
            </w:r>
          </w:p>
          <w:p w:rsidR="007442AA" w:rsidRPr="002152E4" w:rsidRDefault="007442AA" w:rsidP="007442AA">
            <w:pPr>
              <w:jc w:val="center"/>
              <w:rPr>
                <w:b/>
                <w:lang w:val="ro-RO"/>
              </w:rPr>
            </w:pPr>
            <w:r w:rsidRPr="002152E4">
              <w:rPr>
                <w:b/>
                <w:lang w:val="ro-RO"/>
              </w:rPr>
              <w:t>inculpați p.f.</w:t>
            </w:r>
          </w:p>
          <w:p w:rsidR="007442AA" w:rsidRPr="002152E4" w:rsidRDefault="007442AA" w:rsidP="007442AA">
            <w:pPr>
              <w:jc w:val="center"/>
              <w:rPr>
                <w:b/>
                <w:lang w:val="ro-RO"/>
              </w:rPr>
            </w:pPr>
            <w:r w:rsidRPr="002152E4">
              <w:rPr>
                <w:b/>
                <w:lang w:val="ro-RO"/>
              </w:rPr>
              <w:t xml:space="preserve">trimişi în </w:t>
            </w:r>
          </w:p>
          <w:p w:rsidR="007442AA" w:rsidRPr="002152E4" w:rsidRDefault="007442AA" w:rsidP="007442AA">
            <w:pPr>
              <w:jc w:val="center"/>
              <w:rPr>
                <w:b/>
                <w:lang w:val="ro-RO"/>
              </w:rPr>
            </w:pPr>
            <w:r w:rsidRPr="002152E4">
              <w:rPr>
                <w:b/>
                <w:lang w:val="ro-RO"/>
              </w:rPr>
              <w:t>judecată (%)</w:t>
            </w:r>
          </w:p>
        </w:tc>
      </w:tr>
      <w:tr w:rsidR="007442AA" w:rsidRPr="002152E4" w:rsidTr="007442AA">
        <w:tc>
          <w:tcPr>
            <w:tcW w:w="1242" w:type="dxa"/>
            <w:tcBorders>
              <w:top w:val="threeDEmboss" w:sz="6" w:space="0" w:color="00B050"/>
            </w:tcBorders>
          </w:tcPr>
          <w:p w:rsidR="007442AA" w:rsidRPr="002152E4" w:rsidRDefault="007442AA" w:rsidP="007442AA">
            <w:pPr>
              <w:jc w:val="center"/>
              <w:rPr>
                <w:lang w:val="ro-RO"/>
              </w:rPr>
            </w:pPr>
            <w:r w:rsidRPr="002152E4">
              <w:rPr>
                <w:lang w:val="ro-RO"/>
              </w:rPr>
              <w:t>2007</w:t>
            </w:r>
          </w:p>
        </w:tc>
        <w:tc>
          <w:tcPr>
            <w:tcW w:w="1843" w:type="dxa"/>
            <w:tcBorders>
              <w:top w:val="threeDEmboss" w:sz="6" w:space="0" w:color="00B050"/>
            </w:tcBorders>
            <w:vAlign w:val="bottom"/>
          </w:tcPr>
          <w:p w:rsidR="007442AA" w:rsidRPr="002152E4" w:rsidRDefault="007442AA" w:rsidP="007442AA">
            <w:pPr>
              <w:jc w:val="center"/>
              <w:rPr>
                <w:lang w:val="ro-RO"/>
              </w:rPr>
            </w:pPr>
            <w:r w:rsidRPr="002152E4">
              <w:rPr>
                <w:lang w:val="ro-RO"/>
              </w:rPr>
              <w:t>689</w:t>
            </w:r>
          </w:p>
        </w:tc>
        <w:tc>
          <w:tcPr>
            <w:tcW w:w="1985" w:type="dxa"/>
            <w:tcBorders>
              <w:top w:val="threeDEmboss" w:sz="6" w:space="0" w:color="00B050"/>
            </w:tcBorders>
            <w:vAlign w:val="bottom"/>
          </w:tcPr>
          <w:p w:rsidR="007442AA" w:rsidRPr="002152E4" w:rsidRDefault="007442AA" w:rsidP="007442AA">
            <w:pPr>
              <w:jc w:val="center"/>
              <w:rPr>
                <w:lang w:val="ro-RO"/>
              </w:rPr>
            </w:pPr>
            <w:r w:rsidRPr="002152E4">
              <w:rPr>
                <w:lang w:val="ro-RO"/>
              </w:rPr>
              <w:t>1,4</w:t>
            </w:r>
          </w:p>
        </w:tc>
      </w:tr>
      <w:tr w:rsidR="007442AA" w:rsidRPr="002152E4" w:rsidTr="007442AA">
        <w:tc>
          <w:tcPr>
            <w:tcW w:w="1242" w:type="dxa"/>
          </w:tcPr>
          <w:p w:rsidR="007442AA" w:rsidRPr="002152E4" w:rsidRDefault="007442AA" w:rsidP="007442AA">
            <w:pPr>
              <w:jc w:val="center"/>
              <w:rPr>
                <w:lang w:val="ro-RO"/>
              </w:rPr>
            </w:pPr>
            <w:r w:rsidRPr="002152E4">
              <w:rPr>
                <w:lang w:val="ro-RO"/>
              </w:rPr>
              <w:t>2008</w:t>
            </w:r>
          </w:p>
        </w:tc>
        <w:tc>
          <w:tcPr>
            <w:tcW w:w="1843" w:type="dxa"/>
            <w:vAlign w:val="bottom"/>
          </w:tcPr>
          <w:p w:rsidR="007442AA" w:rsidRPr="002152E4" w:rsidRDefault="007442AA" w:rsidP="007442AA">
            <w:pPr>
              <w:jc w:val="center"/>
              <w:rPr>
                <w:lang w:val="ro-RO"/>
              </w:rPr>
            </w:pPr>
            <w:r w:rsidRPr="002152E4">
              <w:rPr>
                <w:lang w:val="ro-RO"/>
              </w:rPr>
              <w:t>639</w:t>
            </w:r>
          </w:p>
        </w:tc>
        <w:tc>
          <w:tcPr>
            <w:tcW w:w="1985" w:type="dxa"/>
            <w:vAlign w:val="bottom"/>
          </w:tcPr>
          <w:p w:rsidR="007442AA" w:rsidRPr="002152E4" w:rsidRDefault="007442AA" w:rsidP="007442AA">
            <w:pPr>
              <w:jc w:val="center"/>
              <w:rPr>
                <w:lang w:val="ro-RO"/>
              </w:rPr>
            </w:pPr>
            <w:r w:rsidRPr="002152E4">
              <w:rPr>
                <w:lang w:val="ro-RO"/>
              </w:rPr>
              <w:t>1,4</w:t>
            </w:r>
          </w:p>
        </w:tc>
      </w:tr>
      <w:tr w:rsidR="007442AA" w:rsidRPr="002152E4" w:rsidTr="007442AA">
        <w:tc>
          <w:tcPr>
            <w:tcW w:w="1242" w:type="dxa"/>
          </w:tcPr>
          <w:p w:rsidR="007442AA" w:rsidRPr="002152E4" w:rsidRDefault="007442AA" w:rsidP="007442AA">
            <w:pPr>
              <w:jc w:val="center"/>
              <w:rPr>
                <w:lang w:val="ro-RO"/>
              </w:rPr>
            </w:pPr>
            <w:r w:rsidRPr="002152E4">
              <w:rPr>
                <w:lang w:val="ro-RO"/>
              </w:rPr>
              <w:t>2009</w:t>
            </w:r>
          </w:p>
        </w:tc>
        <w:tc>
          <w:tcPr>
            <w:tcW w:w="1843" w:type="dxa"/>
            <w:vAlign w:val="bottom"/>
          </w:tcPr>
          <w:p w:rsidR="007442AA" w:rsidRPr="002152E4" w:rsidRDefault="007442AA" w:rsidP="007442AA">
            <w:pPr>
              <w:jc w:val="center"/>
              <w:rPr>
                <w:lang w:val="ro-RO"/>
              </w:rPr>
            </w:pPr>
            <w:r w:rsidRPr="002152E4">
              <w:rPr>
                <w:lang w:val="ro-RO"/>
              </w:rPr>
              <w:t>511</w:t>
            </w:r>
          </w:p>
        </w:tc>
        <w:tc>
          <w:tcPr>
            <w:tcW w:w="1985" w:type="dxa"/>
            <w:vAlign w:val="bottom"/>
          </w:tcPr>
          <w:p w:rsidR="007442AA" w:rsidRPr="002152E4" w:rsidRDefault="007442AA" w:rsidP="007442AA">
            <w:pPr>
              <w:jc w:val="center"/>
              <w:rPr>
                <w:lang w:val="ro-RO"/>
              </w:rPr>
            </w:pPr>
            <w:r w:rsidRPr="002152E4">
              <w:rPr>
                <w:lang w:val="ro-RO"/>
              </w:rPr>
              <w:t>1,0</w:t>
            </w:r>
          </w:p>
        </w:tc>
      </w:tr>
      <w:tr w:rsidR="007442AA" w:rsidRPr="002152E4" w:rsidTr="007442AA">
        <w:tc>
          <w:tcPr>
            <w:tcW w:w="1242" w:type="dxa"/>
          </w:tcPr>
          <w:p w:rsidR="007442AA" w:rsidRPr="002152E4" w:rsidRDefault="007442AA" w:rsidP="007442AA">
            <w:pPr>
              <w:jc w:val="center"/>
              <w:rPr>
                <w:lang w:val="ro-RO"/>
              </w:rPr>
            </w:pPr>
            <w:r w:rsidRPr="002152E4">
              <w:rPr>
                <w:lang w:val="ro-RO"/>
              </w:rPr>
              <w:t>2010</w:t>
            </w:r>
          </w:p>
        </w:tc>
        <w:tc>
          <w:tcPr>
            <w:tcW w:w="1843" w:type="dxa"/>
            <w:vAlign w:val="bottom"/>
          </w:tcPr>
          <w:p w:rsidR="007442AA" w:rsidRPr="002152E4" w:rsidRDefault="007442AA" w:rsidP="007442AA">
            <w:pPr>
              <w:jc w:val="center"/>
              <w:rPr>
                <w:lang w:val="ro-RO"/>
              </w:rPr>
            </w:pPr>
            <w:r w:rsidRPr="002152E4">
              <w:rPr>
                <w:lang w:val="ro-RO"/>
              </w:rPr>
              <w:t>487</w:t>
            </w:r>
          </w:p>
        </w:tc>
        <w:tc>
          <w:tcPr>
            <w:tcW w:w="1985" w:type="dxa"/>
            <w:vAlign w:val="bottom"/>
          </w:tcPr>
          <w:p w:rsidR="007442AA" w:rsidRPr="002152E4" w:rsidRDefault="007442AA" w:rsidP="007442AA">
            <w:pPr>
              <w:jc w:val="center"/>
              <w:rPr>
                <w:lang w:val="ro-RO"/>
              </w:rPr>
            </w:pPr>
            <w:r w:rsidRPr="002152E4">
              <w:rPr>
                <w:lang w:val="ro-RO"/>
              </w:rPr>
              <w:t>0,9</w:t>
            </w:r>
          </w:p>
        </w:tc>
      </w:tr>
      <w:tr w:rsidR="007442AA" w:rsidRPr="002152E4" w:rsidTr="007442AA">
        <w:tc>
          <w:tcPr>
            <w:tcW w:w="1242" w:type="dxa"/>
          </w:tcPr>
          <w:p w:rsidR="007442AA" w:rsidRPr="002152E4" w:rsidRDefault="007442AA" w:rsidP="007442AA">
            <w:pPr>
              <w:jc w:val="center"/>
              <w:rPr>
                <w:lang w:val="ro-RO"/>
              </w:rPr>
            </w:pPr>
            <w:r w:rsidRPr="002152E4">
              <w:rPr>
                <w:lang w:val="ro-RO"/>
              </w:rPr>
              <w:t>2011</w:t>
            </w:r>
          </w:p>
        </w:tc>
        <w:tc>
          <w:tcPr>
            <w:tcW w:w="1843" w:type="dxa"/>
            <w:vAlign w:val="bottom"/>
          </w:tcPr>
          <w:p w:rsidR="007442AA" w:rsidRPr="002152E4" w:rsidRDefault="007442AA" w:rsidP="007442AA">
            <w:pPr>
              <w:jc w:val="center"/>
              <w:rPr>
                <w:lang w:val="ro-RO"/>
              </w:rPr>
            </w:pPr>
            <w:r w:rsidRPr="002152E4">
              <w:rPr>
                <w:lang w:val="ro-RO"/>
              </w:rPr>
              <w:t>486</w:t>
            </w:r>
          </w:p>
        </w:tc>
        <w:tc>
          <w:tcPr>
            <w:tcW w:w="1985" w:type="dxa"/>
            <w:vAlign w:val="bottom"/>
          </w:tcPr>
          <w:p w:rsidR="007442AA" w:rsidRPr="002152E4" w:rsidRDefault="007442AA" w:rsidP="007442AA">
            <w:pPr>
              <w:jc w:val="center"/>
              <w:rPr>
                <w:lang w:val="ro-RO"/>
              </w:rPr>
            </w:pPr>
            <w:r w:rsidRPr="002152E4">
              <w:rPr>
                <w:lang w:val="ro-RO"/>
              </w:rPr>
              <w:t>0,8</w:t>
            </w:r>
          </w:p>
        </w:tc>
      </w:tr>
      <w:tr w:rsidR="007442AA" w:rsidRPr="002152E4" w:rsidTr="007442AA">
        <w:tc>
          <w:tcPr>
            <w:tcW w:w="1242" w:type="dxa"/>
          </w:tcPr>
          <w:p w:rsidR="007442AA" w:rsidRPr="002152E4" w:rsidRDefault="007442AA" w:rsidP="007442AA">
            <w:pPr>
              <w:jc w:val="center"/>
              <w:rPr>
                <w:lang w:val="ro-RO"/>
              </w:rPr>
            </w:pPr>
            <w:r w:rsidRPr="002152E4">
              <w:rPr>
                <w:lang w:val="ro-RO"/>
              </w:rPr>
              <w:t>2012</w:t>
            </w:r>
          </w:p>
        </w:tc>
        <w:tc>
          <w:tcPr>
            <w:tcW w:w="1843" w:type="dxa"/>
            <w:vAlign w:val="bottom"/>
          </w:tcPr>
          <w:p w:rsidR="007442AA" w:rsidRPr="002152E4" w:rsidRDefault="007442AA" w:rsidP="007442AA">
            <w:pPr>
              <w:jc w:val="center"/>
              <w:rPr>
                <w:lang w:val="ro-RO"/>
              </w:rPr>
            </w:pPr>
            <w:r w:rsidRPr="002152E4">
              <w:rPr>
                <w:lang w:val="ro-RO"/>
              </w:rPr>
              <w:t>481</w:t>
            </w:r>
          </w:p>
        </w:tc>
        <w:tc>
          <w:tcPr>
            <w:tcW w:w="1985" w:type="dxa"/>
            <w:vAlign w:val="bottom"/>
          </w:tcPr>
          <w:p w:rsidR="007442AA" w:rsidRPr="002152E4" w:rsidRDefault="007442AA" w:rsidP="007442AA">
            <w:pPr>
              <w:jc w:val="center"/>
              <w:rPr>
                <w:lang w:val="ro-RO"/>
              </w:rPr>
            </w:pPr>
            <w:r w:rsidRPr="002152E4">
              <w:rPr>
                <w:lang w:val="ro-RO"/>
              </w:rPr>
              <w:t>0,8</w:t>
            </w:r>
          </w:p>
        </w:tc>
      </w:tr>
      <w:tr w:rsidR="007442AA" w:rsidRPr="002152E4" w:rsidTr="007442AA">
        <w:tc>
          <w:tcPr>
            <w:tcW w:w="1242" w:type="dxa"/>
          </w:tcPr>
          <w:p w:rsidR="007442AA" w:rsidRPr="002152E4" w:rsidRDefault="007442AA" w:rsidP="007442AA">
            <w:pPr>
              <w:jc w:val="center"/>
              <w:rPr>
                <w:lang w:val="ro-RO"/>
              </w:rPr>
            </w:pPr>
            <w:r w:rsidRPr="002152E4">
              <w:rPr>
                <w:lang w:val="ro-RO"/>
              </w:rPr>
              <w:t>2013</w:t>
            </w:r>
          </w:p>
        </w:tc>
        <w:tc>
          <w:tcPr>
            <w:tcW w:w="1843" w:type="dxa"/>
            <w:vAlign w:val="bottom"/>
          </w:tcPr>
          <w:p w:rsidR="007442AA" w:rsidRPr="002152E4" w:rsidRDefault="007442AA" w:rsidP="007442AA">
            <w:pPr>
              <w:jc w:val="center"/>
              <w:rPr>
                <w:lang w:val="ro-RO"/>
              </w:rPr>
            </w:pPr>
            <w:r w:rsidRPr="002152E4">
              <w:rPr>
                <w:lang w:val="ro-RO"/>
              </w:rPr>
              <w:t>440</w:t>
            </w:r>
          </w:p>
        </w:tc>
        <w:tc>
          <w:tcPr>
            <w:tcW w:w="1985" w:type="dxa"/>
            <w:vAlign w:val="bottom"/>
          </w:tcPr>
          <w:p w:rsidR="007442AA" w:rsidRPr="002152E4" w:rsidRDefault="007442AA" w:rsidP="007442AA">
            <w:pPr>
              <w:jc w:val="center"/>
              <w:rPr>
                <w:lang w:val="ro-RO"/>
              </w:rPr>
            </w:pPr>
            <w:r w:rsidRPr="002152E4">
              <w:rPr>
                <w:lang w:val="ro-RO"/>
              </w:rPr>
              <w:t>0,7</w:t>
            </w:r>
          </w:p>
        </w:tc>
      </w:tr>
      <w:tr w:rsidR="007442AA" w:rsidRPr="002152E4" w:rsidTr="007442AA">
        <w:tc>
          <w:tcPr>
            <w:tcW w:w="1242" w:type="dxa"/>
          </w:tcPr>
          <w:p w:rsidR="007442AA" w:rsidRPr="002152E4" w:rsidRDefault="007442AA" w:rsidP="007442AA">
            <w:pPr>
              <w:jc w:val="center"/>
              <w:rPr>
                <w:lang w:val="ro-RO"/>
              </w:rPr>
            </w:pPr>
            <w:r w:rsidRPr="002152E4">
              <w:rPr>
                <w:lang w:val="ro-RO"/>
              </w:rPr>
              <w:t>2014</w:t>
            </w:r>
          </w:p>
        </w:tc>
        <w:tc>
          <w:tcPr>
            <w:tcW w:w="1843" w:type="dxa"/>
          </w:tcPr>
          <w:p w:rsidR="007442AA" w:rsidRPr="002152E4" w:rsidRDefault="007442AA" w:rsidP="007442AA">
            <w:pPr>
              <w:widowControl w:val="0"/>
              <w:jc w:val="center"/>
              <w:rPr>
                <w:lang w:val="ro-RO"/>
              </w:rPr>
            </w:pPr>
            <w:r w:rsidRPr="002152E4">
              <w:rPr>
                <w:lang w:val="ro-RO"/>
              </w:rPr>
              <w:t>434</w:t>
            </w:r>
          </w:p>
        </w:tc>
        <w:tc>
          <w:tcPr>
            <w:tcW w:w="1985" w:type="dxa"/>
          </w:tcPr>
          <w:p w:rsidR="007442AA" w:rsidRPr="002152E4" w:rsidRDefault="007442AA" w:rsidP="007442AA">
            <w:pPr>
              <w:widowControl w:val="0"/>
              <w:jc w:val="center"/>
              <w:rPr>
                <w:lang w:val="ro-RO"/>
              </w:rPr>
            </w:pPr>
            <w:r w:rsidRPr="002152E4">
              <w:rPr>
                <w:lang w:val="ro-RO"/>
              </w:rPr>
              <w:t>0,9</w:t>
            </w:r>
          </w:p>
        </w:tc>
      </w:tr>
      <w:tr w:rsidR="007442AA" w:rsidRPr="002152E4" w:rsidTr="007442AA">
        <w:tc>
          <w:tcPr>
            <w:tcW w:w="1242" w:type="dxa"/>
          </w:tcPr>
          <w:p w:rsidR="007442AA" w:rsidRPr="002152E4" w:rsidRDefault="007442AA" w:rsidP="007442AA">
            <w:pPr>
              <w:jc w:val="center"/>
              <w:rPr>
                <w:lang w:val="ro-RO"/>
              </w:rPr>
            </w:pPr>
            <w:r w:rsidRPr="002152E4">
              <w:rPr>
                <w:lang w:val="ro-RO"/>
              </w:rPr>
              <w:t>2015</w:t>
            </w:r>
          </w:p>
        </w:tc>
        <w:tc>
          <w:tcPr>
            <w:tcW w:w="1843" w:type="dxa"/>
          </w:tcPr>
          <w:p w:rsidR="007442AA" w:rsidRPr="002152E4" w:rsidRDefault="007442AA" w:rsidP="007442AA">
            <w:pPr>
              <w:widowControl w:val="0"/>
              <w:jc w:val="center"/>
              <w:rPr>
                <w:lang w:val="ro-RO"/>
              </w:rPr>
            </w:pPr>
            <w:r w:rsidRPr="002152E4">
              <w:rPr>
                <w:lang w:val="ro-RO"/>
              </w:rPr>
              <w:t>613</w:t>
            </w:r>
          </w:p>
        </w:tc>
        <w:tc>
          <w:tcPr>
            <w:tcW w:w="1985" w:type="dxa"/>
          </w:tcPr>
          <w:p w:rsidR="007442AA" w:rsidRPr="002152E4" w:rsidRDefault="007442AA" w:rsidP="007442AA">
            <w:pPr>
              <w:widowControl w:val="0"/>
              <w:jc w:val="center"/>
              <w:rPr>
                <w:lang w:val="ro-RO"/>
              </w:rPr>
            </w:pPr>
            <w:r w:rsidRPr="002152E4">
              <w:rPr>
                <w:lang w:val="ro-RO"/>
              </w:rPr>
              <w:t>1,0</w:t>
            </w:r>
          </w:p>
        </w:tc>
      </w:tr>
      <w:tr w:rsidR="007442AA" w:rsidRPr="002152E4" w:rsidTr="007442AA">
        <w:tc>
          <w:tcPr>
            <w:tcW w:w="1242" w:type="dxa"/>
            <w:tcBorders>
              <w:bottom w:val="threeDEmboss" w:sz="6" w:space="0" w:color="00B050"/>
            </w:tcBorders>
          </w:tcPr>
          <w:p w:rsidR="007442AA" w:rsidRPr="002152E4" w:rsidRDefault="007442AA" w:rsidP="007442AA">
            <w:pPr>
              <w:jc w:val="center"/>
              <w:rPr>
                <w:lang w:val="ro-RO"/>
              </w:rPr>
            </w:pPr>
            <w:r w:rsidRPr="002152E4">
              <w:rPr>
                <w:lang w:val="ro-RO"/>
              </w:rPr>
              <w:t>2016</w:t>
            </w:r>
          </w:p>
        </w:tc>
        <w:tc>
          <w:tcPr>
            <w:tcW w:w="1843" w:type="dxa"/>
            <w:tcBorders>
              <w:bottom w:val="threeDEmboss" w:sz="6" w:space="0" w:color="00B050"/>
            </w:tcBorders>
          </w:tcPr>
          <w:p w:rsidR="007442AA" w:rsidRPr="002152E4" w:rsidRDefault="007442AA" w:rsidP="007442AA">
            <w:pPr>
              <w:widowControl w:val="0"/>
              <w:jc w:val="center"/>
              <w:rPr>
                <w:lang w:val="ro-RO"/>
              </w:rPr>
            </w:pPr>
            <w:r w:rsidRPr="002152E4">
              <w:rPr>
                <w:lang w:val="ro-RO"/>
              </w:rPr>
              <w:t>678</w:t>
            </w:r>
          </w:p>
        </w:tc>
        <w:tc>
          <w:tcPr>
            <w:tcW w:w="1985" w:type="dxa"/>
            <w:tcBorders>
              <w:bottom w:val="threeDEmboss" w:sz="6" w:space="0" w:color="00B050"/>
            </w:tcBorders>
          </w:tcPr>
          <w:p w:rsidR="007442AA" w:rsidRPr="002152E4" w:rsidRDefault="007442AA" w:rsidP="007442AA">
            <w:pPr>
              <w:widowControl w:val="0"/>
              <w:jc w:val="center"/>
              <w:rPr>
                <w:lang w:val="ro-RO"/>
              </w:rPr>
            </w:pPr>
            <w:r w:rsidRPr="002152E4">
              <w:rPr>
                <w:lang w:val="ro-RO"/>
              </w:rPr>
              <w:t>1,1</w:t>
            </w:r>
          </w:p>
        </w:tc>
      </w:tr>
      <w:tr w:rsidR="007442AA" w:rsidRPr="002152E4" w:rsidTr="007442AA">
        <w:tc>
          <w:tcPr>
            <w:tcW w:w="1242"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rPr>
                <w:b/>
                <w:i/>
                <w:u w:val="single"/>
                <w:lang w:val="ro-RO"/>
              </w:rPr>
            </w:pPr>
            <w:r w:rsidRPr="002152E4">
              <w:rPr>
                <w:b/>
                <w:lang w:val="ro-RO"/>
              </w:rPr>
              <w:t xml:space="preserve">  </w:t>
            </w:r>
            <w:r w:rsidRPr="002152E4">
              <w:rPr>
                <w:i/>
                <w:lang w:val="ro-RO"/>
              </w:rPr>
              <w:t>%</w:t>
            </w:r>
            <w:r w:rsidRPr="002152E4">
              <w:rPr>
                <w:b/>
                <w:i/>
                <w:lang w:val="ro-RO"/>
              </w:rPr>
              <w:t xml:space="preserve"> </w:t>
            </w:r>
            <w:r w:rsidRPr="002152E4">
              <w:rPr>
                <w:b/>
                <w:i/>
                <w:u w:val="single"/>
                <w:lang w:val="ro-RO"/>
              </w:rPr>
              <w:t>2016</w:t>
            </w:r>
          </w:p>
          <w:p w:rsidR="007442AA" w:rsidRPr="002152E4" w:rsidRDefault="007442AA" w:rsidP="007442AA">
            <w:pPr>
              <w:rPr>
                <w:b/>
                <w:lang w:val="ro-RO"/>
              </w:rPr>
            </w:pPr>
            <w:r w:rsidRPr="002152E4">
              <w:rPr>
                <w:i/>
                <w:lang w:val="ro-RO"/>
              </w:rPr>
              <w:t xml:space="preserve">  +/-</w:t>
            </w:r>
            <w:r w:rsidRPr="002152E4">
              <w:rPr>
                <w:b/>
                <w:i/>
                <w:lang w:val="ro-RO"/>
              </w:rPr>
              <w:t>2015</w:t>
            </w:r>
          </w:p>
        </w:tc>
        <w:tc>
          <w:tcPr>
            <w:tcW w:w="1843"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+10,6</w:t>
            </w:r>
          </w:p>
        </w:tc>
        <w:tc>
          <w:tcPr>
            <w:tcW w:w="1985" w:type="dxa"/>
            <w:tcBorders>
              <w:top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w:t>
            </w:r>
          </w:p>
        </w:tc>
      </w:tr>
    </w:tbl>
    <w:p w:rsidR="007442AA" w:rsidRPr="002152E4" w:rsidRDefault="007442AA" w:rsidP="007442AA">
      <w:pPr>
        <w:rPr>
          <w:b/>
          <w:lang w:val="ro-RO"/>
        </w:rPr>
      </w:pPr>
    </w:p>
    <w:p w:rsidR="00D5288F" w:rsidRPr="002152E4" w:rsidRDefault="00D5288F" w:rsidP="007442AA">
      <w:pPr>
        <w:rPr>
          <w:b/>
          <w:lang w:val="ro-RO"/>
        </w:rPr>
      </w:pPr>
    </w:p>
    <w:p w:rsidR="00D5288F" w:rsidRPr="002152E4" w:rsidRDefault="00D5288F" w:rsidP="007442AA">
      <w:pPr>
        <w:rPr>
          <w:b/>
          <w:lang w:val="ro-RO"/>
        </w:rPr>
      </w:pPr>
    </w:p>
    <w:p w:rsidR="007442AA" w:rsidRPr="002152E4" w:rsidRDefault="007442AA" w:rsidP="007442AA">
      <w:pPr>
        <w:rPr>
          <w:b/>
          <w:lang w:val="ro-RO"/>
        </w:rPr>
      </w:pPr>
      <w:r w:rsidRPr="002152E4">
        <w:rPr>
          <w:b/>
          <w:lang w:val="ro-RO"/>
        </w:rPr>
        <w:t xml:space="preserve">7. INFRACŢIUNI CONTRA SIGURANȚEI PUBLICE (ART. 329 – </w:t>
      </w:r>
      <w:smartTag w:uri="urn:schemas-microsoft-com:office:smarttags" w:element="metricconverter">
        <w:smartTagPr>
          <w:attr w:name="ProductID" w:val="366 C"/>
        </w:smartTagPr>
        <w:r w:rsidRPr="002152E4">
          <w:rPr>
            <w:b/>
            <w:lang w:val="ro-RO"/>
          </w:rPr>
          <w:t>366 C</w:t>
        </w:r>
      </w:smartTag>
      <w:r w:rsidRPr="002152E4">
        <w:rPr>
          <w:b/>
          <w:lang w:val="ro-RO"/>
        </w:rPr>
        <w:t>.P.)</w:t>
      </w:r>
    </w:p>
    <w:tbl>
      <w:tblPr>
        <w:tblW w:w="9684"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241"/>
        <w:gridCol w:w="1774"/>
        <w:gridCol w:w="2223"/>
        <w:gridCol w:w="2223"/>
        <w:gridCol w:w="2223"/>
      </w:tblGrid>
      <w:tr w:rsidR="007442AA" w:rsidRPr="00631BB4" w:rsidTr="00F8404C">
        <w:trPr>
          <w:trHeight w:val="418"/>
        </w:trPr>
        <w:tc>
          <w:tcPr>
            <w:tcW w:w="1241"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r w:rsidRPr="002152E4">
              <w:rPr>
                <w:b/>
                <w:lang w:val="ro-RO"/>
              </w:rPr>
              <w:t>ANUL</w:t>
            </w:r>
          </w:p>
        </w:tc>
        <w:tc>
          <w:tcPr>
            <w:tcW w:w="1774"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TOTAL TRIMIŞI ÎN JUDECATĂ, din care:</w:t>
            </w:r>
          </w:p>
        </w:tc>
        <w:tc>
          <w:tcPr>
            <w:tcW w:w="2223"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pondere în </w:t>
            </w:r>
          </w:p>
          <w:p w:rsidR="007442AA" w:rsidRPr="002152E4" w:rsidRDefault="007442AA" w:rsidP="007442AA">
            <w:pPr>
              <w:jc w:val="center"/>
              <w:rPr>
                <w:b/>
                <w:lang w:val="ro-RO"/>
              </w:rPr>
            </w:pPr>
            <w:r w:rsidRPr="002152E4">
              <w:rPr>
                <w:b/>
                <w:lang w:val="ro-RO"/>
              </w:rPr>
              <w:t xml:space="preserve">total general </w:t>
            </w:r>
          </w:p>
          <w:p w:rsidR="007442AA" w:rsidRPr="002152E4" w:rsidRDefault="007442AA" w:rsidP="007442AA">
            <w:pPr>
              <w:jc w:val="center"/>
              <w:rPr>
                <w:b/>
                <w:lang w:val="ro-RO"/>
              </w:rPr>
            </w:pPr>
            <w:r w:rsidRPr="002152E4">
              <w:rPr>
                <w:b/>
                <w:lang w:val="ro-RO"/>
              </w:rPr>
              <w:t>inculpați p.f.</w:t>
            </w:r>
            <w:r w:rsidR="00F8404C" w:rsidRPr="002152E4">
              <w:rPr>
                <w:b/>
                <w:lang w:val="ro-RO"/>
              </w:rPr>
              <w:t xml:space="preserve"> </w:t>
            </w:r>
            <w:r w:rsidRPr="002152E4">
              <w:rPr>
                <w:b/>
                <w:lang w:val="ro-RO"/>
              </w:rPr>
              <w:t>trimişi în judecată (%)</w:t>
            </w:r>
          </w:p>
        </w:tc>
        <w:tc>
          <w:tcPr>
            <w:tcW w:w="2223"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infracțiuni contra siguranței </w:t>
            </w:r>
            <w:r w:rsidR="00F8404C" w:rsidRPr="002152E4">
              <w:rPr>
                <w:b/>
                <w:lang w:val="ro-RO"/>
              </w:rPr>
              <w:t>c</w:t>
            </w:r>
            <w:r w:rsidRPr="002152E4">
              <w:rPr>
                <w:b/>
                <w:lang w:val="ro-RO"/>
              </w:rPr>
              <w:t xml:space="preserve">irculației pe drumurile publice </w:t>
            </w:r>
          </w:p>
          <w:p w:rsidR="007442AA" w:rsidRPr="002152E4" w:rsidRDefault="007442AA" w:rsidP="007442AA">
            <w:pPr>
              <w:jc w:val="center"/>
              <w:rPr>
                <w:b/>
                <w:lang w:val="ro-RO"/>
              </w:rPr>
            </w:pPr>
            <w:r w:rsidRPr="002152E4">
              <w:rPr>
                <w:b/>
                <w:lang w:val="ro-RO"/>
              </w:rPr>
              <w:t xml:space="preserve">(art. 334 – </w:t>
            </w:r>
            <w:smartTag w:uri="urn:schemas-microsoft-com:office:smarttags" w:element="metricconverter">
              <w:smartTagPr>
                <w:attr w:name="ProductID" w:val="341 C"/>
              </w:smartTagPr>
              <w:r w:rsidRPr="002152E4">
                <w:rPr>
                  <w:b/>
                  <w:lang w:val="ro-RO"/>
                </w:rPr>
                <w:t>341 C</w:t>
              </w:r>
            </w:smartTag>
            <w:r w:rsidRPr="002152E4">
              <w:rPr>
                <w:b/>
                <w:lang w:val="ro-RO"/>
              </w:rPr>
              <w:t>.p.)</w:t>
            </w:r>
          </w:p>
        </w:tc>
        <w:tc>
          <w:tcPr>
            <w:tcW w:w="2223" w:type="dxa"/>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infracțiuni la regimul protecției muncii</w:t>
            </w:r>
          </w:p>
          <w:p w:rsidR="007442AA" w:rsidRPr="002152E4" w:rsidRDefault="007442AA" w:rsidP="007442AA">
            <w:pPr>
              <w:jc w:val="center"/>
              <w:rPr>
                <w:b/>
                <w:lang w:val="ro-RO"/>
              </w:rPr>
            </w:pPr>
            <w:r w:rsidRPr="002152E4">
              <w:rPr>
                <w:b/>
                <w:lang w:val="ro-RO"/>
              </w:rPr>
              <w:t xml:space="preserve">(art. 349 – </w:t>
            </w:r>
            <w:smartTag w:uri="urn:schemas-microsoft-com:office:smarttags" w:element="metricconverter">
              <w:smartTagPr>
                <w:attr w:name="ProductID" w:val="350 C"/>
              </w:smartTagPr>
              <w:r w:rsidRPr="002152E4">
                <w:rPr>
                  <w:b/>
                  <w:lang w:val="ro-RO"/>
                </w:rPr>
                <w:t>350 C</w:t>
              </w:r>
            </w:smartTag>
            <w:r w:rsidRPr="002152E4">
              <w:rPr>
                <w:b/>
                <w:lang w:val="ro-RO"/>
              </w:rPr>
              <w:t>.p.)</w:t>
            </w:r>
          </w:p>
        </w:tc>
      </w:tr>
      <w:tr w:rsidR="007442AA" w:rsidRPr="002152E4" w:rsidTr="00F8404C">
        <w:tc>
          <w:tcPr>
            <w:tcW w:w="1241" w:type="dxa"/>
            <w:tcBorders>
              <w:top w:val="threeDEmboss" w:sz="6" w:space="0" w:color="00B050"/>
            </w:tcBorders>
          </w:tcPr>
          <w:p w:rsidR="007442AA" w:rsidRPr="002152E4" w:rsidRDefault="007442AA" w:rsidP="007442AA">
            <w:pPr>
              <w:jc w:val="center"/>
              <w:rPr>
                <w:lang w:val="ro-RO"/>
              </w:rPr>
            </w:pPr>
            <w:r w:rsidRPr="002152E4">
              <w:rPr>
                <w:lang w:val="ro-RO"/>
              </w:rPr>
              <w:t>2007</w:t>
            </w:r>
          </w:p>
        </w:tc>
        <w:tc>
          <w:tcPr>
            <w:tcW w:w="1774" w:type="dxa"/>
            <w:vMerge w:val="restart"/>
            <w:tcBorders>
              <w:top w:val="threeDEmboss" w:sz="6" w:space="0" w:color="00B050"/>
            </w:tcBorders>
            <w:vAlign w:val="center"/>
          </w:tcPr>
          <w:p w:rsidR="007442AA" w:rsidRPr="002152E4" w:rsidRDefault="007442AA" w:rsidP="007442AA">
            <w:pPr>
              <w:widowControl w:val="0"/>
              <w:jc w:val="center"/>
              <w:rPr>
                <w:lang w:val="ro-RO"/>
              </w:rPr>
            </w:pPr>
            <w:r w:rsidRPr="002152E4">
              <w:rPr>
                <w:lang w:val="ro-RO"/>
              </w:rPr>
              <w:t xml:space="preserve">NU </w:t>
            </w:r>
          </w:p>
          <w:p w:rsidR="007442AA" w:rsidRPr="002152E4" w:rsidRDefault="007442AA" w:rsidP="007442AA">
            <w:pPr>
              <w:widowControl w:val="0"/>
              <w:jc w:val="center"/>
              <w:rPr>
                <w:lang w:val="ro-RO"/>
              </w:rPr>
            </w:pPr>
            <w:r w:rsidRPr="002152E4">
              <w:rPr>
                <w:lang w:val="ro-RO"/>
              </w:rPr>
              <w:t xml:space="preserve">EXISTĂ </w:t>
            </w:r>
          </w:p>
          <w:p w:rsidR="007442AA" w:rsidRPr="002152E4" w:rsidRDefault="007442AA" w:rsidP="007442AA">
            <w:pPr>
              <w:widowControl w:val="0"/>
              <w:jc w:val="center"/>
              <w:rPr>
                <w:lang w:val="ro-RO"/>
              </w:rPr>
            </w:pPr>
            <w:r w:rsidRPr="002152E4">
              <w:rPr>
                <w:lang w:val="ro-RO"/>
              </w:rPr>
              <w:t>DATE</w:t>
            </w:r>
          </w:p>
        </w:tc>
        <w:tc>
          <w:tcPr>
            <w:tcW w:w="2223" w:type="dxa"/>
            <w:vMerge w:val="restart"/>
            <w:tcBorders>
              <w:top w:val="threeDEmboss" w:sz="6" w:space="0" w:color="00B050"/>
            </w:tcBorders>
            <w:vAlign w:val="center"/>
          </w:tcPr>
          <w:p w:rsidR="007442AA" w:rsidRPr="002152E4" w:rsidRDefault="007442AA" w:rsidP="007442AA">
            <w:pPr>
              <w:widowControl w:val="0"/>
              <w:jc w:val="center"/>
              <w:rPr>
                <w:lang w:val="ro-RO"/>
              </w:rPr>
            </w:pPr>
            <w:r w:rsidRPr="002152E4">
              <w:rPr>
                <w:lang w:val="ro-RO"/>
              </w:rPr>
              <w:t xml:space="preserve">NU </w:t>
            </w:r>
          </w:p>
          <w:p w:rsidR="007442AA" w:rsidRPr="002152E4" w:rsidRDefault="007442AA" w:rsidP="007442AA">
            <w:pPr>
              <w:widowControl w:val="0"/>
              <w:jc w:val="center"/>
              <w:rPr>
                <w:lang w:val="ro-RO"/>
              </w:rPr>
            </w:pPr>
            <w:r w:rsidRPr="002152E4">
              <w:rPr>
                <w:lang w:val="ro-RO"/>
              </w:rPr>
              <w:t xml:space="preserve">EXISTĂ </w:t>
            </w:r>
          </w:p>
          <w:p w:rsidR="007442AA" w:rsidRPr="002152E4" w:rsidRDefault="007442AA" w:rsidP="007442AA">
            <w:pPr>
              <w:widowControl w:val="0"/>
              <w:jc w:val="center"/>
              <w:rPr>
                <w:lang w:val="ro-RO"/>
              </w:rPr>
            </w:pPr>
            <w:r w:rsidRPr="002152E4">
              <w:rPr>
                <w:lang w:val="ro-RO"/>
              </w:rPr>
              <w:t>DATE</w:t>
            </w:r>
          </w:p>
        </w:tc>
        <w:tc>
          <w:tcPr>
            <w:tcW w:w="2223" w:type="dxa"/>
            <w:tcBorders>
              <w:top w:val="threeDEmboss" w:sz="6" w:space="0" w:color="00B050"/>
            </w:tcBorders>
            <w:vAlign w:val="bottom"/>
          </w:tcPr>
          <w:p w:rsidR="007442AA" w:rsidRPr="002152E4" w:rsidRDefault="007442AA" w:rsidP="007442AA">
            <w:pPr>
              <w:jc w:val="center"/>
              <w:rPr>
                <w:lang w:val="ro-RO"/>
              </w:rPr>
            </w:pPr>
            <w:r w:rsidRPr="002152E4">
              <w:rPr>
                <w:lang w:val="ro-RO"/>
              </w:rPr>
              <w:t>9.988</w:t>
            </w:r>
          </w:p>
        </w:tc>
        <w:tc>
          <w:tcPr>
            <w:tcW w:w="2223" w:type="dxa"/>
            <w:tcBorders>
              <w:top w:val="threeDEmboss" w:sz="6" w:space="0" w:color="00B050"/>
            </w:tcBorders>
            <w:vAlign w:val="bottom"/>
          </w:tcPr>
          <w:p w:rsidR="007442AA" w:rsidRPr="002152E4" w:rsidRDefault="007442AA" w:rsidP="007442AA">
            <w:pPr>
              <w:jc w:val="center"/>
              <w:rPr>
                <w:lang w:val="ro-RO"/>
              </w:rPr>
            </w:pPr>
            <w:r w:rsidRPr="002152E4">
              <w:rPr>
                <w:lang w:val="ro-RO"/>
              </w:rPr>
              <w:t>33</w:t>
            </w:r>
          </w:p>
        </w:tc>
      </w:tr>
      <w:tr w:rsidR="007442AA" w:rsidRPr="002152E4" w:rsidTr="00F8404C">
        <w:tc>
          <w:tcPr>
            <w:tcW w:w="1241" w:type="dxa"/>
          </w:tcPr>
          <w:p w:rsidR="007442AA" w:rsidRPr="002152E4" w:rsidRDefault="007442AA" w:rsidP="007442AA">
            <w:pPr>
              <w:jc w:val="center"/>
              <w:rPr>
                <w:lang w:val="ro-RO"/>
              </w:rPr>
            </w:pPr>
            <w:r w:rsidRPr="002152E4">
              <w:rPr>
                <w:lang w:val="ro-RO"/>
              </w:rPr>
              <w:t>2008</w:t>
            </w:r>
          </w:p>
        </w:tc>
        <w:tc>
          <w:tcPr>
            <w:tcW w:w="1774" w:type="dxa"/>
            <w:vMerge/>
          </w:tcPr>
          <w:p w:rsidR="007442AA" w:rsidRPr="002152E4" w:rsidRDefault="007442AA" w:rsidP="007442AA">
            <w:pPr>
              <w:widowControl w:val="0"/>
              <w:jc w:val="center"/>
              <w:rPr>
                <w:lang w:val="ro-RO"/>
              </w:rPr>
            </w:pPr>
          </w:p>
        </w:tc>
        <w:tc>
          <w:tcPr>
            <w:tcW w:w="2223" w:type="dxa"/>
            <w:vMerge/>
          </w:tcPr>
          <w:p w:rsidR="007442AA" w:rsidRPr="002152E4" w:rsidRDefault="007442AA" w:rsidP="007442AA">
            <w:pPr>
              <w:widowControl w:val="0"/>
              <w:jc w:val="center"/>
              <w:rPr>
                <w:lang w:val="ro-RO"/>
              </w:rPr>
            </w:pPr>
          </w:p>
        </w:tc>
        <w:tc>
          <w:tcPr>
            <w:tcW w:w="2223" w:type="dxa"/>
            <w:vAlign w:val="bottom"/>
          </w:tcPr>
          <w:p w:rsidR="007442AA" w:rsidRPr="002152E4" w:rsidRDefault="007442AA" w:rsidP="007442AA">
            <w:pPr>
              <w:jc w:val="center"/>
              <w:rPr>
                <w:lang w:val="ro-RO"/>
              </w:rPr>
            </w:pPr>
            <w:r w:rsidRPr="002152E4">
              <w:rPr>
                <w:lang w:val="ro-RO"/>
              </w:rPr>
              <w:t>10.896</w:t>
            </w:r>
          </w:p>
        </w:tc>
        <w:tc>
          <w:tcPr>
            <w:tcW w:w="2223" w:type="dxa"/>
            <w:vAlign w:val="bottom"/>
          </w:tcPr>
          <w:p w:rsidR="007442AA" w:rsidRPr="002152E4" w:rsidRDefault="007442AA" w:rsidP="007442AA">
            <w:pPr>
              <w:jc w:val="center"/>
              <w:rPr>
                <w:lang w:val="ro-RO"/>
              </w:rPr>
            </w:pPr>
            <w:r w:rsidRPr="002152E4">
              <w:rPr>
                <w:lang w:val="ro-RO"/>
              </w:rPr>
              <w:t>22</w:t>
            </w:r>
          </w:p>
        </w:tc>
      </w:tr>
      <w:tr w:rsidR="007442AA" w:rsidRPr="002152E4" w:rsidTr="00F8404C">
        <w:tc>
          <w:tcPr>
            <w:tcW w:w="1241" w:type="dxa"/>
          </w:tcPr>
          <w:p w:rsidR="007442AA" w:rsidRPr="002152E4" w:rsidRDefault="007442AA" w:rsidP="007442AA">
            <w:pPr>
              <w:jc w:val="center"/>
              <w:rPr>
                <w:lang w:val="ro-RO"/>
              </w:rPr>
            </w:pPr>
            <w:r w:rsidRPr="002152E4">
              <w:rPr>
                <w:lang w:val="ro-RO"/>
              </w:rPr>
              <w:t>2009</w:t>
            </w:r>
          </w:p>
        </w:tc>
        <w:tc>
          <w:tcPr>
            <w:tcW w:w="1774" w:type="dxa"/>
            <w:vMerge/>
          </w:tcPr>
          <w:p w:rsidR="007442AA" w:rsidRPr="002152E4" w:rsidRDefault="007442AA" w:rsidP="007442AA">
            <w:pPr>
              <w:widowControl w:val="0"/>
              <w:jc w:val="center"/>
              <w:rPr>
                <w:lang w:val="ro-RO"/>
              </w:rPr>
            </w:pPr>
          </w:p>
        </w:tc>
        <w:tc>
          <w:tcPr>
            <w:tcW w:w="2223" w:type="dxa"/>
            <w:vMerge/>
          </w:tcPr>
          <w:p w:rsidR="007442AA" w:rsidRPr="002152E4" w:rsidRDefault="007442AA" w:rsidP="007442AA">
            <w:pPr>
              <w:widowControl w:val="0"/>
              <w:jc w:val="center"/>
              <w:rPr>
                <w:lang w:val="ro-RO"/>
              </w:rPr>
            </w:pPr>
          </w:p>
        </w:tc>
        <w:tc>
          <w:tcPr>
            <w:tcW w:w="2223" w:type="dxa"/>
            <w:vAlign w:val="bottom"/>
          </w:tcPr>
          <w:p w:rsidR="007442AA" w:rsidRPr="002152E4" w:rsidRDefault="007442AA" w:rsidP="007442AA">
            <w:pPr>
              <w:jc w:val="center"/>
              <w:rPr>
                <w:lang w:val="ro-RO"/>
              </w:rPr>
            </w:pPr>
            <w:r w:rsidRPr="002152E4">
              <w:rPr>
                <w:lang w:val="ro-RO"/>
              </w:rPr>
              <w:t>13.365</w:t>
            </w:r>
          </w:p>
        </w:tc>
        <w:tc>
          <w:tcPr>
            <w:tcW w:w="2223" w:type="dxa"/>
            <w:vAlign w:val="bottom"/>
          </w:tcPr>
          <w:p w:rsidR="007442AA" w:rsidRPr="002152E4" w:rsidRDefault="007442AA" w:rsidP="007442AA">
            <w:pPr>
              <w:jc w:val="center"/>
              <w:rPr>
                <w:lang w:val="ro-RO"/>
              </w:rPr>
            </w:pPr>
            <w:r w:rsidRPr="002152E4">
              <w:rPr>
                <w:lang w:val="ro-RO"/>
              </w:rPr>
              <w:t>44</w:t>
            </w:r>
          </w:p>
        </w:tc>
      </w:tr>
      <w:tr w:rsidR="007442AA" w:rsidRPr="002152E4" w:rsidTr="00F8404C">
        <w:tc>
          <w:tcPr>
            <w:tcW w:w="1241" w:type="dxa"/>
          </w:tcPr>
          <w:p w:rsidR="007442AA" w:rsidRPr="002152E4" w:rsidRDefault="007442AA" w:rsidP="007442AA">
            <w:pPr>
              <w:jc w:val="center"/>
              <w:rPr>
                <w:lang w:val="ro-RO"/>
              </w:rPr>
            </w:pPr>
            <w:r w:rsidRPr="002152E4">
              <w:rPr>
                <w:lang w:val="ro-RO"/>
              </w:rPr>
              <w:t>2010</w:t>
            </w:r>
          </w:p>
        </w:tc>
        <w:tc>
          <w:tcPr>
            <w:tcW w:w="1774" w:type="dxa"/>
            <w:vMerge/>
          </w:tcPr>
          <w:p w:rsidR="007442AA" w:rsidRPr="002152E4" w:rsidRDefault="007442AA" w:rsidP="007442AA">
            <w:pPr>
              <w:widowControl w:val="0"/>
              <w:jc w:val="center"/>
              <w:rPr>
                <w:lang w:val="ro-RO"/>
              </w:rPr>
            </w:pPr>
          </w:p>
        </w:tc>
        <w:tc>
          <w:tcPr>
            <w:tcW w:w="2223" w:type="dxa"/>
            <w:vMerge/>
          </w:tcPr>
          <w:p w:rsidR="007442AA" w:rsidRPr="002152E4" w:rsidRDefault="007442AA" w:rsidP="007442AA">
            <w:pPr>
              <w:widowControl w:val="0"/>
              <w:jc w:val="center"/>
              <w:rPr>
                <w:lang w:val="ro-RO"/>
              </w:rPr>
            </w:pPr>
          </w:p>
        </w:tc>
        <w:tc>
          <w:tcPr>
            <w:tcW w:w="2223" w:type="dxa"/>
            <w:vAlign w:val="bottom"/>
          </w:tcPr>
          <w:p w:rsidR="007442AA" w:rsidRPr="002152E4" w:rsidRDefault="007442AA" w:rsidP="007442AA">
            <w:pPr>
              <w:jc w:val="center"/>
              <w:rPr>
                <w:lang w:val="ro-RO"/>
              </w:rPr>
            </w:pPr>
            <w:r w:rsidRPr="002152E4">
              <w:rPr>
                <w:lang w:val="ro-RO"/>
              </w:rPr>
              <w:t>14.525</w:t>
            </w:r>
          </w:p>
        </w:tc>
        <w:tc>
          <w:tcPr>
            <w:tcW w:w="2223" w:type="dxa"/>
            <w:vAlign w:val="bottom"/>
          </w:tcPr>
          <w:p w:rsidR="007442AA" w:rsidRPr="002152E4" w:rsidRDefault="007442AA" w:rsidP="007442AA">
            <w:pPr>
              <w:jc w:val="center"/>
              <w:rPr>
                <w:lang w:val="ro-RO"/>
              </w:rPr>
            </w:pPr>
            <w:r w:rsidRPr="002152E4">
              <w:rPr>
                <w:lang w:val="ro-RO"/>
              </w:rPr>
              <w:t>35</w:t>
            </w:r>
          </w:p>
        </w:tc>
      </w:tr>
      <w:tr w:rsidR="007442AA" w:rsidRPr="002152E4" w:rsidTr="00F8404C">
        <w:tc>
          <w:tcPr>
            <w:tcW w:w="1241" w:type="dxa"/>
          </w:tcPr>
          <w:p w:rsidR="007442AA" w:rsidRPr="002152E4" w:rsidRDefault="007442AA" w:rsidP="007442AA">
            <w:pPr>
              <w:jc w:val="center"/>
              <w:rPr>
                <w:lang w:val="ro-RO"/>
              </w:rPr>
            </w:pPr>
            <w:r w:rsidRPr="002152E4">
              <w:rPr>
                <w:lang w:val="ro-RO"/>
              </w:rPr>
              <w:t>2011</w:t>
            </w:r>
          </w:p>
        </w:tc>
        <w:tc>
          <w:tcPr>
            <w:tcW w:w="1774" w:type="dxa"/>
            <w:vMerge/>
          </w:tcPr>
          <w:p w:rsidR="007442AA" w:rsidRPr="002152E4" w:rsidRDefault="007442AA" w:rsidP="007442AA">
            <w:pPr>
              <w:widowControl w:val="0"/>
              <w:jc w:val="center"/>
              <w:rPr>
                <w:lang w:val="ro-RO"/>
              </w:rPr>
            </w:pPr>
          </w:p>
        </w:tc>
        <w:tc>
          <w:tcPr>
            <w:tcW w:w="2223" w:type="dxa"/>
            <w:vMerge/>
          </w:tcPr>
          <w:p w:rsidR="007442AA" w:rsidRPr="002152E4" w:rsidRDefault="007442AA" w:rsidP="007442AA">
            <w:pPr>
              <w:widowControl w:val="0"/>
              <w:jc w:val="center"/>
              <w:rPr>
                <w:lang w:val="ro-RO"/>
              </w:rPr>
            </w:pPr>
          </w:p>
        </w:tc>
        <w:tc>
          <w:tcPr>
            <w:tcW w:w="2223" w:type="dxa"/>
            <w:vAlign w:val="bottom"/>
          </w:tcPr>
          <w:p w:rsidR="007442AA" w:rsidRPr="002152E4" w:rsidRDefault="007442AA" w:rsidP="007442AA">
            <w:pPr>
              <w:jc w:val="center"/>
              <w:rPr>
                <w:lang w:val="ro-RO"/>
              </w:rPr>
            </w:pPr>
            <w:r w:rsidRPr="002152E4">
              <w:rPr>
                <w:lang w:val="ro-RO"/>
              </w:rPr>
              <w:t>15.188</w:t>
            </w:r>
          </w:p>
        </w:tc>
        <w:tc>
          <w:tcPr>
            <w:tcW w:w="2223" w:type="dxa"/>
            <w:vAlign w:val="bottom"/>
          </w:tcPr>
          <w:p w:rsidR="007442AA" w:rsidRPr="002152E4" w:rsidRDefault="007442AA" w:rsidP="007442AA">
            <w:pPr>
              <w:jc w:val="center"/>
              <w:rPr>
                <w:lang w:val="ro-RO"/>
              </w:rPr>
            </w:pPr>
            <w:r w:rsidRPr="002152E4">
              <w:rPr>
                <w:lang w:val="ro-RO"/>
              </w:rPr>
              <w:t>17</w:t>
            </w:r>
          </w:p>
        </w:tc>
      </w:tr>
      <w:tr w:rsidR="007442AA" w:rsidRPr="002152E4" w:rsidTr="00F8404C">
        <w:tc>
          <w:tcPr>
            <w:tcW w:w="1241" w:type="dxa"/>
          </w:tcPr>
          <w:p w:rsidR="007442AA" w:rsidRPr="002152E4" w:rsidRDefault="007442AA" w:rsidP="007442AA">
            <w:pPr>
              <w:jc w:val="center"/>
              <w:rPr>
                <w:lang w:val="ro-RO"/>
              </w:rPr>
            </w:pPr>
            <w:r w:rsidRPr="002152E4">
              <w:rPr>
                <w:lang w:val="ro-RO"/>
              </w:rPr>
              <w:t>2012</w:t>
            </w:r>
          </w:p>
        </w:tc>
        <w:tc>
          <w:tcPr>
            <w:tcW w:w="1774" w:type="dxa"/>
            <w:vMerge/>
          </w:tcPr>
          <w:p w:rsidR="007442AA" w:rsidRPr="002152E4" w:rsidRDefault="007442AA" w:rsidP="007442AA">
            <w:pPr>
              <w:widowControl w:val="0"/>
              <w:jc w:val="center"/>
              <w:rPr>
                <w:lang w:val="ro-RO"/>
              </w:rPr>
            </w:pPr>
          </w:p>
        </w:tc>
        <w:tc>
          <w:tcPr>
            <w:tcW w:w="2223" w:type="dxa"/>
            <w:vMerge/>
          </w:tcPr>
          <w:p w:rsidR="007442AA" w:rsidRPr="002152E4" w:rsidRDefault="007442AA" w:rsidP="007442AA">
            <w:pPr>
              <w:widowControl w:val="0"/>
              <w:jc w:val="center"/>
              <w:rPr>
                <w:lang w:val="ro-RO"/>
              </w:rPr>
            </w:pPr>
          </w:p>
        </w:tc>
        <w:tc>
          <w:tcPr>
            <w:tcW w:w="2223" w:type="dxa"/>
            <w:vAlign w:val="bottom"/>
          </w:tcPr>
          <w:p w:rsidR="007442AA" w:rsidRPr="002152E4" w:rsidRDefault="007442AA" w:rsidP="007442AA">
            <w:pPr>
              <w:jc w:val="center"/>
              <w:rPr>
                <w:lang w:val="ro-RO"/>
              </w:rPr>
            </w:pPr>
            <w:r w:rsidRPr="002152E4">
              <w:rPr>
                <w:lang w:val="ro-RO"/>
              </w:rPr>
              <w:t>14.328</w:t>
            </w:r>
          </w:p>
        </w:tc>
        <w:tc>
          <w:tcPr>
            <w:tcW w:w="2223" w:type="dxa"/>
            <w:vAlign w:val="bottom"/>
          </w:tcPr>
          <w:p w:rsidR="007442AA" w:rsidRPr="002152E4" w:rsidRDefault="007442AA" w:rsidP="007442AA">
            <w:pPr>
              <w:jc w:val="center"/>
              <w:rPr>
                <w:lang w:val="ro-RO"/>
              </w:rPr>
            </w:pPr>
            <w:r w:rsidRPr="002152E4">
              <w:rPr>
                <w:lang w:val="ro-RO"/>
              </w:rPr>
              <w:t>19</w:t>
            </w:r>
          </w:p>
        </w:tc>
      </w:tr>
      <w:tr w:rsidR="007442AA" w:rsidRPr="002152E4" w:rsidTr="00F8404C">
        <w:tc>
          <w:tcPr>
            <w:tcW w:w="1241" w:type="dxa"/>
          </w:tcPr>
          <w:p w:rsidR="007442AA" w:rsidRPr="002152E4" w:rsidRDefault="007442AA" w:rsidP="007442AA">
            <w:pPr>
              <w:jc w:val="center"/>
              <w:rPr>
                <w:lang w:val="ro-RO"/>
              </w:rPr>
            </w:pPr>
            <w:r w:rsidRPr="002152E4">
              <w:rPr>
                <w:lang w:val="ro-RO"/>
              </w:rPr>
              <w:t>2013</w:t>
            </w:r>
          </w:p>
        </w:tc>
        <w:tc>
          <w:tcPr>
            <w:tcW w:w="1774" w:type="dxa"/>
            <w:vMerge/>
          </w:tcPr>
          <w:p w:rsidR="007442AA" w:rsidRPr="002152E4" w:rsidRDefault="007442AA" w:rsidP="007442AA">
            <w:pPr>
              <w:widowControl w:val="0"/>
              <w:jc w:val="center"/>
              <w:rPr>
                <w:lang w:val="ro-RO"/>
              </w:rPr>
            </w:pPr>
          </w:p>
        </w:tc>
        <w:tc>
          <w:tcPr>
            <w:tcW w:w="2223" w:type="dxa"/>
            <w:vMerge/>
          </w:tcPr>
          <w:p w:rsidR="007442AA" w:rsidRPr="002152E4" w:rsidRDefault="007442AA" w:rsidP="007442AA">
            <w:pPr>
              <w:widowControl w:val="0"/>
              <w:jc w:val="center"/>
              <w:rPr>
                <w:lang w:val="ro-RO"/>
              </w:rPr>
            </w:pPr>
          </w:p>
        </w:tc>
        <w:tc>
          <w:tcPr>
            <w:tcW w:w="2223" w:type="dxa"/>
            <w:vAlign w:val="bottom"/>
          </w:tcPr>
          <w:p w:rsidR="007442AA" w:rsidRPr="002152E4" w:rsidRDefault="007442AA" w:rsidP="007442AA">
            <w:pPr>
              <w:jc w:val="center"/>
              <w:rPr>
                <w:lang w:val="ro-RO"/>
              </w:rPr>
            </w:pPr>
            <w:r w:rsidRPr="002152E4">
              <w:rPr>
                <w:lang w:val="ro-RO"/>
              </w:rPr>
              <w:t>15.907</w:t>
            </w:r>
          </w:p>
        </w:tc>
        <w:tc>
          <w:tcPr>
            <w:tcW w:w="2223" w:type="dxa"/>
            <w:vAlign w:val="bottom"/>
          </w:tcPr>
          <w:p w:rsidR="007442AA" w:rsidRPr="002152E4" w:rsidRDefault="007442AA" w:rsidP="007442AA">
            <w:pPr>
              <w:jc w:val="center"/>
              <w:rPr>
                <w:lang w:val="ro-RO"/>
              </w:rPr>
            </w:pPr>
            <w:r w:rsidRPr="002152E4">
              <w:rPr>
                <w:lang w:val="ro-RO"/>
              </w:rPr>
              <w:t>11</w:t>
            </w:r>
          </w:p>
        </w:tc>
      </w:tr>
      <w:tr w:rsidR="007442AA" w:rsidRPr="002152E4" w:rsidTr="00F8404C">
        <w:tc>
          <w:tcPr>
            <w:tcW w:w="1241" w:type="dxa"/>
          </w:tcPr>
          <w:p w:rsidR="007442AA" w:rsidRPr="002152E4" w:rsidRDefault="007442AA" w:rsidP="007442AA">
            <w:pPr>
              <w:jc w:val="center"/>
              <w:rPr>
                <w:lang w:val="ro-RO"/>
              </w:rPr>
            </w:pPr>
            <w:r w:rsidRPr="002152E4">
              <w:rPr>
                <w:lang w:val="ro-RO"/>
              </w:rPr>
              <w:t>2014</w:t>
            </w:r>
          </w:p>
        </w:tc>
        <w:tc>
          <w:tcPr>
            <w:tcW w:w="1774" w:type="dxa"/>
          </w:tcPr>
          <w:p w:rsidR="007442AA" w:rsidRPr="002152E4" w:rsidRDefault="007442AA" w:rsidP="007442AA">
            <w:pPr>
              <w:widowControl w:val="0"/>
              <w:jc w:val="center"/>
              <w:rPr>
                <w:lang w:val="ro-RO"/>
              </w:rPr>
            </w:pPr>
            <w:r w:rsidRPr="002152E4">
              <w:rPr>
                <w:lang w:val="ro-RO"/>
              </w:rPr>
              <w:t>14.844</w:t>
            </w:r>
          </w:p>
        </w:tc>
        <w:tc>
          <w:tcPr>
            <w:tcW w:w="2223" w:type="dxa"/>
          </w:tcPr>
          <w:p w:rsidR="007442AA" w:rsidRPr="002152E4" w:rsidRDefault="007442AA" w:rsidP="007442AA">
            <w:pPr>
              <w:widowControl w:val="0"/>
              <w:jc w:val="center"/>
              <w:rPr>
                <w:lang w:val="ro-RO"/>
              </w:rPr>
            </w:pPr>
            <w:r w:rsidRPr="002152E4">
              <w:rPr>
                <w:lang w:val="ro-RO"/>
              </w:rPr>
              <w:t>29,5</w:t>
            </w:r>
          </w:p>
        </w:tc>
        <w:tc>
          <w:tcPr>
            <w:tcW w:w="2223" w:type="dxa"/>
          </w:tcPr>
          <w:p w:rsidR="007442AA" w:rsidRPr="002152E4" w:rsidRDefault="007442AA" w:rsidP="007442AA">
            <w:pPr>
              <w:widowControl w:val="0"/>
              <w:jc w:val="center"/>
              <w:rPr>
                <w:lang w:val="ro-RO"/>
              </w:rPr>
            </w:pPr>
            <w:r w:rsidRPr="002152E4">
              <w:rPr>
                <w:lang w:val="ro-RO"/>
              </w:rPr>
              <w:t>14.560</w:t>
            </w:r>
          </w:p>
        </w:tc>
        <w:tc>
          <w:tcPr>
            <w:tcW w:w="2223" w:type="dxa"/>
          </w:tcPr>
          <w:p w:rsidR="007442AA" w:rsidRPr="002152E4" w:rsidRDefault="007442AA" w:rsidP="007442AA">
            <w:pPr>
              <w:widowControl w:val="0"/>
              <w:jc w:val="center"/>
              <w:rPr>
                <w:lang w:val="ro-RO"/>
              </w:rPr>
            </w:pPr>
            <w:r w:rsidRPr="002152E4">
              <w:rPr>
                <w:lang w:val="ro-RO"/>
              </w:rPr>
              <w:t>16</w:t>
            </w:r>
          </w:p>
        </w:tc>
      </w:tr>
      <w:tr w:rsidR="007442AA" w:rsidRPr="002152E4" w:rsidTr="00F8404C">
        <w:tc>
          <w:tcPr>
            <w:tcW w:w="1241" w:type="dxa"/>
          </w:tcPr>
          <w:p w:rsidR="007442AA" w:rsidRPr="002152E4" w:rsidRDefault="007442AA" w:rsidP="007442AA">
            <w:pPr>
              <w:jc w:val="center"/>
              <w:rPr>
                <w:lang w:val="ro-RO"/>
              </w:rPr>
            </w:pPr>
            <w:r w:rsidRPr="002152E4">
              <w:rPr>
                <w:lang w:val="ro-RO"/>
              </w:rPr>
              <w:t>2015</w:t>
            </w:r>
          </w:p>
        </w:tc>
        <w:tc>
          <w:tcPr>
            <w:tcW w:w="1774" w:type="dxa"/>
          </w:tcPr>
          <w:p w:rsidR="007442AA" w:rsidRPr="002152E4" w:rsidRDefault="007442AA" w:rsidP="007442AA">
            <w:pPr>
              <w:widowControl w:val="0"/>
              <w:jc w:val="center"/>
              <w:rPr>
                <w:lang w:val="ro-RO"/>
              </w:rPr>
            </w:pPr>
            <w:r w:rsidRPr="002152E4">
              <w:rPr>
                <w:lang w:val="ro-RO"/>
              </w:rPr>
              <w:t>17.492</w:t>
            </w:r>
          </w:p>
        </w:tc>
        <w:tc>
          <w:tcPr>
            <w:tcW w:w="2223" w:type="dxa"/>
          </w:tcPr>
          <w:p w:rsidR="007442AA" w:rsidRPr="002152E4" w:rsidRDefault="007442AA" w:rsidP="007442AA">
            <w:pPr>
              <w:widowControl w:val="0"/>
              <w:jc w:val="center"/>
              <w:rPr>
                <w:lang w:val="ro-RO"/>
              </w:rPr>
            </w:pPr>
            <w:r w:rsidRPr="002152E4">
              <w:rPr>
                <w:lang w:val="ro-RO"/>
              </w:rPr>
              <w:t>29,7</w:t>
            </w:r>
          </w:p>
        </w:tc>
        <w:tc>
          <w:tcPr>
            <w:tcW w:w="2223" w:type="dxa"/>
          </w:tcPr>
          <w:p w:rsidR="007442AA" w:rsidRPr="002152E4" w:rsidRDefault="007442AA" w:rsidP="007442AA">
            <w:pPr>
              <w:widowControl w:val="0"/>
              <w:jc w:val="center"/>
              <w:rPr>
                <w:lang w:val="ro-RO"/>
              </w:rPr>
            </w:pPr>
            <w:r w:rsidRPr="002152E4">
              <w:rPr>
                <w:lang w:val="ro-RO"/>
              </w:rPr>
              <w:t>17.120</w:t>
            </w:r>
          </w:p>
        </w:tc>
        <w:tc>
          <w:tcPr>
            <w:tcW w:w="2223" w:type="dxa"/>
          </w:tcPr>
          <w:p w:rsidR="007442AA" w:rsidRPr="002152E4" w:rsidRDefault="007442AA" w:rsidP="007442AA">
            <w:pPr>
              <w:widowControl w:val="0"/>
              <w:jc w:val="center"/>
              <w:rPr>
                <w:lang w:val="ro-RO"/>
              </w:rPr>
            </w:pPr>
            <w:r w:rsidRPr="002152E4">
              <w:rPr>
                <w:lang w:val="ro-RO"/>
              </w:rPr>
              <w:t>27</w:t>
            </w:r>
          </w:p>
        </w:tc>
      </w:tr>
      <w:tr w:rsidR="007442AA" w:rsidRPr="002152E4" w:rsidTr="00F8404C">
        <w:tc>
          <w:tcPr>
            <w:tcW w:w="1241" w:type="dxa"/>
            <w:tcBorders>
              <w:bottom w:val="threeDEmboss" w:sz="6" w:space="0" w:color="00B050"/>
            </w:tcBorders>
          </w:tcPr>
          <w:p w:rsidR="007442AA" w:rsidRPr="002152E4" w:rsidRDefault="007442AA" w:rsidP="007442AA">
            <w:pPr>
              <w:jc w:val="center"/>
              <w:rPr>
                <w:lang w:val="ro-RO"/>
              </w:rPr>
            </w:pPr>
            <w:r w:rsidRPr="002152E4">
              <w:rPr>
                <w:lang w:val="ro-RO"/>
              </w:rPr>
              <w:t>2016</w:t>
            </w:r>
          </w:p>
        </w:tc>
        <w:tc>
          <w:tcPr>
            <w:tcW w:w="1774" w:type="dxa"/>
            <w:tcBorders>
              <w:bottom w:val="threeDEmboss" w:sz="6" w:space="0" w:color="00B050"/>
            </w:tcBorders>
          </w:tcPr>
          <w:p w:rsidR="007442AA" w:rsidRPr="002152E4" w:rsidRDefault="007442AA" w:rsidP="007442AA">
            <w:pPr>
              <w:widowControl w:val="0"/>
              <w:jc w:val="center"/>
              <w:rPr>
                <w:lang w:val="ro-RO"/>
              </w:rPr>
            </w:pPr>
            <w:r w:rsidRPr="002152E4">
              <w:rPr>
                <w:lang w:val="ro-RO"/>
              </w:rPr>
              <w:t>20.602</w:t>
            </w:r>
          </w:p>
        </w:tc>
        <w:tc>
          <w:tcPr>
            <w:tcW w:w="2223" w:type="dxa"/>
            <w:tcBorders>
              <w:bottom w:val="threeDEmboss" w:sz="6" w:space="0" w:color="00B050"/>
            </w:tcBorders>
          </w:tcPr>
          <w:p w:rsidR="007442AA" w:rsidRPr="002152E4" w:rsidRDefault="007442AA" w:rsidP="007442AA">
            <w:pPr>
              <w:widowControl w:val="0"/>
              <w:jc w:val="center"/>
              <w:rPr>
                <w:lang w:val="ro-RO"/>
              </w:rPr>
            </w:pPr>
            <w:r w:rsidRPr="002152E4">
              <w:rPr>
                <w:lang w:val="ro-RO"/>
              </w:rPr>
              <w:t>32,3</w:t>
            </w:r>
          </w:p>
        </w:tc>
        <w:tc>
          <w:tcPr>
            <w:tcW w:w="2223" w:type="dxa"/>
            <w:tcBorders>
              <w:bottom w:val="threeDEmboss" w:sz="6" w:space="0" w:color="00B050"/>
            </w:tcBorders>
          </w:tcPr>
          <w:p w:rsidR="007442AA" w:rsidRPr="002152E4" w:rsidRDefault="007442AA" w:rsidP="007442AA">
            <w:pPr>
              <w:widowControl w:val="0"/>
              <w:jc w:val="center"/>
              <w:rPr>
                <w:lang w:val="ro-RO"/>
              </w:rPr>
            </w:pPr>
            <w:r w:rsidRPr="002152E4">
              <w:rPr>
                <w:lang w:val="ro-RO"/>
              </w:rPr>
              <w:t>20.124</w:t>
            </w:r>
          </w:p>
        </w:tc>
        <w:tc>
          <w:tcPr>
            <w:tcW w:w="2223" w:type="dxa"/>
            <w:tcBorders>
              <w:bottom w:val="threeDEmboss" w:sz="6" w:space="0" w:color="00B050"/>
            </w:tcBorders>
          </w:tcPr>
          <w:p w:rsidR="007442AA" w:rsidRPr="002152E4" w:rsidRDefault="007442AA" w:rsidP="007442AA">
            <w:pPr>
              <w:widowControl w:val="0"/>
              <w:jc w:val="center"/>
              <w:rPr>
                <w:lang w:val="ro-RO"/>
              </w:rPr>
            </w:pPr>
            <w:r w:rsidRPr="002152E4">
              <w:rPr>
                <w:lang w:val="ro-RO"/>
              </w:rPr>
              <w:t>28</w:t>
            </w:r>
          </w:p>
        </w:tc>
      </w:tr>
      <w:tr w:rsidR="007442AA" w:rsidRPr="002152E4" w:rsidTr="00F8404C">
        <w:tc>
          <w:tcPr>
            <w:tcW w:w="1241" w:type="dxa"/>
            <w:tcBorders>
              <w:top w:val="threeDEmboss" w:sz="6" w:space="0" w:color="00B050"/>
              <w:left w:val="threeDEmboss" w:sz="6" w:space="0" w:color="00B050"/>
              <w:bottom w:val="threeDEmboss" w:sz="6" w:space="0" w:color="00B050"/>
            </w:tcBorders>
            <w:shd w:val="clear" w:color="auto" w:fill="FBD4B4"/>
          </w:tcPr>
          <w:p w:rsidR="007442AA" w:rsidRPr="002152E4" w:rsidRDefault="007442AA" w:rsidP="007442AA">
            <w:pPr>
              <w:rPr>
                <w:b/>
                <w:i/>
                <w:u w:val="single"/>
                <w:lang w:val="ro-RO"/>
              </w:rPr>
            </w:pPr>
            <w:r w:rsidRPr="002152E4">
              <w:rPr>
                <w:b/>
                <w:lang w:val="ro-RO"/>
              </w:rPr>
              <w:t xml:space="preserve">  </w:t>
            </w:r>
            <w:r w:rsidRPr="002152E4">
              <w:rPr>
                <w:i/>
                <w:lang w:val="ro-RO"/>
              </w:rPr>
              <w:t>%</w:t>
            </w:r>
            <w:r w:rsidRPr="002152E4">
              <w:rPr>
                <w:b/>
                <w:i/>
                <w:lang w:val="ro-RO"/>
              </w:rPr>
              <w:t xml:space="preserve"> </w:t>
            </w:r>
            <w:r w:rsidRPr="002152E4">
              <w:rPr>
                <w:b/>
                <w:i/>
                <w:u w:val="single"/>
                <w:lang w:val="ro-RO"/>
              </w:rPr>
              <w:t>2016</w:t>
            </w:r>
          </w:p>
          <w:p w:rsidR="007442AA" w:rsidRPr="002152E4" w:rsidRDefault="007442AA" w:rsidP="007442AA">
            <w:pPr>
              <w:rPr>
                <w:b/>
                <w:lang w:val="ro-RO"/>
              </w:rPr>
            </w:pPr>
            <w:r w:rsidRPr="002152E4">
              <w:rPr>
                <w:i/>
                <w:lang w:val="ro-RO"/>
              </w:rPr>
              <w:t xml:space="preserve">  +/-</w:t>
            </w:r>
            <w:r w:rsidRPr="002152E4">
              <w:rPr>
                <w:b/>
                <w:i/>
                <w:lang w:val="ro-RO"/>
              </w:rPr>
              <w:t>2015</w:t>
            </w:r>
          </w:p>
        </w:tc>
        <w:tc>
          <w:tcPr>
            <w:tcW w:w="1774" w:type="dxa"/>
            <w:tcBorders>
              <w:top w:val="threeDEmboss" w:sz="6" w:space="0" w:color="00B050"/>
              <w:bottom w:val="threeDEmboss" w:sz="6" w:space="0" w:color="00B050"/>
            </w:tcBorders>
            <w:shd w:val="clear" w:color="auto" w:fill="FBD4B4"/>
            <w:vAlign w:val="center"/>
          </w:tcPr>
          <w:p w:rsidR="007442AA" w:rsidRPr="002152E4" w:rsidRDefault="007442AA" w:rsidP="007442AA">
            <w:pPr>
              <w:widowControl w:val="0"/>
              <w:jc w:val="center"/>
              <w:rPr>
                <w:b/>
                <w:lang w:val="ro-RO"/>
              </w:rPr>
            </w:pPr>
            <w:r w:rsidRPr="002152E4">
              <w:rPr>
                <w:b/>
                <w:lang w:val="ro-RO"/>
              </w:rPr>
              <w:t>+17,8</w:t>
            </w:r>
          </w:p>
        </w:tc>
        <w:tc>
          <w:tcPr>
            <w:tcW w:w="2223" w:type="dxa"/>
            <w:tcBorders>
              <w:top w:val="threeDEmboss" w:sz="6" w:space="0" w:color="00B050"/>
              <w:bottom w:val="threeDEmboss" w:sz="6" w:space="0" w:color="00B050"/>
            </w:tcBorders>
            <w:shd w:val="clear" w:color="auto" w:fill="FBD4B4"/>
            <w:vAlign w:val="center"/>
          </w:tcPr>
          <w:p w:rsidR="007442AA" w:rsidRPr="002152E4" w:rsidRDefault="007442AA" w:rsidP="007442AA">
            <w:pPr>
              <w:widowControl w:val="0"/>
              <w:jc w:val="center"/>
              <w:rPr>
                <w:b/>
                <w:lang w:val="ro-RO"/>
              </w:rPr>
            </w:pPr>
            <w:r w:rsidRPr="002152E4">
              <w:rPr>
                <w:b/>
                <w:lang w:val="ro-RO"/>
              </w:rPr>
              <w:t>-</w:t>
            </w:r>
          </w:p>
        </w:tc>
        <w:tc>
          <w:tcPr>
            <w:tcW w:w="2223" w:type="dxa"/>
            <w:tcBorders>
              <w:top w:val="threeDEmboss" w:sz="6" w:space="0" w:color="00B050"/>
              <w:bottom w:val="threeDEmboss" w:sz="6" w:space="0" w:color="00B050"/>
            </w:tcBorders>
            <w:shd w:val="clear" w:color="auto" w:fill="FBD4B4"/>
            <w:vAlign w:val="center"/>
          </w:tcPr>
          <w:p w:rsidR="007442AA" w:rsidRPr="002152E4" w:rsidRDefault="007442AA" w:rsidP="007442AA">
            <w:pPr>
              <w:widowControl w:val="0"/>
              <w:jc w:val="center"/>
              <w:rPr>
                <w:b/>
                <w:lang w:val="ro-RO"/>
              </w:rPr>
            </w:pPr>
            <w:r w:rsidRPr="002152E4">
              <w:rPr>
                <w:b/>
                <w:lang w:val="ro-RO"/>
              </w:rPr>
              <w:t>+17,5</w:t>
            </w:r>
          </w:p>
        </w:tc>
        <w:tc>
          <w:tcPr>
            <w:tcW w:w="2223" w:type="dxa"/>
            <w:tcBorders>
              <w:top w:val="threeDEmboss" w:sz="6" w:space="0" w:color="00B050"/>
              <w:bottom w:val="threeDEmboss" w:sz="6" w:space="0" w:color="00B050"/>
              <w:right w:val="threeDEmboss" w:sz="6" w:space="0" w:color="00B050"/>
            </w:tcBorders>
            <w:shd w:val="clear" w:color="auto" w:fill="FBD4B4"/>
            <w:vAlign w:val="center"/>
          </w:tcPr>
          <w:p w:rsidR="007442AA" w:rsidRPr="002152E4" w:rsidRDefault="007442AA" w:rsidP="007442AA">
            <w:pPr>
              <w:widowControl w:val="0"/>
              <w:jc w:val="center"/>
              <w:rPr>
                <w:b/>
                <w:lang w:val="ro-RO"/>
              </w:rPr>
            </w:pPr>
            <w:r w:rsidRPr="002152E4">
              <w:rPr>
                <w:b/>
                <w:lang w:val="ro-RO"/>
              </w:rPr>
              <w:t>+3,7</w:t>
            </w:r>
          </w:p>
        </w:tc>
      </w:tr>
    </w:tbl>
    <w:p w:rsidR="007442AA" w:rsidRPr="002152E4" w:rsidRDefault="007442AA" w:rsidP="007442AA">
      <w:pPr>
        <w:rPr>
          <w:b/>
          <w:lang w:val="ro-RO"/>
        </w:rPr>
      </w:pPr>
    </w:p>
    <w:p w:rsidR="005B0822" w:rsidRPr="002152E4" w:rsidRDefault="005B0822" w:rsidP="007442AA">
      <w:pPr>
        <w:rPr>
          <w:b/>
          <w:lang w:val="ro-RO"/>
        </w:rPr>
      </w:pPr>
    </w:p>
    <w:p w:rsidR="005B0822" w:rsidRPr="002152E4" w:rsidRDefault="005B0822" w:rsidP="007442AA">
      <w:pPr>
        <w:rPr>
          <w:b/>
          <w:lang w:val="ro-RO"/>
        </w:rPr>
      </w:pPr>
    </w:p>
    <w:p w:rsidR="007442AA" w:rsidRPr="002152E4" w:rsidRDefault="007442AA" w:rsidP="007442AA">
      <w:pPr>
        <w:rPr>
          <w:b/>
          <w:lang w:val="ro-RO"/>
        </w:rPr>
      </w:pPr>
      <w:r w:rsidRPr="002152E4">
        <w:rPr>
          <w:b/>
          <w:lang w:val="ro-RO"/>
        </w:rPr>
        <w:t xml:space="preserve">8. INFRACŢUNI CARE ADUC ATINGERE UNOR RELAŢII PRIVIND CONVIEŢUIREA SOCIALĂ </w:t>
      </w:r>
    </w:p>
    <w:p w:rsidR="007442AA" w:rsidRPr="002152E4" w:rsidRDefault="007442AA" w:rsidP="007442AA">
      <w:pPr>
        <w:rPr>
          <w:b/>
          <w:lang w:val="ro-RO"/>
        </w:rPr>
      </w:pPr>
      <w:r w:rsidRPr="002152E4">
        <w:rPr>
          <w:b/>
          <w:lang w:val="ro-RO"/>
        </w:rPr>
        <w:t xml:space="preserve">(ART. 367 – </w:t>
      </w:r>
      <w:smartTag w:uri="urn:schemas-microsoft-com:office:smarttags" w:element="metricconverter">
        <w:smartTagPr>
          <w:attr w:name="ProductID" w:val="384 C"/>
        </w:smartTagPr>
        <w:r w:rsidRPr="002152E4">
          <w:rPr>
            <w:b/>
            <w:lang w:val="ro-RO"/>
          </w:rPr>
          <w:t>384 C</w:t>
        </w:r>
      </w:smartTag>
      <w:r w:rsidRPr="002152E4">
        <w:rPr>
          <w:b/>
          <w:lang w:val="ro-RO"/>
        </w:rPr>
        <w:t>.P.)</w:t>
      </w:r>
    </w:p>
    <w:tbl>
      <w:tblPr>
        <w:tblW w:w="9342"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101"/>
        <w:gridCol w:w="1401"/>
        <w:gridCol w:w="1368"/>
        <w:gridCol w:w="1368"/>
        <w:gridCol w:w="1108"/>
        <w:gridCol w:w="1276"/>
        <w:gridCol w:w="1720"/>
      </w:tblGrid>
      <w:tr w:rsidR="00F8404C" w:rsidRPr="002152E4" w:rsidTr="007A3F5C">
        <w:trPr>
          <w:cantSplit/>
          <w:trHeight w:val="1397"/>
        </w:trPr>
        <w:tc>
          <w:tcPr>
            <w:tcW w:w="1101" w:type="dxa"/>
            <w:vMerge w:val="restart"/>
            <w:tcBorders>
              <w:top w:val="threeDEmboss" w:sz="6" w:space="0" w:color="00B050"/>
              <w:left w:val="threeDEmboss" w:sz="6" w:space="0" w:color="00B050"/>
              <w:bottom w:val="threeDEmboss" w:sz="6" w:space="0" w:color="00B050"/>
            </w:tcBorders>
            <w:shd w:val="clear" w:color="auto" w:fill="FCE0C8"/>
          </w:tcPr>
          <w:p w:rsidR="00F8404C" w:rsidRPr="002152E4" w:rsidRDefault="00F8404C" w:rsidP="007A3F5C">
            <w:pPr>
              <w:rPr>
                <w:b/>
                <w:sz w:val="22"/>
                <w:szCs w:val="22"/>
                <w:lang w:val="ro-RO"/>
              </w:rPr>
            </w:pPr>
          </w:p>
          <w:p w:rsidR="00F8404C" w:rsidRPr="002152E4" w:rsidRDefault="00F8404C" w:rsidP="001A66BB">
            <w:pPr>
              <w:pStyle w:val="Heading1"/>
            </w:pPr>
            <w:bookmarkStart w:id="142" w:name="_Toc475362955"/>
            <w:bookmarkStart w:id="143" w:name="_Toc475363327"/>
            <w:bookmarkStart w:id="144" w:name="_Toc475363430"/>
            <w:bookmarkEnd w:id="142"/>
            <w:bookmarkEnd w:id="143"/>
            <w:bookmarkEnd w:id="144"/>
          </w:p>
          <w:p w:rsidR="00F8404C" w:rsidRPr="002152E4" w:rsidRDefault="00F8404C" w:rsidP="001A66BB">
            <w:pPr>
              <w:pStyle w:val="Heading1"/>
            </w:pPr>
            <w:bookmarkStart w:id="145" w:name="_Toc475362956"/>
            <w:bookmarkStart w:id="146" w:name="_Toc475363328"/>
            <w:bookmarkStart w:id="147" w:name="_Toc475363431"/>
            <w:bookmarkStart w:id="148" w:name="_Toc476907732"/>
            <w:bookmarkStart w:id="149" w:name="_Toc486576553"/>
            <w:r w:rsidRPr="002152E4">
              <w:t>ANUL</w:t>
            </w:r>
            <w:bookmarkEnd w:id="145"/>
            <w:bookmarkEnd w:id="146"/>
            <w:bookmarkEnd w:id="147"/>
            <w:bookmarkEnd w:id="148"/>
            <w:bookmarkEnd w:id="149"/>
          </w:p>
        </w:tc>
        <w:tc>
          <w:tcPr>
            <w:tcW w:w="1401" w:type="dxa"/>
            <w:vMerge w:val="restart"/>
            <w:tcBorders>
              <w:top w:val="threeDEmboss" w:sz="6" w:space="0" w:color="00B050"/>
              <w:bottom w:val="threeDEmboss" w:sz="6" w:space="0" w:color="00B050"/>
            </w:tcBorders>
            <w:shd w:val="clear" w:color="auto" w:fill="FCE0C8"/>
          </w:tcPr>
          <w:p w:rsidR="00F8404C" w:rsidRPr="002152E4" w:rsidRDefault="00F8404C" w:rsidP="007A3F5C">
            <w:pPr>
              <w:jc w:val="center"/>
              <w:rPr>
                <w:b/>
                <w:sz w:val="22"/>
                <w:szCs w:val="22"/>
                <w:lang w:val="ro-RO"/>
              </w:rPr>
            </w:pPr>
            <w:r w:rsidRPr="002152E4">
              <w:rPr>
                <w:b/>
                <w:sz w:val="22"/>
                <w:szCs w:val="22"/>
                <w:lang w:val="ro-RO"/>
              </w:rPr>
              <w:t>TOTAL TRIMIŞI ÎN JUDECATĂ din care:</w:t>
            </w:r>
          </w:p>
        </w:tc>
        <w:tc>
          <w:tcPr>
            <w:tcW w:w="1368" w:type="dxa"/>
            <w:vMerge w:val="restart"/>
            <w:tcBorders>
              <w:top w:val="threeDEmboss" w:sz="6" w:space="0" w:color="00B050"/>
              <w:bottom w:val="threeDEmboss" w:sz="6" w:space="0" w:color="00B050"/>
            </w:tcBorders>
            <w:shd w:val="clear" w:color="auto" w:fill="FCE0C8"/>
          </w:tcPr>
          <w:p w:rsidR="00F8404C" w:rsidRPr="002152E4" w:rsidRDefault="00F8404C" w:rsidP="007A3F5C">
            <w:pPr>
              <w:jc w:val="center"/>
              <w:rPr>
                <w:b/>
                <w:sz w:val="22"/>
                <w:szCs w:val="22"/>
                <w:lang w:val="ro-RO"/>
              </w:rPr>
            </w:pPr>
            <w:r w:rsidRPr="002152E4">
              <w:rPr>
                <w:b/>
                <w:sz w:val="22"/>
                <w:szCs w:val="22"/>
                <w:lang w:val="ro-RO"/>
              </w:rPr>
              <w:t xml:space="preserve">pondere în </w:t>
            </w:r>
          </w:p>
          <w:p w:rsidR="00F8404C" w:rsidRPr="002152E4" w:rsidRDefault="00F8404C" w:rsidP="007A3F5C">
            <w:pPr>
              <w:jc w:val="center"/>
              <w:rPr>
                <w:b/>
                <w:sz w:val="22"/>
                <w:szCs w:val="22"/>
                <w:lang w:val="ro-RO"/>
              </w:rPr>
            </w:pPr>
            <w:r w:rsidRPr="002152E4">
              <w:rPr>
                <w:b/>
                <w:sz w:val="22"/>
                <w:szCs w:val="22"/>
                <w:lang w:val="ro-RO"/>
              </w:rPr>
              <w:t xml:space="preserve">total general </w:t>
            </w:r>
          </w:p>
          <w:p w:rsidR="00F8404C" w:rsidRPr="002152E4" w:rsidRDefault="00F8404C" w:rsidP="007A3F5C">
            <w:pPr>
              <w:jc w:val="center"/>
              <w:rPr>
                <w:b/>
                <w:sz w:val="22"/>
                <w:szCs w:val="22"/>
                <w:lang w:val="ro-RO"/>
              </w:rPr>
            </w:pPr>
            <w:r w:rsidRPr="002152E4">
              <w:rPr>
                <w:b/>
                <w:sz w:val="22"/>
                <w:szCs w:val="22"/>
                <w:lang w:val="ro-RO"/>
              </w:rPr>
              <w:t>inculpați p.f.</w:t>
            </w:r>
          </w:p>
          <w:p w:rsidR="00F8404C" w:rsidRPr="002152E4" w:rsidRDefault="00F8404C" w:rsidP="007A3F5C">
            <w:pPr>
              <w:jc w:val="center"/>
              <w:rPr>
                <w:b/>
                <w:sz w:val="22"/>
                <w:szCs w:val="22"/>
                <w:lang w:val="ro-RO"/>
              </w:rPr>
            </w:pPr>
            <w:r w:rsidRPr="002152E4">
              <w:rPr>
                <w:b/>
                <w:sz w:val="22"/>
                <w:szCs w:val="22"/>
                <w:lang w:val="ro-RO"/>
              </w:rPr>
              <w:t xml:space="preserve">trimişi în </w:t>
            </w:r>
          </w:p>
          <w:p w:rsidR="00F8404C" w:rsidRPr="002152E4" w:rsidRDefault="00F8404C" w:rsidP="007A3F5C">
            <w:pPr>
              <w:jc w:val="center"/>
              <w:rPr>
                <w:b/>
                <w:sz w:val="22"/>
                <w:szCs w:val="22"/>
                <w:lang w:val="ro-RO"/>
              </w:rPr>
            </w:pPr>
            <w:r w:rsidRPr="002152E4">
              <w:rPr>
                <w:b/>
                <w:sz w:val="22"/>
                <w:szCs w:val="22"/>
                <w:lang w:val="ro-RO"/>
              </w:rPr>
              <w:t>judecată (%)</w:t>
            </w:r>
          </w:p>
        </w:tc>
        <w:tc>
          <w:tcPr>
            <w:tcW w:w="1368" w:type="dxa"/>
            <w:vMerge w:val="restart"/>
            <w:tcBorders>
              <w:top w:val="threeDEmboss" w:sz="6" w:space="0" w:color="00B050"/>
              <w:bottom w:val="threeDEmboss" w:sz="6" w:space="0" w:color="00B050"/>
            </w:tcBorders>
            <w:shd w:val="clear" w:color="auto" w:fill="FCE0C8"/>
          </w:tcPr>
          <w:p w:rsidR="00F8404C" w:rsidRPr="002152E4" w:rsidRDefault="00F8404C" w:rsidP="007A3F5C">
            <w:pPr>
              <w:jc w:val="center"/>
              <w:rPr>
                <w:b/>
                <w:sz w:val="22"/>
                <w:szCs w:val="22"/>
                <w:lang w:val="ro-RO"/>
              </w:rPr>
            </w:pPr>
            <w:r w:rsidRPr="002152E4">
              <w:rPr>
                <w:b/>
                <w:sz w:val="22"/>
                <w:szCs w:val="22"/>
                <w:lang w:val="ro-RO"/>
              </w:rPr>
              <w:t>constituirea unui grup infracțional organizat</w:t>
            </w:r>
          </w:p>
          <w:p w:rsidR="00F8404C" w:rsidRPr="002152E4" w:rsidRDefault="00F8404C" w:rsidP="007A3F5C">
            <w:pPr>
              <w:jc w:val="center"/>
              <w:rPr>
                <w:b/>
                <w:sz w:val="22"/>
                <w:szCs w:val="22"/>
                <w:lang w:val="ro-RO"/>
              </w:rPr>
            </w:pPr>
            <w:r w:rsidRPr="002152E4">
              <w:rPr>
                <w:b/>
                <w:sz w:val="22"/>
                <w:szCs w:val="22"/>
                <w:lang w:val="ro-RO"/>
              </w:rPr>
              <w:t xml:space="preserve">(art. </w:t>
            </w:r>
            <w:smartTag w:uri="urn:schemas-microsoft-com:office:smarttags" w:element="metricconverter">
              <w:smartTagPr>
                <w:attr w:name="ProductID" w:val="367 C"/>
              </w:smartTagPr>
              <w:r w:rsidRPr="002152E4">
                <w:rPr>
                  <w:b/>
                  <w:sz w:val="22"/>
                  <w:szCs w:val="22"/>
                  <w:lang w:val="ro-RO"/>
                </w:rPr>
                <w:t>367 C</w:t>
              </w:r>
            </w:smartTag>
            <w:r w:rsidRPr="002152E4">
              <w:rPr>
                <w:b/>
                <w:sz w:val="22"/>
                <w:szCs w:val="22"/>
                <w:lang w:val="ro-RO"/>
              </w:rPr>
              <w:t>.p.)</w:t>
            </w:r>
          </w:p>
        </w:tc>
        <w:tc>
          <w:tcPr>
            <w:tcW w:w="1108" w:type="dxa"/>
            <w:vMerge w:val="restart"/>
            <w:tcBorders>
              <w:top w:val="threeDEmboss" w:sz="6" w:space="0" w:color="00B050"/>
              <w:bottom w:val="threeDEmboss" w:sz="6" w:space="0" w:color="00B050"/>
            </w:tcBorders>
            <w:shd w:val="clear" w:color="auto" w:fill="FCE0C8"/>
          </w:tcPr>
          <w:p w:rsidR="00F8404C" w:rsidRPr="002152E4" w:rsidRDefault="00F8404C" w:rsidP="007A3F5C">
            <w:pPr>
              <w:jc w:val="center"/>
              <w:rPr>
                <w:b/>
                <w:sz w:val="22"/>
                <w:szCs w:val="22"/>
                <w:lang w:val="ro-RO"/>
              </w:rPr>
            </w:pPr>
            <w:r w:rsidRPr="002152E4">
              <w:rPr>
                <w:b/>
                <w:sz w:val="22"/>
                <w:szCs w:val="22"/>
                <w:lang w:val="ro-RO"/>
              </w:rPr>
              <w:t>pornografie infantilă</w:t>
            </w:r>
          </w:p>
          <w:p w:rsidR="00F8404C" w:rsidRPr="002152E4" w:rsidRDefault="00F8404C" w:rsidP="007A3F5C">
            <w:pPr>
              <w:jc w:val="center"/>
              <w:rPr>
                <w:b/>
                <w:sz w:val="22"/>
                <w:szCs w:val="22"/>
                <w:lang w:val="ro-RO"/>
              </w:rPr>
            </w:pPr>
            <w:r w:rsidRPr="002152E4">
              <w:rPr>
                <w:b/>
                <w:sz w:val="22"/>
                <w:szCs w:val="22"/>
                <w:lang w:val="ro-RO"/>
              </w:rPr>
              <w:t xml:space="preserve">(art. </w:t>
            </w:r>
            <w:smartTag w:uri="urn:schemas-microsoft-com:office:smarttags" w:element="metricconverter">
              <w:smartTagPr>
                <w:attr w:name="ProductID" w:val="374 C"/>
              </w:smartTagPr>
              <w:r w:rsidRPr="002152E4">
                <w:rPr>
                  <w:b/>
                  <w:sz w:val="22"/>
                  <w:szCs w:val="22"/>
                  <w:lang w:val="ro-RO"/>
                </w:rPr>
                <w:t>374 C</w:t>
              </w:r>
            </w:smartTag>
            <w:r w:rsidRPr="002152E4">
              <w:rPr>
                <w:b/>
                <w:sz w:val="22"/>
                <w:szCs w:val="22"/>
                <w:lang w:val="ro-RO"/>
              </w:rPr>
              <w:t>.p.)</w:t>
            </w:r>
          </w:p>
        </w:tc>
        <w:tc>
          <w:tcPr>
            <w:tcW w:w="1276" w:type="dxa"/>
            <w:vMerge w:val="restart"/>
            <w:tcBorders>
              <w:top w:val="threeDEmboss" w:sz="6" w:space="0" w:color="00B050"/>
              <w:bottom w:val="threeDEmboss" w:sz="6" w:space="0" w:color="00B050"/>
            </w:tcBorders>
            <w:shd w:val="clear" w:color="auto" w:fill="FCE0C8"/>
          </w:tcPr>
          <w:p w:rsidR="00F8404C" w:rsidRPr="002152E4" w:rsidRDefault="00F8404C" w:rsidP="007A3F5C">
            <w:pPr>
              <w:jc w:val="center"/>
              <w:rPr>
                <w:b/>
                <w:sz w:val="22"/>
                <w:szCs w:val="22"/>
                <w:lang w:val="ro-RO"/>
              </w:rPr>
            </w:pPr>
            <w:r w:rsidRPr="002152E4">
              <w:rPr>
                <w:b/>
                <w:sz w:val="22"/>
                <w:szCs w:val="22"/>
                <w:lang w:val="ro-RO"/>
              </w:rPr>
              <w:t xml:space="preserve">abandon </w:t>
            </w:r>
          </w:p>
          <w:p w:rsidR="00F8404C" w:rsidRPr="002152E4" w:rsidRDefault="00F8404C" w:rsidP="007A3F5C">
            <w:pPr>
              <w:jc w:val="center"/>
              <w:rPr>
                <w:b/>
                <w:sz w:val="22"/>
                <w:szCs w:val="22"/>
                <w:lang w:val="ro-RO"/>
              </w:rPr>
            </w:pPr>
            <w:r w:rsidRPr="002152E4">
              <w:rPr>
                <w:b/>
                <w:sz w:val="22"/>
                <w:szCs w:val="22"/>
                <w:lang w:val="ro-RO"/>
              </w:rPr>
              <w:t xml:space="preserve">de familie </w:t>
            </w:r>
          </w:p>
          <w:p w:rsidR="00F8404C" w:rsidRPr="002152E4" w:rsidRDefault="00F8404C" w:rsidP="007A3F5C">
            <w:pPr>
              <w:jc w:val="center"/>
              <w:rPr>
                <w:b/>
                <w:sz w:val="22"/>
                <w:szCs w:val="22"/>
                <w:lang w:val="ro-RO"/>
              </w:rPr>
            </w:pPr>
            <w:r w:rsidRPr="002152E4">
              <w:rPr>
                <w:b/>
                <w:sz w:val="22"/>
                <w:szCs w:val="22"/>
                <w:lang w:val="ro-RO"/>
              </w:rPr>
              <w:t xml:space="preserve">(art. </w:t>
            </w:r>
            <w:smartTag w:uri="urn:schemas-microsoft-com:office:smarttags" w:element="metricconverter">
              <w:smartTagPr>
                <w:attr w:name="ProductID" w:val="378 C"/>
              </w:smartTagPr>
              <w:r w:rsidRPr="002152E4">
                <w:rPr>
                  <w:b/>
                  <w:sz w:val="22"/>
                  <w:szCs w:val="22"/>
                  <w:lang w:val="ro-RO"/>
                </w:rPr>
                <w:t>378 C</w:t>
              </w:r>
            </w:smartTag>
            <w:r w:rsidRPr="002152E4">
              <w:rPr>
                <w:b/>
                <w:sz w:val="22"/>
                <w:szCs w:val="22"/>
                <w:lang w:val="ro-RO"/>
              </w:rPr>
              <w:t>.p.)</w:t>
            </w:r>
          </w:p>
        </w:tc>
        <w:tc>
          <w:tcPr>
            <w:tcW w:w="1720" w:type="dxa"/>
            <w:vMerge w:val="restart"/>
            <w:tcBorders>
              <w:top w:val="threeDEmboss" w:sz="6" w:space="0" w:color="00B050"/>
              <w:bottom w:val="threeDEmboss" w:sz="6" w:space="0" w:color="00B050"/>
              <w:right w:val="threeDEmboss" w:sz="6" w:space="0" w:color="00B050"/>
            </w:tcBorders>
            <w:shd w:val="clear" w:color="auto" w:fill="FCE0C8"/>
          </w:tcPr>
          <w:p w:rsidR="00F8404C" w:rsidRPr="002152E4" w:rsidRDefault="00F8404C" w:rsidP="007A3F5C">
            <w:pPr>
              <w:jc w:val="center"/>
              <w:rPr>
                <w:b/>
                <w:sz w:val="22"/>
                <w:szCs w:val="22"/>
                <w:lang w:val="ro-RO"/>
              </w:rPr>
            </w:pPr>
            <w:r w:rsidRPr="002152E4">
              <w:rPr>
                <w:b/>
                <w:sz w:val="22"/>
                <w:szCs w:val="22"/>
                <w:lang w:val="ro-RO"/>
              </w:rPr>
              <w:t>nerespectarea măsurilor privind încredințarea minorului</w:t>
            </w:r>
          </w:p>
          <w:p w:rsidR="00F8404C" w:rsidRPr="002152E4" w:rsidRDefault="00F8404C" w:rsidP="007A3F5C">
            <w:pPr>
              <w:jc w:val="center"/>
              <w:rPr>
                <w:b/>
                <w:sz w:val="22"/>
                <w:szCs w:val="22"/>
                <w:lang w:val="ro-RO"/>
              </w:rPr>
            </w:pPr>
            <w:r w:rsidRPr="002152E4">
              <w:rPr>
                <w:b/>
                <w:sz w:val="22"/>
                <w:szCs w:val="22"/>
                <w:lang w:val="ro-RO"/>
              </w:rPr>
              <w:t xml:space="preserve">(art. </w:t>
            </w:r>
            <w:smartTag w:uri="urn:schemas-microsoft-com:office:smarttags" w:element="metricconverter">
              <w:smartTagPr>
                <w:attr w:name="ProductID" w:val="379 C"/>
              </w:smartTagPr>
              <w:r w:rsidRPr="002152E4">
                <w:rPr>
                  <w:b/>
                  <w:sz w:val="22"/>
                  <w:szCs w:val="22"/>
                  <w:lang w:val="ro-RO"/>
                </w:rPr>
                <w:t>379 C</w:t>
              </w:r>
            </w:smartTag>
            <w:r w:rsidRPr="002152E4">
              <w:rPr>
                <w:b/>
                <w:sz w:val="22"/>
                <w:szCs w:val="22"/>
                <w:lang w:val="ro-RO"/>
              </w:rPr>
              <w:t>.p.)</w:t>
            </w:r>
          </w:p>
        </w:tc>
      </w:tr>
      <w:tr w:rsidR="00F8404C" w:rsidRPr="002152E4" w:rsidTr="007A3F5C">
        <w:trPr>
          <w:cantSplit/>
          <w:trHeight w:val="873"/>
        </w:trPr>
        <w:tc>
          <w:tcPr>
            <w:tcW w:w="1101" w:type="dxa"/>
            <w:vMerge/>
            <w:tcBorders>
              <w:left w:val="threeDEmboss" w:sz="6" w:space="0" w:color="00B050"/>
              <w:bottom w:val="threeDEmboss" w:sz="6" w:space="0" w:color="00B050"/>
            </w:tcBorders>
          </w:tcPr>
          <w:p w:rsidR="00F8404C" w:rsidRPr="002152E4" w:rsidRDefault="00F8404C" w:rsidP="001A66BB">
            <w:pPr>
              <w:pStyle w:val="Heading1"/>
            </w:pPr>
            <w:bookmarkStart w:id="150" w:name="_Toc475362957"/>
            <w:bookmarkStart w:id="151" w:name="_Toc475363329"/>
            <w:bookmarkStart w:id="152" w:name="_Toc475363432"/>
            <w:bookmarkEnd w:id="150"/>
            <w:bookmarkEnd w:id="151"/>
            <w:bookmarkEnd w:id="152"/>
          </w:p>
        </w:tc>
        <w:tc>
          <w:tcPr>
            <w:tcW w:w="1401" w:type="dxa"/>
            <w:vMerge/>
            <w:tcBorders>
              <w:bottom w:val="threeDEmboss" w:sz="6" w:space="0" w:color="00B050"/>
            </w:tcBorders>
          </w:tcPr>
          <w:p w:rsidR="00F8404C" w:rsidRPr="002152E4" w:rsidRDefault="00F8404C" w:rsidP="007A3F5C">
            <w:pPr>
              <w:jc w:val="center"/>
              <w:rPr>
                <w:b/>
                <w:lang w:val="ro-RO"/>
              </w:rPr>
            </w:pPr>
          </w:p>
        </w:tc>
        <w:tc>
          <w:tcPr>
            <w:tcW w:w="1368" w:type="dxa"/>
            <w:vMerge/>
            <w:tcBorders>
              <w:bottom w:val="threeDEmboss" w:sz="6" w:space="0" w:color="00B050"/>
            </w:tcBorders>
            <w:textDirection w:val="btLr"/>
          </w:tcPr>
          <w:p w:rsidR="00F8404C" w:rsidRPr="002152E4" w:rsidRDefault="00F8404C" w:rsidP="007A3F5C">
            <w:pPr>
              <w:ind w:left="113" w:right="113"/>
              <w:jc w:val="center"/>
              <w:rPr>
                <w:lang w:val="ro-RO"/>
              </w:rPr>
            </w:pPr>
          </w:p>
        </w:tc>
        <w:tc>
          <w:tcPr>
            <w:tcW w:w="1368" w:type="dxa"/>
            <w:vMerge/>
            <w:tcBorders>
              <w:bottom w:val="threeDEmboss" w:sz="6" w:space="0" w:color="00B050"/>
            </w:tcBorders>
          </w:tcPr>
          <w:p w:rsidR="00F8404C" w:rsidRPr="002152E4" w:rsidRDefault="00F8404C" w:rsidP="007A3F5C">
            <w:pPr>
              <w:jc w:val="center"/>
              <w:rPr>
                <w:lang w:val="ro-RO"/>
              </w:rPr>
            </w:pPr>
          </w:p>
        </w:tc>
        <w:tc>
          <w:tcPr>
            <w:tcW w:w="1108" w:type="dxa"/>
            <w:vMerge/>
            <w:tcBorders>
              <w:bottom w:val="threeDEmboss" w:sz="6" w:space="0" w:color="00B050"/>
            </w:tcBorders>
          </w:tcPr>
          <w:p w:rsidR="00F8404C" w:rsidRPr="002152E4" w:rsidRDefault="00F8404C" w:rsidP="007A3F5C">
            <w:pPr>
              <w:jc w:val="center"/>
              <w:rPr>
                <w:lang w:val="ro-RO"/>
              </w:rPr>
            </w:pPr>
          </w:p>
        </w:tc>
        <w:tc>
          <w:tcPr>
            <w:tcW w:w="1276" w:type="dxa"/>
            <w:vMerge/>
            <w:tcBorders>
              <w:bottom w:val="threeDEmboss" w:sz="6" w:space="0" w:color="00B050"/>
            </w:tcBorders>
          </w:tcPr>
          <w:p w:rsidR="00F8404C" w:rsidRPr="002152E4" w:rsidRDefault="00F8404C" w:rsidP="007A3F5C">
            <w:pPr>
              <w:jc w:val="center"/>
              <w:rPr>
                <w:lang w:val="ro-RO"/>
              </w:rPr>
            </w:pPr>
          </w:p>
        </w:tc>
        <w:tc>
          <w:tcPr>
            <w:tcW w:w="1720" w:type="dxa"/>
            <w:vMerge/>
            <w:tcBorders>
              <w:bottom w:val="threeDEmboss" w:sz="6" w:space="0" w:color="00B050"/>
              <w:right w:val="threeDEmboss" w:sz="6" w:space="0" w:color="00B050"/>
            </w:tcBorders>
          </w:tcPr>
          <w:p w:rsidR="00F8404C" w:rsidRPr="002152E4" w:rsidRDefault="00F8404C" w:rsidP="007A3F5C">
            <w:pPr>
              <w:jc w:val="center"/>
              <w:rPr>
                <w:lang w:val="ro-RO"/>
              </w:rPr>
            </w:pPr>
          </w:p>
        </w:tc>
      </w:tr>
      <w:tr w:rsidR="00F8404C" w:rsidRPr="002152E4" w:rsidTr="007A3F5C">
        <w:tc>
          <w:tcPr>
            <w:tcW w:w="1101" w:type="dxa"/>
            <w:tcBorders>
              <w:top w:val="threeDEmboss" w:sz="6" w:space="0" w:color="00B050"/>
            </w:tcBorders>
          </w:tcPr>
          <w:p w:rsidR="00F8404C" w:rsidRPr="002152E4" w:rsidRDefault="00F8404C" w:rsidP="007A3F5C">
            <w:pPr>
              <w:jc w:val="center"/>
              <w:rPr>
                <w:lang w:val="ro-RO"/>
              </w:rPr>
            </w:pPr>
            <w:r w:rsidRPr="002152E4">
              <w:rPr>
                <w:lang w:val="ro-RO"/>
              </w:rPr>
              <w:t>2007</w:t>
            </w:r>
          </w:p>
        </w:tc>
        <w:tc>
          <w:tcPr>
            <w:tcW w:w="1401" w:type="dxa"/>
            <w:tcBorders>
              <w:top w:val="threeDEmboss" w:sz="6" w:space="0" w:color="00B050"/>
            </w:tcBorders>
            <w:vAlign w:val="bottom"/>
          </w:tcPr>
          <w:p w:rsidR="00F8404C" w:rsidRPr="002152E4" w:rsidRDefault="00F8404C" w:rsidP="007A3F5C">
            <w:pPr>
              <w:jc w:val="center"/>
              <w:rPr>
                <w:lang w:val="ro-RO"/>
              </w:rPr>
            </w:pPr>
            <w:r w:rsidRPr="002152E4">
              <w:rPr>
                <w:lang w:val="ro-RO"/>
              </w:rPr>
              <w:t>2.196</w:t>
            </w:r>
          </w:p>
        </w:tc>
        <w:tc>
          <w:tcPr>
            <w:tcW w:w="1368" w:type="dxa"/>
            <w:tcBorders>
              <w:top w:val="threeDEmboss" w:sz="6" w:space="0" w:color="00B050"/>
            </w:tcBorders>
            <w:vAlign w:val="bottom"/>
          </w:tcPr>
          <w:p w:rsidR="00F8404C" w:rsidRPr="002152E4" w:rsidRDefault="00F8404C" w:rsidP="007A3F5C">
            <w:pPr>
              <w:jc w:val="center"/>
              <w:rPr>
                <w:lang w:val="ro-RO"/>
              </w:rPr>
            </w:pPr>
            <w:r w:rsidRPr="002152E4">
              <w:rPr>
                <w:lang w:val="ro-RO"/>
              </w:rPr>
              <w:t>4,6</w:t>
            </w:r>
          </w:p>
        </w:tc>
        <w:tc>
          <w:tcPr>
            <w:tcW w:w="1368" w:type="dxa"/>
            <w:tcBorders>
              <w:top w:val="threeDEmboss" w:sz="6" w:space="0" w:color="00B050"/>
            </w:tcBorders>
            <w:vAlign w:val="bottom"/>
          </w:tcPr>
          <w:p w:rsidR="00F8404C" w:rsidRPr="002152E4" w:rsidRDefault="00F8404C" w:rsidP="007A3F5C">
            <w:pPr>
              <w:jc w:val="center"/>
              <w:rPr>
                <w:lang w:val="ro-RO"/>
              </w:rPr>
            </w:pPr>
            <w:r w:rsidRPr="002152E4">
              <w:rPr>
                <w:lang w:val="ro-RO"/>
              </w:rPr>
              <w:t>423</w:t>
            </w:r>
          </w:p>
        </w:tc>
        <w:tc>
          <w:tcPr>
            <w:tcW w:w="1108" w:type="dxa"/>
            <w:tcBorders>
              <w:top w:val="threeDEmboss" w:sz="6" w:space="0" w:color="00B050"/>
            </w:tcBorders>
            <w:vAlign w:val="bottom"/>
          </w:tcPr>
          <w:p w:rsidR="00F8404C" w:rsidRPr="002152E4" w:rsidRDefault="00F8404C" w:rsidP="007A3F5C">
            <w:pPr>
              <w:jc w:val="center"/>
              <w:rPr>
                <w:lang w:val="ro-RO"/>
              </w:rPr>
            </w:pPr>
            <w:r w:rsidRPr="002152E4">
              <w:rPr>
                <w:lang w:val="ro-RO"/>
              </w:rPr>
              <w:t>1</w:t>
            </w:r>
          </w:p>
        </w:tc>
        <w:tc>
          <w:tcPr>
            <w:tcW w:w="1276" w:type="dxa"/>
            <w:tcBorders>
              <w:top w:val="threeDEmboss" w:sz="6" w:space="0" w:color="00B050"/>
            </w:tcBorders>
            <w:vAlign w:val="bottom"/>
          </w:tcPr>
          <w:p w:rsidR="00F8404C" w:rsidRPr="002152E4" w:rsidRDefault="00F8404C" w:rsidP="007A3F5C">
            <w:pPr>
              <w:jc w:val="center"/>
              <w:rPr>
                <w:lang w:val="ro-RO"/>
              </w:rPr>
            </w:pPr>
            <w:r w:rsidRPr="002152E4">
              <w:rPr>
                <w:lang w:val="ro-RO"/>
              </w:rPr>
              <w:t>1.345</w:t>
            </w:r>
          </w:p>
        </w:tc>
        <w:tc>
          <w:tcPr>
            <w:tcW w:w="1720" w:type="dxa"/>
            <w:tcBorders>
              <w:top w:val="threeDEmboss" w:sz="6" w:space="0" w:color="00B050"/>
            </w:tcBorders>
            <w:vAlign w:val="bottom"/>
          </w:tcPr>
          <w:p w:rsidR="00F8404C" w:rsidRPr="002152E4" w:rsidRDefault="00F8404C" w:rsidP="007A3F5C">
            <w:pPr>
              <w:jc w:val="center"/>
              <w:rPr>
                <w:lang w:val="ro-RO"/>
              </w:rPr>
            </w:pPr>
            <w:r w:rsidRPr="002152E4">
              <w:rPr>
                <w:lang w:val="ro-RO"/>
              </w:rPr>
              <w:t>4</w:t>
            </w:r>
          </w:p>
        </w:tc>
      </w:tr>
      <w:tr w:rsidR="00F8404C" w:rsidRPr="002152E4" w:rsidTr="007A3F5C">
        <w:tc>
          <w:tcPr>
            <w:tcW w:w="1101" w:type="dxa"/>
          </w:tcPr>
          <w:p w:rsidR="00F8404C" w:rsidRPr="002152E4" w:rsidRDefault="00F8404C" w:rsidP="007A3F5C">
            <w:pPr>
              <w:jc w:val="center"/>
              <w:rPr>
                <w:lang w:val="ro-RO"/>
              </w:rPr>
            </w:pPr>
            <w:r w:rsidRPr="002152E4">
              <w:rPr>
                <w:lang w:val="ro-RO"/>
              </w:rPr>
              <w:t>2008</w:t>
            </w:r>
          </w:p>
        </w:tc>
        <w:tc>
          <w:tcPr>
            <w:tcW w:w="1401" w:type="dxa"/>
            <w:vAlign w:val="bottom"/>
          </w:tcPr>
          <w:p w:rsidR="00F8404C" w:rsidRPr="002152E4" w:rsidRDefault="00F8404C" w:rsidP="007A3F5C">
            <w:pPr>
              <w:jc w:val="center"/>
              <w:rPr>
                <w:lang w:val="ro-RO"/>
              </w:rPr>
            </w:pPr>
            <w:r w:rsidRPr="002152E4">
              <w:rPr>
                <w:lang w:val="ro-RO"/>
              </w:rPr>
              <w:t>1.718</w:t>
            </w:r>
          </w:p>
        </w:tc>
        <w:tc>
          <w:tcPr>
            <w:tcW w:w="1368" w:type="dxa"/>
            <w:vAlign w:val="bottom"/>
          </w:tcPr>
          <w:p w:rsidR="00F8404C" w:rsidRPr="002152E4" w:rsidRDefault="00F8404C" w:rsidP="007A3F5C">
            <w:pPr>
              <w:jc w:val="center"/>
              <w:rPr>
                <w:lang w:val="ro-RO"/>
              </w:rPr>
            </w:pPr>
            <w:r w:rsidRPr="002152E4">
              <w:rPr>
                <w:lang w:val="ro-RO"/>
              </w:rPr>
              <w:t>3,8</w:t>
            </w:r>
          </w:p>
        </w:tc>
        <w:tc>
          <w:tcPr>
            <w:tcW w:w="1368" w:type="dxa"/>
            <w:vAlign w:val="bottom"/>
          </w:tcPr>
          <w:p w:rsidR="00F8404C" w:rsidRPr="002152E4" w:rsidRDefault="00F8404C" w:rsidP="007A3F5C">
            <w:pPr>
              <w:jc w:val="center"/>
              <w:rPr>
                <w:lang w:val="ro-RO"/>
              </w:rPr>
            </w:pPr>
            <w:r w:rsidRPr="002152E4">
              <w:rPr>
                <w:lang w:val="ro-RO"/>
              </w:rPr>
              <w:t>693</w:t>
            </w:r>
          </w:p>
        </w:tc>
        <w:tc>
          <w:tcPr>
            <w:tcW w:w="1108" w:type="dxa"/>
            <w:vAlign w:val="bottom"/>
          </w:tcPr>
          <w:p w:rsidR="00F8404C" w:rsidRPr="002152E4" w:rsidRDefault="00F8404C" w:rsidP="007A3F5C">
            <w:pPr>
              <w:jc w:val="center"/>
              <w:rPr>
                <w:lang w:val="ro-RO"/>
              </w:rPr>
            </w:pPr>
            <w:r w:rsidRPr="002152E4">
              <w:rPr>
                <w:lang w:val="ro-RO"/>
              </w:rPr>
              <w:t>10</w:t>
            </w:r>
          </w:p>
        </w:tc>
        <w:tc>
          <w:tcPr>
            <w:tcW w:w="1276" w:type="dxa"/>
            <w:vAlign w:val="bottom"/>
          </w:tcPr>
          <w:p w:rsidR="00F8404C" w:rsidRPr="002152E4" w:rsidRDefault="00F8404C" w:rsidP="007A3F5C">
            <w:pPr>
              <w:jc w:val="center"/>
              <w:rPr>
                <w:lang w:val="ro-RO"/>
              </w:rPr>
            </w:pPr>
            <w:r w:rsidRPr="002152E4">
              <w:rPr>
                <w:lang w:val="ro-RO"/>
              </w:rPr>
              <w:t>926</w:t>
            </w:r>
          </w:p>
        </w:tc>
        <w:tc>
          <w:tcPr>
            <w:tcW w:w="1720" w:type="dxa"/>
            <w:vAlign w:val="bottom"/>
          </w:tcPr>
          <w:p w:rsidR="00F8404C" w:rsidRPr="002152E4" w:rsidRDefault="00F8404C" w:rsidP="007A3F5C">
            <w:pPr>
              <w:jc w:val="center"/>
              <w:rPr>
                <w:lang w:val="ro-RO"/>
              </w:rPr>
            </w:pPr>
            <w:r w:rsidRPr="002152E4">
              <w:rPr>
                <w:lang w:val="ro-RO"/>
              </w:rPr>
              <w:t>20</w:t>
            </w:r>
          </w:p>
        </w:tc>
      </w:tr>
      <w:tr w:rsidR="00F8404C" w:rsidRPr="002152E4" w:rsidTr="007A3F5C">
        <w:tc>
          <w:tcPr>
            <w:tcW w:w="1101" w:type="dxa"/>
          </w:tcPr>
          <w:p w:rsidR="00F8404C" w:rsidRPr="002152E4" w:rsidRDefault="00F8404C" w:rsidP="007A3F5C">
            <w:pPr>
              <w:jc w:val="center"/>
              <w:rPr>
                <w:lang w:val="ro-RO"/>
              </w:rPr>
            </w:pPr>
            <w:r w:rsidRPr="002152E4">
              <w:rPr>
                <w:lang w:val="ro-RO"/>
              </w:rPr>
              <w:t>2009</w:t>
            </w:r>
          </w:p>
        </w:tc>
        <w:tc>
          <w:tcPr>
            <w:tcW w:w="1401" w:type="dxa"/>
            <w:vAlign w:val="bottom"/>
          </w:tcPr>
          <w:p w:rsidR="00F8404C" w:rsidRPr="002152E4" w:rsidRDefault="00F8404C" w:rsidP="007A3F5C">
            <w:pPr>
              <w:jc w:val="center"/>
              <w:rPr>
                <w:lang w:val="ro-RO"/>
              </w:rPr>
            </w:pPr>
            <w:r w:rsidRPr="002152E4">
              <w:rPr>
                <w:lang w:val="ro-RO"/>
              </w:rPr>
              <w:t>1.883</w:t>
            </w:r>
          </w:p>
        </w:tc>
        <w:tc>
          <w:tcPr>
            <w:tcW w:w="1368" w:type="dxa"/>
            <w:vAlign w:val="bottom"/>
          </w:tcPr>
          <w:p w:rsidR="00F8404C" w:rsidRPr="002152E4" w:rsidRDefault="00F8404C" w:rsidP="007A3F5C">
            <w:pPr>
              <w:jc w:val="center"/>
              <w:rPr>
                <w:lang w:val="ro-RO"/>
              </w:rPr>
            </w:pPr>
            <w:r w:rsidRPr="002152E4">
              <w:rPr>
                <w:lang w:val="ro-RO"/>
              </w:rPr>
              <w:t>3,8</w:t>
            </w:r>
          </w:p>
        </w:tc>
        <w:tc>
          <w:tcPr>
            <w:tcW w:w="1368" w:type="dxa"/>
            <w:vAlign w:val="bottom"/>
          </w:tcPr>
          <w:p w:rsidR="00F8404C" w:rsidRPr="002152E4" w:rsidRDefault="00F8404C" w:rsidP="007A3F5C">
            <w:pPr>
              <w:jc w:val="center"/>
              <w:rPr>
                <w:lang w:val="ro-RO"/>
              </w:rPr>
            </w:pPr>
            <w:r w:rsidRPr="002152E4">
              <w:rPr>
                <w:lang w:val="ro-RO"/>
              </w:rPr>
              <w:t>643</w:t>
            </w:r>
          </w:p>
        </w:tc>
        <w:tc>
          <w:tcPr>
            <w:tcW w:w="1108" w:type="dxa"/>
            <w:vAlign w:val="bottom"/>
          </w:tcPr>
          <w:p w:rsidR="00F8404C" w:rsidRPr="002152E4" w:rsidRDefault="00F8404C" w:rsidP="007A3F5C">
            <w:pPr>
              <w:jc w:val="center"/>
              <w:rPr>
                <w:lang w:val="ro-RO"/>
              </w:rPr>
            </w:pPr>
            <w:r w:rsidRPr="002152E4">
              <w:rPr>
                <w:lang w:val="ro-RO"/>
              </w:rPr>
              <w:t>8</w:t>
            </w:r>
          </w:p>
        </w:tc>
        <w:tc>
          <w:tcPr>
            <w:tcW w:w="1276" w:type="dxa"/>
            <w:vAlign w:val="bottom"/>
          </w:tcPr>
          <w:p w:rsidR="00F8404C" w:rsidRPr="002152E4" w:rsidRDefault="00F8404C" w:rsidP="007A3F5C">
            <w:pPr>
              <w:jc w:val="center"/>
              <w:rPr>
                <w:lang w:val="ro-RO"/>
              </w:rPr>
            </w:pPr>
            <w:r w:rsidRPr="002152E4">
              <w:rPr>
                <w:lang w:val="ro-RO"/>
              </w:rPr>
              <w:t>929</w:t>
            </w:r>
          </w:p>
        </w:tc>
        <w:tc>
          <w:tcPr>
            <w:tcW w:w="1720" w:type="dxa"/>
            <w:vAlign w:val="bottom"/>
          </w:tcPr>
          <w:p w:rsidR="00F8404C" w:rsidRPr="002152E4" w:rsidRDefault="00F8404C" w:rsidP="007A3F5C">
            <w:pPr>
              <w:jc w:val="center"/>
              <w:rPr>
                <w:lang w:val="ro-RO"/>
              </w:rPr>
            </w:pPr>
            <w:r w:rsidRPr="002152E4">
              <w:rPr>
                <w:lang w:val="ro-RO"/>
              </w:rPr>
              <w:t>8</w:t>
            </w:r>
          </w:p>
        </w:tc>
      </w:tr>
      <w:tr w:rsidR="00F8404C" w:rsidRPr="002152E4" w:rsidTr="007A3F5C">
        <w:tc>
          <w:tcPr>
            <w:tcW w:w="1101" w:type="dxa"/>
          </w:tcPr>
          <w:p w:rsidR="00F8404C" w:rsidRPr="002152E4" w:rsidRDefault="00F8404C" w:rsidP="007A3F5C">
            <w:pPr>
              <w:jc w:val="center"/>
              <w:rPr>
                <w:lang w:val="ro-RO"/>
              </w:rPr>
            </w:pPr>
            <w:r w:rsidRPr="002152E4">
              <w:rPr>
                <w:lang w:val="ro-RO"/>
              </w:rPr>
              <w:t>2010</w:t>
            </w:r>
          </w:p>
        </w:tc>
        <w:tc>
          <w:tcPr>
            <w:tcW w:w="1401" w:type="dxa"/>
            <w:vAlign w:val="bottom"/>
          </w:tcPr>
          <w:p w:rsidR="00F8404C" w:rsidRPr="002152E4" w:rsidRDefault="00F8404C" w:rsidP="007A3F5C">
            <w:pPr>
              <w:jc w:val="center"/>
              <w:rPr>
                <w:lang w:val="ro-RO"/>
              </w:rPr>
            </w:pPr>
            <w:r w:rsidRPr="002152E4">
              <w:rPr>
                <w:lang w:val="ro-RO"/>
              </w:rPr>
              <w:t>2.220</w:t>
            </w:r>
          </w:p>
        </w:tc>
        <w:tc>
          <w:tcPr>
            <w:tcW w:w="1368" w:type="dxa"/>
            <w:vAlign w:val="bottom"/>
          </w:tcPr>
          <w:p w:rsidR="00F8404C" w:rsidRPr="002152E4" w:rsidRDefault="00F8404C" w:rsidP="007A3F5C">
            <w:pPr>
              <w:jc w:val="center"/>
              <w:rPr>
                <w:lang w:val="ro-RO"/>
              </w:rPr>
            </w:pPr>
            <w:r w:rsidRPr="002152E4">
              <w:rPr>
                <w:lang w:val="ro-RO"/>
              </w:rPr>
              <w:t>3,9</w:t>
            </w:r>
          </w:p>
        </w:tc>
        <w:tc>
          <w:tcPr>
            <w:tcW w:w="1368" w:type="dxa"/>
            <w:vAlign w:val="bottom"/>
          </w:tcPr>
          <w:p w:rsidR="00F8404C" w:rsidRPr="002152E4" w:rsidRDefault="00F8404C" w:rsidP="007A3F5C">
            <w:pPr>
              <w:jc w:val="center"/>
              <w:rPr>
                <w:lang w:val="ro-RO"/>
              </w:rPr>
            </w:pPr>
            <w:r w:rsidRPr="002152E4">
              <w:rPr>
                <w:lang w:val="ro-RO"/>
              </w:rPr>
              <w:t>774</w:t>
            </w:r>
          </w:p>
        </w:tc>
        <w:tc>
          <w:tcPr>
            <w:tcW w:w="1108" w:type="dxa"/>
            <w:vAlign w:val="bottom"/>
          </w:tcPr>
          <w:p w:rsidR="00F8404C" w:rsidRPr="002152E4" w:rsidRDefault="00F8404C" w:rsidP="007A3F5C">
            <w:pPr>
              <w:jc w:val="center"/>
              <w:rPr>
                <w:lang w:val="ro-RO"/>
              </w:rPr>
            </w:pPr>
            <w:r w:rsidRPr="002152E4">
              <w:rPr>
                <w:lang w:val="ro-RO"/>
              </w:rPr>
              <w:t>8</w:t>
            </w:r>
          </w:p>
        </w:tc>
        <w:tc>
          <w:tcPr>
            <w:tcW w:w="1276" w:type="dxa"/>
            <w:vAlign w:val="bottom"/>
          </w:tcPr>
          <w:p w:rsidR="00F8404C" w:rsidRPr="002152E4" w:rsidRDefault="00F8404C" w:rsidP="007A3F5C">
            <w:pPr>
              <w:jc w:val="center"/>
              <w:rPr>
                <w:lang w:val="ro-RO"/>
              </w:rPr>
            </w:pPr>
            <w:r w:rsidRPr="002152E4">
              <w:rPr>
                <w:lang w:val="ro-RO"/>
              </w:rPr>
              <w:t>1.047</w:t>
            </w:r>
          </w:p>
        </w:tc>
        <w:tc>
          <w:tcPr>
            <w:tcW w:w="1720" w:type="dxa"/>
            <w:vAlign w:val="bottom"/>
          </w:tcPr>
          <w:p w:rsidR="00F8404C" w:rsidRPr="002152E4" w:rsidRDefault="00F8404C" w:rsidP="007A3F5C">
            <w:pPr>
              <w:jc w:val="center"/>
              <w:rPr>
                <w:lang w:val="ro-RO"/>
              </w:rPr>
            </w:pPr>
            <w:r w:rsidRPr="002152E4">
              <w:rPr>
                <w:lang w:val="ro-RO"/>
              </w:rPr>
              <w:t>16</w:t>
            </w:r>
          </w:p>
        </w:tc>
      </w:tr>
      <w:tr w:rsidR="00F8404C" w:rsidRPr="002152E4" w:rsidTr="007A3F5C">
        <w:tc>
          <w:tcPr>
            <w:tcW w:w="1101" w:type="dxa"/>
          </w:tcPr>
          <w:p w:rsidR="00F8404C" w:rsidRPr="002152E4" w:rsidRDefault="00F8404C" w:rsidP="007A3F5C">
            <w:pPr>
              <w:jc w:val="center"/>
              <w:rPr>
                <w:lang w:val="ro-RO"/>
              </w:rPr>
            </w:pPr>
            <w:r w:rsidRPr="002152E4">
              <w:rPr>
                <w:lang w:val="ro-RO"/>
              </w:rPr>
              <w:t>2011</w:t>
            </w:r>
          </w:p>
        </w:tc>
        <w:tc>
          <w:tcPr>
            <w:tcW w:w="1401" w:type="dxa"/>
            <w:vAlign w:val="bottom"/>
          </w:tcPr>
          <w:p w:rsidR="00F8404C" w:rsidRPr="002152E4" w:rsidRDefault="00F8404C" w:rsidP="007A3F5C">
            <w:pPr>
              <w:jc w:val="center"/>
              <w:rPr>
                <w:lang w:val="ro-RO"/>
              </w:rPr>
            </w:pPr>
            <w:r w:rsidRPr="002152E4">
              <w:rPr>
                <w:lang w:val="ro-RO"/>
              </w:rPr>
              <w:t>2.464</w:t>
            </w:r>
          </w:p>
        </w:tc>
        <w:tc>
          <w:tcPr>
            <w:tcW w:w="1368" w:type="dxa"/>
            <w:vAlign w:val="bottom"/>
          </w:tcPr>
          <w:p w:rsidR="00F8404C" w:rsidRPr="002152E4" w:rsidRDefault="00F8404C" w:rsidP="007A3F5C">
            <w:pPr>
              <w:jc w:val="center"/>
              <w:rPr>
                <w:lang w:val="ro-RO"/>
              </w:rPr>
            </w:pPr>
            <w:r w:rsidRPr="002152E4">
              <w:rPr>
                <w:lang w:val="ro-RO"/>
              </w:rPr>
              <w:t>4,0</w:t>
            </w:r>
          </w:p>
        </w:tc>
        <w:tc>
          <w:tcPr>
            <w:tcW w:w="1368" w:type="dxa"/>
            <w:vAlign w:val="bottom"/>
          </w:tcPr>
          <w:p w:rsidR="00F8404C" w:rsidRPr="002152E4" w:rsidRDefault="00F8404C" w:rsidP="007A3F5C">
            <w:pPr>
              <w:jc w:val="center"/>
              <w:rPr>
                <w:lang w:val="ro-RO"/>
              </w:rPr>
            </w:pPr>
            <w:r w:rsidRPr="002152E4">
              <w:rPr>
                <w:lang w:val="ro-RO"/>
              </w:rPr>
              <w:t>1.033</w:t>
            </w:r>
          </w:p>
        </w:tc>
        <w:tc>
          <w:tcPr>
            <w:tcW w:w="1108" w:type="dxa"/>
            <w:vAlign w:val="bottom"/>
          </w:tcPr>
          <w:p w:rsidR="00F8404C" w:rsidRPr="002152E4" w:rsidRDefault="00F8404C" w:rsidP="007A3F5C">
            <w:pPr>
              <w:jc w:val="center"/>
              <w:rPr>
                <w:lang w:val="ro-RO"/>
              </w:rPr>
            </w:pPr>
            <w:r w:rsidRPr="002152E4">
              <w:rPr>
                <w:lang w:val="ro-RO"/>
              </w:rPr>
              <w:t>8</w:t>
            </w:r>
          </w:p>
        </w:tc>
        <w:tc>
          <w:tcPr>
            <w:tcW w:w="1276" w:type="dxa"/>
            <w:vAlign w:val="bottom"/>
          </w:tcPr>
          <w:p w:rsidR="00F8404C" w:rsidRPr="002152E4" w:rsidRDefault="00F8404C" w:rsidP="007A3F5C">
            <w:pPr>
              <w:jc w:val="center"/>
              <w:rPr>
                <w:lang w:val="ro-RO"/>
              </w:rPr>
            </w:pPr>
            <w:r w:rsidRPr="002152E4">
              <w:rPr>
                <w:lang w:val="ro-RO"/>
              </w:rPr>
              <w:t>1.229</w:t>
            </w:r>
          </w:p>
        </w:tc>
        <w:tc>
          <w:tcPr>
            <w:tcW w:w="1720" w:type="dxa"/>
            <w:vAlign w:val="bottom"/>
          </w:tcPr>
          <w:p w:rsidR="00F8404C" w:rsidRPr="002152E4" w:rsidRDefault="00F8404C" w:rsidP="007A3F5C">
            <w:pPr>
              <w:jc w:val="center"/>
              <w:rPr>
                <w:lang w:val="ro-RO"/>
              </w:rPr>
            </w:pPr>
            <w:r w:rsidRPr="002152E4">
              <w:rPr>
                <w:lang w:val="ro-RO"/>
              </w:rPr>
              <w:t>10</w:t>
            </w:r>
          </w:p>
        </w:tc>
      </w:tr>
      <w:tr w:rsidR="00F8404C" w:rsidRPr="002152E4" w:rsidTr="007A3F5C">
        <w:tc>
          <w:tcPr>
            <w:tcW w:w="1101" w:type="dxa"/>
          </w:tcPr>
          <w:p w:rsidR="00F8404C" w:rsidRPr="002152E4" w:rsidRDefault="00F8404C" w:rsidP="007A3F5C">
            <w:pPr>
              <w:jc w:val="center"/>
              <w:rPr>
                <w:lang w:val="ro-RO"/>
              </w:rPr>
            </w:pPr>
            <w:r w:rsidRPr="002152E4">
              <w:rPr>
                <w:lang w:val="ro-RO"/>
              </w:rPr>
              <w:t>2012</w:t>
            </w:r>
          </w:p>
        </w:tc>
        <w:tc>
          <w:tcPr>
            <w:tcW w:w="1401" w:type="dxa"/>
            <w:vAlign w:val="bottom"/>
          </w:tcPr>
          <w:p w:rsidR="00F8404C" w:rsidRPr="002152E4" w:rsidRDefault="00F8404C" w:rsidP="007A3F5C">
            <w:pPr>
              <w:jc w:val="center"/>
              <w:rPr>
                <w:lang w:val="ro-RO"/>
              </w:rPr>
            </w:pPr>
            <w:r w:rsidRPr="002152E4">
              <w:rPr>
                <w:lang w:val="ro-RO"/>
              </w:rPr>
              <w:t>2.582</w:t>
            </w:r>
          </w:p>
        </w:tc>
        <w:tc>
          <w:tcPr>
            <w:tcW w:w="1368" w:type="dxa"/>
            <w:vAlign w:val="bottom"/>
          </w:tcPr>
          <w:p w:rsidR="00F8404C" w:rsidRPr="002152E4" w:rsidRDefault="00F8404C" w:rsidP="007A3F5C">
            <w:pPr>
              <w:jc w:val="center"/>
              <w:rPr>
                <w:lang w:val="ro-RO"/>
              </w:rPr>
            </w:pPr>
            <w:r w:rsidRPr="002152E4">
              <w:rPr>
                <w:lang w:val="ro-RO"/>
              </w:rPr>
              <w:t>4,3</w:t>
            </w:r>
          </w:p>
        </w:tc>
        <w:tc>
          <w:tcPr>
            <w:tcW w:w="1368" w:type="dxa"/>
            <w:vAlign w:val="bottom"/>
          </w:tcPr>
          <w:p w:rsidR="00F8404C" w:rsidRPr="002152E4" w:rsidRDefault="00F8404C" w:rsidP="007A3F5C">
            <w:pPr>
              <w:jc w:val="center"/>
              <w:rPr>
                <w:lang w:val="ro-RO"/>
              </w:rPr>
            </w:pPr>
            <w:r w:rsidRPr="002152E4">
              <w:rPr>
                <w:lang w:val="ro-RO"/>
              </w:rPr>
              <w:t>1.071</w:t>
            </w:r>
          </w:p>
        </w:tc>
        <w:tc>
          <w:tcPr>
            <w:tcW w:w="1108" w:type="dxa"/>
            <w:vAlign w:val="bottom"/>
          </w:tcPr>
          <w:p w:rsidR="00F8404C" w:rsidRPr="002152E4" w:rsidRDefault="00F8404C" w:rsidP="007A3F5C">
            <w:pPr>
              <w:jc w:val="center"/>
              <w:rPr>
                <w:lang w:val="ro-RO"/>
              </w:rPr>
            </w:pPr>
            <w:r w:rsidRPr="002152E4">
              <w:rPr>
                <w:lang w:val="ro-RO"/>
              </w:rPr>
              <w:t>6</w:t>
            </w:r>
          </w:p>
        </w:tc>
        <w:tc>
          <w:tcPr>
            <w:tcW w:w="1276" w:type="dxa"/>
            <w:vAlign w:val="bottom"/>
          </w:tcPr>
          <w:p w:rsidR="00F8404C" w:rsidRPr="002152E4" w:rsidRDefault="00F8404C" w:rsidP="007A3F5C">
            <w:pPr>
              <w:jc w:val="center"/>
              <w:rPr>
                <w:lang w:val="ro-RO"/>
              </w:rPr>
            </w:pPr>
            <w:r w:rsidRPr="002152E4">
              <w:rPr>
                <w:lang w:val="ro-RO"/>
              </w:rPr>
              <w:t>1.006</w:t>
            </w:r>
          </w:p>
        </w:tc>
        <w:tc>
          <w:tcPr>
            <w:tcW w:w="1720" w:type="dxa"/>
            <w:vAlign w:val="bottom"/>
          </w:tcPr>
          <w:p w:rsidR="00F8404C" w:rsidRPr="002152E4" w:rsidRDefault="00F8404C" w:rsidP="007A3F5C">
            <w:pPr>
              <w:jc w:val="center"/>
              <w:rPr>
                <w:lang w:val="ro-RO"/>
              </w:rPr>
            </w:pPr>
            <w:r w:rsidRPr="002152E4">
              <w:rPr>
                <w:lang w:val="ro-RO"/>
              </w:rPr>
              <w:t>12</w:t>
            </w:r>
          </w:p>
        </w:tc>
      </w:tr>
      <w:tr w:rsidR="00F8404C" w:rsidRPr="002152E4" w:rsidTr="007A3F5C">
        <w:tc>
          <w:tcPr>
            <w:tcW w:w="1101" w:type="dxa"/>
          </w:tcPr>
          <w:p w:rsidR="00F8404C" w:rsidRPr="002152E4" w:rsidRDefault="00F8404C" w:rsidP="007A3F5C">
            <w:pPr>
              <w:jc w:val="center"/>
              <w:rPr>
                <w:lang w:val="ro-RO"/>
              </w:rPr>
            </w:pPr>
            <w:r w:rsidRPr="002152E4">
              <w:rPr>
                <w:lang w:val="ro-RO"/>
              </w:rPr>
              <w:t>2013</w:t>
            </w:r>
          </w:p>
        </w:tc>
        <w:tc>
          <w:tcPr>
            <w:tcW w:w="1401" w:type="dxa"/>
            <w:vAlign w:val="bottom"/>
          </w:tcPr>
          <w:p w:rsidR="00F8404C" w:rsidRPr="002152E4" w:rsidRDefault="00F8404C" w:rsidP="007A3F5C">
            <w:pPr>
              <w:jc w:val="center"/>
              <w:rPr>
                <w:lang w:val="ro-RO"/>
              </w:rPr>
            </w:pPr>
            <w:r w:rsidRPr="002152E4">
              <w:rPr>
                <w:lang w:val="ro-RO"/>
              </w:rPr>
              <w:t>2.903</w:t>
            </w:r>
          </w:p>
        </w:tc>
        <w:tc>
          <w:tcPr>
            <w:tcW w:w="1368" w:type="dxa"/>
            <w:vAlign w:val="bottom"/>
          </w:tcPr>
          <w:p w:rsidR="00F8404C" w:rsidRPr="002152E4" w:rsidRDefault="00F8404C" w:rsidP="007A3F5C">
            <w:pPr>
              <w:jc w:val="center"/>
              <w:rPr>
                <w:lang w:val="ro-RO"/>
              </w:rPr>
            </w:pPr>
            <w:r w:rsidRPr="002152E4">
              <w:rPr>
                <w:lang w:val="ro-RO"/>
              </w:rPr>
              <w:t>4,4</w:t>
            </w:r>
          </w:p>
        </w:tc>
        <w:tc>
          <w:tcPr>
            <w:tcW w:w="1368" w:type="dxa"/>
            <w:vAlign w:val="bottom"/>
          </w:tcPr>
          <w:p w:rsidR="00F8404C" w:rsidRPr="002152E4" w:rsidRDefault="00F8404C" w:rsidP="007A3F5C">
            <w:pPr>
              <w:jc w:val="center"/>
              <w:rPr>
                <w:lang w:val="ro-RO"/>
              </w:rPr>
            </w:pPr>
            <w:r w:rsidRPr="002152E4">
              <w:rPr>
                <w:lang w:val="ro-RO"/>
              </w:rPr>
              <w:t>976</w:t>
            </w:r>
          </w:p>
        </w:tc>
        <w:tc>
          <w:tcPr>
            <w:tcW w:w="1108" w:type="dxa"/>
            <w:vAlign w:val="bottom"/>
          </w:tcPr>
          <w:p w:rsidR="00F8404C" w:rsidRPr="002152E4" w:rsidRDefault="00F8404C" w:rsidP="007A3F5C">
            <w:pPr>
              <w:jc w:val="center"/>
              <w:rPr>
                <w:lang w:val="ro-RO"/>
              </w:rPr>
            </w:pPr>
            <w:r w:rsidRPr="002152E4">
              <w:rPr>
                <w:lang w:val="ro-RO"/>
              </w:rPr>
              <w:t>6</w:t>
            </w:r>
          </w:p>
        </w:tc>
        <w:tc>
          <w:tcPr>
            <w:tcW w:w="1276" w:type="dxa"/>
            <w:vAlign w:val="bottom"/>
          </w:tcPr>
          <w:p w:rsidR="00F8404C" w:rsidRPr="002152E4" w:rsidRDefault="00F8404C" w:rsidP="007A3F5C">
            <w:pPr>
              <w:jc w:val="center"/>
              <w:rPr>
                <w:lang w:val="ro-RO"/>
              </w:rPr>
            </w:pPr>
            <w:r w:rsidRPr="002152E4">
              <w:rPr>
                <w:lang w:val="ro-RO"/>
              </w:rPr>
              <w:t>1.149</w:t>
            </w:r>
          </w:p>
        </w:tc>
        <w:tc>
          <w:tcPr>
            <w:tcW w:w="1720" w:type="dxa"/>
            <w:vAlign w:val="bottom"/>
          </w:tcPr>
          <w:p w:rsidR="00F8404C" w:rsidRPr="002152E4" w:rsidRDefault="00F8404C" w:rsidP="007A3F5C">
            <w:pPr>
              <w:jc w:val="center"/>
              <w:rPr>
                <w:lang w:val="ro-RO"/>
              </w:rPr>
            </w:pPr>
            <w:r w:rsidRPr="002152E4">
              <w:rPr>
                <w:lang w:val="ro-RO"/>
              </w:rPr>
              <w:t>13</w:t>
            </w:r>
          </w:p>
        </w:tc>
      </w:tr>
      <w:tr w:rsidR="00F8404C" w:rsidRPr="002152E4" w:rsidTr="007A3F5C">
        <w:tc>
          <w:tcPr>
            <w:tcW w:w="1101" w:type="dxa"/>
          </w:tcPr>
          <w:p w:rsidR="00F8404C" w:rsidRPr="002152E4" w:rsidRDefault="00F8404C" w:rsidP="007A3F5C">
            <w:pPr>
              <w:jc w:val="center"/>
              <w:rPr>
                <w:lang w:val="ro-RO"/>
              </w:rPr>
            </w:pPr>
            <w:r w:rsidRPr="002152E4">
              <w:rPr>
                <w:lang w:val="ro-RO"/>
              </w:rPr>
              <w:t>2014</w:t>
            </w:r>
          </w:p>
        </w:tc>
        <w:tc>
          <w:tcPr>
            <w:tcW w:w="1401" w:type="dxa"/>
          </w:tcPr>
          <w:p w:rsidR="00F8404C" w:rsidRPr="002152E4" w:rsidRDefault="00F8404C" w:rsidP="007A3F5C">
            <w:pPr>
              <w:widowControl w:val="0"/>
              <w:ind w:left="-107" w:firstLine="107"/>
              <w:jc w:val="center"/>
              <w:rPr>
                <w:lang w:val="ro-RO"/>
              </w:rPr>
            </w:pPr>
            <w:r w:rsidRPr="002152E4">
              <w:rPr>
                <w:lang w:val="ro-RO"/>
              </w:rPr>
              <w:t>2.043</w:t>
            </w:r>
          </w:p>
        </w:tc>
        <w:tc>
          <w:tcPr>
            <w:tcW w:w="1368" w:type="dxa"/>
          </w:tcPr>
          <w:p w:rsidR="00F8404C" w:rsidRPr="002152E4" w:rsidRDefault="00F8404C" w:rsidP="007A3F5C">
            <w:pPr>
              <w:widowControl w:val="0"/>
              <w:ind w:left="-107" w:firstLine="107"/>
              <w:jc w:val="center"/>
              <w:rPr>
                <w:lang w:val="ro-RO"/>
              </w:rPr>
            </w:pPr>
            <w:r w:rsidRPr="002152E4">
              <w:rPr>
                <w:lang w:val="ro-RO"/>
              </w:rPr>
              <w:t>4,1</w:t>
            </w:r>
          </w:p>
        </w:tc>
        <w:tc>
          <w:tcPr>
            <w:tcW w:w="1368" w:type="dxa"/>
          </w:tcPr>
          <w:p w:rsidR="00F8404C" w:rsidRPr="002152E4" w:rsidRDefault="00F8404C" w:rsidP="007A3F5C">
            <w:pPr>
              <w:widowControl w:val="0"/>
              <w:ind w:left="-107" w:firstLine="107"/>
              <w:jc w:val="center"/>
              <w:rPr>
                <w:lang w:val="ro-RO"/>
              </w:rPr>
            </w:pPr>
            <w:r w:rsidRPr="002152E4">
              <w:rPr>
                <w:lang w:val="ro-RO"/>
              </w:rPr>
              <w:t>648</w:t>
            </w:r>
          </w:p>
        </w:tc>
        <w:tc>
          <w:tcPr>
            <w:tcW w:w="1108" w:type="dxa"/>
          </w:tcPr>
          <w:p w:rsidR="00F8404C" w:rsidRPr="002152E4" w:rsidRDefault="00F8404C" w:rsidP="007A3F5C">
            <w:pPr>
              <w:widowControl w:val="0"/>
              <w:ind w:left="-107" w:firstLine="107"/>
              <w:jc w:val="center"/>
              <w:rPr>
                <w:lang w:val="ro-RO"/>
              </w:rPr>
            </w:pPr>
            <w:r w:rsidRPr="002152E4">
              <w:rPr>
                <w:lang w:val="ro-RO"/>
              </w:rPr>
              <w:t>84</w:t>
            </w:r>
          </w:p>
        </w:tc>
        <w:tc>
          <w:tcPr>
            <w:tcW w:w="1276" w:type="dxa"/>
          </w:tcPr>
          <w:p w:rsidR="00F8404C" w:rsidRPr="002152E4" w:rsidRDefault="00F8404C" w:rsidP="007A3F5C">
            <w:pPr>
              <w:widowControl w:val="0"/>
              <w:ind w:left="-107" w:firstLine="107"/>
              <w:jc w:val="center"/>
              <w:rPr>
                <w:lang w:val="ro-RO"/>
              </w:rPr>
            </w:pPr>
            <w:r w:rsidRPr="002152E4">
              <w:rPr>
                <w:lang w:val="ro-RO"/>
              </w:rPr>
              <w:t>738</w:t>
            </w:r>
          </w:p>
        </w:tc>
        <w:tc>
          <w:tcPr>
            <w:tcW w:w="1720" w:type="dxa"/>
          </w:tcPr>
          <w:p w:rsidR="00F8404C" w:rsidRPr="002152E4" w:rsidRDefault="00F8404C" w:rsidP="007A3F5C">
            <w:pPr>
              <w:widowControl w:val="0"/>
              <w:ind w:left="-107" w:firstLine="107"/>
              <w:jc w:val="center"/>
              <w:rPr>
                <w:lang w:val="ro-RO"/>
              </w:rPr>
            </w:pPr>
            <w:r w:rsidRPr="002152E4">
              <w:rPr>
                <w:lang w:val="ro-RO"/>
              </w:rPr>
              <w:t>10</w:t>
            </w:r>
          </w:p>
        </w:tc>
      </w:tr>
      <w:tr w:rsidR="00F8404C" w:rsidRPr="002152E4" w:rsidTr="007A3F5C">
        <w:tc>
          <w:tcPr>
            <w:tcW w:w="1101" w:type="dxa"/>
          </w:tcPr>
          <w:p w:rsidR="00F8404C" w:rsidRPr="002152E4" w:rsidRDefault="00F8404C" w:rsidP="007A3F5C">
            <w:pPr>
              <w:jc w:val="center"/>
              <w:rPr>
                <w:lang w:val="ro-RO"/>
              </w:rPr>
            </w:pPr>
            <w:r w:rsidRPr="002152E4">
              <w:rPr>
                <w:lang w:val="ro-RO"/>
              </w:rPr>
              <w:t>2015</w:t>
            </w:r>
          </w:p>
        </w:tc>
        <w:tc>
          <w:tcPr>
            <w:tcW w:w="1401" w:type="dxa"/>
          </w:tcPr>
          <w:p w:rsidR="00F8404C" w:rsidRPr="002152E4" w:rsidRDefault="00F8404C" w:rsidP="007A3F5C">
            <w:pPr>
              <w:widowControl w:val="0"/>
              <w:ind w:left="-107" w:firstLine="107"/>
              <w:jc w:val="center"/>
              <w:rPr>
                <w:lang w:val="ro-RO"/>
              </w:rPr>
            </w:pPr>
            <w:r w:rsidRPr="002152E4">
              <w:rPr>
                <w:lang w:val="ro-RO"/>
              </w:rPr>
              <w:t>2.381</w:t>
            </w:r>
          </w:p>
        </w:tc>
        <w:tc>
          <w:tcPr>
            <w:tcW w:w="1368" w:type="dxa"/>
          </w:tcPr>
          <w:p w:rsidR="00F8404C" w:rsidRPr="002152E4" w:rsidRDefault="00F8404C" w:rsidP="007A3F5C">
            <w:pPr>
              <w:widowControl w:val="0"/>
              <w:ind w:left="-107" w:firstLine="107"/>
              <w:jc w:val="center"/>
              <w:rPr>
                <w:lang w:val="ro-RO"/>
              </w:rPr>
            </w:pPr>
            <w:r w:rsidRPr="002152E4">
              <w:rPr>
                <w:lang w:val="ro-RO"/>
              </w:rPr>
              <w:t>4,0</w:t>
            </w:r>
          </w:p>
        </w:tc>
        <w:tc>
          <w:tcPr>
            <w:tcW w:w="1368" w:type="dxa"/>
          </w:tcPr>
          <w:p w:rsidR="00F8404C" w:rsidRPr="002152E4" w:rsidRDefault="00F8404C" w:rsidP="007A3F5C">
            <w:pPr>
              <w:widowControl w:val="0"/>
              <w:ind w:left="-107" w:firstLine="107"/>
              <w:jc w:val="center"/>
              <w:rPr>
                <w:lang w:val="ro-RO"/>
              </w:rPr>
            </w:pPr>
            <w:r w:rsidRPr="002152E4">
              <w:rPr>
                <w:lang w:val="ro-RO"/>
              </w:rPr>
              <w:t>800</w:t>
            </w:r>
          </w:p>
        </w:tc>
        <w:tc>
          <w:tcPr>
            <w:tcW w:w="1108" w:type="dxa"/>
          </w:tcPr>
          <w:p w:rsidR="00F8404C" w:rsidRPr="002152E4" w:rsidRDefault="00F8404C" w:rsidP="007A3F5C">
            <w:pPr>
              <w:widowControl w:val="0"/>
              <w:ind w:left="-107" w:firstLine="107"/>
              <w:jc w:val="center"/>
              <w:rPr>
                <w:lang w:val="ro-RO"/>
              </w:rPr>
            </w:pPr>
            <w:r w:rsidRPr="002152E4">
              <w:rPr>
                <w:lang w:val="ro-RO"/>
              </w:rPr>
              <w:t>65</w:t>
            </w:r>
          </w:p>
        </w:tc>
        <w:tc>
          <w:tcPr>
            <w:tcW w:w="1276" w:type="dxa"/>
          </w:tcPr>
          <w:p w:rsidR="00F8404C" w:rsidRPr="002152E4" w:rsidRDefault="00F8404C" w:rsidP="007A3F5C">
            <w:pPr>
              <w:widowControl w:val="0"/>
              <w:ind w:left="-107" w:firstLine="107"/>
              <w:jc w:val="center"/>
              <w:rPr>
                <w:lang w:val="ro-RO"/>
              </w:rPr>
            </w:pPr>
            <w:r w:rsidRPr="002152E4">
              <w:rPr>
                <w:lang w:val="ro-RO"/>
              </w:rPr>
              <w:t>865</w:t>
            </w:r>
          </w:p>
        </w:tc>
        <w:tc>
          <w:tcPr>
            <w:tcW w:w="1720" w:type="dxa"/>
          </w:tcPr>
          <w:p w:rsidR="00F8404C" w:rsidRPr="002152E4" w:rsidRDefault="00F8404C" w:rsidP="007A3F5C">
            <w:pPr>
              <w:widowControl w:val="0"/>
              <w:ind w:left="-107" w:firstLine="107"/>
              <w:jc w:val="center"/>
              <w:rPr>
                <w:lang w:val="ro-RO"/>
              </w:rPr>
            </w:pPr>
            <w:r w:rsidRPr="002152E4">
              <w:rPr>
                <w:lang w:val="ro-RO"/>
              </w:rPr>
              <w:t>15</w:t>
            </w:r>
          </w:p>
        </w:tc>
      </w:tr>
      <w:tr w:rsidR="00F8404C" w:rsidRPr="002152E4" w:rsidTr="007A3F5C">
        <w:tc>
          <w:tcPr>
            <w:tcW w:w="1101" w:type="dxa"/>
            <w:tcBorders>
              <w:bottom w:val="threeDEmboss" w:sz="6" w:space="0" w:color="00B050"/>
            </w:tcBorders>
          </w:tcPr>
          <w:p w:rsidR="00F8404C" w:rsidRPr="002152E4" w:rsidRDefault="00F8404C" w:rsidP="007A3F5C">
            <w:pPr>
              <w:jc w:val="center"/>
              <w:rPr>
                <w:lang w:val="ro-RO"/>
              </w:rPr>
            </w:pPr>
            <w:r w:rsidRPr="002152E4">
              <w:rPr>
                <w:lang w:val="ro-RO"/>
              </w:rPr>
              <w:t>2016</w:t>
            </w:r>
          </w:p>
        </w:tc>
        <w:tc>
          <w:tcPr>
            <w:tcW w:w="1401" w:type="dxa"/>
            <w:tcBorders>
              <w:bottom w:val="threeDEmboss" w:sz="6" w:space="0" w:color="00B050"/>
            </w:tcBorders>
          </w:tcPr>
          <w:p w:rsidR="00F8404C" w:rsidRPr="002152E4" w:rsidRDefault="00F8404C" w:rsidP="007A3F5C">
            <w:pPr>
              <w:widowControl w:val="0"/>
              <w:ind w:left="-107" w:firstLine="107"/>
              <w:jc w:val="center"/>
              <w:rPr>
                <w:lang w:val="ro-RO"/>
              </w:rPr>
            </w:pPr>
            <w:r w:rsidRPr="002152E4">
              <w:rPr>
                <w:lang w:val="ro-RO"/>
              </w:rPr>
              <w:t>2.303</w:t>
            </w:r>
          </w:p>
        </w:tc>
        <w:tc>
          <w:tcPr>
            <w:tcW w:w="1368" w:type="dxa"/>
            <w:tcBorders>
              <w:bottom w:val="threeDEmboss" w:sz="6" w:space="0" w:color="00B050"/>
            </w:tcBorders>
          </w:tcPr>
          <w:p w:rsidR="00F8404C" w:rsidRPr="002152E4" w:rsidRDefault="00F8404C" w:rsidP="007A3F5C">
            <w:pPr>
              <w:widowControl w:val="0"/>
              <w:ind w:left="-107" w:firstLine="107"/>
              <w:jc w:val="center"/>
              <w:rPr>
                <w:lang w:val="ro-RO"/>
              </w:rPr>
            </w:pPr>
            <w:r w:rsidRPr="002152E4">
              <w:rPr>
                <w:lang w:val="ro-RO"/>
              </w:rPr>
              <w:t>3,6</w:t>
            </w:r>
          </w:p>
        </w:tc>
        <w:tc>
          <w:tcPr>
            <w:tcW w:w="1368" w:type="dxa"/>
            <w:tcBorders>
              <w:bottom w:val="threeDEmboss" w:sz="6" w:space="0" w:color="00B050"/>
            </w:tcBorders>
          </w:tcPr>
          <w:p w:rsidR="00F8404C" w:rsidRPr="002152E4" w:rsidRDefault="00F8404C" w:rsidP="007A3F5C">
            <w:pPr>
              <w:widowControl w:val="0"/>
              <w:ind w:left="-107" w:firstLine="107"/>
              <w:jc w:val="center"/>
              <w:rPr>
                <w:lang w:val="ro-RO"/>
              </w:rPr>
            </w:pPr>
            <w:r w:rsidRPr="002152E4">
              <w:rPr>
                <w:lang w:val="ro-RO"/>
              </w:rPr>
              <w:t>712</w:t>
            </w:r>
          </w:p>
        </w:tc>
        <w:tc>
          <w:tcPr>
            <w:tcW w:w="1108" w:type="dxa"/>
            <w:tcBorders>
              <w:bottom w:val="threeDEmboss" w:sz="6" w:space="0" w:color="00B050"/>
            </w:tcBorders>
          </w:tcPr>
          <w:p w:rsidR="00F8404C" w:rsidRPr="002152E4" w:rsidRDefault="00F8404C" w:rsidP="007A3F5C">
            <w:pPr>
              <w:widowControl w:val="0"/>
              <w:ind w:left="-107" w:firstLine="107"/>
              <w:jc w:val="center"/>
              <w:rPr>
                <w:lang w:val="ro-RO"/>
              </w:rPr>
            </w:pPr>
            <w:r w:rsidRPr="002152E4">
              <w:rPr>
                <w:lang w:val="ro-RO"/>
              </w:rPr>
              <w:t>96</w:t>
            </w:r>
          </w:p>
        </w:tc>
        <w:tc>
          <w:tcPr>
            <w:tcW w:w="1276" w:type="dxa"/>
            <w:tcBorders>
              <w:bottom w:val="threeDEmboss" w:sz="6" w:space="0" w:color="00B050"/>
            </w:tcBorders>
          </w:tcPr>
          <w:p w:rsidR="00F8404C" w:rsidRPr="002152E4" w:rsidRDefault="00F8404C" w:rsidP="007A3F5C">
            <w:pPr>
              <w:widowControl w:val="0"/>
              <w:ind w:left="-107" w:firstLine="107"/>
              <w:jc w:val="center"/>
              <w:rPr>
                <w:lang w:val="ro-RO"/>
              </w:rPr>
            </w:pPr>
            <w:r w:rsidRPr="002152E4">
              <w:rPr>
                <w:lang w:val="ro-RO"/>
              </w:rPr>
              <w:t>778</w:t>
            </w:r>
          </w:p>
        </w:tc>
        <w:tc>
          <w:tcPr>
            <w:tcW w:w="1720" w:type="dxa"/>
            <w:tcBorders>
              <w:bottom w:val="threeDEmboss" w:sz="6" w:space="0" w:color="00B050"/>
            </w:tcBorders>
          </w:tcPr>
          <w:p w:rsidR="00F8404C" w:rsidRPr="002152E4" w:rsidRDefault="00F8404C" w:rsidP="007A3F5C">
            <w:pPr>
              <w:widowControl w:val="0"/>
              <w:ind w:left="-107" w:firstLine="107"/>
              <w:jc w:val="center"/>
              <w:rPr>
                <w:lang w:val="ro-RO"/>
              </w:rPr>
            </w:pPr>
            <w:r w:rsidRPr="002152E4">
              <w:rPr>
                <w:lang w:val="ro-RO"/>
              </w:rPr>
              <w:t>19</w:t>
            </w:r>
          </w:p>
        </w:tc>
      </w:tr>
      <w:tr w:rsidR="00F8404C" w:rsidRPr="002152E4" w:rsidTr="00F8404C">
        <w:trPr>
          <w:trHeight w:val="498"/>
        </w:trPr>
        <w:tc>
          <w:tcPr>
            <w:tcW w:w="1101" w:type="dxa"/>
            <w:tcBorders>
              <w:top w:val="threeDEmboss" w:sz="6" w:space="0" w:color="00B050"/>
              <w:left w:val="threeDEmboss" w:sz="6" w:space="0" w:color="00B050"/>
              <w:bottom w:val="threeDEmboss" w:sz="6" w:space="0" w:color="00B050"/>
            </w:tcBorders>
            <w:shd w:val="clear" w:color="auto" w:fill="FCE0C8"/>
          </w:tcPr>
          <w:p w:rsidR="00F8404C" w:rsidRPr="002152E4" w:rsidRDefault="00F8404C" w:rsidP="007A3F5C">
            <w:pPr>
              <w:rPr>
                <w:b/>
                <w:i/>
                <w:u w:val="single"/>
                <w:lang w:val="ro-RO"/>
              </w:rPr>
            </w:pPr>
            <w:r w:rsidRPr="002152E4">
              <w:rPr>
                <w:b/>
                <w:i/>
                <w:lang w:val="ro-RO"/>
              </w:rPr>
              <w:t xml:space="preserve">  </w:t>
            </w:r>
            <w:r w:rsidRPr="002152E4">
              <w:rPr>
                <w:i/>
                <w:lang w:val="ro-RO"/>
              </w:rPr>
              <w:t xml:space="preserve">% </w:t>
            </w:r>
            <w:r w:rsidRPr="002152E4">
              <w:rPr>
                <w:b/>
                <w:i/>
                <w:u w:val="single"/>
                <w:lang w:val="ro-RO"/>
              </w:rPr>
              <w:t>2016</w:t>
            </w:r>
          </w:p>
          <w:p w:rsidR="00F8404C" w:rsidRPr="002152E4" w:rsidRDefault="00F8404C" w:rsidP="007A3F5C">
            <w:pPr>
              <w:rPr>
                <w:b/>
                <w:lang w:val="ro-RO"/>
              </w:rPr>
            </w:pPr>
            <w:r w:rsidRPr="002152E4">
              <w:rPr>
                <w:i/>
                <w:lang w:val="ro-RO"/>
              </w:rPr>
              <w:t xml:space="preserve">  +/- </w:t>
            </w:r>
            <w:r w:rsidRPr="002152E4">
              <w:rPr>
                <w:b/>
                <w:i/>
                <w:lang w:val="ro-RO"/>
              </w:rPr>
              <w:t>2015</w:t>
            </w:r>
          </w:p>
        </w:tc>
        <w:tc>
          <w:tcPr>
            <w:tcW w:w="1401" w:type="dxa"/>
            <w:tcBorders>
              <w:top w:val="threeDEmboss" w:sz="6" w:space="0" w:color="00B050"/>
              <w:bottom w:val="threeDEmboss" w:sz="6" w:space="0" w:color="00B050"/>
            </w:tcBorders>
            <w:shd w:val="clear" w:color="auto" w:fill="FCE0C8"/>
            <w:vAlign w:val="center"/>
          </w:tcPr>
          <w:p w:rsidR="00F8404C" w:rsidRPr="002152E4" w:rsidRDefault="00F8404C" w:rsidP="007A3F5C">
            <w:pPr>
              <w:widowControl w:val="0"/>
              <w:ind w:left="-107" w:firstLine="107"/>
              <w:jc w:val="center"/>
              <w:rPr>
                <w:b/>
                <w:lang w:val="ro-RO"/>
              </w:rPr>
            </w:pPr>
            <w:r w:rsidRPr="002152E4">
              <w:rPr>
                <w:b/>
                <w:lang w:val="ro-RO"/>
              </w:rPr>
              <w:t>-3,3</w:t>
            </w:r>
          </w:p>
        </w:tc>
        <w:tc>
          <w:tcPr>
            <w:tcW w:w="1368" w:type="dxa"/>
            <w:tcBorders>
              <w:top w:val="threeDEmboss" w:sz="6" w:space="0" w:color="00B050"/>
              <w:bottom w:val="threeDEmboss" w:sz="6" w:space="0" w:color="00B050"/>
            </w:tcBorders>
            <w:shd w:val="clear" w:color="auto" w:fill="FCE0C8"/>
            <w:vAlign w:val="center"/>
          </w:tcPr>
          <w:p w:rsidR="00F8404C" w:rsidRPr="002152E4" w:rsidRDefault="00F8404C" w:rsidP="007A3F5C">
            <w:pPr>
              <w:widowControl w:val="0"/>
              <w:ind w:left="-107" w:firstLine="107"/>
              <w:jc w:val="center"/>
              <w:rPr>
                <w:b/>
                <w:lang w:val="ro-RO"/>
              </w:rPr>
            </w:pPr>
            <w:r w:rsidRPr="002152E4">
              <w:rPr>
                <w:b/>
                <w:lang w:val="ro-RO"/>
              </w:rPr>
              <w:t>-</w:t>
            </w:r>
          </w:p>
        </w:tc>
        <w:tc>
          <w:tcPr>
            <w:tcW w:w="1368" w:type="dxa"/>
            <w:tcBorders>
              <w:top w:val="threeDEmboss" w:sz="6" w:space="0" w:color="00B050"/>
              <w:bottom w:val="threeDEmboss" w:sz="6" w:space="0" w:color="00B050"/>
            </w:tcBorders>
            <w:shd w:val="clear" w:color="auto" w:fill="FCE0C8"/>
            <w:vAlign w:val="center"/>
          </w:tcPr>
          <w:p w:rsidR="00F8404C" w:rsidRPr="002152E4" w:rsidRDefault="00F8404C" w:rsidP="007A3F5C">
            <w:pPr>
              <w:widowControl w:val="0"/>
              <w:ind w:left="-107" w:firstLine="107"/>
              <w:jc w:val="center"/>
              <w:rPr>
                <w:b/>
                <w:lang w:val="ro-RO"/>
              </w:rPr>
            </w:pPr>
            <w:r w:rsidRPr="002152E4">
              <w:rPr>
                <w:b/>
                <w:lang w:val="ro-RO"/>
              </w:rPr>
              <w:t>-11,0</w:t>
            </w:r>
          </w:p>
        </w:tc>
        <w:tc>
          <w:tcPr>
            <w:tcW w:w="1108" w:type="dxa"/>
            <w:tcBorders>
              <w:top w:val="threeDEmboss" w:sz="6" w:space="0" w:color="00B050"/>
              <w:bottom w:val="threeDEmboss" w:sz="6" w:space="0" w:color="00B050"/>
            </w:tcBorders>
            <w:shd w:val="clear" w:color="auto" w:fill="FCE0C8"/>
            <w:vAlign w:val="center"/>
          </w:tcPr>
          <w:p w:rsidR="00F8404C" w:rsidRPr="002152E4" w:rsidRDefault="00F8404C" w:rsidP="007A3F5C">
            <w:pPr>
              <w:widowControl w:val="0"/>
              <w:ind w:left="-107" w:firstLine="107"/>
              <w:jc w:val="center"/>
              <w:rPr>
                <w:b/>
                <w:lang w:val="ro-RO"/>
              </w:rPr>
            </w:pPr>
            <w:r w:rsidRPr="002152E4">
              <w:rPr>
                <w:b/>
                <w:lang w:val="ro-RO"/>
              </w:rPr>
              <w:t>+47,7</w:t>
            </w:r>
          </w:p>
        </w:tc>
        <w:tc>
          <w:tcPr>
            <w:tcW w:w="1276" w:type="dxa"/>
            <w:tcBorders>
              <w:top w:val="threeDEmboss" w:sz="6" w:space="0" w:color="00B050"/>
              <w:bottom w:val="threeDEmboss" w:sz="6" w:space="0" w:color="00B050"/>
            </w:tcBorders>
            <w:shd w:val="clear" w:color="auto" w:fill="FCE0C8"/>
            <w:vAlign w:val="center"/>
          </w:tcPr>
          <w:p w:rsidR="00F8404C" w:rsidRPr="002152E4" w:rsidRDefault="00F8404C" w:rsidP="007A3F5C">
            <w:pPr>
              <w:widowControl w:val="0"/>
              <w:ind w:left="-107" w:firstLine="107"/>
              <w:jc w:val="center"/>
              <w:rPr>
                <w:b/>
                <w:lang w:val="ro-RO"/>
              </w:rPr>
            </w:pPr>
            <w:r w:rsidRPr="002152E4">
              <w:rPr>
                <w:b/>
                <w:lang w:val="ro-RO"/>
              </w:rPr>
              <w:t>-10,1</w:t>
            </w:r>
          </w:p>
        </w:tc>
        <w:tc>
          <w:tcPr>
            <w:tcW w:w="1720" w:type="dxa"/>
            <w:tcBorders>
              <w:top w:val="threeDEmboss" w:sz="6" w:space="0" w:color="00B050"/>
              <w:bottom w:val="threeDEmboss" w:sz="6" w:space="0" w:color="00B050"/>
              <w:right w:val="threeDEmboss" w:sz="6" w:space="0" w:color="00B050"/>
            </w:tcBorders>
            <w:shd w:val="clear" w:color="auto" w:fill="FCE0C8"/>
            <w:vAlign w:val="center"/>
          </w:tcPr>
          <w:p w:rsidR="00F8404C" w:rsidRPr="002152E4" w:rsidRDefault="00F8404C" w:rsidP="007A3F5C">
            <w:pPr>
              <w:widowControl w:val="0"/>
              <w:ind w:left="-107" w:hanging="1"/>
              <w:jc w:val="center"/>
              <w:rPr>
                <w:b/>
                <w:lang w:val="ro-RO"/>
              </w:rPr>
            </w:pPr>
            <w:r w:rsidRPr="002152E4">
              <w:rPr>
                <w:b/>
                <w:lang w:val="ro-RO"/>
              </w:rPr>
              <w:t>+26,7</w:t>
            </w:r>
          </w:p>
        </w:tc>
      </w:tr>
    </w:tbl>
    <w:p w:rsidR="00D5288F" w:rsidRPr="002152E4" w:rsidRDefault="00D5288F" w:rsidP="007442AA">
      <w:pPr>
        <w:rPr>
          <w:b/>
          <w:lang w:val="ro-RO"/>
        </w:rPr>
      </w:pPr>
    </w:p>
    <w:p w:rsidR="00D5288F" w:rsidRPr="002152E4" w:rsidRDefault="00D5288F" w:rsidP="007442AA">
      <w:pPr>
        <w:rPr>
          <w:b/>
          <w:lang w:val="ro-RO"/>
        </w:rPr>
      </w:pPr>
    </w:p>
    <w:p w:rsidR="007442AA" w:rsidRPr="002152E4" w:rsidRDefault="007442AA" w:rsidP="007442AA">
      <w:pPr>
        <w:rPr>
          <w:b/>
          <w:lang w:val="ro-RO"/>
        </w:rPr>
      </w:pPr>
      <w:r w:rsidRPr="002152E4">
        <w:rPr>
          <w:b/>
          <w:lang w:val="ro-RO"/>
        </w:rPr>
        <w:t xml:space="preserve">9. INFRACŢIUNI ELECTORALE (ART. 385 – </w:t>
      </w:r>
      <w:smartTag w:uri="urn:schemas-microsoft-com:office:smarttags" w:element="metricconverter">
        <w:smartTagPr>
          <w:attr w:name="ProductID" w:val="393 C"/>
        </w:smartTagPr>
        <w:r w:rsidRPr="002152E4">
          <w:rPr>
            <w:b/>
            <w:lang w:val="ro-RO"/>
          </w:rPr>
          <w:t>393 C</w:t>
        </w:r>
      </w:smartTag>
      <w:r w:rsidRPr="002152E4">
        <w:rPr>
          <w:b/>
          <w:lang w:val="ro-RO"/>
        </w:rPr>
        <w:t>.P.)</w:t>
      </w:r>
    </w:p>
    <w:tbl>
      <w:tblPr>
        <w:tblW w:w="8756"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526"/>
        <w:gridCol w:w="1701"/>
        <w:gridCol w:w="1843"/>
        <w:gridCol w:w="1843"/>
        <w:gridCol w:w="1843"/>
      </w:tblGrid>
      <w:tr w:rsidR="007442AA" w:rsidRPr="002152E4" w:rsidTr="007442AA">
        <w:tc>
          <w:tcPr>
            <w:tcW w:w="1526"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r w:rsidRPr="002152E4">
              <w:rPr>
                <w:b/>
                <w:lang w:val="ro-RO"/>
              </w:rPr>
              <w:t>ANUL</w:t>
            </w:r>
          </w:p>
          <w:p w:rsidR="007442AA" w:rsidRPr="002152E4" w:rsidRDefault="007442AA" w:rsidP="007442AA">
            <w:pPr>
              <w:jc w:val="center"/>
              <w:rPr>
                <w:b/>
                <w:lang w:val="ro-RO"/>
              </w:rPr>
            </w:pPr>
          </w:p>
        </w:tc>
        <w:tc>
          <w:tcPr>
            <w:tcW w:w="1701"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TOTAL </w:t>
            </w:r>
          </w:p>
          <w:p w:rsidR="007442AA" w:rsidRPr="002152E4" w:rsidRDefault="007442AA" w:rsidP="007442AA">
            <w:pPr>
              <w:jc w:val="center"/>
              <w:rPr>
                <w:b/>
                <w:lang w:val="ro-RO"/>
              </w:rPr>
            </w:pPr>
            <w:r w:rsidRPr="002152E4">
              <w:rPr>
                <w:b/>
                <w:lang w:val="ro-RO"/>
              </w:rPr>
              <w:t xml:space="preserve">TRIMIŞI ÎN </w:t>
            </w:r>
          </w:p>
          <w:p w:rsidR="007442AA" w:rsidRPr="002152E4" w:rsidRDefault="007442AA" w:rsidP="007442AA">
            <w:pPr>
              <w:jc w:val="center"/>
              <w:rPr>
                <w:b/>
                <w:lang w:val="ro-RO"/>
              </w:rPr>
            </w:pPr>
            <w:r w:rsidRPr="002152E4">
              <w:rPr>
                <w:b/>
                <w:lang w:val="ro-RO"/>
              </w:rPr>
              <w:t xml:space="preserve">JUDECATĂ, </w:t>
            </w:r>
          </w:p>
          <w:p w:rsidR="007442AA" w:rsidRPr="002152E4" w:rsidRDefault="007442AA" w:rsidP="007442AA">
            <w:pPr>
              <w:jc w:val="center"/>
              <w:rPr>
                <w:lang w:val="ro-RO"/>
              </w:rPr>
            </w:pPr>
            <w:r w:rsidRPr="002152E4">
              <w:rPr>
                <w:b/>
                <w:lang w:val="ro-RO"/>
              </w:rPr>
              <w:t>din care</w:t>
            </w:r>
            <w:r w:rsidRPr="002152E4">
              <w:rPr>
                <w:lang w:val="ro-RO"/>
              </w:rPr>
              <w:t>:</w:t>
            </w:r>
          </w:p>
        </w:tc>
        <w:tc>
          <w:tcPr>
            <w:tcW w:w="1843"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pondere în </w:t>
            </w:r>
          </w:p>
          <w:p w:rsidR="007442AA" w:rsidRPr="002152E4" w:rsidRDefault="007442AA" w:rsidP="007442AA">
            <w:pPr>
              <w:jc w:val="center"/>
              <w:rPr>
                <w:b/>
                <w:lang w:val="ro-RO"/>
              </w:rPr>
            </w:pPr>
            <w:r w:rsidRPr="002152E4">
              <w:rPr>
                <w:b/>
                <w:lang w:val="ro-RO"/>
              </w:rPr>
              <w:t xml:space="preserve">total general </w:t>
            </w:r>
          </w:p>
          <w:p w:rsidR="007442AA" w:rsidRPr="002152E4" w:rsidRDefault="007442AA" w:rsidP="007442AA">
            <w:pPr>
              <w:jc w:val="center"/>
              <w:rPr>
                <w:b/>
                <w:lang w:val="ro-RO"/>
              </w:rPr>
            </w:pPr>
            <w:r w:rsidRPr="002152E4">
              <w:rPr>
                <w:b/>
                <w:lang w:val="ro-RO"/>
              </w:rPr>
              <w:t>inculpați p.f.</w:t>
            </w:r>
          </w:p>
          <w:p w:rsidR="007442AA" w:rsidRPr="002152E4" w:rsidRDefault="007442AA" w:rsidP="007442AA">
            <w:pPr>
              <w:jc w:val="center"/>
              <w:rPr>
                <w:b/>
                <w:lang w:val="ro-RO"/>
              </w:rPr>
            </w:pPr>
            <w:r w:rsidRPr="002152E4">
              <w:rPr>
                <w:b/>
                <w:lang w:val="ro-RO"/>
              </w:rPr>
              <w:t xml:space="preserve">trimişi în </w:t>
            </w:r>
          </w:p>
          <w:p w:rsidR="007442AA" w:rsidRPr="002152E4" w:rsidRDefault="007442AA" w:rsidP="007442AA">
            <w:pPr>
              <w:jc w:val="center"/>
              <w:rPr>
                <w:b/>
                <w:lang w:val="ro-RO"/>
              </w:rPr>
            </w:pPr>
            <w:r w:rsidRPr="002152E4">
              <w:rPr>
                <w:b/>
                <w:lang w:val="ro-RO"/>
              </w:rPr>
              <w:t>judecată (%)</w:t>
            </w:r>
          </w:p>
        </w:tc>
        <w:tc>
          <w:tcPr>
            <w:tcW w:w="1843"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coruperea alegătorilor</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386 C"/>
              </w:smartTagPr>
              <w:r w:rsidRPr="002152E4">
                <w:rPr>
                  <w:b/>
                  <w:lang w:val="ro-RO"/>
                </w:rPr>
                <w:t>386 C</w:t>
              </w:r>
            </w:smartTag>
            <w:r w:rsidRPr="002152E4">
              <w:rPr>
                <w:b/>
                <w:lang w:val="ro-RO"/>
              </w:rPr>
              <w:t>.p.)</w:t>
            </w:r>
          </w:p>
        </w:tc>
        <w:tc>
          <w:tcPr>
            <w:tcW w:w="1843" w:type="dxa"/>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frauda la vot</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387 C"/>
              </w:smartTagPr>
              <w:r w:rsidRPr="002152E4">
                <w:rPr>
                  <w:b/>
                  <w:lang w:val="ro-RO"/>
                </w:rPr>
                <w:t>387 C</w:t>
              </w:r>
            </w:smartTag>
            <w:r w:rsidRPr="002152E4">
              <w:rPr>
                <w:b/>
                <w:lang w:val="ro-RO"/>
              </w:rPr>
              <w:t>.p.)</w:t>
            </w:r>
          </w:p>
        </w:tc>
      </w:tr>
      <w:tr w:rsidR="007442AA" w:rsidRPr="002152E4" w:rsidTr="007442AA">
        <w:tc>
          <w:tcPr>
            <w:tcW w:w="1526"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jc w:val="center"/>
              <w:rPr>
                <w:lang w:val="ro-RO"/>
              </w:rPr>
            </w:pPr>
            <w:r w:rsidRPr="002152E4">
              <w:rPr>
                <w:lang w:val="ro-RO"/>
              </w:rPr>
              <w:t>2014</w:t>
            </w:r>
          </w:p>
        </w:tc>
        <w:tc>
          <w:tcPr>
            <w:tcW w:w="1701"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53</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0,1</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9</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42</w:t>
            </w:r>
          </w:p>
        </w:tc>
      </w:tr>
      <w:tr w:rsidR="007442AA" w:rsidRPr="002152E4" w:rsidTr="007442AA">
        <w:tc>
          <w:tcPr>
            <w:tcW w:w="1526"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jc w:val="center"/>
              <w:rPr>
                <w:lang w:val="ro-RO"/>
              </w:rPr>
            </w:pPr>
            <w:r w:rsidRPr="002152E4">
              <w:rPr>
                <w:lang w:val="ro-RO"/>
              </w:rPr>
              <w:t>2015</w:t>
            </w:r>
          </w:p>
        </w:tc>
        <w:tc>
          <w:tcPr>
            <w:tcW w:w="1701"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57</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0,1</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15</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17</w:t>
            </w:r>
          </w:p>
        </w:tc>
      </w:tr>
      <w:tr w:rsidR="007442AA" w:rsidRPr="002152E4" w:rsidTr="007442AA">
        <w:tc>
          <w:tcPr>
            <w:tcW w:w="1526"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jc w:val="center"/>
              <w:rPr>
                <w:lang w:val="ro-RO"/>
              </w:rPr>
            </w:pPr>
            <w:r w:rsidRPr="002152E4">
              <w:rPr>
                <w:lang w:val="ro-RO"/>
              </w:rPr>
              <w:t>2016</w:t>
            </w:r>
          </w:p>
        </w:tc>
        <w:tc>
          <w:tcPr>
            <w:tcW w:w="1701"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32</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0,1</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3</w:t>
            </w:r>
          </w:p>
        </w:tc>
        <w:tc>
          <w:tcPr>
            <w:tcW w:w="1843" w:type="dxa"/>
            <w:tcBorders>
              <w:top w:val="threeDEmboss" w:sz="6" w:space="0" w:color="00B050"/>
              <w:left w:val="threeDEmboss" w:sz="6" w:space="0" w:color="00B050"/>
              <w:bottom w:val="threeDEmboss" w:sz="6" w:space="0" w:color="00B050"/>
              <w:right w:val="threeDEmboss" w:sz="6" w:space="0" w:color="00B050"/>
            </w:tcBorders>
          </w:tcPr>
          <w:p w:rsidR="007442AA" w:rsidRPr="002152E4" w:rsidRDefault="007442AA" w:rsidP="007442AA">
            <w:pPr>
              <w:widowControl w:val="0"/>
              <w:jc w:val="center"/>
              <w:rPr>
                <w:lang w:val="ro-RO"/>
              </w:rPr>
            </w:pPr>
            <w:r w:rsidRPr="002152E4">
              <w:rPr>
                <w:lang w:val="ro-RO"/>
              </w:rPr>
              <w:t>16</w:t>
            </w:r>
          </w:p>
        </w:tc>
      </w:tr>
      <w:tr w:rsidR="007442AA" w:rsidRPr="002152E4" w:rsidTr="007442AA">
        <w:tc>
          <w:tcPr>
            <w:tcW w:w="1526" w:type="dxa"/>
            <w:tcBorders>
              <w:top w:val="threeDEmboss" w:sz="6" w:space="0" w:color="00B050"/>
              <w:left w:val="threeDEmboss" w:sz="6" w:space="0" w:color="00B050"/>
              <w:bottom w:val="threeDEmboss" w:sz="6" w:space="0" w:color="00B050"/>
              <w:right w:val="threeDEmboss" w:sz="6" w:space="0" w:color="00B050"/>
            </w:tcBorders>
            <w:shd w:val="clear" w:color="auto" w:fill="FBD4B4"/>
          </w:tcPr>
          <w:p w:rsidR="007442AA" w:rsidRPr="002152E4" w:rsidRDefault="007442AA" w:rsidP="007442AA">
            <w:pPr>
              <w:rPr>
                <w:b/>
                <w:i/>
                <w:u w:val="single"/>
                <w:lang w:val="ro-RO"/>
              </w:rPr>
            </w:pPr>
            <w:r w:rsidRPr="002152E4">
              <w:rPr>
                <w:b/>
                <w:i/>
                <w:lang w:val="ro-RO"/>
              </w:rPr>
              <w:t xml:space="preserve">   </w:t>
            </w:r>
            <w:r w:rsidRPr="002152E4">
              <w:rPr>
                <w:i/>
                <w:lang w:val="ro-RO"/>
              </w:rPr>
              <w:t xml:space="preserve">% </w:t>
            </w:r>
            <w:r w:rsidRPr="002152E4">
              <w:rPr>
                <w:b/>
                <w:i/>
                <w:u w:val="single"/>
                <w:lang w:val="ro-RO"/>
              </w:rPr>
              <w:t>2016</w:t>
            </w:r>
          </w:p>
          <w:p w:rsidR="007442AA" w:rsidRPr="002152E4" w:rsidRDefault="007442AA" w:rsidP="007442AA">
            <w:pPr>
              <w:rPr>
                <w:lang w:val="ro-RO"/>
              </w:rPr>
            </w:pPr>
            <w:r w:rsidRPr="002152E4">
              <w:rPr>
                <w:i/>
                <w:lang w:val="ro-RO"/>
              </w:rPr>
              <w:t xml:space="preserve">  +/- </w:t>
            </w:r>
            <w:r w:rsidRPr="002152E4">
              <w:rPr>
                <w:b/>
                <w:i/>
                <w:lang w:val="ro-RO"/>
              </w:rPr>
              <w:t>2015</w:t>
            </w:r>
          </w:p>
        </w:tc>
        <w:tc>
          <w:tcPr>
            <w:tcW w:w="1701"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7442AA" w:rsidRPr="002152E4" w:rsidRDefault="007442AA" w:rsidP="007442AA">
            <w:pPr>
              <w:widowControl w:val="0"/>
              <w:jc w:val="center"/>
              <w:rPr>
                <w:b/>
                <w:lang w:val="ro-RO"/>
              </w:rPr>
            </w:pPr>
            <w:r w:rsidRPr="002152E4">
              <w:rPr>
                <w:b/>
                <w:lang w:val="ro-RO"/>
              </w:rPr>
              <w:t>-43,9</w:t>
            </w:r>
          </w:p>
        </w:tc>
        <w:tc>
          <w:tcPr>
            <w:tcW w:w="1843"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7442AA" w:rsidRPr="002152E4" w:rsidRDefault="007442AA" w:rsidP="007442AA">
            <w:pPr>
              <w:widowControl w:val="0"/>
              <w:jc w:val="center"/>
              <w:rPr>
                <w:b/>
                <w:lang w:val="ro-RO"/>
              </w:rPr>
            </w:pPr>
            <w:r w:rsidRPr="002152E4">
              <w:rPr>
                <w:b/>
                <w:lang w:val="ro-RO"/>
              </w:rPr>
              <w:t>-</w:t>
            </w:r>
          </w:p>
        </w:tc>
        <w:tc>
          <w:tcPr>
            <w:tcW w:w="1843"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7442AA" w:rsidRPr="002152E4" w:rsidRDefault="007442AA" w:rsidP="007442AA">
            <w:pPr>
              <w:widowControl w:val="0"/>
              <w:jc w:val="center"/>
              <w:rPr>
                <w:b/>
                <w:lang w:val="ro-RO"/>
              </w:rPr>
            </w:pPr>
            <w:r w:rsidRPr="002152E4">
              <w:rPr>
                <w:b/>
                <w:lang w:val="ro-RO"/>
              </w:rPr>
              <w:t>-80,0</w:t>
            </w:r>
          </w:p>
        </w:tc>
        <w:tc>
          <w:tcPr>
            <w:tcW w:w="1843" w:type="dxa"/>
            <w:tcBorders>
              <w:top w:val="threeDEmboss" w:sz="6" w:space="0" w:color="00B050"/>
              <w:left w:val="threeDEmboss" w:sz="6" w:space="0" w:color="00B050"/>
              <w:bottom w:val="threeDEmboss" w:sz="6" w:space="0" w:color="00B050"/>
              <w:right w:val="threeDEmboss" w:sz="6" w:space="0" w:color="00B050"/>
            </w:tcBorders>
            <w:shd w:val="clear" w:color="auto" w:fill="FBD4B4"/>
            <w:vAlign w:val="center"/>
          </w:tcPr>
          <w:p w:rsidR="007442AA" w:rsidRPr="002152E4" w:rsidRDefault="007442AA" w:rsidP="007442AA">
            <w:pPr>
              <w:widowControl w:val="0"/>
              <w:jc w:val="center"/>
              <w:rPr>
                <w:b/>
                <w:lang w:val="ro-RO"/>
              </w:rPr>
            </w:pPr>
            <w:r w:rsidRPr="002152E4">
              <w:rPr>
                <w:b/>
                <w:lang w:val="ro-RO"/>
              </w:rPr>
              <w:t>-5,9</w:t>
            </w:r>
          </w:p>
        </w:tc>
      </w:tr>
    </w:tbl>
    <w:p w:rsidR="007442AA" w:rsidRPr="002152E4" w:rsidRDefault="007442AA" w:rsidP="007442AA">
      <w:pPr>
        <w:rPr>
          <w:b/>
          <w:lang w:val="ro-RO"/>
        </w:rPr>
      </w:pPr>
    </w:p>
    <w:p w:rsidR="007442AA" w:rsidRPr="002152E4" w:rsidRDefault="007442AA" w:rsidP="007442AA">
      <w:pPr>
        <w:rPr>
          <w:b/>
          <w:lang w:val="ro-RO"/>
        </w:rPr>
      </w:pPr>
      <w:r w:rsidRPr="002152E4">
        <w:rPr>
          <w:b/>
          <w:lang w:val="ro-RO"/>
        </w:rPr>
        <w:t xml:space="preserve">10. INFRACŢIUNI PREVĂZUTE DE LEGILE SPECIALE </w:t>
      </w:r>
    </w:p>
    <w:tbl>
      <w:tblPr>
        <w:tblW w:w="0" w:type="auto"/>
        <w:tblInd w:w="-34"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276"/>
        <w:gridCol w:w="1361"/>
        <w:gridCol w:w="1462"/>
        <w:gridCol w:w="1701"/>
        <w:gridCol w:w="3131"/>
      </w:tblGrid>
      <w:tr w:rsidR="007442AA" w:rsidRPr="00631BB4" w:rsidTr="007442AA">
        <w:trPr>
          <w:cantSplit/>
          <w:trHeight w:val="1811"/>
        </w:trPr>
        <w:tc>
          <w:tcPr>
            <w:tcW w:w="1276"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r w:rsidRPr="002152E4">
              <w:rPr>
                <w:b/>
                <w:lang w:val="ro-RO"/>
              </w:rPr>
              <w:t>ANUL</w:t>
            </w:r>
          </w:p>
          <w:p w:rsidR="007442AA" w:rsidRPr="002152E4" w:rsidRDefault="007442AA" w:rsidP="007442AA">
            <w:pPr>
              <w:jc w:val="center"/>
              <w:rPr>
                <w:b/>
                <w:lang w:val="ro-RO"/>
              </w:rPr>
            </w:pPr>
          </w:p>
        </w:tc>
        <w:tc>
          <w:tcPr>
            <w:tcW w:w="1361"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TOTAL TRIMIŞI ÎN JUDECATĂ,</w:t>
            </w:r>
          </w:p>
          <w:p w:rsidR="007442AA" w:rsidRPr="002152E4" w:rsidRDefault="007442AA" w:rsidP="007442AA">
            <w:pPr>
              <w:jc w:val="center"/>
              <w:rPr>
                <w:b/>
                <w:lang w:val="ro-RO"/>
              </w:rPr>
            </w:pPr>
            <w:r w:rsidRPr="002152E4">
              <w:rPr>
                <w:b/>
                <w:lang w:val="ro-RO"/>
              </w:rPr>
              <w:t>din care:</w:t>
            </w:r>
          </w:p>
        </w:tc>
        <w:tc>
          <w:tcPr>
            <w:tcW w:w="1462"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pondere în</w:t>
            </w:r>
          </w:p>
          <w:p w:rsidR="007442AA" w:rsidRPr="002152E4" w:rsidRDefault="007442AA" w:rsidP="007442AA">
            <w:pPr>
              <w:jc w:val="center"/>
              <w:rPr>
                <w:b/>
                <w:lang w:val="ro-RO"/>
              </w:rPr>
            </w:pPr>
            <w:r w:rsidRPr="002152E4">
              <w:rPr>
                <w:b/>
                <w:lang w:val="ro-RO"/>
              </w:rPr>
              <w:t>total general</w:t>
            </w:r>
          </w:p>
          <w:p w:rsidR="007442AA" w:rsidRPr="002152E4" w:rsidRDefault="007442AA" w:rsidP="007442AA">
            <w:pPr>
              <w:jc w:val="center"/>
              <w:rPr>
                <w:b/>
                <w:lang w:val="ro-RO"/>
              </w:rPr>
            </w:pPr>
            <w:r w:rsidRPr="002152E4">
              <w:rPr>
                <w:b/>
                <w:lang w:val="ro-RO"/>
              </w:rPr>
              <w:t>inculpați p.f.</w:t>
            </w:r>
          </w:p>
          <w:p w:rsidR="007442AA" w:rsidRPr="002152E4" w:rsidRDefault="007442AA" w:rsidP="007442AA">
            <w:pPr>
              <w:jc w:val="center"/>
              <w:rPr>
                <w:b/>
                <w:lang w:val="ro-RO"/>
              </w:rPr>
            </w:pPr>
            <w:r w:rsidRPr="002152E4">
              <w:rPr>
                <w:b/>
                <w:lang w:val="ro-RO"/>
              </w:rPr>
              <w:t>trimişi în</w:t>
            </w:r>
          </w:p>
          <w:p w:rsidR="007442AA" w:rsidRPr="002152E4" w:rsidRDefault="007442AA" w:rsidP="007442AA">
            <w:pPr>
              <w:jc w:val="center"/>
              <w:rPr>
                <w:b/>
                <w:lang w:val="ro-RO"/>
              </w:rPr>
            </w:pPr>
            <w:r w:rsidRPr="002152E4">
              <w:rPr>
                <w:b/>
                <w:lang w:val="ro-RO"/>
              </w:rPr>
              <w:t>judecată (%)</w:t>
            </w:r>
          </w:p>
        </w:tc>
        <w:tc>
          <w:tcPr>
            <w:tcW w:w="1701"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infracțiuni privind societățile comerciale</w:t>
            </w:r>
          </w:p>
          <w:p w:rsidR="007442AA" w:rsidRPr="002152E4" w:rsidRDefault="007442AA" w:rsidP="007442AA">
            <w:pPr>
              <w:jc w:val="center"/>
              <w:rPr>
                <w:b/>
                <w:lang w:val="ro-RO"/>
              </w:rPr>
            </w:pPr>
            <w:r w:rsidRPr="002152E4">
              <w:rPr>
                <w:b/>
                <w:lang w:val="ro-RO"/>
              </w:rPr>
              <w:t>(Lg. nr. 31/1990)</w:t>
            </w:r>
          </w:p>
        </w:tc>
        <w:tc>
          <w:tcPr>
            <w:tcW w:w="3131" w:type="dxa"/>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infracțiuni privind </w:t>
            </w:r>
          </w:p>
          <w:p w:rsidR="007442AA" w:rsidRPr="002152E4" w:rsidRDefault="007442AA" w:rsidP="007442AA">
            <w:pPr>
              <w:jc w:val="center"/>
              <w:rPr>
                <w:b/>
                <w:lang w:val="ro-RO"/>
              </w:rPr>
            </w:pPr>
            <w:r w:rsidRPr="002152E4">
              <w:rPr>
                <w:b/>
                <w:lang w:val="ro-RO"/>
              </w:rPr>
              <w:t>traficul și consumul ilicit de droguri precum și la regimul juridic al precursorilor</w:t>
            </w:r>
          </w:p>
          <w:p w:rsidR="007442AA" w:rsidRPr="002152E4" w:rsidRDefault="007442AA" w:rsidP="007442AA">
            <w:pPr>
              <w:jc w:val="center"/>
              <w:rPr>
                <w:b/>
                <w:lang w:val="ro-RO"/>
              </w:rPr>
            </w:pPr>
            <w:r w:rsidRPr="002152E4">
              <w:rPr>
                <w:b/>
                <w:lang w:val="ro-RO"/>
              </w:rPr>
              <w:t xml:space="preserve">(Lg. nr. 143/2000 și </w:t>
            </w:r>
          </w:p>
          <w:p w:rsidR="007442AA" w:rsidRPr="002152E4" w:rsidRDefault="007442AA" w:rsidP="007442AA">
            <w:pPr>
              <w:jc w:val="center"/>
              <w:rPr>
                <w:b/>
                <w:lang w:val="ro-RO"/>
              </w:rPr>
            </w:pPr>
            <w:r w:rsidRPr="002152E4">
              <w:rPr>
                <w:b/>
                <w:lang w:val="ro-RO"/>
              </w:rPr>
              <w:t>O.U.G. nr. 121/2006)</w:t>
            </w:r>
          </w:p>
        </w:tc>
      </w:tr>
      <w:tr w:rsidR="007442AA" w:rsidRPr="002152E4" w:rsidTr="007442AA">
        <w:tc>
          <w:tcPr>
            <w:tcW w:w="1276" w:type="dxa"/>
            <w:tcBorders>
              <w:top w:val="threeDEmboss" w:sz="6" w:space="0" w:color="00B050"/>
            </w:tcBorders>
            <w:vAlign w:val="center"/>
          </w:tcPr>
          <w:p w:rsidR="007442AA" w:rsidRPr="002152E4" w:rsidRDefault="007442AA" w:rsidP="007442AA">
            <w:pPr>
              <w:jc w:val="center"/>
              <w:rPr>
                <w:lang w:val="ro-RO"/>
              </w:rPr>
            </w:pPr>
            <w:r w:rsidRPr="002152E4">
              <w:rPr>
                <w:lang w:val="ro-RO"/>
              </w:rPr>
              <w:t>2007</w:t>
            </w:r>
          </w:p>
        </w:tc>
        <w:tc>
          <w:tcPr>
            <w:tcW w:w="1361" w:type="dxa"/>
            <w:tcBorders>
              <w:top w:val="threeDEmboss" w:sz="6" w:space="0" w:color="00B050"/>
            </w:tcBorders>
            <w:vAlign w:val="bottom"/>
          </w:tcPr>
          <w:p w:rsidR="007442AA" w:rsidRPr="002152E4" w:rsidRDefault="007442AA" w:rsidP="007442AA">
            <w:pPr>
              <w:jc w:val="center"/>
              <w:rPr>
                <w:lang w:val="ro-RO"/>
              </w:rPr>
            </w:pPr>
            <w:r w:rsidRPr="002152E4">
              <w:rPr>
                <w:lang w:val="ro-RO"/>
              </w:rPr>
              <w:t>15.366</w:t>
            </w:r>
          </w:p>
        </w:tc>
        <w:tc>
          <w:tcPr>
            <w:tcW w:w="1462" w:type="dxa"/>
            <w:tcBorders>
              <w:top w:val="threeDEmboss" w:sz="6" w:space="0" w:color="00B050"/>
            </w:tcBorders>
            <w:vAlign w:val="bottom"/>
          </w:tcPr>
          <w:p w:rsidR="007442AA" w:rsidRPr="002152E4" w:rsidRDefault="007442AA" w:rsidP="007442AA">
            <w:pPr>
              <w:jc w:val="center"/>
              <w:rPr>
                <w:lang w:val="ro-RO"/>
              </w:rPr>
            </w:pPr>
            <w:r w:rsidRPr="002152E4">
              <w:rPr>
                <w:lang w:val="ro-RO"/>
              </w:rPr>
              <w:t>32,2</w:t>
            </w:r>
          </w:p>
        </w:tc>
        <w:tc>
          <w:tcPr>
            <w:tcW w:w="1701" w:type="dxa"/>
            <w:tcBorders>
              <w:top w:val="threeDEmboss" w:sz="6" w:space="0" w:color="00B050"/>
            </w:tcBorders>
            <w:vAlign w:val="bottom"/>
          </w:tcPr>
          <w:p w:rsidR="007442AA" w:rsidRPr="002152E4" w:rsidRDefault="007442AA" w:rsidP="007442AA">
            <w:pPr>
              <w:jc w:val="center"/>
              <w:rPr>
                <w:lang w:val="ro-RO"/>
              </w:rPr>
            </w:pPr>
            <w:r w:rsidRPr="002152E4">
              <w:rPr>
                <w:lang w:val="ro-RO"/>
              </w:rPr>
              <w:t>38</w:t>
            </w:r>
          </w:p>
        </w:tc>
        <w:tc>
          <w:tcPr>
            <w:tcW w:w="3131" w:type="dxa"/>
            <w:tcBorders>
              <w:top w:val="threeDEmboss" w:sz="6" w:space="0" w:color="00B050"/>
            </w:tcBorders>
            <w:vAlign w:val="bottom"/>
          </w:tcPr>
          <w:p w:rsidR="007442AA" w:rsidRPr="002152E4" w:rsidRDefault="007442AA" w:rsidP="007442AA">
            <w:pPr>
              <w:jc w:val="center"/>
              <w:rPr>
                <w:lang w:val="ro-RO"/>
              </w:rPr>
            </w:pPr>
            <w:r w:rsidRPr="002152E4">
              <w:rPr>
                <w:lang w:val="ro-RO"/>
              </w:rPr>
              <w:t>748</w:t>
            </w:r>
          </w:p>
        </w:tc>
      </w:tr>
      <w:tr w:rsidR="007442AA" w:rsidRPr="002152E4" w:rsidTr="007442AA">
        <w:tc>
          <w:tcPr>
            <w:tcW w:w="1276" w:type="dxa"/>
            <w:vAlign w:val="center"/>
          </w:tcPr>
          <w:p w:rsidR="007442AA" w:rsidRPr="002152E4" w:rsidRDefault="007442AA" w:rsidP="007442AA">
            <w:pPr>
              <w:jc w:val="center"/>
              <w:rPr>
                <w:lang w:val="ro-RO"/>
              </w:rPr>
            </w:pPr>
            <w:r w:rsidRPr="002152E4">
              <w:rPr>
                <w:lang w:val="ro-RO"/>
              </w:rPr>
              <w:lastRenderedPageBreak/>
              <w:t>2008</w:t>
            </w:r>
          </w:p>
        </w:tc>
        <w:tc>
          <w:tcPr>
            <w:tcW w:w="1361" w:type="dxa"/>
            <w:vAlign w:val="bottom"/>
          </w:tcPr>
          <w:p w:rsidR="007442AA" w:rsidRPr="002152E4" w:rsidRDefault="007442AA" w:rsidP="007442AA">
            <w:pPr>
              <w:jc w:val="center"/>
              <w:rPr>
                <w:lang w:val="ro-RO"/>
              </w:rPr>
            </w:pPr>
            <w:r w:rsidRPr="002152E4">
              <w:rPr>
                <w:lang w:val="ro-RO"/>
              </w:rPr>
              <w:t>15.767</w:t>
            </w:r>
          </w:p>
        </w:tc>
        <w:tc>
          <w:tcPr>
            <w:tcW w:w="1462" w:type="dxa"/>
            <w:vAlign w:val="bottom"/>
          </w:tcPr>
          <w:p w:rsidR="007442AA" w:rsidRPr="002152E4" w:rsidRDefault="007442AA" w:rsidP="007442AA">
            <w:pPr>
              <w:jc w:val="center"/>
              <w:rPr>
                <w:lang w:val="ro-RO"/>
              </w:rPr>
            </w:pPr>
            <w:r w:rsidRPr="002152E4">
              <w:rPr>
                <w:lang w:val="ro-RO"/>
              </w:rPr>
              <w:t>35,0</w:t>
            </w:r>
          </w:p>
        </w:tc>
        <w:tc>
          <w:tcPr>
            <w:tcW w:w="1701" w:type="dxa"/>
            <w:vAlign w:val="bottom"/>
          </w:tcPr>
          <w:p w:rsidR="007442AA" w:rsidRPr="002152E4" w:rsidRDefault="007442AA" w:rsidP="007442AA">
            <w:pPr>
              <w:jc w:val="center"/>
              <w:rPr>
                <w:lang w:val="ro-RO"/>
              </w:rPr>
            </w:pPr>
            <w:r w:rsidRPr="002152E4">
              <w:rPr>
                <w:lang w:val="ro-RO"/>
              </w:rPr>
              <w:t>16</w:t>
            </w:r>
          </w:p>
        </w:tc>
        <w:tc>
          <w:tcPr>
            <w:tcW w:w="3131" w:type="dxa"/>
            <w:vAlign w:val="bottom"/>
          </w:tcPr>
          <w:p w:rsidR="007442AA" w:rsidRPr="002152E4" w:rsidRDefault="007442AA" w:rsidP="007442AA">
            <w:pPr>
              <w:jc w:val="center"/>
              <w:rPr>
                <w:lang w:val="ro-RO"/>
              </w:rPr>
            </w:pPr>
            <w:r w:rsidRPr="002152E4">
              <w:rPr>
                <w:lang w:val="ro-RO"/>
              </w:rPr>
              <w:t>895</w:t>
            </w:r>
          </w:p>
        </w:tc>
      </w:tr>
      <w:tr w:rsidR="007442AA" w:rsidRPr="002152E4" w:rsidTr="007442AA">
        <w:tc>
          <w:tcPr>
            <w:tcW w:w="1276" w:type="dxa"/>
            <w:vAlign w:val="center"/>
          </w:tcPr>
          <w:p w:rsidR="007442AA" w:rsidRPr="002152E4" w:rsidRDefault="007442AA" w:rsidP="007442AA">
            <w:pPr>
              <w:jc w:val="center"/>
              <w:rPr>
                <w:lang w:val="ro-RO"/>
              </w:rPr>
            </w:pPr>
            <w:r w:rsidRPr="002152E4">
              <w:rPr>
                <w:lang w:val="ro-RO"/>
              </w:rPr>
              <w:t>2009</w:t>
            </w:r>
          </w:p>
        </w:tc>
        <w:tc>
          <w:tcPr>
            <w:tcW w:w="1361" w:type="dxa"/>
            <w:vAlign w:val="bottom"/>
          </w:tcPr>
          <w:p w:rsidR="007442AA" w:rsidRPr="002152E4" w:rsidRDefault="007442AA" w:rsidP="007442AA">
            <w:pPr>
              <w:jc w:val="center"/>
              <w:rPr>
                <w:lang w:val="ro-RO"/>
              </w:rPr>
            </w:pPr>
            <w:r w:rsidRPr="002152E4">
              <w:rPr>
                <w:lang w:val="ro-RO"/>
              </w:rPr>
              <w:t>18.895</w:t>
            </w:r>
          </w:p>
        </w:tc>
        <w:tc>
          <w:tcPr>
            <w:tcW w:w="1462" w:type="dxa"/>
            <w:vAlign w:val="bottom"/>
          </w:tcPr>
          <w:p w:rsidR="007442AA" w:rsidRPr="002152E4" w:rsidRDefault="007442AA" w:rsidP="007442AA">
            <w:pPr>
              <w:jc w:val="center"/>
              <w:rPr>
                <w:lang w:val="ro-RO"/>
              </w:rPr>
            </w:pPr>
            <w:r w:rsidRPr="002152E4">
              <w:rPr>
                <w:lang w:val="ro-RO"/>
              </w:rPr>
              <w:t>38,0</w:t>
            </w:r>
          </w:p>
        </w:tc>
        <w:tc>
          <w:tcPr>
            <w:tcW w:w="1701" w:type="dxa"/>
            <w:vAlign w:val="bottom"/>
          </w:tcPr>
          <w:p w:rsidR="007442AA" w:rsidRPr="002152E4" w:rsidRDefault="007442AA" w:rsidP="007442AA">
            <w:pPr>
              <w:jc w:val="center"/>
              <w:rPr>
                <w:lang w:val="ro-RO"/>
              </w:rPr>
            </w:pPr>
            <w:r w:rsidRPr="002152E4">
              <w:rPr>
                <w:lang w:val="ro-RO"/>
              </w:rPr>
              <w:t>12</w:t>
            </w:r>
          </w:p>
        </w:tc>
        <w:tc>
          <w:tcPr>
            <w:tcW w:w="3131" w:type="dxa"/>
            <w:vAlign w:val="bottom"/>
          </w:tcPr>
          <w:p w:rsidR="007442AA" w:rsidRPr="002152E4" w:rsidRDefault="007442AA" w:rsidP="007442AA">
            <w:pPr>
              <w:jc w:val="center"/>
              <w:rPr>
                <w:lang w:val="ro-RO"/>
              </w:rPr>
            </w:pPr>
            <w:r w:rsidRPr="002152E4">
              <w:rPr>
                <w:lang w:val="ro-RO"/>
              </w:rPr>
              <w:t>979</w:t>
            </w:r>
          </w:p>
        </w:tc>
      </w:tr>
      <w:tr w:rsidR="007442AA" w:rsidRPr="002152E4" w:rsidTr="007442AA">
        <w:tc>
          <w:tcPr>
            <w:tcW w:w="1276" w:type="dxa"/>
            <w:vAlign w:val="center"/>
          </w:tcPr>
          <w:p w:rsidR="007442AA" w:rsidRPr="002152E4" w:rsidRDefault="007442AA" w:rsidP="007442AA">
            <w:pPr>
              <w:jc w:val="center"/>
              <w:rPr>
                <w:lang w:val="ro-RO"/>
              </w:rPr>
            </w:pPr>
            <w:r w:rsidRPr="002152E4">
              <w:rPr>
                <w:lang w:val="ro-RO"/>
              </w:rPr>
              <w:t>2010</w:t>
            </w:r>
          </w:p>
        </w:tc>
        <w:tc>
          <w:tcPr>
            <w:tcW w:w="1361" w:type="dxa"/>
            <w:vAlign w:val="bottom"/>
          </w:tcPr>
          <w:p w:rsidR="007442AA" w:rsidRPr="002152E4" w:rsidRDefault="007442AA" w:rsidP="007442AA">
            <w:pPr>
              <w:jc w:val="center"/>
              <w:rPr>
                <w:lang w:val="ro-RO"/>
              </w:rPr>
            </w:pPr>
            <w:r w:rsidRPr="002152E4">
              <w:rPr>
                <w:lang w:val="ro-RO"/>
              </w:rPr>
              <w:t>22.001</w:t>
            </w:r>
          </w:p>
        </w:tc>
        <w:tc>
          <w:tcPr>
            <w:tcW w:w="1462" w:type="dxa"/>
            <w:vAlign w:val="bottom"/>
          </w:tcPr>
          <w:p w:rsidR="007442AA" w:rsidRPr="002152E4" w:rsidRDefault="007442AA" w:rsidP="007442AA">
            <w:pPr>
              <w:jc w:val="center"/>
              <w:rPr>
                <w:lang w:val="ro-RO"/>
              </w:rPr>
            </w:pPr>
            <w:r w:rsidRPr="002152E4">
              <w:rPr>
                <w:lang w:val="ro-RO"/>
              </w:rPr>
              <w:t>38,6</w:t>
            </w:r>
          </w:p>
        </w:tc>
        <w:tc>
          <w:tcPr>
            <w:tcW w:w="1701" w:type="dxa"/>
            <w:vAlign w:val="bottom"/>
          </w:tcPr>
          <w:p w:rsidR="007442AA" w:rsidRPr="002152E4" w:rsidRDefault="007442AA" w:rsidP="007442AA">
            <w:pPr>
              <w:jc w:val="center"/>
              <w:rPr>
                <w:lang w:val="ro-RO"/>
              </w:rPr>
            </w:pPr>
            <w:r w:rsidRPr="002152E4">
              <w:rPr>
                <w:lang w:val="ro-RO"/>
              </w:rPr>
              <w:t>16</w:t>
            </w:r>
          </w:p>
        </w:tc>
        <w:tc>
          <w:tcPr>
            <w:tcW w:w="3131" w:type="dxa"/>
            <w:vAlign w:val="bottom"/>
          </w:tcPr>
          <w:p w:rsidR="007442AA" w:rsidRPr="002152E4" w:rsidRDefault="007442AA" w:rsidP="007442AA">
            <w:pPr>
              <w:jc w:val="center"/>
              <w:rPr>
                <w:lang w:val="ro-RO"/>
              </w:rPr>
            </w:pPr>
            <w:r w:rsidRPr="002152E4">
              <w:rPr>
                <w:lang w:val="ro-RO"/>
              </w:rPr>
              <w:t>1.110</w:t>
            </w:r>
          </w:p>
        </w:tc>
      </w:tr>
      <w:tr w:rsidR="007442AA" w:rsidRPr="002152E4" w:rsidTr="007442AA">
        <w:tc>
          <w:tcPr>
            <w:tcW w:w="1276" w:type="dxa"/>
            <w:vAlign w:val="center"/>
          </w:tcPr>
          <w:p w:rsidR="007442AA" w:rsidRPr="002152E4" w:rsidRDefault="007442AA" w:rsidP="007442AA">
            <w:pPr>
              <w:jc w:val="center"/>
              <w:rPr>
                <w:lang w:val="ro-RO"/>
              </w:rPr>
            </w:pPr>
            <w:r w:rsidRPr="002152E4">
              <w:rPr>
                <w:lang w:val="ro-RO"/>
              </w:rPr>
              <w:t>2011</w:t>
            </w:r>
          </w:p>
        </w:tc>
        <w:tc>
          <w:tcPr>
            <w:tcW w:w="1361" w:type="dxa"/>
            <w:vAlign w:val="bottom"/>
          </w:tcPr>
          <w:p w:rsidR="007442AA" w:rsidRPr="002152E4" w:rsidRDefault="007442AA" w:rsidP="007442AA">
            <w:pPr>
              <w:jc w:val="center"/>
              <w:rPr>
                <w:lang w:val="ro-RO"/>
              </w:rPr>
            </w:pPr>
            <w:r w:rsidRPr="002152E4">
              <w:rPr>
                <w:lang w:val="ro-RO"/>
              </w:rPr>
              <w:t>23.874</w:t>
            </w:r>
          </w:p>
        </w:tc>
        <w:tc>
          <w:tcPr>
            <w:tcW w:w="1462" w:type="dxa"/>
            <w:vAlign w:val="bottom"/>
          </w:tcPr>
          <w:p w:rsidR="007442AA" w:rsidRPr="002152E4" w:rsidRDefault="007442AA" w:rsidP="007442AA">
            <w:pPr>
              <w:jc w:val="center"/>
              <w:rPr>
                <w:lang w:val="ro-RO"/>
              </w:rPr>
            </w:pPr>
            <w:r w:rsidRPr="002152E4">
              <w:rPr>
                <w:lang w:val="ro-RO"/>
              </w:rPr>
              <w:t>39,2</w:t>
            </w:r>
          </w:p>
        </w:tc>
        <w:tc>
          <w:tcPr>
            <w:tcW w:w="1701" w:type="dxa"/>
            <w:vAlign w:val="bottom"/>
          </w:tcPr>
          <w:p w:rsidR="007442AA" w:rsidRPr="002152E4" w:rsidRDefault="007442AA" w:rsidP="007442AA">
            <w:pPr>
              <w:jc w:val="center"/>
              <w:rPr>
                <w:lang w:val="ro-RO"/>
              </w:rPr>
            </w:pPr>
            <w:r w:rsidRPr="002152E4">
              <w:rPr>
                <w:lang w:val="ro-RO"/>
              </w:rPr>
              <w:t>21</w:t>
            </w:r>
          </w:p>
        </w:tc>
        <w:tc>
          <w:tcPr>
            <w:tcW w:w="3131" w:type="dxa"/>
            <w:vAlign w:val="bottom"/>
          </w:tcPr>
          <w:p w:rsidR="007442AA" w:rsidRPr="002152E4" w:rsidRDefault="007442AA" w:rsidP="007442AA">
            <w:pPr>
              <w:jc w:val="center"/>
              <w:rPr>
                <w:lang w:val="ro-RO"/>
              </w:rPr>
            </w:pPr>
            <w:r w:rsidRPr="002152E4">
              <w:rPr>
                <w:lang w:val="ro-RO"/>
              </w:rPr>
              <w:t>1.063</w:t>
            </w:r>
          </w:p>
        </w:tc>
      </w:tr>
      <w:tr w:rsidR="007442AA" w:rsidRPr="002152E4" w:rsidTr="007442AA">
        <w:tc>
          <w:tcPr>
            <w:tcW w:w="1276" w:type="dxa"/>
            <w:vAlign w:val="center"/>
          </w:tcPr>
          <w:p w:rsidR="007442AA" w:rsidRPr="002152E4" w:rsidRDefault="007442AA" w:rsidP="007442AA">
            <w:pPr>
              <w:jc w:val="center"/>
              <w:rPr>
                <w:lang w:val="ro-RO"/>
              </w:rPr>
            </w:pPr>
            <w:r w:rsidRPr="002152E4">
              <w:rPr>
                <w:lang w:val="ro-RO"/>
              </w:rPr>
              <w:t>2012</w:t>
            </w:r>
          </w:p>
        </w:tc>
        <w:tc>
          <w:tcPr>
            <w:tcW w:w="1361" w:type="dxa"/>
            <w:vAlign w:val="bottom"/>
          </w:tcPr>
          <w:p w:rsidR="007442AA" w:rsidRPr="002152E4" w:rsidRDefault="007442AA" w:rsidP="007442AA">
            <w:pPr>
              <w:jc w:val="center"/>
              <w:rPr>
                <w:lang w:val="ro-RO"/>
              </w:rPr>
            </w:pPr>
            <w:r w:rsidRPr="002152E4">
              <w:rPr>
                <w:lang w:val="ro-RO"/>
              </w:rPr>
              <w:t>23.260</w:t>
            </w:r>
          </w:p>
        </w:tc>
        <w:tc>
          <w:tcPr>
            <w:tcW w:w="1462" w:type="dxa"/>
            <w:vAlign w:val="bottom"/>
          </w:tcPr>
          <w:p w:rsidR="007442AA" w:rsidRPr="002152E4" w:rsidRDefault="007442AA" w:rsidP="007442AA">
            <w:pPr>
              <w:jc w:val="center"/>
              <w:rPr>
                <w:lang w:val="ro-RO"/>
              </w:rPr>
            </w:pPr>
            <w:r w:rsidRPr="002152E4">
              <w:rPr>
                <w:lang w:val="ro-RO"/>
              </w:rPr>
              <w:t>38,9</w:t>
            </w:r>
          </w:p>
        </w:tc>
        <w:tc>
          <w:tcPr>
            <w:tcW w:w="1701" w:type="dxa"/>
            <w:vAlign w:val="bottom"/>
          </w:tcPr>
          <w:p w:rsidR="007442AA" w:rsidRPr="002152E4" w:rsidRDefault="007442AA" w:rsidP="007442AA">
            <w:pPr>
              <w:jc w:val="center"/>
              <w:rPr>
                <w:lang w:val="ro-RO"/>
              </w:rPr>
            </w:pPr>
            <w:r w:rsidRPr="002152E4">
              <w:rPr>
                <w:lang w:val="ro-RO"/>
              </w:rPr>
              <w:t>27</w:t>
            </w:r>
          </w:p>
        </w:tc>
        <w:tc>
          <w:tcPr>
            <w:tcW w:w="3131" w:type="dxa"/>
            <w:vAlign w:val="bottom"/>
          </w:tcPr>
          <w:p w:rsidR="007442AA" w:rsidRPr="002152E4" w:rsidRDefault="007442AA" w:rsidP="007442AA">
            <w:pPr>
              <w:jc w:val="center"/>
              <w:rPr>
                <w:lang w:val="ro-RO"/>
              </w:rPr>
            </w:pPr>
            <w:r w:rsidRPr="002152E4">
              <w:rPr>
                <w:lang w:val="ro-RO"/>
              </w:rPr>
              <w:t>1.140</w:t>
            </w:r>
          </w:p>
        </w:tc>
      </w:tr>
      <w:tr w:rsidR="007442AA" w:rsidRPr="002152E4" w:rsidTr="007442AA">
        <w:tc>
          <w:tcPr>
            <w:tcW w:w="1276" w:type="dxa"/>
            <w:vAlign w:val="center"/>
          </w:tcPr>
          <w:p w:rsidR="007442AA" w:rsidRPr="002152E4" w:rsidRDefault="007442AA" w:rsidP="007442AA">
            <w:pPr>
              <w:jc w:val="center"/>
              <w:rPr>
                <w:lang w:val="ro-RO"/>
              </w:rPr>
            </w:pPr>
            <w:r w:rsidRPr="002152E4">
              <w:rPr>
                <w:lang w:val="ro-RO"/>
              </w:rPr>
              <w:t>2013</w:t>
            </w:r>
          </w:p>
        </w:tc>
        <w:tc>
          <w:tcPr>
            <w:tcW w:w="1361" w:type="dxa"/>
            <w:vAlign w:val="bottom"/>
          </w:tcPr>
          <w:p w:rsidR="007442AA" w:rsidRPr="002152E4" w:rsidRDefault="007442AA" w:rsidP="007442AA">
            <w:pPr>
              <w:jc w:val="center"/>
              <w:rPr>
                <w:lang w:val="ro-RO"/>
              </w:rPr>
            </w:pPr>
            <w:r w:rsidRPr="002152E4">
              <w:rPr>
                <w:lang w:val="ro-RO"/>
              </w:rPr>
              <w:t>25.704</w:t>
            </w:r>
          </w:p>
        </w:tc>
        <w:tc>
          <w:tcPr>
            <w:tcW w:w="1462" w:type="dxa"/>
            <w:vAlign w:val="bottom"/>
          </w:tcPr>
          <w:p w:rsidR="007442AA" w:rsidRPr="002152E4" w:rsidRDefault="007442AA" w:rsidP="007442AA">
            <w:pPr>
              <w:jc w:val="center"/>
              <w:rPr>
                <w:lang w:val="ro-RO"/>
              </w:rPr>
            </w:pPr>
            <w:r w:rsidRPr="002152E4">
              <w:rPr>
                <w:lang w:val="ro-RO"/>
              </w:rPr>
              <w:t>39,1</w:t>
            </w:r>
          </w:p>
        </w:tc>
        <w:tc>
          <w:tcPr>
            <w:tcW w:w="1701" w:type="dxa"/>
            <w:vAlign w:val="bottom"/>
          </w:tcPr>
          <w:p w:rsidR="007442AA" w:rsidRPr="002152E4" w:rsidRDefault="007442AA" w:rsidP="007442AA">
            <w:pPr>
              <w:jc w:val="center"/>
              <w:rPr>
                <w:lang w:val="ro-RO"/>
              </w:rPr>
            </w:pPr>
            <w:r w:rsidRPr="002152E4">
              <w:rPr>
                <w:lang w:val="ro-RO"/>
              </w:rPr>
              <w:t>27</w:t>
            </w:r>
          </w:p>
        </w:tc>
        <w:tc>
          <w:tcPr>
            <w:tcW w:w="3131" w:type="dxa"/>
            <w:vAlign w:val="bottom"/>
          </w:tcPr>
          <w:p w:rsidR="007442AA" w:rsidRPr="002152E4" w:rsidRDefault="007442AA" w:rsidP="007442AA">
            <w:pPr>
              <w:jc w:val="center"/>
              <w:rPr>
                <w:lang w:val="ro-RO"/>
              </w:rPr>
            </w:pPr>
            <w:r w:rsidRPr="002152E4">
              <w:rPr>
                <w:lang w:val="ro-RO"/>
              </w:rPr>
              <w:t>1.173</w:t>
            </w:r>
          </w:p>
        </w:tc>
      </w:tr>
      <w:tr w:rsidR="007442AA" w:rsidRPr="002152E4" w:rsidTr="007442AA">
        <w:tc>
          <w:tcPr>
            <w:tcW w:w="1276" w:type="dxa"/>
            <w:vAlign w:val="center"/>
          </w:tcPr>
          <w:p w:rsidR="007442AA" w:rsidRPr="002152E4" w:rsidRDefault="007442AA" w:rsidP="007442AA">
            <w:pPr>
              <w:jc w:val="center"/>
              <w:rPr>
                <w:lang w:val="ro-RO"/>
              </w:rPr>
            </w:pPr>
            <w:r w:rsidRPr="002152E4">
              <w:rPr>
                <w:lang w:val="ro-RO"/>
              </w:rPr>
              <w:t>2014</w:t>
            </w:r>
          </w:p>
        </w:tc>
        <w:tc>
          <w:tcPr>
            <w:tcW w:w="1361" w:type="dxa"/>
          </w:tcPr>
          <w:p w:rsidR="007442AA" w:rsidRPr="002152E4" w:rsidRDefault="007442AA" w:rsidP="007442AA">
            <w:pPr>
              <w:widowControl w:val="0"/>
              <w:jc w:val="center"/>
              <w:rPr>
                <w:lang w:val="ro-RO"/>
              </w:rPr>
            </w:pPr>
            <w:r w:rsidRPr="002152E4">
              <w:rPr>
                <w:lang w:val="ro-RO"/>
              </w:rPr>
              <w:t>6.555</w:t>
            </w:r>
          </w:p>
        </w:tc>
        <w:tc>
          <w:tcPr>
            <w:tcW w:w="1462" w:type="dxa"/>
          </w:tcPr>
          <w:p w:rsidR="007442AA" w:rsidRPr="002152E4" w:rsidRDefault="007442AA" w:rsidP="007442AA">
            <w:pPr>
              <w:widowControl w:val="0"/>
              <w:jc w:val="center"/>
              <w:rPr>
                <w:lang w:val="ro-RO"/>
              </w:rPr>
            </w:pPr>
            <w:r w:rsidRPr="002152E4">
              <w:rPr>
                <w:lang w:val="ro-RO"/>
              </w:rPr>
              <w:t>13,0</w:t>
            </w:r>
          </w:p>
        </w:tc>
        <w:tc>
          <w:tcPr>
            <w:tcW w:w="1701" w:type="dxa"/>
          </w:tcPr>
          <w:p w:rsidR="007442AA" w:rsidRPr="002152E4" w:rsidRDefault="007442AA" w:rsidP="007442AA">
            <w:pPr>
              <w:widowControl w:val="0"/>
              <w:jc w:val="center"/>
              <w:rPr>
                <w:lang w:val="ro-RO"/>
              </w:rPr>
            </w:pPr>
            <w:r w:rsidRPr="002152E4">
              <w:rPr>
                <w:lang w:val="ro-RO"/>
              </w:rPr>
              <w:t>18</w:t>
            </w:r>
          </w:p>
        </w:tc>
        <w:tc>
          <w:tcPr>
            <w:tcW w:w="3131" w:type="dxa"/>
          </w:tcPr>
          <w:p w:rsidR="007442AA" w:rsidRPr="002152E4" w:rsidRDefault="007442AA" w:rsidP="007442AA">
            <w:pPr>
              <w:widowControl w:val="0"/>
              <w:jc w:val="center"/>
              <w:rPr>
                <w:lang w:val="ro-RO"/>
              </w:rPr>
            </w:pPr>
            <w:r w:rsidRPr="002152E4">
              <w:rPr>
                <w:lang w:val="ro-RO"/>
              </w:rPr>
              <w:t>1.241</w:t>
            </w:r>
          </w:p>
        </w:tc>
      </w:tr>
      <w:tr w:rsidR="007442AA" w:rsidRPr="002152E4" w:rsidTr="007442AA">
        <w:tc>
          <w:tcPr>
            <w:tcW w:w="1276" w:type="dxa"/>
            <w:vAlign w:val="center"/>
          </w:tcPr>
          <w:p w:rsidR="007442AA" w:rsidRPr="002152E4" w:rsidRDefault="007442AA" w:rsidP="007442AA">
            <w:pPr>
              <w:jc w:val="center"/>
              <w:rPr>
                <w:lang w:val="ro-RO"/>
              </w:rPr>
            </w:pPr>
            <w:r w:rsidRPr="002152E4">
              <w:rPr>
                <w:lang w:val="ro-RO"/>
              </w:rPr>
              <w:t>2015</w:t>
            </w:r>
          </w:p>
        </w:tc>
        <w:tc>
          <w:tcPr>
            <w:tcW w:w="1361" w:type="dxa"/>
          </w:tcPr>
          <w:p w:rsidR="007442AA" w:rsidRPr="002152E4" w:rsidRDefault="007442AA" w:rsidP="007442AA">
            <w:pPr>
              <w:widowControl w:val="0"/>
              <w:jc w:val="center"/>
              <w:rPr>
                <w:lang w:val="ro-RO"/>
              </w:rPr>
            </w:pPr>
            <w:r w:rsidRPr="002152E4">
              <w:rPr>
                <w:lang w:val="ro-RO"/>
              </w:rPr>
              <w:t>7.501</w:t>
            </w:r>
          </w:p>
        </w:tc>
        <w:tc>
          <w:tcPr>
            <w:tcW w:w="1462" w:type="dxa"/>
          </w:tcPr>
          <w:p w:rsidR="007442AA" w:rsidRPr="002152E4" w:rsidRDefault="007442AA" w:rsidP="007442AA">
            <w:pPr>
              <w:widowControl w:val="0"/>
              <w:jc w:val="center"/>
              <w:rPr>
                <w:lang w:val="ro-RO"/>
              </w:rPr>
            </w:pPr>
            <w:r w:rsidRPr="002152E4">
              <w:rPr>
                <w:lang w:val="ro-RO"/>
              </w:rPr>
              <w:t>12,8</w:t>
            </w:r>
          </w:p>
        </w:tc>
        <w:tc>
          <w:tcPr>
            <w:tcW w:w="1701" w:type="dxa"/>
          </w:tcPr>
          <w:p w:rsidR="007442AA" w:rsidRPr="002152E4" w:rsidRDefault="007442AA" w:rsidP="007442AA">
            <w:pPr>
              <w:widowControl w:val="0"/>
              <w:jc w:val="center"/>
              <w:rPr>
                <w:lang w:val="ro-RO"/>
              </w:rPr>
            </w:pPr>
            <w:r w:rsidRPr="002152E4">
              <w:rPr>
                <w:lang w:val="ro-RO"/>
              </w:rPr>
              <w:t>26</w:t>
            </w:r>
          </w:p>
        </w:tc>
        <w:tc>
          <w:tcPr>
            <w:tcW w:w="3131" w:type="dxa"/>
          </w:tcPr>
          <w:p w:rsidR="007442AA" w:rsidRPr="002152E4" w:rsidRDefault="007442AA" w:rsidP="007442AA">
            <w:pPr>
              <w:widowControl w:val="0"/>
              <w:jc w:val="center"/>
              <w:rPr>
                <w:lang w:val="ro-RO"/>
              </w:rPr>
            </w:pPr>
            <w:r w:rsidRPr="002152E4">
              <w:rPr>
                <w:lang w:val="ro-RO"/>
              </w:rPr>
              <w:t>1.331</w:t>
            </w:r>
          </w:p>
        </w:tc>
      </w:tr>
      <w:tr w:rsidR="007442AA" w:rsidRPr="002152E4" w:rsidTr="007442AA">
        <w:tc>
          <w:tcPr>
            <w:tcW w:w="1276" w:type="dxa"/>
            <w:tcBorders>
              <w:bottom w:val="threeDEmboss" w:sz="6" w:space="0" w:color="00B050"/>
            </w:tcBorders>
            <w:vAlign w:val="center"/>
          </w:tcPr>
          <w:p w:rsidR="007442AA" w:rsidRPr="002152E4" w:rsidRDefault="007442AA" w:rsidP="007442AA">
            <w:pPr>
              <w:jc w:val="center"/>
              <w:rPr>
                <w:lang w:val="ro-RO"/>
              </w:rPr>
            </w:pPr>
            <w:r w:rsidRPr="002152E4">
              <w:rPr>
                <w:lang w:val="ro-RO"/>
              </w:rPr>
              <w:t>2016</w:t>
            </w:r>
          </w:p>
        </w:tc>
        <w:tc>
          <w:tcPr>
            <w:tcW w:w="1361" w:type="dxa"/>
            <w:tcBorders>
              <w:bottom w:val="threeDEmboss" w:sz="6" w:space="0" w:color="00B050"/>
            </w:tcBorders>
          </w:tcPr>
          <w:p w:rsidR="007442AA" w:rsidRPr="002152E4" w:rsidRDefault="007442AA" w:rsidP="007442AA">
            <w:pPr>
              <w:widowControl w:val="0"/>
              <w:jc w:val="center"/>
              <w:rPr>
                <w:lang w:val="ro-RO"/>
              </w:rPr>
            </w:pPr>
            <w:r w:rsidRPr="002152E4">
              <w:rPr>
                <w:lang w:val="ro-RO"/>
              </w:rPr>
              <w:t>8.396</w:t>
            </w:r>
          </w:p>
        </w:tc>
        <w:tc>
          <w:tcPr>
            <w:tcW w:w="1462" w:type="dxa"/>
            <w:tcBorders>
              <w:bottom w:val="threeDEmboss" w:sz="6" w:space="0" w:color="00B050"/>
            </w:tcBorders>
          </w:tcPr>
          <w:p w:rsidR="007442AA" w:rsidRPr="002152E4" w:rsidRDefault="007442AA" w:rsidP="007442AA">
            <w:pPr>
              <w:widowControl w:val="0"/>
              <w:jc w:val="center"/>
              <w:rPr>
                <w:lang w:val="ro-RO"/>
              </w:rPr>
            </w:pPr>
            <w:r w:rsidRPr="002152E4">
              <w:rPr>
                <w:lang w:val="ro-RO"/>
              </w:rPr>
              <w:t>13,2</w:t>
            </w:r>
          </w:p>
        </w:tc>
        <w:tc>
          <w:tcPr>
            <w:tcW w:w="1701" w:type="dxa"/>
            <w:tcBorders>
              <w:bottom w:val="threeDEmboss" w:sz="6" w:space="0" w:color="00B050"/>
            </w:tcBorders>
          </w:tcPr>
          <w:p w:rsidR="007442AA" w:rsidRPr="002152E4" w:rsidRDefault="007442AA" w:rsidP="007442AA">
            <w:pPr>
              <w:widowControl w:val="0"/>
              <w:jc w:val="center"/>
              <w:rPr>
                <w:lang w:val="ro-RO"/>
              </w:rPr>
            </w:pPr>
            <w:r w:rsidRPr="002152E4">
              <w:rPr>
                <w:lang w:val="ro-RO"/>
              </w:rPr>
              <w:t>26</w:t>
            </w:r>
          </w:p>
        </w:tc>
        <w:tc>
          <w:tcPr>
            <w:tcW w:w="3131" w:type="dxa"/>
            <w:tcBorders>
              <w:bottom w:val="threeDEmboss" w:sz="6" w:space="0" w:color="00B050"/>
            </w:tcBorders>
          </w:tcPr>
          <w:p w:rsidR="007442AA" w:rsidRPr="002152E4" w:rsidRDefault="007442AA" w:rsidP="007442AA">
            <w:pPr>
              <w:widowControl w:val="0"/>
              <w:jc w:val="center"/>
              <w:rPr>
                <w:lang w:val="ro-RO"/>
              </w:rPr>
            </w:pPr>
            <w:r w:rsidRPr="002152E4">
              <w:rPr>
                <w:lang w:val="ro-RO"/>
              </w:rPr>
              <w:t>1.747</w:t>
            </w:r>
          </w:p>
        </w:tc>
      </w:tr>
      <w:tr w:rsidR="007442AA" w:rsidRPr="002152E4" w:rsidTr="007442AA">
        <w:tc>
          <w:tcPr>
            <w:tcW w:w="1276"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rPr>
                <w:b/>
                <w:i/>
                <w:u w:val="single"/>
                <w:lang w:val="ro-RO"/>
              </w:rPr>
            </w:pPr>
            <w:r w:rsidRPr="002152E4">
              <w:rPr>
                <w:b/>
                <w:i/>
                <w:lang w:val="ro-RO"/>
              </w:rPr>
              <w:t xml:space="preserve">  </w:t>
            </w:r>
            <w:r w:rsidRPr="002152E4">
              <w:rPr>
                <w:i/>
                <w:lang w:val="ro-RO"/>
              </w:rPr>
              <w:t xml:space="preserve">% </w:t>
            </w:r>
            <w:r w:rsidRPr="002152E4">
              <w:rPr>
                <w:b/>
                <w:i/>
                <w:u w:val="single"/>
                <w:lang w:val="ro-RO"/>
              </w:rPr>
              <w:t>2016</w:t>
            </w:r>
          </w:p>
          <w:p w:rsidR="007442AA" w:rsidRPr="002152E4" w:rsidRDefault="007442AA" w:rsidP="007442AA">
            <w:pPr>
              <w:rPr>
                <w:b/>
                <w:u w:val="single"/>
                <w:lang w:val="ro-RO"/>
              </w:rPr>
            </w:pPr>
            <w:r w:rsidRPr="002152E4">
              <w:rPr>
                <w:b/>
                <w:i/>
                <w:lang w:val="ro-RO"/>
              </w:rPr>
              <w:t xml:space="preserve"> </w:t>
            </w:r>
            <w:r w:rsidRPr="002152E4">
              <w:rPr>
                <w:i/>
                <w:lang w:val="ro-RO"/>
              </w:rPr>
              <w:t xml:space="preserve">+/- </w:t>
            </w:r>
            <w:r w:rsidRPr="002152E4">
              <w:rPr>
                <w:b/>
                <w:i/>
                <w:lang w:val="ro-RO"/>
              </w:rPr>
              <w:t>2015</w:t>
            </w:r>
          </w:p>
        </w:tc>
        <w:tc>
          <w:tcPr>
            <w:tcW w:w="1361"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+11,9</w:t>
            </w:r>
          </w:p>
        </w:tc>
        <w:tc>
          <w:tcPr>
            <w:tcW w:w="1462"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w:t>
            </w:r>
          </w:p>
        </w:tc>
        <w:tc>
          <w:tcPr>
            <w:tcW w:w="1701"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w:t>
            </w:r>
          </w:p>
        </w:tc>
        <w:tc>
          <w:tcPr>
            <w:tcW w:w="3131" w:type="dxa"/>
            <w:tcBorders>
              <w:top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+31,3</w:t>
            </w:r>
          </w:p>
        </w:tc>
      </w:tr>
    </w:tbl>
    <w:p w:rsidR="007442AA" w:rsidRPr="002152E4" w:rsidRDefault="007442AA" w:rsidP="007442AA">
      <w:pPr>
        <w:rPr>
          <w:lang w:val="ro-RO"/>
        </w:rPr>
      </w:pPr>
    </w:p>
    <w:p w:rsidR="007442AA" w:rsidRPr="002152E4" w:rsidRDefault="007442AA" w:rsidP="007442AA">
      <w:pPr>
        <w:rPr>
          <w:b/>
          <w:lang w:val="ro-RO"/>
        </w:rPr>
      </w:pPr>
      <w:r w:rsidRPr="002152E4">
        <w:rPr>
          <w:b/>
          <w:lang w:val="ro-RO"/>
        </w:rPr>
        <w:t>INFRACŢIUNI PREVĂZUTE DE LEGILE SPECIALE- CONTINUARE</w:t>
      </w:r>
    </w:p>
    <w:p w:rsidR="007442AA" w:rsidRPr="002152E4" w:rsidRDefault="007442AA" w:rsidP="007442AA">
      <w:pPr>
        <w:rPr>
          <w:lang w:val="ro-RO"/>
        </w:rPr>
      </w:pPr>
    </w:p>
    <w:tbl>
      <w:tblPr>
        <w:tblW w:w="10207" w:type="dxa"/>
        <w:tblInd w:w="-34"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559"/>
        <w:gridCol w:w="1559"/>
        <w:gridCol w:w="1559"/>
        <w:gridCol w:w="1843"/>
        <w:gridCol w:w="1986"/>
        <w:gridCol w:w="1701"/>
      </w:tblGrid>
      <w:tr w:rsidR="007442AA" w:rsidRPr="002152E4" w:rsidTr="007442AA">
        <w:tc>
          <w:tcPr>
            <w:tcW w:w="1559"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r w:rsidRPr="002152E4">
              <w:rPr>
                <w:b/>
                <w:lang w:val="ro-RO"/>
              </w:rPr>
              <w:t>ANUL</w:t>
            </w:r>
          </w:p>
          <w:p w:rsidR="007442AA" w:rsidRPr="002152E4" w:rsidRDefault="007442AA" w:rsidP="007442AA">
            <w:pPr>
              <w:jc w:val="center"/>
              <w:rPr>
                <w:b/>
                <w:lang w:val="ro-RO"/>
              </w:rPr>
            </w:pPr>
          </w:p>
        </w:tc>
        <w:tc>
          <w:tcPr>
            <w:tcW w:w="1559"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infracțiuni de spălare </w:t>
            </w:r>
          </w:p>
          <w:p w:rsidR="007442AA" w:rsidRPr="002152E4" w:rsidRDefault="007442AA" w:rsidP="007442AA">
            <w:pPr>
              <w:jc w:val="center"/>
              <w:rPr>
                <w:b/>
                <w:lang w:val="ro-RO"/>
              </w:rPr>
            </w:pPr>
            <w:r w:rsidRPr="002152E4">
              <w:rPr>
                <w:b/>
                <w:lang w:val="ro-RO"/>
              </w:rPr>
              <w:t xml:space="preserve">de bani </w:t>
            </w:r>
          </w:p>
          <w:p w:rsidR="007442AA" w:rsidRPr="002152E4" w:rsidRDefault="007442AA" w:rsidP="007442AA">
            <w:pPr>
              <w:jc w:val="center"/>
              <w:rPr>
                <w:b/>
                <w:lang w:val="ro-RO"/>
              </w:rPr>
            </w:pPr>
            <w:r w:rsidRPr="002152E4">
              <w:rPr>
                <w:b/>
                <w:lang w:val="ro-RO"/>
              </w:rPr>
              <w:t>(Lg. nr. 656/2002)</w:t>
            </w:r>
          </w:p>
        </w:tc>
        <w:tc>
          <w:tcPr>
            <w:tcW w:w="1559"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infracțiuni prevăzute de O.U.G. </w:t>
            </w:r>
          </w:p>
          <w:p w:rsidR="007442AA" w:rsidRPr="002152E4" w:rsidRDefault="007442AA" w:rsidP="007442AA">
            <w:pPr>
              <w:jc w:val="center"/>
              <w:rPr>
                <w:b/>
                <w:lang w:val="ro-RO"/>
              </w:rPr>
            </w:pPr>
            <w:r w:rsidRPr="002152E4">
              <w:rPr>
                <w:b/>
                <w:lang w:val="ro-RO"/>
              </w:rPr>
              <w:t>nr. 31/2002</w:t>
            </w:r>
          </w:p>
        </w:tc>
        <w:tc>
          <w:tcPr>
            <w:tcW w:w="1843"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infracțiuni prevăzute de Codul muncii</w:t>
            </w:r>
          </w:p>
          <w:p w:rsidR="007442AA" w:rsidRPr="002152E4" w:rsidRDefault="007442AA" w:rsidP="007442AA">
            <w:pPr>
              <w:jc w:val="center"/>
              <w:rPr>
                <w:b/>
                <w:lang w:val="ro-RO"/>
              </w:rPr>
            </w:pPr>
            <w:r w:rsidRPr="002152E4">
              <w:rPr>
                <w:b/>
                <w:lang w:val="ro-RO"/>
              </w:rPr>
              <w:t>(Lg. nr. 53/2003)</w:t>
            </w:r>
          </w:p>
        </w:tc>
        <w:tc>
          <w:tcPr>
            <w:tcW w:w="1986"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infracțiuni de evaziune fiscală</w:t>
            </w:r>
          </w:p>
          <w:p w:rsidR="007442AA" w:rsidRPr="002152E4" w:rsidRDefault="007442AA" w:rsidP="007442AA">
            <w:pPr>
              <w:jc w:val="center"/>
              <w:rPr>
                <w:b/>
                <w:lang w:val="ro-RO"/>
              </w:rPr>
            </w:pPr>
            <w:r w:rsidRPr="002152E4">
              <w:rPr>
                <w:b/>
                <w:lang w:val="ro-RO"/>
              </w:rPr>
              <w:t>(Lg. nr. 241/2005)</w:t>
            </w:r>
          </w:p>
        </w:tc>
        <w:tc>
          <w:tcPr>
            <w:tcW w:w="1701" w:type="dxa"/>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infracțiuni privind mediul înconjurător (O.U.G. nr 195/2005 și alte legi speciale)</w:t>
            </w:r>
          </w:p>
        </w:tc>
      </w:tr>
      <w:tr w:rsidR="007442AA" w:rsidRPr="002152E4" w:rsidTr="007442AA">
        <w:tc>
          <w:tcPr>
            <w:tcW w:w="1559" w:type="dxa"/>
            <w:tcBorders>
              <w:top w:val="threeDEmboss" w:sz="6" w:space="0" w:color="00B050"/>
            </w:tcBorders>
          </w:tcPr>
          <w:p w:rsidR="007442AA" w:rsidRPr="002152E4" w:rsidRDefault="007442AA" w:rsidP="007442AA">
            <w:pPr>
              <w:jc w:val="center"/>
              <w:rPr>
                <w:lang w:val="ro-RO"/>
              </w:rPr>
            </w:pPr>
            <w:r w:rsidRPr="002152E4">
              <w:rPr>
                <w:lang w:val="ro-RO"/>
              </w:rPr>
              <w:t>2007</w:t>
            </w:r>
          </w:p>
        </w:tc>
        <w:tc>
          <w:tcPr>
            <w:tcW w:w="1559" w:type="dxa"/>
            <w:tcBorders>
              <w:top w:val="threeDEmboss" w:sz="6" w:space="0" w:color="00B050"/>
            </w:tcBorders>
            <w:vAlign w:val="bottom"/>
          </w:tcPr>
          <w:p w:rsidR="007442AA" w:rsidRPr="002152E4" w:rsidRDefault="007442AA" w:rsidP="007442AA">
            <w:pPr>
              <w:jc w:val="center"/>
              <w:rPr>
                <w:lang w:val="ro-RO"/>
              </w:rPr>
            </w:pPr>
            <w:r w:rsidRPr="002152E4">
              <w:rPr>
                <w:lang w:val="ro-RO"/>
              </w:rPr>
              <w:t>56</w:t>
            </w:r>
          </w:p>
        </w:tc>
        <w:tc>
          <w:tcPr>
            <w:tcW w:w="1559" w:type="dxa"/>
            <w:tcBorders>
              <w:top w:val="threeDEmboss" w:sz="6" w:space="0" w:color="00B050"/>
            </w:tcBorders>
            <w:vAlign w:val="bottom"/>
          </w:tcPr>
          <w:p w:rsidR="007442AA" w:rsidRPr="002152E4" w:rsidRDefault="007442AA" w:rsidP="007442AA">
            <w:pPr>
              <w:jc w:val="center"/>
              <w:rPr>
                <w:lang w:val="ro-RO"/>
              </w:rPr>
            </w:pPr>
            <w:r w:rsidRPr="002152E4">
              <w:rPr>
                <w:lang w:val="ro-RO"/>
              </w:rPr>
              <w:t>0</w:t>
            </w:r>
          </w:p>
        </w:tc>
        <w:tc>
          <w:tcPr>
            <w:tcW w:w="1843" w:type="dxa"/>
            <w:tcBorders>
              <w:top w:val="threeDEmboss" w:sz="6" w:space="0" w:color="00B050"/>
            </w:tcBorders>
            <w:vAlign w:val="bottom"/>
          </w:tcPr>
          <w:p w:rsidR="007442AA" w:rsidRPr="002152E4" w:rsidRDefault="007442AA" w:rsidP="007442AA">
            <w:pPr>
              <w:jc w:val="center"/>
              <w:rPr>
                <w:lang w:val="ro-RO"/>
              </w:rPr>
            </w:pPr>
            <w:r w:rsidRPr="002152E4">
              <w:rPr>
                <w:lang w:val="ro-RO"/>
              </w:rPr>
              <w:t>3</w:t>
            </w:r>
          </w:p>
        </w:tc>
        <w:tc>
          <w:tcPr>
            <w:tcW w:w="1986" w:type="dxa"/>
            <w:tcBorders>
              <w:top w:val="threeDEmboss" w:sz="6" w:space="0" w:color="00B050"/>
            </w:tcBorders>
            <w:vAlign w:val="bottom"/>
          </w:tcPr>
          <w:p w:rsidR="007442AA" w:rsidRPr="002152E4" w:rsidRDefault="007442AA" w:rsidP="007442AA">
            <w:pPr>
              <w:jc w:val="center"/>
              <w:rPr>
                <w:lang w:val="ro-RO"/>
              </w:rPr>
            </w:pPr>
            <w:r w:rsidRPr="002152E4">
              <w:rPr>
                <w:lang w:val="ro-RO"/>
              </w:rPr>
              <w:t>386</w:t>
            </w:r>
          </w:p>
        </w:tc>
        <w:tc>
          <w:tcPr>
            <w:tcW w:w="1701" w:type="dxa"/>
            <w:tcBorders>
              <w:top w:val="threeDEmboss" w:sz="6" w:space="0" w:color="00B050"/>
            </w:tcBorders>
            <w:vAlign w:val="bottom"/>
          </w:tcPr>
          <w:p w:rsidR="007442AA" w:rsidRPr="002152E4" w:rsidRDefault="007442AA" w:rsidP="007442AA">
            <w:pPr>
              <w:jc w:val="center"/>
              <w:rPr>
                <w:lang w:val="ro-RO"/>
              </w:rPr>
            </w:pPr>
            <w:r w:rsidRPr="002152E4">
              <w:rPr>
                <w:lang w:val="ro-RO"/>
              </w:rPr>
              <w:t>0</w:t>
            </w:r>
          </w:p>
        </w:tc>
      </w:tr>
      <w:tr w:rsidR="007442AA" w:rsidRPr="002152E4" w:rsidTr="007442AA">
        <w:tc>
          <w:tcPr>
            <w:tcW w:w="1559" w:type="dxa"/>
          </w:tcPr>
          <w:p w:rsidR="007442AA" w:rsidRPr="002152E4" w:rsidRDefault="007442AA" w:rsidP="007442AA">
            <w:pPr>
              <w:jc w:val="center"/>
              <w:rPr>
                <w:lang w:val="ro-RO"/>
              </w:rPr>
            </w:pPr>
            <w:r w:rsidRPr="002152E4">
              <w:rPr>
                <w:lang w:val="ro-RO"/>
              </w:rPr>
              <w:t>2008</w:t>
            </w:r>
          </w:p>
        </w:tc>
        <w:tc>
          <w:tcPr>
            <w:tcW w:w="1559" w:type="dxa"/>
            <w:vAlign w:val="bottom"/>
          </w:tcPr>
          <w:p w:rsidR="007442AA" w:rsidRPr="002152E4" w:rsidRDefault="007442AA" w:rsidP="007442AA">
            <w:pPr>
              <w:jc w:val="center"/>
              <w:rPr>
                <w:lang w:val="ro-RO"/>
              </w:rPr>
            </w:pPr>
            <w:r w:rsidRPr="002152E4">
              <w:rPr>
                <w:lang w:val="ro-RO"/>
              </w:rPr>
              <w:t>42</w:t>
            </w:r>
          </w:p>
        </w:tc>
        <w:tc>
          <w:tcPr>
            <w:tcW w:w="1559" w:type="dxa"/>
            <w:vAlign w:val="bottom"/>
          </w:tcPr>
          <w:p w:rsidR="007442AA" w:rsidRPr="002152E4" w:rsidRDefault="007442AA" w:rsidP="007442AA">
            <w:pPr>
              <w:jc w:val="center"/>
              <w:rPr>
                <w:lang w:val="ro-RO"/>
              </w:rPr>
            </w:pPr>
            <w:r w:rsidRPr="002152E4">
              <w:rPr>
                <w:lang w:val="ro-RO"/>
              </w:rPr>
              <w:t>2</w:t>
            </w:r>
          </w:p>
        </w:tc>
        <w:tc>
          <w:tcPr>
            <w:tcW w:w="1843" w:type="dxa"/>
            <w:vAlign w:val="bottom"/>
          </w:tcPr>
          <w:p w:rsidR="007442AA" w:rsidRPr="002152E4" w:rsidRDefault="007442AA" w:rsidP="007442AA">
            <w:pPr>
              <w:jc w:val="center"/>
              <w:rPr>
                <w:lang w:val="ro-RO"/>
              </w:rPr>
            </w:pPr>
            <w:r w:rsidRPr="002152E4">
              <w:rPr>
                <w:lang w:val="ro-RO"/>
              </w:rPr>
              <w:t>2</w:t>
            </w:r>
          </w:p>
        </w:tc>
        <w:tc>
          <w:tcPr>
            <w:tcW w:w="1986" w:type="dxa"/>
            <w:vAlign w:val="bottom"/>
          </w:tcPr>
          <w:p w:rsidR="007442AA" w:rsidRPr="002152E4" w:rsidRDefault="007442AA" w:rsidP="007442AA">
            <w:pPr>
              <w:jc w:val="center"/>
              <w:rPr>
                <w:lang w:val="ro-RO"/>
              </w:rPr>
            </w:pPr>
            <w:r w:rsidRPr="002152E4">
              <w:rPr>
                <w:lang w:val="ro-RO"/>
              </w:rPr>
              <w:t>361</w:t>
            </w:r>
          </w:p>
        </w:tc>
        <w:tc>
          <w:tcPr>
            <w:tcW w:w="1701" w:type="dxa"/>
            <w:vAlign w:val="bottom"/>
          </w:tcPr>
          <w:p w:rsidR="007442AA" w:rsidRPr="002152E4" w:rsidRDefault="007442AA" w:rsidP="007442AA">
            <w:pPr>
              <w:jc w:val="center"/>
              <w:rPr>
                <w:lang w:val="ro-RO"/>
              </w:rPr>
            </w:pPr>
            <w:r w:rsidRPr="002152E4">
              <w:rPr>
                <w:lang w:val="ro-RO"/>
              </w:rPr>
              <w:t>0</w:t>
            </w:r>
          </w:p>
        </w:tc>
      </w:tr>
      <w:tr w:rsidR="007442AA" w:rsidRPr="002152E4" w:rsidTr="007442AA">
        <w:tc>
          <w:tcPr>
            <w:tcW w:w="1559" w:type="dxa"/>
          </w:tcPr>
          <w:p w:rsidR="007442AA" w:rsidRPr="002152E4" w:rsidRDefault="007442AA" w:rsidP="007442AA">
            <w:pPr>
              <w:jc w:val="center"/>
              <w:rPr>
                <w:lang w:val="ro-RO"/>
              </w:rPr>
            </w:pPr>
            <w:r w:rsidRPr="002152E4">
              <w:rPr>
                <w:lang w:val="ro-RO"/>
              </w:rPr>
              <w:t>2009</w:t>
            </w:r>
          </w:p>
        </w:tc>
        <w:tc>
          <w:tcPr>
            <w:tcW w:w="1559" w:type="dxa"/>
            <w:vAlign w:val="bottom"/>
          </w:tcPr>
          <w:p w:rsidR="007442AA" w:rsidRPr="002152E4" w:rsidRDefault="007442AA" w:rsidP="007442AA">
            <w:pPr>
              <w:jc w:val="center"/>
              <w:rPr>
                <w:lang w:val="ro-RO"/>
              </w:rPr>
            </w:pPr>
            <w:r w:rsidRPr="002152E4">
              <w:rPr>
                <w:lang w:val="ro-RO"/>
              </w:rPr>
              <w:t>38</w:t>
            </w:r>
          </w:p>
        </w:tc>
        <w:tc>
          <w:tcPr>
            <w:tcW w:w="1559" w:type="dxa"/>
            <w:vAlign w:val="bottom"/>
          </w:tcPr>
          <w:p w:rsidR="007442AA" w:rsidRPr="002152E4" w:rsidRDefault="007442AA" w:rsidP="007442AA">
            <w:pPr>
              <w:jc w:val="center"/>
              <w:rPr>
                <w:lang w:val="ro-RO"/>
              </w:rPr>
            </w:pPr>
            <w:r w:rsidRPr="002152E4">
              <w:rPr>
                <w:lang w:val="ro-RO"/>
              </w:rPr>
              <w:t>0</w:t>
            </w:r>
          </w:p>
        </w:tc>
        <w:tc>
          <w:tcPr>
            <w:tcW w:w="1843" w:type="dxa"/>
            <w:vAlign w:val="bottom"/>
          </w:tcPr>
          <w:p w:rsidR="007442AA" w:rsidRPr="002152E4" w:rsidRDefault="007442AA" w:rsidP="007442AA">
            <w:pPr>
              <w:jc w:val="center"/>
              <w:rPr>
                <w:lang w:val="ro-RO"/>
              </w:rPr>
            </w:pPr>
            <w:r w:rsidRPr="002152E4">
              <w:rPr>
                <w:lang w:val="ro-RO"/>
              </w:rPr>
              <w:t>1</w:t>
            </w:r>
          </w:p>
        </w:tc>
        <w:tc>
          <w:tcPr>
            <w:tcW w:w="1986" w:type="dxa"/>
            <w:vAlign w:val="bottom"/>
          </w:tcPr>
          <w:p w:rsidR="007442AA" w:rsidRPr="002152E4" w:rsidRDefault="007442AA" w:rsidP="007442AA">
            <w:pPr>
              <w:jc w:val="center"/>
              <w:rPr>
                <w:lang w:val="ro-RO"/>
              </w:rPr>
            </w:pPr>
            <w:r w:rsidRPr="002152E4">
              <w:rPr>
                <w:lang w:val="ro-RO"/>
              </w:rPr>
              <w:t>493</w:t>
            </w:r>
          </w:p>
        </w:tc>
        <w:tc>
          <w:tcPr>
            <w:tcW w:w="1701" w:type="dxa"/>
            <w:vAlign w:val="bottom"/>
          </w:tcPr>
          <w:p w:rsidR="007442AA" w:rsidRPr="002152E4" w:rsidRDefault="007442AA" w:rsidP="007442AA">
            <w:pPr>
              <w:jc w:val="center"/>
              <w:rPr>
                <w:lang w:val="ro-RO"/>
              </w:rPr>
            </w:pPr>
            <w:r w:rsidRPr="002152E4">
              <w:rPr>
                <w:lang w:val="ro-RO"/>
              </w:rPr>
              <w:t>5</w:t>
            </w:r>
          </w:p>
        </w:tc>
      </w:tr>
      <w:tr w:rsidR="007442AA" w:rsidRPr="002152E4" w:rsidTr="007442AA">
        <w:tc>
          <w:tcPr>
            <w:tcW w:w="1559" w:type="dxa"/>
          </w:tcPr>
          <w:p w:rsidR="007442AA" w:rsidRPr="002152E4" w:rsidRDefault="007442AA" w:rsidP="007442AA">
            <w:pPr>
              <w:jc w:val="center"/>
              <w:rPr>
                <w:lang w:val="ro-RO"/>
              </w:rPr>
            </w:pPr>
            <w:r w:rsidRPr="002152E4">
              <w:rPr>
                <w:lang w:val="ro-RO"/>
              </w:rPr>
              <w:t>2010</w:t>
            </w:r>
          </w:p>
        </w:tc>
        <w:tc>
          <w:tcPr>
            <w:tcW w:w="1559" w:type="dxa"/>
            <w:vAlign w:val="bottom"/>
          </w:tcPr>
          <w:p w:rsidR="007442AA" w:rsidRPr="002152E4" w:rsidRDefault="007442AA" w:rsidP="007442AA">
            <w:pPr>
              <w:jc w:val="center"/>
              <w:rPr>
                <w:lang w:val="ro-RO"/>
              </w:rPr>
            </w:pPr>
            <w:r w:rsidRPr="002152E4">
              <w:rPr>
                <w:lang w:val="ro-RO"/>
              </w:rPr>
              <w:t>66</w:t>
            </w:r>
          </w:p>
        </w:tc>
        <w:tc>
          <w:tcPr>
            <w:tcW w:w="1559" w:type="dxa"/>
            <w:vAlign w:val="bottom"/>
          </w:tcPr>
          <w:p w:rsidR="007442AA" w:rsidRPr="002152E4" w:rsidRDefault="007442AA" w:rsidP="007442AA">
            <w:pPr>
              <w:jc w:val="center"/>
              <w:rPr>
                <w:lang w:val="ro-RO"/>
              </w:rPr>
            </w:pPr>
            <w:r w:rsidRPr="002152E4">
              <w:rPr>
                <w:lang w:val="ro-RO"/>
              </w:rPr>
              <w:t>0</w:t>
            </w:r>
          </w:p>
        </w:tc>
        <w:tc>
          <w:tcPr>
            <w:tcW w:w="1843" w:type="dxa"/>
            <w:vAlign w:val="bottom"/>
          </w:tcPr>
          <w:p w:rsidR="007442AA" w:rsidRPr="002152E4" w:rsidRDefault="007442AA" w:rsidP="007442AA">
            <w:pPr>
              <w:jc w:val="center"/>
              <w:rPr>
                <w:lang w:val="ro-RO"/>
              </w:rPr>
            </w:pPr>
            <w:r w:rsidRPr="002152E4">
              <w:rPr>
                <w:lang w:val="ro-RO"/>
              </w:rPr>
              <w:t>3</w:t>
            </w:r>
          </w:p>
        </w:tc>
        <w:tc>
          <w:tcPr>
            <w:tcW w:w="1986" w:type="dxa"/>
            <w:vAlign w:val="bottom"/>
          </w:tcPr>
          <w:p w:rsidR="007442AA" w:rsidRPr="002152E4" w:rsidRDefault="007442AA" w:rsidP="007442AA">
            <w:pPr>
              <w:jc w:val="center"/>
              <w:rPr>
                <w:lang w:val="ro-RO"/>
              </w:rPr>
            </w:pPr>
            <w:r w:rsidRPr="002152E4">
              <w:rPr>
                <w:lang w:val="ro-RO"/>
              </w:rPr>
              <w:t>1.111</w:t>
            </w:r>
          </w:p>
        </w:tc>
        <w:tc>
          <w:tcPr>
            <w:tcW w:w="1701" w:type="dxa"/>
            <w:vAlign w:val="bottom"/>
          </w:tcPr>
          <w:p w:rsidR="007442AA" w:rsidRPr="002152E4" w:rsidRDefault="007442AA" w:rsidP="007442AA">
            <w:pPr>
              <w:jc w:val="center"/>
              <w:rPr>
                <w:lang w:val="ro-RO"/>
              </w:rPr>
            </w:pPr>
            <w:r w:rsidRPr="002152E4">
              <w:rPr>
                <w:lang w:val="ro-RO"/>
              </w:rPr>
              <w:t>2</w:t>
            </w:r>
          </w:p>
        </w:tc>
      </w:tr>
      <w:tr w:rsidR="007442AA" w:rsidRPr="002152E4" w:rsidTr="007442AA">
        <w:tc>
          <w:tcPr>
            <w:tcW w:w="1559" w:type="dxa"/>
          </w:tcPr>
          <w:p w:rsidR="007442AA" w:rsidRPr="002152E4" w:rsidRDefault="007442AA" w:rsidP="007442AA">
            <w:pPr>
              <w:jc w:val="center"/>
              <w:rPr>
                <w:lang w:val="ro-RO"/>
              </w:rPr>
            </w:pPr>
            <w:r w:rsidRPr="002152E4">
              <w:rPr>
                <w:lang w:val="ro-RO"/>
              </w:rPr>
              <w:t>2011</w:t>
            </w:r>
          </w:p>
        </w:tc>
        <w:tc>
          <w:tcPr>
            <w:tcW w:w="1559" w:type="dxa"/>
            <w:vAlign w:val="bottom"/>
          </w:tcPr>
          <w:p w:rsidR="007442AA" w:rsidRPr="002152E4" w:rsidRDefault="007442AA" w:rsidP="007442AA">
            <w:pPr>
              <w:jc w:val="center"/>
              <w:rPr>
                <w:lang w:val="ro-RO"/>
              </w:rPr>
            </w:pPr>
            <w:r w:rsidRPr="002152E4">
              <w:rPr>
                <w:lang w:val="ro-RO"/>
              </w:rPr>
              <w:t>52</w:t>
            </w:r>
          </w:p>
        </w:tc>
        <w:tc>
          <w:tcPr>
            <w:tcW w:w="1559" w:type="dxa"/>
            <w:vAlign w:val="bottom"/>
          </w:tcPr>
          <w:p w:rsidR="007442AA" w:rsidRPr="002152E4" w:rsidRDefault="007442AA" w:rsidP="007442AA">
            <w:pPr>
              <w:jc w:val="center"/>
              <w:rPr>
                <w:lang w:val="ro-RO"/>
              </w:rPr>
            </w:pPr>
            <w:r w:rsidRPr="002152E4">
              <w:rPr>
                <w:lang w:val="ro-RO"/>
              </w:rPr>
              <w:t>0</w:t>
            </w:r>
          </w:p>
        </w:tc>
        <w:tc>
          <w:tcPr>
            <w:tcW w:w="1843" w:type="dxa"/>
            <w:vAlign w:val="bottom"/>
          </w:tcPr>
          <w:p w:rsidR="007442AA" w:rsidRPr="002152E4" w:rsidRDefault="007442AA" w:rsidP="007442AA">
            <w:pPr>
              <w:jc w:val="center"/>
              <w:rPr>
                <w:lang w:val="ro-RO"/>
              </w:rPr>
            </w:pPr>
            <w:r w:rsidRPr="002152E4">
              <w:rPr>
                <w:lang w:val="ro-RO"/>
              </w:rPr>
              <w:t>10</w:t>
            </w:r>
          </w:p>
        </w:tc>
        <w:tc>
          <w:tcPr>
            <w:tcW w:w="1986" w:type="dxa"/>
            <w:vAlign w:val="bottom"/>
          </w:tcPr>
          <w:p w:rsidR="007442AA" w:rsidRPr="002152E4" w:rsidRDefault="007442AA" w:rsidP="007442AA">
            <w:pPr>
              <w:jc w:val="center"/>
              <w:rPr>
                <w:lang w:val="ro-RO"/>
              </w:rPr>
            </w:pPr>
            <w:r w:rsidRPr="002152E4">
              <w:rPr>
                <w:lang w:val="ro-RO"/>
              </w:rPr>
              <w:t>1.387</w:t>
            </w:r>
          </w:p>
        </w:tc>
        <w:tc>
          <w:tcPr>
            <w:tcW w:w="1701" w:type="dxa"/>
            <w:vAlign w:val="bottom"/>
          </w:tcPr>
          <w:p w:rsidR="007442AA" w:rsidRPr="002152E4" w:rsidRDefault="007442AA" w:rsidP="007442AA">
            <w:pPr>
              <w:jc w:val="center"/>
              <w:rPr>
                <w:lang w:val="ro-RO"/>
              </w:rPr>
            </w:pPr>
            <w:r w:rsidRPr="002152E4">
              <w:rPr>
                <w:lang w:val="ro-RO"/>
              </w:rPr>
              <w:t>0</w:t>
            </w:r>
          </w:p>
        </w:tc>
      </w:tr>
      <w:tr w:rsidR="007442AA" w:rsidRPr="002152E4" w:rsidTr="007442AA">
        <w:tc>
          <w:tcPr>
            <w:tcW w:w="1559" w:type="dxa"/>
          </w:tcPr>
          <w:p w:rsidR="007442AA" w:rsidRPr="002152E4" w:rsidRDefault="007442AA" w:rsidP="007442AA">
            <w:pPr>
              <w:jc w:val="center"/>
              <w:rPr>
                <w:lang w:val="ro-RO"/>
              </w:rPr>
            </w:pPr>
            <w:r w:rsidRPr="002152E4">
              <w:rPr>
                <w:lang w:val="ro-RO"/>
              </w:rPr>
              <w:t>2012</w:t>
            </w:r>
          </w:p>
        </w:tc>
        <w:tc>
          <w:tcPr>
            <w:tcW w:w="1559" w:type="dxa"/>
            <w:vAlign w:val="bottom"/>
          </w:tcPr>
          <w:p w:rsidR="007442AA" w:rsidRPr="002152E4" w:rsidRDefault="007442AA" w:rsidP="007442AA">
            <w:pPr>
              <w:jc w:val="center"/>
              <w:rPr>
                <w:lang w:val="ro-RO"/>
              </w:rPr>
            </w:pPr>
            <w:r w:rsidRPr="002152E4">
              <w:rPr>
                <w:lang w:val="ro-RO"/>
              </w:rPr>
              <w:t>84</w:t>
            </w:r>
          </w:p>
        </w:tc>
        <w:tc>
          <w:tcPr>
            <w:tcW w:w="1559" w:type="dxa"/>
            <w:vAlign w:val="bottom"/>
          </w:tcPr>
          <w:p w:rsidR="007442AA" w:rsidRPr="002152E4" w:rsidRDefault="007442AA" w:rsidP="007442AA">
            <w:pPr>
              <w:jc w:val="center"/>
              <w:rPr>
                <w:lang w:val="ro-RO"/>
              </w:rPr>
            </w:pPr>
            <w:r w:rsidRPr="002152E4">
              <w:rPr>
                <w:lang w:val="ro-RO"/>
              </w:rPr>
              <w:t>0</w:t>
            </w:r>
          </w:p>
        </w:tc>
        <w:tc>
          <w:tcPr>
            <w:tcW w:w="1843" w:type="dxa"/>
            <w:vAlign w:val="bottom"/>
          </w:tcPr>
          <w:p w:rsidR="007442AA" w:rsidRPr="002152E4" w:rsidRDefault="007442AA" w:rsidP="007442AA">
            <w:pPr>
              <w:jc w:val="center"/>
              <w:rPr>
                <w:lang w:val="ro-RO"/>
              </w:rPr>
            </w:pPr>
            <w:r w:rsidRPr="002152E4">
              <w:rPr>
                <w:lang w:val="ro-RO"/>
              </w:rPr>
              <w:t>14</w:t>
            </w:r>
          </w:p>
        </w:tc>
        <w:tc>
          <w:tcPr>
            <w:tcW w:w="1986" w:type="dxa"/>
            <w:vAlign w:val="bottom"/>
          </w:tcPr>
          <w:p w:rsidR="007442AA" w:rsidRPr="002152E4" w:rsidRDefault="007442AA" w:rsidP="007442AA">
            <w:pPr>
              <w:jc w:val="center"/>
              <w:rPr>
                <w:lang w:val="ro-RO"/>
              </w:rPr>
            </w:pPr>
            <w:r w:rsidRPr="002152E4">
              <w:rPr>
                <w:lang w:val="ro-RO"/>
              </w:rPr>
              <w:t>1.620</w:t>
            </w:r>
          </w:p>
        </w:tc>
        <w:tc>
          <w:tcPr>
            <w:tcW w:w="1701" w:type="dxa"/>
            <w:vAlign w:val="bottom"/>
          </w:tcPr>
          <w:p w:rsidR="007442AA" w:rsidRPr="002152E4" w:rsidRDefault="007442AA" w:rsidP="007442AA">
            <w:pPr>
              <w:jc w:val="center"/>
              <w:rPr>
                <w:lang w:val="ro-RO"/>
              </w:rPr>
            </w:pPr>
            <w:r w:rsidRPr="002152E4">
              <w:rPr>
                <w:lang w:val="ro-RO"/>
              </w:rPr>
              <w:t>0</w:t>
            </w:r>
          </w:p>
        </w:tc>
      </w:tr>
      <w:tr w:rsidR="007442AA" w:rsidRPr="002152E4" w:rsidTr="007442AA">
        <w:tc>
          <w:tcPr>
            <w:tcW w:w="1559" w:type="dxa"/>
          </w:tcPr>
          <w:p w:rsidR="007442AA" w:rsidRPr="002152E4" w:rsidRDefault="007442AA" w:rsidP="007442AA">
            <w:pPr>
              <w:jc w:val="center"/>
              <w:rPr>
                <w:lang w:val="ro-RO"/>
              </w:rPr>
            </w:pPr>
            <w:r w:rsidRPr="002152E4">
              <w:rPr>
                <w:lang w:val="ro-RO"/>
              </w:rPr>
              <w:t>2013</w:t>
            </w:r>
          </w:p>
        </w:tc>
        <w:tc>
          <w:tcPr>
            <w:tcW w:w="1559" w:type="dxa"/>
            <w:vAlign w:val="bottom"/>
          </w:tcPr>
          <w:p w:rsidR="007442AA" w:rsidRPr="002152E4" w:rsidRDefault="007442AA" w:rsidP="007442AA">
            <w:pPr>
              <w:jc w:val="center"/>
              <w:rPr>
                <w:lang w:val="ro-RO"/>
              </w:rPr>
            </w:pPr>
            <w:r w:rsidRPr="002152E4">
              <w:rPr>
                <w:lang w:val="ro-RO"/>
              </w:rPr>
              <w:t>72</w:t>
            </w:r>
          </w:p>
        </w:tc>
        <w:tc>
          <w:tcPr>
            <w:tcW w:w="1559" w:type="dxa"/>
            <w:vAlign w:val="bottom"/>
          </w:tcPr>
          <w:p w:rsidR="007442AA" w:rsidRPr="002152E4" w:rsidRDefault="007442AA" w:rsidP="007442AA">
            <w:pPr>
              <w:jc w:val="center"/>
              <w:rPr>
                <w:lang w:val="ro-RO"/>
              </w:rPr>
            </w:pPr>
            <w:r w:rsidRPr="002152E4">
              <w:rPr>
                <w:lang w:val="ro-RO"/>
              </w:rPr>
              <w:t>0</w:t>
            </w:r>
          </w:p>
        </w:tc>
        <w:tc>
          <w:tcPr>
            <w:tcW w:w="1843" w:type="dxa"/>
            <w:vAlign w:val="bottom"/>
          </w:tcPr>
          <w:p w:rsidR="007442AA" w:rsidRPr="002152E4" w:rsidRDefault="007442AA" w:rsidP="007442AA">
            <w:pPr>
              <w:jc w:val="center"/>
              <w:rPr>
                <w:lang w:val="ro-RO"/>
              </w:rPr>
            </w:pPr>
            <w:r w:rsidRPr="002152E4">
              <w:rPr>
                <w:lang w:val="ro-RO"/>
              </w:rPr>
              <w:t>11</w:t>
            </w:r>
          </w:p>
        </w:tc>
        <w:tc>
          <w:tcPr>
            <w:tcW w:w="1986" w:type="dxa"/>
            <w:vAlign w:val="bottom"/>
          </w:tcPr>
          <w:p w:rsidR="007442AA" w:rsidRPr="002152E4" w:rsidRDefault="007442AA" w:rsidP="007442AA">
            <w:pPr>
              <w:jc w:val="center"/>
              <w:rPr>
                <w:lang w:val="ro-RO"/>
              </w:rPr>
            </w:pPr>
            <w:r w:rsidRPr="002152E4">
              <w:rPr>
                <w:lang w:val="ro-RO"/>
              </w:rPr>
              <w:t>2.042</w:t>
            </w:r>
          </w:p>
        </w:tc>
        <w:tc>
          <w:tcPr>
            <w:tcW w:w="1701" w:type="dxa"/>
            <w:vAlign w:val="bottom"/>
          </w:tcPr>
          <w:p w:rsidR="007442AA" w:rsidRPr="002152E4" w:rsidRDefault="007442AA" w:rsidP="007442AA">
            <w:pPr>
              <w:jc w:val="center"/>
              <w:rPr>
                <w:lang w:val="ro-RO"/>
              </w:rPr>
            </w:pPr>
            <w:r w:rsidRPr="002152E4">
              <w:rPr>
                <w:lang w:val="ro-RO"/>
              </w:rPr>
              <w:t>8</w:t>
            </w:r>
          </w:p>
        </w:tc>
      </w:tr>
      <w:tr w:rsidR="007442AA" w:rsidRPr="002152E4" w:rsidTr="007442AA">
        <w:tc>
          <w:tcPr>
            <w:tcW w:w="1559" w:type="dxa"/>
          </w:tcPr>
          <w:p w:rsidR="007442AA" w:rsidRPr="002152E4" w:rsidRDefault="007442AA" w:rsidP="007442AA">
            <w:pPr>
              <w:jc w:val="center"/>
              <w:rPr>
                <w:lang w:val="ro-RO"/>
              </w:rPr>
            </w:pPr>
            <w:r w:rsidRPr="002152E4">
              <w:rPr>
                <w:lang w:val="ro-RO"/>
              </w:rPr>
              <w:t>2014</w:t>
            </w:r>
          </w:p>
        </w:tc>
        <w:tc>
          <w:tcPr>
            <w:tcW w:w="1559" w:type="dxa"/>
          </w:tcPr>
          <w:p w:rsidR="007442AA" w:rsidRPr="002152E4" w:rsidRDefault="007442AA" w:rsidP="007442AA">
            <w:pPr>
              <w:widowControl w:val="0"/>
              <w:jc w:val="center"/>
              <w:rPr>
                <w:lang w:val="ro-RO"/>
              </w:rPr>
            </w:pPr>
            <w:r w:rsidRPr="002152E4">
              <w:rPr>
                <w:lang w:val="ro-RO"/>
              </w:rPr>
              <w:t>299</w:t>
            </w:r>
          </w:p>
        </w:tc>
        <w:tc>
          <w:tcPr>
            <w:tcW w:w="1559" w:type="dxa"/>
          </w:tcPr>
          <w:p w:rsidR="007442AA" w:rsidRPr="002152E4" w:rsidRDefault="007442AA" w:rsidP="007442AA">
            <w:pPr>
              <w:widowControl w:val="0"/>
              <w:jc w:val="center"/>
              <w:rPr>
                <w:lang w:val="ro-RO"/>
              </w:rPr>
            </w:pPr>
            <w:r w:rsidRPr="002152E4">
              <w:rPr>
                <w:lang w:val="ro-RO"/>
              </w:rPr>
              <w:t>1</w:t>
            </w:r>
          </w:p>
        </w:tc>
        <w:tc>
          <w:tcPr>
            <w:tcW w:w="1843" w:type="dxa"/>
          </w:tcPr>
          <w:p w:rsidR="007442AA" w:rsidRPr="002152E4" w:rsidRDefault="007442AA" w:rsidP="007442AA">
            <w:pPr>
              <w:widowControl w:val="0"/>
              <w:jc w:val="center"/>
              <w:rPr>
                <w:lang w:val="ro-RO"/>
              </w:rPr>
            </w:pPr>
            <w:r w:rsidRPr="002152E4">
              <w:rPr>
                <w:lang w:val="ro-RO"/>
              </w:rPr>
              <w:t>6</w:t>
            </w:r>
          </w:p>
        </w:tc>
        <w:tc>
          <w:tcPr>
            <w:tcW w:w="1986" w:type="dxa"/>
          </w:tcPr>
          <w:p w:rsidR="007442AA" w:rsidRPr="002152E4" w:rsidRDefault="007442AA" w:rsidP="007442AA">
            <w:pPr>
              <w:widowControl w:val="0"/>
              <w:jc w:val="center"/>
              <w:rPr>
                <w:lang w:val="ro-RO"/>
              </w:rPr>
            </w:pPr>
            <w:r w:rsidRPr="002152E4">
              <w:rPr>
                <w:lang w:val="ro-RO"/>
              </w:rPr>
              <w:t>1.803</w:t>
            </w:r>
          </w:p>
        </w:tc>
        <w:tc>
          <w:tcPr>
            <w:tcW w:w="1701" w:type="dxa"/>
          </w:tcPr>
          <w:p w:rsidR="007442AA" w:rsidRPr="002152E4" w:rsidRDefault="007442AA" w:rsidP="007442AA">
            <w:pPr>
              <w:widowControl w:val="0"/>
              <w:jc w:val="center"/>
              <w:rPr>
                <w:lang w:val="ro-RO"/>
              </w:rPr>
            </w:pPr>
            <w:r w:rsidRPr="002152E4">
              <w:rPr>
                <w:lang w:val="ro-RO"/>
              </w:rPr>
              <w:t>1</w:t>
            </w:r>
          </w:p>
        </w:tc>
      </w:tr>
      <w:tr w:rsidR="007442AA" w:rsidRPr="002152E4" w:rsidTr="007442AA">
        <w:tc>
          <w:tcPr>
            <w:tcW w:w="1559" w:type="dxa"/>
          </w:tcPr>
          <w:p w:rsidR="007442AA" w:rsidRPr="002152E4" w:rsidRDefault="007442AA" w:rsidP="007442AA">
            <w:pPr>
              <w:jc w:val="center"/>
              <w:rPr>
                <w:lang w:val="ro-RO"/>
              </w:rPr>
            </w:pPr>
            <w:r w:rsidRPr="002152E4">
              <w:rPr>
                <w:lang w:val="ro-RO"/>
              </w:rPr>
              <w:t>2015</w:t>
            </w:r>
          </w:p>
        </w:tc>
        <w:tc>
          <w:tcPr>
            <w:tcW w:w="1559" w:type="dxa"/>
          </w:tcPr>
          <w:p w:rsidR="007442AA" w:rsidRPr="002152E4" w:rsidRDefault="007442AA" w:rsidP="007442AA">
            <w:pPr>
              <w:widowControl w:val="0"/>
              <w:jc w:val="center"/>
              <w:rPr>
                <w:lang w:val="ro-RO"/>
              </w:rPr>
            </w:pPr>
            <w:r w:rsidRPr="002152E4">
              <w:rPr>
                <w:lang w:val="ro-RO"/>
              </w:rPr>
              <w:t>252</w:t>
            </w:r>
          </w:p>
        </w:tc>
        <w:tc>
          <w:tcPr>
            <w:tcW w:w="1559" w:type="dxa"/>
          </w:tcPr>
          <w:p w:rsidR="007442AA" w:rsidRPr="002152E4" w:rsidRDefault="007442AA" w:rsidP="007442AA">
            <w:pPr>
              <w:widowControl w:val="0"/>
              <w:jc w:val="center"/>
              <w:rPr>
                <w:lang w:val="ro-RO"/>
              </w:rPr>
            </w:pPr>
            <w:r w:rsidRPr="002152E4">
              <w:rPr>
                <w:lang w:val="ro-RO"/>
              </w:rPr>
              <w:t>6</w:t>
            </w:r>
          </w:p>
        </w:tc>
        <w:tc>
          <w:tcPr>
            <w:tcW w:w="1843" w:type="dxa"/>
          </w:tcPr>
          <w:p w:rsidR="007442AA" w:rsidRPr="002152E4" w:rsidRDefault="007442AA" w:rsidP="007442AA">
            <w:pPr>
              <w:widowControl w:val="0"/>
              <w:jc w:val="center"/>
              <w:rPr>
                <w:lang w:val="ro-RO"/>
              </w:rPr>
            </w:pPr>
            <w:r w:rsidRPr="002152E4">
              <w:rPr>
                <w:lang w:val="ro-RO"/>
              </w:rPr>
              <w:t>9</w:t>
            </w:r>
          </w:p>
        </w:tc>
        <w:tc>
          <w:tcPr>
            <w:tcW w:w="1986" w:type="dxa"/>
          </w:tcPr>
          <w:p w:rsidR="007442AA" w:rsidRPr="002152E4" w:rsidRDefault="007442AA" w:rsidP="007442AA">
            <w:pPr>
              <w:widowControl w:val="0"/>
              <w:jc w:val="center"/>
              <w:rPr>
                <w:lang w:val="ro-RO"/>
              </w:rPr>
            </w:pPr>
            <w:r w:rsidRPr="002152E4">
              <w:rPr>
                <w:lang w:val="ro-RO"/>
              </w:rPr>
              <w:t>1.862</w:t>
            </w:r>
          </w:p>
        </w:tc>
        <w:tc>
          <w:tcPr>
            <w:tcW w:w="1701" w:type="dxa"/>
          </w:tcPr>
          <w:p w:rsidR="007442AA" w:rsidRPr="002152E4" w:rsidRDefault="007442AA" w:rsidP="007442AA">
            <w:pPr>
              <w:widowControl w:val="0"/>
              <w:jc w:val="center"/>
              <w:rPr>
                <w:lang w:val="ro-RO"/>
              </w:rPr>
            </w:pPr>
            <w:r w:rsidRPr="002152E4">
              <w:rPr>
                <w:lang w:val="ro-RO"/>
              </w:rPr>
              <w:t>1</w:t>
            </w:r>
          </w:p>
        </w:tc>
      </w:tr>
      <w:tr w:rsidR="007442AA" w:rsidRPr="002152E4" w:rsidTr="007442AA">
        <w:tc>
          <w:tcPr>
            <w:tcW w:w="1559" w:type="dxa"/>
            <w:tcBorders>
              <w:bottom w:val="threeDEmboss" w:sz="6" w:space="0" w:color="00B050"/>
            </w:tcBorders>
          </w:tcPr>
          <w:p w:rsidR="007442AA" w:rsidRPr="002152E4" w:rsidRDefault="007442AA" w:rsidP="007442AA">
            <w:pPr>
              <w:jc w:val="center"/>
              <w:rPr>
                <w:lang w:val="ro-RO"/>
              </w:rPr>
            </w:pPr>
            <w:r w:rsidRPr="002152E4">
              <w:rPr>
                <w:lang w:val="ro-RO"/>
              </w:rPr>
              <w:t>2016</w:t>
            </w:r>
          </w:p>
        </w:tc>
        <w:tc>
          <w:tcPr>
            <w:tcW w:w="1559" w:type="dxa"/>
            <w:tcBorders>
              <w:bottom w:val="threeDEmboss" w:sz="6" w:space="0" w:color="00B050"/>
            </w:tcBorders>
          </w:tcPr>
          <w:p w:rsidR="007442AA" w:rsidRPr="002152E4" w:rsidRDefault="007442AA" w:rsidP="007442AA">
            <w:pPr>
              <w:widowControl w:val="0"/>
              <w:jc w:val="center"/>
              <w:rPr>
                <w:lang w:val="ro-RO"/>
              </w:rPr>
            </w:pPr>
            <w:r w:rsidRPr="002152E4">
              <w:rPr>
                <w:lang w:val="ro-RO"/>
              </w:rPr>
              <w:t>343</w:t>
            </w:r>
          </w:p>
        </w:tc>
        <w:tc>
          <w:tcPr>
            <w:tcW w:w="1559" w:type="dxa"/>
            <w:tcBorders>
              <w:bottom w:val="threeDEmboss" w:sz="6" w:space="0" w:color="00B050"/>
            </w:tcBorders>
          </w:tcPr>
          <w:p w:rsidR="007442AA" w:rsidRPr="002152E4" w:rsidRDefault="007442AA" w:rsidP="007442AA">
            <w:pPr>
              <w:widowControl w:val="0"/>
              <w:jc w:val="center"/>
              <w:rPr>
                <w:lang w:val="ro-RO"/>
              </w:rPr>
            </w:pPr>
            <w:r w:rsidRPr="002152E4">
              <w:rPr>
                <w:lang w:val="ro-RO"/>
              </w:rPr>
              <w:t>0</w:t>
            </w:r>
          </w:p>
        </w:tc>
        <w:tc>
          <w:tcPr>
            <w:tcW w:w="1843" w:type="dxa"/>
            <w:tcBorders>
              <w:bottom w:val="threeDEmboss" w:sz="6" w:space="0" w:color="00B050"/>
            </w:tcBorders>
          </w:tcPr>
          <w:p w:rsidR="007442AA" w:rsidRPr="002152E4" w:rsidRDefault="007442AA" w:rsidP="007442AA">
            <w:pPr>
              <w:widowControl w:val="0"/>
              <w:jc w:val="center"/>
              <w:rPr>
                <w:lang w:val="ro-RO"/>
              </w:rPr>
            </w:pPr>
            <w:r w:rsidRPr="002152E4">
              <w:rPr>
                <w:lang w:val="ro-RO"/>
              </w:rPr>
              <w:t>22</w:t>
            </w:r>
          </w:p>
        </w:tc>
        <w:tc>
          <w:tcPr>
            <w:tcW w:w="1986" w:type="dxa"/>
            <w:tcBorders>
              <w:bottom w:val="threeDEmboss" w:sz="6" w:space="0" w:color="00B050"/>
            </w:tcBorders>
          </w:tcPr>
          <w:p w:rsidR="007442AA" w:rsidRPr="002152E4" w:rsidRDefault="007442AA" w:rsidP="007442AA">
            <w:pPr>
              <w:widowControl w:val="0"/>
              <w:jc w:val="center"/>
              <w:rPr>
                <w:lang w:val="ro-RO"/>
              </w:rPr>
            </w:pPr>
            <w:r w:rsidRPr="002152E4">
              <w:rPr>
                <w:lang w:val="ro-RO"/>
              </w:rPr>
              <w:t>1.939</w:t>
            </w:r>
          </w:p>
        </w:tc>
        <w:tc>
          <w:tcPr>
            <w:tcW w:w="1701" w:type="dxa"/>
            <w:tcBorders>
              <w:bottom w:val="threeDEmboss" w:sz="6" w:space="0" w:color="00B050"/>
            </w:tcBorders>
          </w:tcPr>
          <w:p w:rsidR="007442AA" w:rsidRPr="002152E4" w:rsidRDefault="007442AA" w:rsidP="007442AA">
            <w:pPr>
              <w:widowControl w:val="0"/>
              <w:jc w:val="center"/>
              <w:rPr>
                <w:lang w:val="ro-RO"/>
              </w:rPr>
            </w:pPr>
            <w:r w:rsidRPr="002152E4">
              <w:rPr>
                <w:lang w:val="ro-RO"/>
              </w:rPr>
              <w:t>4</w:t>
            </w:r>
          </w:p>
        </w:tc>
      </w:tr>
      <w:tr w:rsidR="007442AA" w:rsidRPr="002152E4" w:rsidTr="007442AA">
        <w:tc>
          <w:tcPr>
            <w:tcW w:w="1559" w:type="dxa"/>
            <w:tcBorders>
              <w:top w:val="threeDEmboss" w:sz="6" w:space="0" w:color="00B050"/>
              <w:left w:val="threeDEmboss" w:sz="6" w:space="0" w:color="00B050"/>
              <w:bottom w:val="threeDEmboss" w:sz="6" w:space="0" w:color="00B050"/>
            </w:tcBorders>
            <w:shd w:val="clear" w:color="auto" w:fill="FCDDC4"/>
          </w:tcPr>
          <w:p w:rsidR="007442AA" w:rsidRPr="002152E4" w:rsidRDefault="007442AA" w:rsidP="007442AA">
            <w:pPr>
              <w:rPr>
                <w:b/>
                <w:i/>
                <w:u w:val="single"/>
                <w:lang w:val="ro-RO"/>
              </w:rPr>
            </w:pPr>
            <w:r w:rsidRPr="002152E4">
              <w:rPr>
                <w:b/>
                <w:i/>
                <w:lang w:val="ro-RO"/>
              </w:rPr>
              <w:t xml:space="preserve">     </w:t>
            </w:r>
            <w:r w:rsidRPr="002152E4">
              <w:rPr>
                <w:i/>
                <w:lang w:val="ro-RO"/>
              </w:rPr>
              <w:t>%</w:t>
            </w:r>
            <w:r w:rsidRPr="002152E4">
              <w:rPr>
                <w:b/>
                <w:i/>
                <w:lang w:val="ro-RO"/>
              </w:rPr>
              <w:t xml:space="preserve"> </w:t>
            </w:r>
            <w:r w:rsidRPr="002152E4">
              <w:rPr>
                <w:b/>
                <w:i/>
                <w:u w:val="single"/>
                <w:lang w:val="ro-RO"/>
              </w:rPr>
              <w:t>2016</w:t>
            </w:r>
          </w:p>
          <w:p w:rsidR="007442AA" w:rsidRPr="002152E4" w:rsidRDefault="007442AA" w:rsidP="007442AA">
            <w:pPr>
              <w:rPr>
                <w:b/>
                <w:lang w:val="ro-RO"/>
              </w:rPr>
            </w:pPr>
            <w:r w:rsidRPr="002152E4">
              <w:rPr>
                <w:i/>
                <w:lang w:val="ro-RO"/>
              </w:rPr>
              <w:t xml:space="preserve">   +/- </w:t>
            </w:r>
            <w:r w:rsidRPr="002152E4">
              <w:rPr>
                <w:b/>
                <w:i/>
                <w:lang w:val="ro-RO"/>
              </w:rPr>
              <w:t>2015</w:t>
            </w:r>
          </w:p>
        </w:tc>
        <w:tc>
          <w:tcPr>
            <w:tcW w:w="1559" w:type="dxa"/>
            <w:tcBorders>
              <w:top w:val="threeDEmboss" w:sz="6" w:space="0" w:color="00B050"/>
              <w:bottom w:val="threeDEmboss" w:sz="6" w:space="0" w:color="00B050"/>
            </w:tcBorders>
            <w:shd w:val="clear" w:color="auto" w:fill="FCDDC4"/>
            <w:vAlign w:val="center"/>
          </w:tcPr>
          <w:p w:rsidR="007442AA" w:rsidRPr="002152E4" w:rsidRDefault="007442AA" w:rsidP="007442AA">
            <w:pPr>
              <w:widowControl w:val="0"/>
              <w:jc w:val="center"/>
              <w:rPr>
                <w:b/>
                <w:lang w:val="ro-RO"/>
              </w:rPr>
            </w:pPr>
            <w:r w:rsidRPr="002152E4">
              <w:rPr>
                <w:b/>
                <w:lang w:val="ro-RO"/>
              </w:rPr>
              <w:t>+36,1</w:t>
            </w:r>
          </w:p>
        </w:tc>
        <w:tc>
          <w:tcPr>
            <w:tcW w:w="1559" w:type="dxa"/>
            <w:tcBorders>
              <w:top w:val="threeDEmboss" w:sz="6" w:space="0" w:color="00B050"/>
              <w:bottom w:val="threeDEmboss" w:sz="6" w:space="0" w:color="00B050"/>
            </w:tcBorders>
            <w:shd w:val="clear" w:color="auto" w:fill="FCDDC4"/>
            <w:vAlign w:val="center"/>
          </w:tcPr>
          <w:p w:rsidR="007442AA" w:rsidRPr="002152E4" w:rsidRDefault="007442AA" w:rsidP="007442AA">
            <w:pPr>
              <w:widowControl w:val="0"/>
              <w:jc w:val="center"/>
              <w:rPr>
                <w:b/>
                <w:lang w:val="ro-RO"/>
              </w:rPr>
            </w:pPr>
            <w:r w:rsidRPr="002152E4">
              <w:rPr>
                <w:b/>
                <w:lang w:val="ro-RO"/>
              </w:rPr>
              <w:t>-100,0</w:t>
            </w:r>
          </w:p>
        </w:tc>
        <w:tc>
          <w:tcPr>
            <w:tcW w:w="1843" w:type="dxa"/>
            <w:tcBorders>
              <w:top w:val="threeDEmboss" w:sz="6" w:space="0" w:color="00B050"/>
              <w:bottom w:val="threeDEmboss" w:sz="6" w:space="0" w:color="00B050"/>
            </w:tcBorders>
            <w:shd w:val="clear" w:color="auto" w:fill="FCDDC4"/>
            <w:vAlign w:val="center"/>
          </w:tcPr>
          <w:p w:rsidR="007442AA" w:rsidRPr="002152E4" w:rsidRDefault="007442AA" w:rsidP="007442AA">
            <w:pPr>
              <w:widowControl w:val="0"/>
              <w:jc w:val="center"/>
              <w:rPr>
                <w:b/>
                <w:lang w:val="ro-RO"/>
              </w:rPr>
            </w:pPr>
            <w:r w:rsidRPr="002152E4">
              <w:rPr>
                <w:b/>
                <w:lang w:val="ro-RO"/>
              </w:rPr>
              <w:t>+144,4</w:t>
            </w:r>
          </w:p>
        </w:tc>
        <w:tc>
          <w:tcPr>
            <w:tcW w:w="1986" w:type="dxa"/>
            <w:tcBorders>
              <w:top w:val="threeDEmboss" w:sz="6" w:space="0" w:color="00B050"/>
              <w:bottom w:val="threeDEmboss" w:sz="6" w:space="0" w:color="00B050"/>
            </w:tcBorders>
            <w:shd w:val="clear" w:color="auto" w:fill="FCDDC4"/>
            <w:vAlign w:val="center"/>
          </w:tcPr>
          <w:p w:rsidR="007442AA" w:rsidRPr="002152E4" w:rsidRDefault="007442AA" w:rsidP="007442AA">
            <w:pPr>
              <w:widowControl w:val="0"/>
              <w:jc w:val="center"/>
              <w:rPr>
                <w:b/>
                <w:lang w:val="ro-RO"/>
              </w:rPr>
            </w:pPr>
            <w:r w:rsidRPr="002152E4">
              <w:rPr>
                <w:b/>
                <w:lang w:val="ro-RO"/>
              </w:rPr>
              <w:t>+4,1</w:t>
            </w:r>
          </w:p>
        </w:tc>
        <w:tc>
          <w:tcPr>
            <w:tcW w:w="1701" w:type="dxa"/>
            <w:tcBorders>
              <w:top w:val="threeDEmboss" w:sz="6" w:space="0" w:color="00B050"/>
              <w:bottom w:val="threeDEmboss" w:sz="6" w:space="0" w:color="00B050"/>
              <w:right w:val="threeDEmboss" w:sz="6" w:space="0" w:color="00B050"/>
            </w:tcBorders>
            <w:shd w:val="clear" w:color="auto" w:fill="FCDDC4"/>
            <w:vAlign w:val="center"/>
          </w:tcPr>
          <w:p w:rsidR="007442AA" w:rsidRPr="002152E4" w:rsidRDefault="007442AA" w:rsidP="007442AA">
            <w:pPr>
              <w:widowControl w:val="0"/>
              <w:jc w:val="center"/>
              <w:rPr>
                <w:b/>
                <w:lang w:val="ro-RO"/>
              </w:rPr>
            </w:pPr>
            <w:r w:rsidRPr="002152E4">
              <w:rPr>
                <w:b/>
                <w:lang w:val="ro-RO"/>
              </w:rPr>
              <w:t>+300,0</w:t>
            </w:r>
          </w:p>
        </w:tc>
      </w:tr>
    </w:tbl>
    <w:p w:rsidR="007442AA" w:rsidRPr="002152E4" w:rsidRDefault="007442AA" w:rsidP="007442AA">
      <w:pPr>
        <w:rPr>
          <w:lang w:val="ro-RO"/>
        </w:rPr>
      </w:pPr>
    </w:p>
    <w:p w:rsidR="007442AA" w:rsidRPr="002152E4" w:rsidRDefault="007442AA" w:rsidP="007442AA">
      <w:pPr>
        <w:rPr>
          <w:lang w:val="ro-RO"/>
        </w:rPr>
      </w:pPr>
    </w:p>
    <w:tbl>
      <w:tblPr>
        <w:tblW w:w="10173" w:type="dxa"/>
        <w:tblBorders>
          <w:top w:val="single" w:sz="6" w:space="0" w:color="00B050"/>
          <w:left w:val="single" w:sz="6" w:space="0" w:color="00B050"/>
          <w:bottom w:val="single" w:sz="6" w:space="0" w:color="00B050"/>
          <w:right w:val="single" w:sz="6" w:space="0" w:color="00B050"/>
          <w:insideH w:val="single" w:sz="6" w:space="0" w:color="00B050"/>
          <w:insideV w:val="single" w:sz="6" w:space="0" w:color="00B050"/>
        </w:tblBorders>
        <w:tblLayout w:type="fixed"/>
        <w:tblLook w:val="0000" w:firstRow="0" w:lastRow="0" w:firstColumn="0" w:lastColumn="0" w:noHBand="0" w:noVBand="0"/>
      </w:tblPr>
      <w:tblGrid>
        <w:gridCol w:w="1098"/>
        <w:gridCol w:w="2070"/>
        <w:gridCol w:w="2070"/>
        <w:gridCol w:w="4935"/>
      </w:tblGrid>
      <w:tr w:rsidR="007442AA" w:rsidRPr="002152E4" w:rsidTr="007442AA">
        <w:tc>
          <w:tcPr>
            <w:tcW w:w="1098"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pStyle w:val="Heading2"/>
            </w:pPr>
            <w:bookmarkStart w:id="153" w:name="_Toc475362958"/>
            <w:bookmarkStart w:id="154" w:name="_Toc475363330"/>
            <w:bookmarkStart w:id="155" w:name="_Toc475363433"/>
            <w:bookmarkStart w:id="156" w:name="_Toc476907733"/>
            <w:bookmarkStart w:id="157" w:name="_Toc486576554"/>
            <w:r w:rsidRPr="002152E4">
              <w:t>ANUL</w:t>
            </w:r>
            <w:bookmarkEnd w:id="153"/>
            <w:bookmarkEnd w:id="154"/>
            <w:bookmarkEnd w:id="155"/>
            <w:bookmarkEnd w:id="156"/>
            <w:bookmarkEnd w:id="157"/>
          </w:p>
        </w:tc>
        <w:tc>
          <w:tcPr>
            <w:tcW w:w="2070"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infracțiuni de contrabandă</w:t>
            </w:r>
          </w:p>
          <w:p w:rsidR="007442AA" w:rsidRPr="002152E4" w:rsidRDefault="007442AA" w:rsidP="007442AA">
            <w:pPr>
              <w:jc w:val="center"/>
              <w:rPr>
                <w:b/>
                <w:lang w:val="ro-RO"/>
              </w:rPr>
            </w:pPr>
            <w:r w:rsidRPr="002152E4">
              <w:rPr>
                <w:b/>
                <w:lang w:val="ro-RO"/>
              </w:rPr>
              <w:t xml:space="preserve">(art. 270 din </w:t>
            </w:r>
          </w:p>
          <w:p w:rsidR="007442AA" w:rsidRPr="002152E4" w:rsidRDefault="007442AA" w:rsidP="007442AA">
            <w:pPr>
              <w:jc w:val="center"/>
              <w:rPr>
                <w:b/>
                <w:lang w:val="ro-RO"/>
              </w:rPr>
            </w:pPr>
            <w:r w:rsidRPr="002152E4">
              <w:rPr>
                <w:b/>
                <w:lang w:val="ro-RO"/>
              </w:rPr>
              <w:t>Lg. nr. 86/2006)</w:t>
            </w:r>
          </w:p>
        </w:tc>
        <w:tc>
          <w:tcPr>
            <w:tcW w:w="2070" w:type="dxa"/>
            <w:tcBorders>
              <w:top w:val="threeDEmboss" w:sz="6" w:space="0" w:color="00B050"/>
              <w:bottom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infracțiuni prevăzute de </w:t>
            </w:r>
          </w:p>
          <w:p w:rsidR="007442AA" w:rsidRPr="002152E4" w:rsidRDefault="007442AA" w:rsidP="007442AA">
            <w:pPr>
              <w:jc w:val="center"/>
              <w:rPr>
                <w:b/>
                <w:lang w:val="ro-RO"/>
              </w:rPr>
            </w:pPr>
            <w:r w:rsidRPr="002152E4">
              <w:rPr>
                <w:b/>
                <w:lang w:val="ro-RO"/>
              </w:rPr>
              <w:t>Codul silvic</w:t>
            </w:r>
          </w:p>
          <w:p w:rsidR="007442AA" w:rsidRPr="002152E4" w:rsidRDefault="007442AA" w:rsidP="007442AA">
            <w:pPr>
              <w:jc w:val="center"/>
              <w:rPr>
                <w:b/>
                <w:lang w:val="ro-RO"/>
              </w:rPr>
            </w:pPr>
            <w:r w:rsidRPr="002152E4">
              <w:rPr>
                <w:b/>
                <w:lang w:val="ro-RO"/>
              </w:rPr>
              <w:t>(Lg. nr. 46/2008)</w:t>
            </w:r>
          </w:p>
        </w:tc>
        <w:tc>
          <w:tcPr>
            <w:tcW w:w="4935" w:type="dxa"/>
            <w:tcBorders>
              <w:top w:val="threeDEmboss" w:sz="6" w:space="0" w:color="00B050"/>
              <w:bottom w:val="threeDEmboss" w:sz="6" w:space="0" w:color="00B050"/>
              <w:right w:val="threeDEmboss" w:sz="6" w:space="0" w:color="00B050"/>
            </w:tcBorders>
            <w:shd w:val="clear" w:color="auto" w:fill="FCE0C8"/>
          </w:tcPr>
          <w:p w:rsidR="007442AA" w:rsidRPr="002152E4" w:rsidRDefault="007442AA" w:rsidP="007442AA">
            <w:pPr>
              <w:jc w:val="center"/>
              <w:rPr>
                <w:b/>
                <w:lang w:val="ro-RO"/>
              </w:rPr>
            </w:pPr>
            <w:r w:rsidRPr="002152E4">
              <w:rPr>
                <w:b/>
                <w:lang w:val="ro-RO"/>
              </w:rPr>
              <w:t xml:space="preserve">infracțiuni la regimul drepturilor </w:t>
            </w:r>
          </w:p>
          <w:p w:rsidR="007442AA" w:rsidRPr="002152E4" w:rsidRDefault="007442AA" w:rsidP="007442AA">
            <w:pPr>
              <w:jc w:val="center"/>
              <w:rPr>
                <w:b/>
                <w:lang w:val="ro-RO"/>
              </w:rPr>
            </w:pPr>
            <w:r w:rsidRPr="002152E4">
              <w:rPr>
                <w:b/>
                <w:lang w:val="ro-RO"/>
              </w:rPr>
              <w:t xml:space="preserve">de proprietate intelectuală </w:t>
            </w:r>
          </w:p>
          <w:p w:rsidR="007442AA" w:rsidRPr="002152E4" w:rsidRDefault="007442AA" w:rsidP="007442AA">
            <w:pPr>
              <w:jc w:val="center"/>
              <w:rPr>
                <w:b/>
                <w:lang w:val="ro-RO"/>
              </w:rPr>
            </w:pPr>
            <w:r w:rsidRPr="002152E4">
              <w:rPr>
                <w:b/>
                <w:lang w:val="ro-RO"/>
              </w:rPr>
              <w:t xml:space="preserve">(art. </w:t>
            </w:r>
            <w:smartTag w:uri="urn:schemas-microsoft-com:office:smarttags" w:element="metricconverter">
              <w:smartTagPr>
                <w:attr w:name="ProductID" w:val="357 C"/>
              </w:smartTagPr>
              <w:r w:rsidRPr="002152E4">
                <w:rPr>
                  <w:b/>
                  <w:lang w:val="ro-RO"/>
                </w:rPr>
                <w:t>357 C</w:t>
              </w:r>
            </w:smartTag>
            <w:r w:rsidRPr="002152E4">
              <w:rPr>
                <w:b/>
                <w:lang w:val="ro-RO"/>
              </w:rPr>
              <w:t xml:space="preserve">.p., Lg. nr. 11/1991, </w:t>
            </w:r>
          </w:p>
          <w:p w:rsidR="007442AA" w:rsidRPr="002152E4" w:rsidRDefault="007442AA" w:rsidP="007442AA">
            <w:pPr>
              <w:jc w:val="center"/>
              <w:rPr>
                <w:b/>
                <w:lang w:val="ro-RO"/>
              </w:rPr>
            </w:pPr>
            <w:r w:rsidRPr="002152E4">
              <w:rPr>
                <w:b/>
                <w:lang w:val="ro-RO"/>
              </w:rPr>
              <w:t xml:space="preserve">Lg. nr. 64/1991, Lg. nr. 129/1992, Lg. nr.8/1996, </w:t>
            </w:r>
          </w:p>
          <w:p w:rsidR="007442AA" w:rsidRPr="002152E4" w:rsidRDefault="007442AA" w:rsidP="007442AA">
            <w:pPr>
              <w:jc w:val="center"/>
              <w:rPr>
                <w:b/>
                <w:lang w:val="ro-RO"/>
              </w:rPr>
            </w:pPr>
            <w:r w:rsidRPr="002152E4">
              <w:rPr>
                <w:b/>
                <w:lang w:val="ro-RO"/>
              </w:rPr>
              <w:t>Lg. nr. 84/1998, Lg. nr. 255/1998)</w:t>
            </w:r>
          </w:p>
        </w:tc>
      </w:tr>
      <w:tr w:rsidR="007442AA" w:rsidRPr="002152E4" w:rsidTr="007442AA">
        <w:tc>
          <w:tcPr>
            <w:tcW w:w="1098" w:type="dxa"/>
            <w:tcBorders>
              <w:top w:val="threeDEmboss" w:sz="6" w:space="0" w:color="00B050"/>
            </w:tcBorders>
          </w:tcPr>
          <w:p w:rsidR="007442AA" w:rsidRPr="002152E4" w:rsidRDefault="007442AA" w:rsidP="007442AA">
            <w:pPr>
              <w:jc w:val="center"/>
              <w:rPr>
                <w:lang w:val="ro-RO"/>
              </w:rPr>
            </w:pPr>
            <w:r w:rsidRPr="002152E4">
              <w:rPr>
                <w:lang w:val="ro-RO"/>
              </w:rPr>
              <w:t>2007</w:t>
            </w:r>
          </w:p>
        </w:tc>
        <w:tc>
          <w:tcPr>
            <w:tcW w:w="2070" w:type="dxa"/>
            <w:tcBorders>
              <w:top w:val="threeDEmboss" w:sz="6" w:space="0" w:color="00B050"/>
            </w:tcBorders>
            <w:vAlign w:val="bottom"/>
          </w:tcPr>
          <w:p w:rsidR="007442AA" w:rsidRPr="002152E4" w:rsidRDefault="007442AA" w:rsidP="007442AA">
            <w:pPr>
              <w:jc w:val="center"/>
              <w:rPr>
                <w:lang w:val="ro-RO"/>
              </w:rPr>
            </w:pPr>
            <w:r w:rsidRPr="002152E4">
              <w:rPr>
                <w:lang w:val="ro-RO"/>
              </w:rPr>
              <w:t>73</w:t>
            </w:r>
          </w:p>
        </w:tc>
        <w:tc>
          <w:tcPr>
            <w:tcW w:w="2070" w:type="dxa"/>
            <w:tcBorders>
              <w:top w:val="threeDEmboss" w:sz="6" w:space="0" w:color="00B050"/>
            </w:tcBorders>
            <w:vAlign w:val="bottom"/>
          </w:tcPr>
          <w:p w:rsidR="007442AA" w:rsidRPr="002152E4" w:rsidRDefault="007442AA" w:rsidP="007442AA">
            <w:pPr>
              <w:jc w:val="center"/>
              <w:rPr>
                <w:lang w:val="ro-RO"/>
              </w:rPr>
            </w:pPr>
            <w:r w:rsidRPr="002152E4">
              <w:rPr>
                <w:lang w:val="ro-RO"/>
              </w:rPr>
              <w:t>1.249</w:t>
            </w:r>
          </w:p>
        </w:tc>
        <w:tc>
          <w:tcPr>
            <w:tcW w:w="4935" w:type="dxa"/>
            <w:tcBorders>
              <w:top w:val="threeDEmboss" w:sz="6" w:space="0" w:color="00B050"/>
            </w:tcBorders>
            <w:vAlign w:val="bottom"/>
          </w:tcPr>
          <w:p w:rsidR="007442AA" w:rsidRPr="002152E4" w:rsidRDefault="007442AA" w:rsidP="007442AA">
            <w:pPr>
              <w:jc w:val="center"/>
              <w:rPr>
                <w:lang w:val="ro-RO"/>
              </w:rPr>
            </w:pPr>
            <w:r w:rsidRPr="002152E4">
              <w:rPr>
                <w:lang w:val="ro-RO"/>
              </w:rPr>
              <w:t>185</w:t>
            </w:r>
          </w:p>
        </w:tc>
      </w:tr>
      <w:tr w:rsidR="007442AA" w:rsidRPr="002152E4" w:rsidTr="007442AA">
        <w:tc>
          <w:tcPr>
            <w:tcW w:w="1098" w:type="dxa"/>
          </w:tcPr>
          <w:p w:rsidR="007442AA" w:rsidRPr="002152E4" w:rsidRDefault="007442AA" w:rsidP="007442AA">
            <w:pPr>
              <w:jc w:val="center"/>
              <w:rPr>
                <w:lang w:val="ro-RO"/>
              </w:rPr>
            </w:pPr>
            <w:r w:rsidRPr="002152E4">
              <w:rPr>
                <w:lang w:val="ro-RO"/>
              </w:rPr>
              <w:t>2008</w:t>
            </w:r>
          </w:p>
        </w:tc>
        <w:tc>
          <w:tcPr>
            <w:tcW w:w="2070" w:type="dxa"/>
            <w:vAlign w:val="bottom"/>
          </w:tcPr>
          <w:p w:rsidR="007442AA" w:rsidRPr="002152E4" w:rsidRDefault="007442AA" w:rsidP="007442AA">
            <w:pPr>
              <w:jc w:val="center"/>
              <w:rPr>
                <w:lang w:val="ro-RO"/>
              </w:rPr>
            </w:pPr>
            <w:r w:rsidRPr="002152E4">
              <w:rPr>
                <w:lang w:val="ro-RO"/>
              </w:rPr>
              <w:t>78</w:t>
            </w:r>
          </w:p>
        </w:tc>
        <w:tc>
          <w:tcPr>
            <w:tcW w:w="2070" w:type="dxa"/>
            <w:vAlign w:val="bottom"/>
          </w:tcPr>
          <w:p w:rsidR="007442AA" w:rsidRPr="002152E4" w:rsidRDefault="007442AA" w:rsidP="007442AA">
            <w:pPr>
              <w:jc w:val="center"/>
              <w:rPr>
                <w:lang w:val="ro-RO"/>
              </w:rPr>
            </w:pPr>
            <w:r w:rsidRPr="002152E4">
              <w:rPr>
                <w:lang w:val="ro-RO"/>
              </w:rPr>
              <w:t>612</w:t>
            </w:r>
          </w:p>
        </w:tc>
        <w:tc>
          <w:tcPr>
            <w:tcW w:w="4935" w:type="dxa"/>
            <w:vAlign w:val="bottom"/>
          </w:tcPr>
          <w:p w:rsidR="007442AA" w:rsidRPr="002152E4" w:rsidRDefault="007442AA" w:rsidP="007442AA">
            <w:pPr>
              <w:jc w:val="center"/>
              <w:rPr>
                <w:lang w:val="ro-RO"/>
              </w:rPr>
            </w:pPr>
            <w:r w:rsidRPr="002152E4">
              <w:rPr>
                <w:lang w:val="ro-RO"/>
              </w:rPr>
              <w:t>113</w:t>
            </w:r>
          </w:p>
        </w:tc>
      </w:tr>
      <w:tr w:rsidR="007442AA" w:rsidRPr="002152E4" w:rsidTr="007442AA">
        <w:tc>
          <w:tcPr>
            <w:tcW w:w="1098" w:type="dxa"/>
          </w:tcPr>
          <w:p w:rsidR="007442AA" w:rsidRPr="002152E4" w:rsidRDefault="007442AA" w:rsidP="007442AA">
            <w:pPr>
              <w:jc w:val="center"/>
              <w:rPr>
                <w:lang w:val="ro-RO"/>
              </w:rPr>
            </w:pPr>
            <w:r w:rsidRPr="002152E4">
              <w:rPr>
                <w:lang w:val="ro-RO"/>
              </w:rPr>
              <w:t>2009</w:t>
            </w:r>
          </w:p>
        </w:tc>
        <w:tc>
          <w:tcPr>
            <w:tcW w:w="2070" w:type="dxa"/>
            <w:vAlign w:val="bottom"/>
          </w:tcPr>
          <w:p w:rsidR="007442AA" w:rsidRPr="002152E4" w:rsidRDefault="007442AA" w:rsidP="007442AA">
            <w:pPr>
              <w:jc w:val="center"/>
              <w:rPr>
                <w:lang w:val="ro-RO"/>
              </w:rPr>
            </w:pPr>
            <w:r w:rsidRPr="002152E4">
              <w:rPr>
                <w:lang w:val="ro-RO"/>
              </w:rPr>
              <w:t>123</w:t>
            </w:r>
          </w:p>
        </w:tc>
        <w:tc>
          <w:tcPr>
            <w:tcW w:w="2070" w:type="dxa"/>
            <w:vAlign w:val="bottom"/>
          </w:tcPr>
          <w:p w:rsidR="007442AA" w:rsidRPr="002152E4" w:rsidRDefault="007442AA" w:rsidP="007442AA">
            <w:pPr>
              <w:jc w:val="center"/>
              <w:rPr>
                <w:lang w:val="ro-RO"/>
              </w:rPr>
            </w:pPr>
            <w:r w:rsidRPr="002152E4">
              <w:rPr>
                <w:lang w:val="ro-RO"/>
              </w:rPr>
              <w:t>1.152</w:t>
            </w:r>
          </w:p>
        </w:tc>
        <w:tc>
          <w:tcPr>
            <w:tcW w:w="4935" w:type="dxa"/>
            <w:vAlign w:val="bottom"/>
          </w:tcPr>
          <w:p w:rsidR="007442AA" w:rsidRPr="002152E4" w:rsidRDefault="007442AA" w:rsidP="007442AA">
            <w:pPr>
              <w:jc w:val="center"/>
              <w:rPr>
                <w:lang w:val="ro-RO"/>
              </w:rPr>
            </w:pPr>
            <w:r w:rsidRPr="002152E4">
              <w:rPr>
                <w:lang w:val="ro-RO"/>
              </w:rPr>
              <w:t>96</w:t>
            </w:r>
          </w:p>
        </w:tc>
      </w:tr>
      <w:tr w:rsidR="007442AA" w:rsidRPr="002152E4" w:rsidTr="007442AA">
        <w:tc>
          <w:tcPr>
            <w:tcW w:w="1098" w:type="dxa"/>
          </w:tcPr>
          <w:p w:rsidR="007442AA" w:rsidRPr="002152E4" w:rsidRDefault="007442AA" w:rsidP="007442AA">
            <w:pPr>
              <w:jc w:val="center"/>
              <w:rPr>
                <w:lang w:val="ro-RO"/>
              </w:rPr>
            </w:pPr>
            <w:r w:rsidRPr="002152E4">
              <w:rPr>
                <w:lang w:val="ro-RO"/>
              </w:rPr>
              <w:t>2010</w:t>
            </w:r>
          </w:p>
        </w:tc>
        <w:tc>
          <w:tcPr>
            <w:tcW w:w="2070" w:type="dxa"/>
            <w:vAlign w:val="bottom"/>
          </w:tcPr>
          <w:p w:rsidR="007442AA" w:rsidRPr="002152E4" w:rsidRDefault="007442AA" w:rsidP="007442AA">
            <w:pPr>
              <w:jc w:val="center"/>
              <w:rPr>
                <w:lang w:val="ro-RO"/>
              </w:rPr>
            </w:pPr>
            <w:r w:rsidRPr="002152E4">
              <w:rPr>
                <w:lang w:val="ro-RO"/>
              </w:rPr>
              <w:t>275</w:t>
            </w:r>
          </w:p>
        </w:tc>
        <w:tc>
          <w:tcPr>
            <w:tcW w:w="2070" w:type="dxa"/>
            <w:vAlign w:val="bottom"/>
          </w:tcPr>
          <w:p w:rsidR="007442AA" w:rsidRPr="002152E4" w:rsidRDefault="007442AA" w:rsidP="007442AA">
            <w:pPr>
              <w:jc w:val="center"/>
              <w:rPr>
                <w:lang w:val="ro-RO"/>
              </w:rPr>
            </w:pPr>
            <w:r w:rsidRPr="002152E4">
              <w:rPr>
                <w:lang w:val="ro-RO"/>
              </w:rPr>
              <w:t>1.281</w:t>
            </w:r>
          </w:p>
        </w:tc>
        <w:tc>
          <w:tcPr>
            <w:tcW w:w="4935" w:type="dxa"/>
            <w:vAlign w:val="bottom"/>
          </w:tcPr>
          <w:p w:rsidR="007442AA" w:rsidRPr="002152E4" w:rsidRDefault="007442AA" w:rsidP="007442AA">
            <w:pPr>
              <w:jc w:val="center"/>
              <w:rPr>
                <w:lang w:val="ro-RO"/>
              </w:rPr>
            </w:pPr>
            <w:r w:rsidRPr="002152E4">
              <w:rPr>
                <w:lang w:val="ro-RO"/>
              </w:rPr>
              <w:t>98</w:t>
            </w:r>
          </w:p>
        </w:tc>
      </w:tr>
      <w:tr w:rsidR="007442AA" w:rsidRPr="002152E4" w:rsidTr="007442AA">
        <w:tc>
          <w:tcPr>
            <w:tcW w:w="1098" w:type="dxa"/>
          </w:tcPr>
          <w:p w:rsidR="007442AA" w:rsidRPr="002152E4" w:rsidRDefault="007442AA" w:rsidP="007442AA">
            <w:pPr>
              <w:jc w:val="center"/>
              <w:rPr>
                <w:lang w:val="ro-RO"/>
              </w:rPr>
            </w:pPr>
            <w:r w:rsidRPr="002152E4">
              <w:rPr>
                <w:lang w:val="ro-RO"/>
              </w:rPr>
              <w:t>2011</w:t>
            </w:r>
          </w:p>
        </w:tc>
        <w:tc>
          <w:tcPr>
            <w:tcW w:w="2070" w:type="dxa"/>
            <w:vAlign w:val="bottom"/>
          </w:tcPr>
          <w:p w:rsidR="007442AA" w:rsidRPr="002152E4" w:rsidRDefault="007442AA" w:rsidP="007442AA">
            <w:pPr>
              <w:jc w:val="center"/>
              <w:rPr>
                <w:lang w:val="ro-RO"/>
              </w:rPr>
            </w:pPr>
            <w:r w:rsidRPr="002152E4">
              <w:rPr>
                <w:lang w:val="ro-RO"/>
              </w:rPr>
              <w:t>727</w:t>
            </w:r>
          </w:p>
        </w:tc>
        <w:tc>
          <w:tcPr>
            <w:tcW w:w="2070" w:type="dxa"/>
            <w:vAlign w:val="bottom"/>
          </w:tcPr>
          <w:p w:rsidR="007442AA" w:rsidRPr="002152E4" w:rsidRDefault="007442AA" w:rsidP="007442AA">
            <w:pPr>
              <w:jc w:val="center"/>
              <w:rPr>
                <w:lang w:val="ro-RO"/>
              </w:rPr>
            </w:pPr>
            <w:r w:rsidRPr="002152E4">
              <w:rPr>
                <w:lang w:val="ro-RO"/>
              </w:rPr>
              <w:t>1.348</w:t>
            </w:r>
          </w:p>
        </w:tc>
        <w:tc>
          <w:tcPr>
            <w:tcW w:w="4935" w:type="dxa"/>
            <w:vAlign w:val="bottom"/>
          </w:tcPr>
          <w:p w:rsidR="007442AA" w:rsidRPr="002152E4" w:rsidRDefault="007442AA" w:rsidP="007442AA">
            <w:pPr>
              <w:jc w:val="center"/>
              <w:rPr>
                <w:lang w:val="ro-RO"/>
              </w:rPr>
            </w:pPr>
            <w:r w:rsidRPr="002152E4">
              <w:rPr>
                <w:lang w:val="ro-RO"/>
              </w:rPr>
              <w:t>64</w:t>
            </w:r>
          </w:p>
        </w:tc>
      </w:tr>
      <w:tr w:rsidR="007442AA" w:rsidRPr="002152E4" w:rsidTr="007442AA">
        <w:tc>
          <w:tcPr>
            <w:tcW w:w="1098" w:type="dxa"/>
          </w:tcPr>
          <w:p w:rsidR="007442AA" w:rsidRPr="002152E4" w:rsidRDefault="007442AA" w:rsidP="007442AA">
            <w:pPr>
              <w:jc w:val="center"/>
              <w:rPr>
                <w:lang w:val="ro-RO"/>
              </w:rPr>
            </w:pPr>
            <w:r w:rsidRPr="002152E4">
              <w:rPr>
                <w:lang w:val="ro-RO"/>
              </w:rPr>
              <w:t>2012</w:t>
            </w:r>
          </w:p>
        </w:tc>
        <w:tc>
          <w:tcPr>
            <w:tcW w:w="2070" w:type="dxa"/>
            <w:vAlign w:val="bottom"/>
          </w:tcPr>
          <w:p w:rsidR="007442AA" w:rsidRPr="002152E4" w:rsidRDefault="007442AA" w:rsidP="007442AA">
            <w:pPr>
              <w:jc w:val="center"/>
              <w:rPr>
                <w:lang w:val="ro-RO"/>
              </w:rPr>
            </w:pPr>
            <w:r w:rsidRPr="002152E4">
              <w:rPr>
                <w:lang w:val="ro-RO"/>
              </w:rPr>
              <w:t>879</w:t>
            </w:r>
          </w:p>
        </w:tc>
        <w:tc>
          <w:tcPr>
            <w:tcW w:w="2070" w:type="dxa"/>
            <w:vAlign w:val="bottom"/>
          </w:tcPr>
          <w:p w:rsidR="007442AA" w:rsidRPr="002152E4" w:rsidRDefault="007442AA" w:rsidP="007442AA">
            <w:pPr>
              <w:jc w:val="center"/>
              <w:rPr>
                <w:lang w:val="ro-RO"/>
              </w:rPr>
            </w:pPr>
            <w:r w:rsidRPr="002152E4">
              <w:rPr>
                <w:lang w:val="ro-RO"/>
              </w:rPr>
              <w:t>1.184</w:t>
            </w:r>
          </w:p>
        </w:tc>
        <w:tc>
          <w:tcPr>
            <w:tcW w:w="4935" w:type="dxa"/>
            <w:vAlign w:val="bottom"/>
          </w:tcPr>
          <w:p w:rsidR="007442AA" w:rsidRPr="002152E4" w:rsidRDefault="007442AA" w:rsidP="007442AA">
            <w:pPr>
              <w:jc w:val="center"/>
              <w:rPr>
                <w:lang w:val="ro-RO"/>
              </w:rPr>
            </w:pPr>
            <w:r w:rsidRPr="002152E4">
              <w:rPr>
                <w:lang w:val="ro-RO"/>
              </w:rPr>
              <w:t>50</w:t>
            </w:r>
          </w:p>
        </w:tc>
      </w:tr>
      <w:tr w:rsidR="007442AA" w:rsidRPr="002152E4" w:rsidTr="007442AA">
        <w:tc>
          <w:tcPr>
            <w:tcW w:w="1098" w:type="dxa"/>
          </w:tcPr>
          <w:p w:rsidR="007442AA" w:rsidRPr="002152E4" w:rsidRDefault="007442AA" w:rsidP="007442AA">
            <w:pPr>
              <w:jc w:val="center"/>
              <w:rPr>
                <w:lang w:val="ro-RO"/>
              </w:rPr>
            </w:pPr>
            <w:r w:rsidRPr="002152E4">
              <w:rPr>
                <w:lang w:val="ro-RO"/>
              </w:rPr>
              <w:t>2013</w:t>
            </w:r>
          </w:p>
        </w:tc>
        <w:tc>
          <w:tcPr>
            <w:tcW w:w="2070" w:type="dxa"/>
            <w:vAlign w:val="bottom"/>
          </w:tcPr>
          <w:p w:rsidR="007442AA" w:rsidRPr="002152E4" w:rsidRDefault="007442AA" w:rsidP="007442AA">
            <w:pPr>
              <w:jc w:val="center"/>
              <w:rPr>
                <w:lang w:val="ro-RO"/>
              </w:rPr>
            </w:pPr>
            <w:r w:rsidRPr="002152E4">
              <w:rPr>
                <w:lang w:val="ro-RO"/>
              </w:rPr>
              <w:t>764</w:t>
            </w:r>
          </w:p>
        </w:tc>
        <w:tc>
          <w:tcPr>
            <w:tcW w:w="2070" w:type="dxa"/>
            <w:vAlign w:val="bottom"/>
          </w:tcPr>
          <w:p w:rsidR="007442AA" w:rsidRPr="002152E4" w:rsidRDefault="007442AA" w:rsidP="007442AA">
            <w:pPr>
              <w:jc w:val="center"/>
              <w:rPr>
                <w:lang w:val="ro-RO"/>
              </w:rPr>
            </w:pPr>
            <w:r w:rsidRPr="002152E4">
              <w:rPr>
                <w:lang w:val="ro-RO"/>
              </w:rPr>
              <w:t>1.507</w:t>
            </w:r>
          </w:p>
        </w:tc>
        <w:tc>
          <w:tcPr>
            <w:tcW w:w="4935" w:type="dxa"/>
            <w:vAlign w:val="bottom"/>
          </w:tcPr>
          <w:p w:rsidR="007442AA" w:rsidRPr="002152E4" w:rsidRDefault="007442AA" w:rsidP="007442AA">
            <w:pPr>
              <w:jc w:val="center"/>
              <w:rPr>
                <w:lang w:val="ro-RO"/>
              </w:rPr>
            </w:pPr>
            <w:r w:rsidRPr="002152E4">
              <w:rPr>
                <w:lang w:val="ro-RO"/>
              </w:rPr>
              <w:t>44</w:t>
            </w:r>
          </w:p>
        </w:tc>
      </w:tr>
      <w:tr w:rsidR="007442AA" w:rsidRPr="002152E4" w:rsidTr="007442AA">
        <w:tc>
          <w:tcPr>
            <w:tcW w:w="1098" w:type="dxa"/>
          </w:tcPr>
          <w:p w:rsidR="007442AA" w:rsidRPr="002152E4" w:rsidRDefault="007442AA" w:rsidP="007442AA">
            <w:pPr>
              <w:jc w:val="center"/>
              <w:rPr>
                <w:lang w:val="ro-RO"/>
              </w:rPr>
            </w:pPr>
            <w:r w:rsidRPr="002152E4">
              <w:rPr>
                <w:lang w:val="ro-RO"/>
              </w:rPr>
              <w:t>2014</w:t>
            </w:r>
          </w:p>
        </w:tc>
        <w:tc>
          <w:tcPr>
            <w:tcW w:w="2070" w:type="dxa"/>
          </w:tcPr>
          <w:p w:rsidR="007442AA" w:rsidRPr="002152E4" w:rsidRDefault="007442AA" w:rsidP="007442AA">
            <w:pPr>
              <w:widowControl w:val="0"/>
              <w:jc w:val="center"/>
              <w:rPr>
                <w:lang w:val="ro-RO"/>
              </w:rPr>
            </w:pPr>
            <w:r w:rsidRPr="002152E4">
              <w:rPr>
                <w:lang w:val="ro-RO"/>
              </w:rPr>
              <w:t>960</w:t>
            </w:r>
          </w:p>
        </w:tc>
        <w:tc>
          <w:tcPr>
            <w:tcW w:w="2070" w:type="dxa"/>
          </w:tcPr>
          <w:p w:rsidR="007442AA" w:rsidRPr="002152E4" w:rsidRDefault="007442AA" w:rsidP="007442AA">
            <w:pPr>
              <w:widowControl w:val="0"/>
              <w:jc w:val="center"/>
              <w:rPr>
                <w:lang w:val="ro-RO"/>
              </w:rPr>
            </w:pPr>
            <w:r w:rsidRPr="002152E4">
              <w:rPr>
                <w:lang w:val="ro-RO"/>
              </w:rPr>
              <w:t>809</w:t>
            </w:r>
          </w:p>
        </w:tc>
        <w:tc>
          <w:tcPr>
            <w:tcW w:w="4935" w:type="dxa"/>
          </w:tcPr>
          <w:p w:rsidR="007442AA" w:rsidRPr="002152E4" w:rsidRDefault="007442AA" w:rsidP="007442AA">
            <w:pPr>
              <w:widowControl w:val="0"/>
              <w:jc w:val="center"/>
              <w:rPr>
                <w:lang w:val="ro-RO"/>
              </w:rPr>
            </w:pPr>
            <w:r w:rsidRPr="002152E4">
              <w:rPr>
                <w:lang w:val="ro-RO"/>
              </w:rPr>
              <w:t>73</w:t>
            </w:r>
          </w:p>
        </w:tc>
      </w:tr>
      <w:tr w:rsidR="007442AA" w:rsidRPr="002152E4" w:rsidTr="007442AA">
        <w:tc>
          <w:tcPr>
            <w:tcW w:w="1098" w:type="dxa"/>
          </w:tcPr>
          <w:p w:rsidR="007442AA" w:rsidRPr="002152E4" w:rsidRDefault="007442AA" w:rsidP="007442AA">
            <w:pPr>
              <w:jc w:val="center"/>
              <w:rPr>
                <w:lang w:val="ro-RO"/>
              </w:rPr>
            </w:pPr>
            <w:r w:rsidRPr="002152E4">
              <w:rPr>
                <w:lang w:val="ro-RO"/>
              </w:rPr>
              <w:lastRenderedPageBreak/>
              <w:t>2015</w:t>
            </w:r>
          </w:p>
        </w:tc>
        <w:tc>
          <w:tcPr>
            <w:tcW w:w="2070" w:type="dxa"/>
          </w:tcPr>
          <w:p w:rsidR="007442AA" w:rsidRPr="002152E4" w:rsidRDefault="007442AA" w:rsidP="007442AA">
            <w:pPr>
              <w:widowControl w:val="0"/>
              <w:jc w:val="center"/>
              <w:rPr>
                <w:lang w:val="ro-RO"/>
              </w:rPr>
            </w:pPr>
            <w:r w:rsidRPr="002152E4">
              <w:rPr>
                <w:lang w:val="ro-RO"/>
              </w:rPr>
              <w:t>1.263</w:t>
            </w:r>
          </w:p>
        </w:tc>
        <w:tc>
          <w:tcPr>
            <w:tcW w:w="2070" w:type="dxa"/>
          </w:tcPr>
          <w:p w:rsidR="007442AA" w:rsidRPr="002152E4" w:rsidRDefault="007442AA" w:rsidP="007442AA">
            <w:pPr>
              <w:widowControl w:val="0"/>
              <w:jc w:val="center"/>
              <w:rPr>
                <w:lang w:val="ro-RO"/>
              </w:rPr>
            </w:pPr>
            <w:r w:rsidRPr="002152E4">
              <w:rPr>
                <w:lang w:val="ro-RO"/>
              </w:rPr>
              <w:t>833</w:t>
            </w:r>
          </w:p>
        </w:tc>
        <w:tc>
          <w:tcPr>
            <w:tcW w:w="4935" w:type="dxa"/>
          </w:tcPr>
          <w:p w:rsidR="007442AA" w:rsidRPr="002152E4" w:rsidRDefault="007442AA" w:rsidP="007442AA">
            <w:pPr>
              <w:widowControl w:val="0"/>
              <w:jc w:val="center"/>
              <w:rPr>
                <w:lang w:val="ro-RO"/>
              </w:rPr>
            </w:pPr>
            <w:r w:rsidRPr="002152E4">
              <w:rPr>
                <w:lang w:val="ro-RO"/>
              </w:rPr>
              <w:t>77</w:t>
            </w:r>
          </w:p>
        </w:tc>
      </w:tr>
      <w:tr w:rsidR="007442AA" w:rsidRPr="002152E4" w:rsidTr="007442AA">
        <w:tc>
          <w:tcPr>
            <w:tcW w:w="1098" w:type="dxa"/>
            <w:tcBorders>
              <w:bottom w:val="threeDEmboss" w:sz="6" w:space="0" w:color="00B050"/>
            </w:tcBorders>
          </w:tcPr>
          <w:p w:rsidR="007442AA" w:rsidRPr="002152E4" w:rsidRDefault="007442AA" w:rsidP="007442AA">
            <w:pPr>
              <w:jc w:val="center"/>
              <w:rPr>
                <w:lang w:val="ro-RO"/>
              </w:rPr>
            </w:pPr>
            <w:r w:rsidRPr="002152E4">
              <w:rPr>
                <w:lang w:val="ro-RO"/>
              </w:rPr>
              <w:t>2016</w:t>
            </w:r>
          </w:p>
        </w:tc>
        <w:tc>
          <w:tcPr>
            <w:tcW w:w="2070" w:type="dxa"/>
            <w:tcBorders>
              <w:bottom w:val="threeDEmboss" w:sz="6" w:space="0" w:color="00B050"/>
            </w:tcBorders>
          </w:tcPr>
          <w:p w:rsidR="007442AA" w:rsidRPr="002152E4" w:rsidRDefault="007442AA" w:rsidP="007442AA">
            <w:pPr>
              <w:widowControl w:val="0"/>
              <w:jc w:val="center"/>
              <w:rPr>
                <w:lang w:val="ro-RO"/>
              </w:rPr>
            </w:pPr>
            <w:r w:rsidRPr="002152E4">
              <w:rPr>
                <w:lang w:val="ro-RO"/>
              </w:rPr>
              <w:t>1.154</w:t>
            </w:r>
          </w:p>
        </w:tc>
        <w:tc>
          <w:tcPr>
            <w:tcW w:w="2070" w:type="dxa"/>
            <w:tcBorders>
              <w:bottom w:val="threeDEmboss" w:sz="6" w:space="0" w:color="00B050"/>
            </w:tcBorders>
          </w:tcPr>
          <w:p w:rsidR="007442AA" w:rsidRPr="002152E4" w:rsidRDefault="007442AA" w:rsidP="007442AA">
            <w:pPr>
              <w:widowControl w:val="0"/>
              <w:jc w:val="center"/>
              <w:rPr>
                <w:lang w:val="ro-RO"/>
              </w:rPr>
            </w:pPr>
            <w:r w:rsidRPr="002152E4">
              <w:rPr>
                <w:lang w:val="ro-RO"/>
              </w:rPr>
              <w:t>1.031</w:t>
            </w:r>
          </w:p>
        </w:tc>
        <w:tc>
          <w:tcPr>
            <w:tcW w:w="4935" w:type="dxa"/>
            <w:tcBorders>
              <w:bottom w:val="threeDEmboss" w:sz="6" w:space="0" w:color="00B050"/>
            </w:tcBorders>
          </w:tcPr>
          <w:p w:rsidR="007442AA" w:rsidRPr="002152E4" w:rsidRDefault="007442AA" w:rsidP="007442AA">
            <w:pPr>
              <w:widowControl w:val="0"/>
              <w:jc w:val="center"/>
              <w:rPr>
                <w:lang w:val="ro-RO"/>
              </w:rPr>
            </w:pPr>
            <w:r w:rsidRPr="002152E4">
              <w:rPr>
                <w:lang w:val="ro-RO"/>
              </w:rPr>
              <w:t>89</w:t>
            </w:r>
          </w:p>
        </w:tc>
      </w:tr>
      <w:tr w:rsidR="007442AA" w:rsidRPr="002152E4" w:rsidTr="007442AA">
        <w:tc>
          <w:tcPr>
            <w:tcW w:w="1098" w:type="dxa"/>
            <w:tcBorders>
              <w:top w:val="threeDEmboss" w:sz="6" w:space="0" w:color="00B050"/>
              <w:left w:val="threeDEmboss" w:sz="6" w:space="0" w:color="00B050"/>
              <w:bottom w:val="threeDEmboss" w:sz="6" w:space="0" w:color="00B050"/>
            </w:tcBorders>
            <w:shd w:val="clear" w:color="auto" w:fill="FCE0C8"/>
          </w:tcPr>
          <w:p w:rsidR="007442AA" w:rsidRPr="002152E4" w:rsidRDefault="007442AA" w:rsidP="007442AA">
            <w:pPr>
              <w:ind w:left="-90"/>
              <w:rPr>
                <w:b/>
                <w:i/>
                <w:u w:val="single"/>
                <w:lang w:val="ro-RO"/>
              </w:rPr>
            </w:pPr>
            <w:r w:rsidRPr="002152E4">
              <w:rPr>
                <w:b/>
                <w:i/>
                <w:lang w:val="ro-RO"/>
              </w:rPr>
              <w:t xml:space="preserve">   </w:t>
            </w:r>
            <w:r w:rsidRPr="002152E4">
              <w:rPr>
                <w:i/>
                <w:lang w:val="ro-RO"/>
              </w:rPr>
              <w:t xml:space="preserve">% </w:t>
            </w:r>
            <w:r w:rsidRPr="002152E4">
              <w:rPr>
                <w:b/>
                <w:i/>
                <w:u w:val="single"/>
                <w:lang w:val="ro-RO"/>
              </w:rPr>
              <w:t>2016</w:t>
            </w:r>
          </w:p>
          <w:p w:rsidR="007442AA" w:rsidRPr="002152E4" w:rsidRDefault="007442AA" w:rsidP="007442AA">
            <w:pPr>
              <w:ind w:left="-90"/>
              <w:rPr>
                <w:b/>
                <w:lang w:val="ro-RO"/>
              </w:rPr>
            </w:pPr>
            <w:r w:rsidRPr="002152E4">
              <w:rPr>
                <w:i/>
                <w:lang w:val="ro-RO"/>
              </w:rPr>
              <w:t xml:space="preserve">   +/-</w:t>
            </w:r>
            <w:r w:rsidRPr="002152E4">
              <w:rPr>
                <w:b/>
                <w:i/>
                <w:lang w:val="ro-RO"/>
              </w:rPr>
              <w:t>2015</w:t>
            </w:r>
          </w:p>
        </w:tc>
        <w:tc>
          <w:tcPr>
            <w:tcW w:w="2070"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-8,6</w:t>
            </w:r>
          </w:p>
        </w:tc>
        <w:tc>
          <w:tcPr>
            <w:tcW w:w="2070" w:type="dxa"/>
            <w:tcBorders>
              <w:top w:val="threeDEmboss" w:sz="6" w:space="0" w:color="00B050"/>
              <w:bottom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+23,8</w:t>
            </w:r>
          </w:p>
        </w:tc>
        <w:tc>
          <w:tcPr>
            <w:tcW w:w="4935" w:type="dxa"/>
            <w:tcBorders>
              <w:top w:val="threeDEmboss" w:sz="6" w:space="0" w:color="00B050"/>
              <w:bottom w:val="threeDEmboss" w:sz="6" w:space="0" w:color="00B050"/>
              <w:right w:val="threeDEmboss" w:sz="6" w:space="0" w:color="00B050"/>
            </w:tcBorders>
            <w:shd w:val="clear" w:color="auto" w:fill="FCE0C8"/>
            <w:vAlign w:val="center"/>
          </w:tcPr>
          <w:p w:rsidR="007442AA" w:rsidRPr="002152E4" w:rsidRDefault="007442AA" w:rsidP="007442AA">
            <w:pPr>
              <w:widowControl w:val="0"/>
              <w:jc w:val="center"/>
              <w:rPr>
                <w:b/>
                <w:lang w:val="ro-RO"/>
              </w:rPr>
            </w:pPr>
            <w:r w:rsidRPr="002152E4">
              <w:rPr>
                <w:b/>
                <w:lang w:val="ro-RO"/>
              </w:rPr>
              <w:t>+15,6</w:t>
            </w:r>
          </w:p>
        </w:tc>
      </w:tr>
    </w:tbl>
    <w:p w:rsidR="007442AA" w:rsidRPr="002152E4" w:rsidRDefault="007442AA" w:rsidP="007442AA">
      <w:pPr>
        <w:rPr>
          <w:lang w:val="ro-RO"/>
        </w:rPr>
      </w:pPr>
    </w:p>
    <w:p w:rsidR="007442AA" w:rsidRPr="002152E4" w:rsidRDefault="007442AA" w:rsidP="00D5288F">
      <w:pPr>
        <w:ind w:firstLine="684"/>
        <w:jc w:val="both"/>
        <w:rPr>
          <w:lang w:val="ro-RO"/>
        </w:rPr>
      </w:pPr>
    </w:p>
    <w:p w:rsidR="007442AA" w:rsidRPr="002152E4" w:rsidRDefault="007442AA" w:rsidP="00D5288F">
      <w:pPr>
        <w:ind w:firstLine="684"/>
        <w:jc w:val="both"/>
        <w:rPr>
          <w:lang w:val="ro-RO"/>
        </w:rPr>
      </w:pPr>
      <w:r w:rsidRPr="002152E4">
        <w:rPr>
          <w:lang w:val="ro-RO"/>
        </w:rPr>
        <w:t xml:space="preserve">În dinamica datelor statistice privitoare la starea </w:t>
      </w:r>
      <w:r w:rsidR="002152E4" w:rsidRPr="002152E4">
        <w:rPr>
          <w:lang w:val="ro-RO"/>
        </w:rPr>
        <w:t>infracțională</w:t>
      </w:r>
      <w:r w:rsidRPr="002152E4">
        <w:rPr>
          <w:lang w:val="ro-RO"/>
        </w:rPr>
        <w:t xml:space="preserve"> relevată de activitatea parchetelor trebuie să se ţină în continuare cont de schimbarea legislaţiei penale din anul 2014, care a introdus instituţii juridice noi (judecătorul de drepturi şi libertăţi, camera preliminară, </w:t>
      </w:r>
      <w:r w:rsidR="002152E4" w:rsidRPr="002152E4">
        <w:rPr>
          <w:lang w:val="ro-RO"/>
        </w:rPr>
        <w:t>renunțarea</w:t>
      </w:r>
      <w:r w:rsidRPr="002152E4">
        <w:rPr>
          <w:lang w:val="ro-RO"/>
        </w:rPr>
        <w:t xml:space="preserve"> la urmărire penală) sau care a dus la schimbări importante în reglementarea instituţiilor existente (regimul măsurilor preventive, </w:t>
      </w:r>
      <w:r w:rsidR="002152E4" w:rsidRPr="002152E4">
        <w:rPr>
          <w:lang w:val="ro-RO"/>
        </w:rPr>
        <w:t>percheziția</w:t>
      </w:r>
      <w:r w:rsidRPr="002152E4">
        <w:rPr>
          <w:lang w:val="ro-RO"/>
        </w:rPr>
        <w:t xml:space="preserve">, </w:t>
      </w:r>
      <w:r w:rsidR="002152E4" w:rsidRPr="002152E4">
        <w:rPr>
          <w:lang w:val="ro-RO"/>
        </w:rPr>
        <w:t>prescripția</w:t>
      </w:r>
      <w:r w:rsidRPr="002152E4">
        <w:rPr>
          <w:lang w:val="ro-RO"/>
        </w:rPr>
        <w:t xml:space="preserve"> etc).</w:t>
      </w:r>
    </w:p>
    <w:p w:rsidR="005B0EB4" w:rsidRPr="002152E4" w:rsidRDefault="005B0EB4" w:rsidP="00D5288F">
      <w:pPr>
        <w:ind w:firstLine="684"/>
        <w:jc w:val="both"/>
        <w:rPr>
          <w:lang w:val="ro-RO"/>
        </w:rPr>
      </w:pPr>
    </w:p>
    <w:p w:rsidR="007442AA" w:rsidRPr="002152E4" w:rsidRDefault="00F8404C" w:rsidP="00D5288F">
      <w:pPr>
        <w:pStyle w:val="Heading2"/>
        <w:spacing w:line="240" w:lineRule="auto"/>
      </w:pPr>
      <w:bookmarkStart w:id="158" w:name="_Toc475363434"/>
      <w:bookmarkStart w:id="159" w:name="_Toc486576555"/>
      <w:r w:rsidRPr="002152E4">
        <w:t xml:space="preserve">III.8. </w:t>
      </w:r>
      <w:r w:rsidR="007442AA" w:rsidRPr="002152E4">
        <w:t xml:space="preserve">Alţi indicatori statistici </w:t>
      </w:r>
      <w:r w:rsidR="002152E4" w:rsidRPr="002152E4">
        <w:t>relevanți</w:t>
      </w:r>
      <w:r w:rsidR="007442AA" w:rsidRPr="002152E4">
        <w:t xml:space="preserve"> pentru activitatea procurorilor</w:t>
      </w:r>
      <w:bookmarkEnd w:id="158"/>
      <w:bookmarkEnd w:id="159"/>
    </w:p>
    <w:p w:rsidR="007442AA" w:rsidRPr="002152E4" w:rsidRDefault="00F8404C" w:rsidP="00D5288F">
      <w:pPr>
        <w:pStyle w:val="Heading3"/>
        <w:spacing w:line="240" w:lineRule="auto"/>
      </w:pPr>
      <w:bookmarkStart w:id="160" w:name="_Toc475363435"/>
      <w:bookmarkStart w:id="161" w:name="_Toc486576556"/>
      <w:r w:rsidRPr="002152E4">
        <w:t>III.8</w:t>
      </w:r>
      <w:r w:rsidR="007442AA" w:rsidRPr="002152E4">
        <w:t>.1</w:t>
      </w:r>
      <w:r w:rsidRPr="002152E4">
        <w:t>.</w:t>
      </w:r>
      <w:r w:rsidR="007442AA" w:rsidRPr="002152E4">
        <w:t xml:space="preserve"> Activitatea judiciară în materie penală</w:t>
      </w:r>
      <w:bookmarkEnd w:id="160"/>
      <w:bookmarkEnd w:id="161"/>
    </w:p>
    <w:p w:rsidR="007442AA" w:rsidRPr="002152E4" w:rsidRDefault="007442AA" w:rsidP="00D5288F">
      <w:pPr>
        <w:ind w:firstLine="686"/>
        <w:jc w:val="both"/>
        <w:rPr>
          <w:lang w:val="ro-RO"/>
        </w:rPr>
      </w:pPr>
      <w:r w:rsidRPr="002152E4">
        <w:rPr>
          <w:lang w:val="ro-RO"/>
        </w:rPr>
        <w:t>În materie penală se constată în perioada de referinţă o creştere cu 13,6% a numărului cauzelor judecate cu participarea procurorului (de la 269574 de cauze în anul 2015 la 306030 de cauze în anul 2016) şi o creștere cu 14,5% a numărului hotărârilor verificate de procuror în vederea exercitării căilor de atac (de la 244496 hotărâri în anul 2015, la 280047 în anul 2016).</w:t>
      </w:r>
    </w:p>
    <w:p w:rsidR="007442AA" w:rsidRPr="002152E4" w:rsidRDefault="007442AA" w:rsidP="00D5288F">
      <w:pPr>
        <w:ind w:firstLine="686"/>
        <w:jc w:val="both"/>
        <w:rPr>
          <w:lang w:val="ro-RO"/>
        </w:rPr>
      </w:pPr>
      <w:r w:rsidRPr="002152E4">
        <w:rPr>
          <w:lang w:val="ro-RO"/>
        </w:rPr>
        <w:t>Numărul de contesta</w:t>
      </w:r>
      <w:r w:rsidRPr="002152E4">
        <w:rPr>
          <w:rFonts w:cs="Cambria"/>
          <w:lang w:val="ro-RO"/>
        </w:rPr>
        <w:t>ț</w:t>
      </w:r>
      <w:r w:rsidRPr="002152E4">
        <w:rPr>
          <w:lang w:val="ro-RO"/>
        </w:rPr>
        <w:t>ii, apeluri, recursuri în casa</w:t>
      </w:r>
      <w:r w:rsidRPr="002152E4">
        <w:rPr>
          <w:rFonts w:cs="Cambria"/>
          <w:lang w:val="ro-RO"/>
        </w:rPr>
        <w:t>ț</w:t>
      </w:r>
      <w:r w:rsidRPr="002152E4">
        <w:rPr>
          <w:lang w:val="ro-RO"/>
        </w:rPr>
        <w:t xml:space="preserve">ie </w:t>
      </w:r>
      <w:r w:rsidRPr="002152E4">
        <w:rPr>
          <w:rFonts w:cs="Cambria"/>
          <w:lang w:val="ro-RO"/>
        </w:rPr>
        <w:t>ș</w:t>
      </w:r>
      <w:r w:rsidRPr="002152E4">
        <w:rPr>
          <w:lang w:val="ro-RO"/>
        </w:rPr>
        <w:t>i contesta</w:t>
      </w:r>
      <w:r w:rsidRPr="002152E4">
        <w:rPr>
          <w:rFonts w:cs="Cambria"/>
          <w:lang w:val="ro-RO"/>
        </w:rPr>
        <w:t>ț</w:t>
      </w:r>
      <w:r w:rsidRPr="002152E4">
        <w:rPr>
          <w:lang w:val="ro-RO"/>
        </w:rPr>
        <w:t>ii în anulare declarate de procuror a crescut cu 0,6% (de la 11302 în anul 2015 la 11374 în 2016 ) iar numărul de apeluri şi recursuri soluţionate de instanţe (din cele declarate de procuror) a crescut cu 0,7% (de la 10891 în anul 2015 la 10963 în anul 2016).</w:t>
      </w:r>
    </w:p>
    <w:p w:rsidR="007442AA" w:rsidRPr="002152E4" w:rsidRDefault="007442AA" w:rsidP="007442AA">
      <w:pPr>
        <w:spacing w:line="360" w:lineRule="auto"/>
        <w:ind w:firstLine="686"/>
        <w:jc w:val="both"/>
        <w:rPr>
          <w:lang w:val="ro-RO"/>
        </w:rPr>
      </w:pPr>
      <w:r w:rsidRPr="002152E4">
        <w:rPr>
          <w:lang w:val="ro-RO"/>
        </w:rPr>
        <w:t>Numărul de apeluri şi recursuri admise (din cele declarate de procuror) a scăzut cu 1,9% (de la 7371  în anul 2015 la 7234 în anul 2016) constatându-se un indice de admisibilitate de 66,1% în anul de referinţă 2016.</w:t>
      </w:r>
    </w:p>
    <w:p w:rsidR="007442AA" w:rsidRPr="002152E4" w:rsidRDefault="007442AA" w:rsidP="00D5288F">
      <w:pPr>
        <w:ind w:firstLine="686"/>
        <w:jc w:val="both"/>
        <w:rPr>
          <w:lang w:val="ro-RO"/>
        </w:rPr>
      </w:pPr>
      <w:r w:rsidRPr="002152E4">
        <w:rPr>
          <w:lang w:val="ro-RO"/>
        </w:rPr>
        <w:t>În aceeaşi perioadă de referinţă au fost declarate de procuror 30 recursuri în interesul legii (faţă de 39 în anul 2015), au fost soluţionate de instanţă 29 de recursuri în interesul legii (faţă de 40 în anul 2015) fiind admise 14, ceea ce înseamnă un indice de admitere de 48,3%.</w:t>
      </w:r>
    </w:p>
    <w:p w:rsidR="007442AA" w:rsidRPr="002152E4" w:rsidRDefault="007442AA" w:rsidP="00D5288F">
      <w:pPr>
        <w:pStyle w:val="Heading3"/>
        <w:spacing w:line="240" w:lineRule="auto"/>
      </w:pPr>
      <w:r w:rsidRPr="002152E4">
        <w:t xml:space="preserve"> </w:t>
      </w:r>
      <w:bookmarkStart w:id="162" w:name="_Toc475363436"/>
      <w:bookmarkStart w:id="163" w:name="_Toc486576557"/>
      <w:r w:rsidR="00035FB5" w:rsidRPr="002152E4">
        <w:t>III.8.</w:t>
      </w:r>
      <w:r w:rsidRPr="002152E4">
        <w:t>2</w:t>
      </w:r>
      <w:r w:rsidR="00035FB5" w:rsidRPr="002152E4">
        <w:t>.</w:t>
      </w:r>
      <w:r w:rsidRPr="002152E4">
        <w:t xml:space="preserve"> Activitatea judiciară în materie civilă</w:t>
      </w:r>
      <w:bookmarkEnd w:id="162"/>
      <w:bookmarkEnd w:id="163"/>
    </w:p>
    <w:p w:rsidR="007442AA" w:rsidRPr="002152E4" w:rsidRDefault="007442AA" w:rsidP="00D5288F">
      <w:pPr>
        <w:ind w:firstLine="686"/>
        <w:jc w:val="both"/>
        <w:rPr>
          <w:lang w:val="ro-RO"/>
        </w:rPr>
      </w:pPr>
      <w:r w:rsidRPr="002152E4">
        <w:rPr>
          <w:lang w:val="ro-RO"/>
        </w:rPr>
        <w:t xml:space="preserve"> În materie civilă în perioada de referinţă se constată o creştere cu 3% a numărului cauzelor judecate cu participarea procurorului (de la 42607  de cauze în anul 2015, la 43877 în anul 2016) şi o creştere cu 3,7% a numărului hotărârilor verificate de procuror în vederea exercitării căilor de atac (de la 46808 hotărâri în anul 2015, la 48563, în anul 2016).</w:t>
      </w:r>
    </w:p>
    <w:p w:rsidR="007442AA" w:rsidRPr="002152E4" w:rsidRDefault="007442AA" w:rsidP="00D5288F">
      <w:pPr>
        <w:ind w:firstLine="686"/>
        <w:jc w:val="both"/>
        <w:rPr>
          <w:lang w:val="ro-RO"/>
        </w:rPr>
      </w:pPr>
      <w:r w:rsidRPr="002152E4">
        <w:rPr>
          <w:lang w:val="ro-RO"/>
        </w:rPr>
        <w:t>Numărul de plângeri, apeluri, recursuri şi contestaţii în anulare declarate de procuror a crescut cu 21,3% (de la 150 în anul 2015 la 182 în anul 2016) iar numărul acestora soluţionate de instanţe (din cele declarate de procuror) a crescut cu 22,6% (de la 144 în anul 2015, la 183 în anul 2016).</w:t>
      </w:r>
    </w:p>
    <w:p w:rsidR="007442AA" w:rsidRPr="002152E4" w:rsidRDefault="007442AA" w:rsidP="00D5288F">
      <w:pPr>
        <w:ind w:firstLine="686"/>
        <w:jc w:val="both"/>
        <w:rPr>
          <w:lang w:val="ro-RO"/>
        </w:rPr>
      </w:pPr>
      <w:r w:rsidRPr="002152E4">
        <w:rPr>
          <w:lang w:val="ro-RO"/>
        </w:rPr>
        <w:t>Numărul de apeluri şi recursuri admise (din cele declarate de procuror) a crescut cu 21% (de la 90 în anul 2015, la 109 în anul 2016) constatându-se o admisibilitate de 59,6% în anul 2016 .</w:t>
      </w:r>
    </w:p>
    <w:p w:rsidR="007442AA" w:rsidRPr="002152E4" w:rsidRDefault="007442AA" w:rsidP="00D5288F">
      <w:pPr>
        <w:ind w:firstLine="686"/>
        <w:jc w:val="both"/>
        <w:rPr>
          <w:lang w:val="ro-RO"/>
        </w:rPr>
      </w:pPr>
      <w:r w:rsidRPr="002152E4">
        <w:rPr>
          <w:lang w:val="ro-RO"/>
        </w:rPr>
        <w:t>În anul 2016 au fost declarate 17 recursuri în interesul legii (faţă de 18 în anul 2015), au fost soluţionate de instanţă 16 recursuri în interesul legii (20 în anul 2015), fiind admise 15, ceea ce înseamnă un indice de admitere de 93,8% (100% a fost acest indice în 2015).</w:t>
      </w:r>
    </w:p>
    <w:p w:rsidR="007442AA" w:rsidRPr="002152E4" w:rsidRDefault="007442AA" w:rsidP="00D5288F">
      <w:pPr>
        <w:ind w:firstLine="686"/>
        <w:jc w:val="both"/>
        <w:rPr>
          <w:lang w:val="ro-RO"/>
        </w:rPr>
      </w:pPr>
    </w:p>
    <w:p w:rsidR="007442AA" w:rsidRPr="002152E4" w:rsidRDefault="00626AED" w:rsidP="00D5288F">
      <w:pPr>
        <w:pStyle w:val="Heading3"/>
        <w:spacing w:line="240" w:lineRule="auto"/>
      </w:pPr>
      <w:bookmarkStart w:id="164" w:name="_Toc475363437"/>
      <w:bookmarkStart w:id="165" w:name="_Toc486576558"/>
      <w:r w:rsidRPr="002152E4">
        <w:t>I</w:t>
      </w:r>
      <w:r w:rsidR="00CD6117" w:rsidRPr="002152E4">
        <w:t>I</w:t>
      </w:r>
      <w:r w:rsidRPr="002152E4">
        <w:t>I.8.</w:t>
      </w:r>
      <w:r w:rsidR="007442AA" w:rsidRPr="002152E4">
        <w:t xml:space="preserve">3 Activitatea de rezolvare a plângerilor, cererilor, memoriilor şi sesizărilor </w:t>
      </w:r>
      <w:bookmarkEnd w:id="164"/>
      <w:r w:rsidR="002152E4" w:rsidRPr="002152E4">
        <w:t>cetățenilor</w:t>
      </w:r>
      <w:bookmarkEnd w:id="165"/>
    </w:p>
    <w:p w:rsidR="00D5288F" w:rsidRDefault="007442AA" w:rsidP="00E51382">
      <w:pPr>
        <w:ind w:firstLine="686"/>
        <w:jc w:val="both"/>
        <w:rPr>
          <w:lang w:val="ro-RO"/>
        </w:rPr>
      </w:pPr>
      <w:r w:rsidRPr="002152E4">
        <w:rPr>
          <w:lang w:val="ro-RO"/>
        </w:rPr>
        <w:t xml:space="preserve">În anul 2016 au fost soluţionate 435746 de plângeri, cereri, memorii şi sesizări ale </w:t>
      </w:r>
      <w:r w:rsidR="002152E4" w:rsidRPr="002152E4">
        <w:rPr>
          <w:lang w:val="ro-RO"/>
        </w:rPr>
        <w:t>cetățenilor</w:t>
      </w:r>
      <w:r w:rsidRPr="002152E4">
        <w:rPr>
          <w:lang w:val="ro-RO"/>
        </w:rPr>
        <w:t xml:space="preserve"> (în creştere cu 2,7% faţă de anul 2015, când au fost soluţionate 424266 de plângeri), din care 184929 au fost admise (în creştere cu 6,5% faţă de anul 2015, când au fost admise 173499 de plângeri).</w:t>
      </w:r>
      <w:bookmarkStart w:id="166" w:name="_Toc411333494"/>
      <w:bookmarkStart w:id="167" w:name="_Toc411429428"/>
    </w:p>
    <w:p w:rsidR="00E51382" w:rsidRPr="00E51382" w:rsidRDefault="00E51382" w:rsidP="00E51382">
      <w:pPr>
        <w:ind w:firstLine="686"/>
        <w:jc w:val="both"/>
        <w:rPr>
          <w:lang w:val="ro-RO"/>
        </w:rPr>
      </w:pPr>
    </w:p>
    <w:p w:rsidR="00CD6117" w:rsidRPr="002152E4" w:rsidRDefault="00CD6117" w:rsidP="00CD6117">
      <w:pPr>
        <w:jc w:val="center"/>
        <w:outlineLvl w:val="0"/>
        <w:rPr>
          <w:b/>
          <w:sz w:val="28"/>
          <w:szCs w:val="28"/>
          <w:lang w:val="ro-RO" w:eastAsia="ro-RO"/>
        </w:rPr>
      </w:pPr>
      <w:bookmarkStart w:id="168" w:name="_Toc486576559"/>
      <w:r w:rsidRPr="002152E4">
        <w:rPr>
          <w:b/>
          <w:sz w:val="28"/>
          <w:szCs w:val="28"/>
          <w:lang w:val="ro-RO" w:eastAsia="ro-RO"/>
        </w:rPr>
        <w:lastRenderedPageBreak/>
        <w:t>IV. Date statistice referitoare la resursele umane la nivelul instanţelor</w:t>
      </w:r>
      <w:bookmarkEnd w:id="168"/>
    </w:p>
    <w:p w:rsidR="00EE6420" w:rsidRPr="00E51382" w:rsidRDefault="00EE6420" w:rsidP="001A66BB">
      <w:pPr>
        <w:pStyle w:val="Heading1"/>
      </w:pPr>
      <w:bookmarkStart w:id="169" w:name="_Toc486576560"/>
      <w:r w:rsidRPr="00E51382">
        <w:t>IV. 1. Situaţia posturilor de judecător, magistrat asistent, personal asimilat din Ministerul Justiţiei, Consiliul Superior al Magistraturii şi instituţiile subordonate, precum şi de personal auxiliar</w:t>
      </w:r>
      <w:bookmarkEnd w:id="169"/>
    </w:p>
    <w:p w:rsidR="00EE6420" w:rsidRPr="002152E4" w:rsidRDefault="00EE6420" w:rsidP="00C72B60">
      <w:pPr>
        <w:pStyle w:val="AddParagraf"/>
        <w:numPr>
          <w:ilvl w:val="0"/>
          <w:numId w:val="14"/>
        </w:numPr>
        <w:spacing w:after="0"/>
        <w:ind w:left="0" w:right="45" w:firstLine="709"/>
        <w:rPr>
          <w:b/>
        </w:rPr>
      </w:pPr>
      <w:r w:rsidRPr="002152E4">
        <w:rPr>
          <w:b/>
        </w:rPr>
        <w:t>Situaţia posturilor de judecător</w:t>
      </w:r>
    </w:p>
    <w:p w:rsidR="00EE6420" w:rsidRPr="002152E4" w:rsidRDefault="00EE6420" w:rsidP="00EE6420">
      <w:pPr>
        <w:pStyle w:val="AddParagraf"/>
        <w:spacing w:after="0"/>
        <w:ind w:right="45"/>
      </w:pPr>
      <w:r w:rsidRPr="002152E4">
        <w:t>La fel ca în anii anteriori, şi în anul 2016 principalul obiectiv al Consiliului Superior al Magistraturii, legat de activitatea administrativă derulată de acesta, l-a constituit asigurarea necesarului de resurse umane pentru buna desfăşurare a activităţii la nivelul instanţelor.</w:t>
      </w:r>
    </w:p>
    <w:p w:rsidR="00EE6420" w:rsidRPr="002152E4" w:rsidRDefault="00EE6420" w:rsidP="00EE6420">
      <w:pPr>
        <w:pStyle w:val="AddParagraf"/>
        <w:spacing w:after="0"/>
        <w:ind w:right="45"/>
      </w:pPr>
      <w:r w:rsidRPr="002152E4">
        <w:t>În acest context, ocuparea posturilor vacante de judecător s-a realizat prin toate modalităţile prevăzute de lege, astfel cum rezultă din datele ce vor fi prezentate mai jos.</w:t>
      </w:r>
    </w:p>
    <w:p w:rsidR="00EE6420" w:rsidRPr="002152E4" w:rsidRDefault="00EE6420" w:rsidP="00EE6420">
      <w:pPr>
        <w:pStyle w:val="AddParagraf"/>
        <w:spacing w:after="0"/>
        <w:rPr>
          <w:b/>
        </w:rPr>
      </w:pPr>
    </w:p>
    <w:p w:rsidR="00EE6420" w:rsidRPr="002152E4" w:rsidRDefault="00EE6420" w:rsidP="00EE6420">
      <w:pPr>
        <w:pStyle w:val="AddParagraf"/>
        <w:spacing w:after="0"/>
        <w:rPr>
          <w:b/>
        </w:rPr>
      </w:pPr>
      <w:r w:rsidRPr="002152E4">
        <w:rPr>
          <w:b/>
        </w:rPr>
        <w:t xml:space="preserve">A1.Evoluţia gradului de ocupare a posturilor de judecător </w:t>
      </w:r>
    </w:p>
    <w:p w:rsidR="00EE6420" w:rsidRPr="002152E4" w:rsidRDefault="00EE6420" w:rsidP="00EE6420">
      <w:pPr>
        <w:ind w:right="48" w:firstLine="709"/>
        <w:jc w:val="both"/>
        <w:rPr>
          <w:rFonts w:cs="Arial"/>
          <w:b/>
          <w:u w:val="single"/>
          <w:lang w:val="ro-RO"/>
        </w:rPr>
      </w:pPr>
      <w:r w:rsidRPr="002152E4">
        <w:rPr>
          <w:rFonts w:cs="Arial"/>
          <w:b/>
          <w:u w:val="single"/>
          <w:lang w:val="ro-RO"/>
        </w:rPr>
        <w:t>Situaţia posturilor de judecător la începutul anului 2016</w:t>
      </w:r>
    </w:p>
    <w:p w:rsidR="00EE6420" w:rsidRPr="002152E4" w:rsidRDefault="00EE6420" w:rsidP="00EE6420">
      <w:pPr>
        <w:ind w:right="48" w:firstLine="709"/>
        <w:jc w:val="both"/>
        <w:rPr>
          <w:rFonts w:cs="Arial"/>
          <w:lang w:val="ro-RO"/>
        </w:rPr>
      </w:pPr>
      <w:r w:rsidRPr="002152E4">
        <w:rPr>
          <w:rFonts w:cs="Arial"/>
          <w:lang w:val="ro-RO"/>
        </w:rPr>
        <w:t xml:space="preserve">La data de 01.01.2016, din totalul de </w:t>
      </w:r>
      <w:r w:rsidRPr="002152E4">
        <w:rPr>
          <w:rFonts w:cs="Arial"/>
          <w:b/>
          <w:lang w:val="ro-RO"/>
        </w:rPr>
        <w:t>4724</w:t>
      </w:r>
      <w:r w:rsidRPr="002152E4">
        <w:rPr>
          <w:rStyle w:val="FootnoteReference"/>
          <w:b/>
          <w:lang w:val="ro-RO"/>
        </w:rPr>
        <w:footnoteReference w:id="1"/>
      </w:r>
      <w:r w:rsidRPr="002152E4">
        <w:rPr>
          <w:rFonts w:cs="Arial"/>
          <w:b/>
          <w:lang w:val="ro-RO"/>
        </w:rPr>
        <w:t xml:space="preserve"> de posturi</w:t>
      </w:r>
      <w:r w:rsidRPr="002152E4">
        <w:rPr>
          <w:rFonts w:cs="Arial"/>
          <w:lang w:val="ro-RO"/>
        </w:rPr>
        <w:t xml:space="preserve"> de judecător, erau </w:t>
      </w:r>
      <w:r w:rsidRPr="002152E4">
        <w:rPr>
          <w:rFonts w:cs="Arial"/>
          <w:b/>
          <w:lang w:val="ro-RO"/>
        </w:rPr>
        <w:t xml:space="preserve">ocupate 4507 </w:t>
      </w:r>
      <w:r w:rsidRPr="002152E4">
        <w:rPr>
          <w:rFonts w:cs="Arial"/>
          <w:lang w:val="ro-RO"/>
        </w:rPr>
        <w:t xml:space="preserve">posturi şi </w:t>
      </w:r>
      <w:r w:rsidRPr="002152E4">
        <w:rPr>
          <w:rFonts w:cs="Arial"/>
          <w:b/>
          <w:lang w:val="ro-RO"/>
        </w:rPr>
        <w:t>vacante 217</w:t>
      </w:r>
      <w:r w:rsidRPr="002152E4">
        <w:rPr>
          <w:rFonts w:cs="Arial"/>
          <w:lang w:val="ro-RO"/>
        </w:rPr>
        <w:t xml:space="preserve"> posturi. Dintre cele 217 posturi vacante, 103 erau corespunzătoare funcţiilor de execuţie şi 114 funcţiilor de conducere.</w:t>
      </w:r>
    </w:p>
    <w:p w:rsidR="00EE6420" w:rsidRPr="002152E4" w:rsidRDefault="00EE6420" w:rsidP="00EE6420">
      <w:pPr>
        <w:ind w:right="48" w:firstLine="709"/>
        <w:jc w:val="both"/>
        <w:rPr>
          <w:rFonts w:cs="Arial"/>
          <w:lang w:val="ro-RO"/>
        </w:rPr>
      </w:pPr>
    </w:p>
    <w:p w:rsidR="00EE6420" w:rsidRPr="002152E4" w:rsidRDefault="00EE6420" w:rsidP="00EE6420">
      <w:pPr>
        <w:spacing w:after="180"/>
        <w:ind w:right="48" w:firstLine="709"/>
        <w:jc w:val="both"/>
        <w:rPr>
          <w:b/>
          <w:lang w:val="ro-RO"/>
        </w:rPr>
      </w:pPr>
      <w:r w:rsidRPr="002152E4">
        <w:rPr>
          <w:b/>
          <w:lang w:val="ro-RO"/>
        </w:rPr>
        <w:t>Situaţia posturilor de judecător pe grade de jurisdicţie la data de 01.01.2016</w:t>
      </w:r>
    </w:p>
    <w:tbl>
      <w:tblPr>
        <w:tblW w:w="103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3"/>
        <w:gridCol w:w="1080"/>
        <w:gridCol w:w="1161"/>
        <w:gridCol w:w="1359"/>
        <w:gridCol w:w="900"/>
        <w:gridCol w:w="1080"/>
        <w:gridCol w:w="1327"/>
      </w:tblGrid>
      <w:tr w:rsidR="00EE6420" w:rsidRPr="002152E4" w:rsidTr="00EE6420">
        <w:tc>
          <w:tcPr>
            <w:tcW w:w="344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jc w:val="center"/>
              <w:rPr>
                <w:b/>
                <w:lang w:val="ro-RO"/>
              </w:rPr>
            </w:pPr>
            <w:r w:rsidRPr="002152E4">
              <w:rPr>
                <w:b/>
                <w:lang w:val="ro-RO"/>
              </w:rPr>
              <w:t xml:space="preserve">Categoria </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jc w:val="center"/>
              <w:rPr>
                <w:lang w:val="ro-RO"/>
              </w:rPr>
            </w:pPr>
            <w:r w:rsidRPr="002152E4">
              <w:rPr>
                <w:b/>
                <w:lang w:val="ro-RO"/>
              </w:rPr>
              <w:t>Posturi de judecător prevăzute în  schemă</w:t>
            </w:r>
          </w:p>
        </w:tc>
        <w:tc>
          <w:tcPr>
            <w:tcW w:w="330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jc w:val="center"/>
              <w:rPr>
                <w:lang w:val="ro-RO"/>
              </w:rPr>
            </w:pPr>
            <w:r w:rsidRPr="002152E4">
              <w:rPr>
                <w:b/>
                <w:lang w:val="ro-RO"/>
              </w:rPr>
              <w:t xml:space="preserve">Posturi de judecător vacante </w:t>
            </w:r>
          </w:p>
        </w:tc>
      </w:tr>
      <w:tr w:rsidR="00EE6420" w:rsidRPr="002152E4" w:rsidTr="00EE6420">
        <w:tc>
          <w:tcPr>
            <w:tcW w:w="3443" w:type="dxa"/>
            <w:vMerge/>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b/>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b/>
                <w:lang w:val="ro-RO"/>
              </w:rPr>
            </w:pPr>
            <w:r w:rsidRPr="002152E4">
              <w:rPr>
                <w:b/>
                <w:lang w:val="ro-RO"/>
              </w:rPr>
              <w:t>Total</w:t>
            </w:r>
          </w:p>
        </w:tc>
        <w:tc>
          <w:tcPr>
            <w:tcW w:w="116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lang w:val="ro-RO"/>
              </w:rPr>
            </w:pPr>
            <w:r w:rsidRPr="002152E4">
              <w:rPr>
                <w:lang w:val="ro-RO"/>
              </w:rPr>
              <w:t>Execuţie</w:t>
            </w:r>
          </w:p>
        </w:tc>
        <w:tc>
          <w:tcPr>
            <w:tcW w:w="13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lang w:val="ro-RO"/>
              </w:rPr>
            </w:pPr>
            <w:r w:rsidRPr="002152E4">
              <w:rPr>
                <w:lang w:val="ro-RO"/>
              </w:rPr>
              <w:t xml:space="preserve">Conducere </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b/>
                <w:lang w:val="ro-RO"/>
              </w:rPr>
            </w:pPr>
            <w:r w:rsidRPr="002152E4">
              <w:rPr>
                <w:b/>
                <w:lang w:val="ro-RO"/>
              </w:rPr>
              <w:t xml:space="preserve">Total </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lang w:val="ro-RO"/>
              </w:rPr>
            </w:pPr>
            <w:r w:rsidRPr="002152E4">
              <w:rPr>
                <w:lang w:val="ro-RO"/>
              </w:rPr>
              <w:t>Execuţie</w:t>
            </w:r>
          </w:p>
        </w:tc>
        <w:tc>
          <w:tcPr>
            <w:tcW w:w="13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lang w:val="ro-RO"/>
              </w:rPr>
            </w:pPr>
            <w:r w:rsidRPr="002152E4">
              <w:rPr>
                <w:lang w:val="ro-RO"/>
              </w:rPr>
              <w:t>Conducere</w:t>
            </w:r>
          </w:p>
        </w:tc>
      </w:tr>
      <w:tr w:rsidR="00EE6420" w:rsidRPr="002152E4" w:rsidTr="00EE6420">
        <w:tc>
          <w:tcPr>
            <w:tcW w:w="3443"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lang w:val="ro-RO"/>
              </w:rPr>
            </w:pPr>
            <w:r w:rsidRPr="002152E4">
              <w:rPr>
                <w:lang w:val="ro-RO"/>
              </w:rPr>
              <w:t>Înalta Curte de Casaţie şi Justiţie (ÎCCJ)</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122</w:t>
            </w:r>
          </w:p>
        </w:tc>
        <w:tc>
          <w:tcPr>
            <w:tcW w:w="1161"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115</w:t>
            </w:r>
          </w:p>
        </w:tc>
        <w:tc>
          <w:tcPr>
            <w:tcW w:w="1359"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highlight w:val="yellow"/>
                <w:lang w:val="ro-RO"/>
              </w:rPr>
            </w:pPr>
            <w:r w:rsidRPr="002152E4">
              <w:rPr>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15</w:t>
            </w:r>
          </w:p>
        </w:tc>
        <w:tc>
          <w:tcPr>
            <w:tcW w:w="1327"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0</w:t>
            </w:r>
          </w:p>
        </w:tc>
      </w:tr>
      <w:tr w:rsidR="00EE6420" w:rsidRPr="002152E4" w:rsidTr="00EE6420">
        <w:tc>
          <w:tcPr>
            <w:tcW w:w="3443"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lang w:val="ro-RO"/>
              </w:rPr>
            </w:pPr>
            <w:r w:rsidRPr="002152E4">
              <w:rPr>
                <w:lang w:val="ro-RO"/>
              </w:rPr>
              <w:t>Curţi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838</w:t>
            </w:r>
          </w:p>
        </w:tc>
        <w:tc>
          <w:tcPr>
            <w:tcW w:w="1161"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738</w:t>
            </w:r>
          </w:p>
        </w:tc>
        <w:tc>
          <w:tcPr>
            <w:tcW w:w="1359"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highlight w:val="yellow"/>
                <w:lang w:val="ro-RO"/>
              </w:rPr>
            </w:pPr>
            <w:r w:rsidRPr="002152E4">
              <w:rPr>
                <w:lang w:val="ro-RO"/>
              </w:rPr>
              <w:t>100</w:t>
            </w:r>
          </w:p>
        </w:tc>
        <w:tc>
          <w:tcPr>
            <w:tcW w:w="90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22</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9</w:t>
            </w:r>
          </w:p>
        </w:tc>
      </w:tr>
      <w:tr w:rsidR="00EE6420" w:rsidRPr="002152E4" w:rsidTr="00EE6420">
        <w:tc>
          <w:tcPr>
            <w:tcW w:w="3443"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lang w:val="ro-RO"/>
              </w:rPr>
            </w:pPr>
            <w:r w:rsidRPr="002152E4">
              <w:rPr>
                <w:lang w:val="ro-RO"/>
              </w:rPr>
              <w:t>Tribunale (inclusiv tribunalele militare şi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1585</w:t>
            </w:r>
          </w:p>
        </w:tc>
        <w:tc>
          <w:tcPr>
            <w:tcW w:w="1161"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1347</w:t>
            </w:r>
          </w:p>
        </w:tc>
        <w:tc>
          <w:tcPr>
            <w:tcW w:w="1359"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highlight w:val="yellow"/>
                <w:lang w:val="ro-RO"/>
              </w:rPr>
            </w:pPr>
            <w:r w:rsidRPr="002152E4">
              <w:rPr>
                <w:lang w:val="ro-RO"/>
              </w:rPr>
              <w:t>238</w:t>
            </w:r>
          </w:p>
        </w:tc>
        <w:tc>
          <w:tcPr>
            <w:tcW w:w="90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68</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40</w:t>
            </w:r>
          </w:p>
        </w:tc>
        <w:tc>
          <w:tcPr>
            <w:tcW w:w="1327"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28</w:t>
            </w:r>
          </w:p>
        </w:tc>
      </w:tr>
      <w:tr w:rsidR="00EE6420" w:rsidRPr="002152E4" w:rsidTr="00EE6420">
        <w:tc>
          <w:tcPr>
            <w:tcW w:w="3443"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lang w:val="ro-RO"/>
              </w:rPr>
            </w:pPr>
            <w:r w:rsidRPr="002152E4">
              <w:rPr>
                <w:lang w:val="ro-RO"/>
              </w:rPr>
              <w:t xml:space="preserve">Judecătorii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2179</w:t>
            </w:r>
          </w:p>
        </w:tc>
        <w:tc>
          <w:tcPr>
            <w:tcW w:w="1161"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1877</w:t>
            </w:r>
          </w:p>
        </w:tc>
        <w:tc>
          <w:tcPr>
            <w:tcW w:w="1359"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highlight w:val="yellow"/>
                <w:lang w:val="ro-RO"/>
              </w:rPr>
            </w:pPr>
            <w:r w:rsidRPr="002152E4">
              <w:rPr>
                <w:lang w:val="ro-RO"/>
              </w:rPr>
              <w:t>302</w:t>
            </w:r>
          </w:p>
        </w:tc>
        <w:tc>
          <w:tcPr>
            <w:tcW w:w="90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112</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35</w:t>
            </w:r>
          </w:p>
        </w:tc>
        <w:tc>
          <w:tcPr>
            <w:tcW w:w="1327"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77</w:t>
            </w:r>
          </w:p>
        </w:tc>
      </w:tr>
      <w:tr w:rsidR="00EE6420" w:rsidRPr="002152E4" w:rsidTr="00EE6420">
        <w:tc>
          <w:tcPr>
            <w:tcW w:w="3443"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b/>
                <w:lang w:val="ro-RO"/>
              </w:rPr>
            </w:pPr>
            <w:r w:rsidRPr="002152E4">
              <w:rPr>
                <w:b/>
                <w:lang w:val="ro-RO"/>
              </w:rPr>
              <w:t xml:space="preserve">          Total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b/>
                <w:lang w:val="ro-RO"/>
              </w:rPr>
            </w:pPr>
            <w:r w:rsidRPr="002152E4">
              <w:rPr>
                <w:b/>
                <w:lang w:val="ro-RO"/>
              </w:rPr>
              <w:t>4724</w:t>
            </w:r>
          </w:p>
        </w:tc>
        <w:tc>
          <w:tcPr>
            <w:tcW w:w="1161"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4077</w:t>
            </w:r>
          </w:p>
        </w:tc>
        <w:tc>
          <w:tcPr>
            <w:tcW w:w="1359"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highlight w:val="yellow"/>
                <w:lang w:val="ro-RO"/>
              </w:rPr>
            </w:pPr>
            <w:r w:rsidRPr="002152E4">
              <w:rPr>
                <w:lang w:val="ro-RO"/>
              </w:rPr>
              <w:t>647</w:t>
            </w:r>
          </w:p>
        </w:tc>
        <w:tc>
          <w:tcPr>
            <w:tcW w:w="90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b/>
                <w:lang w:val="ro-RO"/>
              </w:rPr>
            </w:pPr>
            <w:r w:rsidRPr="002152E4">
              <w:rPr>
                <w:b/>
                <w:lang w:val="ro-RO"/>
              </w:rPr>
              <w:t>217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114</w:t>
            </w:r>
          </w:p>
        </w:tc>
      </w:tr>
    </w:tbl>
    <w:p w:rsidR="00EE6420" w:rsidRPr="002152E4" w:rsidRDefault="00EE6420" w:rsidP="00EE6420">
      <w:pPr>
        <w:rPr>
          <w:lang w:val="ro-RO"/>
        </w:rPr>
      </w:pPr>
    </w:p>
    <w:p w:rsidR="00EE6420" w:rsidRPr="002152E4" w:rsidRDefault="007041EF" w:rsidP="00EE6420">
      <w:pPr>
        <w:pStyle w:val="AddParagraf"/>
        <w:spacing w:after="0"/>
        <w:ind w:right="45"/>
        <w:rPr>
          <w:color w:val="000000"/>
        </w:rPr>
      </w:pPr>
      <w:r w:rsidRPr="002152E4">
        <w:rPr>
          <w:noProof/>
          <w:color w:val="1F497D"/>
          <w:lang w:val="en-US"/>
        </w:rPr>
        <w:lastRenderedPageBreak/>
        <w:drawing>
          <wp:inline distT="0" distB="0" distL="0" distR="0">
            <wp:extent cx="4899660" cy="3124200"/>
            <wp:effectExtent l="0" t="0" r="0"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99660" cy="3124200"/>
                    </a:xfrm>
                    <a:prstGeom prst="rect">
                      <a:avLst/>
                    </a:prstGeom>
                    <a:noFill/>
                    <a:ln>
                      <a:noFill/>
                    </a:ln>
                  </pic:spPr>
                </pic:pic>
              </a:graphicData>
            </a:graphic>
          </wp:inline>
        </w:drawing>
      </w:r>
    </w:p>
    <w:p w:rsidR="00EE6420" w:rsidRPr="002152E4" w:rsidRDefault="00EE6420" w:rsidP="00EE6420">
      <w:pPr>
        <w:pStyle w:val="AddParagraf"/>
        <w:spacing w:after="0"/>
        <w:ind w:right="45"/>
      </w:pPr>
      <w:r w:rsidRPr="002152E4">
        <w:t>Din totalul judecătorilor în funcţie la data de 01.01.2016, cu luarea în calcul inclusiv a acelor judecători care ocupau pe perioadă nedeterminată posturi temporar vacante în condiţiile art. 134</w:t>
      </w:r>
      <w:r w:rsidRPr="002152E4">
        <w:rPr>
          <w:vertAlign w:val="superscript"/>
        </w:rPr>
        <w:t>1</w:t>
      </w:r>
      <w:r w:rsidRPr="002152E4">
        <w:t xml:space="preserve"> din Legea nr. 304/2004, 3404 (73,87%) erau femei şi 1204 (26,13%) erau bărbaţi. </w:t>
      </w:r>
    </w:p>
    <w:p w:rsidR="00EE6420" w:rsidRPr="002152E4" w:rsidRDefault="00EE6420" w:rsidP="00EE6420">
      <w:pPr>
        <w:pStyle w:val="AddParagraf"/>
        <w:spacing w:after="0"/>
        <w:ind w:right="45" w:firstLine="0"/>
        <w:rPr>
          <w:color w:val="C00000"/>
        </w:rPr>
      </w:pPr>
    </w:p>
    <w:p w:rsidR="00EE6420" w:rsidRPr="002152E4" w:rsidRDefault="00EE6420" w:rsidP="00EE6420">
      <w:pPr>
        <w:pStyle w:val="ListParagraph"/>
        <w:keepNext/>
        <w:ind w:left="786"/>
        <w:jc w:val="both"/>
        <w:rPr>
          <w:rFonts w:ascii="Calibri" w:hAnsi="Calibri"/>
          <w:b/>
          <w:lang w:val="ro-RO"/>
        </w:rPr>
      </w:pPr>
      <w:r w:rsidRPr="002152E4">
        <w:rPr>
          <w:rFonts w:ascii="Calibri" w:hAnsi="Calibri"/>
          <w:b/>
          <w:lang w:val="ro-RO"/>
        </w:rPr>
        <w:t xml:space="preserve">A.2. Ocuparea posturilor de execuţie de judecător </w:t>
      </w:r>
    </w:p>
    <w:p w:rsidR="00EE6420" w:rsidRPr="002152E4" w:rsidRDefault="00EE6420" w:rsidP="00EE6420">
      <w:pPr>
        <w:ind w:firstLine="708"/>
        <w:jc w:val="both"/>
        <w:rPr>
          <w:lang w:val="ro-RO"/>
        </w:rPr>
      </w:pPr>
      <w:r w:rsidRPr="002152E4">
        <w:rPr>
          <w:lang w:val="ro-RO"/>
        </w:rPr>
        <w:t>În cursul anului 2016, ocuparea posturilor de execuţie vacante s-a realizat prin următoarele modalităţi:</w:t>
      </w:r>
    </w:p>
    <w:p w:rsidR="00EE6420" w:rsidRPr="002152E4" w:rsidRDefault="00EE6420" w:rsidP="00C72B60">
      <w:pPr>
        <w:pStyle w:val="NormalWeb"/>
        <w:numPr>
          <w:ilvl w:val="0"/>
          <w:numId w:val="11"/>
        </w:numPr>
        <w:tabs>
          <w:tab w:val="num" w:pos="0"/>
        </w:tabs>
        <w:spacing w:before="0" w:beforeAutospacing="0" w:after="0" w:afterAutospacing="0"/>
        <w:ind w:left="0" w:firstLine="684"/>
        <w:jc w:val="both"/>
        <w:rPr>
          <w:rFonts w:ascii="Calibri" w:hAnsi="Calibri"/>
          <w:b/>
          <w:i/>
          <w:lang w:val="ro-RO"/>
        </w:rPr>
      </w:pPr>
      <w:r w:rsidRPr="002152E4">
        <w:rPr>
          <w:rFonts w:ascii="Calibri" w:hAnsi="Calibri"/>
          <w:b/>
          <w:i/>
          <w:lang w:val="ro-RO"/>
        </w:rPr>
        <w:t xml:space="preserve">Repartizarea absolvenţilor Institutului Naţional al Magistraturii, promoţia 2016 </w:t>
      </w:r>
    </w:p>
    <w:p w:rsidR="00EE6420" w:rsidRPr="002152E4" w:rsidRDefault="00EE6420" w:rsidP="00EE6420">
      <w:pPr>
        <w:ind w:firstLine="568"/>
        <w:jc w:val="both"/>
        <w:outlineLvl w:val="3"/>
        <w:rPr>
          <w:lang w:val="ro-RO"/>
        </w:rPr>
      </w:pPr>
      <w:r w:rsidRPr="002152E4">
        <w:rPr>
          <w:lang w:val="ro-RO"/>
        </w:rPr>
        <w:t xml:space="preserve">Prin Hotărârea nr. 767/28.06.2016 a Plenului Consiliului Superior al Magistraturii au fost numiţi în funcţia de judecător stagiar </w:t>
      </w:r>
      <w:r w:rsidRPr="002152E4">
        <w:rPr>
          <w:b/>
          <w:lang w:val="ro-RO"/>
        </w:rPr>
        <w:t>80 de auditori de justiţie</w:t>
      </w:r>
      <w:r w:rsidRPr="002152E4">
        <w:rPr>
          <w:lang w:val="ro-RO"/>
        </w:rPr>
        <w:t>, promoţia 2016, începând cu data de 15.07.2016.</w:t>
      </w:r>
    </w:p>
    <w:p w:rsidR="00EE6420" w:rsidRPr="002152E4" w:rsidRDefault="00EE6420" w:rsidP="00C72B60">
      <w:pPr>
        <w:pStyle w:val="NormalWeb"/>
        <w:numPr>
          <w:ilvl w:val="0"/>
          <w:numId w:val="11"/>
        </w:numPr>
        <w:tabs>
          <w:tab w:val="num" w:pos="0"/>
        </w:tabs>
        <w:spacing w:before="0" w:beforeAutospacing="0" w:after="0" w:afterAutospacing="0"/>
        <w:ind w:left="0" w:firstLine="684"/>
        <w:jc w:val="both"/>
        <w:rPr>
          <w:rFonts w:ascii="Calibri" w:hAnsi="Calibri"/>
          <w:b/>
          <w:i/>
          <w:lang w:val="ro-RO"/>
        </w:rPr>
      </w:pPr>
      <w:r w:rsidRPr="002152E4">
        <w:rPr>
          <w:rFonts w:ascii="Calibri" w:hAnsi="Calibri"/>
          <w:b/>
          <w:i/>
          <w:lang w:val="ro-RO"/>
        </w:rPr>
        <w:t>Numirea în magistratură pe bază de concurs, conform dispoziţiilor art. 33 alin. (1)-(4) din Legea nr. 303/2004 republicată, cu modificările şi completările ulterioare</w:t>
      </w:r>
    </w:p>
    <w:p w:rsidR="00EE6420" w:rsidRPr="002152E4" w:rsidRDefault="00EE6420" w:rsidP="00EE6420">
      <w:pPr>
        <w:pStyle w:val="Default"/>
        <w:ind w:firstLine="568"/>
        <w:jc w:val="both"/>
        <w:rPr>
          <w:rFonts w:ascii="Calibri" w:hAnsi="Calibri" w:cs="Calibri"/>
        </w:rPr>
      </w:pPr>
      <w:r w:rsidRPr="002152E4">
        <w:rPr>
          <w:rFonts w:ascii="Calibri" w:hAnsi="Calibri" w:cs="Calibri"/>
        </w:rPr>
        <w:t xml:space="preserve">În perioada </w:t>
      </w:r>
      <w:r w:rsidRPr="002152E4">
        <w:rPr>
          <w:rFonts w:ascii="Calibri" w:hAnsi="Calibri" w:cs="Calibri"/>
          <w:bCs/>
        </w:rPr>
        <w:t xml:space="preserve">5 iulie - 13 octombrie 2016 </w:t>
      </w:r>
      <w:r w:rsidRPr="002152E4">
        <w:rPr>
          <w:rFonts w:ascii="Calibri" w:hAnsi="Calibri" w:cs="Calibri"/>
        </w:rPr>
        <w:t xml:space="preserve">s-a desfăşurat concursul de admitere în magistratură, organizat în condiţiile art. 33 alin. (1) din Legea nr. 303/2004, republicată, cu modificările şi completările ulterioare, căruia i-au fost alocate 85 de posturi de judecător la judecătorii. </w:t>
      </w:r>
      <w:r w:rsidRPr="002152E4">
        <w:rPr>
          <w:rFonts w:ascii="Calibri" w:hAnsi="Calibri" w:cs="Calibri"/>
          <w:color w:val="auto"/>
        </w:rPr>
        <w:t xml:space="preserve">Pe baza rezultatelor acestui concurs, au fost ocupate </w:t>
      </w:r>
      <w:r w:rsidRPr="002152E4">
        <w:rPr>
          <w:rFonts w:ascii="Calibri" w:hAnsi="Calibri" w:cs="Calibri"/>
          <w:bCs/>
          <w:color w:val="auto"/>
        </w:rPr>
        <w:t>27</w:t>
      </w:r>
      <w:r w:rsidRPr="002152E4">
        <w:rPr>
          <w:rFonts w:ascii="Calibri" w:hAnsi="Calibri" w:cs="Calibri"/>
          <w:color w:val="auto"/>
        </w:rPr>
        <w:t xml:space="preserve"> de posturi de judecător.</w:t>
      </w:r>
    </w:p>
    <w:p w:rsidR="00EE6420" w:rsidRPr="002152E4" w:rsidRDefault="00EE6420" w:rsidP="00C72B60">
      <w:pPr>
        <w:pStyle w:val="NormalWeb"/>
        <w:numPr>
          <w:ilvl w:val="0"/>
          <w:numId w:val="11"/>
        </w:numPr>
        <w:tabs>
          <w:tab w:val="num" w:pos="0"/>
        </w:tabs>
        <w:spacing w:before="0" w:beforeAutospacing="0" w:after="0" w:afterAutospacing="0"/>
        <w:ind w:left="0" w:firstLine="684"/>
        <w:jc w:val="both"/>
        <w:rPr>
          <w:rFonts w:ascii="Calibri" w:hAnsi="Calibri"/>
          <w:b/>
          <w:i/>
          <w:lang w:val="ro-RO"/>
        </w:rPr>
      </w:pPr>
      <w:r w:rsidRPr="002152E4">
        <w:rPr>
          <w:rFonts w:ascii="Calibri" w:hAnsi="Calibri"/>
          <w:b/>
          <w:i/>
          <w:lang w:val="ro-RO"/>
        </w:rPr>
        <w:t xml:space="preserve">Numirea, la cerere, a procurorilor în funcţia de judecător </w:t>
      </w:r>
    </w:p>
    <w:p w:rsidR="00EE6420" w:rsidRPr="002152E4" w:rsidRDefault="00EE6420" w:rsidP="00EE6420">
      <w:pPr>
        <w:pStyle w:val="AddParagraf"/>
        <w:spacing w:after="0"/>
        <w:ind w:right="45" w:firstLine="684"/>
      </w:pPr>
      <w:r w:rsidRPr="002152E4">
        <w:t xml:space="preserve">În anul 2016, au fost eliberate din funcţia de procuror şi numite în funcţia de judecător, la cerere, </w:t>
      </w:r>
      <w:r w:rsidRPr="002152E4">
        <w:rPr>
          <w:b/>
        </w:rPr>
        <w:t>7 persoane</w:t>
      </w:r>
      <w:r w:rsidRPr="002152E4">
        <w:t xml:space="preserve">, în temeiul art. 61 din Legea nr. 303/2004, republicată, cu modificările şi completările ulterioare. </w:t>
      </w:r>
    </w:p>
    <w:p w:rsidR="00EE6420" w:rsidRPr="002152E4" w:rsidRDefault="00EE6420" w:rsidP="00C72B60">
      <w:pPr>
        <w:pStyle w:val="NormalWeb"/>
        <w:numPr>
          <w:ilvl w:val="0"/>
          <w:numId w:val="11"/>
        </w:numPr>
        <w:tabs>
          <w:tab w:val="num" w:pos="0"/>
        </w:tabs>
        <w:spacing w:before="0" w:beforeAutospacing="0" w:after="0" w:afterAutospacing="0"/>
        <w:ind w:left="0" w:firstLine="360"/>
        <w:jc w:val="both"/>
        <w:rPr>
          <w:rFonts w:ascii="Calibri" w:hAnsi="Calibri"/>
          <w:b/>
          <w:i/>
          <w:lang w:val="ro-RO"/>
        </w:rPr>
      </w:pPr>
      <w:r w:rsidRPr="002152E4">
        <w:rPr>
          <w:rFonts w:ascii="Calibri" w:hAnsi="Calibri"/>
          <w:b/>
          <w:i/>
          <w:lang w:val="ro-RO"/>
        </w:rPr>
        <w:t xml:space="preserve">         Numirea în funcţia de judecător, după promovarea examenului de capacitate, a procurorilor care au optat în acest sens</w:t>
      </w:r>
    </w:p>
    <w:p w:rsidR="00EE6420" w:rsidRPr="002152E4" w:rsidRDefault="00EE6420" w:rsidP="00EE6420">
      <w:pPr>
        <w:pStyle w:val="NormalWeb"/>
        <w:tabs>
          <w:tab w:val="left" w:pos="709"/>
        </w:tabs>
        <w:spacing w:before="0" w:beforeAutospacing="0" w:after="0" w:afterAutospacing="0"/>
        <w:ind w:firstLine="720"/>
        <w:jc w:val="both"/>
        <w:rPr>
          <w:rStyle w:val="rvts11"/>
          <w:rFonts w:ascii="Calibri" w:hAnsi="Calibri"/>
          <w:lang w:val="ro-RO"/>
        </w:rPr>
      </w:pPr>
      <w:r w:rsidRPr="002152E4">
        <w:rPr>
          <w:rStyle w:val="rvts7"/>
          <w:rFonts w:ascii="Calibri" w:hAnsi="Calibri"/>
          <w:lang w:val="ro-RO"/>
        </w:rPr>
        <w:t>Potrivit art. 25 alin.</w:t>
      </w:r>
      <w:r w:rsidRPr="002152E4">
        <w:rPr>
          <w:rStyle w:val="rvts11"/>
          <w:rFonts w:ascii="Calibri" w:hAnsi="Calibri"/>
          <w:lang w:val="ro-RO"/>
        </w:rPr>
        <w:t xml:space="preserve"> (1) coroborat cu art. 30 alin. (2) din Legea nr. 303/2004, republicată, cu modificările şi completările ulterioare, după încheierea perioadei de stagiu, judecătorii şi procurorii stagiari sunt </w:t>
      </w:r>
      <w:r w:rsidR="002152E4" w:rsidRPr="002152E4">
        <w:rPr>
          <w:rStyle w:val="rvts11"/>
          <w:rFonts w:ascii="Calibri" w:hAnsi="Calibri"/>
          <w:lang w:val="ro-RO"/>
        </w:rPr>
        <w:t>obligați</w:t>
      </w:r>
      <w:r w:rsidRPr="002152E4">
        <w:rPr>
          <w:rStyle w:val="rvts11"/>
          <w:rFonts w:ascii="Calibri" w:hAnsi="Calibri"/>
          <w:lang w:val="ro-RO"/>
        </w:rPr>
        <w:t xml:space="preserve"> să se prezinte la examenul de capacitate, candidaţii declaraţi admişi având dreptul, în ordinea mediilor, să-şi aleagă posturile, în termen de 15 zile libere de la publicarea acestora în Monitorul Oficial al României, Partea a III-a.</w:t>
      </w:r>
    </w:p>
    <w:p w:rsidR="00EE6420" w:rsidRPr="002152E4" w:rsidRDefault="00EE6420" w:rsidP="00EE6420">
      <w:pPr>
        <w:pStyle w:val="NormalWeb"/>
        <w:spacing w:before="0" w:beforeAutospacing="0" w:after="0" w:afterAutospacing="0"/>
        <w:ind w:firstLine="720"/>
        <w:jc w:val="both"/>
        <w:rPr>
          <w:rFonts w:ascii="Calibri" w:hAnsi="Calibri"/>
          <w:lang w:val="ro-RO"/>
        </w:rPr>
      </w:pPr>
      <w:r w:rsidRPr="002152E4">
        <w:rPr>
          <w:rStyle w:val="rvts11"/>
          <w:rFonts w:ascii="Calibri" w:hAnsi="Calibri"/>
          <w:lang w:val="ro-RO"/>
        </w:rPr>
        <w:t xml:space="preserve">În acord cu aceste prevederi legale, în anul 2016 </w:t>
      </w:r>
      <w:r w:rsidRPr="002152E4">
        <w:rPr>
          <w:rStyle w:val="rvts11"/>
          <w:rFonts w:ascii="Calibri" w:hAnsi="Calibri"/>
          <w:b/>
          <w:lang w:val="ro-RO"/>
        </w:rPr>
        <w:t>au fost numiţi în funcţia de judecător</w:t>
      </w:r>
      <w:r w:rsidRPr="002152E4">
        <w:rPr>
          <w:rStyle w:val="rvts11"/>
          <w:rFonts w:ascii="Calibri" w:hAnsi="Calibri"/>
          <w:lang w:val="ro-RO"/>
        </w:rPr>
        <w:t xml:space="preserve"> candidaţii care au promovat examenul de capacitate organizat în perioada 3 iulie – 5 noiembrie 2015,  printre aceştia regăsindu-se şi </w:t>
      </w:r>
      <w:r w:rsidRPr="002152E4">
        <w:rPr>
          <w:rStyle w:val="rvts11"/>
          <w:rFonts w:ascii="Calibri" w:hAnsi="Calibri"/>
          <w:b/>
          <w:lang w:val="ro-RO"/>
        </w:rPr>
        <w:t>9 procurori care au optat pentru funcţia de judecător</w:t>
      </w:r>
      <w:r w:rsidRPr="002152E4">
        <w:rPr>
          <w:rStyle w:val="rvts11"/>
          <w:rFonts w:ascii="Calibri" w:hAnsi="Calibri"/>
          <w:lang w:val="ro-RO"/>
        </w:rPr>
        <w:t xml:space="preserve">. </w:t>
      </w:r>
    </w:p>
    <w:p w:rsidR="00EE6420" w:rsidRPr="002152E4" w:rsidRDefault="00EE6420" w:rsidP="00C72B60">
      <w:pPr>
        <w:pStyle w:val="NormalWeb"/>
        <w:numPr>
          <w:ilvl w:val="0"/>
          <w:numId w:val="11"/>
        </w:numPr>
        <w:tabs>
          <w:tab w:val="num" w:pos="0"/>
        </w:tabs>
        <w:spacing w:before="0" w:beforeAutospacing="0" w:after="0" w:afterAutospacing="0"/>
        <w:ind w:left="0" w:firstLine="360"/>
        <w:jc w:val="both"/>
        <w:rPr>
          <w:rFonts w:ascii="Calibri" w:hAnsi="Calibri"/>
          <w:b/>
          <w:i/>
          <w:lang w:val="ro-RO"/>
        </w:rPr>
      </w:pPr>
      <w:r w:rsidRPr="002152E4">
        <w:rPr>
          <w:rFonts w:ascii="Calibri" w:hAnsi="Calibri"/>
          <w:b/>
          <w:i/>
          <w:lang w:val="ro-RO"/>
        </w:rPr>
        <w:t xml:space="preserve">        Reîncadrarea în funcţia de judecător a foştilor judecători </w:t>
      </w:r>
    </w:p>
    <w:p w:rsidR="00EE6420" w:rsidRPr="002152E4" w:rsidRDefault="00EE6420" w:rsidP="00EE6420">
      <w:pPr>
        <w:pStyle w:val="AddParagraf"/>
        <w:spacing w:after="0"/>
        <w:ind w:right="45"/>
      </w:pPr>
      <w:r w:rsidRPr="002152E4">
        <w:t xml:space="preserve">În anul 2016 a fost reîncadrată </w:t>
      </w:r>
      <w:r w:rsidRPr="002152E4">
        <w:rPr>
          <w:b/>
        </w:rPr>
        <w:t>în funcţia de judecător</w:t>
      </w:r>
      <w:r w:rsidRPr="002152E4">
        <w:t xml:space="preserve"> </w:t>
      </w:r>
      <w:r w:rsidRPr="002152E4">
        <w:rPr>
          <w:b/>
        </w:rPr>
        <w:t>o persoană</w:t>
      </w:r>
      <w:r w:rsidRPr="002152E4">
        <w:t xml:space="preserve">, în temeiul dispoziţiilor art. 102 alin. (2) din Legea nr. 303/2004, republicată, cu modificările şi completările ulterioare, care consacră dreptul judecătorilor de la Înalta Curte de Casaţie şi Justiţie care au fost eliberaţi din funcţie </w:t>
      </w:r>
      <w:r w:rsidRPr="002152E4">
        <w:lastRenderedPageBreak/>
        <w:t xml:space="preserve">din motive neimputabile de a reveni pe funcţia de magistrat </w:t>
      </w:r>
      <w:r w:rsidR="002152E4" w:rsidRPr="002152E4">
        <w:t>deținută</w:t>
      </w:r>
      <w:r w:rsidRPr="002152E4">
        <w:t xml:space="preserve"> anterior, respectiv aceea de judecător la Înalta Curte de Casaţie şi Justiţie. </w:t>
      </w:r>
    </w:p>
    <w:p w:rsidR="00EE6420" w:rsidRPr="002152E4" w:rsidRDefault="00EE6420" w:rsidP="00EE6420">
      <w:pPr>
        <w:pStyle w:val="AddParagraf"/>
        <w:spacing w:after="0"/>
        <w:ind w:right="45"/>
      </w:pPr>
    </w:p>
    <w:p w:rsidR="00EE6420" w:rsidRPr="002152E4" w:rsidRDefault="00EE6420" w:rsidP="00EE6420">
      <w:pPr>
        <w:pStyle w:val="AddParagraf"/>
        <w:spacing w:after="0"/>
        <w:ind w:right="45"/>
      </w:pPr>
      <w:r w:rsidRPr="002152E4">
        <w:t xml:space="preserve">În acord cu datele prezentate mai sus, urmare a procedurilor derulate în anul 2016 au fost numite în funcţia de judecător </w:t>
      </w:r>
      <w:r w:rsidRPr="002152E4">
        <w:rPr>
          <w:b/>
        </w:rPr>
        <w:t>124 de persoane</w:t>
      </w:r>
      <w:r w:rsidRPr="002152E4">
        <w:t>, grafic situaţia prezentându-se astfel:</w:t>
      </w:r>
    </w:p>
    <w:p w:rsidR="00D5288F" w:rsidRPr="002152E4" w:rsidRDefault="00D5288F" w:rsidP="00EE6420">
      <w:pPr>
        <w:pStyle w:val="AddParagraf"/>
        <w:spacing w:after="0"/>
        <w:ind w:right="45"/>
      </w:pPr>
    </w:p>
    <w:p w:rsidR="00EE6420" w:rsidRPr="002152E4" w:rsidRDefault="007041EF" w:rsidP="00D5288F">
      <w:pPr>
        <w:pStyle w:val="AddParagraf"/>
        <w:spacing w:after="0"/>
        <w:ind w:right="45"/>
      </w:pPr>
      <w:r w:rsidRPr="002152E4">
        <w:rPr>
          <w:noProof/>
          <w:lang w:val="en-US"/>
        </w:rPr>
        <w:drawing>
          <wp:anchor distT="0" distB="0" distL="114300" distR="114300" simplePos="0" relativeHeight="251656704" behindDoc="0" locked="0" layoutInCell="1" allowOverlap="1">
            <wp:simplePos x="0" y="0"/>
            <wp:positionH relativeFrom="column">
              <wp:posOffset>266700</wp:posOffset>
            </wp:positionH>
            <wp:positionV relativeFrom="paragraph">
              <wp:posOffset>0</wp:posOffset>
            </wp:positionV>
            <wp:extent cx="4457700" cy="3857625"/>
            <wp:effectExtent l="0" t="3175" r="4445" b="0"/>
            <wp:wrapSquare wrapText="bothSides"/>
            <wp:docPr id="7" name="Chart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page">
              <wp14:pctWidth>0</wp14:pctWidth>
            </wp14:sizeRelH>
            <wp14:sizeRelV relativeFrom="page">
              <wp14:pctHeight>0</wp14:pctHeight>
            </wp14:sizeRelV>
          </wp:anchor>
        </w:drawing>
      </w:r>
      <w:r w:rsidR="00EE6420" w:rsidRPr="002152E4">
        <w:br w:type="textWrapping" w:clear="all"/>
      </w:r>
    </w:p>
    <w:p w:rsidR="00EE6420" w:rsidRPr="002152E4" w:rsidRDefault="00EE6420" w:rsidP="00EE6420">
      <w:pPr>
        <w:pStyle w:val="NormalWeb"/>
        <w:spacing w:before="0" w:beforeAutospacing="0" w:after="0" w:afterAutospacing="0"/>
        <w:jc w:val="both"/>
        <w:rPr>
          <w:rFonts w:ascii="Calibri" w:hAnsi="Calibri"/>
          <w:b/>
          <w:lang w:val="ro-RO"/>
        </w:rPr>
      </w:pPr>
    </w:p>
    <w:p w:rsidR="00EE6420" w:rsidRPr="002152E4" w:rsidRDefault="00EE6420" w:rsidP="00EE6420">
      <w:pPr>
        <w:pStyle w:val="NormalWeb"/>
        <w:spacing w:before="0" w:beforeAutospacing="0" w:after="0" w:afterAutospacing="0"/>
        <w:ind w:firstLine="709"/>
        <w:jc w:val="both"/>
        <w:rPr>
          <w:rFonts w:ascii="Calibri" w:hAnsi="Calibri"/>
          <w:b/>
          <w:lang w:val="ro-RO"/>
        </w:rPr>
      </w:pPr>
      <w:r w:rsidRPr="002152E4">
        <w:rPr>
          <w:rFonts w:ascii="Calibri" w:hAnsi="Calibri"/>
          <w:b/>
          <w:lang w:val="ro-RO"/>
        </w:rPr>
        <w:t>A3. Numirea judecătorilor în funcţii de conducere</w:t>
      </w:r>
    </w:p>
    <w:p w:rsidR="00EE6420" w:rsidRPr="002152E4" w:rsidRDefault="00EE6420" w:rsidP="00EE6420">
      <w:pPr>
        <w:pStyle w:val="NormalWeb"/>
        <w:spacing w:before="0" w:beforeAutospacing="0" w:after="0" w:afterAutospacing="0"/>
        <w:jc w:val="both"/>
        <w:rPr>
          <w:rFonts w:ascii="Calibri" w:hAnsi="Calibri"/>
          <w:b/>
          <w:lang w:val="ro-RO"/>
        </w:rPr>
      </w:pPr>
    </w:p>
    <w:p w:rsidR="00EE6420" w:rsidRPr="002152E4" w:rsidRDefault="00EE6420" w:rsidP="00C72B60">
      <w:pPr>
        <w:numPr>
          <w:ilvl w:val="0"/>
          <w:numId w:val="12"/>
        </w:numPr>
        <w:ind w:left="0" w:firstLine="428"/>
        <w:jc w:val="both"/>
        <w:rPr>
          <w:b/>
          <w:lang w:val="ro-RO"/>
        </w:rPr>
      </w:pPr>
      <w:r w:rsidRPr="002152E4">
        <w:rPr>
          <w:b/>
          <w:lang w:val="ro-RO"/>
        </w:rPr>
        <w:t>Numirea judecătorilor în funcţiile de conducere de preşedinte şi vicepreşedinte</w:t>
      </w:r>
      <w:r w:rsidRPr="002152E4">
        <w:rPr>
          <w:lang w:val="ro-RO"/>
        </w:rPr>
        <w:t xml:space="preserve"> </w:t>
      </w:r>
      <w:r w:rsidRPr="002152E4">
        <w:rPr>
          <w:b/>
          <w:lang w:val="ro-RO"/>
        </w:rPr>
        <w:t>la curţi de apel, tribunale, tribunale specializate şi judecătorii</w:t>
      </w:r>
    </w:p>
    <w:p w:rsidR="00EE6420" w:rsidRPr="002152E4" w:rsidRDefault="00EE6420" w:rsidP="00EE6420">
      <w:pPr>
        <w:tabs>
          <w:tab w:val="left" w:pos="709"/>
        </w:tabs>
        <w:ind w:firstLine="708"/>
        <w:jc w:val="both"/>
        <w:rPr>
          <w:lang w:val="ro-RO"/>
        </w:rPr>
      </w:pPr>
      <w:r w:rsidRPr="002152E4">
        <w:rPr>
          <w:lang w:val="ro-RO"/>
        </w:rPr>
        <w:t xml:space="preserve">În perioada 25 martie – 23 iunie 2016 s-a desfăşurat concursul/examenul pentru numirea în funcţii de conducere a judecătorilor pentru ocuparea a </w:t>
      </w:r>
      <w:r w:rsidRPr="002152E4">
        <w:rPr>
          <w:b/>
          <w:lang w:val="ro-RO"/>
        </w:rPr>
        <w:t xml:space="preserve">101 funcţii vacante de preşedinte şi vicepreşedinte </w:t>
      </w:r>
      <w:r w:rsidRPr="002152E4">
        <w:rPr>
          <w:lang w:val="ro-RO"/>
        </w:rPr>
        <w:t xml:space="preserve">la curţi de apel, tribunale, tribunale specializate şi judecătorii. După finalizarea acestui concurs, </w:t>
      </w:r>
      <w:r w:rsidRPr="002152E4">
        <w:rPr>
          <w:b/>
          <w:lang w:val="ro-RO"/>
        </w:rPr>
        <w:t>s-au ocupat 45 de funcţii de conducere</w:t>
      </w:r>
      <w:r w:rsidRPr="002152E4">
        <w:rPr>
          <w:lang w:val="ro-RO"/>
        </w:rPr>
        <w:t>.</w:t>
      </w:r>
    </w:p>
    <w:p w:rsidR="00EE6420" w:rsidRPr="002152E4" w:rsidRDefault="00EE6420" w:rsidP="00EE6420">
      <w:pPr>
        <w:ind w:firstLine="708"/>
        <w:jc w:val="both"/>
        <w:rPr>
          <w:b/>
          <w:lang w:val="ro-RO"/>
        </w:rPr>
      </w:pPr>
      <w:r w:rsidRPr="002152E4">
        <w:rPr>
          <w:lang w:val="ro-RO"/>
        </w:rPr>
        <w:t xml:space="preserve">Cel de-al doilea concurs/examen pentru numirea în funcţii de conducere a fost organizat în perioada </w:t>
      </w:r>
      <w:r w:rsidRPr="002152E4">
        <w:rPr>
          <w:rFonts w:cs="Calibri"/>
          <w:bCs/>
          <w:color w:val="000000"/>
          <w:lang w:val="ro-RO"/>
        </w:rPr>
        <w:t>9 septembrie - 9 decembrie 2016</w:t>
      </w:r>
      <w:r w:rsidRPr="002152E4">
        <w:rPr>
          <w:rFonts w:cs="Calibri"/>
          <w:lang w:val="ro-RO"/>
        </w:rPr>
        <w:t>,</w:t>
      </w:r>
      <w:r w:rsidRPr="002152E4">
        <w:rPr>
          <w:lang w:val="ro-RO"/>
        </w:rPr>
        <w:t xml:space="preserve"> pentru ocuparea unui număr de </w:t>
      </w:r>
      <w:r w:rsidRPr="002152E4">
        <w:rPr>
          <w:b/>
          <w:lang w:val="ro-RO"/>
        </w:rPr>
        <w:t>112 funcţii vacante</w:t>
      </w:r>
      <w:r w:rsidRPr="002152E4">
        <w:rPr>
          <w:lang w:val="ro-RO"/>
        </w:rPr>
        <w:t xml:space="preserve"> de preşedinte şi vicepreşedinte la curţi de apel, tribunale, tribunale specializate şi judecătorii. După finalizarea acestui concurs, </w:t>
      </w:r>
      <w:r w:rsidRPr="002152E4">
        <w:rPr>
          <w:b/>
          <w:lang w:val="ro-RO"/>
        </w:rPr>
        <w:t>s-au ocupat 54 funcţii de conducere.</w:t>
      </w:r>
    </w:p>
    <w:p w:rsidR="00EE6420" w:rsidRPr="002152E4" w:rsidRDefault="00EE6420" w:rsidP="00EE6420">
      <w:pPr>
        <w:ind w:firstLine="708"/>
        <w:jc w:val="both"/>
        <w:rPr>
          <w:bCs/>
          <w:lang w:val="ro-RO"/>
        </w:rPr>
      </w:pPr>
      <w:r w:rsidRPr="002152E4">
        <w:rPr>
          <w:lang w:val="ro-RO"/>
        </w:rPr>
        <w:t xml:space="preserve">Pe baza datelor prezentate anterior, rezultă că la concursul organizat în prima parte a anului 2016 </w:t>
      </w:r>
      <w:r w:rsidRPr="002152E4">
        <w:rPr>
          <w:bCs/>
          <w:lang w:val="ro-RO"/>
        </w:rPr>
        <w:t>gradul de ocupare a fost funcţiilor de conducere a fost de 45%, iar pentru cel de-al doilea concurs, acest grad a fost de 48%.</w:t>
      </w:r>
    </w:p>
    <w:p w:rsidR="00EE6420" w:rsidRPr="002152E4" w:rsidRDefault="00EE6420" w:rsidP="00EE6420">
      <w:pPr>
        <w:ind w:firstLine="708"/>
        <w:jc w:val="both"/>
        <w:rPr>
          <w:bCs/>
          <w:lang w:val="ro-RO"/>
        </w:rPr>
      </w:pPr>
      <w:r w:rsidRPr="002152E4">
        <w:rPr>
          <w:lang w:val="ro-RO"/>
        </w:rPr>
        <w:t xml:space="preserve">Comparativ cu anul anterior, se constată că procentul de ocupare a funcţiilor de conducere a rămas aproximativ acelaşi (la concursul organizat în prima parte a anului 2015, </w:t>
      </w:r>
      <w:r w:rsidRPr="002152E4">
        <w:rPr>
          <w:bCs/>
          <w:lang w:val="ro-RO"/>
        </w:rPr>
        <w:t>gradul de ocupare a fost de 49%, iar pentru cel de-al doilea concurs, acest grad a fost de 60%).</w:t>
      </w:r>
    </w:p>
    <w:p w:rsidR="00EE6420" w:rsidRPr="002152E4" w:rsidRDefault="00EE6420" w:rsidP="00EE6420">
      <w:pPr>
        <w:jc w:val="both"/>
        <w:rPr>
          <w:bCs/>
          <w:lang w:val="ro-RO"/>
        </w:rPr>
      </w:pPr>
    </w:p>
    <w:p w:rsidR="00EE6420" w:rsidRPr="002152E4" w:rsidRDefault="00EE6420" w:rsidP="00EE6420">
      <w:pPr>
        <w:jc w:val="both"/>
        <w:rPr>
          <w:bCs/>
          <w:lang w:val="ro-RO"/>
        </w:rPr>
      </w:pPr>
    </w:p>
    <w:p w:rsidR="00EE6420" w:rsidRPr="002152E4" w:rsidRDefault="007041EF" w:rsidP="00EE6420">
      <w:pPr>
        <w:jc w:val="center"/>
        <w:rPr>
          <w:bCs/>
          <w:lang w:val="ro-RO"/>
        </w:rPr>
      </w:pPr>
      <w:r w:rsidRPr="002152E4">
        <w:rPr>
          <w:noProof/>
        </w:rPr>
        <w:lastRenderedPageBreak/>
        <w:drawing>
          <wp:inline distT="0" distB="0" distL="0" distR="0">
            <wp:extent cx="4343400" cy="2941320"/>
            <wp:effectExtent l="0" t="0" r="0" b="0"/>
            <wp:docPr id="54" name="Char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EE6420" w:rsidRPr="002152E4" w:rsidRDefault="00EE6420" w:rsidP="00EE6420">
      <w:pPr>
        <w:jc w:val="both"/>
        <w:rPr>
          <w:lang w:val="ro-RO"/>
        </w:rPr>
      </w:pPr>
    </w:p>
    <w:p w:rsidR="00EE6420" w:rsidRPr="002152E4" w:rsidRDefault="00EE6420" w:rsidP="00C72B60">
      <w:pPr>
        <w:numPr>
          <w:ilvl w:val="0"/>
          <w:numId w:val="12"/>
        </w:numPr>
        <w:ind w:left="0" w:firstLine="428"/>
        <w:jc w:val="both"/>
        <w:rPr>
          <w:b/>
          <w:lang w:val="ro-RO"/>
        </w:rPr>
      </w:pPr>
      <w:r w:rsidRPr="002152E4">
        <w:rPr>
          <w:b/>
          <w:lang w:val="ro-RO"/>
        </w:rPr>
        <w:t xml:space="preserve">Numirea judecătorilor în alte funcţii de conducere, în temeiul art. 48 alin. (9) din Legea nr. 303/2004 </w:t>
      </w:r>
    </w:p>
    <w:p w:rsidR="00EE6420" w:rsidRPr="002152E4" w:rsidRDefault="00EE6420" w:rsidP="00EE6420">
      <w:pPr>
        <w:ind w:firstLine="567"/>
        <w:jc w:val="both"/>
        <w:rPr>
          <w:lang w:val="ro-RO"/>
        </w:rPr>
      </w:pPr>
      <w:r w:rsidRPr="002152E4">
        <w:rPr>
          <w:b/>
          <w:lang w:val="ro-RO"/>
        </w:rPr>
        <w:tab/>
      </w:r>
      <w:r w:rsidRPr="002152E4">
        <w:rPr>
          <w:lang w:val="ro-RO"/>
        </w:rPr>
        <w:t>În conformitate cu dispoziţiile Legii nr. 303/2004, republicată, cu modificările şi completările ulterioare, numirea în funcţiile de conducere care nu se ocupă prin concurs, respectiv acelea de preşedinte de secţie la judecătorii, tribunale şi curţile de apel se face pe o perioadă de 3 ani, cu posibilitatea reînvestirii, o singură dată, de Consiliul Superior al Magistraturii, la propunerea preşedintelui instanţei.</w:t>
      </w:r>
    </w:p>
    <w:p w:rsidR="00EE6420" w:rsidRPr="002152E4" w:rsidRDefault="00EE6420" w:rsidP="00EE6420">
      <w:pPr>
        <w:ind w:firstLine="567"/>
        <w:jc w:val="both"/>
        <w:rPr>
          <w:lang w:val="ro-RO"/>
        </w:rPr>
      </w:pPr>
      <w:r w:rsidRPr="002152E4">
        <w:rPr>
          <w:lang w:val="ro-RO"/>
        </w:rPr>
        <w:t xml:space="preserve">În cursul anului 2016, Secţia pentru judecători </w:t>
      </w:r>
      <w:r w:rsidRPr="002152E4">
        <w:rPr>
          <w:i/>
          <w:lang w:val="ro-RO"/>
        </w:rPr>
        <w:t>a numit 77 de judecători în</w:t>
      </w:r>
      <w:r w:rsidRPr="002152E4">
        <w:rPr>
          <w:lang w:val="ro-RO"/>
        </w:rPr>
        <w:t xml:space="preserve"> </w:t>
      </w:r>
      <w:r w:rsidRPr="002152E4">
        <w:rPr>
          <w:i/>
          <w:lang w:val="ro-RO"/>
        </w:rPr>
        <w:t>funcţii de preşedinte de secţie</w:t>
      </w:r>
      <w:r w:rsidRPr="002152E4">
        <w:rPr>
          <w:lang w:val="ro-RO"/>
        </w:rPr>
        <w:t xml:space="preserve"> la judecătorii, tribunale şi curţile de apel.</w:t>
      </w:r>
    </w:p>
    <w:p w:rsidR="00EE6420" w:rsidRPr="002152E4" w:rsidRDefault="00EE6420" w:rsidP="00EE6420">
      <w:pPr>
        <w:ind w:firstLine="567"/>
        <w:jc w:val="both"/>
        <w:rPr>
          <w:lang w:val="ro-RO"/>
        </w:rPr>
      </w:pPr>
      <w:r w:rsidRPr="002152E4">
        <w:rPr>
          <w:lang w:val="ro-RO"/>
        </w:rPr>
        <w:t>Comparativ, în cursul anului 2015, Secţia pentru judecători a numit 101 judecători în funcţii de preşedinte de secţie la judecătorii, tribunale şi curţile de apel.</w:t>
      </w:r>
    </w:p>
    <w:p w:rsidR="00EE6420" w:rsidRPr="002152E4" w:rsidRDefault="00EE6420" w:rsidP="00EE6420">
      <w:pPr>
        <w:jc w:val="both"/>
        <w:rPr>
          <w:rFonts w:cs="Arial"/>
          <w:lang w:val="ro-RO"/>
        </w:rPr>
      </w:pPr>
    </w:p>
    <w:p w:rsidR="00EE6420" w:rsidRPr="002152E4" w:rsidRDefault="00EE6420" w:rsidP="00EE6420">
      <w:pPr>
        <w:keepNext/>
        <w:ind w:left="349" w:firstLine="360"/>
        <w:jc w:val="both"/>
        <w:rPr>
          <w:b/>
          <w:lang w:val="ro-RO"/>
        </w:rPr>
      </w:pPr>
      <w:r w:rsidRPr="002152E4">
        <w:rPr>
          <w:b/>
          <w:lang w:val="ro-RO"/>
        </w:rPr>
        <w:t>A.4.</w:t>
      </w:r>
      <w:r w:rsidRPr="002152E4">
        <w:rPr>
          <w:color w:val="FF0000"/>
          <w:lang w:val="ro-RO"/>
        </w:rPr>
        <w:t xml:space="preserve"> </w:t>
      </w:r>
      <w:r w:rsidRPr="002152E4">
        <w:rPr>
          <w:b/>
          <w:lang w:val="ro-RO"/>
        </w:rPr>
        <w:t>Promovarea judecătorilor în funcţii de execuţie</w:t>
      </w:r>
    </w:p>
    <w:p w:rsidR="00EE6420" w:rsidRPr="002152E4" w:rsidRDefault="00EE6420" w:rsidP="00C72B60">
      <w:pPr>
        <w:numPr>
          <w:ilvl w:val="0"/>
          <w:numId w:val="12"/>
        </w:numPr>
        <w:ind w:left="0" w:firstLine="428"/>
        <w:jc w:val="both"/>
        <w:rPr>
          <w:lang w:val="ro-RO"/>
        </w:rPr>
      </w:pPr>
      <w:r w:rsidRPr="002152E4">
        <w:rPr>
          <w:b/>
          <w:lang w:val="ro-RO"/>
        </w:rPr>
        <w:t>Promovarea judecătorilor la curţile de apel şi tribunale</w:t>
      </w:r>
    </w:p>
    <w:p w:rsidR="00EE6420" w:rsidRPr="002152E4" w:rsidRDefault="00EE6420" w:rsidP="00D5288F">
      <w:pPr>
        <w:ind w:right="4"/>
        <w:jc w:val="both"/>
        <w:rPr>
          <w:lang w:val="ro-RO"/>
        </w:rPr>
      </w:pPr>
      <w:r w:rsidRPr="002152E4">
        <w:rPr>
          <w:lang w:val="ro-RO"/>
        </w:rPr>
        <w:tab/>
        <w:t>Prin Hotărârea nr.</w:t>
      </w:r>
      <w:r w:rsidRPr="002152E4">
        <w:rPr>
          <w:color w:val="FF0000"/>
          <w:lang w:val="ro-RO"/>
        </w:rPr>
        <w:t xml:space="preserve"> </w:t>
      </w:r>
      <w:r w:rsidRPr="002152E4">
        <w:rPr>
          <w:lang w:val="ro-RO"/>
        </w:rPr>
        <w:t>92/28.01.2016, Plenul Consiliului Superior al Magistraturii a aprobat organizarea unui concurs de promovare în funcţii de execuţie, efectivă şi pe loc, a judecătorilor, la data de 03.04.2016.</w:t>
      </w:r>
    </w:p>
    <w:p w:rsidR="00EE6420" w:rsidRPr="002152E4" w:rsidRDefault="00EE6420" w:rsidP="00D5288F">
      <w:pPr>
        <w:ind w:firstLine="720"/>
        <w:jc w:val="both"/>
        <w:rPr>
          <w:b/>
          <w:lang w:val="ro-RO"/>
        </w:rPr>
      </w:pPr>
      <w:r w:rsidRPr="002152E4">
        <w:rPr>
          <w:lang w:val="ro-RO"/>
        </w:rPr>
        <w:t xml:space="preserve">După finalizarea concursului, Plenul Consiliului Superior al Magistraturii a dispus </w:t>
      </w:r>
      <w:r w:rsidRPr="002152E4">
        <w:rPr>
          <w:b/>
          <w:lang w:val="ro-RO"/>
        </w:rPr>
        <w:t>promovarea efectivă a 80 de judecători (23 la curţile de apel şi 57 la tribunale)</w:t>
      </w:r>
      <w:r w:rsidRPr="002152E4">
        <w:rPr>
          <w:lang w:val="ro-RO"/>
        </w:rPr>
        <w:t xml:space="preserve">, precum şi </w:t>
      </w:r>
      <w:r w:rsidRPr="002152E4">
        <w:rPr>
          <w:b/>
          <w:lang w:val="ro-RO"/>
        </w:rPr>
        <w:t xml:space="preserve">promovarea pe loc a 160 de judecători (dintre care 52 la curţile de apel şi 108 la tribunale) </w:t>
      </w:r>
    </w:p>
    <w:p w:rsidR="00EE6420" w:rsidRPr="002152E4" w:rsidRDefault="00EE6420" w:rsidP="00D5288F">
      <w:pPr>
        <w:pStyle w:val="AddParagraf"/>
        <w:spacing w:after="0"/>
        <w:ind w:right="45"/>
      </w:pPr>
      <w:r w:rsidRPr="002152E4">
        <w:t xml:space="preserve">Ulterior, prin valorificarea rezultatelor concursului desfăşurat în anul 2016, s-a dispus promovarea a încă </w:t>
      </w:r>
      <w:r w:rsidRPr="002152E4">
        <w:rPr>
          <w:b/>
        </w:rPr>
        <w:t>30 de judecători</w:t>
      </w:r>
      <w:r w:rsidRPr="002152E4">
        <w:t xml:space="preserve"> (10 la curţile de apel şi 20 la tribunale).</w:t>
      </w:r>
    </w:p>
    <w:p w:rsidR="00EE6420" w:rsidRPr="002152E4" w:rsidRDefault="00EE6420" w:rsidP="00EE6420">
      <w:pPr>
        <w:pStyle w:val="AddParagraf"/>
        <w:spacing w:after="0"/>
        <w:ind w:right="45"/>
        <w:rPr>
          <w:color w:val="000000"/>
        </w:rPr>
      </w:pPr>
      <w:r w:rsidRPr="002152E4">
        <w:t xml:space="preserve"> </w:t>
      </w:r>
    </w:p>
    <w:p w:rsidR="00EE6420" w:rsidRPr="002152E4" w:rsidRDefault="007041EF" w:rsidP="00EE6420">
      <w:pPr>
        <w:keepNext/>
        <w:ind w:firstLine="360"/>
        <w:jc w:val="center"/>
        <w:rPr>
          <w:b/>
          <w:i/>
          <w:color w:val="FF0000"/>
          <w:lang w:val="ro-RO"/>
        </w:rPr>
      </w:pPr>
      <w:r w:rsidRPr="002152E4">
        <w:rPr>
          <w:noProof/>
          <w:color w:val="FF0000"/>
        </w:rPr>
        <w:lastRenderedPageBreak/>
        <w:drawing>
          <wp:inline distT="0" distB="0" distL="0" distR="0">
            <wp:extent cx="4739640" cy="2514600"/>
            <wp:effectExtent l="0" t="0" r="0" b="0"/>
            <wp:docPr id="55" name="Char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EE6420" w:rsidRPr="002152E4" w:rsidRDefault="007041EF" w:rsidP="00EE6420">
      <w:pPr>
        <w:ind w:firstLine="1276"/>
        <w:rPr>
          <w:b/>
          <w:lang w:val="ro-RO"/>
        </w:rPr>
      </w:pPr>
      <w:r w:rsidRPr="002152E4">
        <w:rPr>
          <w:noProof/>
        </w:rPr>
        <w:drawing>
          <wp:inline distT="0" distB="0" distL="0" distR="0">
            <wp:extent cx="4602480" cy="2484120"/>
            <wp:effectExtent l="0" t="0" r="0" b="0"/>
            <wp:docPr id="56" name="Chart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EE6420" w:rsidRPr="002152E4" w:rsidRDefault="00EE6420" w:rsidP="00EE6420">
      <w:pPr>
        <w:jc w:val="center"/>
        <w:rPr>
          <w:lang w:val="ro-RO"/>
        </w:rPr>
      </w:pPr>
    </w:p>
    <w:p w:rsidR="00EE6420" w:rsidRPr="002152E4" w:rsidRDefault="00EE6420" w:rsidP="00EE6420">
      <w:pPr>
        <w:ind w:firstLine="708"/>
        <w:jc w:val="both"/>
        <w:rPr>
          <w:lang w:val="ro-RO"/>
        </w:rPr>
      </w:pPr>
      <w:r w:rsidRPr="002152E4">
        <w:rPr>
          <w:lang w:val="ro-RO"/>
        </w:rPr>
        <w:t>Distinct de cele anterior menţionate, în perioada de referinţă, Plenul Consiliului Superior al Magistraturii a dispus promovarea unui judecător la tribunal şi a doi judecători la curţile de apel, ca urmare a punerii în executare a hotărârilor pronunţate de instanţa supremă.</w:t>
      </w:r>
    </w:p>
    <w:p w:rsidR="00EE6420" w:rsidRPr="002152E4" w:rsidRDefault="00EE6420" w:rsidP="00EE6420">
      <w:pPr>
        <w:jc w:val="both"/>
        <w:rPr>
          <w:lang w:val="ro-RO"/>
        </w:rPr>
      </w:pPr>
    </w:p>
    <w:p w:rsidR="00EE6420" w:rsidRPr="002152E4" w:rsidRDefault="00EE6420" w:rsidP="00C72B60">
      <w:pPr>
        <w:numPr>
          <w:ilvl w:val="0"/>
          <w:numId w:val="12"/>
        </w:numPr>
        <w:ind w:left="0" w:firstLine="428"/>
        <w:jc w:val="both"/>
        <w:rPr>
          <w:b/>
          <w:lang w:val="ro-RO"/>
        </w:rPr>
      </w:pPr>
      <w:r w:rsidRPr="002152E4">
        <w:rPr>
          <w:b/>
          <w:lang w:val="ro-RO"/>
        </w:rPr>
        <w:t>Promovarea în funcţia de judecător la Înalta Curte de Casaţie şi Justiţie</w:t>
      </w:r>
    </w:p>
    <w:p w:rsidR="00EE6420" w:rsidRPr="002152E4" w:rsidRDefault="00EE6420" w:rsidP="00EE6420">
      <w:pPr>
        <w:ind w:firstLine="708"/>
        <w:jc w:val="both"/>
        <w:rPr>
          <w:lang w:val="ro-RO"/>
        </w:rPr>
      </w:pPr>
      <w:r w:rsidRPr="002152E4">
        <w:rPr>
          <w:lang w:val="ro-RO"/>
        </w:rPr>
        <w:t xml:space="preserve">În cursul anului </w:t>
      </w:r>
      <w:smartTag w:uri="urn:schemas-microsoft-com:office:smarttags" w:element="metricconverter">
        <w:smartTagPr>
          <w:attr w:name="ProductID" w:val="2016 a"/>
        </w:smartTagPr>
        <w:r w:rsidRPr="002152E4">
          <w:rPr>
            <w:lang w:val="ro-RO"/>
          </w:rPr>
          <w:t>2016 a</w:t>
        </w:r>
      </w:smartTag>
      <w:r w:rsidRPr="002152E4">
        <w:rPr>
          <w:lang w:val="ro-RO"/>
        </w:rPr>
        <w:t xml:space="preserve"> fost organizat un concurs de promovare în funcţia de judecător la Înalta Curte de Casaţie şi Justiţie, în perioada 4 ianuarie – 1 iunie 2016, pentru ocuparea a 12 posturi vacante de judecător, repartizate astfel: 4 posturi la Secţia a II-a civilă; 4 posturi la Secţia penală; 4 posturi la Secţia de contencios administrativ şi fiscal. </w:t>
      </w:r>
    </w:p>
    <w:p w:rsidR="00EE6420" w:rsidRPr="002152E4" w:rsidRDefault="00EE6420" w:rsidP="00EE6420">
      <w:pPr>
        <w:ind w:firstLine="708"/>
        <w:jc w:val="both"/>
        <w:rPr>
          <w:lang w:val="ro-RO"/>
        </w:rPr>
      </w:pPr>
      <w:r w:rsidRPr="002152E4">
        <w:rPr>
          <w:lang w:val="ro-RO"/>
        </w:rPr>
        <w:t>La concurs s-au înscris 49 de judecători, dintre care 47 au fost declaraţi admişi ca urmare a verificării condiţiilor prevăzute de lege pentru participarea la concurs. După desfăşurarea etapelor iniţiale prevăzute de Regulament, au fost declaraţi admişi 9 candidaţi, care s-au prezentat la ultima probă a concursului, cea scrisă.</w:t>
      </w:r>
    </w:p>
    <w:p w:rsidR="00EE6420" w:rsidRPr="002152E4" w:rsidRDefault="00EE6420" w:rsidP="00EE6420">
      <w:pPr>
        <w:pStyle w:val="AddParagraf"/>
        <w:spacing w:after="0"/>
        <w:rPr>
          <w:rFonts w:cs="Times New Roman"/>
        </w:rPr>
      </w:pPr>
      <w:r w:rsidRPr="002152E4">
        <w:rPr>
          <w:rFonts w:cs="Times New Roman"/>
        </w:rPr>
        <w:t xml:space="preserve">După finalizarea concursului, Plenul Consiliului Superior al Magistraturii a dispus promovarea în funcţia de judecător la instanţa supremă </w:t>
      </w:r>
      <w:r w:rsidRPr="002152E4">
        <w:rPr>
          <w:rFonts w:cs="Times New Roman"/>
          <w:b/>
        </w:rPr>
        <w:t>a 7 judecători</w:t>
      </w:r>
      <w:r w:rsidRPr="002152E4">
        <w:rPr>
          <w:rFonts w:cs="Times New Roman"/>
        </w:rPr>
        <w:t>.</w:t>
      </w:r>
    </w:p>
    <w:p w:rsidR="00EE6420" w:rsidRPr="002152E4" w:rsidRDefault="00EE6420" w:rsidP="00EE6420">
      <w:pPr>
        <w:pStyle w:val="AddParagraf"/>
        <w:spacing w:after="0"/>
      </w:pPr>
      <w:r w:rsidRPr="002152E4">
        <w:t>Prin urmare, gradul de ocupare a posturilor a fost de 58%, similar anului precedent (57%).</w:t>
      </w:r>
    </w:p>
    <w:p w:rsidR="00EE6420" w:rsidRPr="002152E4" w:rsidRDefault="00EE6420" w:rsidP="00EE6420">
      <w:pPr>
        <w:keepNext/>
        <w:jc w:val="both"/>
        <w:rPr>
          <w:lang w:val="ro-RO"/>
        </w:rPr>
      </w:pPr>
    </w:p>
    <w:p w:rsidR="00EE6420" w:rsidRPr="002152E4" w:rsidRDefault="00EE6420" w:rsidP="00EE6420">
      <w:pPr>
        <w:keepNext/>
        <w:ind w:left="425" w:firstLine="284"/>
        <w:jc w:val="both"/>
        <w:rPr>
          <w:b/>
          <w:lang w:val="ro-RO"/>
        </w:rPr>
      </w:pPr>
      <w:r w:rsidRPr="002152E4">
        <w:rPr>
          <w:b/>
          <w:lang w:val="ro-RO"/>
        </w:rPr>
        <w:t xml:space="preserve">A.5. Eliberări din funcţia de judecător </w:t>
      </w:r>
    </w:p>
    <w:p w:rsidR="00EE6420" w:rsidRPr="002152E4" w:rsidRDefault="00EE6420" w:rsidP="00EE6420">
      <w:pPr>
        <w:tabs>
          <w:tab w:val="left" w:pos="709"/>
        </w:tabs>
        <w:ind w:firstLine="708"/>
        <w:jc w:val="both"/>
        <w:rPr>
          <w:b/>
          <w:lang w:val="ro-RO"/>
        </w:rPr>
      </w:pPr>
      <w:r w:rsidRPr="002152E4">
        <w:rPr>
          <w:lang w:val="ro-RO"/>
        </w:rPr>
        <w:t xml:space="preserve">Prin decrete ale preşedintelui României au fost </w:t>
      </w:r>
      <w:r w:rsidRPr="002152E4">
        <w:rPr>
          <w:b/>
          <w:lang w:val="ro-RO"/>
        </w:rPr>
        <w:t xml:space="preserve">eliberate din funcţia de judecător 149 persoane, </w:t>
      </w:r>
      <w:r w:rsidRPr="002152E4">
        <w:rPr>
          <w:lang w:val="ro-RO"/>
        </w:rPr>
        <w:t xml:space="preserve">după cum urmează: </w:t>
      </w:r>
    </w:p>
    <w:p w:rsidR="00EE6420" w:rsidRPr="002152E4" w:rsidRDefault="00EE6420" w:rsidP="00C72B60">
      <w:pPr>
        <w:numPr>
          <w:ilvl w:val="0"/>
          <w:numId w:val="13"/>
        </w:numPr>
        <w:tabs>
          <w:tab w:val="num" w:pos="709"/>
        </w:tabs>
        <w:ind w:left="0" w:firstLine="708"/>
        <w:jc w:val="both"/>
        <w:rPr>
          <w:lang w:val="ro-RO"/>
        </w:rPr>
      </w:pPr>
      <w:r w:rsidRPr="002152E4">
        <w:rPr>
          <w:b/>
          <w:lang w:val="ro-RO"/>
        </w:rPr>
        <w:t xml:space="preserve">135 </w:t>
      </w:r>
      <w:r w:rsidRPr="002152E4">
        <w:rPr>
          <w:lang w:val="ro-RO"/>
        </w:rPr>
        <w:t>de persoane, prin pensionare;</w:t>
      </w:r>
    </w:p>
    <w:p w:rsidR="00EE6420" w:rsidRPr="002152E4" w:rsidRDefault="00EE6420" w:rsidP="00C72B60">
      <w:pPr>
        <w:numPr>
          <w:ilvl w:val="0"/>
          <w:numId w:val="13"/>
        </w:numPr>
        <w:tabs>
          <w:tab w:val="num" w:pos="709"/>
        </w:tabs>
        <w:ind w:left="0" w:firstLine="708"/>
        <w:jc w:val="both"/>
        <w:rPr>
          <w:lang w:val="ro-RO"/>
        </w:rPr>
      </w:pPr>
      <w:r w:rsidRPr="002152E4">
        <w:rPr>
          <w:b/>
          <w:lang w:val="ro-RO"/>
        </w:rPr>
        <w:t xml:space="preserve">3 </w:t>
      </w:r>
      <w:r w:rsidRPr="002152E4">
        <w:rPr>
          <w:lang w:val="ro-RO"/>
        </w:rPr>
        <w:t>persoane, prin demisie;</w:t>
      </w:r>
    </w:p>
    <w:p w:rsidR="00EE6420" w:rsidRPr="002152E4" w:rsidRDefault="00EE6420" w:rsidP="00C72B60">
      <w:pPr>
        <w:numPr>
          <w:ilvl w:val="0"/>
          <w:numId w:val="13"/>
        </w:numPr>
        <w:tabs>
          <w:tab w:val="num" w:pos="709"/>
        </w:tabs>
        <w:ind w:left="0" w:firstLine="708"/>
        <w:jc w:val="both"/>
        <w:rPr>
          <w:lang w:val="ro-RO"/>
        </w:rPr>
      </w:pPr>
      <w:r w:rsidRPr="002152E4">
        <w:rPr>
          <w:b/>
          <w:lang w:val="ro-RO"/>
        </w:rPr>
        <w:t xml:space="preserve">3 </w:t>
      </w:r>
      <w:r w:rsidRPr="002152E4">
        <w:rPr>
          <w:lang w:val="ro-RO"/>
        </w:rPr>
        <w:t>persoane, ca urmare a numirii în funcţia de procuror;</w:t>
      </w:r>
    </w:p>
    <w:p w:rsidR="00EE6420" w:rsidRPr="002152E4" w:rsidRDefault="00EE6420" w:rsidP="00C72B60">
      <w:pPr>
        <w:numPr>
          <w:ilvl w:val="0"/>
          <w:numId w:val="13"/>
        </w:numPr>
        <w:tabs>
          <w:tab w:val="num" w:pos="709"/>
        </w:tabs>
        <w:ind w:left="0" w:firstLine="708"/>
        <w:jc w:val="both"/>
        <w:rPr>
          <w:lang w:val="ro-RO"/>
        </w:rPr>
      </w:pPr>
      <w:r w:rsidRPr="002152E4">
        <w:rPr>
          <w:b/>
          <w:lang w:val="ro-RO"/>
        </w:rPr>
        <w:t xml:space="preserve">4 </w:t>
      </w:r>
      <w:r w:rsidRPr="002152E4">
        <w:rPr>
          <w:lang w:val="ro-RO"/>
        </w:rPr>
        <w:t>persoane, ca urmare a condamnării definitive;</w:t>
      </w:r>
    </w:p>
    <w:p w:rsidR="00EE6420" w:rsidRPr="002152E4" w:rsidRDefault="00EE6420" w:rsidP="00C72B60">
      <w:pPr>
        <w:numPr>
          <w:ilvl w:val="0"/>
          <w:numId w:val="13"/>
        </w:numPr>
        <w:tabs>
          <w:tab w:val="num" w:pos="709"/>
        </w:tabs>
        <w:ind w:left="0" w:firstLine="708"/>
        <w:jc w:val="both"/>
        <w:rPr>
          <w:lang w:val="ro-RO"/>
        </w:rPr>
      </w:pPr>
      <w:r w:rsidRPr="002152E4">
        <w:rPr>
          <w:b/>
          <w:lang w:val="ro-RO"/>
        </w:rPr>
        <w:lastRenderedPageBreak/>
        <w:t>3</w:t>
      </w:r>
      <w:r w:rsidRPr="002152E4">
        <w:rPr>
          <w:lang w:val="ro-RO"/>
        </w:rPr>
        <w:t xml:space="preserve"> persoane, în temeiul art. 83 alin. (1) teza finală din Legea nr. 303/2004, republicată, cu modificările şi completările ulterioare;</w:t>
      </w:r>
    </w:p>
    <w:p w:rsidR="00EE6420" w:rsidRPr="002152E4" w:rsidRDefault="00EE6420" w:rsidP="00C72B60">
      <w:pPr>
        <w:numPr>
          <w:ilvl w:val="0"/>
          <w:numId w:val="13"/>
        </w:numPr>
        <w:tabs>
          <w:tab w:val="num" w:pos="709"/>
        </w:tabs>
        <w:ind w:left="0" w:firstLine="708"/>
        <w:jc w:val="both"/>
        <w:rPr>
          <w:lang w:val="ro-RO"/>
        </w:rPr>
      </w:pPr>
      <w:r w:rsidRPr="002152E4">
        <w:rPr>
          <w:b/>
          <w:lang w:val="ro-RO"/>
        </w:rPr>
        <w:t xml:space="preserve">1 </w:t>
      </w:r>
      <w:r w:rsidRPr="002152E4">
        <w:rPr>
          <w:lang w:val="ro-RO"/>
        </w:rPr>
        <w:t>persoană,</w:t>
      </w:r>
      <w:r w:rsidRPr="002152E4">
        <w:rPr>
          <w:b/>
          <w:lang w:val="ro-RO"/>
        </w:rPr>
        <w:t xml:space="preserve"> </w:t>
      </w:r>
      <w:r w:rsidRPr="002152E4">
        <w:rPr>
          <w:lang w:val="ro-RO"/>
        </w:rPr>
        <w:t>ca urmare a excluderii din magistratură pentru săvârşirea unei abateri disciplinare.</w:t>
      </w:r>
    </w:p>
    <w:p w:rsidR="00EE6420" w:rsidRPr="002152E4" w:rsidRDefault="00EE6420" w:rsidP="00EE6420">
      <w:pPr>
        <w:ind w:firstLine="708"/>
        <w:jc w:val="both"/>
        <w:rPr>
          <w:lang w:val="ro-RO"/>
        </w:rPr>
      </w:pPr>
      <w:r w:rsidRPr="002152E4">
        <w:rPr>
          <w:lang w:val="ro-RO"/>
        </w:rPr>
        <w:t xml:space="preserve">Totodată, în cursul acestui an s-a vacantat </w:t>
      </w:r>
      <w:r w:rsidRPr="002152E4">
        <w:rPr>
          <w:b/>
          <w:lang w:val="ro-RO"/>
        </w:rPr>
        <w:t>un post</w:t>
      </w:r>
      <w:r w:rsidRPr="002152E4">
        <w:rPr>
          <w:lang w:val="ro-RO"/>
        </w:rPr>
        <w:t>, ca urmare a decesului unui judecător.</w:t>
      </w:r>
    </w:p>
    <w:p w:rsidR="00EE6420" w:rsidRPr="002152E4" w:rsidRDefault="00EE6420" w:rsidP="00EE6420">
      <w:pPr>
        <w:ind w:firstLine="708"/>
        <w:jc w:val="both"/>
        <w:rPr>
          <w:lang w:val="ro-RO"/>
        </w:rPr>
      </w:pPr>
    </w:p>
    <w:p w:rsidR="00EE6420" w:rsidRPr="002152E4" w:rsidRDefault="00EE6420" w:rsidP="00EE6420">
      <w:pPr>
        <w:jc w:val="both"/>
        <w:rPr>
          <w:lang w:val="ro-RO"/>
        </w:rPr>
      </w:pPr>
    </w:p>
    <w:p w:rsidR="00EE6420" w:rsidRPr="002152E4" w:rsidRDefault="00EE6420" w:rsidP="00EE6420">
      <w:pPr>
        <w:ind w:firstLine="708"/>
        <w:jc w:val="both"/>
        <w:rPr>
          <w:b/>
          <w:u w:val="single"/>
          <w:lang w:val="ro-RO"/>
        </w:rPr>
      </w:pPr>
      <w:r w:rsidRPr="002152E4">
        <w:rPr>
          <w:b/>
          <w:i/>
          <w:color w:val="FF0000"/>
          <w:u w:val="single"/>
          <w:lang w:val="ro-RO"/>
        </w:rPr>
        <w:t xml:space="preserve"> </w:t>
      </w:r>
      <w:r w:rsidRPr="002152E4">
        <w:rPr>
          <w:b/>
          <w:u w:val="single"/>
          <w:lang w:val="ro-RO"/>
        </w:rPr>
        <w:t>Situaţia posturilor de judecător la 1 ianuarie 2017</w:t>
      </w:r>
    </w:p>
    <w:p w:rsidR="00EE6420" w:rsidRPr="002152E4" w:rsidRDefault="00EE6420" w:rsidP="00EE6420">
      <w:pPr>
        <w:ind w:firstLine="708"/>
        <w:jc w:val="both"/>
        <w:rPr>
          <w:b/>
          <w:lang w:val="ro-RO"/>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80"/>
        <w:gridCol w:w="1105"/>
        <w:gridCol w:w="1415"/>
        <w:gridCol w:w="900"/>
        <w:gridCol w:w="1080"/>
        <w:gridCol w:w="1440"/>
      </w:tblGrid>
      <w:tr w:rsidR="00EE6420" w:rsidRPr="002152E4" w:rsidTr="00EE6420">
        <w:tc>
          <w:tcPr>
            <w:tcW w:w="306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jc w:val="center"/>
              <w:rPr>
                <w:b/>
                <w:lang w:val="ro-RO"/>
              </w:rPr>
            </w:pPr>
            <w:r w:rsidRPr="002152E4">
              <w:rPr>
                <w:b/>
                <w:lang w:val="ro-RO"/>
              </w:rPr>
              <w:t xml:space="preserve">Categoria </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jc w:val="center"/>
              <w:rPr>
                <w:lang w:val="ro-RO"/>
              </w:rPr>
            </w:pPr>
            <w:r w:rsidRPr="002152E4">
              <w:rPr>
                <w:b/>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jc w:val="center"/>
              <w:rPr>
                <w:lang w:val="ro-RO"/>
              </w:rPr>
            </w:pPr>
            <w:r w:rsidRPr="002152E4">
              <w:rPr>
                <w:b/>
                <w:lang w:val="ro-RO"/>
              </w:rPr>
              <w:t xml:space="preserve">Posturi de judecător vacante </w:t>
            </w:r>
          </w:p>
        </w:tc>
      </w:tr>
      <w:tr w:rsidR="00EE6420" w:rsidRPr="002152E4" w:rsidTr="00EE6420">
        <w:tc>
          <w:tcPr>
            <w:tcW w:w="3060" w:type="dxa"/>
            <w:vMerge/>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b/>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b/>
                <w:lang w:val="ro-RO"/>
              </w:rPr>
            </w:pPr>
            <w:r w:rsidRPr="002152E4">
              <w:rPr>
                <w:b/>
                <w:lang w:val="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lang w:val="ro-RO"/>
              </w:rPr>
            </w:pPr>
            <w:r w:rsidRPr="002152E4">
              <w:rPr>
                <w:lang w:val="ro-RO"/>
              </w:rPr>
              <w:t>Execuţie</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lang w:val="ro-RO"/>
              </w:rPr>
            </w:pPr>
            <w:r w:rsidRPr="002152E4">
              <w:rPr>
                <w:lang w:val="ro-RO"/>
              </w:rPr>
              <w:t xml:space="preserve">Conducere </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b/>
                <w:lang w:val="ro-RO"/>
              </w:rPr>
            </w:pPr>
            <w:r w:rsidRPr="002152E4">
              <w:rPr>
                <w:b/>
                <w:lang w:val="ro-RO"/>
              </w:rPr>
              <w:t xml:space="preserve">Total </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lang w:val="ro-RO"/>
              </w:rPr>
            </w:pPr>
            <w:r w:rsidRPr="002152E4">
              <w:rPr>
                <w:lang w:val="ro-RO"/>
              </w:rPr>
              <w:t>Execuţie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6420" w:rsidRPr="002152E4" w:rsidRDefault="00EE6420" w:rsidP="00EE6420">
            <w:pPr>
              <w:rPr>
                <w:lang w:val="ro-RO"/>
              </w:rPr>
            </w:pPr>
            <w:r w:rsidRPr="002152E4">
              <w:rPr>
                <w:lang w:val="ro-RO"/>
              </w:rPr>
              <w:t>Conducere</w:t>
            </w:r>
          </w:p>
        </w:tc>
      </w:tr>
      <w:tr w:rsidR="00EE6420" w:rsidRPr="002152E4" w:rsidTr="00EE6420">
        <w:tc>
          <w:tcPr>
            <w:tcW w:w="306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lang w:val="ro-RO"/>
              </w:rPr>
            </w:pPr>
            <w:r w:rsidRPr="002152E4">
              <w:rPr>
                <w:lang w:val="ro-RO"/>
              </w:rPr>
              <w:t xml:space="preserve">Înalta Curte de Casaţie şi Justiţie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122</w:t>
            </w:r>
          </w:p>
        </w:tc>
        <w:tc>
          <w:tcPr>
            <w:tcW w:w="1105"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highlight w:val="yellow"/>
                <w:lang w:val="ro-RO"/>
              </w:rPr>
            </w:pPr>
            <w:r w:rsidRPr="002152E4">
              <w:rPr>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12</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w:t>
            </w:r>
          </w:p>
        </w:tc>
      </w:tr>
      <w:tr w:rsidR="00EE6420" w:rsidRPr="002152E4" w:rsidTr="00EE6420">
        <w:tc>
          <w:tcPr>
            <w:tcW w:w="306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lang w:val="ro-RO"/>
              </w:rPr>
            </w:pPr>
            <w:r w:rsidRPr="002152E4">
              <w:rPr>
                <w:lang w:val="ro-RO"/>
              </w:rPr>
              <w:t>Curţi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920</w:t>
            </w:r>
          </w:p>
        </w:tc>
        <w:tc>
          <w:tcPr>
            <w:tcW w:w="1105"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820</w:t>
            </w:r>
          </w:p>
        </w:tc>
        <w:tc>
          <w:tcPr>
            <w:tcW w:w="1415"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highlight w:val="yellow"/>
                <w:lang w:val="ro-RO"/>
              </w:rPr>
            </w:pPr>
            <w:r w:rsidRPr="002152E4">
              <w:rPr>
                <w:lang w:val="ro-RO"/>
              </w:rPr>
              <w:t>100</w:t>
            </w:r>
          </w:p>
        </w:tc>
        <w:tc>
          <w:tcPr>
            <w:tcW w:w="90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74</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67</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7</w:t>
            </w:r>
          </w:p>
        </w:tc>
      </w:tr>
      <w:tr w:rsidR="00EE6420" w:rsidRPr="002152E4" w:rsidTr="00EE6420">
        <w:tc>
          <w:tcPr>
            <w:tcW w:w="306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lang w:val="ro-RO"/>
              </w:rPr>
            </w:pPr>
            <w:r w:rsidRPr="002152E4">
              <w:rPr>
                <w:lang w:val="ro-RO"/>
              </w:rPr>
              <w:t>Tribunale (inclusiv instanţele militare şi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1709</w:t>
            </w:r>
          </w:p>
        </w:tc>
        <w:tc>
          <w:tcPr>
            <w:tcW w:w="1105"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1471</w:t>
            </w:r>
          </w:p>
        </w:tc>
        <w:tc>
          <w:tcPr>
            <w:tcW w:w="1415"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highlight w:val="yellow"/>
                <w:lang w:val="ro-RO"/>
              </w:rPr>
            </w:pPr>
            <w:r w:rsidRPr="002152E4">
              <w:rPr>
                <w:lang w:val="ro-RO"/>
              </w:rPr>
              <w:t>238</w:t>
            </w:r>
          </w:p>
        </w:tc>
        <w:tc>
          <w:tcPr>
            <w:tcW w:w="90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164</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132</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32</w:t>
            </w:r>
          </w:p>
        </w:tc>
      </w:tr>
      <w:tr w:rsidR="00EE6420" w:rsidRPr="002152E4" w:rsidTr="00EE6420">
        <w:tc>
          <w:tcPr>
            <w:tcW w:w="306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lang w:val="ro-RO"/>
              </w:rPr>
            </w:pPr>
            <w:r w:rsidRPr="002152E4">
              <w:rPr>
                <w:lang w:val="ro-RO"/>
              </w:rPr>
              <w:t xml:space="preserve">Judecătorii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2316</w:t>
            </w:r>
          </w:p>
        </w:tc>
        <w:tc>
          <w:tcPr>
            <w:tcW w:w="1105"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2010</w:t>
            </w:r>
          </w:p>
        </w:tc>
        <w:tc>
          <w:tcPr>
            <w:tcW w:w="1415"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highlight w:val="yellow"/>
                <w:lang w:val="ro-RO"/>
              </w:rPr>
            </w:pPr>
            <w:r w:rsidRPr="002152E4">
              <w:rPr>
                <w:lang w:val="ro-RO"/>
              </w:rPr>
              <w:t>306</w:t>
            </w:r>
          </w:p>
        </w:tc>
        <w:tc>
          <w:tcPr>
            <w:tcW w:w="90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338</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236</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102</w:t>
            </w:r>
          </w:p>
        </w:tc>
      </w:tr>
      <w:tr w:rsidR="00EE6420" w:rsidRPr="002152E4" w:rsidTr="00EE6420">
        <w:tc>
          <w:tcPr>
            <w:tcW w:w="306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rPr>
                <w:b/>
                <w:lang w:val="ro-RO"/>
              </w:rPr>
            </w:pPr>
            <w:r w:rsidRPr="002152E4">
              <w:rPr>
                <w:b/>
                <w:lang w:val="ro-RO"/>
              </w:rPr>
              <w:t xml:space="preserve">          Total </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b/>
                <w:lang w:val="ro-RO"/>
              </w:rPr>
            </w:pPr>
            <w:r w:rsidRPr="002152E4">
              <w:rPr>
                <w:b/>
                <w:lang w:val="ro-RO"/>
              </w:rPr>
              <w:t>5067</w:t>
            </w:r>
            <w:r w:rsidRPr="002152E4">
              <w:rPr>
                <w:rStyle w:val="FootnoteReference"/>
                <w:b/>
                <w:lang w:val="ro-RO"/>
              </w:rPr>
              <w:footnoteReference w:id="2"/>
            </w:r>
          </w:p>
        </w:tc>
        <w:tc>
          <w:tcPr>
            <w:tcW w:w="1105"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4416</w:t>
            </w:r>
          </w:p>
        </w:tc>
        <w:tc>
          <w:tcPr>
            <w:tcW w:w="1415"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highlight w:val="yellow"/>
                <w:lang w:val="ro-RO"/>
              </w:rPr>
            </w:pPr>
            <w:r w:rsidRPr="002152E4">
              <w:rPr>
                <w:lang w:val="ro-RO"/>
              </w:rPr>
              <w:t>651</w:t>
            </w:r>
          </w:p>
        </w:tc>
        <w:tc>
          <w:tcPr>
            <w:tcW w:w="90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b/>
                <w:lang w:val="ro-RO"/>
              </w:rPr>
            </w:pPr>
            <w:r w:rsidRPr="002152E4">
              <w:rPr>
                <w:b/>
                <w:lang w:val="ro-RO"/>
              </w:rPr>
              <w:t>588</w:t>
            </w:r>
          </w:p>
        </w:tc>
        <w:tc>
          <w:tcPr>
            <w:tcW w:w="108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446</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6420" w:rsidRPr="002152E4" w:rsidRDefault="00EE6420" w:rsidP="00EE6420">
            <w:pPr>
              <w:jc w:val="center"/>
              <w:rPr>
                <w:lang w:val="ro-RO"/>
              </w:rPr>
            </w:pPr>
            <w:r w:rsidRPr="002152E4">
              <w:rPr>
                <w:lang w:val="ro-RO"/>
              </w:rPr>
              <w:t>142</w:t>
            </w:r>
          </w:p>
        </w:tc>
      </w:tr>
    </w:tbl>
    <w:p w:rsidR="00EE6420" w:rsidRPr="002152E4" w:rsidRDefault="00EE6420" w:rsidP="00EE6420">
      <w:pPr>
        <w:tabs>
          <w:tab w:val="left" w:pos="360"/>
        </w:tabs>
        <w:jc w:val="both"/>
        <w:rPr>
          <w:lang w:val="ro-RO"/>
        </w:rPr>
      </w:pPr>
    </w:p>
    <w:p w:rsidR="00EE6420" w:rsidRPr="002152E4" w:rsidRDefault="00EE6420" w:rsidP="00EE6420">
      <w:pPr>
        <w:tabs>
          <w:tab w:val="left" w:pos="360"/>
        </w:tabs>
        <w:jc w:val="both"/>
        <w:rPr>
          <w:lang w:val="ro-RO"/>
        </w:rPr>
      </w:pPr>
      <w:r w:rsidRPr="002152E4">
        <w:rPr>
          <w:lang w:val="ro-RO"/>
        </w:rPr>
        <w:tab/>
      </w:r>
      <w:r w:rsidRPr="002152E4">
        <w:rPr>
          <w:lang w:val="ro-RO"/>
        </w:rPr>
        <w:tab/>
        <w:t xml:space="preserve">Prin urmare, la finele anului 2016, din totalul de 5067 posturi din schemele instanţelor, </w:t>
      </w:r>
      <w:r w:rsidRPr="002152E4">
        <w:rPr>
          <w:b/>
          <w:lang w:val="ro-RO"/>
        </w:rPr>
        <w:t>4479 de posturi</w:t>
      </w:r>
      <w:r w:rsidRPr="002152E4">
        <w:rPr>
          <w:lang w:val="ro-RO"/>
        </w:rPr>
        <w:t xml:space="preserve"> </w:t>
      </w:r>
      <w:r w:rsidRPr="002152E4">
        <w:rPr>
          <w:b/>
          <w:lang w:val="ro-RO"/>
        </w:rPr>
        <w:t xml:space="preserve">erau ocupate </w:t>
      </w:r>
      <w:r w:rsidRPr="002152E4">
        <w:rPr>
          <w:lang w:val="ro-RO"/>
        </w:rPr>
        <w:t xml:space="preserve">şi </w:t>
      </w:r>
      <w:r w:rsidRPr="002152E4">
        <w:rPr>
          <w:b/>
          <w:lang w:val="ro-RO"/>
        </w:rPr>
        <w:t xml:space="preserve">588 erau vacante </w:t>
      </w:r>
      <w:r w:rsidRPr="002152E4">
        <w:rPr>
          <w:lang w:val="ro-RO"/>
        </w:rPr>
        <w:t>(din care 446 posturi de execuţie şi 142 funcţii de conducere)</w:t>
      </w:r>
      <w:r w:rsidRPr="002152E4">
        <w:rPr>
          <w:rStyle w:val="FootnoteReference"/>
          <w:lang w:val="ro-RO"/>
        </w:rPr>
        <w:footnoteReference w:id="3"/>
      </w:r>
      <w:r w:rsidRPr="002152E4">
        <w:rPr>
          <w:lang w:val="ro-RO"/>
        </w:rPr>
        <w:t>.</w:t>
      </w:r>
    </w:p>
    <w:p w:rsidR="00EE6420" w:rsidRPr="002152E4" w:rsidRDefault="00EE6420" w:rsidP="00EE6420">
      <w:pPr>
        <w:pStyle w:val="AddParagraf"/>
        <w:spacing w:after="0"/>
        <w:ind w:right="45" w:firstLine="708"/>
      </w:pPr>
      <w:r w:rsidRPr="002152E4">
        <w:t>Din totalul judecătorilor în funcţie, cu luarea în calcul inclusiv a acelor judecători care ocupă pe perioadă nedeterminată posturi temporar vacante în condiţiile art. 134</w:t>
      </w:r>
      <w:r w:rsidRPr="002152E4">
        <w:rPr>
          <w:vertAlign w:val="superscript"/>
        </w:rPr>
        <w:t>1</w:t>
      </w:r>
      <w:r w:rsidRPr="002152E4">
        <w:t xml:space="preserve"> din Legea nr. 304/2004, republicată, cu modificările şi completările ulterioare, 3408 (76,96%) sunt femei şi 1220 (27,55%) sunt bărbaţi. </w:t>
      </w:r>
    </w:p>
    <w:p w:rsidR="00EE6420" w:rsidRPr="002152E4" w:rsidRDefault="00EE6420" w:rsidP="00EE6420">
      <w:pPr>
        <w:ind w:right="48" w:firstLine="709"/>
        <w:jc w:val="both"/>
        <w:rPr>
          <w:rFonts w:cs="Arial"/>
          <w:lang w:val="ro-RO"/>
        </w:rPr>
      </w:pPr>
      <w:r w:rsidRPr="002152E4">
        <w:rPr>
          <w:rFonts w:cs="Arial"/>
          <w:lang w:val="ro-RO"/>
        </w:rPr>
        <w:t>Comparativ, la începutul anului 2016, din totalul de 4724 de posturi de judecător prevăzute, erau ocupate 4507</w:t>
      </w:r>
      <w:r w:rsidRPr="002152E4">
        <w:rPr>
          <w:rFonts w:cs="Arial"/>
          <w:b/>
          <w:lang w:val="ro-RO"/>
        </w:rPr>
        <w:t xml:space="preserve"> </w:t>
      </w:r>
      <w:r w:rsidRPr="002152E4">
        <w:rPr>
          <w:rFonts w:cs="Arial"/>
          <w:lang w:val="ro-RO"/>
        </w:rPr>
        <w:t>posturi şi vacante 217 posturi. Dintre cele 217 posturi vacante, 103 erau corespunzătoare funcţiilor de execuţie şi 114 funcţiilor de conducere.</w:t>
      </w:r>
    </w:p>
    <w:p w:rsidR="00EE6420" w:rsidRPr="002152E4" w:rsidRDefault="00EE6420" w:rsidP="00EE6420">
      <w:pPr>
        <w:ind w:right="48" w:firstLine="709"/>
        <w:jc w:val="both"/>
        <w:rPr>
          <w:rFonts w:cs="Arial"/>
          <w:lang w:val="ro-RO"/>
        </w:rPr>
      </w:pPr>
    </w:p>
    <w:p w:rsidR="00EE6420" w:rsidRPr="002152E4" w:rsidRDefault="007041EF" w:rsidP="00EE6420">
      <w:pPr>
        <w:ind w:right="48" w:firstLine="709"/>
        <w:jc w:val="both"/>
        <w:rPr>
          <w:rFonts w:cs="Arial"/>
          <w:lang w:val="ro-RO"/>
        </w:rPr>
      </w:pPr>
      <w:r w:rsidRPr="002152E4">
        <w:rPr>
          <w:noProof/>
        </w:rPr>
        <w:lastRenderedPageBreak/>
        <w:drawing>
          <wp:inline distT="0" distB="0" distL="0" distR="0">
            <wp:extent cx="5082540" cy="2758440"/>
            <wp:effectExtent l="0" t="0" r="0" b="0"/>
            <wp:docPr id="57" name="Chart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EE6420" w:rsidRPr="002152E4" w:rsidRDefault="00EE6420" w:rsidP="00EE6420">
      <w:pPr>
        <w:ind w:right="48" w:firstLine="709"/>
        <w:jc w:val="both"/>
        <w:rPr>
          <w:rFonts w:cs="Arial"/>
          <w:b/>
          <w:lang w:val="ro-RO"/>
        </w:rPr>
      </w:pPr>
    </w:p>
    <w:p w:rsidR="00EE6420" w:rsidRPr="002152E4" w:rsidRDefault="00EE6420" w:rsidP="00EE6420">
      <w:pPr>
        <w:ind w:right="48" w:firstLine="709"/>
        <w:jc w:val="both"/>
        <w:rPr>
          <w:rFonts w:cs="Arial"/>
          <w:lang w:val="ro-RO"/>
        </w:rPr>
      </w:pPr>
      <w:r w:rsidRPr="002152E4">
        <w:rPr>
          <w:rFonts w:cs="Arial"/>
          <w:lang w:val="ro-RO"/>
        </w:rPr>
        <w:t xml:space="preserve">Diferenţa mare dintre numărul posturilor vacante de judecător de la începutul anului 2016 şi sfârşitul anului este determinată de suplimentarea schemelor instanţelor în perioada de referinţă cu 342 de posturi de judecător. Această suplimentare a devenit efectivă în toamna anului 2016, astfel că timpul scurt rămas până la finele anului nu a permis </w:t>
      </w:r>
      <w:r w:rsidR="002152E4" w:rsidRPr="002152E4">
        <w:rPr>
          <w:rFonts w:cs="Arial"/>
          <w:lang w:val="ro-RO"/>
        </w:rPr>
        <w:t>declanșarea</w:t>
      </w:r>
      <w:r w:rsidRPr="002152E4">
        <w:rPr>
          <w:rFonts w:cs="Arial"/>
          <w:lang w:val="ro-RO"/>
        </w:rPr>
        <w:t xml:space="preserve"> unor proceduri pentru ocuparea posturilor respective în cursul aceluiaşi an.</w:t>
      </w:r>
    </w:p>
    <w:p w:rsidR="00EE6420" w:rsidRPr="002152E4" w:rsidRDefault="00EE6420" w:rsidP="00EE6420">
      <w:pPr>
        <w:ind w:right="48" w:firstLine="709"/>
        <w:jc w:val="both"/>
        <w:rPr>
          <w:rFonts w:cs="Arial"/>
          <w:lang w:val="ro-RO"/>
        </w:rPr>
      </w:pPr>
      <w:r w:rsidRPr="002152E4">
        <w:rPr>
          <w:rFonts w:cs="Arial"/>
          <w:lang w:val="ro-RO"/>
        </w:rPr>
        <w:t>În egală măsură, numărul mare de posturi vacante este determinat şi de numărul redus al candidaţilor declaraţi admişi la concursul organizat în condiţiile art. 33 alin. (1) din Legea nr. 303/2004, concurs la care, dintre cele 85 de posturi de judecător alocate concursului, au fost ocupate numai 27 posturi.</w:t>
      </w:r>
    </w:p>
    <w:p w:rsidR="00EE6420" w:rsidRPr="002152E4" w:rsidRDefault="00EE6420" w:rsidP="00EE6420">
      <w:pPr>
        <w:ind w:right="48" w:firstLine="709"/>
        <w:jc w:val="both"/>
        <w:rPr>
          <w:rFonts w:cs="Arial"/>
          <w:lang w:val="ro-RO"/>
        </w:rPr>
      </w:pPr>
      <w:r w:rsidRPr="002152E4">
        <w:rPr>
          <w:rFonts w:cs="Arial"/>
          <w:lang w:val="ro-RO"/>
        </w:rPr>
        <w:t>Se mai impune a semnala aici fapt</w:t>
      </w:r>
      <w:r w:rsidR="00D5288F" w:rsidRPr="002152E4">
        <w:rPr>
          <w:rFonts w:cs="Arial"/>
          <w:lang w:val="ro-RO"/>
        </w:rPr>
        <w:t xml:space="preserve">ul că, faţă de anii anteriori, </w:t>
      </w:r>
      <w:r w:rsidRPr="002152E4">
        <w:rPr>
          <w:rFonts w:cs="Arial"/>
          <w:lang w:val="ro-RO"/>
        </w:rPr>
        <w:t>în anul 2016 a scăzut numărul participanţilor la concursul de admitere la INM, astfel că baza de selecţie pentru ocuparea posturilor de judecător a fost diminuată. Mai mult, în cazul concursului de admitere</w:t>
      </w:r>
      <w:r w:rsidRPr="002152E4">
        <w:rPr>
          <w:rFonts w:cs="Arial"/>
          <w:b/>
          <w:lang w:val="ro-RO"/>
        </w:rPr>
        <w:t xml:space="preserve"> </w:t>
      </w:r>
      <w:r w:rsidRPr="002152E4">
        <w:rPr>
          <w:rFonts w:cs="Arial"/>
          <w:lang w:val="ro-RO"/>
        </w:rPr>
        <w:t>în</w:t>
      </w:r>
      <w:r w:rsidRPr="002152E4">
        <w:rPr>
          <w:rFonts w:cs="Arial"/>
          <w:b/>
          <w:lang w:val="ro-RO"/>
        </w:rPr>
        <w:t xml:space="preserve"> </w:t>
      </w:r>
      <w:r w:rsidRPr="002152E4">
        <w:rPr>
          <w:rFonts w:cs="Arial"/>
          <w:lang w:val="ro-RO"/>
        </w:rPr>
        <w:t xml:space="preserve">magistratură cu 5 ani vechime, afectarea bazei de selecţie a fost </w:t>
      </w:r>
      <w:r w:rsidR="002152E4" w:rsidRPr="002152E4">
        <w:rPr>
          <w:rFonts w:cs="Arial"/>
          <w:lang w:val="ro-RO"/>
        </w:rPr>
        <w:t>influențată</w:t>
      </w:r>
      <w:r w:rsidRPr="002152E4">
        <w:rPr>
          <w:rFonts w:cs="Arial"/>
          <w:lang w:val="ro-RO"/>
        </w:rPr>
        <w:t xml:space="preserve"> de faptul că procentul candidaţilor noi în anul 2016 a fost de aproximativ 15% din totalul participanţilor, restul de 85% fiind dintre cei </w:t>
      </w:r>
      <w:r w:rsidR="002152E4" w:rsidRPr="002152E4">
        <w:rPr>
          <w:rFonts w:cs="Arial"/>
          <w:lang w:val="ro-RO"/>
        </w:rPr>
        <w:t>preluați</w:t>
      </w:r>
      <w:r w:rsidRPr="002152E4">
        <w:rPr>
          <w:rFonts w:cs="Arial"/>
          <w:lang w:val="ro-RO"/>
        </w:rPr>
        <w:t xml:space="preserve"> de la concursurile din anii anteriori.</w:t>
      </w:r>
    </w:p>
    <w:p w:rsidR="00EE6420" w:rsidRPr="002152E4" w:rsidRDefault="00EE6420" w:rsidP="00EE6420">
      <w:pPr>
        <w:ind w:right="48" w:firstLine="709"/>
        <w:jc w:val="both"/>
        <w:rPr>
          <w:rFonts w:cs="Arial"/>
          <w:lang w:val="ro-RO"/>
        </w:rPr>
      </w:pPr>
      <w:r w:rsidRPr="002152E4">
        <w:rPr>
          <w:rFonts w:cs="Arial"/>
          <w:lang w:val="ro-RO"/>
        </w:rPr>
        <w:t>În fine, şi numărul mare al eliberărilor din funcţie din acest an (149 de persoane),</w:t>
      </w:r>
      <w:r w:rsidRPr="002152E4">
        <w:rPr>
          <w:rFonts w:cs="Arial"/>
          <w:color w:val="FF0000"/>
          <w:lang w:val="ro-RO"/>
        </w:rPr>
        <w:t xml:space="preserve"> </w:t>
      </w:r>
      <w:r w:rsidRPr="002152E4">
        <w:rPr>
          <w:rFonts w:cs="Arial"/>
          <w:lang w:val="ro-RO"/>
        </w:rPr>
        <w:t>faţă de anul anterior (104 persoane) a contribuit la majorarea numărului posturilor vacante de la finele anului.</w:t>
      </w:r>
    </w:p>
    <w:p w:rsidR="00EE6420" w:rsidRPr="002152E4" w:rsidRDefault="00EE6420" w:rsidP="00EE6420">
      <w:pPr>
        <w:tabs>
          <w:tab w:val="left" w:pos="709"/>
        </w:tabs>
        <w:jc w:val="both"/>
        <w:rPr>
          <w:b/>
          <w:i/>
          <w:lang w:val="ro-RO"/>
        </w:rPr>
      </w:pPr>
    </w:p>
    <w:p w:rsidR="00EE6420" w:rsidRPr="002152E4" w:rsidRDefault="00EE6420" w:rsidP="00EE6420">
      <w:pPr>
        <w:tabs>
          <w:tab w:val="left" w:pos="709"/>
        </w:tabs>
        <w:ind w:firstLine="684"/>
        <w:jc w:val="both"/>
        <w:rPr>
          <w:b/>
          <w:lang w:val="ro-RO"/>
        </w:rPr>
      </w:pPr>
    </w:p>
    <w:p w:rsidR="00EE6420" w:rsidRPr="002152E4" w:rsidRDefault="00EE6420" w:rsidP="00C72B60">
      <w:pPr>
        <w:pStyle w:val="ListParagraph"/>
        <w:numPr>
          <w:ilvl w:val="0"/>
          <w:numId w:val="14"/>
        </w:numPr>
        <w:tabs>
          <w:tab w:val="left" w:pos="709"/>
        </w:tabs>
        <w:jc w:val="both"/>
        <w:rPr>
          <w:rFonts w:ascii="Calibri" w:hAnsi="Calibri"/>
          <w:b/>
          <w:lang w:val="ro-RO"/>
        </w:rPr>
      </w:pPr>
      <w:r w:rsidRPr="002152E4">
        <w:rPr>
          <w:rFonts w:ascii="Calibri" w:hAnsi="Calibri"/>
          <w:b/>
          <w:lang w:val="ro-RO"/>
        </w:rPr>
        <w:t>Situaţia posturilor de magistrat - asistent la Înalta Curte de Casaţie şi Justiţie</w:t>
      </w:r>
    </w:p>
    <w:p w:rsidR="00EE6420" w:rsidRPr="002152E4" w:rsidRDefault="00EE6420" w:rsidP="00EE6420">
      <w:pPr>
        <w:pStyle w:val="ListParagraph"/>
        <w:tabs>
          <w:tab w:val="left" w:pos="709"/>
        </w:tabs>
        <w:ind w:left="928"/>
        <w:jc w:val="both"/>
        <w:rPr>
          <w:rFonts w:ascii="Calibri" w:hAnsi="Calibri"/>
          <w:b/>
          <w:lang w:val="ro-RO"/>
        </w:rPr>
      </w:pPr>
    </w:p>
    <w:p w:rsidR="00EE6420" w:rsidRPr="002152E4" w:rsidRDefault="00EE6420" w:rsidP="00EE6420">
      <w:pPr>
        <w:ind w:firstLine="684"/>
        <w:jc w:val="both"/>
        <w:rPr>
          <w:lang w:val="ro-RO"/>
        </w:rPr>
      </w:pPr>
      <w:r w:rsidRPr="002152E4">
        <w:rPr>
          <w:lang w:val="ro-RO"/>
        </w:rPr>
        <w:t>La începutul anului 2016, din cele 123 de posturi de magistrat-asistent de la Înalta Curte de Casaţie şi Justiţie erau ocupate 115 posturi şi vacante 8.</w:t>
      </w:r>
    </w:p>
    <w:p w:rsidR="00EE6420" w:rsidRPr="002152E4" w:rsidRDefault="00EE6420" w:rsidP="00EE6420">
      <w:pPr>
        <w:ind w:firstLine="684"/>
        <w:jc w:val="both"/>
        <w:rPr>
          <w:lang w:val="ro-RO"/>
        </w:rPr>
      </w:pPr>
      <w:r w:rsidRPr="002152E4">
        <w:rPr>
          <w:lang w:val="ro-RO"/>
        </w:rPr>
        <w:t>Potrivit art. 66 alin. (2) din Legea nr. 303/2004, republicată, cu modificările şi completările ulterioare, magistraţii-asistenţi sunt numiţi şi promovaţi în funcţie de Consiliul Superior al Magistraturii, pe bază de concurs.</w:t>
      </w:r>
    </w:p>
    <w:p w:rsidR="00EE6420" w:rsidRPr="002152E4" w:rsidRDefault="00EE6420" w:rsidP="00EE6420">
      <w:pPr>
        <w:ind w:firstLine="684"/>
        <w:jc w:val="both"/>
        <w:rPr>
          <w:lang w:val="ro-RO"/>
        </w:rPr>
      </w:pPr>
      <w:r w:rsidRPr="002152E4">
        <w:rPr>
          <w:lang w:val="ro-RO"/>
        </w:rPr>
        <w:t>În anul 2016 au fost organizate concursuri atât pentru ocuparea unor posturi de execuţie de magistrat-asistent, cât şi pentru promovarea în funcţii de conducere, după cum urmează:</w:t>
      </w:r>
    </w:p>
    <w:p w:rsidR="00EE6420" w:rsidRPr="002152E4" w:rsidRDefault="00EE6420" w:rsidP="00C72B60">
      <w:pPr>
        <w:numPr>
          <w:ilvl w:val="0"/>
          <w:numId w:val="13"/>
        </w:numPr>
        <w:ind w:left="0" w:firstLine="708"/>
        <w:jc w:val="both"/>
        <w:rPr>
          <w:rFonts w:cs="Calibri"/>
          <w:lang w:val="ro-RO"/>
        </w:rPr>
      </w:pPr>
      <w:r w:rsidRPr="002152E4">
        <w:rPr>
          <w:rFonts w:cs="Calibri"/>
          <w:lang w:val="ro-RO"/>
        </w:rPr>
        <w:t xml:space="preserve">la data de 23.05.2016 </w:t>
      </w:r>
      <w:r w:rsidRPr="002152E4">
        <w:rPr>
          <w:lang w:val="ro-RO"/>
        </w:rPr>
        <w:t xml:space="preserve">a fost organizat concurs </w:t>
      </w:r>
      <w:r w:rsidRPr="002152E4">
        <w:rPr>
          <w:rFonts w:cs="Calibri"/>
          <w:bCs/>
          <w:color w:val="000000"/>
          <w:lang w:val="ro-RO"/>
        </w:rPr>
        <w:t>pentru ocuparea funcţiei de magistrat- asistent şef la Secţia penală, ca urmare a demisiei titularului, funcţie care a rămas neocupată;</w:t>
      </w:r>
    </w:p>
    <w:p w:rsidR="00EE6420" w:rsidRPr="002152E4" w:rsidRDefault="00EE6420" w:rsidP="00C72B60">
      <w:pPr>
        <w:numPr>
          <w:ilvl w:val="0"/>
          <w:numId w:val="13"/>
        </w:numPr>
        <w:ind w:left="0" w:firstLine="708"/>
        <w:jc w:val="both"/>
        <w:rPr>
          <w:rFonts w:cs="Calibri"/>
          <w:lang w:val="ro-RO"/>
        </w:rPr>
      </w:pPr>
      <w:r w:rsidRPr="002152E4">
        <w:rPr>
          <w:rFonts w:cs="Calibri"/>
          <w:lang w:val="ro-RO"/>
        </w:rPr>
        <w:t xml:space="preserve">la data de 23.05.2016 </w:t>
      </w:r>
      <w:r w:rsidRPr="002152E4">
        <w:rPr>
          <w:lang w:val="ro-RO"/>
        </w:rPr>
        <w:t xml:space="preserve">a fost organizat concurs </w:t>
      </w:r>
      <w:r w:rsidRPr="002152E4">
        <w:rPr>
          <w:rFonts w:cs="Calibri"/>
          <w:bCs/>
          <w:color w:val="000000"/>
          <w:lang w:val="ro-RO"/>
        </w:rPr>
        <w:t>pentru ocuparea funcţiei de magistrat- asistent şef la Secţia de contencios administrativ şi fiscal, ca urmare a demisiei titularului, funcţie care s-a ocupat;</w:t>
      </w:r>
    </w:p>
    <w:p w:rsidR="00583E06" w:rsidRDefault="00EE6420" w:rsidP="00583E06">
      <w:pPr>
        <w:numPr>
          <w:ilvl w:val="0"/>
          <w:numId w:val="13"/>
        </w:numPr>
        <w:ind w:left="0" w:firstLine="684"/>
        <w:jc w:val="both"/>
        <w:rPr>
          <w:rFonts w:cs="Calibri"/>
          <w:lang w:val="ro-RO"/>
        </w:rPr>
      </w:pPr>
      <w:r w:rsidRPr="00583E06">
        <w:rPr>
          <w:rFonts w:cs="Calibri"/>
          <w:bCs/>
          <w:color w:val="000000"/>
          <w:lang w:val="ro-RO"/>
        </w:rPr>
        <w:t>în perioada 7 octombrie 2016 – 10 ianuarie 2017</w:t>
      </w:r>
      <w:r w:rsidRPr="00583E06">
        <w:rPr>
          <w:rFonts w:cs="Calibri"/>
          <w:b/>
          <w:bCs/>
          <w:color w:val="000000"/>
          <w:lang w:val="ro-RO"/>
        </w:rPr>
        <w:t xml:space="preserve"> </w:t>
      </w:r>
      <w:r w:rsidRPr="00583E06">
        <w:rPr>
          <w:rFonts w:cs="Calibri"/>
          <w:bCs/>
          <w:color w:val="000000"/>
          <w:lang w:val="ro-RO"/>
        </w:rPr>
        <w:t>se</w:t>
      </w:r>
      <w:r w:rsidRPr="00583E06">
        <w:rPr>
          <w:rFonts w:cs="Calibri"/>
          <w:b/>
          <w:bCs/>
          <w:color w:val="000000"/>
          <w:lang w:val="ro-RO"/>
        </w:rPr>
        <w:t xml:space="preserve"> </w:t>
      </w:r>
      <w:r w:rsidRPr="00583E06">
        <w:rPr>
          <w:rFonts w:cs="Calibri"/>
          <w:bCs/>
          <w:color w:val="000000"/>
          <w:lang w:val="ro-RO"/>
        </w:rPr>
        <w:t xml:space="preserve">organizează un concurs pentru ocuparea a 7 posturi de magistrat – asistent, repartizate astfel: 2 posturi la </w:t>
      </w:r>
      <w:r w:rsidRPr="00583E06">
        <w:rPr>
          <w:rFonts w:cs="Calibri"/>
          <w:bCs/>
          <w:lang w:val="ro-RO"/>
        </w:rPr>
        <w:t xml:space="preserve">Secţia a II – a civilă, 3 posturi la Secţia </w:t>
      </w:r>
      <w:r w:rsidRPr="00583E06">
        <w:rPr>
          <w:rFonts w:cs="Calibri"/>
          <w:bCs/>
          <w:lang w:val="ro-RO"/>
        </w:rPr>
        <w:lastRenderedPageBreak/>
        <w:t>penală şi 3 posturi la Secţia de contencios administrativ şi fiscal. Pentru aceste posturi s-au înscris 108 candidaţi, dintre care 96 au îndeplinit condiţiile pentru participarea la concurs</w:t>
      </w:r>
      <w:r w:rsidR="00583E06">
        <w:rPr>
          <w:rStyle w:val="FootnoteReference"/>
          <w:rFonts w:cs="Calibri"/>
          <w:bCs/>
          <w:lang w:val="ro-RO"/>
        </w:rPr>
        <w:footnoteReference w:id="4"/>
      </w:r>
      <w:r w:rsidRPr="00583E06">
        <w:rPr>
          <w:rFonts w:cs="Calibri"/>
          <w:bCs/>
          <w:lang w:val="ro-RO"/>
        </w:rPr>
        <w:t xml:space="preserve">. </w:t>
      </w:r>
    </w:p>
    <w:p w:rsidR="00EE6420" w:rsidRPr="00583E06" w:rsidRDefault="00583E06" w:rsidP="00583E06">
      <w:pPr>
        <w:tabs>
          <w:tab w:val="left" w:pos="720"/>
        </w:tabs>
        <w:jc w:val="both"/>
        <w:rPr>
          <w:rFonts w:cs="Calibri"/>
          <w:bCs/>
          <w:color w:val="000000"/>
          <w:lang w:val="ro-RO"/>
        </w:rPr>
      </w:pPr>
      <w:r>
        <w:rPr>
          <w:rFonts w:cs="Calibri"/>
          <w:bCs/>
          <w:color w:val="000000"/>
          <w:lang w:val="ro-RO"/>
        </w:rPr>
        <w:tab/>
      </w:r>
      <w:r w:rsidR="00EE6420" w:rsidRPr="00583E06">
        <w:rPr>
          <w:rFonts w:cs="Calibri"/>
          <w:bCs/>
          <w:color w:val="000000"/>
          <w:lang w:val="ro-RO"/>
        </w:rPr>
        <w:t>De asemenea, au fost eliberate din funcţia de magistrat –asistent 4 persoane, din care una ca</w:t>
      </w:r>
      <w:r>
        <w:rPr>
          <w:rFonts w:cs="Calibri"/>
          <w:bCs/>
          <w:color w:val="000000"/>
          <w:lang w:val="ro-RO"/>
        </w:rPr>
        <w:t xml:space="preserve"> </w:t>
      </w:r>
      <w:r w:rsidR="00EE6420" w:rsidRPr="00583E06">
        <w:rPr>
          <w:rFonts w:cs="Calibri"/>
          <w:bCs/>
          <w:color w:val="000000"/>
          <w:lang w:val="ro-RO"/>
        </w:rPr>
        <w:t>urmare a pensionării şi 3 ca urmare a demisiei.</w:t>
      </w:r>
    </w:p>
    <w:p w:rsidR="00EE6420" w:rsidRPr="002152E4" w:rsidRDefault="00EE6420" w:rsidP="00EE6420">
      <w:pPr>
        <w:ind w:firstLine="684"/>
        <w:jc w:val="both"/>
        <w:rPr>
          <w:lang w:val="ro-RO"/>
        </w:rPr>
      </w:pPr>
      <w:r w:rsidRPr="002152E4">
        <w:rPr>
          <w:lang w:val="ro-RO"/>
        </w:rPr>
        <w:t>Urmare a intrărilor şi ieşirilor de personal intervenite în cursul anului 2016, l</w:t>
      </w:r>
      <w:r w:rsidR="00583E06">
        <w:rPr>
          <w:lang w:val="ro-RO"/>
        </w:rPr>
        <w:t>a data de 1 ianuarie 2017 erau</w:t>
      </w:r>
      <w:r w:rsidRPr="002152E4">
        <w:rPr>
          <w:lang w:val="ro-RO"/>
        </w:rPr>
        <w:t xml:space="preserve"> ocupate 111 posturi de magistrat-asistent şi vacante 12 posturi.</w:t>
      </w:r>
    </w:p>
    <w:p w:rsidR="00EE6420" w:rsidRPr="002152E4" w:rsidRDefault="00EE6420" w:rsidP="00EE6420">
      <w:pPr>
        <w:rPr>
          <w:lang w:val="ro-RO"/>
        </w:rPr>
      </w:pPr>
    </w:p>
    <w:p w:rsidR="00EE6420" w:rsidRPr="002152E4" w:rsidRDefault="00EE6420" w:rsidP="00EE6420">
      <w:pPr>
        <w:ind w:firstLine="684"/>
        <w:jc w:val="both"/>
        <w:rPr>
          <w:b/>
          <w:lang w:val="ro-RO"/>
        </w:rPr>
      </w:pPr>
      <w:r w:rsidRPr="002152E4">
        <w:rPr>
          <w:b/>
          <w:lang w:val="ro-RO"/>
        </w:rPr>
        <w:t>C.</w:t>
      </w:r>
      <w:r w:rsidRPr="002152E4">
        <w:rPr>
          <w:lang w:val="ro-RO"/>
        </w:rPr>
        <w:t xml:space="preserve"> </w:t>
      </w:r>
      <w:r w:rsidRPr="002152E4">
        <w:rPr>
          <w:b/>
          <w:lang w:val="ro-RO"/>
        </w:rPr>
        <w:t>Situaţia posturilor de personal de specialitate juridică asimilat judecătorilor şi procurorilor din Ministerul Justiţiei, Consiliul Superior al Magistraturii şi instituţiile subordonate la data de 31.12.2016.</w:t>
      </w:r>
    </w:p>
    <w:p w:rsidR="00EE6420" w:rsidRPr="00195C71" w:rsidRDefault="00EE6420" w:rsidP="00EE6420">
      <w:pPr>
        <w:ind w:firstLine="684"/>
        <w:jc w:val="both"/>
        <w:rPr>
          <w:b/>
          <w:sz w:val="16"/>
          <w:szCs w:val="16"/>
          <w:lang w:val="ro-RO"/>
        </w:rPr>
      </w:pPr>
    </w:p>
    <w:p w:rsidR="00EE6420" w:rsidRPr="002152E4" w:rsidRDefault="00EE6420" w:rsidP="00D5288F">
      <w:pPr>
        <w:pStyle w:val="ListParagraph"/>
        <w:ind w:left="0" w:firstLine="568"/>
        <w:jc w:val="both"/>
        <w:rPr>
          <w:rFonts w:ascii="Calibri" w:eastAsia="Times New Roman" w:hAnsi="Calibri" w:cs="Arial"/>
          <w:lang w:val="ro-RO" w:eastAsia="ro-RO"/>
        </w:rPr>
      </w:pPr>
      <w:r w:rsidRPr="002152E4">
        <w:rPr>
          <w:rFonts w:ascii="Calibri" w:eastAsia="Times New Roman" w:hAnsi="Calibri" w:cs="Arial"/>
          <w:lang w:val="ro-RO" w:eastAsia="ro-RO"/>
        </w:rPr>
        <w:t>Numărul total de posturi de personal de specialitate juridică asimilat judecătorilor și procurorilor din cadrul Ministerului Justiției și instituțiilor subordonate (Autoritatea Națională pentru Cetățenie și Agenția Națională de Administrare a Bunurilor Indisponibilizate), la data de 31.12.2016, era de 237 de posturi, din care 191 posturi ocupate și 46 de posturi vacante.</w:t>
      </w:r>
    </w:p>
    <w:p w:rsidR="00EE6420" w:rsidRPr="002152E4" w:rsidRDefault="00EE6420" w:rsidP="00D5288F">
      <w:pPr>
        <w:jc w:val="both"/>
        <w:rPr>
          <w:lang w:val="ro-RO"/>
        </w:rPr>
      </w:pPr>
      <w:r w:rsidRPr="002152E4">
        <w:rPr>
          <w:rFonts w:eastAsia="Calibri"/>
          <w:b/>
          <w:lang w:val="ro-RO"/>
        </w:rPr>
        <w:tab/>
      </w:r>
      <w:r w:rsidRPr="002152E4">
        <w:rPr>
          <w:rFonts w:eastAsia="Calibri"/>
          <w:lang w:val="ro-RO"/>
        </w:rPr>
        <w:t xml:space="preserve">La data de referinţă, în schema de personal a Institutului Naţional al Magistraturii,  erau prevăzute 25 de </w:t>
      </w:r>
      <w:r w:rsidR="002152E4" w:rsidRPr="002152E4">
        <w:rPr>
          <w:rFonts w:eastAsia="Calibri"/>
          <w:lang w:val="ro-RO"/>
        </w:rPr>
        <w:t>posturi</w:t>
      </w:r>
      <w:r w:rsidRPr="002152E4">
        <w:rPr>
          <w:rFonts w:eastAsia="Calibri"/>
          <w:lang w:val="ro-RO"/>
        </w:rPr>
        <w:t xml:space="preserve"> de personal de specialitate juridică asimilat judecătorilor şi procurorilor, toate posturile fiind ocupate.</w:t>
      </w:r>
    </w:p>
    <w:p w:rsidR="00195C71" w:rsidRDefault="00EE6420" w:rsidP="00D5288F">
      <w:pPr>
        <w:ind w:firstLine="568"/>
        <w:jc w:val="both"/>
        <w:rPr>
          <w:lang w:val="ro-RO"/>
        </w:rPr>
      </w:pPr>
      <w:r w:rsidRPr="002152E4">
        <w:rPr>
          <w:lang w:val="ro-RO"/>
        </w:rPr>
        <w:t xml:space="preserve">În schema de personal a Consiliului Superior al Magistraturii au fost prevăzute, la data de 31.12.2016, </w:t>
      </w:r>
      <w:r w:rsidR="00195C71">
        <w:rPr>
          <w:lang w:val="ro-RO"/>
        </w:rPr>
        <w:t>79</w:t>
      </w:r>
      <w:r w:rsidRPr="002152E4">
        <w:rPr>
          <w:lang w:val="ro-RO"/>
        </w:rPr>
        <w:t xml:space="preserve"> de posturi</w:t>
      </w:r>
      <w:r w:rsidR="00195C71">
        <w:rPr>
          <w:lang w:val="ro-RO"/>
        </w:rPr>
        <w:t xml:space="preserve"> finanţate</w:t>
      </w:r>
      <w:r w:rsidRPr="002152E4">
        <w:rPr>
          <w:lang w:val="ro-RO"/>
        </w:rPr>
        <w:t xml:space="preserve"> de personal de specialitate juridică asimilat judecătorilor şi procurorilor, din care 72 de posturi ocupate şi </w:t>
      </w:r>
      <w:r w:rsidR="00195C71">
        <w:rPr>
          <w:lang w:val="ro-RO"/>
        </w:rPr>
        <w:t>7</w:t>
      </w:r>
      <w:r w:rsidRPr="002152E4">
        <w:rPr>
          <w:lang w:val="ro-RO"/>
        </w:rPr>
        <w:t xml:space="preserve"> posturi vacante</w:t>
      </w:r>
      <w:r w:rsidR="00195C71">
        <w:rPr>
          <w:lang w:val="ro-RO"/>
        </w:rPr>
        <w:t>. Însă, în luna ianuarie 2017, 4 dintre posturile vacante au fost transformate în posturi de personal contractual.</w:t>
      </w:r>
    </w:p>
    <w:p w:rsidR="00EE6420" w:rsidRPr="002152E4" w:rsidRDefault="00EE6420" w:rsidP="00D5288F">
      <w:pPr>
        <w:ind w:firstLine="568"/>
        <w:jc w:val="both"/>
        <w:rPr>
          <w:lang w:val="ro-RO"/>
        </w:rPr>
      </w:pPr>
      <w:r w:rsidRPr="002152E4">
        <w:rPr>
          <w:lang w:val="ro-RO"/>
        </w:rPr>
        <w:t>Schema de personal a Inspecţiei Judiciare cuprindea, la data de referinţă, 13 posturi de personal de specialitate juridică asimilat judecătorilor şi procurorilor, din care 11 posturi ocupate şi 2 posturi vacante.</w:t>
      </w:r>
    </w:p>
    <w:p w:rsidR="00EE6420" w:rsidRPr="00195C71" w:rsidRDefault="00EE6420" w:rsidP="00EE6420">
      <w:pPr>
        <w:jc w:val="both"/>
        <w:rPr>
          <w:sz w:val="16"/>
          <w:szCs w:val="16"/>
          <w:lang w:val="ro-RO"/>
        </w:rPr>
      </w:pPr>
    </w:p>
    <w:p w:rsidR="00EE6420" w:rsidRPr="002152E4" w:rsidRDefault="00EE6420" w:rsidP="00C72B60">
      <w:pPr>
        <w:pStyle w:val="NormalWeb"/>
        <w:numPr>
          <w:ilvl w:val="0"/>
          <w:numId w:val="15"/>
        </w:numPr>
        <w:spacing w:before="0" w:beforeAutospacing="0" w:after="0" w:afterAutospacing="0"/>
        <w:jc w:val="both"/>
        <w:rPr>
          <w:rFonts w:ascii="Calibri" w:hAnsi="Calibri"/>
          <w:b/>
          <w:lang w:val="ro-RO"/>
        </w:rPr>
      </w:pPr>
      <w:r w:rsidRPr="002152E4">
        <w:rPr>
          <w:rFonts w:ascii="Calibri" w:hAnsi="Calibri"/>
          <w:b/>
          <w:lang w:val="ro-RO"/>
        </w:rPr>
        <w:t>Situaţia posturilor de personal auxiliar din cadrul instanţelor, la finele anului 2016.</w:t>
      </w:r>
    </w:p>
    <w:p w:rsidR="00EE6420" w:rsidRPr="00195C71" w:rsidRDefault="00EE6420" w:rsidP="00EE6420">
      <w:pPr>
        <w:ind w:firstLine="567"/>
        <w:jc w:val="both"/>
        <w:rPr>
          <w:sz w:val="16"/>
          <w:szCs w:val="16"/>
          <w:lang w:val="ro-RO"/>
        </w:rPr>
      </w:pPr>
    </w:p>
    <w:p w:rsidR="00EE6420" w:rsidRPr="002152E4" w:rsidRDefault="00EE6420" w:rsidP="00EE6420">
      <w:pPr>
        <w:ind w:firstLine="567"/>
        <w:jc w:val="both"/>
        <w:rPr>
          <w:lang w:val="ro-RO"/>
        </w:rPr>
      </w:pPr>
      <w:r w:rsidRPr="002152E4">
        <w:rPr>
          <w:lang w:val="ro-RO"/>
        </w:rPr>
        <w:t xml:space="preserve">Potrivit datelor comunicate de curțile de apel, la sfârșitul anului 2016, în statele de funcții și de personal ale instanțelor erau prevăzute 7844 de posturi de grefier, din care 7677 de posturi erau ocupate, iar 167 de posturi erau vacante. </w:t>
      </w:r>
    </w:p>
    <w:p w:rsidR="00CD6117" w:rsidRPr="00195C71" w:rsidRDefault="00CD6117" w:rsidP="00CD6117">
      <w:pPr>
        <w:ind w:firstLine="684"/>
        <w:jc w:val="both"/>
        <w:rPr>
          <w:sz w:val="16"/>
          <w:szCs w:val="16"/>
          <w:lang w:val="ro-RO" w:eastAsia="ro-RO"/>
        </w:rPr>
      </w:pPr>
    </w:p>
    <w:p w:rsidR="00CD6117" w:rsidRPr="002152E4" w:rsidRDefault="00EE6420" w:rsidP="00EE6420">
      <w:pPr>
        <w:ind w:firstLine="684"/>
        <w:jc w:val="both"/>
        <w:rPr>
          <w:b/>
          <w:lang w:val="ro-RO" w:eastAsia="ro-RO"/>
        </w:rPr>
      </w:pPr>
      <w:r w:rsidRPr="002152E4">
        <w:rPr>
          <w:b/>
          <w:lang w:val="ro-RO" w:eastAsia="ro-RO"/>
        </w:rPr>
        <w:t>IV.2. F</w:t>
      </w:r>
      <w:r w:rsidR="00CD6117" w:rsidRPr="002152E4">
        <w:rPr>
          <w:b/>
          <w:lang w:val="ro-RO" w:eastAsia="ro-RO"/>
        </w:rPr>
        <w:t>ormarea profesională a personalului</w:t>
      </w:r>
    </w:p>
    <w:p w:rsidR="00EE6420" w:rsidRPr="002152E4" w:rsidRDefault="00EE6420" w:rsidP="00CD6117">
      <w:pPr>
        <w:ind w:firstLine="684"/>
        <w:jc w:val="both"/>
        <w:rPr>
          <w:lang w:val="ro-RO" w:eastAsia="ro-RO"/>
        </w:rPr>
      </w:pPr>
    </w:p>
    <w:p w:rsidR="00EE6420" w:rsidRPr="002152E4" w:rsidRDefault="00EE6420" w:rsidP="00EE6420">
      <w:pPr>
        <w:jc w:val="both"/>
        <w:rPr>
          <w:b/>
          <w:i/>
          <w:lang w:val="ro-RO"/>
        </w:rPr>
      </w:pPr>
      <w:r w:rsidRPr="002152E4">
        <w:rPr>
          <w:b/>
          <w:i/>
          <w:lang w:val="ro-RO"/>
        </w:rPr>
        <w:tab/>
        <w:t>IV.2.1. Formarea inițială a viitorilor judecători și procurori</w:t>
      </w:r>
    </w:p>
    <w:p w:rsidR="00EE6420" w:rsidRPr="002152E4" w:rsidRDefault="00EE6420" w:rsidP="00EE6420">
      <w:pPr>
        <w:ind w:right="43" w:firstLine="720"/>
        <w:jc w:val="both"/>
        <w:rPr>
          <w:lang w:val="ro-RO"/>
        </w:rPr>
      </w:pPr>
      <w:bookmarkStart w:id="170" w:name="_Toc383085362"/>
      <w:bookmarkStart w:id="171" w:name="_Toc383085227"/>
      <w:r w:rsidRPr="002152E4">
        <w:rPr>
          <w:lang w:val="ro-RO"/>
        </w:rPr>
        <w:t xml:space="preserve"> Pe parcursul anului 2016, formarea profesională a auditorilor de justiție din anii I și al II - lea de studiu admiși în sesiunile concursurilor de admitere la INM din 2014 și 2015 s-a desfășurat conform Programului de formare inițială 2015 – 2016 aprobat prin Hotărârea Plenului CSM nr. 670/22.06.2015, completată prin Hotărârile Plenului CSM nr. 370/2016, CSM nr. 535/2016 și nr. 1154/2016.</w:t>
      </w:r>
    </w:p>
    <w:p w:rsidR="00EE6420" w:rsidRPr="002152E4" w:rsidRDefault="00EE6420" w:rsidP="00EE6420">
      <w:pPr>
        <w:ind w:right="43" w:firstLine="720"/>
        <w:jc w:val="both"/>
        <w:rPr>
          <w:b/>
          <w:lang w:val="ro-RO"/>
        </w:rPr>
      </w:pPr>
      <w:r w:rsidRPr="002152E4">
        <w:rPr>
          <w:b/>
          <w:lang w:val="ro-RO"/>
        </w:rPr>
        <w:t>În anul 2016 au fost formați 158 auditori de justiție în anul al II – lea și 142 auditori de justiție în anul I.</w:t>
      </w:r>
    </w:p>
    <w:p w:rsidR="00EE6420" w:rsidRPr="002152E4" w:rsidRDefault="00EE6420" w:rsidP="00EE6420">
      <w:pPr>
        <w:ind w:right="43" w:firstLine="706"/>
        <w:jc w:val="both"/>
        <w:rPr>
          <w:bCs/>
          <w:lang w:val="ro-RO"/>
        </w:rPr>
      </w:pPr>
      <w:r w:rsidRPr="002152E4">
        <w:rPr>
          <w:b/>
          <w:bCs/>
          <w:lang w:val="ro-RO"/>
        </w:rPr>
        <w:t>Programul de formare inițială pentru anul  I</w:t>
      </w:r>
      <w:r w:rsidRPr="002152E4">
        <w:rPr>
          <w:bCs/>
          <w:lang w:val="ro-RO"/>
        </w:rPr>
        <w:t xml:space="preserve"> de studiu aferent promoției de auditori de justiție 2015 – 2017 a debutat la data de 4 ianuarie 2016, potrivit Hotărârii Plenului CSM nr. 670/22.06.2015. </w:t>
      </w:r>
    </w:p>
    <w:p w:rsidR="00EE6420" w:rsidRPr="002152E4" w:rsidRDefault="00EE6420" w:rsidP="00EE6420">
      <w:pPr>
        <w:tabs>
          <w:tab w:val="left" w:pos="851"/>
        </w:tabs>
        <w:ind w:right="43" w:firstLine="706"/>
        <w:contextualSpacing/>
        <w:jc w:val="both"/>
        <w:rPr>
          <w:lang w:val="ro-RO"/>
        </w:rPr>
      </w:pPr>
      <w:r w:rsidRPr="002152E4">
        <w:rPr>
          <w:lang w:val="ro-RO"/>
        </w:rPr>
        <w:t>Elementele de noutate față de anul I de formare anterior au fost, în principal, următoarele:</w:t>
      </w:r>
    </w:p>
    <w:p w:rsidR="00EE6420" w:rsidRPr="002152E4" w:rsidRDefault="00EE6420" w:rsidP="00C72B60">
      <w:pPr>
        <w:numPr>
          <w:ilvl w:val="0"/>
          <w:numId w:val="16"/>
        </w:numPr>
        <w:tabs>
          <w:tab w:val="left" w:pos="900"/>
        </w:tabs>
        <w:ind w:left="0" w:right="43" w:firstLine="706"/>
        <w:contextualSpacing/>
        <w:jc w:val="both"/>
        <w:rPr>
          <w:lang w:val="ro-RO"/>
        </w:rPr>
      </w:pPr>
      <w:r w:rsidRPr="002152E4">
        <w:rPr>
          <w:lang w:val="ro-RO"/>
        </w:rPr>
        <w:t>creșterea duratei stagiului în cadrul instanțelor și parchetelor de la 3 la 6 săptămâni și desfășurarea acestuia în două etape, din care prima după parcurgerea unui segment aferent Modulului I;</w:t>
      </w:r>
    </w:p>
    <w:p w:rsidR="00EE6420" w:rsidRPr="002152E4" w:rsidRDefault="00EE6420" w:rsidP="00C72B60">
      <w:pPr>
        <w:numPr>
          <w:ilvl w:val="0"/>
          <w:numId w:val="16"/>
        </w:numPr>
        <w:tabs>
          <w:tab w:val="left" w:pos="900"/>
        </w:tabs>
        <w:ind w:left="0" w:right="43" w:firstLine="706"/>
        <w:contextualSpacing/>
        <w:jc w:val="both"/>
        <w:rPr>
          <w:lang w:val="ro-RO"/>
        </w:rPr>
      </w:pPr>
      <w:r w:rsidRPr="002152E4">
        <w:rPr>
          <w:lang w:val="ro-RO"/>
        </w:rPr>
        <w:t>alocarea unui număr de 4 săptămâni unor activități cu caracter exclusiv practic;</w:t>
      </w:r>
    </w:p>
    <w:p w:rsidR="00EE6420" w:rsidRPr="002152E4" w:rsidRDefault="00EE6420" w:rsidP="00C72B60">
      <w:pPr>
        <w:numPr>
          <w:ilvl w:val="0"/>
          <w:numId w:val="16"/>
        </w:numPr>
        <w:tabs>
          <w:tab w:val="left" w:pos="900"/>
        </w:tabs>
        <w:ind w:left="0" w:right="43" w:firstLine="706"/>
        <w:contextualSpacing/>
        <w:jc w:val="both"/>
        <w:rPr>
          <w:lang w:val="ro-RO"/>
        </w:rPr>
      </w:pPr>
      <w:r w:rsidRPr="002152E4">
        <w:rPr>
          <w:lang w:val="ro-RO"/>
        </w:rPr>
        <w:t>obligativitatea parcurgerii stagiilor în cadrul altor instituții;</w:t>
      </w:r>
    </w:p>
    <w:p w:rsidR="00EE6420" w:rsidRPr="002152E4" w:rsidRDefault="00EE6420" w:rsidP="00C72B60">
      <w:pPr>
        <w:numPr>
          <w:ilvl w:val="0"/>
          <w:numId w:val="16"/>
        </w:numPr>
        <w:tabs>
          <w:tab w:val="left" w:pos="900"/>
        </w:tabs>
        <w:ind w:left="0" w:right="43" w:firstLine="706"/>
        <w:contextualSpacing/>
        <w:jc w:val="both"/>
        <w:rPr>
          <w:lang w:val="ro-RO"/>
        </w:rPr>
      </w:pPr>
      <w:r w:rsidRPr="002152E4">
        <w:rPr>
          <w:lang w:val="ro-RO"/>
        </w:rPr>
        <w:t>extinderea numărului de săptămâni alocat Modulului III la 4, față de 3 săptămâni, alocate în anul de formare anterior;</w:t>
      </w:r>
    </w:p>
    <w:p w:rsidR="00EE6420" w:rsidRPr="002152E4" w:rsidRDefault="00EE6420" w:rsidP="00C72B60">
      <w:pPr>
        <w:numPr>
          <w:ilvl w:val="0"/>
          <w:numId w:val="16"/>
        </w:numPr>
        <w:tabs>
          <w:tab w:val="left" w:pos="900"/>
        </w:tabs>
        <w:ind w:left="0" w:right="43" w:firstLine="706"/>
        <w:contextualSpacing/>
        <w:jc w:val="both"/>
        <w:rPr>
          <w:lang w:val="ro-RO"/>
        </w:rPr>
      </w:pPr>
      <w:r w:rsidRPr="002152E4">
        <w:rPr>
          <w:lang w:val="ro-RO"/>
        </w:rPr>
        <w:lastRenderedPageBreak/>
        <w:t xml:space="preserve">inserarea în programa disciplinelor fundamentale a unor elemente de </w:t>
      </w:r>
      <w:r w:rsidRPr="002152E4">
        <w:rPr>
          <w:i/>
          <w:lang w:val="ro-RO"/>
        </w:rPr>
        <w:t>case management</w:t>
      </w:r>
      <w:r w:rsidRPr="002152E4">
        <w:rPr>
          <w:lang w:val="ro-RO"/>
        </w:rPr>
        <w:t xml:space="preserve"> și de scriere juridică, după cum urmează: la disciplina </w:t>
      </w:r>
      <w:r w:rsidRPr="002152E4">
        <w:rPr>
          <w:i/>
          <w:lang w:val="ro-RO"/>
        </w:rPr>
        <w:t>drept civil</w:t>
      </w:r>
      <w:r w:rsidRPr="002152E4">
        <w:rPr>
          <w:lang w:val="ro-RO"/>
        </w:rPr>
        <w:t xml:space="preserve"> – 10 ore, la disciplina </w:t>
      </w:r>
      <w:r w:rsidRPr="002152E4">
        <w:rPr>
          <w:i/>
          <w:lang w:val="ro-RO"/>
        </w:rPr>
        <w:t>drept penal</w:t>
      </w:r>
      <w:r w:rsidRPr="002152E4">
        <w:rPr>
          <w:lang w:val="ro-RO"/>
        </w:rPr>
        <w:t xml:space="preserve"> – 10 ore, iar la disciplina </w:t>
      </w:r>
      <w:r w:rsidRPr="002152E4">
        <w:rPr>
          <w:i/>
          <w:lang w:val="ro-RO"/>
        </w:rPr>
        <w:t>drept administrativ</w:t>
      </w:r>
      <w:r w:rsidRPr="002152E4">
        <w:rPr>
          <w:lang w:val="ro-RO"/>
        </w:rPr>
        <w:t xml:space="preserve"> – 2 ore;</w:t>
      </w:r>
    </w:p>
    <w:p w:rsidR="00EE6420" w:rsidRPr="002152E4" w:rsidRDefault="00EE6420" w:rsidP="00C72B60">
      <w:pPr>
        <w:numPr>
          <w:ilvl w:val="0"/>
          <w:numId w:val="16"/>
        </w:numPr>
        <w:tabs>
          <w:tab w:val="left" w:pos="900"/>
        </w:tabs>
        <w:ind w:left="0" w:right="43" w:firstLine="706"/>
        <w:contextualSpacing/>
        <w:jc w:val="both"/>
        <w:rPr>
          <w:lang w:val="ro-RO"/>
        </w:rPr>
      </w:pPr>
      <w:r w:rsidRPr="002152E4">
        <w:rPr>
          <w:lang w:val="ro-RO"/>
        </w:rPr>
        <w:t>includerea în programul de formare a unei conferințe de Medicină legală, în scopul completării și corelării unor aspecte specifice discutate în cadrul seminariilor disciplinelor fundamentale.</w:t>
      </w:r>
    </w:p>
    <w:p w:rsidR="00EE6420" w:rsidRPr="002152E4" w:rsidRDefault="00EE6420" w:rsidP="00EE6420">
      <w:pPr>
        <w:tabs>
          <w:tab w:val="left" w:pos="900"/>
        </w:tabs>
        <w:ind w:left="-90" w:right="43"/>
        <w:jc w:val="both"/>
        <w:rPr>
          <w:lang w:val="ro-RO"/>
        </w:rPr>
      </w:pPr>
      <w:r w:rsidRPr="002152E4">
        <w:rPr>
          <w:lang w:val="ro-RO"/>
        </w:rPr>
        <w:tab/>
        <w:t>În perioada 5 – 21 decembrie 2016 auditorii de justiție au participat la activități practice desfășurate la sediul INM sub coordonarea formatorilor Institutului, în domeniile drept civil (inclusiv dreptul familiei) și drept penal, cu accent pe aspecte de comunicare și etică. Activitățile constau în procese simulate, mini-secvențe simulate, exerciții practice și au ca scop exersarea abilităților specifice necesare exercitării profesiei.</w:t>
      </w:r>
    </w:p>
    <w:p w:rsidR="00EE6420" w:rsidRPr="002152E4" w:rsidRDefault="00EE6420" w:rsidP="00EE6420">
      <w:pPr>
        <w:ind w:right="43" w:firstLine="706"/>
        <w:jc w:val="both"/>
        <w:rPr>
          <w:lang w:val="ro-RO"/>
        </w:rPr>
      </w:pPr>
      <w:r w:rsidRPr="002152E4">
        <w:rPr>
          <w:lang w:val="ro-RO"/>
        </w:rPr>
        <w:t xml:space="preserve">În ceea ce privește </w:t>
      </w:r>
      <w:r w:rsidRPr="002152E4">
        <w:rPr>
          <w:b/>
          <w:bCs/>
          <w:lang w:val="ro-RO"/>
        </w:rPr>
        <w:t>Programul de formare inițială pentru anul al II-lea (2015 - 2016)</w:t>
      </w:r>
      <w:r w:rsidRPr="002152E4">
        <w:rPr>
          <w:lang w:val="ro-RO"/>
        </w:rPr>
        <w:t>, acesta a prezentat următoarele modificări față de programul din anul anterior:</w:t>
      </w:r>
    </w:p>
    <w:p w:rsidR="00EE6420" w:rsidRPr="002152E4" w:rsidRDefault="00EE6420" w:rsidP="00EE6420">
      <w:pPr>
        <w:tabs>
          <w:tab w:val="left" w:pos="900"/>
        </w:tabs>
        <w:ind w:right="43"/>
        <w:contextualSpacing/>
        <w:jc w:val="both"/>
        <w:rPr>
          <w:lang w:val="ro-RO" w:eastAsia="ro-RO"/>
        </w:rPr>
      </w:pPr>
      <w:r w:rsidRPr="002152E4">
        <w:rPr>
          <w:lang w:val="ro-RO" w:eastAsia="ro-RO"/>
        </w:rPr>
        <w:tab/>
        <w:t xml:space="preserve">- includerea în programul de formare aferent acestui an a stagiului în cadrul formelor de exercitare a profesiei de avocat; </w:t>
      </w:r>
    </w:p>
    <w:p w:rsidR="00EE6420" w:rsidRPr="002152E4" w:rsidRDefault="00EE6420" w:rsidP="00EE6420">
      <w:pPr>
        <w:tabs>
          <w:tab w:val="left" w:pos="900"/>
        </w:tabs>
        <w:ind w:right="43"/>
        <w:contextualSpacing/>
        <w:jc w:val="both"/>
        <w:rPr>
          <w:lang w:val="ro-RO" w:eastAsia="ro-RO"/>
        </w:rPr>
      </w:pPr>
      <w:r w:rsidRPr="002152E4">
        <w:rPr>
          <w:lang w:val="ro-RO" w:eastAsia="ro-RO"/>
        </w:rPr>
        <w:tab/>
        <w:t>- împărțirea modulului în două etape distincte;</w:t>
      </w:r>
    </w:p>
    <w:p w:rsidR="00EE6420" w:rsidRPr="002152E4" w:rsidRDefault="00EE6420" w:rsidP="00EE6420">
      <w:pPr>
        <w:tabs>
          <w:tab w:val="left" w:pos="900"/>
        </w:tabs>
        <w:ind w:right="43"/>
        <w:contextualSpacing/>
        <w:jc w:val="both"/>
        <w:rPr>
          <w:lang w:val="ro-RO" w:eastAsia="ro-RO"/>
        </w:rPr>
      </w:pPr>
      <w:r w:rsidRPr="002152E4">
        <w:rPr>
          <w:lang w:val="ro-RO" w:eastAsia="ro-RO"/>
        </w:rPr>
        <w:tab/>
        <w:t>-  includerea unui stagiu obligatoriu cu o durată de două săptămâni în cadrul tribunalelor și al curților de apel – pentru auditorii de justiție viitori judecători;</w:t>
      </w:r>
    </w:p>
    <w:p w:rsidR="00EE6420" w:rsidRPr="002152E4" w:rsidRDefault="00EE6420" w:rsidP="00EE6420">
      <w:pPr>
        <w:tabs>
          <w:tab w:val="left" w:pos="900"/>
        </w:tabs>
        <w:ind w:right="43"/>
        <w:contextualSpacing/>
        <w:jc w:val="both"/>
        <w:rPr>
          <w:rFonts w:eastAsia="Calibri"/>
          <w:lang w:val="ro-RO" w:eastAsia="ro-RO"/>
        </w:rPr>
      </w:pPr>
      <w:r w:rsidRPr="002152E4">
        <w:rPr>
          <w:rFonts w:eastAsia="Calibri"/>
          <w:lang w:val="ro-RO" w:eastAsia="ro-RO"/>
        </w:rPr>
        <w:tab/>
        <w:t>- includerea unui stagiu obligatoriu cu o durată de două săptămâni în cadrul parchetelor de pe lângă tribunale – pentru auditorii de justiție viitori procurori;</w:t>
      </w:r>
    </w:p>
    <w:p w:rsidR="00EE6420" w:rsidRPr="002152E4" w:rsidRDefault="00EE6420" w:rsidP="00EE6420">
      <w:pPr>
        <w:tabs>
          <w:tab w:val="left" w:pos="900"/>
        </w:tabs>
        <w:ind w:right="43"/>
        <w:contextualSpacing/>
        <w:jc w:val="both"/>
        <w:rPr>
          <w:rFonts w:eastAsia="Calibri"/>
          <w:lang w:val="ro-RO" w:eastAsia="ro-RO"/>
        </w:rPr>
      </w:pPr>
      <w:r w:rsidRPr="002152E4">
        <w:rPr>
          <w:rFonts w:eastAsia="Calibri"/>
          <w:lang w:val="ro-RO" w:eastAsia="ro-RO"/>
        </w:rPr>
        <w:tab/>
        <w:t xml:space="preserve">- obligativitatea parcurgerii unor stagii în cadrul altor instituții; </w:t>
      </w:r>
    </w:p>
    <w:p w:rsidR="00EE6420" w:rsidRPr="002152E4" w:rsidRDefault="00EE6420" w:rsidP="00EE6420">
      <w:pPr>
        <w:tabs>
          <w:tab w:val="left" w:pos="900"/>
        </w:tabs>
        <w:ind w:right="43"/>
        <w:contextualSpacing/>
        <w:jc w:val="both"/>
        <w:rPr>
          <w:lang w:val="ro-RO" w:eastAsia="ro-RO"/>
        </w:rPr>
      </w:pPr>
      <w:r w:rsidRPr="002152E4">
        <w:rPr>
          <w:lang w:val="ro-RO" w:eastAsia="ro-RO"/>
        </w:rPr>
        <w:tab/>
        <w:t>- monitorizarea stagiului practic pe parcursul întregului an de formare;</w:t>
      </w:r>
    </w:p>
    <w:p w:rsidR="00EE6420" w:rsidRPr="002152E4" w:rsidRDefault="00EE6420" w:rsidP="00EE6420">
      <w:pPr>
        <w:tabs>
          <w:tab w:val="left" w:pos="900"/>
        </w:tabs>
        <w:ind w:right="43"/>
        <w:contextualSpacing/>
        <w:jc w:val="both"/>
        <w:rPr>
          <w:lang w:val="ro-RO" w:eastAsia="ro-RO"/>
        </w:rPr>
      </w:pPr>
      <w:r w:rsidRPr="002152E4">
        <w:rPr>
          <w:lang w:val="ro-RO" w:eastAsia="ro-RO"/>
        </w:rPr>
        <w:tab/>
        <w:t>- modificarea structurii caietului de practică.</w:t>
      </w:r>
    </w:p>
    <w:p w:rsidR="00EE6420" w:rsidRPr="002152E4" w:rsidRDefault="00EE6420" w:rsidP="00EE6420">
      <w:pPr>
        <w:tabs>
          <w:tab w:val="left" w:pos="900"/>
        </w:tabs>
        <w:ind w:right="43"/>
        <w:contextualSpacing/>
        <w:jc w:val="both"/>
        <w:rPr>
          <w:lang w:val="ro-RO" w:eastAsia="ro-RO"/>
        </w:rPr>
      </w:pPr>
    </w:p>
    <w:p w:rsidR="00EE6420" w:rsidRPr="002152E4" w:rsidRDefault="00EE6420" w:rsidP="00EE6420">
      <w:pPr>
        <w:tabs>
          <w:tab w:val="left" w:pos="900"/>
        </w:tabs>
        <w:ind w:right="43"/>
        <w:jc w:val="both"/>
        <w:rPr>
          <w:spacing w:val="-10"/>
          <w:lang w:val="ro-RO"/>
        </w:rPr>
      </w:pPr>
      <w:r w:rsidRPr="002152E4">
        <w:rPr>
          <w:lang w:val="ro-RO" w:eastAsia="ro-RO"/>
        </w:rPr>
        <w:tab/>
      </w:r>
      <w:bookmarkStart w:id="172" w:name="_Toc383085363"/>
      <w:bookmarkStart w:id="173" w:name="_Toc383085228"/>
      <w:bookmarkEnd w:id="170"/>
      <w:bookmarkEnd w:id="171"/>
      <w:r w:rsidRPr="002152E4">
        <w:rPr>
          <w:spacing w:val="-10"/>
          <w:lang w:val="ro-RO"/>
        </w:rPr>
        <w:t>În ceea ce privește sesiunile de formare dedicate relaționării profesionale magistrat – avocat, acestea         s-au organizat și desfășurat sub coordonarea formatorului cu normă întreagă al INM în domeniul eticii și au ocazionat, ca și în anul anterior, participarea unor reprezentanți cu o bogată experiență ai ambelor profesii juridice.</w:t>
      </w:r>
    </w:p>
    <w:p w:rsidR="00EE6420" w:rsidRPr="002152E4" w:rsidRDefault="00EE6420" w:rsidP="00EE6420">
      <w:pPr>
        <w:ind w:right="43" w:firstLine="708"/>
        <w:jc w:val="both"/>
        <w:rPr>
          <w:spacing w:val="-10"/>
          <w:lang w:val="ro-RO"/>
        </w:rPr>
      </w:pPr>
      <w:r w:rsidRPr="002152E4">
        <w:rPr>
          <w:spacing w:val="-10"/>
          <w:lang w:val="ro-RO"/>
        </w:rPr>
        <w:t xml:space="preserve">O sesiune de formare circumscrisă domeniului eticii și deontologiei profesionale a fost alocată unei dezbateri cu tema </w:t>
      </w:r>
      <w:r w:rsidRPr="002152E4">
        <w:rPr>
          <w:i/>
          <w:spacing w:val="-10"/>
          <w:lang w:val="ro-RO"/>
        </w:rPr>
        <w:t>"Morala și Legea: cum gândim relația dintre cele două în sfera profesională",</w:t>
      </w:r>
      <w:r w:rsidRPr="002152E4">
        <w:rPr>
          <w:spacing w:val="-10"/>
          <w:lang w:val="ro-RO"/>
        </w:rPr>
        <w:t xml:space="preserve"> susținută de către un specialist în domeniul eticii aplicate, cu experiență în activități de consultanță, formare și audit în domeniu.</w:t>
      </w:r>
    </w:p>
    <w:p w:rsidR="00EE6420" w:rsidRPr="002152E4" w:rsidRDefault="00EE6420" w:rsidP="00EE6420">
      <w:pPr>
        <w:ind w:right="43" w:firstLine="708"/>
        <w:jc w:val="both"/>
        <w:rPr>
          <w:spacing w:val="-10"/>
          <w:lang w:val="ro-RO"/>
        </w:rPr>
      </w:pPr>
      <w:r w:rsidRPr="002152E4">
        <w:rPr>
          <w:spacing w:val="-10"/>
          <w:lang w:val="ro-RO"/>
        </w:rPr>
        <w:t xml:space="preserve">În vederea realizării unei formări complete și complexe, auditorii de justiție de anul al II-lea au efectuat stagii opționale în cadrul altor instituții cu activitate relevantă pentru profesie, după cum urmează: </w:t>
      </w:r>
      <w:r w:rsidRPr="002152E4">
        <w:rPr>
          <w:b/>
          <w:spacing w:val="-10"/>
          <w:lang w:val="ro-RO"/>
        </w:rPr>
        <w:t xml:space="preserve">16 </w:t>
      </w:r>
      <w:r w:rsidRPr="002152E4">
        <w:rPr>
          <w:spacing w:val="-10"/>
          <w:lang w:val="ro-RO"/>
        </w:rPr>
        <w:t xml:space="preserve">auditori de justiție au efectuat stagii cu durata de două zile în cadrul unor cabinete notariale, </w:t>
      </w:r>
      <w:r w:rsidRPr="002152E4">
        <w:rPr>
          <w:b/>
          <w:spacing w:val="-10"/>
          <w:lang w:val="ro-RO"/>
        </w:rPr>
        <w:t>17</w:t>
      </w:r>
      <w:r w:rsidRPr="002152E4">
        <w:rPr>
          <w:spacing w:val="-10"/>
          <w:lang w:val="ro-RO"/>
        </w:rPr>
        <w:t xml:space="preserve"> auditori de justiție au efectuat un stagiu la Institutului Național de Criminalistică din cadrul IGPR,  </w:t>
      </w:r>
      <w:r w:rsidRPr="002152E4">
        <w:rPr>
          <w:b/>
          <w:spacing w:val="-10"/>
          <w:lang w:val="ro-RO"/>
        </w:rPr>
        <w:t>24</w:t>
      </w:r>
      <w:r w:rsidRPr="002152E4">
        <w:rPr>
          <w:spacing w:val="-10"/>
          <w:lang w:val="ro-RO"/>
        </w:rPr>
        <w:t xml:space="preserve"> de auditori de justiție au participat la stagii în cadrul IGPR, </w:t>
      </w:r>
      <w:r w:rsidRPr="002152E4">
        <w:rPr>
          <w:b/>
          <w:spacing w:val="-10"/>
          <w:lang w:val="ro-RO"/>
        </w:rPr>
        <w:t>10</w:t>
      </w:r>
      <w:r w:rsidRPr="002152E4">
        <w:rPr>
          <w:spacing w:val="-10"/>
          <w:lang w:val="ro-RO"/>
        </w:rPr>
        <w:t xml:space="preserve"> auditori de justiție au beneficiat de un stagiu în cadrul Parchetului de pe lângă Înalta Curte de Casație și Justiție, iar alți </w:t>
      </w:r>
      <w:r w:rsidRPr="002152E4">
        <w:rPr>
          <w:b/>
          <w:spacing w:val="-10"/>
          <w:lang w:val="ro-RO"/>
        </w:rPr>
        <w:t>53</w:t>
      </w:r>
      <w:r w:rsidRPr="002152E4">
        <w:rPr>
          <w:spacing w:val="-10"/>
          <w:lang w:val="ro-RO"/>
        </w:rPr>
        <w:t xml:space="preserve"> au participat la un stagiu în cadrul Direcției Naționale Anticorupție.</w:t>
      </w:r>
    </w:p>
    <w:p w:rsidR="00EE6420" w:rsidRPr="002152E4" w:rsidRDefault="00EE6420" w:rsidP="00EE6420">
      <w:pPr>
        <w:ind w:right="43" w:firstLine="706"/>
        <w:jc w:val="both"/>
        <w:rPr>
          <w:spacing w:val="-10"/>
          <w:lang w:val="ro-RO"/>
        </w:rPr>
      </w:pPr>
      <w:r w:rsidRPr="002152E4">
        <w:rPr>
          <w:spacing w:val="-10"/>
          <w:lang w:val="ro-RO"/>
        </w:rPr>
        <w:t>De asemenea, auditorii de justiție au efectuat stagii practice în cadrul tribunalelor și al curților de apel (viitorii judecători), precum și în cadrul parchetelor de pe lângă tribunale (viitorii procurori). Aceste stagii, având o durată de 2 săptămâni, au avut un caracter obligatoriu, potrivit programului de formare inițială.</w:t>
      </w:r>
    </w:p>
    <w:p w:rsidR="00EE6420" w:rsidRPr="002152E4" w:rsidRDefault="00EE6420" w:rsidP="00EE6420">
      <w:pPr>
        <w:ind w:right="43" w:firstLine="706"/>
        <w:jc w:val="both"/>
        <w:rPr>
          <w:lang w:val="ro-RO"/>
        </w:rPr>
      </w:pPr>
      <w:r w:rsidRPr="002152E4">
        <w:rPr>
          <w:lang w:val="ro-RO" w:eastAsia="ro-RO"/>
        </w:rPr>
        <w:t>Programul de monitorizare a stagiului s-a desfășurat pe parcursul întregului an de formare, fiind conceput ca un proces continuu, în vederea asigurării unei evaluări complete a activității de formare. Propunerea cu privire la monitorizarea stagiului pe parcursul întregului an de formare a fost aprobată de Consiliul Științific al INM în ședința din data de 12.05.2015 (Hotărârea nr.8/12.05.2015)</w:t>
      </w:r>
      <w:r w:rsidRPr="002152E4">
        <w:rPr>
          <w:spacing w:val="-10"/>
          <w:lang w:val="ro-RO"/>
        </w:rPr>
        <w:t xml:space="preserve">. </w:t>
      </w:r>
    </w:p>
    <w:p w:rsidR="00EE6420" w:rsidRPr="002152E4" w:rsidRDefault="00EE6420" w:rsidP="00EE6420">
      <w:pPr>
        <w:tabs>
          <w:tab w:val="left" w:pos="900"/>
        </w:tabs>
        <w:ind w:right="43" w:firstLine="720"/>
        <w:jc w:val="both"/>
        <w:rPr>
          <w:rFonts w:eastAsia="Arial Unicode MS"/>
          <w:b/>
          <w:lang w:val="ro-RO"/>
        </w:rPr>
      </w:pPr>
      <w:bookmarkStart w:id="174" w:name="_Toc383085364"/>
      <w:bookmarkStart w:id="175" w:name="_Toc383085229"/>
      <w:bookmarkStart w:id="176" w:name="_Toc260061150"/>
      <w:bookmarkEnd w:id="172"/>
      <w:bookmarkEnd w:id="173"/>
      <w:r w:rsidRPr="002152E4">
        <w:rPr>
          <w:rFonts w:eastAsia="Arial Unicode MS"/>
          <w:b/>
          <w:lang w:val="ro-RO"/>
        </w:rPr>
        <w:t>Examenul de absolvire</w:t>
      </w:r>
      <w:bookmarkEnd w:id="174"/>
      <w:bookmarkEnd w:id="175"/>
      <w:bookmarkEnd w:id="176"/>
      <w:r w:rsidRPr="002152E4">
        <w:rPr>
          <w:rFonts w:eastAsia="Arial Unicode MS"/>
          <w:b/>
          <w:lang w:val="ro-RO"/>
        </w:rPr>
        <w:t xml:space="preserve"> </w:t>
      </w:r>
    </w:p>
    <w:p w:rsidR="00EE6420" w:rsidRPr="002152E4" w:rsidRDefault="00EE6420" w:rsidP="00EE6420">
      <w:pPr>
        <w:tabs>
          <w:tab w:val="left" w:pos="900"/>
        </w:tabs>
        <w:ind w:right="43"/>
        <w:jc w:val="both"/>
        <w:rPr>
          <w:lang w:val="ro-RO"/>
        </w:rPr>
      </w:pPr>
      <w:r w:rsidRPr="002152E4">
        <w:rPr>
          <w:b/>
          <w:lang w:val="ro-RO"/>
        </w:rPr>
        <w:t xml:space="preserve">             </w:t>
      </w:r>
      <w:r w:rsidRPr="002152E4">
        <w:rPr>
          <w:lang w:val="ro-RO"/>
        </w:rPr>
        <w:t>Prin Hotărârea nr. 224/16.02.2016, Plenul CSM a aprobat tematica și bibliografia, modalitatea de examinare și calendarul examenului de absolvire a INM, sesiunea mai – iunie 2016. Datele examenului de absolvire au fost următoarele: 16 mai – proba scrisă la drept civil și drept procesual civil; 18 mai – proba scrisă la drept penal și drept procesual penal; 20 mai – proba scrisă la organizare judiciară.</w:t>
      </w:r>
    </w:p>
    <w:p w:rsidR="00EE6420" w:rsidRPr="002152E4" w:rsidRDefault="00EE6420" w:rsidP="00EE6420">
      <w:pPr>
        <w:tabs>
          <w:tab w:val="left" w:pos="1080"/>
        </w:tabs>
        <w:ind w:right="43" w:firstLine="709"/>
        <w:jc w:val="both"/>
        <w:rPr>
          <w:lang w:val="ro-RO"/>
        </w:rPr>
      </w:pPr>
      <w:r w:rsidRPr="002152E4">
        <w:rPr>
          <w:lang w:val="ro-RO"/>
        </w:rPr>
        <w:t xml:space="preserve">La data de 24 iunie 2016 a avut loc ceremonia de absolvire a INM și repartiția celor </w:t>
      </w:r>
      <w:r w:rsidRPr="002152E4">
        <w:rPr>
          <w:b/>
          <w:lang w:val="ro-RO"/>
        </w:rPr>
        <w:t>157 de absolvenți (din care 80 judecători și 77 procurori)</w:t>
      </w:r>
      <w:r w:rsidRPr="002152E4">
        <w:rPr>
          <w:lang w:val="ro-RO"/>
        </w:rPr>
        <w:t xml:space="preserve"> ai </w:t>
      </w:r>
      <w:r w:rsidRPr="002152E4">
        <w:rPr>
          <w:bCs/>
          <w:lang w:val="ro-RO"/>
        </w:rPr>
        <w:t>promoției de auditori de justiție 2014 – 2016 „</w:t>
      </w:r>
      <w:r w:rsidRPr="002152E4">
        <w:rPr>
          <w:bCs/>
          <w:i/>
          <w:lang w:val="ro-RO"/>
        </w:rPr>
        <w:t>Ion Deleanu</w:t>
      </w:r>
      <w:r w:rsidRPr="002152E4">
        <w:rPr>
          <w:bCs/>
          <w:lang w:val="ro-RO"/>
        </w:rPr>
        <w:t xml:space="preserve">” </w:t>
      </w:r>
      <w:r w:rsidRPr="002152E4">
        <w:rPr>
          <w:lang w:val="ro-RO"/>
        </w:rPr>
        <w:t xml:space="preserve">pe posturile de judecător, respectiv procuror stagiar. </w:t>
      </w:r>
    </w:p>
    <w:p w:rsidR="00583E06" w:rsidRDefault="00EE6420" w:rsidP="00583E06">
      <w:pPr>
        <w:tabs>
          <w:tab w:val="left" w:pos="1080"/>
        </w:tabs>
        <w:ind w:right="43" w:firstLine="709"/>
        <w:jc w:val="both"/>
        <w:rPr>
          <w:lang w:val="ro-RO"/>
        </w:rPr>
      </w:pPr>
      <w:r w:rsidRPr="002152E4">
        <w:rPr>
          <w:lang w:val="ro-RO"/>
        </w:rPr>
        <w:lastRenderedPageBreak/>
        <w:t>Numirea acestora în funcția de judecător/procuror stagiar s-a realizat prin Hotărârea Plenului CSM nr. 767/28 iunie 2016, în</w:t>
      </w:r>
      <w:r w:rsidR="00583E06">
        <w:rPr>
          <w:lang w:val="ro-RO"/>
        </w:rPr>
        <w:t>cepând cu data de 15 iulie 2016.</w:t>
      </w:r>
    </w:p>
    <w:p w:rsidR="00EE6420" w:rsidRPr="00583E06" w:rsidRDefault="00EE6420" w:rsidP="00583E06">
      <w:pPr>
        <w:tabs>
          <w:tab w:val="left" w:pos="1080"/>
        </w:tabs>
        <w:ind w:right="43" w:firstLine="709"/>
        <w:jc w:val="both"/>
        <w:rPr>
          <w:lang w:val="ro-RO"/>
        </w:rPr>
      </w:pPr>
      <w:r w:rsidRPr="002152E4">
        <w:rPr>
          <w:rFonts w:ascii="Times New Roman" w:hAnsi="Times New Roman"/>
          <w:lang w:val="ro-RO"/>
        </w:rPr>
        <w:tab/>
      </w:r>
    </w:p>
    <w:p w:rsidR="00EE6420" w:rsidRPr="002152E4" w:rsidRDefault="00EE6420" w:rsidP="00EE6420">
      <w:pPr>
        <w:jc w:val="both"/>
        <w:rPr>
          <w:rFonts w:eastAsia="Calibri"/>
          <w:b/>
          <w:i/>
          <w:lang w:val="ro-RO"/>
        </w:rPr>
      </w:pPr>
      <w:r w:rsidRPr="002152E4">
        <w:rPr>
          <w:b/>
          <w:i/>
          <w:lang w:val="ro-RO"/>
        </w:rPr>
        <w:t xml:space="preserve">IV.2.2. Formarea continuă </w:t>
      </w:r>
      <w:r w:rsidRPr="002152E4">
        <w:rPr>
          <w:rFonts w:eastAsia="Calibri"/>
          <w:b/>
          <w:i/>
          <w:lang w:val="ro-RO"/>
        </w:rPr>
        <w:t>a judecătorilor, procurorilor și personalului asimilat</w:t>
      </w:r>
    </w:p>
    <w:p w:rsidR="00EE6420" w:rsidRPr="002152E4" w:rsidRDefault="00EE6420" w:rsidP="00EE6420">
      <w:pPr>
        <w:jc w:val="both"/>
        <w:rPr>
          <w:rFonts w:ascii="Times New Roman" w:hAnsi="Times New Roman"/>
          <w:b/>
          <w:lang w:val="ro-RO"/>
        </w:rPr>
      </w:pPr>
    </w:p>
    <w:p w:rsidR="00EE6420" w:rsidRPr="002152E4" w:rsidRDefault="00EE6420" w:rsidP="00EE6420">
      <w:pPr>
        <w:ind w:firstLine="851"/>
        <w:jc w:val="both"/>
        <w:rPr>
          <w:lang w:val="ro-RO"/>
        </w:rPr>
      </w:pPr>
      <w:r w:rsidRPr="002152E4">
        <w:rPr>
          <w:lang w:val="ro-RO"/>
        </w:rPr>
        <w:t xml:space="preserve">În cadrul calendarului din anul 2016 s-au desfășurat </w:t>
      </w:r>
      <w:r w:rsidRPr="002152E4">
        <w:rPr>
          <w:b/>
          <w:lang w:val="ro-RO"/>
        </w:rPr>
        <w:t>224 activități de formare</w:t>
      </w:r>
      <w:r w:rsidRPr="002152E4">
        <w:rPr>
          <w:lang w:val="ro-RO"/>
        </w:rPr>
        <w:t xml:space="preserve"> deschise participării judecătorilor si procurorilor, însumând </w:t>
      </w:r>
      <w:r w:rsidRPr="002152E4">
        <w:rPr>
          <w:b/>
          <w:lang w:val="ro-RO"/>
        </w:rPr>
        <w:t xml:space="preserve">4.332 de participări </w:t>
      </w:r>
      <w:r w:rsidRPr="002152E4">
        <w:rPr>
          <w:lang w:val="ro-RO"/>
        </w:rPr>
        <w:t xml:space="preserve">la aceste activități. Au fost avute în vedere domenii variate, destinate formării specializate a magistraților și unificării practicii judiciare: au fost organizate activități de formare în domeniul noilor coduri civil, penal, de procedură civilă și procedură penală, în domeniul dreptului administrativ, al dreptul muncii, dreptul familiei. Au fost prevăzute activități de formare în domeniul dreptului consumatorului, al achizițiilor publice, al societăților comerciale, al insolvenței, al dreptului bancar. Au fost incluse activități de formare care pun în dezbatere aspecte de practică care vizează piața de capital, infracțiunile economico-financiare, criminalitatea informatica, criminalistica. O atenție specială a fost acordată  insolvenței persoanei fizice, respectiv Codului fiscal si Codului de procedură fiscală, fiecare curte de apel beneficiind de cate un seminar în fiecare din aceste două domenii. </w:t>
      </w:r>
    </w:p>
    <w:p w:rsidR="00EE6420" w:rsidRPr="002152E4" w:rsidRDefault="00EE6420" w:rsidP="00EE6420">
      <w:pPr>
        <w:ind w:firstLine="851"/>
        <w:jc w:val="both"/>
        <w:rPr>
          <w:lang w:val="ro-RO"/>
        </w:rPr>
      </w:pPr>
      <w:r w:rsidRPr="002152E4">
        <w:rPr>
          <w:lang w:val="ro-RO"/>
        </w:rPr>
        <w:t>Ca și în anii anteriori, au fost incluse activități de formare în domeniul dreptului Uniunii Europene, al cooperării judiciare internaționale în materie civilă si penală și al drepturilor omului. În afară de seminariile dedicate acestor domenii, aspecte de drept UE sau de drepturile omului au fost incluse și în alte seminarii, acolo unde tematica a impus astfel de trimiteri.</w:t>
      </w:r>
    </w:p>
    <w:p w:rsidR="00EE6420" w:rsidRPr="002152E4" w:rsidRDefault="00EE6420" w:rsidP="00EE6420">
      <w:pPr>
        <w:ind w:firstLine="851"/>
        <w:jc w:val="both"/>
        <w:rPr>
          <w:lang w:val="ro-RO"/>
        </w:rPr>
      </w:pPr>
      <w:r w:rsidRPr="002152E4">
        <w:rPr>
          <w:lang w:val="ro-RO"/>
        </w:rPr>
        <w:t> Un număr important de seminarii a fost organizat in domeniul dezvoltărilor abilitaților non-juridice ale magistraților. S-a avut in vedere organizarea de seminarii în domeniul englezei și al francezei juridice, al comunicării, al combaterii discriminării, eticii și deontologiei, medierii.</w:t>
      </w:r>
    </w:p>
    <w:p w:rsidR="00EE6420" w:rsidRPr="002152E4" w:rsidRDefault="00AF7942" w:rsidP="00EE6420">
      <w:pPr>
        <w:ind w:firstLine="851"/>
        <w:jc w:val="both"/>
        <w:rPr>
          <w:lang w:val="ro-RO"/>
        </w:rPr>
      </w:pPr>
      <w:r w:rsidRPr="002152E4">
        <w:rPr>
          <w:lang w:val="ro-RO"/>
        </w:rPr>
        <w:t> Şi</w:t>
      </w:r>
      <w:r w:rsidR="00EE6420" w:rsidRPr="002152E4">
        <w:rPr>
          <w:lang w:val="ro-RO"/>
        </w:rPr>
        <w:t xml:space="preserve"> în cursul anului 2016 INM a lansat două sesiuni de formare prin  cursuri e-learning dezvoltate în materia noilor coduri, deschise participării judecătorilor si procurorilor.  </w:t>
      </w:r>
    </w:p>
    <w:p w:rsidR="00EE6420" w:rsidRPr="002152E4" w:rsidRDefault="00EE6420" w:rsidP="00EE6420">
      <w:pPr>
        <w:ind w:firstLine="851"/>
        <w:jc w:val="both"/>
        <w:rPr>
          <w:lang w:val="ro-RO"/>
        </w:rPr>
      </w:pPr>
      <w:r w:rsidRPr="002152E4">
        <w:rPr>
          <w:lang w:val="ro-RO"/>
        </w:rPr>
        <w:t>Exprimată în cifre, toată această activitate din anul 2016 poate fi sintetizată astfel:</w:t>
      </w:r>
    </w:p>
    <w:p w:rsidR="00EE6420" w:rsidRPr="002152E4" w:rsidRDefault="00EE6420" w:rsidP="00EE6420">
      <w:pPr>
        <w:ind w:firstLine="851"/>
        <w:jc w:val="both"/>
        <w:rPr>
          <w:lang w:val="ro-RO"/>
        </w:rPr>
      </w:pPr>
      <w:r w:rsidRPr="002152E4">
        <w:rPr>
          <w:lang w:val="ro-RO"/>
        </w:rPr>
        <w:t xml:space="preserve">INM a organizat un număr de </w:t>
      </w:r>
      <w:r w:rsidRPr="002152E4">
        <w:rPr>
          <w:b/>
          <w:lang w:val="ro-RO"/>
        </w:rPr>
        <w:t xml:space="preserve">224 seminarii </w:t>
      </w:r>
      <w:r w:rsidRPr="002152E4">
        <w:rPr>
          <w:lang w:val="ro-RO"/>
        </w:rPr>
        <w:t xml:space="preserve">de formare continuă, la care s-a înregistrat un număr de </w:t>
      </w:r>
      <w:r w:rsidRPr="002152E4">
        <w:rPr>
          <w:b/>
          <w:lang w:val="ro-RO"/>
        </w:rPr>
        <w:t>4.332 de participări</w:t>
      </w:r>
      <w:r w:rsidRPr="002152E4">
        <w:rPr>
          <w:lang w:val="ro-RO"/>
        </w:rPr>
        <w:t xml:space="preserve"> din partea judecătorilor, procurorilor și a personalului de specialitate juridică asimilat magistraților (participări efective). Un număr de </w:t>
      </w:r>
      <w:r w:rsidRPr="002152E4">
        <w:rPr>
          <w:b/>
          <w:lang w:val="ro-RO"/>
        </w:rPr>
        <w:t>3.475 de magistrați</w:t>
      </w:r>
      <w:r w:rsidRPr="002152E4">
        <w:rPr>
          <w:lang w:val="ro-RO"/>
        </w:rPr>
        <w:t xml:space="preserve"> au participat la seminarii (diferența între numărul de participanți și numărul de participări efective este motivată de faptul că unii magistrați au participat la mai multe acțiuni de formare în cursul anului 2016). </w:t>
      </w:r>
    </w:p>
    <w:p w:rsidR="00EE6420" w:rsidRPr="002152E4" w:rsidRDefault="00EE6420" w:rsidP="00EE6420">
      <w:pPr>
        <w:ind w:firstLine="851"/>
        <w:jc w:val="both"/>
        <w:rPr>
          <w:lang w:val="ro-RO"/>
        </w:rPr>
      </w:pPr>
      <w:r w:rsidRPr="002152E4">
        <w:rPr>
          <w:lang w:val="ro-RO"/>
        </w:rPr>
        <w:t xml:space="preserve">La aceste activități de formare se adaugă </w:t>
      </w:r>
      <w:r w:rsidRPr="002152E4">
        <w:rPr>
          <w:b/>
          <w:lang w:val="ro-RO"/>
        </w:rPr>
        <w:t>54 de cursuri e-learning</w:t>
      </w:r>
      <w:r w:rsidRPr="002152E4">
        <w:rPr>
          <w:lang w:val="ro-RO"/>
        </w:rPr>
        <w:t xml:space="preserve"> (corespunzător a două sesiuni de formare bazate pe cele 27 de cursuri e-learning elaborate de INM în materia Codului civil, a Codului de procedură civilă, a Codului penal și a Codului de procedură penală), la care au participat, în varianta coordonată de un formator INM, </w:t>
      </w:r>
      <w:r w:rsidRPr="002152E4">
        <w:rPr>
          <w:b/>
          <w:lang w:val="ro-RO"/>
        </w:rPr>
        <w:t>148 de magistrați</w:t>
      </w:r>
      <w:r w:rsidRPr="002152E4">
        <w:rPr>
          <w:lang w:val="ro-RO"/>
        </w:rPr>
        <w:t xml:space="preserve">, cu un total de </w:t>
      </w:r>
      <w:r w:rsidRPr="002152E4">
        <w:rPr>
          <w:b/>
          <w:lang w:val="ro-RO"/>
        </w:rPr>
        <w:t>896 participări</w:t>
      </w:r>
      <w:r w:rsidRPr="002152E4">
        <w:rPr>
          <w:lang w:val="ro-RO"/>
        </w:rPr>
        <w:t xml:space="preserve"> (fiecare magistrat a optat, în medie, pentru 5 - 6 cursuri e-learning). </w:t>
      </w:r>
    </w:p>
    <w:p w:rsidR="00EE6420" w:rsidRPr="002152E4" w:rsidRDefault="007041EF" w:rsidP="00EE6420">
      <w:pPr>
        <w:ind w:firstLine="851"/>
        <w:jc w:val="both"/>
        <w:rPr>
          <w:rFonts w:ascii="Times New Roman" w:hAnsi="Times New Roman"/>
          <w:lang w:val="ro-RO"/>
        </w:rPr>
      </w:pPr>
      <w:r w:rsidRPr="002152E4">
        <w:rPr>
          <w:rFonts w:ascii="Times New Roman" w:hAnsi="Times New Roman"/>
          <w:noProof/>
        </w:rPr>
        <w:lastRenderedPageBreak/>
        <w:drawing>
          <wp:inline distT="0" distB="0" distL="0" distR="0">
            <wp:extent cx="5753100" cy="3383280"/>
            <wp:effectExtent l="0" t="0" r="0" b="7620"/>
            <wp:docPr id="5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53100" cy="3383280"/>
                    </a:xfrm>
                    <a:prstGeom prst="rect">
                      <a:avLst/>
                    </a:prstGeom>
                    <a:noFill/>
                    <a:ln>
                      <a:noFill/>
                    </a:ln>
                  </pic:spPr>
                </pic:pic>
              </a:graphicData>
            </a:graphic>
          </wp:inline>
        </w:drawing>
      </w:r>
    </w:p>
    <w:p w:rsidR="00EE6420" w:rsidRPr="002152E4" w:rsidRDefault="00EE6420" w:rsidP="00EE6420">
      <w:pPr>
        <w:ind w:firstLine="851"/>
        <w:jc w:val="both"/>
        <w:rPr>
          <w:rFonts w:ascii="Times New Roman" w:hAnsi="Times New Roman"/>
          <w:lang w:val="ro-RO"/>
        </w:rPr>
      </w:pPr>
    </w:p>
    <w:p w:rsidR="00EE6420" w:rsidRPr="002152E4" w:rsidRDefault="00EE6420" w:rsidP="00EE6420">
      <w:pPr>
        <w:ind w:firstLine="851"/>
        <w:jc w:val="both"/>
        <w:rPr>
          <w:lang w:val="ro-RO"/>
        </w:rPr>
      </w:pPr>
      <w:r w:rsidRPr="002152E4">
        <w:rPr>
          <w:lang w:val="ro-RO"/>
        </w:rPr>
        <w:t>În ceea ce privește numărul participărilor la acțiunile de formare continuă, evoluția în timp a acestora poate fi ilustrată astfel:</w:t>
      </w:r>
      <w:r w:rsidRPr="002152E4">
        <w:rPr>
          <w:lang w:val="ro-RO" w:eastAsia="ro-RO"/>
        </w:rPr>
        <w:t xml:space="preserve"> </w:t>
      </w:r>
    </w:p>
    <w:p w:rsidR="00EE6420" w:rsidRPr="002152E4" w:rsidRDefault="00EE6420" w:rsidP="00EE6420">
      <w:pPr>
        <w:ind w:firstLine="851"/>
        <w:jc w:val="both"/>
        <w:rPr>
          <w:rFonts w:ascii="Times New Roman" w:hAnsi="Times New Roman"/>
          <w:lang w:val="ro-RO"/>
        </w:rPr>
      </w:pPr>
      <w:r w:rsidRPr="002152E4">
        <w:rPr>
          <w:rFonts w:ascii="Times New Roman" w:hAnsi="Times New Roman"/>
          <w:lang w:val="ro-RO" w:eastAsia="ro-RO"/>
        </w:rPr>
        <w:tab/>
      </w:r>
    </w:p>
    <w:p w:rsidR="00EE6420" w:rsidRPr="002152E4" w:rsidRDefault="00EE6420" w:rsidP="00EE6420">
      <w:pPr>
        <w:ind w:firstLine="851"/>
        <w:jc w:val="both"/>
        <w:rPr>
          <w:rFonts w:ascii="Times New Roman" w:hAnsi="Times New Roman"/>
          <w:lang w:val="ro-RO"/>
        </w:rPr>
      </w:pPr>
    </w:p>
    <w:p w:rsidR="00EE6420" w:rsidRPr="002152E4" w:rsidRDefault="007041EF" w:rsidP="00EE6420">
      <w:pPr>
        <w:ind w:firstLine="851"/>
        <w:jc w:val="both"/>
        <w:rPr>
          <w:rFonts w:ascii="Times New Roman" w:hAnsi="Times New Roman"/>
          <w:lang w:val="ro-RO"/>
        </w:rPr>
      </w:pPr>
      <w:r w:rsidRPr="002152E4">
        <w:rPr>
          <w:noProof/>
        </w:rPr>
        <w:drawing>
          <wp:anchor distT="0" distB="0" distL="114300" distR="114300" simplePos="0" relativeHeight="251657728" behindDoc="0" locked="0" layoutInCell="1" allowOverlap="1">
            <wp:simplePos x="0" y="0"/>
            <wp:positionH relativeFrom="column">
              <wp:posOffset>326390</wp:posOffset>
            </wp:positionH>
            <wp:positionV relativeFrom="paragraph">
              <wp:posOffset>-8890</wp:posOffset>
            </wp:positionV>
            <wp:extent cx="6028690" cy="3322320"/>
            <wp:effectExtent l="2540" t="635" r="0" b="1270"/>
            <wp:wrapSquare wrapText="bothSides"/>
            <wp:docPr id="1" name="Char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14:sizeRelH relativeFrom="page">
              <wp14:pctWidth>0</wp14:pctWidth>
            </wp14:sizeRelH>
            <wp14:sizeRelV relativeFrom="page">
              <wp14:pctHeight>0</wp14:pctHeight>
            </wp14:sizeRelV>
          </wp:anchor>
        </w:drawing>
      </w:r>
      <w:r w:rsidR="00EE6420" w:rsidRPr="002152E4">
        <w:rPr>
          <w:lang w:val="ro-RO"/>
        </w:rPr>
        <w:t xml:space="preserve">Așadar, în 2016 INM a format </w:t>
      </w:r>
      <w:r w:rsidR="00EE6420" w:rsidRPr="002152E4">
        <w:rPr>
          <w:b/>
          <w:lang w:val="ro-RO"/>
        </w:rPr>
        <w:t xml:space="preserve">49% din numărul magistraților din sistem, </w:t>
      </w:r>
      <w:r w:rsidR="00EE6420" w:rsidRPr="002152E4">
        <w:rPr>
          <w:lang w:val="ro-RO"/>
        </w:rPr>
        <w:t xml:space="preserve">procent obținut prin raportarea numărului de </w:t>
      </w:r>
      <w:r w:rsidR="00EE6420" w:rsidRPr="002152E4">
        <w:rPr>
          <w:b/>
          <w:lang w:val="ro-RO"/>
        </w:rPr>
        <w:t>3.475</w:t>
      </w:r>
      <w:r w:rsidR="00EE6420" w:rsidRPr="002152E4">
        <w:rPr>
          <w:lang w:val="ro-RO"/>
        </w:rPr>
        <w:t xml:space="preserve"> participanți la seminariile de formare continuă la numărul de 7.063 judecători și procurori din sistem</w:t>
      </w:r>
      <w:r w:rsidR="00EE6420" w:rsidRPr="002152E4">
        <w:rPr>
          <w:rFonts w:ascii="Times New Roman" w:hAnsi="Times New Roman"/>
          <w:vertAlign w:val="superscript"/>
          <w:lang w:val="ro-RO"/>
        </w:rPr>
        <w:footnoteReference w:id="5"/>
      </w:r>
      <w:r w:rsidR="00EE6420" w:rsidRPr="002152E4">
        <w:rPr>
          <w:rFonts w:ascii="Times New Roman" w:hAnsi="Times New Roman"/>
          <w:lang w:val="ro-RO"/>
        </w:rPr>
        <w:t xml:space="preserve">. </w:t>
      </w:r>
    </w:p>
    <w:p w:rsidR="00EE6420" w:rsidRPr="002152E4" w:rsidRDefault="00EE6420" w:rsidP="00EE6420">
      <w:pPr>
        <w:ind w:firstLine="851"/>
        <w:jc w:val="both"/>
        <w:rPr>
          <w:rFonts w:ascii="Times New Roman" w:hAnsi="Times New Roman"/>
          <w:lang w:val="ro-RO"/>
        </w:rPr>
      </w:pPr>
    </w:p>
    <w:p w:rsidR="00EE6420" w:rsidRPr="002152E4" w:rsidRDefault="007041EF" w:rsidP="00EE6420">
      <w:pPr>
        <w:ind w:firstLine="851"/>
        <w:jc w:val="both"/>
        <w:rPr>
          <w:rFonts w:ascii="Times New Roman" w:hAnsi="Times New Roman"/>
          <w:lang w:val="ro-RO"/>
        </w:rPr>
      </w:pPr>
      <w:r w:rsidRPr="002152E4">
        <w:rPr>
          <w:rFonts w:ascii="Times New Roman" w:hAnsi="Times New Roman"/>
          <w:noProof/>
        </w:rPr>
        <w:lastRenderedPageBreak/>
        <w:drawing>
          <wp:inline distT="0" distB="0" distL="0" distR="0">
            <wp:extent cx="4846320" cy="2103120"/>
            <wp:effectExtent l="0" t="0" r="0" b="0"/>
            <wp:docPr id="5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00">
                      <a:extLst>
                        <a:ext uri="{28A0092B-C50C-407E-A947-70E740481C1C}">
                          <a14:useLocalDpi xmlns:a14="http://schemas.microsoft.com/office/drawing/2010/main" val="0"/>
                        </a:ext>
                      </a:extLst>
                    </a:blip>
                    <a:srcRect l="-381" t="-8537" r="-40" b="-4678"/>
                    <a:stretch>
                      <a:fillRect/>
                    </a:stretch>
                  </pic:blipFill>
                  <pic:spPr bwMode="auto">
                    <a:xfrm>
                      <a:off x="0" y="0"/>
                      <a:ext cx="4846320" cy="2103120"/>
                    </a:xfrm>
                    <a:prstGeom prst="rect">
                      <a:avLst/>
                    </a:prstGeom>
                    <a:noFill/>
                    <a:ln>
                      <a:noFill/>
                    </a:ln>
                  </pic:spPr>
                </pic:pic>
              </a:graphicData>
            </a:graphic>
          </wp:inline>
        </w:drawing>
      </w:r>
    </w:p>
    <w:p w:rsidR="00EE6420" w:rsidRPr="002152E4" w:rsidRDefault="00EE6420" w:rsidP="00EE6420">
      <w:pPr>
        <w:ind w:firstLine="851"/>
        <w:jc w:val="both"/>
        <w:rPr>
          <w:rFonts w:ascii="Times New Roman" w:hAnsi="Times New Roman"/>
          <w:lang w:val="ro-RO"/>
        </w:rPr>
      </w:pPr>
    </w:p>
    <w:p w:rsidR="00EE6420" w:rsidRPr="002152E4" w:rsidRDefault="00EE6420" w:rsidP="00EE6420">
      <w:pPr>
        <w:ind w:firstLine="851"/>
        <w:jc w:val="both"/>
        <w:rPr>
          <w:rFonts w:ascii="Times New Roman" w:hAnsi="Times New Roman"/>
          <w:lang w:val="ro-RO"/>
        </w:rPr>
      </w:pPr>
    </w:p>
    <w:p w:rsidR="00EE6420" w:rsidRPr="002152E4" w:rsidRDefault="00EE6420" w:rsidP="00EE6420">
      <w:pPr>
        <w:ind w:firstLine="851"/>
        <w:jc w:val="both"/>
        <w:rPr>
          <w:lang w:val="ro-RO"/>
        </w:rPr>
      </w:pPr>
      <w:r w:rsidRPr="002152E4">
        <w:rPr>
          <w:lang w:val="ro-RO"/>
        </w:rPr>
        <w:t xml:space="preserve">Dintre cele  </w:t>
      </w:r>
      <w:r w:rsidRPr="002152E4">
        <w:rPr>
          <w:b/>
          <w:lang w:val="ro-RO"/>
        </w:rPr>
        <w:t>4.332</w:t>
      </w:r>
      <w:r w:rsidRPr="002152E4">
        <w:rPr>
          <w:lang w:val="ro-RO"/>
        </w:rPr>
        <w:t xml:space="preserve"> de participări ale magistraților și personalului din sistemul judiciar formați în cadrul seminariilor </w:t>
      </w:r>
      <w:r w:rsidRPr="002152E4">
        <w:rPr>
          <w:b/>
          <w:lang w:val="ro-RO"/>
        </w:rPr>
        <w:t>2.780</w:t>
      </w:r>
      <w:r w:rsidRPr="002152E4">
        <w:rPr>
          <w:lang w:val="ro-RO"/>
        </w:rPr>
        <w:t xml:space="preserve"> au fost efectuate de judecători, </w:t>
      </w:r>
      <w:r w:rsidRPr="002152E4">
        <w:rPr>
          <w:b/>
          <w:lang w:val="ro-RO"/>
        </w:rPr>
        <w:t>1.447</w:t>
      </w:r>
      <w:r w:rsidRPr="002152E4">
        <w:rPr>
          <w:lang w:val="ro-RO"/>
        </w:rPr>
        <w:t xml:space="preserve"> de procurori, </w:t>
      </w:r>
      <w:r w:rsidRPr="002152E4">
        <w:rPr>
          <w:b/>
          <w:lang w:val="ro-RO"/>
        </w:rPr>
        <w:t xml:space="preserve">60 </w:t>
      </w:r>
      <w:r w:rsidRPr="002152E4">
        <w:rPr>
          <w:lang w:val="ro-RO"/>
        </w:rPr>
        <w:t xml:space="preserve">de magistrați asistenți din cadrul ICCJ, </w:t>
      </w:r>
      <w:r w:rsidRPr="002152E4">
        <w:rPr>
          <w:b/>
          <w:lang w:val="ro-RO"/>
        </w:rPr>
        <w:t>45</w:t>
      </w:r>
      <w:r w:rsidRPr="002152E4">
        <w:rPr>
          <w:lang w:val="ro-RO"/>
        </w:rPr>
        <w:t xml:space="preserve"> personal de specialitate juridică asimilat magist</w:t>
      </w:r>
      <w:r w:rsidR="00583E06">
        <w:rPr>
          <w:lang w:val="ro-RO"/>
        </w:rPr>
        <w:t>raţilor din cadrul MJ, CSM și PICCJ.</w:t>
      </w:r>
    </w:p>
    <w:p w:rsidR="00EE6420" w:rsidRPr="002152E4" w:rsidRDefault="00EE6420" w:rsidP="00EE6420">
      <w:pPr>
        <w:ind w:firstLine="851"/>
        <w:jc w:val="both"/>
        <w:rPr>
          <w:rFonts w:ascii="Times New Roman" w:hAnsi="Times New Roman"/>
          <w:lang w:val="ro-RO"/>
        </w:rPr>
      </w:pPr>
    </w:p>
    <w:p w:rsidR="00EE6420" w:rsidRPr="002152E4" w:rsidRDefault="007041EF" w:rsidP="00EE6420">
      <w:pPr>
        <w:ind w:firstLine="851"/>
        <w:jc w:val="both"/>
        <w:rPr>
          <w:rFonts w:ascii="Times New Roman" w:hAnsi="Times New Roman"/>
          <w:lang w:val="ro-RO"/>
        </w:rPr>
      </w:pPr>
      <w:r w:rsidRPr="002152E4">
        <w:rPr>
          <w:rFonts w:ascii="Times New Roman" w:hAnsi="Times New Roman"/>
          <w:noProof/>
        </w:rPr>
        <w:drawing>
          <wp:inline distT="0" distB="0" distL="0" distR="0">
            <wp:extent cx="4838700" cy="2095500"/>
            <wp:effectExtent l="0" t="0" r="0" b="0"/>
            <wp:docPr id="6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01">
                      <a:extLst>
                        <a:ext uri="{28A0092B-C50C-407E-A947-70E740481C1C}">
                          <a14:useLocalDpi xmlns:a14="http://schemas.microsoft.com/office/drawing/2010/main" val="0"/>
                        </a:ext>
                      </a:extLst>
                    </a:blip>
                    <a:srcRect t="-7623" b="-6209"/>
                    <a:stretch>
                      <a:fillRect/>
                    </a:stretch>
                  </pic:blipFill>
                  <pic:spPr bwMode="auto">
                    <a:xfrm>
                      <a:off x="0" y="0"/>
                      <a:ext cx="4838700" cy="2095500"/>
                    </a:xfrm>
                    <a:prstGeom prst="rect">
                      <a:avLst/>
                    </a:prstGeom>
                    <a:noFill/>
                    <a:ln>
                      <a:noFill/>
                    </a:ln>
                  </pic:spPr>
                </pic:pic>
              </a:graphicData>
            </a:graphic>
          </wp:inline>
        </w:drawing>
      </w:r>
    </w:p>
    <w:p w:rsidR="00EE6420" w:rsidRPr="002152E4" w:rsidRDefault="00EE6420" w:rsidP="00EE6420">
      <w:pPr>
        <w:ind w:firstLine="851"/>
        <w:jc w:val="both"/>
        <w:rPr>
          <w:lang w:val="ro-RO"/>
        </w:rPr>
      </w:pPr>
      <w:r w:rsidRPr="002152E4">
        <w:rPr>
          <w:lang w:val="ro-RO"/>
        </w:rPr>
        <w:t xml:space="preserve">În ceea ce privește numărul opțiunilor formulate de magistrați la momentul transmiterii listelor de seminarii la începutul anului 2016, </w:t>
      </w:r>
      <w:r w:rsidRPr="002152E4">
        <w:rPr>
          <w:b/>
          <w:lang w:val="ro-RO"/>
        </w:rPr>
        <w:t>6.428</w:t>
      </w:r>
      <w:r w:rsidRPr="002152E4">
        <w:rPr>
          <w:lang w:val="ro-RO"/>
        </w:rPr>
        <w:t xml:space="preserve"> dintre aceștia au formulat opțiuni pentru a participa la cel puțin una dintre acțiunile organizate de INM .</w:t>
      </w:r>
    </w:p>
    <w:p w:rsidR="00EE6420" w:rsidRPr="002152E4" w:rsidRDefault="00EE6420" w:rsidP="00EE6420">
      <w:pPr>
        <w:ind w:firstLine="851"/>
        <w:jc w:val="both"/>
        <w:rPr>
          <w:lang w:val="ro-RO"/>
        </w:rPr>
      </w:pPr>
      <w:r w:rsidRPr="002152E4">
        <w:rPr>
          <w:lang w:val="ro-RO"/>
        </w:rPr>
        <w:t xml:space="preserve">Un număr total de </w:t>
      </w:r>
      <w:r w:rsidRPr="002152E4">
        <w:rPr>
          <w:b/>
          <w:lang w:val="ro-RO"/>
        </w:rPr>
        <w:t>3.318 (51,6%)</w:t>
      </w:r>
      <w:r w:rsidRPr="002152E4">
        <w:rPr>
          <w:lang w:val="ro-RO"/>
        </w:rPr>
        <w:t xml:space="preserve"> dintre magistrații care au formulat opțiuni au participat la seminarii de formare continuă.</w:t>
      </w:r>
      <w:r w:rsidR="00AF7942" w:rsidRPr="002152E4">
        <w:rPr>
          <w:lang w:val="ro-RO"/>
        </w:rPr>
        <w:t xml:space="preserve"> U</w:t>
      </w:r>
      <w:r w:rsidRPr="002152E4">
        <w:rPr>
          <w:lang w:val="ro-RO"/>
        </w:rPr>
        <w:t xml:space="preserve">n număr de 65 de seminarii programate inițial pentru acest an și pentru care au fost formulate opțiuni au fost amânate pentru 2017, din cauza întârzierilor în demararea proiectelor finanțate în cadrul Mecanismului Financiar Elvețian, respectiv în cadrul Mecanismului Financiar Norvegian. Trebuie menționat faptul că numărul participărilor este diminuat și de scăderea numărului activităților de formare organizate, în fiecare an fiind organizate activitățile permise de capacitatea instituțională a INM și de fondurile disponibile, provenite de la bugetul de stat sau din surse extrabugetare. </w:t>
      </w:r>
    </w:p>
    <w:p w:rsidR="00EE6420" w:rsidRPr="002152E4" w:rsidRDefault="00EE6420" w:rsidP="00EE6420">
      <w:pPr>
        <w:ind w:firstLine="851"/>
        <w:jc w:val="both"/>
        <w:rPr>
          <w:lang w:val="ro-RO"/>
        </w:rPr>
      </w:pPr>
      <w:r w:rsidRPr="002152E4">
        <w:rPr>
          <w:lang w:val="ro-RO"/>
        </w:rPr>
        <w:t xml:space="preserve">De asemenea, dintre magistrații care au fost selectați și invitați să participe în urma opțiunilor formulate, unii nu au răspuns invitației, aflându-se, în general din motive obiective, în imposibilitate de a se prezenta. </w:t>
      </w:r>
    </w:p>
    <w:p w:rsidR="00EE6420" w:rsidRPr="002152E4" w:rsidRDefault="007041EF" w:rsidP="00EE6420">
      <w:pPr>
        <w:ind w:firstLine="851"/>
        <w:jc w:val="both"/>
        <w:rPr>
          <w:lang w:val="ro-RO"/>
        </w:rPr>
      </w:pPr>
      <w:r w:rsidRPr="002152E4">
        <w:rPr>
          <w:rFonts w:ascii="Times New Roman" w:hAnsi="Times New Roman"/>
          <w:noProof/>
        </w:rPr>
        <w:lastRenderedPageBreak/>
        <w:drawing>
          <wp:inline distT="0" distB="0" distL="0" distR="0">
            <wp:extent cx="5745480" cy="2750820"/>
            <wp:effectExtent l="0" t="0" r="7620" b="0"/>
            <wp:docPr id="6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2">
                      <a:extLst>
                        <a:ext uri="{28A0092B-C50C-407E-A947-70E740481C1C}">
                          <a14:useLocalDpi xmlns:a14="http://schemas.microsoft.com/office/drawing/2010/main" val="0"/>
                        </a:ext>
                      </a:extLst>
                    </a:blip>
                    <a:srcRect l="-2168" t="-6560" r="-23" b="-7190"/>
                    <a:stretch>
                      <a:fillRect/>
                    </a:stretch>
                  </pic:blipFill>
                  <pic:spPr bwMode="auto">
                    <a:xfrm>
                      <a:off x="0" y="0"/>
                      <a:ext cx="5745480" cy="2750820"/>
                    </a:xfrm>
                    <a:prstGeom prst="rect">
                      <a:avLst/>
                    </a:prstGeom>
                    <a:noFill/>
                    <a:ln>
                      <a:noFill/>
                    </a:ln>
                  </pic:spPr>
                </pic:pic>
              </a:graphicData>
            </a:graphic>
          </wp:inline>
        </w:drawing>
      </w:r>
      <w:r w:rsidR="00EE6420" w:rsidRPr="002152E4">
        <w:rPr>
          <w:rFonts w:ascii="Times New Roman" w:hAnsi="Times New Roman"/>
          <w:noProof/>
          <w:lang w:val="ro-RO"/>
        </w:rPr>
        <w:tab/>
      </w:r>
      <w:r w:rsidR="00EE6420" w:rsidRPr="002152E4">
        <w:rPr>
          <w:lang w:val="ro-RO"/>
        </w:rPr>
        <w:t xml:space="preserve">În ceea ce privește domeniile în care INM a asigurat formare, accentul a fost pus și în 2016 pe formarea în materia noilor coduri: </w:t>
      </w:r>
      <w:r w:rsidR="00EE6420" w:rsidRPr="002152E4">
        <w:rPr>
          <w:b/>
          <w:lang w:val="ro-RO"/>
        </w:rPr>
        <w:t>48 de seminarii și conferințe</w:t>
      </w:r>
      <w:r w:rsidR="00EE6420" w:rsidRPr="002152E4">
        <w:rPr>
          <w:lang w:val="ro-RO"/>
        </w:rPr>
        <w:t xml:space="preserve"> au fost dedicate acestui obiectiv, rezultatul fiind un număr de </w:t>
      </w:r>
      <w:r w:rsidR="00EE6420" w:rsidRPr="002152E4">
        <w:rPr>
          <w:b/>
          <w:lang w:val="ro-RO"/>
        </w:rPr>
        <w:t>1.006 de magistrați formați</w:t>
      </w:r>
      <w:r w:rsidR="00EE6420" w:rsidRPr="002152E4">
        <w:rPr>
          <w:lang w:val="ro-RO"/>
        </w:rPr>
        <w:t xml:space="preserve"> (648 judecători și 356 procurori, 1 magistrat asistent și 1 personal de specialitate juridică asimilat magistraţilor) în </w:t>
      </w:r>
      <w:r w:rsidR="00EE6420" w:rsidRPr="002152E4">
        <w:rPr>
          <w:b/>
          <w:lang w:val="ro-RO"/>
        </w:rPr>
        <w:t>1.051 participări</w:t>
      </w:r>
      <w:r w:rsidR="00EE6420" w:rsidRPr="002152E4">
        <w:rPr>
          <w:lang w:val="ro-RO"/>
        </w:rPr>
        <w:t xml:space="preserve"> (676 judecători și 373 procurori, 1 magistrat asistent și 1 personal de specialitate juridică asimilat magistraţilor). </w:t>
      </w:r>
    </w:p>
    <w:p w:rsidR="00EE6420" w:rsidRPr="002152E4" w:rsidRDefault="00EE6420" w:rsidP="00EE6420">
      <w:pPr>
        <w:ind w:firstLine="851"/>
        <w:jc w:val="both"/>
        <w:rPr>
          <w:lang w:val="ro-RO"/>
        </w:rPr>
      </w:pPr>
      <w:r w:rsidRPr="002152E4">
        <w:rPr>
          <w:lang w:val="ro-RO"/>
        </w:rPr>
        <w:t xml:space="preserve">Precizăm că </w:t>
      </w:r>
      <w:r w:rsidRPr="002152E4">
        <w:rPr>
          <w:b/>
          <w:lang w:val="ro-RO"/>
        </w:rPr>
        <w:t>6.233</w:t>
      </w:r>
      <w:r w:rsidRPr="002152E4">
        <w:rPr>
          <w:lang w:val="ro-RO"/>
        </w:rPr>
        <w:t xml:space="preserve"> din judecătorii si procurorii din sistem (</w:t>
      </w:r>
      <w:r w:rsidRPr="002152E4">
        <w:rPr>
          <w:b/>
          <w:lang w:val="ro-RO"/>
        </w:rPr>
        <w:t>88%</w:t>
      </w:r>
      <w:r w:rsidRPr="002152E4">
        <w:rPr>
          <w:lang w:val="ro-RO"/>
        </w:rPr>
        <w:t xml:space="preserve">) au participat, de la adoptarea noilor coduri și până în prezent, la cel puțin o acțiune de formare în materia noilor coduri. </w:t>
      </w:r>
    </w:p>
    <w:p w:rsidR="00EE6420" w:rsidRPr="002152E4" w:rsidRDefault="00EE6420" w:rsidP="00EE6420">
      <w:pPr>
        <w:ind w:firstLine="851"/>
        <w:jc w:val="both"/>
        <w:rPr>
          <w:rFonts w:ascii="Times New Roman" w:hAnsi="Times New Roman"/>
          <w:lang w:val="ro-RO"/>
        </w:rPr>
      </w:pPr>
    </w:p>
    <w:p w:rsidR="00EE6420" w:rsidRPr="002152E4" w:rsidRDefault="007041EF" w:rsidP="00EE6420">
      <w:pPr>
        <w:ind w:firstLine="851"/>
        <w:jc w:val="both"/>
        <w:rPr>
          <w:rFonts w:ascii="Times New Roman" w:hAnsi="Times New Roman"/>
          <w:lang w:val="ro-RO"/>
        </w:rPr>
      </w:pPr>
      <w:r w:rsidRPr="002152E4">
        <w:rPr>
          <w:rFonts w:ascii="Times New Roman" w:hAnsi="Times New Roman"/>
          <w:noProof/>
        </w:rPr>
        <w:drawing>
          <wp:inline distT="0" distB="0" distL="0" distR="0">
            <wp:extent cx="5280660" cy="2087880"/>
            <wp:effectExtent l="0" t="0" r="0" b="0"/>
            <wp:docPr id="6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03">
                      <a:extLst>
                        <a:ext uri="{28A0092B-C50C-407E-A947-70E740481C1C}">
                          <a14:useLocalDpi xmlns:a14="http://schemas.microsoft.com/office/drawing/2010/main" val="0"/>
                        </a:ext>
                      </a:extLst>
                    </a:blip>
                    <a:srcRect t="-3391" r="-253" b="-12605"/>
                    <a:stretch>
                      <a:fillRect/>
                    </a:stretch>
                  </pic:blipFill>
                  <pic:spPr bwMode="auto">
                    <a:xfrm>
                      <a:off x="0" y="0"/>
                      <a:ext cx="5280660" cy="2087880"/>
                    </a:xfrm>
                    <a:prstGeom prst="rect">
                      <a:avLst/>
                    </a:prstGeom>
                    <a:noFill/>
                    <a:ln>
                      <a:noFill/>
                    </a:ln>
                  </pic:spPr>
                </pic:pic>
              </a:graphicData>
            </a:graphic>
          </wp:inline>
        </w:drawing>
      </w:r>
    </w:p>
    <w:p w:rsidR="00EE6420" w:rsidRPr="002152E4" w:rsidRDefault="00EE6420" w:rsidP="00EE6420">
      <w:pPr>
        <w:ind w:firstLine="851"/>
        <w:jc w:val="both"/>
        <w:rPr>
          <w:rFonts w:ascii="Times New Roman" w:hAnsi="Times New Roman"/>
          <w:lang w:val="ro-RO"/>
        </w:rPr>
      </w:pPr>
    </w:p>
    <w:p w:rsidR="00EE6420" w:rsidRPr="002152E4" w:rsidRDefault="00EE6420" w:rsidP="00EE6420">
      <w:pPr>
        <w:ind w:firstLine="851"/>
        <w:jc w:val="both"/>
        <w:rPr>
          <w:lang w:val="ro-RO"/>
        </w:rPr>
      </w:pPr>
      <w:r w:rsidRPr="002152E4">
        <w:rPr>
          <w:lang w:val="ro-RO"/>
        </w:rPr>
        <w:t xml:space="preserve">În ceea ce privește numărul participărilor înregistrate până în prezent la activități de formare în materia noilor coduri menționăm că s-au înregistrat </w:t>
      </w:r>
      <w:r w:rsidRPr="002152E4">
        <w:rPr>
          <w:b/>
          <w:lang w:val="ro-RO"/>
        </w:rPr>
        <w:t xml:space="preserve">19.314 de </w:t>
      </w:r>
      <w:r w:rsidRPr="002152E4">
        <w:rPr>
          <w:lang w:val="ro-RO"/>
        </w:rPr>
        <w:t>participări (12.779 din partea judecătorilor și 6.366 din partea judecătorilor, 93 personal de specialitate juridică asimilat magistraților, 76 magistrați asistenți), cifră care exprimă efortul de formare realizat de INM în acest domeniu.</w:t>
      </w:r>
    </w:p>
    <w:p w:rsidR="00EE6420" w:rsidRPr="002152E4" w:rsidRDefault="00EE6420" w:rsidP="00EE6420">
      <w:pPr>
        <w:ind w:firstLine="851"/>
        <w:jc w:val="both"/>
        <w:rPr>
          <w:bCs/>
          <w:iCs/>
          <w:lang w:val="ro-RO"/>
        </w:rPr>
      </w:pPr>
      <w:r w:rsidRPr="002152E4">
        <w:rPr>
          <w:bCs/>
          <w:iCs/>
          <w:lang w:val="ro-RO"/>
        </w:rPr>
        <w:t>A</w:t>
      </w:r>
      <w:r w:rsidRPr="002152E4">
        <w:rPr>
          <w:lang w:val="ro-RO"/>
        </w:rPr>
        <w:t>ctivitățile de formare continuă au fost interconectate cu un alt demers realizat de INM - întâlnirile președinților secțiilor specializate din cadrul ICCJ și curților de apel, dedicate identificării și dezbaterii aspectelor de practică judiciară neunitară. Exercițiu inițiat în cadrul anului 2014 cu sprijinul CSM, aceste întâlniri s-au bucurat de o largă apreciere, fapt ce ne-a determinat să dublăm numărul acestora la 9 în anul 2015, respectiv 10 întâlniri în 2016 (8 întâlniri au fost programate pentru instanțe, o întâlnire pentru parchete și una comună, în materie penală). Eficiența ambelor programe a fost potențată de contribuția formatorilor INM, care au adus în discuție în cadrul întâlnirilor președinților secțiilor specializate, aspectele semnalate de magistrați la seminariile organizate la nivel descentralizat. Pe de altă parte, concluziile acestor întâlniri nu au fost doar publicate pe site-ul INM și comunicate de participanți în cadrul instanțelor și parchetelor proprii, dar au fost și diseminate în cadrul seminariilor și conferințelor organizate.</w:t>
      </w:r>
    </w:p>
    <w:p w:rsidR="00EE6420" w:rsidRPr="002152E4" w:rsidRDefault="00AF7942" w:rsidP="00EE6420">
      <w:pPr>
        <w:ind w:right="43" w:firstLine="720"/>
        <w:jc w:val="both"/>
        <w:rPr>
          <w:lang w:val="ro-RO"/>
        </w:rPr>
      </w:pPr>
      <w:r w:rsidRPr="002152E4">
        <w:rPr>
          <w:bCs/>
          <w:iCs/>
          <w:lang w:val="ro-RO"/>
        </w:rPr>
        <w:lastRenderedPageBreak/>
        <w:t>În cursul anului 2016</w:t>
      </w:r>
      <w:r w:rsidR="00EE6420" w:rsidRPr="002152E4">
        <w:rPr>
          <w:bCs/>
          <w:iCs/>
          <w:lang w:val="ro-RO"/>
        </w:rPr>
        <w:t xml:space="preserve"> au fost </w:t>
      </w:r>
      <w:r w:rsidRPr="002152E4">
        <w:rPr>
          <w:bCs/>
          <w:iCs/>
          <w:lang w:val="ro-RO"/>
        </w:rPr>
        <w:t xml:space="preserve">organizate, de asemenea, </w:t>
      </w:r>
      <w:r w:rsidRPr="002152E4">
        <w:rPr>
          <w:lang w:val="ro-RO"/>
        </w:rPr>
        <w:t xml:space="preserve">două sesiuni </w:t>
      </w:r>
      <w:r w:rsidR="00EE6420" w:rsidRPr="002152E4">
        <w:rPr>
          <w:b/>
          <w:bCs/>
          <w:iCs/>
          <w:lang w:val="ro-RO"/>
        </w:rPr>
        <w:t>de cursuri e-learning</w:t>
      </w:r>
      <w:r w:rsidR="00EE6420" w:rsidRPr="002152E4">
        <w:rPr>
          <w:bCs/>
          <w:iCs/>
          <w:lang w:val="ro-RO"/>
        </w:rPr>
        <w:t xml:space="preserve"> </w:t>
      </w:r>
      <w:r w:rsidR="00EE6420" w:rsidRPr="002152E4">
        <w:rPr>
          <w:lang w:val="ro-RO"/>
        </w:rPr>
        <w:t>elaborate în domeniul noilor coduri, în cadrul proiectului Asistență</w:t>
      </w:r>
      <w:r w:rsidR="00EE6420" w:rsidRPr="002152E4">
        <w:rPr>
          <w:i/>
          <w:lang w:val="ro-RO"/>
        </w:rPr>
        <w:t xml:space="preserve"> pentru consolidarea capacității instituționale în domeniul formării judecătorilor și procurorilor pentru aplicarea noilor coduri</w:t>
      </w:r>
      <w:r w:rsidR="00EE6420" w:rsidRPr="002152E4">
        <w:rPr>
          <w:lang w:val="ro-RO"/>
        </w:rPr>
        <w:t>, derulat prin Programul de Cooperare Elveţiano - Român pentru reducerea disparităților economice și sociale în cadrul Uniunii Europene extinse.</w:t>
      </w:r>
      <w:r w:rsidR="00EE6420" w:rsidRPr="002152E4">
        <w:rPr>
          <w:bCs/>
          <w:iCs/>
          <w:lang w:val="ro-RO"/>
        </w:rPr>
        <w:t xml:space="preserve"> </w:t>
      </w:r>
      <w:r w:rsidR="00EE6420" w:rsidRPr="002152E4">
        <w:rPr>
          <w:lang w:val="ro-RO"/>
        </w:rPr>
        <w:t xml:space="preserve">Magistrații au avut posibilitatea să opteze pentru accesarea acestor cursuri în mod organizat, beneficiind de coordonarea unui formator INM. În cele din acest an </w:t>
      </w:r>
      <w:r w:rsidR="00EE6420" w:rsidRPr="002152E4">
        <w:rPr>
          <w:b/>
          <w:lang w:val="ro-RO"/>
        </w:rPr>
        <w:t>148</w:t>
      </w:r>
      <w:r w:rsidR="00EE6420" w:rsidRPr="002152E4">
        <w:rPr>
          <w:lang w:val="ro-RO"/>
        </w:rPr>
        <w:t xml:space="preserve"> </w:t>
      </w:r>
      <w:r w:rsidR="00EE6420" w:rsidRPr="002152E4">
        <w:rPr>
          <w:b/>
          <w:lang w:val="ro-RO"/>
        </w:rPr>
        <w:t>de magistrați</w:t>
      </w:r>
      <w:r w:rsidR="00EE6420" w:rsidRPr="002152E4">
        <w:rPr>
          <w:lang w:val="ro-RO"/>
        </w:rPr>
        <w:t xml:space="preserve"> au formulat opțiuni de înscriere la cursurile e-learning. Faptul că fiecare din acești magistrați s-a înscris la 5 - 6 cursuri e-learning a avut drept consecință înregistrarea unui număr de </w:t>
      </w:r>
      <w:r w:rsidR="00EE6420" w:rsidRPr="002152E4">
        <w:rPr>
          <w:b/>
          <w:lang w:val="ro-RO"/>
        </w:rPr>
        <w:t>896</w:t>
      </w:r>
      <w:r w:rsidR="00EE6420" w:rsidRPr="002152E4">
        <w:rPr>
          <w:lang w:val="ro-RO"/>
        </w:rPr>
        <w:t xml:space="preserve"> </w:t>
      </w:r>
      <w:r w:rsidR="00EE6420" w:rsidRPr="002152E4">
        <w:rPr>
          <w:b/>
          <w:lang w:val="ro-RO"/>
        </w:rPr>
        <w:t>de înscrieri</w:t>
      </w:r>
      <w:r w:rsidR="00EE6420" w:rsidRPr="002152E4">
        <w:rPr>
          <w:lang w:val="ro-RO"/>
        </w:rPr>
        <w:t xml:space="preserve">. </w:t>
      </w:r>
    </w:p>
    <w:p w:rsidR="00EE6420" w:rsidRPr="002152E4" w:rsidRDefault="00EE6420" w:rsidP="00EE6420">
      <w:pPr>
        <w:ind w:firstLine="851"/>
        <w:jc w:val="both"/>
        <w:rPr>
          <w:lang w:val="ro-RO"/>
        </w:rPr>
      </w:pPr>
      <w:r w:rsidRPr="002152E4">
        <w:rPr>
          <w:lang w:val="ro-RO"/>
        </w:rPr>
        <w:t xml:space="preserve">Totodată, cursurile au fost postate de platforma e-learning a INM, fiind deschise accesului public. Astfel, nu doar magistrații, dar și orice altă persoană interesată au posibilitatea de a urma cursurile în mod individual, direct pe platforma INM, prin introducerea unui user name și a unei parole anunțate public. </w:t>
      </w:r>
    </w:p>
    <w:p w:rsidR="00EE6420" w:rsidRPr="002152E4" w:rsidRDefault="00EE6420" w:rsidP="00EE6420">
      <w:pPr>
        <w:spacing w:after="180"/>
        <w:ind w:right="43" w:firstLine="706"/>
        <w:jc w:val="both"/>
        <w:rPr>
          <w:b/>
          <w:lang w:val="ro-RO"/>
        </w:rPr>
      </w:pPr>
      <w:r w:rsidRPr="002152E4">
        <w:rPr>
          <w:b/>
          <w:lang w:val="ro-RO"/>
        </w:rPr>
        <w:t>Activități derulate în cadrul componentei de formare inițială</w:t>
      </w:r>
    </w:p>
    <w:p w:rsidR="00EE6420" w:rsidRPr="002152E4" w:rsidRDefault="00EE6420" w:rsidP="00EE6420">
      <w:pPr>
        <w:spacing w:after="180"/>
        <w:ind w:right="48" w:firstLine="709"/>
        <w:jc w:val="both"/>
        <w:rPr>
          <w:b/>
          <w:lang w:val="ro-RO"/>
        </w:rPr>
      </w:pPr>
      <w:r w:rsidRPr="002152E4">
        <w:rPr>
          <w:b/>
          <w:lang w:val="ro-RO"/>
        </w:rPr>
        <w:t>Concursuri și competiții</w:t>
      </w:r>
    </w:p>
    <w:p w:rsidR="00EE6420" w:rsidRPr="002152E4" w:rsidRDefault="00EE6420" w:rsidP="00EE6420">
      <w:pPr>
        <w:spacing w:after="180"/>
        <w:ind w:right="48" w:firstLine="709"/>
        <w:jc w:val="both"/>
        <w:rPr>
          <w:lang w:val="ro-RO"/>
        </w:rPr>
      </w:pPr>
      <w:r w:rsidRPr="002152E4">
        <w:rPr>
          <w:lang w:val="ro-RO"/>
        </w:rPr>
        <w:t xml:space="preserve">INM a fost reprezentat la cea de-a XI-a ediție a Competiției THEMIS, organizată anual de către Rețeaua Europeană de Formare Judiciară (REFJ/EJTN), de către cinci echipe formate din câte trei auditori de justiție și coordonate de formatori cu normă întreagă ai INM. </w:t>
      </w:r>
    </w:p>
    <w:p w:rsidR="00EE6420" w:rsidRPr="002152E4" w:rsidRDefault="00EE6420" w:rsidP="00EE6420">
      <w:pPr>
        <w:spacing w:after="180"/>
        <w:ind w:right="48" w:firstLine="709"/>
        <w:jc w:val="both"/>
        <w:rPr>
          <w:lang w:val="ro-RO"/>
        </w:rPr>
      </w:pPr>
      <w:r w:rsidRPr="002152E4">
        <w:rPr>
          <w:lang w:val="ro-RO"/>
        </w:rPr>
        <w:t xml:space="preserve">Echipele INM au fost înscrise la cele patru categorii de concurs – cooperare internațională în materie penală (semi-finala A), cooperare internațională în materie civilă – drept european al familiei (semi-finala B), cooperare internațională în materie civilă – drept procesual civil european (semi-finala C), respectiv etică și conduită profesionale (semi-finala D). </w:t>
      </w:r>
    </w:p>
    <w:p w:rsidR="00EE6420" w:rsidRPr="002152E4" w:rsidRDefault="00EE6420" w:rsidP="00EE6420">
      <w:pPr>
        <w:spacing w:after="180"/>
        <w:ind w:right="48" w:firstLine="709"/>
        <w:jc w:val="both"/>
        <w:rPr>
          <w:lang w:val="ro-RO"/>
        </w:rPr>
      </w:pPr>
      <w:r w:rsidRPr="002152E4">
        <w:rPr>
          <w:lang w:val="ro-RO"/>
        </w:rPr>
        <w:t xml:space="preserve">Două dintre aceste echipe s-au calificat în Marea Finală a Competiției, desfășurată la sediul Școlii de Magistratură (ENM) din Bordeaux, Franța, în perioada 31 octombrie – 3 noiembrie 2016. </w:t>
      </w:r>
    </w:p>
    <w:p w:rsidR="00EE6420" w:rsidRPr="002152E4" w:rsidRDefault="00EE6420" w:rsidP="00EE6420">
      <w:pPr>
        <w:spacing w:after="180"/>
        <w:ind w:right="48" w:firstLine="709"/>
        <w:jc w:val="both"/>
        <w:rPr>
          <w:lang w:val="ro-RO"/>
        </w:rPr>
      </w:pPr>
      <w:r w:rsidRPr="002152E4">
        <w:rPr>
          <w:lang w:val="ro-RO"/>
        </w:rPr>
        <w:t>Pentru a treia oară în decurs de 6 ani, o echipă a României a fost desemnată câștigătoare a Marii Finale a acestui eveniment internațional dedicat formării inițiale a viitorilor/tinerilor judecători și procurori, iar ca o consecință a acestei reușite INM va găzdui în anul următor cea de-a XII-a ediție a acestei competiții. Primul astfel de succes, după modificarea formatului competiției, în 2010, a fost repurtat în anul 2012, iar cel de al doilea în anul 2014.</w:t>
      </w:r>
    </w:p>
    <w:p w:rsidR="00EE6420" w:rsidRPr="002152E4" w:rsidRDefault="00EE6420" w:rsidP="00EE6420">
      <w:pPr>
        <w:spacing w:after="180"/>
        <w:ind w:right="43" w:firstLine="709"/>
        <w:jc w:val="both"/>
        <w:rPr>
          <w:b/>
          <w:lang w:val="ro-RO"/>
        </w:rPr>
      </w:pPr>
      <w:r w:rsidRPr="002152E4">
        <w:rPr>
          <w:b/>
          <w:lang w:val="ro-RO"/>
        </w:rPr>
        <w:t>Alte programe și activități internaționale adresate auditorilor de justiție</w:t>
      </w:r>
    </w:p>
    <w:p w:rsidR="00EE6420" w:rsidRPr="002152E4" w:rsidRDefault="00EE6420" w:rsidP="00EE6420">
      <w:pPr>
        <w:spacing w:after="180"/>
        <w:ind w:right="43" w:firstLine="709"/>
        <w:jc w:val="both"/>
        <w:rPr>
          <w:lang w:val="ro-RO"/>
        </w:rPr>
      </w:pPr>
      <w:r w:rsidRPr="002152E4">
        <w:rPr>
          <w:lang w:val="ro-RO"/>
        </w:rPr>
        <w:t xml:space="preserve">În perioada 10 – 14 octombrie 2016 s-a desfășurat programul AIAKOS dedicat viitorilor/tinerilor judecători și procurori europeni, organizat anual de către Rețeaua Europeană de Formare Judiciară (REFJ/EJTN). În acest context, INM a primit vizita unui grup alcătuit din 23 de viitori/tineri judecători și procurori, provenind din următoarele state: Belgia, Cehia, Germania, Italia, Polonia, Slovacia, Slovenia, Spania. </w:t>
      </w:r>
    </w:p>
    <w:p w:rsidR="00EE6420" w:rsidRPr="002152E4" w:rsidRDefault="00EE6420" w:rsidP="00EE6420">
      <w:pPr>
        <w:spacing w:after="180"/>
        <w:ind w:right="43" w:firstLine="709"/>
        <w:jc w:val="both"/>
        <w:rPr>
          <w:lang w:val="ro-RO"/>
        </w:rPr>
      </w:pPr>
      <w:r w:rsidRPr="002152E4">
        <w:rPr>
          <w:lang w:val="ro-RO"/>
        </w:rPr>
        <w:t xml:space="preserve">Pe durata celor cinci zile au fost organizate activități având drept scop cunoașterea sistemelor judiciare ale statelor reprezentate, procese simulate în domeniul cooperării judiciare internaționale în materie civilă și penală, dezbateri având ca temă investigarea unor tipuri de infracțiuni, activități având drept scop dezvoltarea abilităților non-juridice, relevante pentru profesie, precum un atelier de lucru și dezbateri pe teme de etică și deontologie, dar și vizite în cadrul Curții de Apel București, unde, pe lângă prezentarea instanței, participanților le-a fost oferită și posibilitatea de a asista la ședințe de judecată. Totodată, au fost efectuate vizite la Parchetul de pe lângă Înalta Curte de Casație și Justiție, Institutul Național de Criminalistică din cadrul Inspectoratului General al Poliției Române și la Penitenciarul Rahova. </w:t>
      </w:r>
    </w:p>
    <w:p w:rsidR="00EE6420" w:rsidRPr="002152E4" w:rsidRDefault="00EE6420" w:rsidP="00EE6420">
      <w:pPr>
        <w:spacing w:after="180"/>
        <w:ind w:right="43" w:firstLine="709"/>
        <w:jc w:val="both"/>
        <w:rPr>
          <w:lang w:val="ro-RO"/>
        </w:rPr>
      </w:pPr>
      <w:r w:rsidRPr="002152E4">
        <w:rPr>
          <w:lang w:val="ro-RO"/>
        </w:rPr>
        <w:t xml:space="preserve">Un număr de 30 de auditori de justiție români a participat la activitățile desfășurate pe parcursul acestei săptămâni alături de colegii lor europeni. În perioada 21 – 25 noiembrie 2016, cei 30 </w:t>
      </w:r>
      <w:r w:rsidRPr="002152E4">
        <w:rPr>
          <w:lang w:val="ro-RO"/>
        </w:rPr>
        <w:lastRenderedPageBreak/>
        <w:t>de auditori de justiție români au participat la programul de schimb organizat de școli/instituții europene responsabile cu formarea judecătorilor și procurorilor, implicate în program.</w:t>
      </w:r>
    </w:p>
    <w:p w:rsidR="00EB7297" w:rsidRDefault="00EE6420" w:rsidP="00EB7297">
      <w:pPr>
        <w:spacing w:after="180"/>
        <w:ind w:right="43" w:firstLine="706"/>
        <w:jc w:val="both"/>
        <w:rPr>
          <w:b/>
          <w:lang w:val="ro-RO"/>
        </w:rPr>
      </w:pPr>
      <w:r w:rsidRPr="002152E4">
        <w:rPr>
          <w:b/>
          <w:lang w:val="ro-RO"/>
        </w:rPr>
        <w:t>Activități derulate în cadrul componentei de formare continuă</w:t>
      </w:r>
    </w:p>
    <w:p w:rsidR="00EB7297" w:rsidRDefault="00EE6420" w:rsidP="00EB7297">
      <w:pPr>
        <w:ind w:right="43" w:firstLine="706"/>
        <w:jc w:val="both"/>
        <w:rPr>
          <w:lang w:val="ro-RO"/>
        </w:rPr>
      </w:pPr>
      <w:r w:rsidRPr="002152E4">
        <w:rPr>
          <w:lang w:val="ro-RO"/>
        </w:rPr>
        <w:t>Și în anul 2016 INM  a început sau a continuat derularea activităților în cadrul unui număr de 23 de proiecte cu finanțare externă nerambursabilă, din care 17 proiecte de parteneriat coordonate de instituții partenere din țară și din Europa, cum sunt: Ministerul Justiției, IGPR, Banca Europeană pentru Reconstrucție și Dezvoltare (BERD), Asociația Pro Refugiu Romania, Freedom House, Centrul Român de Politici Europene (CRPE), Școala Națională de Magistratură din Franța (ENM), S.S.R. Internațional - Centrul pentru pregătire și cercetare pentru sistemul judiciar din Olanda, Institutul pentru Inițiative Legale din Bulgaria (Institute for Legal Initiatives - BILI), Academia de Drept European de la Trier (ERA), Institutului Universitar European de la Florența (EUI), Universitatea din Trento și Ludwig Boltzmann Institut of Human Rights (BIM) – Austria.</w:t>
      </w:r>
    </w:p>
    <w:p w:rsidR="00EE6420" w:rsidRPr="00EB7297" w:rsidRDefault="00EE6420" w:rsidP="00EB7297">
      <w:pPr>
        <w:ind w:right="43" w:firstLine="706"/>
        <w:jc w:val="both"/>
        <w:rPr>
          <w:b/>
          <w:lang w:val="ro-RO"/>
        </w:rPr>
      </w:pPr>
      <w:r w:rsidRPr="002152E4">
        <w:rPr>
          <w:b/>
          <w:lang w:val="ro-RO"/>
        </w:rPr>
        <w:t>Contribuția Elvețiană pentru Uniunea Europeană extinsă</w:t>
      </w:r>
    </w:p>
    <w:p w:rsidR="00EE6420" w:rsidRPr="002152E4" w:rsidRDefault="00EE6420" w:rsidP="00EB7297">
      <w:pPr>
        <w:pStyle w:val="ListParagraph"/>
        <w:shd w:val="clear" w:color="auto" w:fill="FFFFFF"/>
        <w:tabs>
          <w:tab w:val="left" w:pos="360"/>
        </w:tabs>
        <w:ind w:left="0" w:right="43" w:firstLine="709"/>
        <w:jc w:val="both"/>
        <w:rPr>
          <w:rFonts w:ascii="Calibri" w:hAnsi="Calibri"/>
          <w:lang w:val="ro-RO"/>
        </w:rPr>
      </w:pPr>
      <w:r w:rsidRPr="002152E4">
        <w:rPr>
          <w:rFonts w:ascii="Calibri" w:hAnsi="Calibri"/>
          <w:lang w:val="ro-RO"/>
        </w:rPr>
        <w:t xml:space="preserve">Ca urmare a economiilor realizate în perioada 2012 – 2015, Consiliul Federal Elvețian a decis aprobarea finanțării continuării a două proiecte, perioada de implementare fiind de 18 luni de la semnarea noilor acorduri cu partea română reprezentată de către Consiliul Superior al Magistraturii, Institutul Național al Magistraturii fiind unul dintre beneficiarii proiectelor, și anume: </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 xml:space="preserve">a) „Asistență pentru consolidarea capacității instituționale în domeniul formării judecătorilor și procurorilor pentru aplicarea noilor legi”, beneficiarii finali ai proiectului fiind INM și Școala Națională pentru Grefieri. În cadrul proiectului se vor desfășura atât activități de formare profesională adresate cu prioritate judecătorilor și procurorilor români (8 conferințe naționale în domeniul unificării practici judiciare, 10 seminarii în materia executării pedepselor, 5 seminarii în domeniul comunicării, 6 seminarii în domeniul managementului, 6 seminarii în domeniul achizițiilor publice, 6 seminarii în domeniul executării silite, 6 seminarii în materia dreptului familiei și 6 seminarii în materia insolvenței. De asemenea, în cadrul proiectului vor fi derulate activități de completare a modelelor de acte procesuale elaborate în cadrul ghidului de acte procesuale deja elaborat în cadrul proiectului anterior, prin adaptarea și integrarea acestor acte în ECRIS precum și dezvoltarea ghidului de cereri de chemare în judecată. </w:t>
      </w:r>
    </w:p>
    <w:p w:rsidR="00EE6420" w:rsidRPr="002152E4" w:rsidRDefault="00EE6420" w:rsidP="00EE6420">
      <w:pPr>
        <w:pStyle w:val="ListParagraph"/>
        <w:shd w:val="clear" w:color="auto" w:fill="FFFFFF"/>
        <w:tabs>
          <w:tab w:val="left" w:pos="360"/>
          <w:tab w:val="left" w:pos="990"/>
        </w:tabs>
        <w:spacing w:after="180"/>
        <w:ind w:left="0" w:right="43" w:firstLine="709"/>
        <w:jc w:val="both"/>
        <w:rPr>
          <w:rFonts w:ascii="Calibri" w:hAnsi="Calibri"/>
          <w:lang w:val="ro-RO"/>
        </w:rPr>
      </w:pPr>
      <w:r w:rsidRPr="002152E4">
        <w:rPr>
          <w:rFonts w:ascii="Calibri" w:hAnsi="Calibri"/>
          <w:lang w:val="ro-RO"/>
        </w:rPr>
        <w:t xml:space="preserve">b) „Îmbunătățirea capacității de formare profesională pentru judecătorii  și procurorii români în domeniul luptei împotriva corupției și a criminalității economice și financiare” beneficiarii finali ai proiectelor fiind Direcția Națională Anticorupție, Parchetul de pe lângă Înalta Curte de Casație și Justiție, Direcția de Investigare a Infracțiunilor de Criminalitate Organizată și Terorism și INM.   </w:t>
      </w:r>
    </w:p>
    <w:p w:rsidR="00EE6420" w:rsidRPr="00EB7297" w:rsidRDefault="00EE6420" w:rsidP="00EB7297">
      <w:pPr>
        <w:pStyle w:val="ListParagraph"/>
        <w:shd w:val="clear" w:color="auto" w:fill="FFFFFF"/>
        <w:tabs>
          <w:tab w:val="left" w:pos="360"/>
          <w:tab w:val="left" w:pos="990"/>
        </w:tabs>
        <w:spacing w:after="180"/>
        <w:ind w:left="0" w:right="43" w:firstLine="709"/>
        <w:jc w:val="both"/>
        <w:rPr>
          <w:rFonts w:ascii="Calibri" w:hAnsi="Calibri"/>
          <w:lang w:val="ro-RO"/>
        </w:rPr>
      </w:pPr>
      <w:r w:rsidRPr="002152E4">
        <w:rPr>
          <w:rFonts w:ascii="Calibri" w:hAnsi="Calibri"/>
          <w:lang w:val="ro-RO"/>
        </w:rPr>
        <w:t xml:space="preserve">Proiectele au parcurs în acest an o procedură de prelungire a finanțării, care însă a avut o durată mai mare decât cea preconizată inițial. Deși prelungirea a fost aprobată în ambele cazuri, momentul la care această aprobare a intervenit a produs întârzieri semnificative, INM aflându-se în situația de a amâna în integralitate pentru anul 2017 activitățile preconizate pentru anul 2016. </w:t>
      </w:r>
    </w:p>
    <w:p w:rsidR="00EE6420" w:rsidRPr="00EB7297" w:rsidRDefault="00EE6420" w:rsidP="00EE6420">
      <w:pPr>
        <w:pStyle w:val="ListParagraph"/>
        <w:shd w:val="clear" w:color="auto" w:fill="FFFFFF"/>
        <w:tabs>
          <w:tab w:val="left" w:pos="360"/>
        </w:tabs>
        <w:spacing w:after="180"/>
        <w:ind w:left="0" w:right="43" w:firstLine="709"/>
        <w:jc w:val="both"/>
        <w:rPr>
          <w:rFonts w:ascii="Calibri" w:hAnsi="Calibri"/>
          <w:b/>
          <w:lang w:val="ro-RO"/>
        </w:rPr>
      </w:pPr>
      <w:r w:rsidRPr="002152E4">
        <w:rPr>
          <w:rFonts w:ascii="Calibri" w:hAnsi="Calibri"/>
          <w:b/>
          <w:lang w:val="ro-RO"/>
        </w:rPr>
        <w:t>Mecanismul Financiar Norvegian</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 xml:space="preserve">Proiectul „Asistență pentru consolidarea capacității sistemului judiciar din România de a face față noilor provocări legislative și instituționale” a demarat în cursul anului 2014. </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 xml:space="preserve">În anul 2016, INM a continuat implementarea activităților de formare profesională prin organizarea, în domeniul noilor coduri, a 13 seminarii la nivel descentralizat, cu sprijinul curților de apel și al parchetelor de pe lângă curțile de apel (7 seminarii fiind organizate în luna martie și 6 în luna aprilie). La aceste seminarii a participat un număr de 199 judecători și 97 procurori. De asemenea a fost organizată și ultima conferință având ca temă aspecte de practică neunitară intervenite de la intrarea în vigoare a Codului penal și Codului de procedură penală. Conferința a fost transmisă on-line, pe pagina web a INM. La elaborarea agendei conferinței au fost avute în vedere problemele de practică neunitară semnalate de instanțe în aplicarea noilor coduri penal și de procedură penală. </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 xml:space="preserve">Începând cu data de 26 aprilie 2016, durata acordului de parteneriat încheiat în cadrul proiectului a fost prelungită până la data de 30 aprilie 2017, în perioada septembrie 2016 – aprilie 2017 urmând a fi organizate 45 de seminarii în domeniul noilor coduri, 1 conferință internațională în </w:t>
      </w:r>
      <w:r w:rsidRPr="002152E4">
        <w:rPr>
          <w:rFonts w:ascii="Calibri" w:hAnsi="Calibri"/>
          <w:lang w:val="ro-RO"/>
        </w:rPr>
        <w:lastRenderedPageBreak/>
        <w:t xml:space="preserve">domeniul dreptului fiscal, 1 conferință internațională privind insolvența persoanei fizice, 4 seminarii în domeniul dreptului consumatorului și 4 seminarii având ca temă redactarea hotărârilor judecătorești. Și în cazul acestui proiect procedura de prelungire a finanțării a avut o durată mai mare decât cea preconizată inițial, fapt ce a produs unele întârzieri, INM aflându-se în situația de a amâna (în unele cazuri, pentru anul 2017) unele din activitățile preconizate pentru acest an. </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b/>
          <w:lang w:val="ro-RO"/>
        </w:rPr>
      </w:pPr>
      <w:r w:rsidRPr="002152E4">
        <w:rPr>
          <w:rFonts w:ascii="Calibri" w:hAnsi="Calibri"/>
          <w:b/>
          <w:lang w:val="ro-RO"/>
        </w:rPr>
        <w:t>Programul de schimb al autorităților judiciare coordonat de EJTN</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186 de magistrați români au fost selectați să participe la diversele componente ale programului de schimb: stagii de 2 săptămâni (94 de magistrați), vizite la CEDO (14 magistrați), vizite la CJUE (17 magistrați), vizite de studiu la diferite instituții europene din Bruxelles (5 magistrați), vizite EUROJUST (3 magistrați), vizite de studiu în cadrul formării inițiale (30 de auditori), schimb de formatori (8 formatori). De asemenea, 5 magistrați au participat într-un stagiu de grup, 5 magistrați au participat în stagii dedicate conducătorilor de instanțe și parchete, iar alți 4 magistrați au fost propuși pentru stagii specializate. Un alt judecător a beneficiat prin intermediul INM de 1 stagiu de lungă durată (10 luni) la CJUE.</w:t>
      </w:r>
    </w:p>
    <w:p w:rsidR="00EE6420" w:rsidRPr="002152E4" w:rsidRDefault="00EE6420" w:rsidP="00EB7297">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Totodată, 119 magistrați, auditori de justiție și formatori din țările membre EJTN au participat la stagii organizate de INM în România.</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b/>
          <w:lang w:val="ro-RO"/>
        </w:rPr>
      </w:pPr>
      <w:r w:rsidRPr="002152E4">
        <w:rPr>
          <w:rFonts w:ascii="Calibri" w:hAnsi="Calibri"/>
          <w:b/>
          <w:lang w:val="ro-RO"/>
        </w:rPr>
        <w:t>Catalogul EJTN</w:t>
      </w:r>
    </w:p>
    <w:p w:rsidR="00EE6420" w:rsidRPr="002152E4" w:rsidRDefault="00EE6420" w:rsidP="00EB7297">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 xml:space="preserve">INM a inclus 20 de seminarii proprii în Catalogul EJTN și Catalogul EJTN Plus în anul 2016. 34 de judecători și procurori europeni au participat la seminarii deschise de INM participării internaționale; similar, 64 de magistrați români au participat în anul 2016 la seminariile incluse de alte școli de magistratură în Catalogul EJTN sau Catalogul EJTN Plus. </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b/>
          <w:lang w:val="ro-RO"/>
        </w:rPr>
      </w:pPr>
      <w:r w:rsidRPr="002152E4">
        <w:rPr>
          <w:rFonts w:ascii="Calibri" w:hAnsi="Calibri"/>
          <w:b/>
          <w:lang w:val="ro-RO"/>
        </w:rPr>
        <w:t xml:space="preserve">Programe de formare și seminarii organizate în cadrul EJTN </w:t>
      </w:r>
    </w:p>
    <w:p w:rsidR="00EE6420" w:rsidRPr="00EB7297"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 xml:space="preserve">INM a găzduit în 2016 un seminar organizat de sub-grupul de lucru Lingvistic al EJTN. Un procuror român a participat ca expert în cadrul unui seminar al sub-grupului de lucru Drept penal. Totodată, un procuror, un formator cu normă întreagă INM și doi lingviști români au fost experți în proiectul lingvistic, un formator cu normă întreagă a fost expert în cadrul unui seminar organizat de sub-grupul Drept administrativ. În plus, specialistul în științele educației INM a fost formator în cadrul seminariilor organizate de grupul de lucru Metodologii de formare judiciară. </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b/>
          <w:lang w:val="ro-RO"/>
        </w:rPr>
      </w:pPr>
      <w:r w:rsidRPr="002152E4">
        <w:rPr>
          <w:rFonts w:ascii="Calibri" w:hAnsi="Calibri"/>
          <w:b/>
          <w:lang w:val="ro-RO"/>
        </w:rPr>
        <w:t>Cooperarea cu ERA - Academia de Drept European</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Colaborarea cu ERA a continuat și în 2016: 26 de magistrați români au participat prin intermediul INM la 14 dintre seminariile organizate de această instituție. Mai mult, INM a găzduit un seminar ERA la București, doi formatori români fiind implicați ca experți în desfășurarea acestui seminar.</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b/>
          <w:lang w:val="ro-RO"/>
        </w:rPr>
      </w:pPr>
      <w:r w:rsidRPr="002152E4">
        <w:rPr>
          <w:rFonts w:ascii="Calibri" w:hAnsi="Calibri"/>
          <w:b/>
          <w:lang w:val="ro-RO"/>
        </w:rPr>
        <w:t>Cooperarea cu Ambasada SUA la București</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Prin Hotărârea Plenului CSM nr. 730 din 16.06.2016 a fost aprobată implicarea CSM, prin INM, în cadrul proiectului “</w:t>
      </w:r>
      <w:r w:rsidRPr="002152E4">
        <w:rPr>
          <w:rFonts w:ascii="Calibri" w:hAnsi="Calibri"/>
          <w:i/>
          <w:lang w:val="ro-RO"/>
        </w:rPr>
        <w:t>Îmbunătățirea cooperării bilaterale a organelor de aplicare a legii prin creșterea cunoașterii sistemului judiciar din Statele Unite ale Americii</w:t>
      </w:r>
      <w:r w:rsidRPr="002152E4">
        <w:rPr>
          <w:rFonts w:ascii="Calibri" w:hAnsi="Calibri"/>
          <w:lang w:val="ro-RO"/>
        </w:rPr>
        <w:t>”. Proiectul a avut ca principal obiectiv facilitarea înțelegerii sistemelor judiciare ale Statelor Unite ale Americii (SUA) și României de către practicieni și sporirea cooperării dintre autoritățile judiciare și de aplicare a legii din cele două state.</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b/>
          <w:lang w:val="ro-RO"/>
        </w:rPr>
      </w:pPr>
      <w:r w:rsidRPr="002152E4">
        <w:rPr>
          <w:rFonts w:ascii="Calibri" w:hAnsi="Calibri"/>
          <w:lang w:val="ro-RO"/>
        </w:rPr>
        <w:t xml:space="preserve">În realizarea acestui obiectiv au fost prevăzute mai multe activități, cea mai importantă fiind organizarea unei vizite de studiu în SUA pentru 10 magistrați români, vizită care s-a desfășurat cu sprijinul Biroului pentru Educație și Cultură al Departamentului de Stat al SUA. Costurile aferente vizitei de studiu, cu excepția celor aferente transportului internațional au fost suportate de partea americană. </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b/>
          <w:lang w:val="ro-RO"/>
        </w:rPr>
      </w:pPr>
      <w:r w:rsidRPr="002152E4">
        <w:rPr>
          <w:rFonts w:ascii="Calibri" w:hAnsi="Calibri"/>
          <w:b/>
          <w:lang w:val="ro-RO"/>
        </w:rPr>
        <w:t>Cooperarea cu IRZ</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În anul 2016, 2 magistrați români au participat la două stagii organizate de IRZ în Germania.</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b/>
          <w:lang w:val="ro-RO"/>
        </w:rPr>
      </w:pPr>
      <w:r w:rsidRPr="002152E4">
        <w:rPr>
          <w:rFonts w:ascii="Calibri" w:hAnsi="Calibri"/>
          <w:b/>
          <w:lang w:val="ro-RO"/>
        </w:rPr>
        <w:t>Cooperarea cu AEAJ – Asociația Europeana a Judecătorilor Administrativi</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În 2016 INM a organizat două seminarii de formare continuă în colaborare cu AEAJ, la care au participat 8 judecători străini identificați cu sprijinul AEAJ</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b/>
          <w:lang w:val="ro-RO"/>
        </w:rPr>
      </w:pPr>
      <w:r w:rsidRPr="002152E4">
        <w:rPr>
          <w:rFonts w:ascii="Calibri" w:hAnsi="Calibri"/>
          <w:b/>
          <w:lang w:val="ro-RO"/>
        </w:rPr>
        <w:t>Alte seminarii internaționale</w:t>
      </w: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Un număr de 15 judecători si procurori români au participat la alte seminarii și activități internaționale, organizate în cadrul parteneriatelor și relațiilor internaționale dezvoltate de INM</w:t>
      </w:r>
    </w:p>
    <w:p w:rsidR="00EE6420" w:rsidRPr="002152E4" w:rsidRDefault="00EE6420" w:rsidP="00EE6420">
      <w:pPr>
        <w:pStyle w:val="ListParagraph"/>
        <w:shd w:val="clear" w:color="auto" w:fill="FFFFFF"/>
        <w:tabs>
          <w:tab w:val="left" w:pos="360"/>
        </w:tabs>
        <w:spacing w:after="180"/>
        <w:ind w:right="43" w:firstLine="709"/>
        <w:jc w:val="both"/>
        <w:rPr>
          <w:rFonts w:ascii="Calibri" w:hAnsi="Calibri"/>
          <w:lang w:val="ro-RO"/>
        </w:rPr>
      </w:pPr>
    </w:p>
    <w:p w:rsidR="00EE6420" w:rsidRPr="002152E4" w:rsidRDefault="00EE6420" w:rsidP="00EE6420">
      <w:pPr>
        <w:pStyle w:val="ListParagraph"/>
        <w:shd w:val="clear" w:color="auto" w:fill="FFFFFF"/>
        <w:tabs>
          <w:tab w:val="left" w:pos="360"/>
        </w:tabs>
        <w:spacing w:after="180"/>
        <w:ind w:left="0" w:right="43" w:firstLine="709"/>
        <w:jc w:val="both"/>
        <w:rPr>
          <w:rFonts w:ascii="Calibri" w:hAnsi="Calibri"/>
          <w:lang w:val="ro-RO"/>
        </w:rPr>
      </w:pPr>
      <w:r w:rsidRPr="002152E4">
        <w:rPr>
          <w:rFonts w:ascii="Calibri" w:hAnsi="Calibri"/>
          <w:lang w:val="ro-RO"/>
        </w:rPr>
        <w:t xml:space="preserve">În concluzie, în anul 2016 un număr total de </w:t>
      </w:r>
      <w:r w:rsidRPr="002152E4">
        <w:rPr>
          <w:rFonts w:ascii="Calibri" w:hAnsi="Calibri"/>
          <w:b/>
          <w:lang w:val="ro-RO"/>
        </w:rPr>
        <w:t>366 judecători și procurori români</w:t>
      </w:r>
      <w:r w:rsidRPr="002152E4">
        <w:rPr>
          <w:rFonts w:ascii="Calibri" w:hAnsi="Calibri"/>
          <w:lang w:val="ro-RO"/>
        </w:rPr>
        <w:t xml:space="preserve"> au participat în străinătate la diverse forme de pregătire profesională, iar </w:t>
      </w:r>
      <w:r w:rsidRPr="002152E4">
        <w:rPr>
          <w:rFonts w:ascii="Calibri" w:hAnsi="Calibri"/>
          <w:b/>
          <w:lang w:val="ro-RO"/>
        </w:rPr>
        <w:t>161 de judecători și procurori străini</w:t>
      </w:r>
      <w:r w:rsidRPr="002152E4">
        <w:rPr>
          <w:rFonts w:ascii="Calibri" w:hAnsi="Calibri"/>
          <w:lang w:val="ro-RO"/>
        </w:rPr>
        <w:t xml:space="preserve"> au venit în România prin intermediul programelor în care INM este partener. </w:t>
      </w:r>
    </w:p>
    <w:p w:rsidR="00EE6420" w:rsidRPr="002152E4" w:rsidRDefault="00EE6420" w:rsidP="00EE6420">
      <w:pPr>
        <w:ind w:firstLine="720"/>
        <w:jc w:val="both"/>
        <w:rPr>
          <w:b/>
          <w:i/>
          <w:lang w:val="ro-RO"/>
        </w:rPr>
      </w:pPr>
      <w:r w:rsidRPr="002152E4">
        <w:rPr>
          <w:b/>
          <w:i/>
          <w:lang w:val="ro-RO"/>
        </w:rPr>
        <w:t>IV.2.3. Formarea profesională iniţială  a personalului auxiliar</w:t>
      </w:r>
    </w:p>
    <w:p w:rsidR="00EE6420" w:rsidRPr="002152E4" w:rsidRDefault="00EE6420" w:rsidP="00EE6420">
      <w:pPr>
        <w:ind w:firstLine="720"/>
        <w:jc w:val="both"/>
        <w:rPr>
          <w:lang w:val="ro-RO"/>
        </w:rPr>
      </w:pPr>
      <w:r w:rsidRPr="002152E4">
        <w:rPr>
          <w:lang w:val="ro-RO"/>
        </w:rPr>
        <w:t xml:space="preserve">Organizată de Şcoala Naţională de Grefieri în temeiul Legii nr. 567/2004,  formarea profesională iniţială  a personalului auxiliar a continuat să aibă în vedere </w:t>
      </w:r>
      <w:r w:rsidRPr="002152E4">
        <w:rPr>
          <w:i/>
          <w:lang w:val="ro-RO"/>
        </w:rPr>
        <w:t>exclusiv pregătirea grefierilor cu studii superioare juridice,</w:t>
      </w:r>
      <w:r w:rsidRPr="002152E4">
        <w:rPr>
          <w:lang w:val="ro-RO"/>
        </w:rPr>
        <w:t xml:space="preserve"> activitatea de formare iniţială a </w:t>
      </w:r>
      <w:r w:rsidR="003234CF" w:rsidRPr="002152E4">
        <w:rPr>
          <w:lang w:val="ro-RO"/>
        </w:rPr>
        <w:t>Școlii</w:t>
      </w:r>
      <w:r w:rsidRPr="002152E4">
        <w:rPr>
          <w:lang w:val="ro-RO"/>
        </w:rPr>
        <w:t xml:space="preserve"> răspunzând necesităţii ocupării posturilor vacante de grefieri cu studii superioare juridice cu personal calificat. </w:t>
      </w:r>
    </w:p>
    <w:p w:rsidR="00EE6420" w:rsidRPr="002152E4" w:rsidRDefault="00EE6420" w:rsidP="00EE6420">
      <w:pPr>
        <w:ind w:firstLine="720"/>
        <w:jc w:val="both"/>
        <w:rPr>
          <w:i/>
          <w:lang w:val="ro-RO"/>
        </w:rPr>
      </w:pPr>
      <w:r w:rsidRPr="002152E4">
        <w:rPr>
          <w:lang w:val="ro-RO"/>
        </w:rPr>
        <w:t xml:space="preserve">La data de 6 iunie 2016 au debutat </w:t>
      </w:r>
      <w:r w:rsidRPr="002152E4">
        <w:rPr>
          <w:i/>
          <w:lang w:val="ro-RO"/>
        </w:rPr>
        <w:t>cursurile de formare inițială</w:t>
      </w:r>
      <w:r w:rsidRPr="002152E4">
        <w:rPr>
          <w:lang w:val="ro-RO"/>
        </w:rPr>
        <w:t xml:space="preserve"> pentru promoția 2016, care au totalizat un număr de 128 </w:t>
      </w:r>
      <w:r w:rsidRPr="002152E4">
        <w:rPr>
          <w:i/>
          <w:lang w:val="ro-RO"/>
        </w:rPr>
        <w:t>cursanți</w:t>
      </w:r>
      <w:r w:rsidRPr="002152E4">
        <w:rPr>
          <w:lang w:val="ro-RO"/>
        </w:rPr>
        <w:t xml:space="preserve"> (3 cursanți din cei  admiși inițial formulând ulterior cerere de retragere), din care 99 pentru instanțe și 29 pentru parchete.</w:t>
      </w:r>
      <w:r w:rsidRPr="002152E4">
        <w:rPr>
          <w:i/>
          <w:lang w:val="ro-RO"/>
        </w:rPr>
        <w:t xml:space="preserve"> </w:t>
      </w:r>
    </w:p>
    <w:p w:rsidR="00EE6420" w:rsidRPr="002152E4" w:rsidRDefault="00EE6420" w:rsidP="00AF7942">
      <w:pPr>
        <w:ind w:firstLine="720"/>
        <w:jc w:val="both"/>
        <w:rPr>
          <w:lang w:val="ro-RO"/>
        </w:rPr>
      </w:pPr>
      <w:r w:rsidRPr="002152E4">
        <w:rPr>
          <w:i/>
          <w:lang w:val="ro-RO"/>
        </w:rPr>
        <w:t>Extracurricular</w:t>
      </w:r>
      <w:r w:rsidRPr="002152E4">
        <w:rPr>
          <w:lang w:val="ro-RO"/>
        </w:rPr>
        <w:t xml:space="preserve">, au fost realizate și alte </w:t>
      </w:r>
      <w:r w:rsidRPr="002152E4">
        <w:rPr>
          <w:i/>
          <w:lang w:val="ro-RO"/>
        </w:rPr>
        <w:t>activități</w:t>
      </w:r>
      <w:r w:rsidRPr="002152E4">
        <w:rPr>
          <w:lang w:val="ro-RO"/>
        </w:rPr>
        <w:t xml:space="preserve"> de formare: participarea unor cursanți la prelegerea  </w:t>
      </w:r>
      <w:r w:rsidRPr="002152E4">
        <w:rPr>
          <w:i/>
          <w:iCs/>
          <w:lang w:val="ro-RO"/>
        </w:rPr>
        <w:t>Evoluții recente în jurisprudența Curții de Justiție a Uniunii Europene</w:t>
      </w:r>
      <w:r w:rsidRPr="002152E4">
        <w:rPr>
          <w:iCs/>
          <w:lang w:val="ro-RO"/>
        </w:rPr>
        <w:t xml:space="preserve">, susținută de </w:t>
      </w:r>
      <w:r w:rsidRPr="002152E4">
        <w:rPr>
          <w:lang w:val="ro-RO"/>
        </w:rPr>
        <w:t>președintele Curții de Justiție a Uniunii Europene, domnul </w:t>
      </w:r>
      <w:r w:rsidRPr="002152E4">
        <w:rPr>
          <w:iCs/>
          <w:lang w:val="ro-RO"/>
        </w:rPr>
        <w:t xml:space="preserve">judecător Koen Lenaerts; </w:t>
      </w:r>
      <w:r w:rsidRPr="002152E4">
        <w:rPr>
          <w:lang w:val="ro-RO"/>
        </w:rPr>
        <w:t xml:space="preserve">organizarea unui curs de eLearning </w:t>
      </w:r>
      <w:r w:rsidRPr="002152E4">
        <w:rPr>
          <w:i/>
          <w:lang w:val="ro-RO"/>
        </w:rPr>
        <w:t xml:space="preserve">Limba română. Elemente de gramatică. Dificultăți. Ezitări. Confuzii </w:t>
      </w:r>
      <w:r w:rsidRPr="002152E4">
        <w:rPr>
          <w:lang w:val="ro-RO"/>
        </w:rPr>
        <w:t xml:space="preserve"> - pentru cursanții Școlii - promoția 2016. </w:t>
      </w:r>
    </w:p>
    <w:p w:rsidR="00EE6420" w:rsidRPr="005952DB" w:rsidRDefault="00EE6420" w:rsidP="00EE6420">
      <w:pPr>
        <w:ind w:firstLine="720"/>
        <w:jc w:val="both"/>
        <w:rPr>
          <w:lang w:val="ro-RO"/>
        </w:rPr>
      </w:pPr>
      <w:r w:rsidRPr="002152E4">
        <w:rPr>
          <w:i/>
          <w:lang w:val="ro-RO"/>
        </w:rPr>
        <w:t>Durata de școlarizare</w:t>
      </w:r>
      <w:r w:rsidRPr="002152E4">
        <w:rPr>
          <w:lang w:val="ro-RO"/>
        </w:rPr>
        <w:t xml:space="preserve"> pentru promoția 2016 a fost de 6 luni (6 iunie – 6 decembrie 2016), la data de 6 decembrie 2016 </w:t>
      </w:r>
      <w:r w:rsidR="003234CF" w:rsidRPr="002152E4">
        <w:rPr>
          <w:lang w:val="ro-RO"/>
        </w:rPr>
        <w:t>absolvenții</w:t>
      </w:r>
      <w:r w:rsidRPr="002152E4">
        <w:rPr>
          <w:lang w:val="ro-RO"/>
        </w:rPr>
        <w:t xml:space="preserve"> Școlii Naționale de Grefieri fiind repartizați pe posturi de grefier cu studii superioare juridice în instanțele și parchetele din întreaga țară. </w:t>
      </w:r>
    </w:p>
    <w:p w:rsidR="00EE6420" w:rsidRPr="002152E4" w:rsidRDefault="00EE6420" w:rsidP="00EE6420">
      <w:pPr>
        <w:ind w:firstLine="720"/>
        <w:jc w:val="center"/>
        <w:rPr>
          <w:rFonts w:ascii="Times New Roman" w:hAnsi="Times New Roman"/>
          <w:b/>
          <w:i/>
          <w:lang w:val="ro-RO"/>
        </w:rPr>
      </w:pPr>
    </w:p>
    <w:p w:rsidR="00EE6420" w:rsidRPr="002152E4" w:rsidRDefault="00EE6420" w:rsidP="00EE6420">
      <w:pPr>
        <w:ind w:firstLine="720"/>
        <w:jc w:val="both"/>
        <w:rPr>
          <w:b/>
          <w:i/>
          <w:lang w:val="ro-RO"/>
        </w:rPr>
      </w:pPr>
      <w:r w:rsidRPr="002152E4">
        <w:rPr>
          <w:b/>
          <w:i/>
          <w:lang w:val="ro-RO"/>
        </w:rPr>
        <w:t>IV.2.4. Formarea profesională continuă  a personalului auxiliar</w:t>
      </w:r>
    </w:p>
    <w:p w:rsidR="00EE6420" w:rsidRPr="002152E4" w:rsidRDefault="00EE6420" w:rsidP="00EE6420">
      <w:pPr>
        <w:ind w:firstLine="720"/>
        <w:jc w:val="both"/>
        <w:rPr>
          <w:lang w:val="ro-RO"/>
        </w:rPr>
      </w:pPr>
      <w:r w:rsidRPr="002152E4">
        <w:rPr>
          <w:b/>
          <w:i/>
          <w:lang w:val="ro-RO"/>
        </w:rPr>
        <w:t>Programul de formare profesională continuă</w:t>
      </w:r>
      <w:r w:rsidRPr="002152E4">
        <w:rPr>
          <w:b/>
          <w:lang w:val="ro-RO"/>
        </w:rPr>
        <w:t xml:space="preserve"> </w:t>
      </w:r>
      <w:r w:rsidRPr="002152E4">
        <w:rPr>
          <w:b/>
          <w:i/>
          <w:lang w:val="ro-RO"/>
        </w:rPr>
        <w:t xml:space="preserve">a personalului auxiliar </w:t>
      </w:r>
      <w:r w:rsidRPr="002152E4">
        <w:rPr>
          <w:i/>
          <w:lang w:val="ro-RO"/>
        </w:rPr>
        <w:t xml:space="preserve">de specialitate </w:t>
      </w:r>
      <w:r w:rsidRPr="002152E4">
        <w:rPr>
          <w:lang w:val="ro-RO"/>
        </w:rPr>
        <w:t xml:space="preserve">pentru anul 2016 a cuprins 46 de acţiuni de formare organizate de Şcoală în cadrul celor patru centre regionale de pregătire (Bârlad, Cheia, Sovata şi Giroc) și 143 de acțiuni derulate la sediile curților de apel și a parchetelor de pe lângă acestea. </w:t>
      </w:r>
    </w:p>
    <w:p w:rsidR="00EE6420" w:rsidRPr="002152E4" w:rsidRDefault="00EE6420" w:rsidP="00EE6420">
      <w:pPr>
        <w:ind w:firstLine="720"/>
        <w:jc w:val="both"/>
        <w:rPr>
          <w:i/>
          <w:lang w:val="ro-RO"/>
        </w:rPr>
      </w:pPr>
      <w:r w:rsidRPr="002152E4">
        <w:rPr>
          <w:rFonts w:eastAsia="Calibri"/>
          <w:lang w:val="ro-RO"/>
        </w:rPr>
        <w:t xml:space="preserve">În centrele de formare, pe lângă pregătirea în domeniul noilor coduri, </w:t>
      </w:r>
      <w:r w:rsidRPr="002152E4">
        <w:rPr>
          <w:rFonts w:eastAsia="Calibri"/>
          <w:i/>
          <w:lang w:val="ro-RO"/>
        </w:rPr>
        <w:t>Programul de formare</w:t>
      </w:r>
      <w:r w:rsidRPr="002152E4">
        <w:rPr>
          <w:rFonts w:eastAsia="Calibri"/>
          <w:lang w:val="ro-RO"/>
        </w:rPr>
        <w:t xml:space="preserve"> a cuprins și seminarelor în domeniile: </w:t>
      </w:r>
      <w:r w:rsidRPr="002152E4">
        <w:rPr>
          <w:rFonts w:eastAsia="Calibri"/>
          <w:i/>
          <w:lang w:val="ro-RO"/>
        </w:rPr>
        <w:t>Executări penale, Executări civile,</w:t>
      </w:r>
      <w:r w:rsidRPr="002152E4">
        <w:rPr>
          <w:rFonts w:eastAsia="Calibri"/>
          <w:lang w:val="ro-RO"/>
        </w:rPr>
        <w:t xml:space="preserve"> </w:t>
      </w:r>
      <w:r w:rsidRPr="002152E4">
        <w:rPr>
          <w:rFonts w:eastAsia="Calibri"/>
          <w:i/>
          <w:lang w:val="ro-RO"/>
        </w:rPr>
        <w:t>Comunicare și deontologie</w:t>
      </w:r>
      <w:r w:rsidRPr="002152E4">
        <w:rPr>
          <w:rFonts w:eastAsia="Calibri"/>
          <w:lang w:val="ro-RO"/>
        </w:rPr>
        <w:t xml:space="preserve">, </w:t>
      </w:r>
      <w:r w:rsidRPr="002152E4">
        <w:rPr>
          <w:rFonts w:eastAsia="Calibri"/>
          <w:i/>
          <w:lang w:val="ro-RO"/>
        </w:rPr>
        <w:t xml:space="preserve">Management, Arhivare și registratură (pentru grefierii din cadrul instanțelor),  Elemente de tehnoredactare, </w:t>
      </w:r>
      <w:r w:rsidRPr="002152E4">
        <w:rPr>
          <w:i/>
          <w:lang w:val="ro-RO"/>
        </w:rPr>
        <w:t xml:space="preserve">Repartizare aleatorie a cauzelor, Activitatea grefierului desemnat pentru asigurarea desfășurării activității la biroul judecătorului de supraveghere a privării de libertate, ECRIS şi registratură, </w:t>
      </w:r>
      <w:r w:rsidR="003234CF" w:rsidRPr="002152E4">
        <w:rPr>
          <w:i/>
          <w:lang w:val="ro-RO"/>
        </w:rPr>
        <w:t>Informații</w:t>
      </w:r>
      <w:r w:rsidRPr="002152E4">
        <w:rPr>
          <w:i/>
          <w:lang w:val="ro-RO"/>
        </w:rPr>
        <w:t xml:space="preserve"> clasificate, Activitatea grefierului documentarist.  </w:t>
      </w:r>
    </w:p>
    <w:p w:rsidR="00EE6420" w:rsidRPr="002152E4" w:rsidRDefault="00EE6420" w:rsidP="00EE6420">
      <w:pPr>
        <w:ind w:firstLine="720"/>
        <w:jc w:val="both"/>
        <w:rPr>
          <w:lang w:val="ro-RO"/>
        </w:rPr>
      </w:pPr>
      <w:r w:rsidRPr="002152E4">
        <w:rPr>
          <w:lang w:val="ro-RO"/>
        </w:rPr>
        <w:t>În total, la seminarele derulate în centrele de formare au participat 998 de grefieri, dintre care 16 grefieri din Republica Moldova, în baza protocolului de colaborare între Școala Națională de Grefieri și Institutul Naţional al Justiției din </w:t>
      </w:r>
      <w:r w:rsidRPr="002152E4">
        <w:rPr>
          <w:bCs/>
          <w:lang w:val="ro-RO"/>
        </w:rPr>
        <w:t>Republica Moldova.</w:t>
      </w:r>
    </w:p>
    <w:p w:rsidR="00EE6420" w:rsidRPr="002152E4" w:rsidRDefault="00EE6420" w:rsidP="00EE6420">
      <w:pPr>
        <w:ind w:firstLine="720"/>
        <w:jc w:val="both"/>
        <w:rPr>
          <w:lang w:val="ro-RO"/>
        </w:rPr>
      </w:pPr>
      <w:r w:rsidRPr="002152E4">
        <w:rPr>
          <w:rFonts w:eastAsia="Calibri"/>
          <w:lang w:val="ro-RO"/>
        </w:rPr>
        <w:t xml:space="preserve">De asemenea, la sediile curților de apel s-au organizat pentru grefierii din cadrul instanțelor, 30 de acțiuni de formare de câte o zi în materia </w:t>
      </w:r>
      <w:r w:rsidRPr="002152E4">
        <w:rPr>
          <w:rFonts w:eastAsia="Calibri"/>
          <w:i/>
          <w:lang w:val="ro-RO"/>
        </w:rPr>
        <w:t>noului Cod de procedură civilă</w:t>
      </w:r>
      <w:r w:rsidRPr="002152E4">
        <w:rPr>
          <w:rFonts w:eastAsia="Calibri"/>
          <w:lang w:val="ro-RO"/>
        </w:rPr>
        <w:t xml:space="preserve">, 27 de acțiuni de formare de câte o zi în materia </w:t>
      </w:r>
      <w:r w:rsidRPr="002152E4">
        <w:rPr>
          <w:rFonts w:eastAsia="Calibri"/>
          <w:i/>
          <w:lang w:val="ro-RO"/>
        </w:rPr>
        <w:t>noului Cod de procedură penală</w:t>
      </w:r>
      <w:r w:rsidRPr="002152E4">
        <w:rPr>
          <w:rFonts w:eastAsia="Calibri"/>
          <w:lang w:val="ro-RO"/>
        </w:rPr>
        <w:t xml:space="preserve">, 15 acțiuni de formare de câte o zi în materia </w:t>
      </w:r>
      <w:r w:rsidRPr="002152E4">
        <w:rPr>
          <w:i/>
          <w:lang w:val="ro-RO"/>
        </w:rPr>
        <w:t xml:space="preserve">Statistică.STATISECRIS, </w:t>
      </w:r>
      <w:r w:rsidRPr="002152E4">
        <w:rPr>
          <w:lang w:val="ro-RO"/>
        </w:rPr>
        <w:t>26 de acţiuni de formare în materia</w:t>
      </w:r>
      <w:r w:rsidRPr="002152E4">
        <w:rPr>
          <w:i/>
          <w:lang w:val="ro-RO"/>
        </w:rPr>
        <w:t xml:space="preserve"> Procedura insolvenţei persoanelor fizice </w:t>
      </w:r>
      <w:r w:rsidRPr="002152E4">
        <w:rPr>
          <w:lang w:val="ro-RO"/>
        </w:rPr>
        <w:t>şi 15 acţiuni de formare în materia</w:t>
      </w:r>
      <w:r w:rsidRPr="002152E4">
        <w:rPr>
          <w:i/>
          <w:lang w:val="ro-RO"/>
        </w:rPr>
        <w:t xml:space="preserve"> Abilităţi non-juridice.  </w:t>
      </w:r>
      <w:r w:rsidRPr="002152E4">
        <w:rPr>
          <w:rFonts w:eastAsia="Calibri"/>
          <w:lang w:val="ro-RO"/>
        </w:rPr>
        <w:t xml:space="preserve">La sediile </w:t>
      </w:r>
      <w:r w:rsidRPr="002152E4">
        <w:rPr>
          <w:lang w:val="ro-RO"/>
        </w:rPr>
        <w:t xml:space="preserve">parchetelor de pe lângă curțile de apel </w:t>
      </w:r>
      <w:r w:rsidRPr="002152E4">
        <w:rPr>
          <w:rFonts w:eastAsia="Calibri"/>
          <w:lang w:val="ro-RO"/>
        </w:rPr>
        <w:t>s-au organizat</w:t>
      </w:r>
      <w:r w:rsidRPr="002152E4">
        <w:rPr>
          <w:i/>
          <w:lang w:val="ro-RO"/>
        </w:rPr>
        <w:t xml:space="preserve"> </w:t>
      </w:r>
      <w:r w:rsidRPr="002152E4">
        <w:rPr>
          <w:lang w:val="ro-RO"/>
        </w:rPr>
        <w:t xml:space="preserve">pentru grefierii din cadrul </w:t>
      </w:r>
      <w:r w:rsidRPr="002152E4">
        <w:rPr>
          <w:rFonts w:eastAsia="Calibri"/>
          <w:lang w:val="ro-RO"/>
        </w:rPr>
        <w:t xml:space="preserve">parchetelor, 15 acțiuni de formare de câte o zi în materia </w:t>
      </w:r>
      <w:r w:rsidRPr="002152E4">
        <w:rPr>
          <w:rFonts w:eastAsia="Calibri"/>
          <w:i/>
          <w:lang w:val="ro-RO"/>
        </w:rPr>
        <w:t xml:space="preserve">noului Cod de procedură penală </w:t>
      </w:r>
      <w:r w:rsidRPr="002152E4">
        <w:rPr>
          <w:rFonts w:eastAsia="Calibri"/>
          <w:lang w:val="ro-RO"/>
        </w:rPr>
        <w:t>și</w:t>
      </w:r>
      <w:r w:rsidRPr="002152E4">
        <w:rPr>
          <w:rFonts w:eastAsia="Calibri"/>
          <w:i/>
          <w:lang w:val="ro-RO"/>
        </w:rPr>
        <w:t xml:space="preserve"> </w:t>
      </w:r>
      <w:r w:rsidRPr="002152E4">
        <w:rPr>
          <w:rFonts w:eastAsia="Calibri"/>
          <w:lang w:val="ro-RO"/>
        </w:rPr>
        <w:t xml:space="preserve">15 acțiuni de formare de câte o zi în materia </w:t>
      </w:r>
      <w:r w:rsidRPr="002152E4">
        <w:rPr>
          <w:rFonts w:eastAsia="Calibri"/>
          <w:i/>
          <w:lang w:val="ro-RO"/>
        </w:rPr>
        <w:t>Abilităţi non-juridice</w:t>
      </w:r>
      <w:r w:rsidRPr="002152E4">
        <w:rPr>
          <w:lang w:val="ro-RO"/>
        </w:rPr>
        <w:t>. În total, la seminarele organizate la sediile instanțelor și parchetelor au participat 2907 de grefieri.</w:t>
      </w:r>
    </w:p>
    <w:p w:rsidR="00EE6420" w:rsidRPr="002152E4" w:rsidRDefault="00EE6420" w:rsidP="00EE6420">
      <w:pPr>
        <w:ind w:firstLine="720"/>
        <w:jc w:val="both"/>
        <w:rPr>
          <w:rFonts w:eastAsia="Calibri"/>
          <w:lang w:val="ro-RO"/>
        </w:rPr>
      </w:pPr>
      <w:r w:rsidRPr="002152E4">
        <w:rPr>
          <w:rFonts w:eastAsia="Calibri"/>
          <w:lang w:val="ro-RO"/>
        </w:rPr>
        <w:t xml:space="preserve">În ce privește cursurile eLearning, pe lângă cursurile la distanță dedicate grefierilor recrutați prin concurs de ocupare în mod direct a posturilor, s-au desfășurat cursuri în materia </w:t>
      </w:r>
      <w:r w:rsidRPr="002152E4">
        <w:rPr>
          <w:rFonts w:eastAsia="Calibri"/>
          <w:i/>
          <w:lang w:val="ro-RO"/>
        </w:rPr>
        <w:t>Procedurilor de prevenire a insolvenței și de insolvență</w:t>
      </w:r>
      <w:r w:rsidRPr="002152E4">
        <w:rPr>
          <w:rFonts w:eastAsia="Calibri"/>
          <w:lang w:val="ro-RO"/>
        </w:rPr>
        <w:t xml:space="preserve">, a </w:t>
      </w:r>
      <w:r w:rsidRPr="002152E4">
        <w:rPr>
          <w:rFonts w:eastAsia="Calibri"/>
          <w:i/>
          <w:lang w:val="ro-RO"/>
        </w:rPr>
        <w:t>noului Cod de procedură civilă</w:t>
      </w:r>
      <w:r w:rsidRPr="002152E4">
        <w:rPr>
          <w:rFonts w:eastAsia="Calibri"/>
          <w:lang w:val="ro-RO"/>
        </w:rPr>
        <w:t xml:space="preserve"> și a </w:t>
      </w:r>
      <w:r w:rsidRPr="002152E4">
        <w:rPr>
          <w:rFonts w:eastAsia="Calibri"/>
          <w:i/>
          <w:lang w:val="ro-RO"/>
        </w:rPr>
        <w:t xml:space="preserve">noului Cod de procedură penală, </w:t>
      </w:r>
      <w:r w:rsidRPr="002152E4">
        <w:rPr>
          <w:i/>
          <w:lang w:val="ro-RO"/>
        </w:rPr>
        <w:t>a Cooperării judiciare internaționale în materie civilă şi</w:t>
      </w:r>
      <w:r w:rsidRPr="002152E4">
        <w:rPr>
          <w:rFonts w:eastAsia="Calibri"/>
          <w:i/>
          <w:lang w:val="ro-RO"/>
        </w:rPr>
        <w:t xml:space="preserve"> a </w:t>
      </w:r>
      <w:r w:rsidRPr="002152E4">
        <w:rPr>
          <w:i/>
          <w:lang w:val="ro-RO"/>
        </w:rPr>
        <w:t>Limbii române (Elemente de gramatică. Dificultăți. Ezitări. Confuzii),</w:t>
      </w:r>
      <w:r w:rsidRPr="002152E4">
        <w:rPr>
          <w:lang w:val="ro-RO"/>
        </w:rPr>
        <w:t xml:space="preserve"> la care au participat în total 289 de grefieri</w:t>
      </w:r>
      <w:r w:rsidRPr="002152E4">
        <w:rPr>
          <w:rFonts w:eastAsia="Calibri"/>
          <w:lang w:val="ro-RO"/>
        </w:rPr>
        <w:t xml:space="preserve">. </w:t>
      </w:r>
      <w:r w:rsidRPr="002152E4">
        <w:rPr>
          <w:lang w:val="ro-RO"/>
        </w:rPr>
        <w:t>La ultimul dintre aceste cursuri la distanță au participat și 41 de grefieri din Republica Moldova, în baza protocolului de colaborare mai sus-amintit</w:t>
      </w:r>
      <w:r w:rsidRPr="002152E4">
        <w:rPr>
          <w:bCs/>
          <w:lang w:val="ro-RO"/>
        </w:rPr>
        <w:t>.</w:t>
      </w:r>
    </w:p>
    <w:p w:rsidR="00EE6420" w:rsidRPr="002152E4" w:rsidRDefault="00EE6420" w:rsidP="00EE6420">
      <w:pPr>
        <w:ind w:firstLine="720"/>
        <w:jc w:val="both"/>
        <w:rPr>
          <w:rFonts w:eastAsia="Calibri"/>
          <w:lang w:val="ro-RO"/>
        </w:rPr>
      </w:pPr>
      <w:r w:rsidRPr="002152E4">
        <w:rPr>
          <w:rFonts w:eastAsia="Calibri"/>
          <w:lang w:val="ro-RO"/>
        </w:rPr>
        <w:lastRenderedPageBreak/>
        <w:t>În ce privește grefierii recrutați prin concurs de ocupare în mod direct a posturilor, s-a continuat forma tradițională de pregătire a acestora în două etape, în forma combi</w:t>
      </w:r>
      <w:r w:rsidR="003234CF">
        <w:rPr>
          <w:rFonts w:eastAsia="Calibri"/>
          <w:lang w:val="ro-RO"/>
        </w:rPr>
        <w:t>nată, e</w:t>
      </w:r>
      <w:r w:rsidRPr="002152E4">
        <w:rPr>
          <w:rFonts w:eastAsia="Calibri"/>
          <w:lang w:val="ro-RO"/>
        </w:rPr>
        <w:t xml:space="preserve">Learning (blendedLearning), astfel: prima etapă s-a desfășurat în prima parte a anului, sub forma învățământului la distanță (eLearning), în materia </w:t>
      </w:r>
      <w:r w:rsidRPr="002152E4">
        <w:rPr>
          <w:rFonts w:eastAsia="Calibri"/>
          <w:i/>
          <w:lang w:val="ro-RO"/>
        </w:rPr>
        <w:t>noului Cod de procedură civilă</w:t>
      </w:r>
      <w:r w:rsidRPr="002152E4">
        <w:rPr>
          <w:rFonts w:eastAsia="Calibri"/>
          <w:lang w:val="ro-RO"/>
        </w:rPr>
        <w:t xml:space="preserve"> și a </w:t>
      </w:r>
      <w:r w:rsidRPr="002152E4">
        <w:rPr>
          <w:rFonts w:eastAsia="Calibri"/>
          <w:i/>
          <w:lang w:val="ro-RO"/>
        </w:rPr>
        <w:t xml:space="preserve">noului Cod de procedură penală; </w:t>
      </w:r>
      <w:r w:rsidRPr="002152E4">
        <w:rPr>
          <w:rFonts w:eastAsia="Calibri"/>
          <w:lang w:val="ro-RO"/>
        </w:rPr>
        <w:t xml:space="preserve">în a doua etapă, grefierii au urmat cursuri în centrele de formare, pe parcursul a </w:t>
      </w:r>
      <w:r w:rsidR="003234CF" w:rsidRPr="002152E4">
        <w:rPr>
          <w:rFonts w:eastAsia="Calibri"/>
          <w:lang w:val="ro-RO"/>
        </w:rPr>
        <w:t>șapte</w:t>
      </w:r>
      <w:r w:rsidRPr="002152E4">
        <w:rPr>
          <w:rFonts w:eastAsia="Calibri"/>
          <w:lang w:val="ro-RO"/>
        </w:rPr>
        <w:t xml:space="preserve"> zile, atât la materiile anterior menționate, cât și la materia</w:t>
      </w:r>
      <w:r w:rsidRPr="002152E4">
        <w:rPr>
          <w:rFonts w:eastAsia="Calibri"/>
          <w:i/>
          <w:lang w:val="ro-RO"/>
        </w:rPr>
        <w:t xml:space="preserve"> Comunicare și Deontologie. </w:t>
      </w:r>
    </w:p>
    <w:p w:rsidR="00EE6420" w:rsidRPr="002152E4" w:rsidRDefault="00EE6420" w:rsidP="00EE6420">
      <w:pPr>
        <w:ind w:firstLine="720"/>
        <w:jc w:val="both"/>
        <w:rPr>
          <w:bCs/>
          <w:i/>
          <w:lang w:val="ro-RO"/>
        </w:rPr>
      </w:pPr>
      <w:r w:rsidRPr="002152E4">
        <w:rPr>
          <w:lang w:val="ro-RO"/>
        </w:rPr>
        <w:t>În continuarea seminarelor desfăşurate cu succes încă din anul 2011, în scopul dezvoltării echipei magistrat – grefier, Şcoala Naţională de Grefieri a organizat în cursul anului 2016, acţiuni comune cu Institutul Naţional al Magistraturii</w:t>
      </w:r>
      <w:r w:rsidRPr="002152E4">
        <w:rPr>
          <w:bCs/>
          <w:lang w:val="ro-RO"/>
        </w:rPr>
        <w:t xml:space="preserve"> – un seminar în domeniul </w:t>
      </w:r>
      <w:r w:rsidRPr="002152E4">
        <w:rPr>
          <w:bCs/>
          <w:i/>
          <w:lang w:val="ro-RO"/>
        </w:rPr>
        <w:t xml:space="preserve">Repartizării aleatorii a cauzelor </w:t>
      </w:r>
      <w:r w:rsidRPr="002152E4">
        <w:rPr>
          <w:bCs/>
          <w:lang w:val="ro-RO"/>
        </w:rPr>
        <w:t>şi unul în domeniul</w:t>
      </w:r>
      <w:r w:rsidRPr="002152E4">
        <w:rPr>
          <w:bCs/>
          <w:i/>
          <w:lang w:val="ro-RO"/>
        </w:rPr>
        <w:t xml:space="preserve"> Informaţiilor clasificate.</w:t>
      </w:r>
    </w:p>
    <w:p w:rsidR="00EE6420" w:rsidRPr="002152E4" w:rsidRDefault="00EE6420" w:rsidP="00EE6420">
      <w:pPr>
        <w:ind w:firstLine="720"/>
        <w:jc w:val="both"/>
        <w:rPr>
          <w:lang w:val="ro-RO"/>
        </w:rPr>
      </w:pPr>
      <w:r w:rsidRPr="002152E4">
        <w:rPr>
          <w:lang w:val="ro-RO"/>
        </w:rPr>
        <w:t>În total, la acțiunile de formare continuă organizate de Școală în cursul anului 2016 au participat 4194 de grefieri.</w:t>
      </w:r>
    </w:p>
    <w:p w:rsidR="00EE6420" w:rsidRPr="002152E4" w:rsidRDefault="00EE6420" w:rsidP="00EE6420">
      <w:pPr>
        <w:autoSpaceDE w:val="0"/>
        <w:autoSpaceDN w:val="0"/>
        <w:adjustRightInd w:val="0"/>
        <w:ind w:firstLine="709"/>
        <w:jc w:val="both"/>
        <w:rPr>
          <w:lang w:val="ro-RO"/>
        </w:rPr>
      </w:pPr>
      <w:r w:rsidRPr="002152E4">
        <w:rPr>
          <w:rFonts w:eastAsia="MS PGothic"/>
          <w:lang w:val="ro-RO"/>
        </w:rPr>
        <w:t xml:space="preserve">În anul </w:t>
      </w:r>
      <w:r w:rsidRPr="002152E4">
        <w:rPr>
          <w:rFonts w:eastAsia="MS PGothic"/>
          <w:b/>
          <w:lang w:val="ro-RO"/>
        </w:rPr>
        <w:t>2016</w:t>
      </w:r>
      <w:r w:rsidRPr="002152E4">
        <w:rPr>
          <w:rFonts w:eastAsia="MS PGothic"/>
          <w:lang w:val="ro-RO"/>
        </w:rPr>
        <w:t xml:space="preserve">, </w:t>
      </w:r>
      <w:r w:rsidRPr="002152E4">
        <w:rPr>
          <w:lang w:val="ro-RO"/>
        </w:rPr>
        <w:t xml:space="preserve">Școala Națională de Grefieri a început implementarea fazei a II-a a </w:t>
      </w:r>
      <w:r w:rsidRPr="002152E4">
        <w:rPr>
          <w:shd w:val="clear" w:color="auto" w:fill="FFFFFF"/>
          <w:lang w:val="ro-RO"/>
        </w:rPr>
        <w:t xml:space="preserve">proiectului </w:t>
      </w:r>
      <w:r w:rsidRPr="002152E4">
        <w:rPr>
          <w:lang w:val="ro-RO"/>
        </w:rPr>
        <w:t>”</w:t>
      </w:r>
      <w:r w:rsidRPr="002152E4">
        <w:rPr>
          <w:i/>
          <w:iCs/>
          <w:lang w:val="ro-RO"/>
        </w:rPr>
        <w:t>Întărirea capacității sistemului judiciar românesc de a răspunde noilor schimbări legislative și instituționale/Strengthening the capacity of the Romanian judicial system to face new legislative and institutional challenges</w:t>
      </w:r>
      <w:r w:rsidRPr="002152E4">
        <w:rPr>
          <w:bCs/>
          <w:i/>
          <w:iCs/>
          <w:lang w:val="ro-RO"/>
        </w:rPr>
        <w:t>”</w:t>
      </w:r>
      <w:r w:rsidRPr="002152E4">
        <w:rPr>
          <w:i/>
          <w:iCs/>
          <w:lang w:val="ro-RO"/>
        </w:rPr>
        <w:t>,</w:t>
      </w:r>
      <w:r w:rsidRPr="002152E4">
        <w:rPr>
          <w:lang w:val="ro-RO"/>
        </w:rPr>
        <w:t xml:space="preserve"> finanțat prin </w:t>
      </w:r>
      <w:r w:rsidRPr="002152E4">
        <w:rPr>
          <w:b/>
          <w:i/>
          <w:lang w:val="ro-RO"/>
        </w:rPr>
        <w:t>Mecanismul Financiar Norvegian 2009-2014</w:t>
      </w:r>
      <w:r w:rsidRPr="002152E4">
        <w:rPr>
          <w:b/>
          <w:i/>
          <w:shd w:val="clear" w:color="auto" w:fill="FFFFFF"/>
          <w:lang w:val="ro-RO"/>
        </w:rPr>
        <w:t xml:space="preserve"> </w:t>
      </w:r>
      <w:r w:rsidRPr="002152E4">
        <w:rPr>
          <w:shd w:val="clear" w:color="auto" w:fill="FFFFFF"/>
          <w:lang w:val="ro-RO"/>
        </w:rPr>
        <w:t xml:space="preserve">și anume </w:t>
      </w:r>
      <w:r w:rsidRPr="002152E4">
        <w:rPr>
          <w:lang w:val="ro-RO"/>
        </w:rPr>
        <w:t xml:space="preserve">organizarea de </w:t>
      </w:r>
      <w:r w:rsidRPr="002152E4">
        <w:rPr>
          <w:i/>
          <w:lang w:val="ro-RO"/>
        </w:rPr>
        <w:t>seminare dedicate grefierilor</w:t>
      </w:r>
      <w:r w:rsidRPr="002152E4">
        <w:rPr>
          <w:lang w:val="ro-RO"/>
        </w:rPr>
        <w:t xml:space="preserve"> în domeniile managementul activității grefierului în procesul civil, managementul activității grefierului în procesul penal, managementul activității grefierului din parchete, etică și deontologiei profesionale. </w:t>
      </w:r>
    </w:p>
    <w:p w:rsidR="00EE6420" w:rsidRPr="002152E4" w:rsidRDefault="00EE6420" w:rsidP="00EE6420">
      <w:pPr>
        <w:autoSpaceDE w:val="0"/>
        <w:autoSpaceDN w:val="0"/>
        <w:adjustRightInd w:val="0"/>
        <w:ind w:firstLine="709"/>
        <w:jc w:val="both"/>
        <w:rPr>
          <w:rFonts w:eastAsia="MS PGothic"/>
          <w:lang w:val="ro-RO"/>
        </w:rPr>
      </w:pPr>
      <w:r w:rsidRPr="002152E4">
        <w:rPr>
          <w:rFonts w:eastAsia="MS PGothic"/>
          <w:lang w:val="ro-RO"/>
        </w:rPr>
        <w:t xml:space="preserve">Astfel, în cadrul </w:t>
      </w:r>
      <w:r w:rsidRPr="002152E4">
        <w:rPr>
          <w:rFonts w:eastAsia="MS PGothic"/>
          <w:b/>
          <w:lang w:val="ro-RO"/>
        </w:rPr>
        <w:t>Output-ului 2.4</w:t>
      </w:r>
      <w:r w:rsidRPr="002152E4">
        <w:rPr>
          <w:rFonts w:eastAsia="MS PGothic"/>
          <w:lang w:val="ro-RO"/>
        </w:rPr>
        <w:t xml:space="preserve"> au fost organizate </w:t>
      </w:r>
      <w:r w:rsidRPr="002152E4">
        <w:rPr>
          <w:rFonts w:eastAsia="MS PGothic"/>
          <w:b/>
          <w:lang w:val="ro-RO"/>
        </w:rPr>
        <w:t>6</w:t>
      </w:r>
      <w:r w:rsidRPr="002152E4">
        <w:rPr>
          <w:rFonts w:eastAsia="MS PGothic"/>
          <w:lang w:val="ro-RO"/>
        </w:rPr>
        <w:t xml:space="preserve"> seminare în domeniul </w:t>
      </w:r>
      <w:r w:rsidRPr="002152E4">
        <w:rPr>
          <w:rFonts w:eastAsia="MS PGothic"/>
          <w:b/>
          <w:lang w:val="ro-RO"/>
        </w:rPr>
        <w:t>Etică și deontologie profesională</w:t>
      </w:r>
      <w:r w:rsidRPr="002152E4">
        <w:rPr>
          <w:rFonts w:eastAsia="MS PGothic"/>
          <w:lang w:val="ro-RO"/>
        </w:rPr>
        <w:t xml:space="preserve"> cu participarea unui număr de 120 grefieri. </w:t>
      </w:r>
    </w:p>
    <w:p w:rsidR="00EE6420" w:rsidRPr="002152E4" w:rsidRDefault="00EE6420" w:rsidP="00EE6420">
      <w:pPr>
        <w:autoSpaceDE w:val="0"/>
        <w:autoSpaceDN w:val="0"/>
        <w:adjustRightInd w:val="0"/>
        <w:ind w:firstLine="709"/>
        <w:jc w:val="both"/>
        <w:rPr>
          <w:rFonts w:eastAsia="MS PGothic"/>
          <w:lang w:val="ro-RO"/>
        </w:rPr>
      </w:pPr>
      <w:r w:rsidRPr="002152E4">
        <w:rPr>
          <w:rFonts w:eastAsia="MS PGothic"/>
          <w:lang w:val="ro-RO"/>
        </w:rPr>
        <w:t xml:space="preserve">În cadrul </w:t>
      </w:r>
      <w:r w:rsidRPr="002152E4">
        <w:rPr>
          <w:rFonts w:eastAsia="MS PGothic"/>
          <w:b/>
          <w:lang w:val="ro-RO"/>
        </w:rPr>
        <w:t>Output-ului 2.6</w:t>
      </w:r>
      <w:r w:rsidRPr="002152E4">
        <w:rPr>
          <w:rFonts w:eastAsia="MS PGothic"/>
          <w:lang w:val="ro-RO"/>
        </w:rPr>
        <w:t xml:space="preserve"> au fost organizate </w:t>
      </w:r>
      <w:r w:rsidRPr="002152E4">
        <w:rPr>
          <w:rFonts w:eastAsia="MS PGothic"/>
          <w:b/>
          <w:lang w:val="ro-RO"/>
        </w:rPr>
        <w:t>2</w:t>
      </w:r>
      <w:r w:rsidRPr="002152E4">
        <w:rPr>
          <w:rFonts w:eastAsia="MS PGothic"/>
          <w:lang w:val="ro-RO"/>
        </w:rPr>
        <w:t xml:space="preserve"> activități de formare a grefierilor în domeniul </w:t>
      </w:r>
      <w:r w:rsidRPr="002152E4">
        <w:rPr>
          <w:rFonts w:eastAsia="MS PGothic"/>
          <w:b/>
          <w:lang w:val="ro-RO"/>
        </w:rPr>
        <w:t>Managementul activității grefierului în procesul penal</w:t>
      </w:r>
      <w:r w:rsidRPr="002152E4">
        <w:rPr>
          <w:rFonts w:eastAsia="MS PGothic"/>
          <w:lang w:val="ro-RO"/>
        </w:rPr>
        <w:t xml:space="preserve"> cu participarea unui număr de 40 grefieri, </w:t>
      </w:r>
      <w:r w:rsidRPr="002152E4">
        <w:rPr>
          <w:rFonts w:eastAsia="MS PGothic"/>
          <w:b/>
          <w:lang w:val="ro-RO"/>
        </w:rPr>
        <w:t>2</w:t>
      </w:r>
      <w:r w:rsidRPr="002152E4">
        <w:rPr>
          <w:rFonts w:eastAsia="MS PGothic"/>
          <w:lang w:val="ro-RO"/>
        </w:rPr>
        <w:t xml:space="preserve"> activități de formare a grefierilor în domeniul </w:t>
      </w:r>
      <w:r w:rsidRPr="002152E4">
        <w:rPr>
          <w:rFonts w:eastAsia="MS PGothic"/>
          <w:b/>
          <w:lang w:val="ro-RO"/>
        </w:rPr>
        <w:t>Managementul activității grefierului din parchete</w:t>
      </w:r>
      <w:r w:rsidRPr="002152E4">
        <w:rPr>
          <w:rFonts w:eastAsia="MS PGothic"/>
          <w:lang w:val="ro-RO"/>
        </w:rPr>
        <w:t xml:space="preserve"> cu participarea unui număr de 40 grefieri și </w:t>
      </w:r>
      <w:r w:rsidRPr="002152E4">
        <w:rPr>
          <w:rFonts w:eastAsia="MS PGothic"/>
          <w:b/>
          <w:lang w:val="ro-RO"/>
        </w:rPr>
        <w:t>2</w:t>
      </w:r>
      <w:r w:rsidRPr="002152E4">
        <w:rPr>
          <w:rFonts w:eastAsia="MS PGothic"/>
          <w:lang w:val="ro-RO"/>
        </w:rPr>
        <w:t xml:space="preserve"> activități de formare a grefierilor în domeniul </w:t>
      </w:r>
      <w:r w:rsidRPr="002152E4">
        <w:rPr>
          <w:rFonts w:eastAsia="MS PGothic"/>
          <w:b/>
          <w:lang w:val="ro-RO"/>
        </w:rPr>
        <w:t>Managementul activității grefierului în procesul civil</w:t>
      </w:r>
      <w:r w:rsidRPr="002152E4">
        <w:rPr>
          <w:rFonts w:eastAsia="MS PGothic"/>
          <w:lang w:val="ro-RO"/>
        </w:rPr>
        <w:t xml:space="preserve"> cu participarea unui număr de 40 grefieri.</w:t>
      </w:r>
    </w:p>
    <w:p w:rsidR="00EE6420" w:rsidRPr="002152E4" w:rsidRDefault="00EE6420" w:rsidP="00EE6420">
      <w:pPr>
        <w:autoSpaceDE w:val="0"/>
        <w:autoSpaceDN w:val="0"/>
        <w:adjustRightInd w:val="0"/>
        <w:ind w:firstLine="709"/>
        <w:jc w:val="both"/>
        <w:rPr>
          <w:rFonts w:eastAsia="MS PGothic"/>
          <w:lang w:val="ro-RO"/>
        </w:rPr>
      </w:pPr>
      <w:r w:rsidRPr="002152E4">
        <w:rPr>
          <w:rFonts w:eastAsia="MS PGothic"/>
          <w:lang w:val="ro-RO"/>
        </w:rPr>
        <w:t xml:space="preserve">În cadrul </w:t>
      </w:r>
      <w:r w:rsidRPr="002152E4">
        <w:rPr>
          <w:rFonts w:eastAsia="MS PGothic"/>
          <w:b/>
          <w:lang w:val="ro-RO"/>
        </w:rPr>
        <w:t xml:space="preserve">Output-ului 2.7, </w:t>
      </w:r>
      <w:r w:rsidRPr="002152E4">
        <w:rPr>
          <w:lang w:val="ro-RO"/>
        </w:rPr>
        <w:t xml:space="preserve">în parteneriat cu Institutul Național al Magistraturii, au fost organizate </w:t>
      </w:r>
      <w:r w:rsidRPr="002152E4">
        <w:rPr>
          <w:b/>
          <w:lang w:val="ro-RO"/>
        </w:rPr>
        <w:t>4</w:t>
      </w:r>
      <w:r w:rsidRPr="002152E4">
        <w:rPr>
          <w:b/>
          <w:i/>
          <w:lang w:val="ro-RO"/>
        </w:rPr>
        <w:t xml:space="preserve"> </w:t>
      </w:r>
      <w:r w:rsidRPr="002152E4">
        <w:rPr>
          <w:lang w:val="ro-RO"/>
        </w:rPr>
        <w:t>workshop-uri</w:t>
      </w:r>
      <w:r w:rsidRPr="002152E4">
        <w:rPr>
          <w:i/>
          <w:lang w:val="ro-RO"/>
        </w:rPr>
        <w:t xml:space="preserve"> </w:t>
      </w:r>
      <w:r w:rsidRPr="002152E4">
        <w:rPr>
          <w:lang w:val="ro-RO"/>
        </w:rPr>
        <w:t xml:space="preserve">în domeniul </w:t>
      </w:r>
      <w:r w:rsidRPr="002152E4">
        <w:rPr>
          <w:b/>
          <w:lang w:val="ro-RO"/>
        </w:rPr>
        <w:t>Tehnicilor de redactare a hotărârilor judecătorești</w:t>
      </w:r>
      <w:r w:rsidRPr="002152E4">
        <w:rPr>
          <w:rFonts w:eastAsia="MS PGothic"/>
          <w:lang w:val="ro-RO"/>
        </w:rPr>
        <w:t xml:space="preserve"> cu participarea unui număr de 40 grefieri.</w:t>
      </w:r>
    </w:p>
    <w:p w:rsidR="00EE6420" w:rsidRPr="002152E4" w:rsidRDefault="00EE6420" w:rsidP="00AF7942">
      <w:pPr>
        <w:autoSpaceDE w:val="0"/>
        <w:autoSpaceDN w:val="0"/>
        <w:adjustRightInd w:val="0"/>
        <w:ind w:firstLine="709"/>
        <w:jc w:val="both"/>
        <w:rPr>
          <w:lang w:val="ro-RO"/>
        </w:rPr>
      </w:pPr>
      <w:r w:rsidRPr="002152E4">
        <w:rPr>
          <w:rFonts w:eastAsia="MS PGothic"/>
          <w:lang w:val="ro-RO"/>
        </w:rPr>
        <w:t xml:space="preserve">În cadrul </w:t>
      </w:r>
      <w:r w:rsidRPr="002152E4">
        <w:rPr>
          <w:rFonts w:eastAsia="MS PGothic"/>
          <w:b/>
          <w:lang w:val="ro-RO"/>
        </w:rPr>
        <w:t>Output-ului 2.6</w:t>
      </w:r>
      <w:r w:rsidRPr="002152E4">
        <w:rPr>
          <w:rFonts w:eastAsia="MS PGothic"/>
          <w:lang w:val="ro-RO"/>
        </w:rPr>
        <w:t xml:space="preserve"> au fost elaborate </w:t>
      </w:r>
      <w:r w:rsidRPr="002152E4">
        <w:rPr>
          <w:b/>
          <w:i/>
          <w:lang w:val="ro-RO"/>
        </w:rPr>
        <w:t>3 ghiduri practice</w:t>
      </w:r>
      <w:r w:rsidRPr="002152E4">
        <w:rPr>
          <w:lang w:val="ro-RO"/>
        </w:rPr>
        <w:t xml:space="preserve"> realizate în domeniile </w:t>
      </w:r>
      <w:r w:rsidRPr="002152E4">
        <w:rPr>
          <w:i/>
          <w:lang w:val="ro-RO"/>
        </w:rPr>
        <w:t>managementul activității grefierului în procesul civil, managementul activității grefierului în procesul penal și, respectiv managementul activității grefierilor din parchete</w:t>
      </w:r>
      <w:r w:rsidRPr="002152E4">
        <w:rPr>
          <w:lang w:val="ro-RO"/>
        </w:rPr>
        <w:t>, ghiduri care vor fi diseminate pe parcursul anilor următori atât formatorilor SNG cât și viitorilor cursanți Școlii Naționale de Grefieri, dar mai ales grefierilor în funcție din instanțe și parchete având utilitatea practică a acestora în activitatea profesională dar și în vederea realizării transferului progresiv de atribuții de la magistrați către personalul auxiliar.</w:t>
      </w:r>
    </w:p>
    <w:p w:rsidR="00CD6117" w:rsidRPr="002152E4" w:rsidRDefault="00CD6117" w:rsidP="00CD6117">
      <w:pPr>
        <w:ind w:firstLine="684"/>
        <w:jc w:val="both"/>
        <w:rPr>
          <w:lang w:val="ro-RO" w:eastAsia="ro-RO"/>
        </w:rPr>
      </w:pPr>
      <w:r w:rsidRPr="002152E4">
        <w:rPr>
          <w:lang w:val="ro-RO" w:eastAsia="ro-RO"/>
        </w:rPr>
        <w:tab/>
      </w:r>
      <w:r w:rsidRPr="002152E4">
        <w:rPr>
          <w:lang w:val="ro-RO" w:eastAsia="ro-RO"/>
        </w:rPr>
        <w:tab/>
      </w:r>
    </w:p>
    <w:p w:rsidR="00EE6420" w:rsidRPr="002152E4" w:rsidRDefault="00EE6420" w:rsidP="00EE6420">
      <w:pPr>
        <w:ind w:firstLine="567"/>
        <w:jc w:val="both"/>
        <w:rPr>
          <w:b/>
          <w:lang w:val="ro-RO"/>
        </w:rPr>
      </w:pPr>
      <w:r w:rsidRPr="002152E4">
        <w:rPr>
          <w:b/>
          <w:lang w:val="ro-RO"/>
        </w:rPr>
        <w:t>IV.3. Situaţia sancţiunilor disciplinare şi penale aplicate în anul 2016 pe fiecare categorie de personal</w:t>
      </w:r>
    </w:p>
    <w:p w:rsidR="00EE6420" w:rsidRPr="002152E4" w:rsidRDefault="00EE6420" w:rsidP="00EE6420">
      <w:pPr>
        <w:ind w:firstLine="567"/>
        <w:jc w:val="both"/>
        <w:rPr>
          <w:lang w:val="ro-RO"/>
        </w:rPr>
      </w:pPr>
    </w:p>
    <w:p w:rsidR="001978EF" w:rsidRPr="002152E4" w:rsidRDefault="00613832" w:rsidP="00EE6420">
      <w:pPr>
        <w:ind w:firstLine="567"/>
        <w:jc w:val="both"/>
        <w:rPr>
          <w:b/>
          <w:i/>
          <w:lang w:val="ro-RO"/>
        </w:rPr>
      </w:pPr>
      <w:r w:rsidRPr="002152E4">
        <w:rPr>
          <w:b/>
          <w:i/>
          <w:lang w:val="ro-RO"/>
        </w:rPr>
        <w:t>IV.3.1. judecători</w:t>
      </w:r>
    </w:p>
    <w:p w:rsidR="001978EF" w:rsidRPr="002152E4" w:rsidRDefault="001978EF" w:rsidP="00EE6420">
      <w:pPr>
        <w:ind w:firstLine="567"/>
        <w:jc w:val="both"/>
        <w:rPr>
          <w:b/>
          <w:i/>
          <w:lang w:val="ro-RO"/>
        </w:rPr>
      </w:pPr>
    </w:p>
    <w:p w:rsidR="00613832" w:rsidRPr="002152E4" w:rsidRDefault="00613832" w:rsidP="00EE6420">
      <w:pPr>
        <w:ind w:firstLine="567"/>
        <w:jc w:val="both"/>
        <w:rPr>
          <w:b/>
          <w:i/>
          <w:lang w:val="ro-RO"/>
        </w:rPr>
      </w:pPr>
      <w:r w:rsidRPr="002152E4">
        <w:rPr>
          <w:b/>
          <w:i/>
          <w:lang w:val="ro-RO"/>
        </w:rPr>
        <w:t>A. Răspunderea disciplinară</w:t>
      </w:r>
    </w:p>
    <w:p w:rsidR="009A6CCB" w:rsidRPr="002152E4" w:rsidRDefault="009A6CCB" w:rsidP="00EE6420">
      <w:pPr>
        <w:ind w:firstLine="567"/>
        <w:jc w:val="both"/>
        <w:rPr>
          <w:i/>
          <w:lang w:val="ro-RO"/>
        </w:rPr>
      </w:pPr>
      <w:r w:rsidRPr="002152E4">
        <w:rPr>
          <w:lang w:val="ro-RO"/>
        </w:rPr>
        <w:t xml:space="preserve">În cursul anului 2016, Secţia pentru judecători în materia disciplinară a </w:t>
      </w:r>
      <w:r w:rsidR="00793F49" w:rsidRPr="002152E4">
        <w:rPr>
          <w:lang w:val="ro-RO"/>
        </w:rPr>
        <w:t xml:space="preserve">aplicat </w:t>
      </w:r>
      <w:r w:rsidRPr="002152E4">
        <w:rPr>
          <w:lang w:val="ro-RO"/>
        </w:rPr>
        <w:t>u</w:t>
      </w:r>
      <w:r w:rsidR="00793F49" w:rsidRPr="002152E4">
        <w:rPr>
          <w:lang w:val="ro-RO"/>
        </w:rPr>
        <w:t>n</w:t>
      </w:r>
      <w:r w:rsidRPr="002152E4">
        <w:rPr>
          <w:lang w:val="ro-RO"/>
        </w:rPr>
        <w:t xml:space="preserve"> număr de</w:t>
      </w:r>
      <w:r w:rsidR="00793F49" w:rsidRPr="002152E4">
        <w:rPr>
          <w:lang w:val="ro-RO"/>
        </w:rPr>
        <w:t xml:space="preserve"> </w:t>
      </w:r>
      <w:r w:rsidR="00583E06">
        <w:rPr>
          <w:lang w:val="ro-RO"/>
        </w:rPr>
        <w:t xml:space="preserve">20 de </w:t>
      </w:r>
      <w:r w:rsidR="00793F49" w:rsidRPr="002152E4">
        <w:rPr>
          <w:lang w:val="ro-RO"/>
        </w:rPr>
        <w:t xml:space="preserve">sancţiuni. Vom prezenta, în cele ce urmează, situaţia acestor sancţiuni, </w:t>
      </w:r>
      <w:r w:rsidR="00793F49" w:rsidRPr="002152E4">
        <w:rPr>
          <w:i/>
          <w:lang w:val="ro-RO"/>
        </w:rPr>
        <w:t xml:space="preserve">cu menţiunea că, în unele situaţii, </w:t>
      </w:r>
      <w:r w:rsidR="003234CF" w:rsidRPr="002152E4">
        <w:rPr>
          <w:i/>
          <w:lang w:val="ro-RO"/>
        </w:rPr>
        <w:t>căile</w:t>
      </w:r>
      <w:r w:rsidR="00793F49" w:rsidRPr="002152E4">
        <w:rPr>
          <w:i/>
          <w:lang w:val="ro-RO"/>
        </w:rPr>
        <w:t xml:space="preserve"> de atac exercitate împotriva acestor hotărâri nu au fost soluţionate până la sfârşitul anului 2016.</w:t>
      </w:r>
    </w:p>
    <w:p w:rsidR="00AF7942" w:rsidRPr="002152E4" w:rsidRDefault="00793F49" w:rsidP="00793F49">
      <w:pPr>
        <w:pStyle w:val="AddParagrafBoldItalic"/>
        <w:spacing w:before="0"/>
        <w:ind w:left="90" w:firstLine="0"/>
        <w:jc w:val="both"/>
        <w:rPr>
          <w:b w:val="0"/>
          <w:szCs w:val="28"/>
        </w:rPr>
      </w:pPr>
      <w:r w:rsidRPr="002152E4">
        <w:rPr>
          <w:b w:val="0"/>
        </w:rPr>
        <w:tab/>
      </w:r>
      <w:r w:rsidR="00AF7942" w:rsidRPr="002152E4">
        <w:rPr>
          <w:b w:val="0"/>
        </w:rPr>
        <w:t xml:space="preserve">1. </w:t>
      </w:r>
      <w:r w:rsidR="001978EF" w:rsidRPr="002152E4">
        <w:rPr>
          <w:b w:val="0"/>
        </w:rPr>
        <w:t xml:space="preserve">Prin </w:t>
      </w:r>
      <w:r w:rsidR="001978EF" w:rsidRPr="002152E4">
        <w:t>Hotărârea nr. 1J/20.01.2016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szCs w:val="28"/>
        </w:rPr>
        <w:t xml:space="preserve">„diminuarea </w:t>
      </w:r>
      <w:r w:rsidR="003234CF" w:rsidRPr="002152E4">
        <w:rPr>
          <w:i/>
          <w:szCs w:val="28"/>
        </w:rPr>
        <w:t>indemnizației</w:t>
      </w:r>
      <w:r w:rsidR="001978EF" w:rsidRPr="002152E4">
        <w:rPr>
          <w:i/>
          <w:szCs w:val="28"/>
        </w:rPr>
        <w:t xml:space="preserve"> de încadrare lunare brute cu 20% pe o perioadă de 3 luni”</w:t>
      </w:r>
      <w:r w:rsidR="001978EF" w:rsidRPr="002152E4">
        <w:rPr>
          <w:b w:val="0"/>
          <w:color w:val="000000"/>
        </w:rPr>
        <w:t xml:space="preserve"> împotriva </w:t>
      </w:r>
      <w:r w:rsidR="001978EF" w:rsidRPr="002152E4">
        <w:rPr>
          <w:b w:val="0"/>
          <w:color w:val="000000"/>
        </w:rPr>
        <w:lastRenderedPageBreak/>
        <w:t xml:space="preserve">judecătorului </w:t>
      </w:r>
      <w:r w:rsidR="001978EF" w:rsidRPr="002152E4">
        <w:rPr>
          <w:color w:val="000000"/>
        </w:rPr>
        <w:t xml:space="preserve">D.D. din </w:t>
      </w:r>
      <w:r w:rsidR="001978EF" w:rsidRPr="002152E4">
        <w:rPr>
          <w:szCs w:val="28"/>
        </w:rPr>
        <w:t>cadrul Tribunalului Caraş Severin</w:t>
      </w:r>
      <w:r w:rsidR="001978EF" w:rsidRPr="002152E4">
        <w:t>,</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m) şi t) teza a II-a rap. la art.99</w:t>
      </w:r>
      <w:r w:rsidR="001978EF" w:rsidRPr="002152E4">
        <w:rPr>
          <w:b w:val="0"/>
          <w:szCs w:val="28"/>
          <w:vertAlign w:val="superscript"/>
        </w:rPr>
        <w:t>1</w:t>
      </w:r>
      <w:r w:rsidR="001978EF" w:rsidRPr="002152E4">
        <w:rPr>
          <w:b w:val="0"/>
          <w:szCs w:val="28"/>
        </w:rPr>
        <w:t xml:space="preserve"> alin.2 din Legea 303/2004. </w:t>
      </w:r>
    </w:p>
    <w:p w:rsidR="001978EF" w:rsidRPr="002152E4" w:rsidRDefault="00AF7942" w:rsidP="00AF7942">
      <w:pPr>
        <w:pStyle w:val="AddParagrafBoldItalic"/>
        <w:spacing w:before="0"/>
        <w:ind w:left="90" w:firstLine="0"/>
        <w:jc w:val="both"/>
        <w:rPr>
          <w:b w:val="0"/>
        </w:rPr>
      </w:pPr>
      <w:r w:rsidRPr="002152E4">
        <w:rPr>
          <w:b w:val="0"/>
          <w:szCs w:val="28"/>
        </w:rPr>
        <w:tab/>
        <w:t>Hotărârea a rămas d</w:t>
      </w:r>
      <w:r w:rsidR="001978EF" w:rsidRPr="002152E4">
        <w:rPr>
          <w:b w:val="0"/>
        </w:rPr>
        <w:t>efinitivă prin Decizia civilă nr.326/28.11.2016 a Înaltei Curți de Casație și Justiție prin care s-a respins ca nefondat recursul declarat de recurenta D.D.</w:t>
      </w:r>
    </w:p>
    <w:p w:rsidR="00793F49" w:rsidRPr="002152E4" w:rsidRDefault="00AF7942" w:rsidP="00AF7942">
      <w:pPr>
        <w:pStyle w:val="AddParagrafBoldItalic"/>
        <w:spacing w:before="0"/>
        <w:ind w:left="90" w:firstLine="0"/>
        <w:jc w:val="both"/>
        <w:rPr>
          <w:b w:val="0"/>
          <w:szCs w:val="28"/>
        </w:rPr>
      </w:pPr>
      <w:r w:rsidRPr="002152E4">
        <w:rPr>
          <w:b w:val="0"/>
        </w:rPr>
        <w:tab/>
        <w:t xml:space="preserve">2. </w:t>
      </w:r>
      <w:r w:rsidR="001978EF" w:rsidRPr="002152E4">
        <w:rPr>
          <w:b w:val="0"/>
        </w:rPr>
        <w:t xml:space="preserve">Prin </w:t>
      </w:r>
      <w:r w:rsidR="001978EF" w:rsidRPr="002152E4">
        <w:t>Hotărârea nr. 2J/23.03.2016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rPr>
        <w:t>„avertisment”</w:t>
      </w:r>
      <w:r w:rsidR="001978EF" w:rsidRPr="002152E4">
        <w:rPr>
          <w:b w:val="0"/>
          <w:color w:val="000000"/>
        </w:rPr>
        <w:t xml:space="preserve"> împotriva judecătorului</w:t>
      </w:r>
      <w:r w:rsidR="001978EF" w:rsidRPr="002152E4">
        <w:rPr>
          <w:b w:val="0"/>
        </w:rPr>
        <w:t xml:space="preserve"> </w:t>
      </w:r>
      <w:r w:rsidR="001978EF" w:rsidRPr="002152E4">
        <w:rPr>
          <w:szCs w:val="28"/>
        </w:rPr>
        <w:t>A.C.I. din</w:t>
      </w:r>
      <w:r w:rsidR="001978EF" w:rsidRPr="002152E4">
        <w:t xml:space="preserve"> cadrul Tribunalului Bucureşti – Secţia a II-a Contencios administrativ şi fiscal,</w:t>
      </w:r>
      <w:r w:rsidR="001978EF" w:rsidRPr="002152E4">
        <w:rPr>
          <w:b w:val="0"/>
        </w:rPr>
        <w:t xml:space="preserve"> </w:t>
      </w:r>
      <w:r w:rsidR="001978EF" w:rsidRPr="002152E4">
        <w:rPr>
          <w:b w:val="0"/>
          <w:szCs w:val="28"/>
        </w:rPr>
        <w:t xml:space="preserve">pentru săvârşirea abaterii </w:t>
      </w:r>
      <w:r w:rsidR="001978EF" w:rsidRPr="002152E4">
        <w:rPr>
          <w:b w:val="0"/>
        </w:rPr>
        <w:t>disciplinare prev. de art.</w:t>
      </w:r>
      <w:r w:rsidR="001978EF" w:rsidRPr="002152E4">
        <w:rPr>
          <w:b w:val="0"/>
          <w:szCs w:val="28"/>
        </w:rPr>
        <w:t xml:space="preserve"> 99 lit.h) teza a II-a  din Legea 303/2004. </w:t>
      </w:r>
    </w:p>
    <w:p w:rsidR="00793F49" w:rsidRPr="002152E4" w:rsidRDefault="00AF7942" w:rsidP="00793F49">
      <w:pPr>
        <w:pStyle w:val="AddParagrafBoldItalic"/>
        <w:spacing w:before="0"/>
        <w:ind w:left="90" w:firstLine="0"/>
        <w:jc w:val="both"/>
        <w:rPr>
          <w:b w:val="0"/>
        </w:rPr>
      </w:pPr>
      <w:r w:rsidRPr="002152E4">
        <w:rPr>
          <w:b w:val="0"/>
        </w:rPr>
        <w:tab/>
        <w:t xml:space="preserve">3. </w:t>
      </w:r>
      <w:r w:rsidR="001978EF" w:rsidRPr="002152E4">
        <w:rPr>
          <w:b w:val="0"/>
        </w:rPr>
        <w:t xml:space="preserve">Prin </w:t>
      </w:r>
      <w:r w:rsidR="001978EF" w:rsidRPr="002152E4">
        <w:t>Hotărârea nr. 3J/23.03.2016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rPr>
        <w:t>„avertisment”</w:t>
      </w:r>
      <w:r w:rsidR="001978EF" w:rsidRPr="002152E4">
        <w:rPr>
          <w:b w:val="0"/>
          <w:color w:val="000000"/>
        </w:rPr>
        <w:t xml:space="preserve"> împotriva judecătorului</w:t>
      </w:r>
      <w:r w:rsidR="001978EF" w:rsidRPr="002152E4">
        <w:rPr>
          <w:b w:val="0"/>
        </w:rPr>
        <w:t xml:space="preserve"> </w:t>
      </w:r>
      <w:r w:rsidR="001978EF" w:rsidRPr="002152E4">
        <w:rPr>
          <w:szCs w:val="28"/>
        </w:rPr>
        <w:t>S.B. din</w:t>
      </w:r>
      <w:r w:rsidR="001978EF" w:rsidRPr="002152E4">
        <w:t xml:space="preserve"> cadrul Judecătoriei Săveni,</w:t>
      </w:r>
      <w:r w:rsidR="001978EF" w:rsidRPr="002152E4">
        <w:rPr>
          <w:b w:val="0"/>
        </w:rPr>
        <w:t xml:space="preserve"> </w:t>
      </w:r>
      <w:r w:rsidR="001978EF" w:rsidRPr="002152E4">
        <w:rPr>
          <w:b w:val="0"/>
          <w:szCs w:val="28"/>
        </w:rPr>
        <w:t xml:space="preserve">pentru săvârşirea abaterii </w:t>
      </w:r>
      <w:r w:rsidR="001978EF" w:rsidRPr="002152E4">
        <w:rPr>
          <w:b w:val="0"/>
        </w:rPr>
        <w:t>disciplinare prev. de art.</w:t>
      </w:r>
      <w:r w:rsidR="001978EF" w:rsidRPr="002152E4">
        <w:rPr>
          <w:b w:val="0"/>
          <w:szCs w:val="28"/>
        </w:rPr>
        <w:t xml:space="preserve"> 99 lit.h) teza a II-a  din Legea 303/2004. </w:t>
      </w:r>
    </w:p>
    <w:p w:rsidR="00793F49" w:rsidRPr="002152E4" w:rsidRDefault="00793F49" w:rsidP="00793F49">
      <w:pPr>
        <w:pStyle w:val="AddParagrafBoldItalic"/>
        <w:spacing w:before="0"/>
        <w:ind w:left="90" w:firstLine="0"/>
        <w:jc w:val="both"/>
        <w:rPr>
          <w:b w:val="0"/>
        </w:rPr>
      </w:pPr>
      <w:r w:rsidRPr="002152E4">
        <w:rPr>
          <w:b w:val="0"/>
        </w:rPr>
        <w:tab/>
        <w:t xml:space="preserve">4. </w:t>
      </w:r>
      <w:r w:rsidR="001978EF" w:rsidRPr="002152E4">
        <w:rPr>
          <w:b w:val="0"/>
        </w:rPr>
        <w:t xml:space="preserve">Prin </w:t>
      </w:r>
      <w:r w:rsidR="001978EF" w:rsidRPr="002152E4">
        <w:t>Hotărârea nr. 5J/30.03.2016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rPr>
        <w:t>„avertisment”</w:t>
      </w:r>
      <w:r w:rsidR="001978EF" w:rsidRPr="002152E4">
        <w:rPr>
          <w:b w:val="0"/>
          <w:color w:val="000000"/>
        </w:rPr>
        <w:t xml:space="preserve"> împotriva judecătorului</w:t>
      </w:r>
      <w:r w:rsidR="001978EF" w:rsidRPr="002152E4">
        <w:rPr>
          <w:b w:val="0"/>
        </w:rPr>
        <w:t xml:space="preserve"> </w:t>
      </w:r>
      <w:r w:rsidR="001978EF" w:rsidRPr="002152E4">
        <w:rPr>
          <w:szCs w:val="28"/>
        </w:rPr>
        <w:t>D.D.P. din</w:t>
      </w:r>
      <w:r w:rsidR="001978EF" w:rsidRPr="002152E4">
        <w:t xml:space="preserve"> cadrul Judecătoriei Târgu Mureș,</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lit.h) teza I și a II-a  din Legea 303/2004. </w:t>
      </w:r>
    </w:p>
    <w:p w:rsidR="00793F49" w:rsidRPr="002152E4" w:rsidRDefault="00793F49" w:rsidP="00793F49">
      <w:pPr>
        <w:pStyle w:val="AddParagrafBoldItalic"/>
        <w:spacing w:before="0"/>
        <w:ind w:left="90" w:firstLine="0"/>
        <w:jc w:val="both"/>
        <w:rPr>
          <w:b w:val="0"/>
        </w:rPr>
      </w:pPr>
      <w:r w:rsidRPr="002152E4">
        <w:rPr>
          <w:b w:val="0"/>
        </w:rPr>
        <w:tab/>
        <w:t>5.</w:t>
      </w:r>
      <w:r w:rsidR="001978EF" w:rsidRPr="002152E4">
        <w:rPr>
          <w:b w:val="0"/>
        </w:rPr>
        <w:t xml:space="preserve"> Prin </w:t>
      </w:r>
      <w:r w:rsidR="001978EF" w:rsidRPr="002152E4">
        <w:t>Hotărârea nr. 7J/18.05.2016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color w:val="000000"/>
        </w:rPr>
        <w:t>„excludere din magistratură”</w:t>
      </w:r>
      <w:r w:rsidR="001978EF" w:rsidRPr="002152E4">
        <w:rPr>
          <w:b w:val="0"/>
          <w:color w:val="000000"/>
        </w:rPr>
        <w:t xml:space="preserve"> împotriva judecătorului</w:t>
      </w:r>
      <w:r w:rsidR="001978EF" w:rsidRPr="002152E4">
        <w:rPr>
          <w:b w:val="0"/>
        </w:rPr>
        <w:t xml:space="preserve"> </w:t>
      </w:r>
      <w:r w:rsidR="001978EF" w:rsidRPr="002152E4">
        <w:rPr>
          <w:szCs w:val="28"/>
        </w:rPr>
        <w:t>I.E. din</w:t>
      </w:r>
      <w:r w:rsidR="001978EF" w:rsidRPr="002152E4">
        <w:t xml:space="preserve"> cadrul Tribunalului Buzău,</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a) și i) din Legea 303/2004. </w:t>
      </w:r>
    </w:p>
    <w:p w:rsidR="00793F49" w:rsidRPr="002152E4" w:rsidRDefault="00793F49" w:rsidP="00793F49">
      <w:pPr>
        <w:pStyle w:val="AddParagrafBoldItalic"/>
        <w:spacing w:before="0"/>
        <w:ind w:left="90" w:firstLine="0"/>
        <w:jc w:val="both"/>
        <w:rPr>
          <w:b w:val="0"/>
        </w:rPr>
      </w:pPr>
      <w:r w:rsidRPr="002152E4">
        <w:rPr>
          <w:b w:val="0"/>
        </w:rPr>
        <w:tab/>
        <w:t xml:space="preserve">6. </w:t>
      </w:r>
      <w:r w:rsidR="001978EF" w:rsidRPr="002152E4">
        <w:rPr>
          <w:b w:val="0"/>
        </w:rPr>
        <w:t xml:space="preserve">Prin </w:t>
      </w:r>
      <w:r w:rsidR="001978EF" w:rsidRPr="002152E4">
        <w:t>Hotărârea nr. 8J/25.05.2016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rPr>
        <w:t>„avertisment”</w:t>
      </w:r>
      <w:r w:rsidR="001978EF" w:rsidRPr="002152E4">
        <w:rPr>
          <w:b w:val="0"/>
          <w:color w:val="000000"/>
        </w:rPr>
        <w:t xml:space="preserve"> împotriva judecătorului</w:t>
      </w:r>
      <w:r w:rsidR="001978EF" w:rsidRPr="002152E4">
        <w:rPr>
          <w:b w:val="0"/>
        </w:rPr>
        <w:t xml:space="preserve"> </w:t>
      </w:r>
      <w:r w:rsidR="001978EF" w:rsidRPr="002152E4">
        <w:rPr>
          <w:szCs w:val="28"/>
        </w:rPr>
        <w:t>B.E. din</w:t>
      </w:r>
      <w:r w:rsidR="001978EF" w:rsidRPr="002152E4">
        <w:t xml:space="preserve"> cadrul Judecătoriei Pitești,</w:t>
      </w:r>
      <w:r w:rsidR="001978EF" w:rsidRPr="002152E4">
        <w:rPr>
          <w:b w:val="0"/>
        </w:rPr>
        <w:t xml:space="preserve"> </w:t>
      </w:r>
      <w:r w:rsidR="001978EF" w:rsidRPr="002152E4">
        <w:rPr>
          <w:b w:val="0"/>
          <w:szCs w:val="28"/>
        </w:rPr>
        <w:t xml:space="preserve">pentru săvârşirea abaterii </w:t>
      </w:r>
      <w:r w:rsidR="001978EF" w:rsidRPr="002152E4">
        <w:rPr>
          <w:b w:val="0"/>
        </w:rPr>
        <w:t>disciplinare prev. de art.</w:t>
      </w:r>
      <w:r w:rsidR="001978EF" w:rsidRPr="002152E4">
        <w:rPr>
          <w:b w:val="0"/>
          <w:szCs w:val="28"/>
        </w:rPr>
        <w:t xml:space="preserve"> 99 lit.h) teza a I-a  și lit. t) teza a II-a  rap. la art.99</w:t>
      </w:r>
      <w:r w:rsidR="001978EF" w:rsidRPr="002152E4">
        <w:rPr>
          <w:b w:val="0"/>
          <w:szCs w:val="28"/>
          <w:vertAlign w:val="superscript"/>
        </w:rPr>
        <w:t>1</w:t>
      </w:r>
      <w:r w:rsidR="001978EF" w:rsidRPr="002152E4">
        <w:rPr>
          <w:b w:val="0"/>
          <w:szCs w:val="28"/>
        </w:rPr>
        <w:t xml:space="preserve"> alin. 2 din Legea 303/2004.</w:t>
      </w:r>
    </w:p>
    <w:p w:rsidR="00793F49" w:rsidRPr="002152E4" w:rsidRDefault="00793F49" w:rsidP="00793F49">
      <w:pPr>
        <w:pStyle w:val="AddParagrafBoldItalic"/>
        <w:spacing w:before="0"/>
        <w:ind w:left="90" w:firstLine="0"/>
        <w:jc w:val="both"/>
        <w:rPr>
          <w:b w:val="0"/>
        </w:rPr>
      </w:pPr>
      <w:r w:rsidRPr="002152E4">
        <w:rPr>
          <w:b w:val="0"/>
        </w:rPr>
        <w:tab/>
        <w:t xml:space="preserve">7. </w:t>
      </w:r>
      <w:r w:rsidR="001978EF" w:rsidRPr="002152E4">
        <w:rPr>
          <w:b w:val="0"/>
        </w:rPr>
        <w:t xml:space="preserve">Prin </w:t>
      </w:r>
      <w:r w:rsidR="001978EF" w:rsidRPr="002152E4">
        <w:t>Hotărârea nr. 9J/25.05.2016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rPr>
        <w:t>„avertisment”</w:t>
      </w:r>
      <w:r w:rsidR="001978EF" w:rsidRPr="002152E4">
        <w:rPr>
          <w:b w:val="0"/>
          <w:color w:val="000000"/>
        </w:rPr>
        <w:t xml:space="preserve"> împotriva judecătorului</w:t>
      </w:r>
      <w:r w:rsidR="001978EF" w:rsidRPr="002152E4">
        <w:rPr>
          <w:b w:val="0"/>
        </w:rPr>
        <w:t xml:space="preserve"> </w:t>
      </w:r>
      <w:r w:rsidR="001978EF" w:rsidRPr="002152E4">
        <w:rPr>
          <w:szCs w:val="28"/>
        </w:rPr>
        <w:t>M.D.I. din</w:t>
      </w:r>
      <w:r w:rsidR="001978EF" w:rsidRPr="002152E4">
        <w:t xml:space="preserve"> cadrul Judecătoriei Brașov,</w:t>
      </w:r>
      <w:r w:rsidR="001978EF" w:rsidRPr="002152E4">
        <w:rPr>
          <w:b w:val="0"/>
        </w:rPr>
        <w:t xml:space="preserve"> </w:t>
      </w:r>
      <w:r w:rsidR="001978EF" w:rsidRPr="002152E4">
        <w:rPr>
          <w:b w:val="0"/>
          <w:szCs w:val="28"/>
        </w:rPr>
        <w:t xml:space="preserve">pentru săvârşirea abaterii </w:t>
      </w:r>
      <w:r w:rsidR="001978EF" w:rsidRPr="002152E4">
        <w:rPr>
          <w:b w:val="0"/>
        </w:rPr>
        <w:t>disciplinare prev. de art.</w:t>
      </w:r>
      <w:r w:rsidR="001978EF" w:rsidRPr="002152E4">
        <w:rPr>
          <w:b w:val="0"/>
          <w:szCs w:val="28"/>
        </w:rPr>
        <w:t xml:space="preserve"> 99 lit.h) teza a I-a  din Legea 303/2004. </w:t>
      </w:r>
    </w:p>
    <w:p w:rsidR="00793F49" w:rsidRPr="002152E4" w:rsidRDefault="00793F49" w:rsidP="00793F49">
      <w:pPr>
        <w:pStyle w:val="AddParagrafBoldItalic"/>
        <w:spacing w:before="0"/>
        <w:ind w:left="90" w:firstLine="0"/>
        <w:jc w:val="both"/>
        <w:rPr>
          <w:b w:val="0"/>
        </w:rPr>
      </w:pPr>
      <w:r w:rsidRPr="002152E4">
        <w:rPr>
          <w:b w:val="0"/>
        </w:rPr>
        <w:tab/>
        <w:t xml:space="preserve">8. </w:t>
      </w:r>
      <w:r w:rsidR="001978EF" w:rsidRPr="002152E4">
        <w:rPr>
          <w:b w:val="0"/>
        </w:rPr>
        <w:t xml:space="preserve"> Prin </w:t>
      </w:r>
      <w:r w:rsidR="001978EF" w:rsidRPr="002152E4">
        <w:t>Hotărârea nr. 10J/25.05.2016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color w:val="000000"/>
        </w:rPr>
        <w:t>„excludere din magistratură”</w:t>
      </w:r>
      <w:r w:rsidR="001978EF" w:rsidRPr="002152E4">
        <w:rPr>
          <w:b w:val="0"/>
          <w:color w:val="000000"/>
        </w:rPr>
        <w:t xml:space="preserve"> împotriva judecătorului</w:t>
      </w:r>
      <w:r w:rsidR="001978EF" w:rsidRPr="002152E4">
        <w:rPr>
          <w:b w:val="0"/>
        </w:rPr>
        <w:t xml:space="preserve"> </w:t>
      </w:r>
      <w:r w:rsidR="001978EF" w:rsidRPr="002152E4">
        <w:rPr>
          <w:szCs w:val="28"/>
        </w:rPr>
        <w:t>D.R.V. din</w:t>
      </w:r>
      <w:r w:rsidR="001978EF" w:rsidRPr="002152E4">
        <w:t xml:space="preserve"> cadrul Judecătoriei Constanța,</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f), h), k) și m) din Legea 303/2004. </w:t>
      </w:r>
    </w:p>
    <w:p w:rsidR="001978EF" w:rsidRPr="002152E4" w:rsidRDefault="00793F49" w:rsidP="00793F49">
      <w:pPr>
        <w:pStyle w:val="AddParagrafBoldItalic"/>
        <w:spacing w:before="0"/>
        <w:ind w:left="90" w:firstLine="0"/>
        <w:jc w:val="both"/>
        <w:rPr>
          <w:b w:val="0"/>
        </w:rPr>
      </w:pPr>
      <w:r w:rsidRPr="002152E4">
        <w:rPr>
          <w:b w:val="0"/>
        </w:rPr>
        <w:tab/>
        <w:t>9.</w:t>
      </w:r>
      <w:r w:rsidR="001978EF" w:rsidRPr="002152E4">
        <w:rPr>
          <w:b w:val="0"/>
        </w:rPr>
        <w:t xml:space="preserve"> Prin </w:t>
      </w:r>
      <w:r w:rsidR="001978EF" w:rsidRPr="002152E4">
        <w:t>Hotărârea nr. 11J/25.05.2016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szCs w:val="28"/>
        </w:rPr>
        <w:t xml:space="preserve">„diminuarea </w:t>
      </w:r>
      <w:r w:rsidR="003234CF" w:rsidRPr="002152E4">
        <w:rPr>
          <w:i/>
          <w:szCs w:val="28"/>
        </w:rPr>
        <w:t>indemnizației</w:t>
      </w:r>
      <w:r w:rsidR="001978EF" w:rsidRPr="002152E4">
        <w:rPr>
          <w:i/>
          <w:szCs w:val="28"/>
        </w:rPr>
        <w:t xml:space="preserve"> de încadrare lunare brute cu 10% pe o perioadă de 3 luni”</w:t>
      </w:r>
      <w:r w:rsidR="001978EF" w:rsidRPr="002152E4">
        <w:rPr>
          <w:b w:val="0"/>
          <w:color w:val="000000"/>
        </w:rPr>
        <w:t xml:space="preserve"> împotriva judecătorului </w:t>
      </w:r>
      <w:r w:rsidR="001978EF" w:rsidRPr="002152E4">
        <w:rPr>
          <w:color w:val="000000"/>
        </w:rPr>
        <w:t xml:space="preserve">P.M. din </w:t>
      </w:r>
      <w:r w:rsidR="001978EF" w:rsidRPr="002152E4">
        <w:rPr>
          <w:szCs w:val="28"/>
        </w:rPr>
        <w:t>cadrul Tribunalului Vrancea</w:t>
      </w:r>
      <w:r w:rsidR="001978EF" w:rsidRPr="002152E4">
        <w:t>,</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t)  rap. la art.99</w:t>
      </w:r>
      <w:r w:rsidR="001978EF" w:rsidRPr="002152E4">
        <w:rPr>
          <w:b w:val="0"/>
          <w:szCs w:val="28"/>
          <w:vertAlign w:val="superscript"/>
        </w:rPr>
        <w:t>1</w:t>
      </w:r>
      <w:r w:rsidR="001978EF" w:rsidRPr="002152E4">
        <w:rPr>
          <w:b w:val="0"/>
          <w:szCs w:val="28"/>
        </w:rPr>
        <w:t xml:space="preserve"> alin.2 din Legea 303/2004.</w:t>
      </w:r>
      <w:r w:rsidR="001978EF" w:rsidRPr="002152E4">
        <w:rPr>
          <w:b w:val="0"/>
        </w:rPr>
        <w:t xml:space="preserve"> </w:t>
      </w:r>
    </w:p>
    <w:p w:rsidR="002D73A3" w:rsidRPr="002152E4" w:rsidRDefault="002D73A3" w:rsidP="002D73A3">
      <w:pPr>
        <w:pStyle w:val="AddParagrafBoldItalic"/>
        <w:spacing w:before="0"/>
        <w:ind w:left="90" w:firstLine="0"/>
        <w:jc w:val="both"/>
        <w:rPr>
          <w:b w:val="0"/>
        </w:rPr>
      </w:pPr>
      <w:r w:rsidRPr="002152E4">
        <w:rPr>
          <w:b w:val="0"/>
        </w:rPr>
        <w:tab/>
        <w:t xml:space="preserve">10. </w:t>
      </w:r>
      <w:r w:rsidR="001978EF" w:rsidRPr="002152E4">
        <w:rPr>
          <w:b w:val="0"/>
        </w:rPr>
        <w:t xml:space="preserve">Prin </w:t>
      </w:r>
      <w:r w:rsidR="001978EF" w:rsidRPr="002152E4">
        <w:t>Hotărârea nr. 12J/01.06.2016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color w:val="000000"/>
        </w:rPr>
        <w:t>„suspendarea din funcţia de judecător pe o perioadă de 3 luni”</w:t>
      </w:r>
      <w:r w:rsidR="001978EF" w:rsidRPr="002152E4">
        <w:rPr>
          <w:b w:val="0"/>
          <w:color w:val="000000"/>
        </w:rPr>
        <w:t xml:space="preserve"> împotriva judecătorului</w:t>
      </w:r>
      <w:r w:rsidR="001978EF" w:rsidRPr="002152E4">
        <w:rPr>
          <w:b w:val="0"/>
        </w:rPr>
        <w:t xml:space="preserve"> </w:t>
      </w:r>
      <w:r w:rsidR="001978EF" w:rsidRPr="002152E4">
        <w:rPr>
          <w:szCs w:val="28"/>
        </w:rPr>
        <w:t>A.S. din</w:t>
      </w:r>
      <w:r w:rsidR="001978EF" w:rsidRPr="002152E4">
        <w:t xml:space="preserve"> cadrul Judecătoriei Bacău,</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t) teza a II-a rap. la art.99</w:t>
      </w:r>
      <w:r w:rsidR="001978EF" w:rsidRPr="002152E4">
        <w:rPr>
          <w:b w:val="0"/>
          <w:szCs w:val="28"/>
          <w:vertAlign w:val="superscript"/>
        </w:rPr>
        <w:t>1</w:t>
      </w:r>
      <w:r w:rsidR="001978EF" w:rsidRPr="002152E4">
        <w:rPr>
          <w:b w:val="0"/>
          <w:szCs w:val="28"/>
        </w:rPr>
        <w:t xml:space="preserve"> alin.2  și  lit. r) din Legea 303/2004. </w:t>
      </w:r>
    </w:p>
    <w:p w:rsidR="002D73A3" w:rsidRPr="002152E4" w:rsidRDefault="002D73A3" w:rsidP="002D73A3">
      <w:pPr>
        <w:pStyle w:val="AddParagrafBoldItalic"/>
        <w:spacing w:before="0"/>
        <w:ind w:left="90" w:firstLine="0"/>
        <w:jc w:val="both"/>
        <w:rPr>
          <w:b w:val="0"/>
        </w:rPr>
      </w:pPr>
      <w:r w:rsidRPr="002152E4">
        <w:rPr>
          <w:b w:val="0"/>
        </w:rPr>
        <w:tab/>
        <w:t xml:space="preserve">11. </w:t>
      </w:r>
      <w:r w:rsidR="001978EF" w:rsidRPr="002152E4">
        <w:rPr>
          <w:b w:val="0"/>
        </w:rPr>
        <w:t xml:space="preserve">Prin </w:t>
      </w:r>
      <w:r w:rsidR="001978EF" w:rsidRPr="002152E4">
        <w:t>Hotărârea nr. 13J/01.06.2016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color w:val="000000"/>
        </w:rPr>
        <w:t>„suspendarea din funcţia de judecător pe o perioadă de 3 luni”</w:t>
      </w:r>
      <w:r w:rsidR="001978EF" w:rsidRPr="002152E4">
        <w:rPr>
          <w:b w:val="0"/>
          <w:szCs w:val="28"/>
        </w:rPr>
        <w:t xml:space="preserve"> </w:t>
      </w:r>
      <w:r w:rsidR="001978EF" w:rsidRPr="002152E4">
        <w:rPr>
          <w:b w:val="0"/>
          <w:color w:val="000000"/>
        </w:rPr>
        <w:t>împotriva judecătorului</w:t>
      </w:r>
      <w:r w:rsidR="001978EF" w:rsidRPr="002152E4">
        <w:rPr>
          <w:b w:val="0"/>
        </w:rPr>
        <w:t xml:space="preserve"> </w:t>
      </w:r>
      <w:r w:rsidR="001978EF" w:rsidRPr="002152E4">
        <w:rPr>
          <w:szCs w:val="28"/>
        </w:rPr>
        <w:t>R.L. din</w:t>
      </w:r>
      <w:r w:rsidR="001978EF" w:rsidRPr="002152E4">
        <w:t xml:space="preserve"> cadrul Judecătoriei Timișoara,</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t) teza a II-a rap. la art.99</w:t>
      </w:r>
      <w:r w:rsidR="001978EF" w:rsidRPr="002152E4">
        <w:rPr>
          <w:b w:val="0"/>
          <w:szCs w:val="28"/>
          <w:vertAlign w:val="superscript"/>
        </w:rPr>
        <w:t>1</w:t>
      </w:r>
      <w:r w:rsidR="001978EF" w:rsidRPr="002152E4">
        <w:rPr>
          <w:b w:val="0"/>
          <w:szCs w:val="28"/>
        </w:rPr>
        <w:t xml:space="preserve"> alin.2  din Legea 303/2004. </w:t>
      </w:r>
    </w:p>
    <w:p w:rsidR="002D73A3" w:rsidRPr="002152E4" w:rsidRDefault="002D73A3" w:rsidP="002D73A3">
      <w:pPr>
        <w:pStyle w:val="AddParagrafBoldItalic"/>
        <w:spacing w:before="0"/>
        <w:ind w:left="90" w:firstLine="0"/>
        <w:jc w:val="both"/>
        <w:rPr>
          <w:b w:val="0"/>
        </w:rPr>
      </w:pPr>
      <w:r w:rsidRPr="002152E4">
        <w:rPr>
          <w:b w:val="0"/>
        </w:rPr>
        <w:tab/>
        <w:t xml:space="preserve">12. </w:t>
      </w:r>
      <w:r w:rsidR="001978EF" w:rsidRPr="002152E4">
        <w:rPr>
          <w:b w:val="0"/>
        </w:rPr>
        <w:t xml:space="preserve">Prin </w:t>
      </w:r>
      <w:r w:rsidR="001978EF" w:rsidRPr="002152E4">
        <w:t>Hotărârea nr. 15J/07.09.2016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szCs w:val="28"/>
        </w:rPr>
        <w:t xml:space="preserve">„diminuarea </w:t>
      </w:r>
      <w:r w:rsidR="003234CF" w:rsidRPr="002152E4">
        <w:rPr>
          <w:i/>
          <w:szCs w:val="28"/>
        </w:rPr>
        <w:t>indemnizației</w:t>
      </w:r>
      <w:r w:rsidR="001978EF" w:rsidRPr="002152E4">
        <w:rPr>
          <w:i/>
          <w:szCs w:val="28"/>
        </w:rPr>
        <w:t xml:space="preserve"> de încadrare lunare brute cu 20% pe o perioadă de 6 luni”</w:t>
      </w:r>
      <w:r w:rsidR="001978EF" w:rsidRPr="002152E4">
        <w:rPr>
          <w:b w:val="0"/>
          <w:color w:val="000000"/>
        </w:rPr>
        <w:t xml:space="preserve"> </w:t>
      </w:r>
      <w:r w:rsidR="001978EF" w:rsidRPr="002152E4">
        <w:rPr>
          <w:b w:val="0"/>
          <w:color w:val="000000"/>
        </w:rPr>
        <w:lastRenderedPageBreak/>
        <w:t xml:space="preserve">împotriva judecătorului </w:t>
      </w:r>
      <w:r w:rsidR="001978EF" w:rsidRPr="002152E4">
        <w:rPr>
          <w:color w:val="000000"/>
        </w:rPr>
        <w:t xml:space="preserve">A.D. din </w:t>
      </w:r>
      <w:r w:rsidR="001978EF" w:rsidRPr="002152E4">
        <w:rPr>
          <w:szCs w:val="28"/>
        </w:rPr>
        <w:t>cadrul Curții de Apel Iași</w:t>
      </w:r>
      <w:r w:rsidR="001978EF" w:rsidRPr="002152E4">
        <w:t>,</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t) teza a II-a rap. la art.99</w:t>
      </w:r>
      <w:r w:rsidR="001978EF" w:rsidRPr="002152E4">
        <w:rPr>
          <w:b w:val="0"/>
          <w:szCs w:val="28"/>
          <w:vertAlign w:val="superscript"/>
        </w:rPr>
        <w:t>1</w:t>
      </w:r>
      <w:r w:rsidR="001978EF" w:rsidRPr="002152E4">
        <w:rPr>
          <w:b w:val="0"/>
          <w:szCs w:val="28"/>
        </w:rPr>
        <w:t xml:space="preserve"> alin.2 din Legea 303/2004.</w:t>
      </w:r>
      <w:r w:rsidR="001978EF" w:rsidRPr="002152E4">
        <w:rPr>
          <w:b w:val="0"/>
        </w:rPr>
        <w:t xml:space="preserve"> În prezent, dosarul se află în calea de atac a recursului pe rolul  Înaltei Curți de Casație și Justiție.</w:t>
      </w:r>
    </w:p>
    <w:p w:rsidR="002D73A3" w:rsidRPr="002152E4" w:rsidRDefault="002D73A3" w:rsidP="002D73A3">
      <w:pPr>
        <w:pStyle w:val="AddParagrafBoldItalic"/>
        <w:spacing w:before="0"/>
        <w:ind w:left="90" w:firstLine="0"/>
        <w:jc w:val="both"/>
        <w:rPr>
          <w:b w:val="0"/>
        </w:rPr>
      </w:pPr>
      <w:r w:rsidRPr="002152E4">
        <w:rPr>
          <w:b w:val="0"/>
        </w:rPr>
        <w:tab/>
        <w:t xml:space="preserve">13. </w:t>
      </w:r>
      <w:r w:rsidR="001978EF" w:rsidRPr="002152E4">
        <w:rPr>
          <w:b w:val="0"/>
        </w:rPr>
        <w:t xml:space="preserve"> Prin </w:t>
      </w:r>
      <w:r w:rsidR="001978EF" w:rsidRPr="002152E4">
        <w:t>Hotărârea nr. 16J/14.09.2016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rPr>
        <w:t>„avertisment”</w:t>
      </w:r>
      <w:r w:rsidR="001978EF" w:rsidRPr="002152E4">
        <w:rPr>
          <w:b w:val="0"/>
          <w:color w:val="000000"/>
        </w:rPr>
        <w:t xml:space="preserve"> împotriva judecătorului</w:t>
      </w:r>
      <w:r w:rsidR="001978EF" w:rsidRPr="002152E4">
        <w:rPr>
          <w:b w:val="0"/>
        </w:rPr>
        <w:t xml:space="preserve"> </w:t>
      </w:r>
      <w:r w:rsidR="001978EF" w:rsidRPr="002152E4">
        <w:rPr>
          <w:szCs w:val="28"/>
        </w:rPr>
        <w:t>C.S. din</w:t>
      </w:r>
      <w:r w:rsidR="001978EF" w:rsidRPr="002152E4">
        <w:t xml:space="preserve"> cadrul Tribunalului București,</w:t>
      </w:r>
      <w:r w:rsidR="001978EF" w:rsidRPr="002152E4">
        <w:rPr>
          <w:b w:val="0"/>
        </w:rPr>
        <w:t xml:space="preserve"> </w:t>
      </w:r>
      <w:r w:rsidR="001978EF" w:rsidRPr="002152E4">
        <w:rPr>
          <w:b w:val="0"/>
          <w:szCs w:val="28"/>
        </w:rPr>
        <w:t xml:space="preserve">pentru săvârşirea abaterii </w:t>
      </w:r>
      <w:r w:rsidR="001978EF" w:rsidRPr="002152E4">
        <w:rPr>
          <w:b w:val="0"/>
        </w:rPr>
        <w:t>disciplinare prev. de art.</w:t>
      </w:r>
      <w:r w:rsidR="001978EF" w:rsidRPr="002152E4">
        <w:rPr>
          <w:b w:val="0"/>
          <w:szCs w:val="28"/>
        </w:rPr>
        <w:t xml:space="preserve"> 99 lit.h) teza a II-a  din Legea 303/2004.</w:t>
      </w:r>
    </w:p>
    <w:p w:rsidR="002D73A3" w:rsidRPr="002152E4" w:rsidRDefault="002D73A3" w:rsidP="002D73A3">
      <w:pPr>
        <w:pStyle w:val="AddParagrafBoldItalic"/>
        <w:spacing w:before="0"/>
        <w:ind w:left="90" w:firstLine="0"/>
        <w:jc w:val="both"/>
        <w:rPr>
          <w:b w:val="0"/>
        </w:rPr>
      </w:pPr>
      <w:r w:rsidRPr="002152E4">
        <w:rPr>
          <w:b w:val="0"/>
        </w:rPr>
        <w:tab/>
        <w:t xml:space="preserve">14. </w:t>
      </w:r>
      <w:r w:rsidR="001978EF" w:rsidRPr="002152E4">
        <w:rPr>
          <w:b w:val="0"/>
        </w:rPr>
        <w:t xml:space="preserve">Prin </w:t>
      </w:r>
      <w:r w:rsidR="001978EF" w:rsidRPr="002152E4">
        <w:t>Hotărârea nr. 19J/12.10.2016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rPr>
        <w:t>„avertisment”</w:t>
      </w:r>
      <w:r w:rsidR="001978EF" w:rsidRPr="002152E4">
        <w:rPr>
          <w:b w:val="0"/>
          <w:color w:val="000000"/>
        </w:rPr>
        <w:t xml:space="preserve"> împotriva judecătorului</w:t>
      </w:r>
      <w:r w:rsidR="001978EF" w:rsidRPr="002152E4">
        <w:rPr>
          <w:b w:val="0"/>
        </w:rPr>
        <w:t xml:space="preserve"> </w:t>
      </w:r>
      <w:r w:rsidR="001978EF" w:rsidRPr="002152E4">
        <w:rPr>
          <w:szCs w:val="28"/>
        </w:rPr>
        <w:t>B.E. din</w:t>
      </w:r>
      <w:r w:rsidR="001978EF" w:rsidRPr="002152E4">
        <w:t xml:space="preserve"> cadrul Judecătoriei Pitești,</w:t>
      </w:r>
      <w:r w:rsidR="001978EF" w:rsidRPr="002152E4">
        <w:rPr>
          <w:b w:val="0"/>
        </w:rPr>
        <w:t xml:space="preserve"> </w:t>
      </w:r>
      <w:r w:rsidR="001978EF" w:rsidRPr="002152E4">
        <w:rPr>
          <w:b w:val="0"/>
          <w:szCs w:val="28"/>
        </w:rPr>
        <w:t xml:space="preserve">pentru săvârşirea abaterii </w:t>
      </w:r>
      <w:r w:rsidR="001978EF" w:rsidRPr="002152E4">
        <w:rPr>
          <w:b w:val="0"/>
        </w:rPr>
        <w:t>disciplinare prev. de art.</w:t>
      </w:r>
      <w:r w:rsidR="001978EF" w:rsidRPr="002152E4">
        <w:rPr>
          <w:b w:val="0"/>
          <w:szCs w:val="28"/>
        </w:rPr>
        <w:t xml:space="preserve"> 99 lit.i) din Legea 303/2004. </w:t>
      </w:r>
    </w:p>
    <w:p w:rsidR="002D73A3" w:rsidRPr="002152E4" w:rsidRDefault="002D73A3" w:rsidP="002D73A3">
      <w:pPr>
        <w:pStyle w:val="AddParagrafBoldItalic"/>
        <w:spacing w:before="0"/>
        <w:ind w:left="90" w:firstLine="0"/>
        <w:jc w:val="both"/>
        <w:rPr>
          <w:b w:val="0"/>
        </w:rPr>
      </w:pPr>
      <w:r w:rsidRPr="002152E4">
        <w:rPr>
          <w:b w:val="0"/>
        </w:rPr>
        <w:tab/>
        <w:t xml:space="preserve">15. </w:t>
      </w:r>
      <w:r w:rsidR="001978EF" w:rsidRPr="002152E4">
        <w:rPr>
          <w:b w:val="0"/>
        </w:rPr>
        <w:t xml:space="preserve">Prin </w:t>
      </w:r>
      <w:r w:rsidR="001978EF" w:rsidRPr="002152E4">
        <w:t>Hotărârea nr. 20J/31.10.2016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szCs w:val="28"/>
        </w:rPr>
        <w:t xml:space="preserve">„diminuarea </w:t>
      </w:r>
      <w:r w:rsidR="003234CF" w:rsidRPr="002152E4">
        <w:rPr>
          <w:i/>
          <w:szCs w:val="28"/>
        </w:rPr>
        <w:t>indemnizației</w:t>
      </w:r>
      <w:r w:rsidR="001978EF" w:rsidRPr="002152E4">
        <w:rPr>
          <w:i/>
          <w:szCs w:val="28"/>
        </w:rPr>
        <w:t xml:space="preserve"> de încadrare lunare brute cu 20% pe o perioadă de 3 luni”</w:t>
      </w:r>
      <w:r w:rsidR="001978EF" w:rsidRPr="002152E4">
        <w:rPr>
          <w:b w:val="0"/>
          <w:color w:val="000000"/>
        </w:rPr>
        <w:t xml:space="preserve"> împotriva judecătorului </w:t>
      </w:r>
      <w:r w:rsidR="001978EF" w:rsidRPr="002152E4">
        <w:rPr>
          <w:color w:val="000000"/>
        </w:rPr>
        <w:t xml:space="preserve">C.M.E. din </w:t>
      </w:r>
      <w:r w:rsidR="001978EF" w:rsidRPr="002152E4">
        <w:rPr>
          <w:szCs w:val="28"/>
        </w:rPr>
        <w:t>cadrul Curții de Apel Craiova</w:t>
      </w:r>
      <w:r w:rsidR="001978EF" w:rsidRPr="002152E4">
        <w:t>,</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l) din Legea 303/2004.</w:t>
      </w:r>
      <w:r w:rsidR="001978EF" w:rsidRPr="002152E4">
        <w:rPr>
          <w:b w:val="0"/>
        </w:rPr>
        <w:t xml:space="preserve"> </w:t>
      </w:r>
    </w:p>
    <w:p w:rsidR="002D73A3" w:rsidRPr="002152E4" w:rsidRDefault="002D73A3" w:rsidP="002D73A3">
      <w:pPr>
        <w:pStyle w:val="AddParagrafBoldItalic"/>
        <w:spacing w:before="0"/>
        <w:ind w:left="90" w:firstLine="0"/>
        <w:jc w:val="both"/>
        <w:rPr>
          <w:b w:val="0"/>
        </w:rPr>
      </w:pPr>
      <w:r w:rsidRPr="002152E4">
        <w:rPr>
          <w:b w:val="0"/>
        </w:rPr>
        <w:tab/>
        <w:t xml:space="preserve">16. </w:t>
      </w:r>
      <w:r w:rsidR="001978EF" w:rsidRPr="002152E4">
        <w:rPr>
          <w:b w:val="0"/>
        </w:rPr>
        <w:t xml:space="preserve">Prin </w:t>
      </w:r>
      <w:r w:rsidR="001978EF" w:rsidRPr="002152E4">
        <w:t>Hotărârea nr. 23J/31.10.2016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color w:val="000000"/>
        </w:rPr>
        <w:t>„excludere din magistratură”</w:t>
      </w:r>
      <w:r w:rsidR="001978EF" w:rsidRPr="002152E4">
        <w:rPr>
          <w:b w:val="0"/>
          <w:color w:val="000000"/>
        </w:rPr>
        <w:t xml:space="preserve"> împotriva judecătorului</w:t>
      </w:r>
      <w:r w:rsidR="001978EF" w:rsidRPr="002152E4">
        <w:rPr>
          <w:b w:val="0"/>
        </w:rPr>
        <w:t xml:space="preserve"> </w:t>
      </w:r>
      <w:r w:rsidR="001978EF" w:rsidRPr="002152E4">
        <w:rPr>
          <w:szCs w:val="28"/>
        </w:rPr>
        <w:t>C.L.N. din</w:t>
      </w:r>
      <w:r w:rsidR="001978EF" w:rsidRPr="002152E4">
        <w:t xml:space="preserve"> cadrul Judecătoriei Arad,</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j) și t) teza a I-a din Legea 303/2004. </w:t>
      </w:r>
    </w:p>
    <w:p w:rsidR="002D73A3" w:rsidRPr="002152E4" w:rsidRDefault="002D73A3" w:rsidP="002D73A3">
      <w:pPr>
        <w:pStyle w:val="AddParagrafBoldItalic"/>
        <w:spacing w:before="0"/>
        <w:ind w:left="90" w:firstLine="0"/>
        <w:jc w:val="both"/>
        <w:rPr>
          <w:b w:val="0"/>
        </w:rPr>
      </w:pPr>
      <w:r w:rsidRPr="002152E4">
        <w:rPr>
          <w:b w:val="0"/>
        </w:rPr>
        <w:tab/>
        <w:t xml:space="preserve">17. </w:t>
      </w:r>
      <w:r w:rsidR="001978EF" w:rsidRPr="002152E4">
        <w:rPr>
          <w:b w:val="0"/>
        </w:rPr>
        <w:t xml:space="preserve">Prin </w:t>
      </w:r>
      <w:r w:rsidR="001978EF" w:rsidRPr="002152E4">
        <w:t>Hotărârea nr. 25J/16.11.2016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color w:val="000000"/>
        </w:rPr>
        <w:t>„suspendarea din funcţia de judecător pe o perioadă de 3 luni”</w:t>
      </w:r>
      <w:r w:rsidR="001978EF" w:rsidRPr="002152E4">
        <w:rPr>
          <w:b w:val="0"/>
          <w:szCs w:val="28"/>
        </w:rPr>
        <w:t xml:space="preserve"> </w:t>
      </w:r>
      <w:r w:rsidR="001978EF" w:rsidRPr="002152E4">
        <w:rPr>
          <w:b w:val="0"/>
          <w:color w:val="000000"/>
        </w:rPr>
        <w:t>împotriva judecătorului</w:t>
      </w:r>
      <w:r w:rsidR="001978EF" w:rsidRPr="002152E4">
        <w:rPr>
          <w:b w:val="0"/>
        </w:rPr>
        <w:t xml:space="preserve"> </w:t>
      </w:r>
      <w:r w:rsidR="001978EF" w:rsidRPr="002152E4">
        <w:rPr>
          <w:szCs w:val="28"/>
        </w:rPr>
        <w:t>T.D.I. din</w:t>
      </w:r>
      <w:r w:rsidR="001978EF" w:rsidRPr="002152E4">
        <w:t xml:space="preserve"> cadrul Tribunalului București</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h) teza a II-a   din Legea 303/2004.</w:t>
      </w:r>
    </w:p>
    <w:p w:rsidR="002D73A3" w:rsidRPr="002152E4" w:rsidRDefault="002D73A3" w:rsidP="002D73A3">
      <w:pPr>
        <w:pStyle w:val="AddParagrafBoldItalic"/>
        <w:spacing w:before="0"/>
        <w:ind w:left="90" w:firstLine="0"/>
        <w:jc w:val="both"/>
        <w:rPr>
          <w:b w:val="0"/>
        </w:rPr>
      </w:pPr>
      <w:r w:rsidRPr="002152E4">
        <w:rPr>
          <w:b w:val="0"/>
        </w:rPr>
        <w:tab/>
        <w:t xml:space="preserve">18. </w:t>
      </w:r>
      <w:r w:rsidR="001978EF" w:rsidRPr="002152E4">
        <w:rPr>
          <w:b w:val="0"/>
        </w:rPr>
        <w:t xml:space="preserve">Prin </w:t>
      </w:r>
      <w:r w:rsidR="001978EF" w:rsidRPr="002152E4">
        <w:t>Hotărârea nr. 26J/23.11.2016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color w:val="000000"/>
        </w:rPr>
        <w:t>„excludere din magistratură”</w:t>
      </w:r>
      <w:r w:rsidR="001978EF" w:rsidRPr="002152E4">
        <w:rPr>
          <w:b w:val="0"/>
          <w:color w:val="000000"/>
        </w:rPr>
        <w:t xml:space="preserve"> împotriva judecătorului</w:t>
      </w:r>
      <w:r w:rsidR="001978EF" w:rsidRPr="002152E4">
        <w:rPr>
          <w:b w:val="0"/>
        </w:rPr>
        <w:t xml:space="preserve"> </w:t>
      </w:r>
      <w:r w:rsidR="001978EF" w:rsidRPr="002152E4">
        <w:rPr>
          <w:szCs w:val="28"/>
        </w:rPr>
        <w:t>S.B.L. din</w:t>
      </w:r>
      <w:r w:rsidR="001978EF" w:rsidRPr="002152E4">
        <w:t xml:space="preserve"> cadrul Tribunalului București,</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h) teza a II-a din Legea 303/2004. </w:t>
      </w:r>
    </w:p>
    <w:p w:rsidR="002D73A3" w:rsidRPr="002152E4" w:rsidRDefault="002D73A3" w:rsidP="002D73A3">
      <w:pPr>
        <w:pStyle w:val="AddParagrafBoldItalic"/>
        <w:spacing w:before="0"/>
        <w:ind w:left="90" w:firstLine="0"/>
        <w:jc w:val="both"/>
        <w:rPr>
          <w:b w:val="0"/>
        </w:rPr>
      </w:pPr>
      <w:r w:rsidRPr="002152E4">
        <w:rPr>
          <w:b w:val="0"/>
        </w:rPr>
        <w:tab/>
        <w:t xml:space="preserve">19. </w:t>
      </w:r>
      <w:r w:rsidR="001978EF" w:rsidRPr="002152E4">
        <w:rPr>
          <w:b w:val="0"/>
        </w:rPr>
        <w:t xml:space="preserve">Prin </w:t>
      </w:r>
      <w:r w:rsidR="001978EF" w:rsidRPr="002152E4">
        <w:t>Hotărârea nr. 27J/23.11.2016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szCs w:val="28"/>
        </w:rPr>
        <w:t xml:space="preserve">„diminuarea </w:t>
      </w:r>
      <w:r w:rsidR="003234CF" w:rsidRPr="002152E4">
        <w:rPr>
          <w:i/>
          <w:szCs w:val="28"/>
        </w:rPr>
        <w:t>indemnizației</w:t>
      </w:r>
      <w:r w:rsidR="001978EF" w:rsidRPr="002152E4">
        <w:rPr>
          <w:i/>
          <w:szCs w:val="28"/>
        </w:rPr>
        <w:t xml:space="preserve"> de încadrare lunare brute cu 10% pe o perioadă de 2 luni”</w:t>
      </w:r>
      <w:r w:rsidR="001978EF" w:rsidRPr="002152E4">
        <w:rPr>
          <w:b w:val="0"/>
          <w:color w:val="000000"/>
        </w:rPr>
        <w:t xml:space="preserve"> împotriva judecătorului </w:t>
      </w:r>
      <w:r w:rsidR="001978EF" w:rsidRPr="002152E4">
        <w:rPr>
          <w:color w:val="000000"/>
        </w:rPr>
        <w:t xml:space="preserve">M.S. din </w:t>
      </w:r>
      <w:r w:rsidR="001978EF" w:rsidRPr="002152E4">
        <w:rPr>
          <w:szCs w:val="28"/>
        </w:rPr>
        <w:t>cadrul Tribunalului București</w:t>
      </w:r>
      <w:r w:rsidR="001978EF" w:rsidRPr="002152E4">
        <w:t>,</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m) din Legea 303/2004.</w:t>
      </w:r>
      <w:r w:rsidR="001978EF" w:rsidRPr="002152E4">
        <w:rPr>
          <w:b w:val="0"/>
        </w:rPr>
        <w:t xml:space="preserve"> </w:t>
      </w:r>
    </w:p>
    <w:p w:rsidR="001978EF" w:rsidRPr="002152E4" w:rsidRDefault="002D73A3" w:rsidP="002D73A3">
      <w:pPr>
        <w:pStyle w:val="AddParagrafBoldItalic"/>
        <w:spacing w:before="0"/>
        <w:ind w:left="90" w:firstLine="0"/>
        <w:jc w:val="both"/>
        <w:rPr>
          <w:b w:val="0"/>
        </w:rPr>
      </w:pPr>
      <w:r w:rsidRPr="002152E4">
        <w:rPr>
          <w:b w:val="0"/>
        </w:rPr>
        <w:tab/>
        <w:t xml:space="preserve">20. </w:t>
      </w:r>
      <w:r w:rsidR="001978EF" w:rsidRPr="002152E4">
        <w:rPr>
          <w:b w:val="0"/>
        </w:rPr>
        <w:t xml:space="preserve">Prin </w:t>
      </w:r>
      <w:r w:rsidR="001978EF" w:rsidRPr="002152E4">
        <w:t>Hotărârea nr. 28J/07.12.2016</w:t>
      </w:r>
      <w:r w:rsidR="001978EF" w:rsidRPr="002152E4">
        <w:rPr>
          <w:b w:val="0"/>
          <w:i/>
          <w:color w:val="000000"/>
        </w:rPr>
        <w:t xml:space="preserve"> </w:t>
      </w:r>
      <w:r w:rsidR="001978EF" w:rsidRPr="002152E4">
        <w:rPr>
          <w:b w:val="0"/>
          <w:color w:val="000000"/>
        </w:rPr>
        <w:t xml:space="preserve">Secția pentru judecători în materie disciplinară a Consiliului Superior al Magistraturii a admis acțiunea disciplinară și a aplicat sancțiunea disciplinară </w:t>
      </w:r>
      <w:r w:rsidR="001978EF" w:rsidRPr="002152E4">
        <w:rPr>
          <w:b w:val="0"/>
          <w:szCs w:val="28"/>
        </w:rPr>
        <w:t xml:space="preserve">constând în </w:t>
      </w:r>
      <w:r w:rsidR="001978EF" w:rsidRPr="002152E4">
        <w:rPr>
          <w:i/>
          <w:color w:val="000000"/>
        </w:rPr>
        <w:t>„suspendarea din funcţia de judecător pe o perioadă de 5 luni”</w:t>
      </w:r>
      <w:r w:rsidR="001978EF" w:rsidRPr="002152E4">
        <w:rPr>
          <w:b w:val="0"/>
          <w:szCs w:val="28"/>
        </w:rPr>
        <w:t xml:space="preserve"> </w:t>
      </w:r>
      <w:r w:rsidR="001978EF" w:rsidRPr="002152E4">
        <w:rPr>
          <w:b w:val="0"/>
          <w:color w:val="000000"/>
        </w:rPr>
        <w:t>împotriva judecătorului</w:t>
      </w:r>
      <w:r w:rsidR="001978EF" w:rsidRPr="002152E4">
        <w:rPr>
          <w:b w:val="0"/>
        </w:rPr>
        <w:t xml:space="preserve"> </w:t>
      </w:r>
      <w:r w:rsidR="001978EF" w:rsidRPr="002152E4">
        <w:rPr>
          <w:szCs w:val="28"/>
        </w:rPr>
        <w:t>M.R.E. din</w:t>
      </w:r>
      <w:r w:rsidR="001978EF" w:rsidRPr="002152E4">
        <w:t xml:space="preserve"> cadrul Tribunalului București</w:t>
      </w:r>
      <w:r w:rsidR="001978EF" w:rsidRPr="002152E4">
        <w:rPr>
          <w:b w:val="0"/>
        </w:rPr>
        <w:t xml:space="preserve">, </w:t>
      </w:r>
      <w:r w:rsidR="001978EF" w:rsidRPr="002152E4">
        <w:rPr>
          <w:b w:val="0"/>
          <w:szCs w:val="28"/>
        </w:rPr>
        <w:t xml:space="preserve">pentru săvârşirea abaterilor </w:t>
      </w:r>
      <w:r w:rsidR="001978EF" w:rsidRPr="002152E4">
        <w:rPr>
          <w:b w:val="0"/>
        </w:rPr>
        <w:t>disciplinare prev. de art.</w:t>
      </w:r>
      <w:r w:rsidR="001978EF" w:rsidRPr="002152E4">
        <w:rPr>
          <w:b w:val="0"/>
          <w:szCs w:val="28"/>
        </w:rPr>
        <w:t xml:space="preserve"> 99 lit. h) teza a II-a   din Legea 303/2004. </w:t>
      </w:r>
    </w:p>
    <w:p w:rsidR="00613832" w:rsidRPr="002152E4" w:rsidRDefault="00613832" w:rsidP="00EE6420">
      <w:pPr>
        <w:ind w:firstLine="567"/>
        <w:jc w:val="both"/>
        <w:rPr>
          <w:b/>
          <w:i/>
          <w:lang w:val="ro-RO"/>
        </w:rPr>
      </w:pPr>
    </w:p>
    <w:p w:rsidR="00613832" w:rsidRPr="002152E4" w:rsidRDefault="00613832" w:rsidP="00EE6420">
      <w:pPr>
        <w:ind w:firstLine="567"/>
        <w:jc w:val="both"/>
        <w:rPr>
          <w:b/>
          <w:i/>
          <w:lang w:val="ro-RO"/>
        </w:rPr>
      </w:pPr>
      <w:r w:rsidRPr="002152E4">
        <w:rPr>
          <w:b/>
          <w:i/>
          <w:lang w:val="ro-RO"/>
        </w:rPr>
        <w:t>B. Răspunderea penală</w:t>
      </w:r>
    </w:p>
    <w:p w:rsidR="00EE6420" w:rsidRPr="002152E4" w:rsidRDefault="00EE6420" w:rsidP="00EE6420">
      <w:pPr>
        <w:ind w:firstLine="567"/>
        <w:jc w:val="both"/>
        <w:rPr>
          <w:lang w:val="ro-RO"/>
        </w:rPr>
      </w:pPr>
      <w:r w:rsidRPr="002152E4">
        <w:rPr>
          <w:lang w:val="ro-RO"/>
        </w:rPr>
        <w:t>În cursul anului 2016, 4 judecători au fost condamnați definitiv pentru săvârşirea unor infracţiuni.</w:t>
      </w:r>
    </w:p>
    <w:p w:rsidR="00EE6420" w:rsidRPr="002152E4" w:rsidRDefault="00EE6420" w:rsidP="00EE6420">
      <w:pPr>
        <w:spacing w:after="160" w:line="256" w:lineRule="auto"/>
        <w:ind w:firstLine="567"/>
        <w:jc w:val="both"/>
        <w:rPr>
          <w:lang w:val="ro-RO"/>
        </w:rPr>
      </w:pPr>
      <w:r w:rsidRPr="002152E4">
        <w:rPr>
          <w:lang w:val="ro-RO"/>
        </w:rPr>
        <w:t xml:space="preserve">În cursul aceluiași an, Consiliul Superior al Magistraturii a dispus suspendarea din funcție a 4  judecători astfel: 1 judecător ca urmare a trimiterii în judecata, 2 judecători ca urmare a luării </w:t>
      </w:r>
      <w:r w:rsidR="003234CF" w:rsidRPr="002152E4">
        <w:rPr>
          <w:lang w:val="ro-RO"/>
        </w:rPr>
        <w:t>măsurii</w:t>
      </w:r>
      <w:r w:rsidRPr="002152E4">
        <w:rPr>
          <w:lang w:val="ro-RO"/>
        </w:rPr>
        <w:t xml:space="preserve"> controlului judiciar şi, ulterior, ca urmare a trimiterii in judecata  şi 1 judecător ca urmare a luării măsurii </w:t>
      </w:r>
      <w:r w:rsidR="003234CF" w:rsidRPr="002152E4">
        <w:rPr>
          <w:lang w:val="ro-RO"/>
        </w:rPr>
        <w:t>arestării</w:t>
      </w:r>
      <w:r w:rsidRPr="002152E4">
        <w:rPr>
          <w:lang w:val="ro-RO"/>
        </w:rPr>
        <w:t xml:space="preserve"> preventive şi, ulterior, ca urmare a trimiterii in judecată.</w:t>
      </w:r>
    </w:p>
    <w:p w:rsidR="00613832" w:rsidRPr="002152E4" w:rsidRDefault="00EE6420" w:rsidP="00EE6420">
      <w:pPr>
        <w:spacing w:after="160" w:line="256" w:lineRule="auto"/>
        <w:ind w:firstLine="567"/>
        <w:jc w:val="both"/>
        <w:rPr>
          <w:lang w:val="ro-RO"/>
        </w:rPr>
      </w:pPr>
      <w:r w:rsidRPr="002152E4">
        <w:rPr>
          <w:lang w:val="ro-RO"/>
        </w:rPr>
        <w:t xml:space="preserve">În perioada de referință, Secția pentru judecători a </w:t>
      </w:r>
      <w:r w:rsidR="003234CF" w:rsidRPr="002152E4">
        <w:rPr>
          <w:lang w:val="ro-RO"/>
        </w:rPr>
        <w:t>încuviințat</w:t>
      </w:r>
      <w:r w:rsidRPr="002152E4">
        <w:rPr>
          <w:lang w:val="ro-RO"/>
        </w:rPr>
        <w:t xml:space="preserve"> 1 solicitare privind măsura reţinerii preventive, 3 solicitări privind măsura arestării preventive, 2 solicitări privind măsura arestului la domiciliu, 5 solicitări privind efectuarea </w:t>
      </w:r>
      <w:r w:rsidR="003234CF" w:rsidRPr="002152E4">
        <w:rPr>
          <w:lang w:val="ro-RO"/>
        </w:rPr>
        <w:t>percheziției</w:t>
      </w:r>
      <w:r w:rsidRPr="002152E4">
        <w:rPr>
          <w:lang w:val="ro-RO"/>
        </w:rPr>
        <w:t xml:space="preserve"> domiciliare, 1 solicitare de încuviinţare a </w:t>
      </w:r>
      <w:r w:rsidR="003234CF" w:rsidRPr="002152E4">
        <w:rPr>
          <w:lang w:val="ro-RO"/>
        </w:rPr>
        <w:t>percheziției</w:t>
      </w:r>
      <w:r w:rsidRPr="002152E4">
        <w:rPr>
          <w:lang w:val="ro-RO"/>
        </w:rPr>
        <w:t xml:space="preserve"> corporale, 2 solicitări de încuviinţare a </w:t>
      </w:r>
      <w:r w:rsidR="003234CF" w:rsidRPr="002152E4">
        <w:rPr>
          <w:lang w:val="ro-RO"/>
        </w:rPr>
        <w:t>percheziției</w:t>
      </w:r>
      <w:r w:rsidRPr="002152E4">
        <w:rPr>
          <w:lang w:val="ro-RO"/>
        </w:rPr>
        <w:t xml:space="preserve"> la birou şi 1 solicitare de în</w:t>
      </w:r>
      <w:r w:rsidR="002D73A3" w:rsidRPr="002152E4">
        <w:rPr>
          <w:lang w:val="ro-RO"/>
        </w:rPr>
        <w:t xml:space="preserve">cuviinţare a </w:t>
      </w:r>
      <w:r w:rsidR="003234CF" w:rsidRPr="002152E4">
        <w:rPr>
          <w:lang w:val="ro-RO"/>
        </w:rPr>
        <w:lastRenderedPageBreak/>
        <w:t>percheziției</w:t>
      </w:r>
      <w:r w:rsidR="002D73A3" w:rsidRPr="002152E4">
        <w:rPr>
          <w:lang w:val="ro-RO"/>
        </w:rPr>
        <w:t xml:space="preserve"> vehicu</w:t>
      </w:r>
      <w:r w:rsidRPr="002152E4">
        <w:rPr>
          <w:lang w:val="ro-RO"/>
        </w:rPr>
        <w:t>lului. Totodată, Secţia pentru judecători a respins 3 solicitări privind măsura reţinerii preventive şi 1 solicitare privind măsura arestării preventive.</w:t>
      </w:r>
    </w:p>
    <w:p w:rsidR="00613832" w:rsidRPr="002152E4" w:rsidRDefault="00613832" w:rsidP="00613832">
      <w:pPr>
        <w:spacing w:after="160" w:line="256" w:lineRule="auto"/>
        <w:ind w:firstLine="567"/>
        <w:jc w:val="both"/>
        <w:rPr>
          <w:b/>
          <w:i/>
          <w:lang w:val="ro-RO"/>
        </w:rPr>
      </w:pPr>
      <w:r w:rsidRPr="002152E4">
        <w:rPr>
          <w:b/>
          <w:i/>
          <w:lang w:val="ro-RO"/>
        </w:rPr>
        <w:t>IV</w:t>
      </w:r>
      <w:r w:rsidR="00DF2D99" w:rsidRPr="002152E4">
        <w:rPr>
          <w:b/>
          <w:i/>
          <w:lang w:val="ro-RO"/>
        </w:rPr>
        <w:t>.3.2</w:t>
      </w:r>
      <w:r w:rsidRPr="002152E4">
        <w:rPr>
          <w:b/>
          <w:i/>
          <w:lang w:val="ro-RO"/>
        </w:rPr>
        <w:t xml:space="preserve">. Personal asimilat </w:t>
      </w:r>
    </w:p>
    <w:p w:rsidR="00613832" w:rsidRPr="002152E4" w:rsidRDefault="00613832" w:rsidP="00EE6420">
      <w:pPr>
        <w:spacing w:after="160" w:line="256" w:lineRule="auto"/>
        <w:ind w:firstLine="567"/>
        <w:jc w:val="both"/>
        <w:rPr>
          <w:lang w:val="ro-RO"/>
        </w:rPr>
      </w:pPr>
      <w:r w:rsidRPr="002152E4">
        <w:rPr>
          <w:lang w:val="ro-RO"/>
        </w:rPr>
        <w:t xml:space="preserve">În anul 2016, nu au fost aplicate sancţiuni disciplinare şi nici sancţiuni penale personalului de specialitate juridică asimilat judecătorilor şi procurorilor din cadrul Ministerului Justiţiei, Consiliului Superior al Magistraturii şi instituţiilor subordonate şi nicio persoană aparţinând acestei categorii de personal din cadrul acestor instituţii nu a fost trimisă în judecată pentru săvârşirea vreunei infracţiuni.  </w:t>
      </w:r>
    </w:p>
    <w:p w:rsidR="00613832" w:rsidRPr="002152E4" w:rsidRDefault="00613832" w:rsidP="00EE6420">
      <w:pPr>
        <w:spacing w:after="160" w:line="256" w:lineRule="auto"/>
        <w:ind w:firstLine="567"/>
        <w:jc w:val="both"/>
        <w:rPr>
          <w:b/>
          <w:i/>
          <w:lang w:val="ro-RO"/>
        </w:rPr>
      </w:pPr>
      <w:r w:rsidRPr="002152E4">
        <w:rPr>
          <w:b/>
          <w:i/>
          <w:lang w:val="ro-RO"/>
        </w:rPr>
        <w:t>I</w:t>
      </w:r>
      <w:r w:rsidR="00DF2D99" w:rsidRPr="002152E4">
        <w:rPr>
          <w:b/>
          <w:i/>
          <w:lang w:val="ro-RO"/>
        </w:rPr>
        <w:t>V.3.3</w:t>
      </w:r>
      <w:r w:rsidRPr="002152E4">
        <w:rPr>
          <w:b/>
          <w:i/>
          <w:lang w:val="ro-RO"/>
        </w:rPr>
        <w:t>.Personal auxiliar</w:t>
      </w:r>
    </w:p>
    <w:p w:rsidR="00EE6420" w:rsidRPr="002152E4" w:rsidRDefault="00EE6420" w:rsidP="00EE6420">
      <w:pPr>
        <w:ind w:firstLine="567"/>
        <w:jc w:val="both"/>
        <w:rPr>
          <w:lang w:val="ro-RO"/>
        </w:rPr>
      </w:pPr>
      <w:r w:rsidRPr="002152E4">
        <w:rPr>
          <w:lang w:val="ro-RO"/>
        </w:rPr>
        <w:t>Din datele furnizate de curțile de apel rezultă că, în cursul parcursul anului 2016 au fost aplicate 50 de sancţiuni disciplinare personalului auxiliar de specialitate din cadrul instanţelor judecătoreşti, din care: 23 de sancţiuni constând în avertisment, 16 sancţiuni constând în reducerea drepturilor salariale, 3 sancţiuni constând în retrogradarea în grad/treaptă profesională, 1 sancţiune constând în revocarea din funcţia de conducere ocupată, 4 sancţiuni constând în mutarea disciplinară, şi 3 sancţiuni constând în excluderea din profesie.</w:t>
      </w:r>
    </w:p>
    <w:p w:rsidR="00EE6420" w:rsidRPr="002152E4" w:rsidRDefault="00EE6420" w:rsidP="00EE6420">
      <w:pPr>
        <w:ind w:firstLine="567"/>
        <w:jc w:val="both"/>
        <w:rPr>
          <w:lang w:val="ro-RO"/>
        </w:rPr>
      </w:pPr>
      <w:r w:rsidRPr="002152E4">
        <w:rPr>
          <w:lang w:val="ro-RO"/>
        </w:rPr>
        <w:t>Totodată, instanțele au comunicat că, în perioada de referință, 3 persoane aparținând categoriei personalului auxiliar de specialitate al instanțelor judecătorești au fost trimise în judecată pentru fapte aflate în legătură cu exercițiul atribuțiilor de serviciu și 1 persoană a fost condamnată definitiv pentru astfel de fapte.</w:t>
      </w: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2D73A3" w:rsidRDefault="002D73A3" w:rsidP="00EE6420">
      <w:pPr>
        <w:ind w:firstLine="567"/>
        <w:jc w:val="both"/>
        <w:rPr>
          <w:lang w:val="ro-RO"/>
        </w:rPr>
      </w:pPr>
    </w:p>
    <w:p w:rsidR="00EB7297" w:rsidRDefault="00EB7297" w:rsidP="00EE6420">
      <w:pPr>
        <w:ind w:firstLine="567"/>
        <w:jc w:val="both"/>
        <w:rPr>
          <w:lang w:val="ro-RO"/>
        </w:rPr>
      </w:pPr>
    </w:p>
    <w:p w:rsidR="00EB7297" w:rsidRDefault="00EB7297" w:rsidP="00EE6420">
      <w:pPr>
        <w:ind w:firstLine="567"/>
        <w:jc w:val="both"/>
        <w:rPr>
          <w:lang w:val="ro-RO"/>
        </w:rPr>
      </w:pPr>
    </w:p>
    <w:p w:rsidR="00EB7297" w:rsidRDefault="00EB7297" w:rsidP="00EE6420">
      <w:pPr>
        <w:ind w:firstLine="567"/>
        <w:jc w:val="both"/>
        <w:rPr>
          <w:lang w:val="ro-RO"/>
        </w:rPr>
      </w:pPr>
    </w:p>
    <w:p w:rsidR="00EB7297" w:rsidRDefault="00EB7297" w:rsidP="00EE6420">
      <w:pPr>
        <w:ind w:firstLine="567"/>
        <w:jc w:val="both"/>
        <w:rPr>
          <w:lang w:val="ro-RO"/>
        </w:rPr>
      </w:pPr>
    </w:p>
    <w:p w:rsidR="00A202F1" w:rsidRDefault="00A202F1" w:rsidP="00EE6420">
      <w:pPr>
        <w:ind w:firstLine="567"/>
        <w:jc w:val="both"/>
        <w:rPr>
          <w:lang w:val="ro-RO"/>
        </w:rPr>
      </w:pPr>
    </w:p>
    <w:p w:rsidR="00A202F1" w:rsidRDefault="00A202F1" w:rsidP="00EE6420">
      <w:pPr>
        <w:ind w:firstLine="567"/>
        <w:jc w:val="both"/>
        <w:rPr>
          <w:lang w:val="ro-RO"/>
        </w:rPr>
      </w:pPr>
    </w:p>
    <w:p w:rsidR="00A202F1" w:rsidRDefault="00A202F1" w:rsidP="00EE6420">
      <w:pPr>
        <w:ind w:firstLine="567"/>
        <w:jc w:val="both"/>
        <w:rPr>
          <w:lang w:val="ro-RO"/>
        </w:rPr>
      </w:pPr>
    </w:p>
    <w:p w:rsidR="00A202F1" w:rsidRDefault="00A202F1" w:rsidP="00EE6420">
      <w:pPr>
        <w:ind w:firstLine="567"/>
        <w:jc w:val="both"/>
        <w:rPr>
          <w:lang w:val="ro-RO"/>
        </w:rPr>
      </w:pPr>
    </w:p>
    <w:p w:rsidR="00A202F1" w:rsidRDefault="00A202F1" w:rsidP="00EE6420">
      <w:pPr>
        <w:ind w:firstLine="567"/>
        <w:jc w:val="both"/>
        <w:rPr>
          <w:lang w:val="ro-RO"/>
        </w:rPr>
      </w:pPr>
    </w:p>
    <w:p w:rsidR="002D73A3" w:rsidRDefault="002D73A3" w:rsidP="00EE6420">
      <w:pPr>
        <w:ind w:firstLine="567"/>
        <w:jc w:val="both"/>
        <w:rPr>
          <w:lang w:val="ro-RO"/>
        </w:rPr>
      </w:pPr>
    </w:p>
    <w:p w:rsidR="005952DB" w:rsidRPr="002152E4" w:rsidRDefault="005952DB" w:rsidP="00EE6420">
      <w:pPr>
        <w:ind w:firstLine="567"/>
        <w:jc w:val="both"/>
        <w:rPr>
          <w:lang w:val="ro-RO"/>
        </w:rPr>
      </w:pPr>
    </w:p>
    <w:p w:rsidR="002D73A3" w:rsidRPr="002152E4" w:rsidRDefault="002D73A3" w:rsidP="00EE6420">
      <w:pPr>
        <w:ind w:firstLine="567"/>
        <w:jc w:val="both"/>
        <w:rPr>
          <w:lang w:val="ro-RO"/>
        </w:rPr>
      </w:pPr>
    </w:p>
    <w:p w:rsidR="002D73A3" w:rsidRPr="002152E4" w:rsidRDefault="002D73A3" w:rsidP="00EE6420">
      <w:pPr>
        <w:ind w:firstLine="567"/>
        <w:jc w:val="both"/>
        <w:rPr>
          <w:lang w:val="ro-RO"/>
        </w:rPr>
      </w:pPr>
    </w:p>
    <w:p w:rsidR="00EE6420" w:rsidRPr="002152E4" w:rsidRDefault="00EE6420" w:rsidP="00CD6117">
      <w:pPr>
        <w:ind w:firstLine="684"/>
        <w:jc w:val="both"/>
        <w:rPr>
          <w:lang w:val="ro-RO" w:eastAsia="ro-RO"/>
        </w:rPr>
      </w:pPr>
    </w:p>
    <w:p w:rsidR="00D17316" w:rsidRPr="002152E4" w:rsidRDefault="00CD6117" w:rsidP="00D17316">
      <w:pPr>
        <w:jc w:val="center"/>
        <w:outlineLvl w:val="0"/>
        <w:rPr>
          <w:b/>
          <w:sz w:val="28"/>
          <w:szCs w:val="28"/>
          <w:lang w:val="ro-RO" w:eastAsia="ro-RO"/>
        </w:rPr>
      </w:pPr>
      <w:bookmarkStart w:id="177" w:name="_Toc486576561"/>
      <w:r w:rsidRPr="002152E4">
        <w:rPr>
          <w:b/>
          <w:sz w:val="28"/>
          <w:szCs w:val="28"/>
          <w:lang w:val="ro-RO" w:eastAsia="ro-RO"/>
        </w:rPr>
        <w:lastRenderedPageBreak/>
        <w:t>V. Date statistice referitoare la resursele umane la nivelul parchetelor</w:t>
      </w:r>
      <w:bookmarkEnd w:id="177"/>
    </w:p>
    <w:p w:rsidR="00DF2D99" w:rsidRPr="002152E4" w:rsidRDefault="00DF2D99" w:rsidP="00D17316">
      <w:pPr>
        <w:jc w:val="center"/>
        <w:outlineLvl w:val="0"/>
        <w:rPr>
          <w:b/>
          <w:sz w:val="28"/>
          <w:szCs w:val="28"/>
          <w:lang w:val="ro-RO" w:eastAsia="ro-RO"/>
        </w:rPr>
      </w:pPr>
    </w:p>
    <w:p w:rsidR="00D17316" w:rsidRPr="002152E4" w:rsidRDefault="00CD6117" w:rsidP="00DF2D99">
      <w:pPr>
        <w:jc w:val="both"/>
        <w:outlineLvl w:val="0"/>
        <w:rPr>
          <w:b/>
          <w:sz w:val="28"/>
          <w:szCs w:val="28"/>
          <w:lang w:val="ro-RO" w:eastAsia="ro-RO"/>
        </w:rPr>
      </w:pPr>
      <w:bookmarkStart w:id="178" w:name="_Toc486576562"/>
      <w:r w:rsidRPr="002152E4">
        <w:rPr>
          <w:b/>
          <w:lang w:val="ro-RO" w:eastAsia="ro-RO"/>
        </w:rPr>
        <w:t>V.1. situaţia posturilor (de procuror, personal asimilat din Ministerul Justiţiei, Consiliul Superior al Magistraturii şi instituţiile subordonate, personal auxiliar)</w:t>
      </w:r>
      <w:bookmarkEnd w:id="178"/>
    </w:p>
    <w:p w:rsidR="00DF2D99" w:rsidRPr="002152E4" w:rsidRDefault="00DF2D99" w:rsidP="00DF2D99">
      <w:pPr>
        <w:jc w:val="both"/>
        <w:outlineLvl w:val="0"/>
        <w:rPr>
          <w:b/>
          <w:sz w:val="28"/>
          <w:szCs w:val="28"/>
          <w:lang w:val="ro-RO" w:eastAsia="ro-RO"/>
        </w:rPr>
      </w:pPr>
    </w:p>
    <w:p w:rsidR="00D17316" w:rsidRPr="002152E4" w:rsidRDefault="00D17316" w:rsidP="00D17316">
      <w:pPr>
        <w:ind w:firstLine="684"/>
        <w:jc w:val="both"/>
        <w:rPr>
          <w:lang w:val="ro-RO" w:eastAsia="ro-RO"/>
        </w:rPr>
      </w:pPr>
      <w:r w:rsidRPr="002152E4">
        <w:rPr>
          <w:lang w:val="ro-RO" w:eastAsia="ro-RO"/>
        </w:rPr>
        <w:t>La data de 01 ianuarie 2016, la nivelul parchetelor, din tota</w:t>
      </w:r>
      <w:r w:rsidR="008C606D" w:rsidRPr="002152E4">
        <w:rPr>
          <w:lang w:val="ro-RO" w:eastAsia="ro-RO"/>
        </w:rPr>
        <w:t>lul de 2953 posturi de procuror</w:t>
      </w:r>
      <w:r w:rsidRPr="002152E4">
        <w:rPr>
          <w:lang w:val="ro-RO" w:eastAsia="ro-RO"/>
        </w:rPr>
        <w:t xml:space="preserve">, la care se adaugă 36 posturi acordate prin hotărâri ale Plenului Consiliului Superior al </w:t>
      </w:r>
      <w:r w:rsidR="008C606D" w:rsidRPr="002152E4">
        <w:rPr>
          <w:lang w:val="ro-RO" w:eastAsia="ro-RO"/>
        </w:rPr>
        <w:t>Magistraturi</w:t>
      </w:r>
      <w:r w:rsidRPr="002152E4">
        <w:rPr>
          <w:lang w:val="ro-RO" w:eastAsia="ro-RO"/>
        </w:rPr>
        <w:t xml:space="preserve"> în conformitate cu dispoziţiile art.134¹ din Legea nr.304/2004, republicată, cu modificările şi completările ulterioare erau ocupate 2622 posturi de procuror (sunt incluse şi 31 de posturi  acordate prin hotărâri ale Plenului </w:t>
      </w:r>
      <w:r w:rsidR="008C606D" w:rsidRPr="002152E4">
        <w:rPr>
          <w:lang w:val="ro-RO" w:eastAsia="ro-RO"/>
        </w:rPr>
        <w:t>Consiliului Superior al Magistraturii</w:t>
      </w:r>
      <w:r w:rsidRPr="002152E4">
        <w:rPr>
          <w:lang w:val="ro-RO" w:eastAsia="ro-RO"/>
        </w:rPr>
        <w:t>, în conformitate cu dispoziţiile art.134¹ din Legea nr.304/2004, republicată, cu modificările şi completările ulterioare -  14 la parchetele de pe lângă curţile de apel, 9 la parchetele de pe lângă tribunale şi 8 la parchetele de pe lângă judecătorii) şi vacante 405 posturi, din care 201 erau corespunzătoare funcţiilor de execuţie, iar 204 funcţiilor de conducere.</w:t>
      </w:r>
    </w:p>
    <w:p w:rsidR="00D17316" w:rsidRPr="002152E4" w:rsidRDefault="00D17316" w:rsidP="00D17316">
      <w:pPr>
        <w:ind w:firstLine="684"/>
        <w:jc w:val="both"/>
        <w:rPr>
          <w:lang w:val="ro-RO" w:eastAsia="ro-RO"/>
        </w:rPr>
      </w:pPr>
      <w:r w:rsidRPr="002152E4">
        <w:rPr>
          <w:lang w:val="ro-RO" w:eastAsia="ro-RO"/>
        </w:rPr>
        <w:tab/>
        <w:t>Menţionăm că, din totalul celor 2622 posturi de procuror ocupate, 38 de procurori funcţionau peste schema prevăzută (1 procuror la PÎCCJ, 8 procurori la PCA, 15 procurori la PT, 14 procurori la PJ). Această situaţie se datorează faptului că, procurorii respectivi fie şi-au încetat mandatele de conducere, fie şi-au încetat activitatea la cele două structuri din cadrul Parchetului de pe lângă Înalta Curte de Casaţie şi Justiţie (DNA, DIICOT) şi potrivit dispoziţiilor legale au revenit pe posturile de execuţie de la unităţile de parchet la care au funcţionat anterior numirii.</w:t>
      </w:r>
      <w:r w:rsidRPr="002152E4">
        <w:rPr>
          <w:lang w:val="ro-RO" w:eastAsia="ro-RO"/>
        </w:rPr>
        <w:tab/>
      </w:r>
    </w:p>
    <w:p w:rsidR="00D17316" w:rsidRPr="002152E4" w:rsidRDefault="00D17316" w:rsidP="00D17316">
      <w:pPr>
        <w:ind w:firstLine="684"/>
        <w:jc w:val="both"/>
        <w:rPr>
          <w:b/>
          <w:lang w:val="ro-RO" w:eastAsia="ro-RO"/>
        </w:rPr>
      </w:pPr>
      <w:r w:rsidRPr="002152E4">
        <w:rPr>
          <w:b/>
          <w:lang w:val="ro-RO" w:eastAsia="ro-RO"/>
        </w:rPr>
        <w:t>Distribuţia posturilor vacante, pe grade de jurisdicţie, la data de 01.01.2016, se prezenta astfel :</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5"/>
        <w:gridCol w:w="896"/>
        <w:gridCol w:w="810"/>
        <w:gridCol w:w="1080"/>
        <w:gridCol w:w="900"/>
        <w:gridCol w:w="810"/>
        <w:gridCol w:w="810"/>
        <w:gridCol w:w="900"/>
        <w:gridCol w:w="1171"/>
      </w:tblGrid>
      <w:tr w:rsidR="00D17316" w:rsidRPr="002152E4" w:rsidTr="007F62EB">
        <w:trPr>
          <w:jc w:val="center"/>
        </w:trPr>
        <w:tc>
          <w:tcPr>
            <w:tcW w:w="1965"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D17316">
            <w:pPr>
              <w:ind w:firstLine="684"/>
              <w:jc w:val="both"/>
              <w:rPr>
                <w:b/>
                <w:sz w:val="20"/>
                <w:szCs w:val="20"/>
                <w:lang w:val="ro-RO" w:eastAsia="ro-RO"/>
              </w:rPr>
            </w:pPr>
            <w:r w:rsidRPr="002152E4">
              <w:rPr>
                <w:b/>
                <w:sz w:val="20"/>
                <w:szCs w:val="20"/>
                <w:lang w:val="ro-RO" w:eastAsia="ro-RO"/>
              </w:rPr>
              <w:t>Categoria</w:t>
            </w:r>
          </w:p>
        </w:tc>
        <w:tc>
          <w:tcPr>
            <w:tcW w:w="3686" w:type="dxa"/>
            <w:gridSpan w:val="4"/>
            <w:tcBorders>
              <w:top w:val="single" w:sz="4" w:space="0" w:color="auto"/>
              <w:left w:val="single" w:sz="4" w:space="0" w:color="auto"/>
              <w:bottom w:val="single" w:sz="4" w:space="0" w:color="auto"/>
              <w:right w:val="single" w:sz="4" w:space="0" w:color="auto"/>
            </w:tcBorders>
            <w:shd w:val="clear" w:color="auto" w:fill="D9D9D9"/>
          </w:tcPr>
          <w:p w:rsidR="00D17316" w:rsidRPr="002152E4" w:rsidRDefault="00D17316" w:rsidP="00D17316">
            <w:pPr>
              <w:ind w:firstLine="684"/>
              <w:jc w:val="both"/>
              <w:rPr>
                <w:sz w:val="20"/>
                <w:szCs w:val="20"/>
                <w:lang w:val="ro-RO" w:eastAsia="ro-RO"/>
              </w:rPr>
            </w:pPr>
            <w:r w:rsidRPr="002152E4">
              <w:rPr>
                <w:b/>
                <w:sz w:val="20"/>
                <w:szCs w:val="20"/>
                <w:lang w:val="ro-RO" w:eastAsia="ro-RO"/>
              </w:rPr>
              <w:t>Posturi de procuror prevăzute în  schemă</w:t>
            </w:r>
          </w:p>
        </w:tc>
        <w:tc>
          <w:tcPr>
            <w:tcW w:w="3691" w:type="dxa"/>
            <w:gridSpan w:val="4"/>
            <w:tcBorders>
              <w:top w:val="single" w:sz="4" w:space="0" w:color="auto"/>
              <w:left w:val="single" w:sz="4" w:space="0" w:color="auto"/>
              <w:bottom w:val="single" w:sz="4" w:space="0" w:color="auto"/>
              <w:right w:val="single" w:sz="4" w:space="0" w:color="auto"/>
            </w:tcBorders>
            <w:shd w:val="clear" w:color="auto" w:fill="D9D9D9"/>
          </w:tcPr>
          <w:p w:rsidR="00D17316" w:rsidRPr="002152E4" w:rsidRDefault="00D17316" w:rsidP="00D17316">
            <w:pPr>
              <w:ind w:firstLine="684"/>
              <w:jc w:val="both"/>
              <w:rPr>
                <w:sz w:val="20"/>
                <w:szCs w:val="20"/>
                <w:lang w:val="ro-RO" w:eastAsia="ro-RO"/>
              </w:rPr>
            </w:pPr>
            <w:r w:rsidRPr="002152E4">
              <w:rPr>
                <w:b/>
                <w:sz w:val="20"/>
                <w:szCs w:val="20"/>
                <w:lang w:val="ro-RO" w:eastAsia="ro-RO"/>
              </w:rPr>
              <w:t>Posturi de procuror vacante</w:t>
            </w:r>
          </w:p>
        </w:tc>
      </w:tr>
      <w:tr w:rsidR="007F62EB" w:rsidRPr="002152E4" w:rsidTr="007F62EB">
        <w:trPr>
          <w:jc w:val="center"/>
        </w:trPr>
        <w:tc>
          <w:tcPr>
            <w:tcW w:w="1965" w:type="dxa"/>
            <w:vMerge/>
            <w:tcBorders>
              <w:top w:val="single" w:sz="4" w:space="0" w:color="auto"/>
              <w:left w:val="single" w:sz="4" w:space="0" w:color="auto"/>
              <w:bottom w:val="single" w:sz="4" w:space="0" w:color="auto"/>
              <w:right w:val="single" w:sz="4" w:space="0" w:color="auto"/>
            </w:tcBorders>
            <w:vAlign w:val="center"/>
          </w:tcPr>
          <w:p w:rsidR="00D17316" w:rsidRPr="002152E4" w:rsidRDefault="00D17316" w:rsidP="00D17316">
            <w:pPr>
              <w:ind w:firstLine="684"/>
              <w:jc w:val="both"/>
              <w:rPr>
                <w:b/>
                <w:sz w:val="20"/>
                <w:szCs w:val="20"/>
                <w:lang w:val="ro-RO" w:eastAsia="ro-RO"/>
              </w:rPr>
            </w:pPr>
          </w:p>
        </w:tc>
        <w:tc>
          <w:tcPr>
            <w:tcW w:w="896"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7F62EB">
            <w:pPr>
              <w:jc w:val="both"/>
              <w:rPr>
                <w:b/>
                <w:sz w:val="20"/>
                <w:szCs w:val="20"/>
                <w:lang w:val="ro-RO" w:eastAsia="ro-RO"/>
              </w:rPr>
            </w:pPr>
            <w:r w:rsidRPr="002152E4">
              <w:rPr>
                <w:b/>
                <w:sz w:val="20"/>
                <w:szCs w:val="20"/>
                <w:lang w:val="ro-RO" w:eastAsia="ro-RO"/>
              </w:rPr>
              <w:t>Total</w:t>
            </w: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Exec.</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D17316" w:rsidRPr="002152E4" w:rsidRDefault="00D17316" w:rsidP="007F62EB">
            <w:pPr>
              <w:jc w:val="both"/>
              <w:rPr>
                <w:sz w:val="20"/>
                <w:szCs w:val="20"/>
                <w:lang w:val="ro-RO" w:eastAsia="ro-RO"/>
              </w:rPr>
            </w:pPr>
            <w:r w:rsidRPr="002152E4">
              <w:rPr>
                <w:sz w:val="20"/>
                <w:szCs w:val="20"/>
                <w:lang w:val="ro-RO" w:eastAsia="ro-RO"/>
              </w:rPr>
              <w:t>art. 134¹</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Cond.</w:t>
            </w: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7F62EB">
            <w:pPr>
              <w:ind w:firstLine="72"/>
              <w:jc w:val="both"/>
              <w:rPr>
                <w:b/>
                <w:sz w:val="20"/>
                <w:szCs w:val="20"/>
                <w:lang w:val="ro-RO" w:eastAsia="ro-RO"/>
              </w:rPr>
            </w:pPr>
            <w:r w:rsidRPr="002152E4">
              <w:rPr>
                <w:b/>
                <w:sz w:val="20"/>
                <w:szCs w:val="20"/>
                <w:lang w:val="ro-RO" w:eastAsia="ro-RO"/>
              </w:rPr>
              <w:t>Total</w:t>
            </w:r>
          </w:p>
        </w:tc>
        <w:tc>
          <w:tcPr>
            <w:tcW w:w="810"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7F62EB">
            <w:pPr>
              <w:ind w:firstLine="12"/>
              <w:jc w:val="both"/>
              <w:rPr>
                <w:sz w:val="20"/>
                <w:szCs w:val="20"/>
                <w:lang w:val="ro-RO" w:eastAsia="ro-RO"/>
              </w:rPr>
            </w:pPr>
            <w:r w:rsidRPr="002152E4">
              <w:rPr>
                <w:sz w:val="20"/>
                <w:szCs w:val="20"/>
                <w:lang w:val="ro-RO" w:eastAsia="ro-RO"/>
              </w:rPr>
              <w:t>Exec.</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D17316" w:rsidRPr="002152E4" w:rsidRDefault="00D17316" w:rsidP="007F62EB">
            <w:pPr>
              <w:jc w:val="both"/>
              <w:rPr>
                <w:sz w:val="20"/>
                <w:szCs w:val="20"/>
                <w:lang w:val="ro-RO" w:eastAsia="ro-RO"/>
              </w:rPr>
            </w:pPr>
            <w:r w:rsidRPr="002152E4">
              <w:rPr>
                <w:sz w:val="20"/>
                <w:szCs w:val="20"/>
                <w:lang w:val="ro-RO" w:eastAsia="ro-RO"/>
              </w:rPr>
              <w:t>art. 134¹</w:t>
            </w:r>
          </w:p>
        </w:tc>
        <w:tc>
          <w:tcPr>
            <w:tcW w:w="1171"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Cond.</w:t>
            </w:r>
          </w:p>
        </w:tc>
      </w:tr>
      <w:tr w:rsidR="007F62EB" w:rsidRPr="002152E4" w:rsidTr="007F62EB">
        <w:trPr>
          <w:trHeight w:val="847"/>
          <w:jc w:val="center"/>
        </w:trPr>
        <w:tc>
          <w:tcPr>
            <w:tcW w:w="1965"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37"/>
              <w:jc w:val="both"/>
              <w:rPr>
                <w:sz w:val="20"/>
                <w:szCs w:val="20"/>
                <w:lang w:val="ro-RO" w:eastAsia="ro-RO"/>
              </w:rPr>
            </w:pPr>
            <w:r w:rsidRPr="002152E4">
              <w:rPr>
                <w:sz w:val="20"/>
                <w:szCs w:val="20"/>
                <w:lang w:val="ro-RO" w:eastAsia="ro-RO"/>
              </w:rPr>
              <w:t>PÎCCJ (</w:t>
            </w:r>
            <w:r w:rsidRPr="002152E4">
              <w:rPr>
                <w:i/>
                <w:sz w:val="20"/>
                <w:szCs w:val="20"/>
                <w:lang w:val="ro-RO" w:eastAsia="ro-RO"/>
              </w:rPr>
              <w:t>inclusiv DNA, DIICOT şi Secţia parchetelor militare</w:t>
            </w:r>
            <w:r w:rsidRPr="002152E4">
              <w:rPr>
                <w:sz w:val="20"/>
                <w:szCs w:val="20"/>
                <w:lang w:val="ro-RO" w:eastAsia="ro-RO"/>
              </w:rPr>
              <w:t>)</w:t>
            </w:r>
          </w:p>
        </w:tc>
        <w:tc>
          <w:tcPr>
            <w:tcW w:w="896"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rPr>
                <w:sz w:val="20"/>
                <w:szCs w:val="20"/>
                <w:lang w:val="ro-RO" w:eastAsia="ro-RO"/>
              </w:rPr>
            </w:pPr>
            <w:r w:rsidRPr="002152E4">
              <w:rPr>
                <w:sz w:val="20"/>
                <w:szCs w:val="20"/>
                <w:lang w:val="ro-RO" w:eastAsia="ro-RO"/>
              </w:rPr>
              <w:t>631</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hanging="108"/>
              <w:jc w:val="both"/>
              <w:rPr>
                <w:sz w:val="20"/>
                <w:szCs w:val="20"/>
                <w:lang w:val="ro-RO" w:eastAsia="ro-RO"/>
              </w:rPr>
            </w:pPr>
            <w:r w:rsidRPr="002152E4">
              <w:rPr>
                <w:sz w:val="20"/>
                <w:szCs w:val="20"/>
                <w:lang w:val="ro-RO" w:eastAsia="ro-RO"/>
              </w:rPr>
              <w:t>490</w:t>
            </w:r>
          </w:p>
        </w:tc>
        <w:tc>
          <w:tcPr>
            <w:tcW w:w="108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jc w:val="both"/>
              <w:rPr>
                <w:sz w:val="20"/>
                <w:szCs w:val="20"/>
                <w:lang w:val="ro-RO" w:eastAsia="ro-RO"/>
              </w:rPr>
            </w:pPr>
            <w:r w:rsidRPr="002152E4">
              <w:rPr>
                <w:sz w:val="20"/>
                <w:szCs w:val="20"/>
                <w:lang w:val="ro-RO" w:eastAsia="ro-RO"/>
              </w:rPr>
              <w:t>0</w:t>
            </w:r>
          </w:p>
        </w:tc>
        <w:tc>
          <w:tcPr>
            <w:tcW w:w="90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141</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firstLine="72"/>
              <w:jc w:val="both"/>
              <w:rPr>
                <w:sz w:val="20"/>
                <w:szCs w:val="20"/>
                <w:lang w:val="ro-RO" w:eastAsia="ro-RO"/>
              </w:rPr>
            </w:pPr>
            <w:r w:rsidRPr="002152E4">
              <w:rPr>
                <w:sz w:val="20"/>
                <w:szCs w:val="20"/>
                <w:lang w:val="ro-RO" w:eastAsia="ro-RO"/>
              </w:rPr>
              <w:t>77</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firstLine="12"/>
              <w:jc w:val="both"/>
              <w:rPr>
                <w:sz w:val="20"/>
                <w:szCs w:val="20"/>
                <w:lang w:val="ro-RO" w:eastAsia="ro-RO"/>
              </w:rPr>
            </w:pPr>
            <w:r w:rsidRPr="002152E4">
              <w:rPr>
                <w:sz w:val="20"/>
                <w:szCs w:val="20"/>
                <w:lang w:val="ro-RO" w:eastAsia="ro-RO"/>
              </w:rPr>
              <w:t>32</w:t>
            </w:r>
          </w:p>
        </w:tc>
        <w:tc>
          <w:tcPr>
            <w:tcW w:w="90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jc w:val="both"/>
              <w:rPr>
                <w:sz w:val="20"/>
                <w:szCs w:val="20"/>
                <w:lang w:val="ro-RO" w:eastAsia="ro-RO"/>
              </w:rPr>
            </w:pPr>
            <w:r w:rsidRPr="002152E4">
              <w:rPr>
                <w:sz w:val="20"/>
                <w:szCs w:val="20"/>
                <w:lang w:val="ro-RO" w:eastAsia="ro-RO"/>
              </w:rPr>
              <w:t>0</w:t>
            </w:r>
          </w:p>
        </w:tc>
        <w:tc>
          <w:tcPr>
            <w:tcW w:w="117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45</w:t>
            </w:r>
          </w:p>
        </w:tc>
      </w:tr>
      <w:tr w:rsidR="007F62EB" w:rsidRPr="002152E4" w:rsidTr="007F62EB">
        <w:trPr>
          <w:trHeight w:val="762"/>
          <w:jc w:val="center"/>
        </w:trPr>
        <w:tc>
          <w:tcPr>
            <w:tcW w:w="1965"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37"/>
              <w:jc w:val="both"/>
              <w:rPr>
                <w:sz w:val="20"/>
                <w:szCs w:val="20"/>
                <w:lang w:val="ro-RO" w:eastAsia="ro-RO"/>
              </w:rPr>
            </w:pPr>
            <w:r w:rsidRPr="002152E4">
              <w:rPr>
                <w:sz w:val="20"/>
                <w:szCs w:val="20"/>
                <w:lang w:val="ro-RO" w:eastAsia="ro-RO"/>
              </w:rPr>
              <w:t>Parchetele de pe lângă curţile de apel (</w:t>
            </w:r>
            <w:r w:rsidRPr="002152E4">
              <w:rPr>
                <w:i/>
                <w:sz w:val="20"/>
                <w:szCs w:val="20"/>
                <w:lang w:val="ro-RO" w:eastAsia="ro-RO"/>
              </w:rPr>
              <w:t>inclusiv PCMA)</w:t>
            </w:r>
          </w:p>
        </w:tc>
        <w:tc>
          <w:tcPr>
            <w:tcW w:w="896"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rPr>
                <w:sz w:val="20"/>
                <w:szCs w:val="20"/>
                <w:lang w:val="ro-RO" w:eastAsia="ro-RO"/>
              </w:rPr>
            </w:pPr>
            <w:r w:rsidRPr="002152E4">
              <w:rPr>
                <w:sz w:val="20"/>
                <w:szCs w:val="20"/>
                <w:lang w:val="ro-RO" w:eastAsia="ro-RO"/>
              </w:rPr>
              <w:t>280</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hanging="108"/>
              <w:jc w:val="both"/>
              <w:rPr>
                <w:sz w:val="20"/>
                <w:szCs w:val="20"/>
                <w:lang w:val="ro-RO" w:eastAsia="ro-RO"/>
              </w:rPr>
            </w:pPr>
            <w:r w:rsidRPr="002152E4">
              <w:rPr>
                <w:sz w:val="20"/>
                <w:szCs w:val="20"/>
                <w:lang w:val="ro-RO" w:eastAsia="ro-RO"/>
              </w:rPr>
              <w:t>189</w:t>
            </w:r>
          </w:p>
        </w:tc>
        <w:tc>
          <w:tcPr>
            <w:tcW w:w="108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jc w:val="both"/>
              <w:rPr>
                <w:sz w:val="20"/>
                <w:szCs w:val="20"/>
                <w:lang w:val="ro-RO" w:eastAsia="ro-RO"/>
              </w:rPr>
            </w:pPr>
            <w:r w:rsidRPr="002152E4">
              <w:rPr>
                <w:sz w:val="20"/>
                <w:szCs w:val="20"/>
                <w:lang w:val="ro-RO" w:eastAsia="ro-RO"/>
              </w:rPr>
              <w:t>16</w:t>
            </w:r>
          </w:p>
        </w:tc>
        <w:tc>
          <w:tcPr>
            <w:tcW w:w="90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75</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firstLine="72"/>
              <w:jc w:val="both"/>
              <w:rPr>
                <w:sz w:val="20"/>
                <w:szCs w:val="20"/>
                <w:lang w:val="ro-RO" w:eastAsia="ro-RO"/>
              </w:rPr>
            </w:pPr>
            <w:r w:rsidRPr="002152E4">
              <w:rPr>
                <w:sz w:val="20"/>
                <w:szCs w:val="20"/>
                <w:lang w:val="ro-RO" w:eastAsia="ro-RO"/>
              </w:rPr>
              <w:t>28</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firstLine="12"/>
              <w:jc w:val="both"/>
              <w:rPr>
                <w:sz w:val="20"/>
                <w:szCs w:val="20"/>
                <w:lang w:val="ro-RO" w:eastAsia="ro-RO"/>
              </w:rPr>
            </w:pPr>
            <w:r w:rsidRPr="002152E4">
              <w:rPr>
                <w:sz w:val="20"/>
                <w:szCs w:val="20"/>
                <w:lang w:val="ro-RO" w:eastAsia="ro-RO"/>
              </w:rPr>
              <w:t>7</w:t>
            </w:r>
          </w:p>
        </w:tc>
        <w:tc>
          <w:tcPr>
            <w:tcW w:w="90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jc w:val="both"/>
              <w:rPr>
                <w:sz w:val="20"/>
                <w:szCs w:val="20"/>
                <w:lang w:val="ro-RO" w:eastAsia="ro-RO"/>
              </w:rPr>
            </w:pPr>
            <w:r w:rsidRPr="002152E4">
              <w:rPr>
                <w:sz w:val="20"/>
                <w:szCs w:val="20"/>
                <w:lang w:val="ro-RO" w:eastAsia="ro-RO"/>
              </w:rPr>
              <w:t>2</w:t>
            </w:r>
          </w:p>
        </w:tc>
        <w:tc>
          <w:tcPr>
            <w:tcW w:w="117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19</w:t>
            </w:r>
          </w:p>
        </w:tc>
      </w:tr>
      <w:tr w:rsidR="007F62EB" w:rsidRPr="002152E4" w:rsidTr="007F62EB">
        <w:trPr>
          <w:jc w:val="center"/>
        </w:trPr>
        <w:tc>
          <w:tcPr>
            <w:tcW w:w="1965"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37"/>
              <w:jc w:val="both"/>
              <w:rPr>
                <w:sz w:val="20"/>
                <w:szCs w:val="20"/>
                <w:lang w:val="ro-RO" w:eastAsia="ro-RO"/>
              </w:rPr>
            </w:pPr>
            <w:r w:rsidRPr="002152E4">
              <w:rPr>
                <w:sz w:val="20"/>
                <w:szCs w:val="20"/>
                <w:lang w:val="ro-RO" w:eastAsia="ro-RO"/>
              </w:rPr>
              <w:t>Parchetele de pe lângă  tribunale (</w:t>
            </w:r>
            <w:r w:rsidRPr="002152E4">
              <w:rPr>
                <w:i/>
                <w:sz w:val="20"/>
                <w:szCs w:val="20"/>
                <w:lang w:val="ro-RO" w:eastAsia="ro-RO"/>
              </w:rPr>
              <w:t>inclusiv PTMTB şi PTMF)</w:t>
            </w:r>
          </w:p>
        </w:tc>
        <w:tc>
          <w:tcPr>
            <w:tcW w:w="896"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rPr>
                <w:sz w:val="20"/>
                <w:szCs w:val="20"/>
                <w:lang w:val="ro-RO" w:eastAsia="ro-RO"/>
              </w:rPr>
            </w:pPr>
            <w:r w:rsidRPr="002152E4">
              <w:rPr>
                <w:sz w:val="20"/>
                <w:szCs w:val="20"/>
                <w:lang w:val="ro-RO" w:eastAsia="ro-RO"/>
              </w:rPr>
              <w:t>723</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hanging="108"/>
              <w:jc w:val="both"/>
              <w:rPr>
                <w:sz w:val="20"/>
                <w:szCs w:val="20"/>
                <w:lang w:val="ro-RO" w:eastAsia="ro-RO"/>
              </w:rPr>
            </w:pPr>
            <w:r w:rsidRPr="002152E4">
              <w:rPr>
                <w:sz w:val="20"/>
                <w:szCs w:val="20"/>
                <w:lang w:val="ro-RO" w:eastAsia="ro-RO"/>
              </w:rPr>
              <w:t>522</w:t>
            </w:r>
          </w:p>
        </w:tc>
        <w:tc>
          <w:tcPr>
            <w:tcW w:w="108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jc w:val="both"/>
              <w:rPr>
                <w:sz w:val="20"/>
                <w:szCs w:val="20"/>
                <w:lang w:val="ro-RO" w:eastAsia="ro-RO"/>
              </w:rPr>
            </w:pPr>
            <w:r w:rsidRPr="002152E4">
              <w:rPr>
                <w:sz w:val="20"/>
                <w:szCs w:val="20"/>
                <w:lang w:val="ro-RO" w:eastAsia="ro-RO"/>
              </w:rPr>
              <w:t>9</w:t>
            </w:r>
          </w:p>
        </w:tc>
        <w:tc>
          <w:tcPr>
            <w:tcW w:w="90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192</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firstLine="72"/>
              <w:jc w:val="both"/>
              <w:rPr>
                <w:sz w:val="20"/>
                <w:szCs w:val="20"/>
                <w:lang w:val="ro-RO" w:eastAsia="ro-RO"/>
              </w:rPr>
            </w:pPr>
            <w:r w:rsidRPr="002152E4">
              <w:rPr>
                <w:sz w:val="20"/>
                <w:szCs w:val="20"/>
                <w:lang w:val="ro-RO" w:eastAsia="ro-RO"/>
              </w:rPr>
              <w:t>115</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firstLine="12"/>
              <w:jc w:val="both"/>
              <w:rPr>
                <w:sz w:val="20"/>
                <w:szCs w:val="20"/>
                <w:lang w:val="ro-RO" w:eastAsia="ro-RO"/>
              </w:rPr>
            </w:pPr>
            <w:r w:rsidRPr="002152E4">
              <w:rPr>
                <w:sz w:val="20"/>
                <w:szCs w:val="20"/>
                <w:lang w:val="ro-RO" w:eastAsia="ro-RO"/>
              </w:rPr>
              <w:t>55</w:t>
            </w:r>
          </w:p>
        </w:tc>
        <w:tc>
          <w:tcPr>
            <w:tcW w:w="90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jc w:val="both"/>
              <w:rPr>
                <w:sz w:val="20"/>
                <w:szCs w:val="20"/>
                <w:lang w:val="ro-RO" w:eastAsia="ro-RO"/>
              </w:rPr>
            </w:pPr>
            <w:r w:rsidRPr="002152E4">
              <w:rPr>
                <w:sz w:val="20"/>
                <w:szCs w:val="20"/>
                <w:lang w:val="ro-RO" w:eastAsia="ro-RO"/>
              </w:rPr>
              <w:t>0</w:t>
            </w:r>
          </w:p>
        </w:tc>
        <w:tc>
          <w:tcPr>
            <w:tcW w:w="117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60</w:t>
            </w:r>
          </w:p>
        </w:tc>
      </w:tr>
      <w:tr w:rsidR="007F62EB" w:rsidRPr="002152E4" w:rsidTr="007F62EB">
        <w:trPr>
          <w:jc w:val="center"/>
        </w:trPr>
        <w:tc>
          <w:tcPr>
            <w:tcW w:w="1965"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37"/>
              <w:jc w:val="both"/>
              <w:rPr>
                <w:sz w:val="20"/>
                <w:szCs w:val="20"/>
                <w:lang w:val="ro-RO" w:eastAsia="ro-RO"/>
              </w:rPr>
            </w:pPr>
            <w:r w:rsidRPr="002152E4">
              <w:rPr>
                <w:sz w:val="20"/>
                <w:szCs w:val="20"/>
                <w:lang w:val="ro-RO" w:eastAsia="ro-RO"/>
              </w:rPr>
              <w:t>Parchetele de pe lângă judecătorii</w:t>
            </w:r>
          </w:p>
        </w:tc>
        <w:tc>
          <w:tcPr>
            <w:tcW w:w="896"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rPr>
                <w:sz w:val="20"/>
                <w:szCs w:val="20"/>
                <w:lang w:val="ro-RO" w:eastAsia="ro-RO"/>
              </w:rPr>
            </w:pPr>
            <w:r w:rsidRPr="002152E4">
              <w:rPr>
                <w:sz w:val="20"/>
                <w:szCs w:val="20"/>
                <w:lang w:val="ro-RO" w:eastAsia="ro-RO"/>
              </w:rPr>
              <w:t>1355</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hanging="108"/>
              <w:jc w:val="both"/>
              <w:rPr>
                <w:sz w:val="20"/>
                <w:szCs w:val="20"/>
                <w:lang w:val="ro-RO" w:eastAsia="ro-RO"/>
              </w:rPr>
            </w:pPr>
            <w:r w:rsidRPr="002152E4">
              <w:rPr>
                <w:sz w:val="20"/>
                <w:szCs w:val="20"/>
                <w:lang w:val="ro-RO" w:eastAsia="ro-RO"/>
              </w:rPr>
              <w:t>1121</w:t>
            </w:r>
          </w:p>
        </w:tc>
        <w:tc>
          <w:tcPr>
            <w:tcW w:w="108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jc w:val="both"/>
              <w:rPr>
                <w:sz w:val="20"/>
                <w:szCs w:val="20"/>
                <w:lang w:val="ro-RO" w:eastAsia="ro-RO"/>
              </w:rPr>
            </w:pPr>
            <w:r w:rsidRPr="002152E4">
              <w:rPr>
                <w:sz w:val="20"/>
                <w:szCs w:val="20"/>
                <w:lang w:val="ro-RO" w:eastAsia="ro-RO"/>
              </w:rPr>
              <w:t>11</w:t>
            </w:r>
          </w:p>
        </w:tc>
        <w:tc>
          <w:tcPr>
            <w:tcW w:w="90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223</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firstLine="72"/>
              <w:jc w:val="both"/>
              <w:rPr>
                <w:sz w:val="20"/>
                <w:szCs w:val="20"/>
                <w:lang w:val="ro-RO" w:eastAsia="ro-RO"/>
              </w:rPr>
            </w:pPr>
            <w:r w:rsidRPr="002152E4">
              <w:rPr>
                <w:sz w:val="20"/>
                <w:szCs w:val="20"/>
                <w:lang w:val="ro-RO" w:eastAsia="ro-RO"/>
              </w:rPr>
              <w:t>185</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firstLine="12"/>
              <w:jc w:val="both"/>
              <w:rPr>
                <w:sz w:val="20"/>
                <w:szCs w:val="20"/>
                <w:lang w:val="ro-RO" w:eastAsia="ro-RO"/>
              </w:rPr>
            </w:pPr>
            <w:r w:rsidRPr="002152E4">
              <w:rPr>
                <w:sz w:val="20"/>
                <w:szCs w:val="20"/>
                <w:lang w:val="ro-RO" w:eastAsia="ro-RO"/>
              </w:rPr>
              <w:t>102</w:t>
            </w:r>
          </w:p>
        </w:tc>
        <w:tc>
          <w:tcPr>
            <w:tcW w:w="90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jc w:val="both"/>
              <w:rPr>
                <w:sz w:val="20"/>
                <w:szCs w:val="20"/>
                <w:lang w:val="ro-RO" w:eastAsia="ro-RO"/>
              </w:rPr>
            </w:pPr>
            <w:r w:rsidRPr="002152E4">
              <w:rPr>
                <w:sz w:val="20"/>
                <w:szCs w:val="20"/>
                <w:lang w:val="ro-RO" w:eastAsia="ro-RO"/>
              </w:rPr>
              <w:t>3</w:t>
            </w:r>
          </w:p>
        </w:tc>
        <w:tc>
          <w:tcPr>
            <w:tcW w:w="117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80</w:t>
            </w:r>
          </w:p>
        </w:tc>
      </w:tr>
      <w:tr w:rsidR="007F62EB" w:rsidRPr="002152E4" w:rsidTr="007F62EB">
        <w:trPr>
          <w:jc w:val="center"/>
        </w:trPr>
        <w:tc>
          <w:tcPr>
            <w:tcW w:w="1965"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D17316">
            <w:pPr>
              <w:ind w:firstLine="684"/>
              <w:jc w:val="both"/>
              <w:rPr>
                <w:b/>
                <w:sz w:val="20"/>
                <w:szCs w:val="20"/>
                <w:lang w:val="ro-RO" w:eastAsia="ro-RO"/>
              </w:rPr>
            </w:pPr>
            <w:r w:rsidRPr="002152E4">
              <w:rPr>
                <w:b/>
                <w:sz w:val="20"/>
                <w:szCs w:val="20"/>
                <w:lang w:val="ro-RO" w:eastAsia="ro-RO"/>
              </w:rPr>
              <w:t xml:space="preserve">          Total </w:t>
            </w:r>
          </w:p>
        </w:tc>
        <w:tc>
          <w:tcPr>
            <w:tcW w:w="896"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rPr>
                <w:b/>
                <w:sz w:val="20"/>
                <w:szCs w:val="20"/>
                <w:lang w:val="ro-RO" w:eastAsia="ro-RO"/>
              </w:rPr>
            </w:pPr>
            <w:r w:rsidRPr="002152E4">
              <w:rPr>
                <w:b/>
                <w:sz w:val="20"/>
                <w:szCs w:val="20"/>
                <w:lang w:val="ro-RO" w:eastAsia="ro-RO"/>
              </w:rPr>
              <w:t>2989</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hanging="108"/>
              <w:jc w:val="both"/>
              <w:rPr>
                <w:sz w:val="20"/>
                <w:szCs w:val="20"/>
                <w:lang w:val="ro-RO" w:eastAsia="ro-RO"/>
              </w:rPr>
            </w:pPr>
            <w:r w:rsidRPr="002152E4">
              <w:rPr>
                <w:sz w:val="20"/>
                <w:szCs w:val="20"/>
                <w:lang w:val="ro-RO" w:eastAsia="ro-RO"/>
              </w:rPr>
              <w:t>2322</w:t>
            </w:r>
          </w:p>
        </w:tc>
        <w:tc>
          <w:tcPr>
            <w:tcW w:w="108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jc w:val="both"/>
              <w:rPr>
                <w:sz w:val="20"/>
                <w:szCs w:val="20"/>
                <w:lang w:val="ro-RO" w:eastAsia="ro-RO"/>
              </w:rPr>
            </w:pPr>
            <w:r w:rsidRPr="002152E4">
              <w:rPr>
                <w:sz w:val="20"/>
                <w:szCs w:val="20"/>
                <w:lang w:val="ro-RO" w:eastAsia="ro-RO"/>
              </w:rPr>
              <w:t>36</w:t>
            </w:r>
          </w:p>
        </w:tc>
        <w:tc>
          <w:tcPr>
            <w:tcW w:w="90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631</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firstLine="72"/>
              <w:jc w:val="both"/>
              <w:rPr>
                <w:b/>
                <w:sz w:val="20"/>
                <w:szCs w:val="20"/>
                <w:lang w:val="ro-RO" w:eastAsia="ro-RO"/>
              </w:rPr>
            </w:pPr>
            <w:r w:rsidRPr="002152E4">
              <w:rPr>
                <w:b/>
                <w:sz w:val="20"/>
                <w:szCs w:val="20"/>
                <w:lang w:val="ro-RO" w:eastAsia="ro-RO"/>
              </w:rPr>
              <w:t>405</w:t>
            </w:r>
          </w:p>
        </w:tc>
        <w:tc>
          <w:tcPr>
            <w:tcW w:w="81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firstLine="12"/>
              <w:jc w:val="both"/>
              <w:rPr>
                <w:sz w:val="20"/>
                <w:szCs w:val="20"/>
                <w:lang w:val="ro-RO" w:eastAsia="ro-RO"/>
              </w:rPr>
            </w:pPr>
            <w:r w:rsidRPr="002152E4">
              <w:rPr>
                <w:sz w:val="20"/>
                <w:szCs w:val="20"/>
                <w:lang w:val="ro-RO" w:eastAsia="ro-RO"/>
              </w:rPr>
              <w:t>196</w:t>
            </w:r>
          </w:p>
        </w:tc>
        <w:tc>
          <w:tcPr>
            <w:tcW w:w="90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jc w:val="both"/>
              <w:rPr>
                <w:sz w:val="20"/>
                <w:szCs w:val="20"/>
                <w:lang w:val="ro-RO" w:eastAsia="ro-RO"/>
              </w:rPr>
            </w:pPr>
            <w:r w:rsidRPr="002152E4">
              <w:rPr>
                <w:sz w:val="20"/>
                <w:szCs w:val="20"/>
                <w:lang w:val="ro-RO" w:eastAsia="ro-RO"/>
              </w:rPr>
              <w:t>5</w:t>
            </w:r>
          </w:p>
        </w:tc>
        <w:tc>
          <w:tcPr>
            <w:tcW w:w="117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7F62EB">
            <w:pPr>
              <w:ind w:hanging="18"/>
              <w:jc w:val="both"/>
              <w:rPr>
                <w:sz w:val="20"/>
                <w:szCs w:val="20"/>
                <w:lang w:val="ro-RO" w:eastAsia="ro-RO"/>
              </w:rPr>
            </w:pPr>
            <w:r w:rsidRPr="002152E4">
              <w:rPr>
                <w:sz w:val="20"/>
                <w:szCs w:val="20"/>
                <w:lang w:val="ro-RO" w:eastAsia="ro-RO"/>
              </w:rPr>
              <w:t>204</w:t>
            </w:r>
          </w:p>
        </w:tc>
      </w:tr>
    </w:tbl>
    <w:p w:rsidR="00D17316" w:rsidRPr="002152E4" w:rsidRDefault="00D17316" w:rsidP="00D17316">
      <w:pPr>
        <w:ind w:firstLine="684"/>
        <w:jc w:val="both"/>
        <w:rPr>
          <w:lang w:val="ro-RO" w:eastAsia="ro-RO"/>
        </w:rPr>
      </w:pPr>
    </w:p>
    <w:p w:rsidR="00D17316" w:rsidRPr="002152E4" w:rsidRDefault="00D17316" w:rsidP="00D17316">
      <w:pPr>
        <w:ind w:firstLine="684"/>
        <w:jc w:val="both"/>
        <w:rPr>
          <w:lang w:val="ro-RO" w:eastAsia="ro-RO"/>
        </w:rPr>
      </w:pPr>
    </w:p>
    <w:p w:rsidR="00D17316" w:rsidRPr="002152E4" w:rsidRDefault="007041EF" w:rsidP="00D17316">
      <w:pPr>
        <w:ind w:firstLine="684"/>
        <w:jc w:val="both"/>
        <w:rPr>
          <w:lang w:val="ro-RO" w:eastAsia="ro-RO"/>
        </w:rPr>
      </w:pPr>
      <w:r w:rsidRPr="002152E4">
        <w:rPr>
          <w:noProof/>
        </w:rPr>
        <w:lastRenderedPageBreak/>
        <w:drawing>
          <wp:inline distT="0" distB="0" distL="0" distR="0">
            <wp:extent cx="5501640" cy="3246120"/>
            <wp:effectExtent l="0" t="0" r="0" b="0"/>
            <wp:docPr id="6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D17316" w:rsidRPr="002152E4" w:rsidRDefault="00D17316" w:rsidP="00D17316">
      <w:pPr>
        <w:ind w:firstLine="684"/>
        <w:jc w:val="both"/>
        <w:rPr>
          <w:lang w:val="ro-RO" w:eastAsia="ro-RO"/>
        </w:rPr>
      </w:pPr>
    </w:p>
    <w:p w:rsidR="00D17316" w:rsidRPr="002152E4" w:rsidRDefault="00D17316" w:rsidP="00D17316">
      <w:pPr>
        <w:ind w:firstLine="684"/>
        <w:jc w:val="both"/>
        <w:rPr>
          <w:lang w:val="ro-RO" w:eastAsia="ro-RO"/>
        </w:rPr>
      </w:pPr>
    </w:p>
    <w:p w:rsidR="00D17316" w:rsidRPr="002152E4" w:rsidRDefault="00D17316" w:rsidP="00C72B60">
      <w:pPr>
        <w:numPr>
          <w:ilvl w:val="2"/>
          <w:numId w:val="17"/>
        </w:numPr>
        <w:jc w:val="both"/>
        <w:rPr>
          <w:b/>
          <w:i/>
          <w:lang w:val="ro-RO" w:eastAsia="ro-RO"/>
        </w:rPr>
      </w:pPr>
      <w:r w:rsidRPr="002152E4">
        <w:rPr>
          <w:b/>
          <w:i/>
          <w:lang w:val="ro-RO" w:eastAsia="ro-RO"/>
        </w:rPr>
        <w:t>Ocuparea posturilor de execuţie vacante de procuror</w:t>
      </w:r>
    </w:p>
    <w:p w:rsidR="00D17316" w:rsidRPr="002152E4" w:rsidRDefault="00D17316" w:rsidP="00D17316">
      <w:pPr>
        <w:ind w:firstLine="684"/>
        <w:jc w:val="both"/>
        <w:rPr>
          <w:lang w:val="ro-RO" w:eastAsia="ro-RO"/>
        </w:rPr>
      </w:pPr>
      <w:r w:rsidRPr="002152E4">
        <w:rPr>
          <w:lang w:val="ro-RO" w:eastAsia="ro-RO"/>
        </w:rPr>
        <w:t>În cursul anului 2016, ocuparea posturilor de execuţie vacante s-a realizat prin următoarele modalităţi:</w:t>
      </w:r>
    </w:p>
    <w:p w:rsidR="00D17316" w:rsidRPr="002152E4" w:rsidRDefault="00D17316" w:rsidP="00C72B60">
      <w:pPr>
        <w:numPr>
          <w:ilvl w:val="0"/>
          <w:numId w:val="11"/>
        </w:numPr>
        <w:tabs>
          <w:tab w:val="clear" w:pos="720"/>
          <w:tab w:val="num" w:pos="0"/>
          <w:tab w:val="num" w:pos="644"/>
        </w:tabs>
        <w:jc w:val="both"/>
        <w:rPr>
          <w:b/>
          <w:i/>
          <w:lang w:val="ro-RO" w:eastAsia="ro-RO"/>
        </w:rPr>
      </w:pPr>
      <w:r w:rsidRPr="002152E4">
        <w:rPr>
          <w:b/>
          <w:i/>
          <w:lang w:val="ro-RO" w:eastAsia="ro-RO"/>
        </w:rPr>
        <w:t xml:space="preserve">Repartizarea absolvenţilor Institutului Naţional al Magistraturii, promoţia 2016 </w:t>
      </w:r>
    </w:p>
    <w:p w:rsidR="00D17316" w:rsidRPr="002152E4" w:rsidRDefault="00D17316" w:rsidP="00D17316">
      <w:pPr>
        <w:ind w:firstLine="684"/>
        <w:jc w:val="both"/>
        <w:rPr>
          <w:lang w:val="ro-RO" w:eastAsia="ro-RO"/>
        </w:rPr>
      </w:pPr>
      <w:r w:rsidRPr="002152E4">
        <w:rPr>
          <w:lang w:val="ro-RO" w:eastAsia="ro-RO"/>
        </w:rPr>
        <w:t>Prin Hotărârea nr. 767/28.06.2016 a Plenului Consiliului Superior al Magistraturii au fost numiţi în funcţia de procuror stagiar, un număr de</w:t>
      </w:r>
      <w:r w:rsidRPr="002152E4">
        <w:rPr>
          <w:b/>
          <w:lang w:val="ro-RO" w:eastAsia="ro-RO"/>
        </w:rPr>
        <w:t xml:space="preserve"> 77 de auditori de justiţie</w:t>
      </w:r>
      <w:r w:rsidRPr="002152E4">
        <w:rPr>
          <w:lang w:val="ro-RO" w:eastAsia="ro-RO"/>
        </w:rPr>
        <w:t xml:space="preserve"> – promoţia 2016, începând cu data de 15.07.2016.</w:t>
      </w:r>
    </w:p>
    <w:p w:rsidR="00D17316" w:rsidRPr="002152E4" w:rsidRDefault="00D17316" w:rsidP="00D17316">
      <w:pPr>
        <w:ind w:firstLine="684"/>
        <w:jc w:val="both"/>
        <w:rPr>
          <w:lang w:val="ro-RO" w:eastAsia="ro-RO"/>
        </w:rPr>
      </w:pPr>
      <w:r w:rsidRPr="002152E4">
        <w:rPr>
          <w:lang w:val="ro-RO" w:eastAsia="ro-RO"/>
        </w:rPr>
        <w:t xml:space="preserve"> </w:t>
      </w:r>
    </w:p>
    <w:p w:rsidR="00D17316" w:rsidRPr="002152E4" w:rsidRDefault="00D17316" w:rsidP="00C72B60">
      <w:pPr>
        <w:numPr>
          <w:ilvl w:val="0"/>
          <w:numId w:val="11"/>
        </w:numPr>
        <w:tabs>
          <w:tab w:val="clear" w:pos="720"/>
          <w:tab w:val="num" w:pos="0"/>
          <w:tab w:val="num" w:pos="644"/>
        </w:tabs>
        <w:jc w:val="both"/>
        <w:rPr>
          <w:b/>
          <w:i/>
          <w:lang w:val="ro-RO" w:eastAsia="ro-RO"/>
        </w:rPr>
      </w:pPr>
      <w:r w:rsidRPr="002152E4">
        <w:rPr>
          <w:b/>
          <w:i/>
          <w:lang w:val="ro-RO" w:eastAsia="ro-RO"/>
        </w:rPr>
        <w:t>Numirea în magistratură pe bază de concurs, conform dispoziţiilor art. 33 alin. (1)-(4) din Legea nr. 303/2004 republicată, cu modificările şi completările ulterioare</w:t>
      </w:r>
    </w:p>
    <w:p w:rsidR="00D17316" w:rsidRPr="002152E4" w:rsidRDefault="00D17316" w:rsidP="00D17316">
      <w:pPr>
        <w:ind w:firstLine="684"/>
        <w:jc w:val="both"/>
        <w:rPr>
          <w:lang w:val="ro-RO" w:eastAsia="ro-RO"/>
        </w:rPr>
      </w:pPr>
      <w:r w:rsidRPr="002152E4">
        <w:rPr>
          <w:lang w:val="ro-RO" w:eastAsia="ro-RO"/>
        </w:rPr>
        <w:t xml:space="preserve">În anul 2016 a fost organizat, în perioada </w:t>
      </w:r>
      <w:r w:rsidRPr="002152E4">
        <w:rPr>
          <w:bCs/>
          <w:lang w:val="ro-RO" w:eastAsia="ro-RO"/>
        </w:rPr>
        <w:t xml:space="preserve">5 iulie - 13 octombrie 2016 </w:t>
      </w:r>
      <w:r w:rsidRPr="002152E4">
        <w:rPr>
          <w:lang w:val="ro-RO" w:eastAsia="ro-RO"/>
        </w:rPr>
        <w:t xml:space="preserve">un concurs de admitere în magistratură,  finalizat cu ocuparea a </w:t>
      </w:r>
      <w:r w:rsidRPr="002152E4">
        <w:rPr>
          <w:b/>
          <w:lang w:val="ro-RO" w:eastAsia="ro-RO"/>
        </w:rPr>
        <w:t>3 posturi de procuror la parchetele de pe lângă judecătorii</w:t>
      </w:r>
      <w:r w:rsidRPr="002152E4">
        <w:rPr>
          <w:lang w:val="ro-RO" w:eastAsia="ro-RO"/>
        </w:rPr>
        <w:t>, din cele 58 de posturi ce au fost alocate acestui concurs.</w:t>
      </w:r>
    </w:p>
    <w:p w:rsidR="00D17316" w:rsidRPr="002152E4" w:rsidRDefault="00D17316" w:rsidP="00D17316">
      <w:pPr>
        <w:ind w:firstLine="684"/>
        <w:jc w:val="both"/>
        <w:rPr>
          <w:bCs/>
          <w:lang w:val="ro-RO" w:eastAsia="ro-RO"/>
        </w:rPr>
      </w:pPr>
    </w:p>
    <w:p w:rsidR="00D17316" w:rsidRPr="002152E4" w:rsidRDefault="00D17316" w:rsidP="00D17316">
      <w:pPr>
        <w:ind w:firstLine="684"/>
        <w:jc w:val="both"/>
        <w:rPr>
          <w:lang w:val="ro-RO" w:eastAsia="ro-RO"/>
        </w:rPr>
      </w:pPr>
    </w:p>
    <w:p w:rsidR="00D17316" w:rsidRPr="002152E4" w:rsidRDefault="00D17316" w:rsidP="00C72B60">
      <w:pPr>
        <w:numPr>
          <w:ilvl w:val="0"/>
          <w:numId w:val="11"/>
        </w:numPr>
        <w:tabs>
          <w:tab w:val="clear" w:pos="720"/>
          <w:tab w:val="num" w:pos="0"/>
          <w:tab w:val="num" w:pos="644"/>
        </w:tabs>
        <w:jc w:val="both"/>
        <w:rPr>
          <w:b/>
          <w:i/>
          <w:lang w:val="ro-RO" w:eastAsia="ro-RO"/>
        </w:rPr>
      </w:pPr>
      <w:r w:rsidRPr="002152E4">
        <w:rPr>
          <w:b/>
          <w:i/>
          <w:lang w:val="ro-RO" w:eastAsia="ro-RO"/>
        </w:rPr>
        <w:t>Numirea, la cerere, a procurorilor în funcţia de judecător şi a judecătorilor în funcţia de procuror</w:t>
      </w:r>
    </w:p>
    <w:p w:rsidR="00D17316" w:rsidRPr="002152E4" w:rsidRDefault="00D17316" w:rsidP="00D17316">
      <w:pPr>
        <w:ind w:firstLine="684"/>
        <w:jc w:val="both"/>
        <w:rPr>
          <w:lang w:val="ro-RO" w:eastAsia="ro-RO"/>
        </w:rPr>
      </w:pPr>
      <w:r w:rsidRPr="002152E4">
        <w:rPr>
          <w:lang w:val="ro-RO" w:eastAsia="ro-RO"/>
        </w:rPr>
        <w:t xml:space="preserve">În anul 2016, la cerere, au fost eliberate din funcţia de judecător şi numite în funcţia de procuror, </w:t>
      </w:r>
      <w:r w:rsidRPr="002152E4">
        <w:rPr>
          <w:b/>
          <w:lang w:val="ro-RO" w:eastAsia="ro-RO"/>
        </w:rPr>
        <w:t xml:space="preserve"> 3 persoane</w:t>
      </w:r>
      <w:r w:rsidRPr="002152E4">
        <w:rPr>
          <w:lang w:val="ro-RO" w:eastAsia="ro-RO"/>
        </w:rPr>
        <w:t xml:space="preserve">, în temeiul art. 61 din Legea nr. 303/2004, republicată, cu modificările şi completările ulterioare. </w:t>
      </w:r>
    </w:p>
    <w:p w:rsidR="00D17316" w:rsidRPr="002152E4" w:rsidRDefault="00D17316" w:rsidP="00D17316">
      <w:pPr>
        <w:ind w:firstLine="684"/>
        <w:jc w:val="both"/>
        <w:rPr>
          <w:lang w:val="ro-RO" w:eastAsia="ro-RO"/>
        </w:rPr>
      </w:pPr>
    </w:p>
    <w:p w:rsidR="00D17316" w:rsidRPr="002152E4" w:rsidRDefault="00D17316" w:rsidP="00C72B60">
      <w:pPr>
        <w:numPr>
          <w:ilvl w:val="0"/>
          <w:numId w:val="11"/>
        </w:numPr>
        <w:tabs>
          <w:tab w:val="clear" w:pos="720"/>
          <w:tab w:val="num" w:pos="0"/>
          <w:tab w:val="num" w:pos="644"/>
        </w:tabs>
        <w:jc w:val="both"/>
        <w:rPr>
          <w:b/>
          <w:i/>
          <w:lang w:val="ro-RO" w:eastAsia="ro-RO"/>
        </w:rPr>
      </w:pPr>
      <w:r w:rsidRPr="002152E4">
        <w:rPr>
          <w:b/>
          <w:i/>
          <w:lang w:val="ro-RO" w:eastAsia="ro-RO"/>
        </w:rPr>
        <w:t xml:space="preserve">        Numirea în funcţia de procuror, după promovarea examenului de capacitate, a judecătorilor care au optat în acest sens şi reîncadrarea în funcţia de procuror a foştilor procurori</w:t>
      </w:r>
    </w:p>
    <w:p w:rsidR="00D17316" w:rsidRPr="002152E4" w:rsidRDefault="00D17316" w:rsidP="00D17316">
      <w:pPr>
        <w:ind w:firstLine="684"/>
        <w:jc w:val="both"/>
        <w:rPr>
          <w:lang w:val="ro-RO" w:eastAsia="ro-RO"/>
        </w:rPr>
      </w:pPr>
      <w:r w:rsidRPr="002152E4">
        <w:rPr>
          <w:lang w:val="ro-RO" w:eastAsia="ro-RO"/>
        </w:rPr>
        <w:t xml:space="preserve">Potrivit art. 25 alin. (1) coroborat cu art. 30 alin. (2) din Legea nr. 303/2004, republicată, cu modificările şi completările ulterioare, după încheierea perioadei de stagiu, judecătorii şi procurorii stagiari sunt </w:t>
      </w:r>
      <w:r w:rsidR="003234CF" w:rsidRPr="002152E4">
        <w:rPr>
          <w:lang w:val="ro-RO" w:eastAsia="ro-RO"/>
        </w:rPr>
        <w:t>obligați</w:t>
      </w:r>
      <w:r w:rsidRPr="002152E4">
        <w:rPr>
          <w:lang w:val="ro-RO" w:eastAsia="ro-RO"/>
        </w:rPr>
        <w:t xml:space="preserve"> să se prezinte la examenul de capacitate, candidaţii declaraţi admişi având dreptul, în ordinea mediilor, să-şi aleagă posturile, în termen de 15 zile libere de la publicarea acestora în Monitorul Oficial al României, Partea a III-a.</w:t>
      </w:r>
    </w:p>
    <w:p w:rsidR="00D17316" w:rsidRPr="002152E4" w:rsidRDefault="00D17316" w:rsidP="00D17316">
      <w:pPr>
        <w:ind w:firstLine="684"/>
        <w:jc w:val="both"/>
        <w:rPr>
          <w:lang w:val="ro-RO" w:eastAsia="ro-RO"/>
        </w:rPr>
      </w:pPr>
      <w:r w:rsidRPr="002152E4">
        <w:rPr>
          <w:lang w:val="ro-RO" w:eastAsia="ro-RO"/>
        </w:rPr>
        <w:t>În anul 2016 , nici un judecător stagiar nu a optat pentru funcţia de procuror.</w:t>
      </w:r>
    </w:p>
    <w:p w:rsidR="00D17316" w:rsidRPr="002152E4" w:rsidRDefault="00D17316" w:rsidP="00D17316">
      <w:pPr>
        <w:ind w:firstLine="684"/>
        <w:jc w:val="both"/>
        <w:rPr>
          <w:lang w:val="ro-RO" w:eastAsia="ro-RO"/>
        </w:rPr>
      </w:pPr>
      <w:r w:rsidRPr="002152E4">
        <w:rPr>
          <w:lang w:val="ro-RO" w:eastAsia="ro-RO"/>
        </w:rPr>
        <w:t>În ceea ce priveşte examenul de capacitate</w:t>
      </w:r>
      <w:r w:rsidRPr="002152E4">
        <w:rPr>
          <w:b/>
          <w:bCs/>
          <w:lang w:val="ro-RO" w:eastAsia="ro-RO"/>
        </w:rPr>
        <w:t xml:space="preserve"> </w:t>
      </w:r>
      <w:r w:rsidRPr="002152E4">
        <w:rPr>
          <w:bCs/>
          <w:lang w:val="ro-RO" w:eastAsia="ro-RO"/>
        </w:rPr>
        <w:t xml:space="preserve">al judecătorilor stagiari şi procurorilor stagiari, desfăşurat în perioada 1 iulie - 3 noiembrie 2016, menţionăm că, prin hotărârea nr. 1536 din </w:t>
      </w:r>
      <w:r w:rsidRPr="002152E4">
        <w:rPr>
          <w:bCs/>
          <w:lang w:val="ro-RO" w:eastAsia="ro-RO"/>
        </w:rPr>
        <w:lastRenderedPageBreak/>
        <w:t xml:space="preserve">29.11.2016, Plenul Consiliului Superior al Magistraturii </w:t>
      </w:r>
      <w:r w:rsidRPr="002152E4">
        <w:rPr>
          <w:lang w:val="ro-RO" w:eastAsia="ro-RO"/>
        </w:rPr>
        <w:t xml:space="preserve">a hotărât validarea rezultatelor examenului de capacitate al judecătorilor şi al procurorilor stagiari, desfăşurat în perioada menţionată mai sus, pentru un număr de 103 procurori stagiari. </w:t>
      </w:r>
    </w:p>
    <w:p w:rsidR="00D17316" w:rsidRPr="002152E4" w:rsidRDefault="00D17316" w:rsidP="00D17316">
      <w:pPr>
        <w:ind w:firstLine="684"/>
        <w:jc w:val="both"/>
        <w:rPr>
          <w:lang w:val="ro-RO" w:eastAsia="ro-RO"/>
        </w:rPr>
      </w:pPr>
      <w:r w:rsidRPr="002152E4">
        <w:rPr>
          <w:lang w:val="ro-RO" w:eastAsia="ro-RO"/>
        </w:rPr>
        <w:t>Totodată, menţionăm că în cursul anului 2016 nu a fost reîncadrată în funcţia de procuror nici o persoană.</w:t>
      </w:r>
    </w:p>
    <w:p w:rsidR="00D17316" w:rsidRPr="002152E4" w:rsidRDefault="00D17316" w:rsidP="00D17316">
      <w:pPr>
        <w:ind w:firstLine="684"/>
        <w:jc w:val="both"/>
        <w:rPr>
          <w:lang w:val="ro-RO" w:eastAsia="ro-RO"/>
        </w:rPr>
      </w:pPr>
      <w:r w:rsidRPr="002152E4">
        <w:rPr>
          <w:lang w:val="ro-RO" w:eastAsia="ro-RO"/>
        </w:rPr>
        <w:t xml:space="preserve">În acord cu datele prezentate mai sus, urmare a procedurilor derulate în anul 2016 au fost numite în funcţia de procuror la parchetele de pe lângă judecătorii un număr de </w:t>
      </w:r>
      <w:r w:rsidRPr="002152E4">
        <w:rPr>
          <w:b/>
          <w:lang w:val="ro-RO" w:eastAsia="ro-RO"/>
        </w:rPr>
        <w:t xml:space="preserve">83 de persoane, </w:t>
      </w:r>
      <w:r w:rsidRPr="002152E4">
        <w:rPr>
          <w:lang w:val="ro-RO" w:eastAsia="ro-RO"/>
        </w:rPr>
        <w:t>dinamica ocupării posturilor fiind prezentată în graficul alăturat:</w:t>
      </w:r>
    </w:p>
    <w:p w:rsidR="00D17316" w:rsidRPr="002152E4" w:rsidRDefault="00D17316" w:rsidP="00D17316">
      <w:pPr>
        <w:ind w:firstLine="684"/>
        <w:jc w:val="both"/>
        <w:rPr>
          <w:lang w:val="ro-RO" w:eastAsia="ro-RO"/>
        </w:rPr>
      </w:pPr>
    </w:p>
    <w:p w:rsidR="00D17316" w:rsidRPr="002152E4" w:rsidRDefault="00D17316" w:rsidP="00D17316">
      <w:pPr>
        <w:ind w:firstLine="684"/>
        <w:jc w:val="both"/>
        <w:rPr>
          <w:b/>
          <w:lang w:val="ro-RO" w:eastAsia="ro-RO"/>
        </w:rPr>
      </w:pPr>
    </w:p>
    <w:p w:rsidR="00D17316" w:rsidRPr="002152E4" w:rsidRDefault="007041EF" w:rsidP="00D17316">
      <w:pPr>
        <w:ind w:firstLine="684"/>
        <w:jc w:val="both"/>
        <w:rPr>
          <w:b/>
          <w:lang w:val="ro-RO" w:eastAsia="ro-RO"/>
        </w:rPr>
      </w:pPr>
      <w:r w:rsidRPr="002152E4">
        <w:rPr>
          <w:noProof/>
        </w:rPr>
        <w:drawing>
          <wp:inline distT="0" distB="0" distL="0" distR="0">
            <wp:extent cx="4450080" cy="3863340"/>
            <wp:effectExtent l="0" t="0" r="0" b="0"/>
            <wp:docPr id="64" name="Char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D17316" w:rsidRPr="002152E4" w:rsidRDefault="00D17316" w:rsidP="00D17316">
      <w:pPr>
        <w:ind w:firstLine="684"/>
        <w:jc w:val="both"/>
        <w:rPr>
          <w:lang w:val="ro-RO" w:eastAsia="ro-RO"/>
        </w:rPr>
      </w:pPr>
    </w:p>
    <w:p w:rsidR="00D17316" w:rsidRPr="002152E4" w:rsidRDefault="00D17316" w:rsidP="00D17316">
      <w:pPr>
        <w:ind w:firstLine="684"/>
        <w:jc w:val="both"/>
        <w:rPr>
          <w:b/>
          <w:i/>
          <w:lang w:val="ro-RO" w:eastAsia="ro-RO"/>
        </w:rPr>
      </w:pPr>
    </w:p>
    <w:p w:rsidR="00D17316" w:rsidRPr="002152E4" w:rsidRDefault="00D17316" w:rsidP="00D17316">
      <w:pPr>
        <w:ind w:firstLine="684"/>
        <w:jc w:val="both"/>
        <w:rPr>
          <w:b/>
          <w:lang w:val="ro-RO" w:eastAsia="ro-RO"/>
        </w:rPr>
      </w:pPr>
      <w:r w:rsidRPr="002152E4">
        <w:rPr>
          <w:b/>
          <w:lang w:val="ro-RO" w:eastAsia="ro-RO"/>
        </w:rPr>
        <w:t xml:space="preserve"> Numirea  procurorilor în funcţii de conducere </w:t>
      </w:r>
    </w:p>
    <w:p w:rsidR="00D17316" w:rsidRPr="002152E4" w:rsidRDefault="00D17316" w:rsidP="00D17316">
      <w:pPr>
        <w:ind w:firstLine="684"/>
        <w:jc w:val="both"/>
        <w:rPr>
          <w:b/>
          <w:lang w:val="ro-RO" w:eastAsia="ro-RO"/>
        </w:rPr>
      </w:pPr>
    </w:p>
    <w:p w:rsidR="00D17316" w:rsidRPr="002152E4" w:rsidRDefault="00D17316" w:rsidP="00C72B60">
      <w:pPr>
        <w:numPr>
          <w:ilvl w:val="0"/>
          <w:numId w:val="18"/>
        </w:numPr>
        <w:jc w:val="both"/>
        <w:rPr>
          <w:b/>
          <w:lang w:val="ro-RO" w:eastAsia="ro-RO"/>
        </w:rPr>
      </w:pPr>
      <w:r w:rsidRPr="002152E4">
        <w:rPr>
          <w:b/>
          <w:lang w:val="ro-RO" w:eastAsia="ro-RO"/>
        </w:rPr>
        <w:t>Numirea procurorilor în funcţiile de procuror general, procuror general adjunct, prim procuror şi prim procuror adjunct la parchetele de pe lângă curţile de apel, tribunale şi judecătorii</w:t>
      </w:r>
    </w:p>
    <w:p w:rsidR="00D17316" w:rsidRPr="002152E4" w:rsidRDefault="00D17316" w:rsidP="00D17316">
      <w:pPr>
        <w:ind w:firstLine="684"/>
        <w:jc w:val="both"/>
        <w:rPr>
          <w:lang w:val="ro-RO" w:eastAsia="ro-RO"/>
        </w:rPr>
      </w:pPr>
    </w:p>
    <w:p w:rsidR="00D17316" w:rsidRPr="002152E4" w:rsidRDefault="00D17316" w:rsidP="00D17316">
      <w:pPr>
        <w:ind w:firstLine="684"/>
        <w:jc w:val="both"/>
        <w:rPr>
          <w:lang w:val="ro-RO" w:eastAsia="ro-RO"/>
        </w:rPr>
      </w:pPr>
      <w:r w:rsidRPr="002152E4">
        <w:rPr>
          <w:lang w:val="ro-RO" w:eastAsia="ro-RO"/>
        </w:rPr>
        <w:t xml:space="preserve">Prin Hotărârea nr.294/24.03.2016, astfel cum a fost modificată prin Hotărârea nr.343/29.03.2016, Plenul a aprobat organizarea unui concurs sau examen, </w:t>
      </w:r>
      <w:r w:rsidRPr="002152E4">
        <w:rPr>
          <w:b/>
          <w:lang w:val="ro-RO" w:eastAsia="ro-RO"/>
        </w:rPr>
        <w:t>în perioada 25 martie – 23 iunie 2016</w:t>
      </w:r>
      <w:r w:rsidRPr="002152E4">
        <w:rPr>
          <w:lang w:val="ro-RO" w:eastAsia="ro-RO"/>
        </w:rPr>
        <w:t>, pentru numirea în funcţii de conducere a judecătorilor şi procurorilor la curţile de apel, tribunale, tribunale specializate şi judecătorii, precum şi la parchetele de pe lângă acestea.</w:t>
      </w:r>
    </w:p>
    <w:p w:rsidR="00D17316" w:rsidRPr="002152E4" w:rsidRDefault="00D17316" w:rsidP="00D17316">
      <w:pPr>
        <w:ind w:firstLine="684"/>
        <w:jc w:val="both"/>
        <w:rPr>
          <w:lang w:val="ro-RO" w:eastAsia="ro-RO"/>
        </w:rPr>
      </w:pPr>
      <w:r w:rsidRPr="002152E4">
        <w:rPr>
          <w:lang w:val="ro-RO" w:eastAsia="ro-RO"/>
        </w:rPr>
        <w:t xml:space="preserve">La concurs au fost scoase </w:t>
      </w:r>
      <w:r w:rsidRPr="002152E4">
        <w:rPr>
          <w:b/>
          <w:lang w:val="ro-RO" w:eastAsia="ro-RO"/>
        </w:rPr>
        <w:t>130</w:t>
      </w:r>
      <w:r w:rsidRPr="002152E4">
        <w:rPr>
          <w:lang w:val="ro-RO" w:eastAsia="ro-RO"/>
        </w:rPr>
        <w:t xml:space="preserve"> funcţii vacante de procuror general, procuror general adjunct, prim procuror şi prim procuror adjunct de la parchetele de pe lângă curţile de apel, tribunale şi judecătorii.</w:t>
      </w:r>
    </w:p>
    <w:p w:rsidR="00D17316" w:rsidRPr="002152E4" w:rsidRDefault="00D17316" w:rsidP="00D17316">
      <w:pPr>
        <w:ind w:firstLine="684"/>
        <w:jc w:val="both"/>
        <w:rPr>
          <w:lang w:val="ro-RO" w:eastAsia="ro-RO"/>
        </w:rPr>
      </w:pPr>
      <w:r w:rsidRPr="002152E4">
        <w:rPr>
          <w:lang w:val="ro-RO" w:eastAsia="ro-RO"/>
        </w:rPr>
        <w:t xml:space="preserve">După finalizarea acestui concurs, s-au ocupat </w:t>
      </w:r>
      <w:r w:rsidRPr="002152E4">
        <w:rPr>
          <w:b/>
          <w:lang w:val="ro-RO" w:eastAsia="ro-RO"/>
        </w:rPr>
        <w:t>58</w:t>
      </w:r>
      <w:r w:rsidRPr="002152E4">
        <w:rPr>
          <w:lang w:val="ro-RO" w:eastAsia="ro-RO"/>
        </w:rPr>
        <w:t xml:space="preserve"> dintre funcţiile scoase la concurs </w:t>
      </w:r>
    </w:p>
    <w:p w:rsidR="00D17316" w:rsidRPr="002152E4" w:rsidRDefault="00D17316" w:rsidP="00D17316">
      <w:pPr>
        <w:ind w:firstLine="684"/>
        <w:jc w:val="both"/>
        <w:rPr>
          <w:lang w:val="ro-RO" w:eastAsia="ro-RO"/>
        </w:rPr>
      </w:pPr>
      <w:r w:rsidRPr="002152E4">
        <w:rPr>
          <w:lang w:val="ro-RO" w:eastAsia="ro-RO"/>
        </w:rPr>
        <w:t xml:space="preserve">Ca urmare a neocupării tuturor funcţiilor de conducere vacante la concursul arătat şi a expirării mandatelor în cursul anului 2016, prin Hotărârea nr.1022/6.09.2016 , Plenul Consiliului Superior al Magistraturii a aprobat organizarea unui concurs sau examen, </w:t>
      </w:r>
      <w:r w:rsidRPr="002152E4">
        <w:rPr>
          <w:b/>
          <w:lang w:val="ro-RO" w:eastAsia="ro-RO"/>
        </w:rPr>
        <w:t xml:space="preserve">în perioada </w:t>
      </w:r>
      <w:r w:rsidRPr="002152E4">
        <w:rPr>
          <w:b/>
          <w:bCs/>
          <w:lang w:val="ro-RO" w:eastAsia="ro-RO"/>
        </w:rPr>
        <w:t>9 septembrie - 9 decembrie 2016</w:t>
      </w:r>
      <w:r w:rsidRPr="002152E4">
        <w:rPr>
          <w:lang w:val="ro-RO" w:eastAsia="ro-RO"/>
        </w:rPr>
        <w:t xml:space="preserve">, pentru ocuparea unui număr de </w:t>
      </w:r>
      <w:r w:rsidRPr="002152E4">
        <w:rPr>
          <w:b/>
          <w:lang w:val="ro-RO" w:eastAsia="ro-RO"/>
        </w:rPr>
        <w:t xml:space="preserve">115 </w:t>
      </w:r>
      <w:r w:rsidRPr="002152E4">
        <w:rPr>
          <w:lang w:val="ro-RO" w:eastAsia="ro-RO"/>
        </w:rPr>
        <w:t xml:space="preserve">funcţii vacante de procuror general, procuror general </w:t>
      </w:r>
      <w:r w:rsidRPr="002152E4">
        <w:rPr>
          <w:lang w:val="ro-RO" w:eastAsia="ro-RO"/>
        </w:rPr>
        <w:lastRenderedPageBreak/>
        <w:t xml:space="preserve">adjunct, prim procuror şi prim procuror adjunct la parchetele de pe lângă curţile de apel, tribunale şi judecătorii. </w:t>
      </w:r>
    </w:p>
    <w:p w:rsidR="00D17316" w:rsidRPr="002152E4" w:rsidRDefault="00D17316" w:rsidP="00D17316">
      <w:pPr>
        <w:ind w:firstLine="684"/>
        <w:jc w:val="both"/>
        <w:rPr>
          <w:lang w:val="ro-RO" w:eastAsia="ro-RO"/>
        </w:rPr>
      </w:pPr>
      <w:r w:rsidRPr="002152E4">
        <w:rPr>
          <w:lang w:val="ro-RO" w:eastAsia="ro-RO"/>
        </w:rPr>
        <w:t xml:space="preserve">După validarea acestui concurs, Secţia pentru procurori a Consiliului Superior al Magistraturii a numit în funcţiile de procuror general, procuror general adjunct, prim procuror şi prim procuror adjunct la parchetele de pe lângă curţile de apel, tribunale şi judecătorii un număr de </w:t>
      </w:r>
      <w:r w:rsidRPr="002152E4">
        <w:rPr>
          <w:b/>
          <w:lang w:val="ro-RO" w:eastAsia="ro-RO"/>
        </w:rPr>
        <w:t>41</w:t>
      </w:r>
      <w:r w:rsidRPr="002152E4">
        <w:rPr>
          <w:lang w:val="ro-RO" w:eastAsia="ro-RO"/>
        </w:rPr>
        <w:t xml:space="preserve"> de procurori, începând cu data de 01.01.2017.</w:t>
      </w:r>
    </w:p>
    <w:p w:rsidR="00D17316" w:rsidRPr="002152E4" w:rsidRDefault="00D17316" w:rsidP="00D17316">
      <w:pPr>
        <w:ind w:firstLine="684"/>
        <w:jc w:val="both"/>
        <w:rPr>
          <w:bCs/>
          <w:lang w:val="ro-RO" w:eastAsia="ro-RO"/>
        </w:rPr>
      </w:pPr>
      <w:r w:rsidRPr="002152E4">
        <w:rPr>
          <w:lang w:val="ro-RO" w:eastAsia="ro-RO"/>
        </w:rPr>
        <w:t xml:space="preserve">Pe baza datelor anterior prezentate rezultă că, la concursul organizat în prima parte a anului 2016 </w:t>
      </w:r>
      <w:r w:rsidRPr="002152E4">
        <w:rPr>
          <w:bCs/>
          <w:lang w:val="ro-RO" w:eastAsia="ro-RO"/>
        </w:rPr>
        <w:t>gradul de ocupare a fost de 45%.</w:t>
      </w:r>
    </w:p>
    <w:p w:rsidR="00D17316" w:rsidRPr="002152E4" w:rsidRDefault="00D17316" w:rsidP="00D17316">
      <w:pPr>
        <w:ind w:firstLine="684"/>
        <w:jc w:val="both"/>
        <w:rPr>
          <w:bCs/>
          <w:lang w:val="ro-RO" w:eastAsia="ro-RO"/>
        </w:rPr>
      </w:pPr>
      <w:r w:rsidRPr="002152E4">
        <w:rPr>
          <w:bCs/>
          <w:lang w:val="ro-RO" w:eastAsia="ro-RO"/>
        </w:rPr>
        <w:t>La concursul organizat în cea de a doua perioadă a anului gradul de ocupare va fi de 35,6%.</w:t>
      </w:r>
    </w:p>
    <w:p w:rsidR="00D17316" w:rsidRPr="002152E4" w:rsidRDefault="00D17316" w:rsidP="00D17316">
      <w:pPr>
        <w:ind w:firstLine="684"/>
        <w:jc w:val="both"/>
        <w:rPr>
          <w:bCs/>
          <w:lang w:val="ro-RO" w:eastAsia="ro-RO"/>
        </w:rPr>
      </w:pPr>
    </w:p>
    <w:p w:rsidR="00D17316" w:rsidRPr="002152E4" w:rsidRDefault="007041EF" w:rsidP="00D17316">
      <w:pPr>
        <w:ind w:firstLine="684"/>
        <w:jc w:val="both"/>
        <w:rPr>
          <w:bCs/>
          <w:lang w:val="ro-RO" w:eastAsia="ro-RO"/>
        </w:rPr>
      </w:pPr>
      <w:r w:rsidRPr="002152E4">
        <w:rPr>
          <w:noProof/>
        </w:rPr>
        <w:drawing>
          <wp:inline distT="0" distB="0" distL="0" distR="0">
            <wp:extent cx="4343400" cy="2941320"/>
            <wp:effectExtent l="0" t="0" r="0" b="0"/>
            <wp:docPr id="65" name="Object 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D17316" w:rsidRPr="002152E4" w:rsidRDefault="00D17316" w:rsidP="00D17316">
      <w:pPr>
        <w:ind w:firstLine="684"/>
        <w:jc w:val="both"/>
        <w:rPr>
          <w:bCs/>
          <w:lang w:val="ro-RO" w:eastAsia="ro-RO"/>
        </w:rPr>
      </w:pPr>
    </w:p>
    <w:p w:rsidR="00D17316" w:rsidRPr="002152E4" w:rsidRDefault="007041EF" w:rsidP="00D17316">
      <w:pPr>
        <w:ind w:firstLine="684"/>
        <w:jc w:val="both"/>
        <w:rPr>
          <w:lang w:val="ro-RO" w:eastAsia="ro-RO"/>
        </w:rPr>
      </w:pPr>
      <w:r w:rsidRPr="002152E4">
        <w:rPr>
          <w:noProof/>
        </w:rPr>
        <w:drawing>
          <wp:inline distT="0" distB="0" distL="0" distR="0">
            <wp:extent cx="5478780" cy="3192780"/>
            <wp:effectExtent l="0" t="0" r="0" b="0"/>
            <wp:docPr id="66" name="Object 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D17316" w:rsidRPr="002152E4" w:rsidRDefault="00D17316" w:rsidP="00D17316">
      <w:pPr>
        <w:ind w:firstLine="684"/>
        <w:jc w:val="both"/>
        <w:rPr>
          <w:lang w:val="ro-RO" w:eastAsia="ro-RO"/>
        </w:rPr>
      </w:pPr>
    </w:p>
    <w:p w:rsidR="00D17316" w:rsidRPr="002152E4" w:rsidRDefault="007041EF" w:rsidP="00D17316">
      <w:pPr>
        <w:ind w:firstLine="684"/>
        <w:jc w:val="both"/>
        <w:rPr>
          <w:bCs/>
          <w:lang w:val="ro-RO" w:eastAsia="ro-RO"/>
        </w:rPr>
      </w:pPr>
      <w:r w:rsidRPr="002152E4">
        <w:rPr>
          <w:noProof/>
        </w:rPr>
        <w:lastRenderedPageBreak/>
        <w:drawing>
          <wp:inline distT="0" distB="0" distL="0" distR="0">
            <wp:extent cx="5478780" cy="3192780"/>
            <wp:effectExtent l="0" t="0" r="0" b="0"/>
            <wp:docPr id="67" name="Object 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D17316" w:rsidRPr="002152E4" w:rsidRDefault="00D17316" w:rsidP="00D17316">
      <w:pPr>
        <w:ind w:firstLine="684"/>
        <w:jc w:val="both"/>
        <w:rPr>
          <w:bCs/>
          <w:lang w:val="ro-RO" w:eastAsia="ro-RO"/>
        </w:rPr>
      </w:pPr>
    </w:p>
    <w:p w:rsidR="00D17316" w:rsidRPr="002152E4" w:rsidRDefault="00D17316" w:rsidP="00C72B60">
      <w:pPr>
        <w:numPr>
          <w:ilvl w:val="0"/>
          <w:numId w:val="18"/>
        </w:numPr>
        <w:jc w:val="both"/>
        <w:rPr>
          <w:b/>
          <w:lang w:val="ro-RO" w:eastAsia="ro-RO"/>
        </w:rPr>
      </w:pPr>
      <w:r w:rsidRPr="002152E4">
        <w:rPr>
          <w:b/>
          <w:lang w:val="ro-RO" w:eastAsia="ro-RO"/>
        </w:rPr>
        <w:t>Numirea şi avizarea numirii procurorilor în alte funcţii de conducere, în temeiul dispoziţiilor art. 49 alin. (9), art. 54, respectiv art. 55 din Legea nr. 303/2004, republicată cu modificările şi completările ulterioare</w:t>
      </w:r>
    </w:p>
    <w:p w:rsidR="00D17316" w:rsidRPr="002152E4" w:rsidRDefault="00D17316" w:rsidP="00D17316">
      <w:pPr>
        <w:ind w:firstLine="684"/>
        <w:jc w:val="both"/>
        <w:rPr>
          <w:lang w:val="ro-RO" w:eastAsia="ro-RO"/>
        </w:rPr>
      </w:pPr>
      <w:r w:rsidRPr="002152E4">
        <w:rPr>
          <w:lang w:val="ro-RO" w:eastAsia="ro-RO"/>
        </w:rPr>
        <w:t xml:space="preserve">În conformitate cu </w:t>
      </w:r>
      <w:r w:rsidRPr="002152E4">
        <w:rPr>
          <w:b/>
          <w:lang w:val="ro-RO" w:eastAsia="ro-RO"/>
        </w:rPr>
        <w:t>dispoziţiile  art. 49 alin. 9</w:t>
      </w:r>
      <w:r w:rsidRPr="002152E4">
        <w:rPr>
          <w:lang w:val="ro-RO" w:eastAsia="ro-RO"/>
        </w:rPr>
        <w:t xml:space="preserve"> din Legea nr. 303/2004, republicată, cu modificările şi completările ulterioare, numirea în celelalte funcţii de conducere, altele decât cele de procuror general, procuror general adjunct, prim procuror şi prim procuror adjunct, se face pe o perioadă de 3 ani, cu posibilitatea reînvestirii, o singură dată, de Consiliul Superior al Magistraturii, la propunerea procurorului general al Parchetului de pe lângă Înalta Curte de Casaţie şi Justiţie.</w:t>
      </w:r>
    </w:p>
    <w:p w:rsidR="00D17316" w:rsidRPr="002152E4" w:rsidRDefault="00D17316" w:rsidP="00D17316">
      <w:pPr>
        <w:ind w:firstLine="684"/>
        <w:jc w:val="both"/>
        <w:rPr>
          <w:lang w:val="ro-RO" w:eastAsia="ro-RO"/>
        </w:rPr>
      </w:pPr>
      <w:r w:rsidRPr="002152E4">
        <w:rPr>
          <w:lang w:val="ro-RO" w:eastAsia="ro-RO"/>
        </w:rPr>
        <w:t>Până la data de 1 ianuarie 2017</w:t>
      </w:r>
      <w:r w:rsidRPr="002152E4">
        <w:rPr>
          <w:i/>
          <w:lang w:val="ro-RO" w:eastAsia="ro-RO"/>
        </w:rPr>
        <w:t>,</w:t>
      </w:r>
      <w:r w:rsidRPr="002152E4">
        <w:rPr>
          <w:lang w:val="ro-RO" w:eastAsia="ro-RO"/>
        </w:rPr>
        <w:t xml:space="preserve"> Secţia pentru procurori a Consiliului Superior al Magistraturii a numit</w:t>
      </w:r>
      <w:r w:rsidRPr="002152E4">
        <w:rPr>
          <w:b/>
          <w:lang w:val="ro-RO" w:eastAsia="ro-RO"/>
        </w:rPr>
        <w:t xml:space="preserve"> 42  de procurori </w:t>
      </w:r>
      <w:r w:rsidRPr="002152E4">
        <w:rPr>
          <w:lang w:val="ro-RO" w:eastAsia="ro-RO"/>
        </w:rPr>
        <w:t>în alte funcţii de conducere decât cele de procuror general, procuror general adjunct, prim procuror şi prim procuror adjunct, respectiv în funcţii de procurori şefi secţie.</w:t>
      </w:r>
    </w:p>
    <w:p w:rsidR="00D17316" w:rsidRPr="002152E4" w:rsidRDefault="00D17316" w:rsidP="00D17316">
      <w:pPr>
        <w:ind w:firstLine="684"/>
        <w:jc w:val="both"/>
        <w:rPr>
          <w:bCs/>
          <w:lang w:val="ro-RO" w:eastAsia="ro-RO"/>
        </w:rPr>
      </w:pPr>
      <w:r w:rsidRPr="002152E4">
        <w:rPr>
          <w:bCs/>
          <w:lang w:val="ro-RO" w:eastAsia="ro-RO"/>
        </w:rPr>
        <w:t xml:space="preserve">Potrivit </w:t>
      </w:r>
      <w:r w:rsidRPr="002152E4">
        <w:rPr>
          <w:b/>
          <w:bCs/>
          <w:lang w:val="ro-RO" w:eastAsia="ro-RO"/>
        </w:rPr>
        <w:t>dispoziţiilor art. 54 alin. (1)</w:t>
      </w:r>
      <w:r w:rsidRPr="002152E4">
        <w:rPr>
          <w:bCs/>
          <w:lang w:val="ro-RO" w:eastAsia="ro-RO"/>
        </w:rPr>
        <w:t xml:space="preserve"> din Legea nr. 303/2004, republicată, cu modificările şi completările ulterioare, procurorul general al Parchetului de pe lângă Înalta Curte de Casaţie şi Justiţie, prim-adjunctul şi adjunctul acestuia, procurorul şef al Direcţiei Naţionale Anticorupţie, adjuncţii acestuia, procurorii şefi de secţie ai acestor parchete, precum şi procurorul şef al Direcţiei de Investigare a Infracţiunilor de Criminalitate Organizată şi Terorism şi adjuncţii acestora sunt numiţi de Preşedintele României, la propunerea ministrului justiţiei, cu avizul Consiliului Superior al Magistraturii.</w:t>
      </w:r>
    </w:p>
    <w:p w:rsidR="00D17316" w:rsidRPr="002152E4" w:rsidRDefault="00D17316" w:rsidP="00D17316">
      <w:pPr>
        <w:ind w:firstLine="684"/>
        <w:jc w:val="both"/>
        <w:rPr>
          <w:bCs/>
          <w:lang w:val="ro-RO" w:eastAsia="ro-RO"/>
        </w:rPr>
      </w:pPr>
      <w:r w:rsidRPr="002152E4">
        <w:rPr>
          <w:bCs/>
          <w:lang w:val="ro-RO" w:eastAsia="ro-RO"/>
        </w:rPr>
        <w:t>Pornind de la importanţa deosebită a acestor funcţii în cadrul Ministerului Public şi pentru a răspunde exigenţelor sistemului judiciar, care presupune o procedură transparentă la emiterea avizului privind numirea procurorilor în funcţiile menţionate mai sus, prin Hotărârea nr.193/2006 a Plenului Consiliului Superior al Magistraturii, cu modificările şi completările ulterioare, şi hotărârile nr.161/07.07.2011 şi nr.105/02.04.2013 ale Secţiei pentru procurori a Consiliului Superior al Magistraturii au fost stabilite atât procedura, cât şi criteriile de evaluare în vederea emiterii de către Consiliul Superior al Magistraturii a avizului sus-menţionat.</w:t>
      </w:r>
    </w:p>
    <w:p w:rsidR="00D17316" w:rsidRPr="002152E4" w:rsidRDefault="00D17316" w:rsidP="00D17316">
      <w:pPr>
        <w:ind w:firstLine="684"/>
        <w:jc w:val="both"/>
        <w:rPr>
          <w:lang w:val="ro-RO" w:eastAsia="ro-RO"/>
        </w:rPr>
      </w:pPr>
      <w:r w:rsidRPr="002152E4">
        <w:rPr>
          <w:bCs/>
          <w:lang w:val="ro-RO" w:eastAsia="ro-RO"/>
        </w:rPr>
        <w:t xml:space="preserve">În cursul anului 2016, în temeiul dispoziţiilor legale menţionate </w:t>
      </w:r>
      <w:r w:rsidRPr="002152E4">
        <w:rPr>
          <w:lang w:val="ro-RO" w:eastAsia="ro-RO"/>
        </w:rPr>
        <w:t>au fost derulate proceduri pentru ocuparea următoarelor funcţii de conducere:</w:t>
      </w:r>
    </w:p>
    <w:p w:rsidR="00D17316" w:rsidRPr="002152E4" w:rsidRDefault="00D17316" w:rsidP="00C72B60">
      <w:pPr>
        <w:numPr>
          <w:ilvl w:val="0"/>
          <w:numId w:val="19"/>
        </w:numPr>
        <w:jc w:val="both"/>
        <w:rPr>
          <w:bCs/>
          <w:lang w:val="ro-RO" w:eastAsia="ro-RO"/>
        </w:rPr>
      </w:pPr>
      <w:r w:rsidRPr="002152E4">
        <w:rPr>
          <w:bCs/>
          <w:lang w:val="ro-RO" w:eastAsia="ro-RO"/>
        </w:rPr>
        <w:t>procuror general al Parchetului de pe lângă Înalta Curte de Casaţie şi Justiţie;</w:t>
      </w:r>
    </w:p>
    <w:p w:rsidR="00D17316" w:rsidRPr="002152E4" w:rsidRDefault="00D17316" w:rsidP="00C72B60">
      <w:pPr>
        <w:numPr>
          <w:ilvl w:val="0"/>
          <w:numId w:val="19"/>
        </w:numPr>
        <w:jc w:val="both"/>
        <w:rPr>
          <w:bCs/>
          <w:lang w:val="ro-RO" w:eastAsia="ro-RO"/>
        </w:rPr>
      </w:pPr>
      <w:r w:rsidRPr="002152E4">
        <w:rPr>
          <w:bCs/>
          <w:lang w:val="ro-RO" w:eastAsia="ro-RO"/>
        </w:rPr>
        <w:t>procuror şef al Direcţiei Naţionale Anticorupţie şi adjuncţii acestuia;</w:t>
      </w:r>
    </w:p>
    <w:p w:rsidR="00D17316" w:rsidRPr="002152E4" w:rsidRDefault="00D17316" w:rsidP="00C72B60">
      <w:pPr>
        <w:numPr>
          <w:ilvl w:val="0"/>
          <w:numId w:val="19"/>
        </w:numPr>
        <w:jc w:val="both"/>
        <w:rPr>
          <w:bCs/>
          <w:lang w:val="ro-RO" w:eastAsia="ro-RO"/>
        </w:rPr>
      </w:pPr>
      <w:r w:rsidRPr="002152E4">
        <w:rPr>
          <w:bCs/>
          <w:lang w:val="ro-RO" w:eastAsia="ro-RO"/>
        </w:rPr>
        <w:t>procuror şef adjunct al Direcţiei de Investigare a Infracţiunilor de Criminalitate Organizată şi Terorism;</w:t>
      </w:r>
    </w:p>
    <w:p w:rsidR="00D17316" w:rsidRPr="002152E4" w:rsidRDefault="00D17316" w:rsidP="00C72B60">
      <w:pPr>
        <w:numPr>
          <w:ilvl w:val="0"/>
          <w:numId w:val="19"/>
        </w:numPr>
        <w:jc w:val="both"/>
        <w:rPr>
          <w:bCs/>
          <w:lang w:val="ro-RO" w:eastAsia="ro-RO"/>
        </w:rPr>
      </w:pPr>
      <w:r w:rsidRPr="002152E4">
        <w:rPr>
          <w:bCs/>
          <w:lang w:val="ro-RO" w:eastAsia="ro-RO"/>
        </w:rPr>
        <w:t>procuror şef şi procuror şef adjunct ai Secţiei de combatere a infracţiunilor asimilate infracţiunilor de corupţie din cadrul Direcţiei Naţionale Anticorupţie;</w:t>
      </w:r>
    </w:p>
    <w:p w:rsidR="00D17316" w:rsidRPr="002152E4" w:rsidRDefault="00D17316" w:rsidP="00C72B60">
      <w:pPr>
        <w:numPr>
          <w:ilvl w:val="0"/>
          <w:numId w:val="19"/>
        </w:numPr>
        <w:jc w:val="both"/>
        <w:rPr>
          <w:bCs/>
          <w:lang w:val="ro-RO" w:eastAsia="ro-RO"/>
        </w:rPr>
      </w:pPr>
      <w:r w:rsidRPr="002152E4">
        <w:rPr>
          <w:bCs/>
          <w:lang w:val="ro-RO" w:eastAsia="ro-RO"/>
        </w:rPr>
        <w:lastRenderedPageBreak/>
        <w:t>procuror şef, respectiv procuror şef adjunct ai Secţiei judiciare penală din cadrul Direcţiei Naţionale Anticorupţie;</w:t>
      </w:r>
    </w:p>
    <w:p w:rsidR="00D17316" w:rsidRPr="002152E4" w:rsidRDefault="00D17316" w:rsidP="00C72B60">
      <w:pPr>
        <w:numPr>
          <w:ilvl w:val="0"/>
          <w:numId w:val="19"/>
        </w:numPr>
        <w:jc w:val="both"/>
        <w:rPr>
          <w:bCs/>
          <w:lang w:val="ro-RO" w:eastAsia="ro-RO"/>
        </w:rPr>
      </w:pPr>
      <w:r w:rsidRPr="002152E4">
        <w:rPr>
          <w:bCs/>
          <w:lang w:val="ro-RO" w:eastAsia="ro-RO"/>
        </w:rPr>
        <w:t>prim adjunct şi adjunct al procurorului general al Parchetului de pe lângă Înalta Curte de Casaţie şi Justiţie;</w:t>
      </w:r>
    </w:p>
    <w:p w:rsidR="00D17316" w:rsidRPr="002152E4" w:rsidRDefault="00D17316" w:rsidP="00C72B60">
      <w:pPr>
        <w:numPr>
          <w:ilvl w:val="0"/>
          <w:numId w:val="19"/>
        </w:numPr>
        <w:jc w:val="both"/>
        <w:rPr>
          <w:bCs/>
          <w:lang w:val="ro-RO" w:eastAsia="ro-RO"/>
        </w:rPr>
      </w:pPr>
      <w:r w:rsidRPr="002152E4">
        <w:rPr>
          <w:bCs/>
          <w:lang w:val="ro-RO" w:eastAsia="ro-RO"/>
        </w:rPr>
        <w:t xml:space="preserve">procuror şef al Secţiei de urmărire penală şi criminalistică, respectiv procuror militar şef şi procuror militar şef adjunct ai Secţiei parchetelor militare din cadrul Parchetului de pe lângă Înalta Curte de Casaţie şi Justiţie </w:t>
      </w:r>
    </w:p>
    <w:p w:rsidR="00D17316" w:rsidRPr="002152E4" w:rsidRDefault="00D17316" w:rsidP="00D17316">
      <w:pPr>
        <w:ind w:firstLine="684"/>
        <w:jc w:val="both"/>
        <w:rPr>
          <w:bCs/>
          <w:lang w:val="ro-RO" w:eastAsia="ro-RO"/>
        </w:rPr>
      </w:pPr>
      <w:r w:rsidRPr="002152E4">
        <w:rPr>
          <w:bCs/>
          <w:lang w:val="ro-RO" w:eastAsia="ro-RO"/>
        </w:rPr>
        <w:t>Cu respectarea procedurii (ce a presupus stabilirea unor calendare pentru examinarea propunerilor ministrului justiţiei, punerea în dezbatere publică a proiectelor de management, efectuarea şi analizarea verificărilor asupra candidaţilor, precum şi intervievarea  în şedinţă publică a candidaţilor)  şi a criteriilor de evaluare, Secţia pentru procurori a Consiliului Superior al Magistraturii a avizat favorabil propunerile ministrului justiţiei de numire în funcţiile de conducere de la nivelul parchetelor menţionate mai sus, fiind emise şi decretele Preşedintelui României în acest sens.</w:t>
      </w:r>
      <w:r w:rsidRPr="002152E4">
        <w:rPr>
          <w:bCs/>
          <w:lang w:val="ro-RO" w:eastAsia="ro-RO"/>
        </w:rPr>
        <w:tab/>
      </w:r>
    </w:p>
    <w:p w:rsidR="00D17316" w:rsidRPr="002152E4" w:rsidRDefault="00D17316" w:rsidP="00D17316">
      <w:pPr>
        <w:ind w:firstLine="684"/>
        <w:jc w:val="both"/>
        <w:rPr>
          <w:lang w:val="ro-RO" w:eastAsia="ro-RO"/>
        </w:rPr>
      </w:pPr>
      <w:r w:rsidRPr="002152E4">
        <w:rPr>
          <w:lang w:val="ro-RO" w:eastAsia="ro-RO"/>
        </w:rPr>
        <w:t>Conform procedurii prevăzute</w:t>
      </w:r>
      <w:r w:rsidRPr="002152E4">
        <w:rPr>
          <w:b/>
          <w:lang w:val="ro-RO" w:eastAsia="ro-RO"/>
        </w:rPr>
        <w:t xml:space="preserve"> </w:t>
      </w:r>
      <w:r w:rsidRPr="002152E4">
        <w:rPr>
          <w:lang w:val="ro-RO" w:eastAsia="ro-RO"/>
        </w:rPr>
        <w:t>de</w:t>
      </w:r>
      <w:r w:rsidRPr="002152E4">
        <w:rPr>
          <w:b/>
          <w:lang w:val="ro-RO" w:eastAsia="ro-RO"/>
        </w:rPr>
        <w:t xml:space="preserve"> art. 55 din Legea nr.303/2004</w:t>
      </w:r>
      <w:r w:rsidRPr="002152E4">
        <w:rPr>
          <w:lang w:val="ro-RO" w:eastAsia="ro-RO"/>
        </w:rPr>
        <w:t xml:space="preserve">, republicată, cu modificările şi completările ulterioare, Secţia pentru procurori a Consiliului Superior al Magistraturii a numit în funcţiile de procuror şef serviciu şi procuror şef birou un număr de </w:t>
      </w:r>
      <w:r w:rsidRPr="002152E4">
        <w:rPr>
          <w:b/>
          <w:lang w:val="ro-RO" w:eastAsia="ro-RO"/>
        </w:rPr>
        <w:t>25</w:t>
      </w:r>
      <w:r w:rsidRPr="002152E4">
        <w:rPr>
          <w:lang w:val="ro-RO" w:eastAsia="ro-RO"/>
        </w:rPr>
        <w:t xml:space="preserve"> </w:t>
      </w:r>
      <w:r w:rsidRPr="002152E4">
        <w:rPr>
          <w:b/>
          <w:lang w:val="ro-RO" w:eastAsia="ro-RO"/>
        </w:rPr>
        <w:t>procurori</w:t>
      </w:r>
      <w:r w:rsidRPr="002152E4">
        <w:rPr>
          <w:lang w:val="ro-RO" w:eastAsia="ro-RO"/>
        </w:rPr>
        <w:t xml:space="preserve"> la Direcţia de Investigare a Infracţiunilor de Criminalitate Organizată şi Terorism.</w:t>
      </w:r>
    </w:p>
    <w:p w:rsidR="00D17316" w:rsidRPr="002152E4" w:rsidRDefault="00D17316" w:rsidP="00D17316">
      <w:pPr>
        <w:ind w:firstLine="684"/>
        <w:jc w:val="both"/>
        <w:rPr>
          <w:b/>
          <w:lang w:val="ro-RO" w:eastAsia="ro-RO"/>
        </w:rPr>
      </w:pPr>
      <w:r w:rsidRPr="002152E4">
        <w:rPr>
          <w:lang w:val="ro-RO" w:eastAsia="ro-RO"/>
        </w:rPr>
        <w:t xml:space="preserve"> </w:t>
      </w:r>
      <w:r w:rsidRPr="002152E4">
        <w:rPr>
          <w:b/>
          <w:lang w:val="ro-RO" w:eastAsia="ro-RO"/>
        </w:rPr>
        <w:t>Promovarea  procurorilor în funcţii de execuţie</w:t>
      </w:r>
    </w:p>
    <w:p w:rsidR="00D17316" w:rsidRPr="002152E4" w:rsidRDefault="008C606D" w:rsidP="00D17316">
      <w:pPr>
        <w:ind w:firstLine="684"/>
        <w:jc w:val="both"/>
        <w:rPr>
          <w:lang w:val="ro-RO" w:eastAsia="ro-RO"/>
        </w:rPr>
      </w:pPr>
      <w:r w:rsidRPr="002152E4">
        <w:rPr>
          <w:lang w:val="ro-RO" w:eastAsia="ro-RO"/>
        </w:rPr>
        <w:tab/>
      </w:r>
      <w:r w:rsidR="00D17316" w:rsidRPr="002152E4">
        <w:rPr>
          <w:lang w:val="ro-RO" w:eastAsia="ro-RO"/>
        </w:rPr>
        <w:t>Prin Hotărârea nr. 92/28.01.2016, Plenul Consiliului Superior al Magistraturii a aprobat organizarea unui concurs de promovare în funcţii de execuţie, efectivă şi pe loc, a judecătorilor şi procurorilor la data de 03.04.2016.</w:t>
      </w:r>
    </w:p>
    <w:p w:rsidR="00D17316" w:rsidRPr="002152E4" w:rsidRDefault="00D17316" w:rsidP="00D17316">
      <w:pPr>
        <w:ind w:firstLine="684"/>
        <w:jc w:val="both"/>
        <w:rPr>
          <w:lang w:val="ro-RO" w:eastAsia="ro-RO"/>
        </w:rPr>
      </w:pPr>
      <w:r w:rsidRPr="002152E4">
        <w:rPr>
          <w:lang w:val="ro-RO" w:eastAsia="ro-RO"/>
        </w:rPr>
        <w:tab/>
        <w:t xml:space="preserve">Pentru </w:t>
      </w:r>
      <w:r w:rsidRPr="002152E4">
        <w:rPr>
          <w:b/>
          <w:i/>
          <w:lang w:val="ro-RO" w:eastAsia="ro-RO"/>
        </w:rPr>
        <w:t>promovarea efectivă</w:t>
      </w:r>
      <w:r w:rsidRPr="002152E4">
        <w:rPr>
          <w:lang w:val="ro-RO" w:eastAsia="ro-RO"/>
        </w:rPr>
        <w:t xml:space="preserve">, au fost scoase la concurs </w:t>
      </w:r>
      <w:r w:rsidRPr="002152E4">
        <w:rPr>
          <w:b/>
          <w:lang w:val="ro-RO" w:eastAsia="ro-RO"/>
        </w:rPr>
        <w:t>51</w:t>
      </w:r>
      <w:r w:rsidRPr="002152E4">
        <w:rPr>
          <w:lang w:val="ro-RO" w:eastAsia="ro-RO"/>
        </w:rPr>
        <w:t xml:space="preserve"> de funcţii de execuţie vacante la nivelul parchetelor, dintre care </w:t>
      </w:r>
      <w:r w:rsidRPr="002152E4">
        <w:rPr>
          <w:b/>
          <w:lang w:val="ro-RO" w:eastAsia="ro-RO"/>
        </w:rPr>
        <w:t>43</w:t>
      </w:r>
      <w:r w:rsidRPr="002152E4">
        <w:rPr>
          <w:lang w:val="ro-RO" w:eastAsia="ro-RO"/>
        </w:rPr>
        <w:t xml:space="preserve"> la parchetele de pe lângă tribunale şi </w:t>
      </w:r>
      <w:r w:rsidRPr="002152E4">
        <w:rPr>
          <w:b/>
          <w:lang w:val="ro-RO" w:eastAsia="ro-RO"/>
        </w:rPr>
        <w:t>8</w:t>
      </w:r>
      <w:r w:rsidRPr="002152E4">
        <w:rPr>
          <w:lang w:val="ro-RO" w:eastAsia="ro-RO"/>
        </w:rPr>
        <w:t xml:space="preserve"> la parchetele de pe lângă curţile de apel.</w:t>
      </w:r>
    </w:p>
    <w:p w:rsidR="00D17316" w:rsidRPr="002152E4" w:rsidRDefault="00D17316" w:rsidP="00D17316">
      <w:pPr>
        <w:ind w:firstLine="684"/>
        <w:jc w:val="both"/>
        <w:rPr>
          <w:lang w:val="ro-RO" w:eastAsia="ro-RO"/>
        </w:rPr>
      </w:pPr>
      <w:r w:rsidRPr="002152E4">
        <w:rPr>
          <w:lang w:val="ro-RO" w:eastAsia="ro-RO"/>
        </w:rPr>
        <w:tab/>
        <w:t xml:space="preserve"> Pentru </w:t>
      </w:r>
      <w:r w:rsidRPr="002152E4">
        <w:rPr>
          <w:b/>
          <w:i/>
          <w:lang w:val="ro-RO" w:eastAsia="ro-RO"/>
        </w:rPr>
        <w:t>promovarea pe loc</w:t>
      </w:r>
      <w:r w:rsidRPr="002152E4">
        <w:rPr>
          <w:lang w:val="ro-RO" w:eastAsia="ro-RO"/>
        </w:rPr>
        <w:t xml:space="preserve"> au fost scoase la concurs </w:t>
      </w:r>
      <w:r w:rsidRPr="002152E4">
        <w:rPr>
          <w:b/>
          <w:lang w:val="ro-RO" w:eastAsia="ro-RO"/>
        </w:rPr>
        <w:t xml:space="preserve"> 5</w:t>
      </w:r>
      <w:r w:rsidRPr="002152E4">
        <w:rPr>
          <w:lang w:val="ro-RO" w:eastAsia="ro-RO"/>
        </w:rPr>
        <w:t xml:space="preserve"> posturi la Parchetul de pe lângă Înalta Curte de Casaţie şi Justiţie, </w:t>
      </w:r>
      <w:r w:rsidRPr="002152E4">
        <w:rPr>
          <w:b/>
          <w:lang w:val="ro-RO" w:eastAsia="ro-RO"/>
        </w:rPr>
        <w:t>15</w:t>
      </w:r>
      <w:r w:rsidRPr="002152E4">
        <w:rPr>
          <w:lang w:val="ro-RO" w:eastAsia="ro-RO"/>
        </w:rPr>
        <w:t xml:space="preserve"> posturi la parchetele de pe lângă curţile de apel şi </w:t>
      </w:r>
      <w:r w:rsidRPr="002152E4">
        <w:rPr>
          <w:b/>
          <w:lang w:val="ro-RO" w:eastAsia="ro-RO"/>
        </w:rPr>
        <w:t>40</w:t>
      </w:r>
      <w:r w:rsidRPr="002152E4">
        <w:rPr>
          <w:lang w:val="ro-RO" w:eastAsia="ro-RO"/>
        </w:rPr>
        <w:t xml:space="preserve"> de posturi la parchetele de pe lângă tribunale, </w:t>
      </w:r>
      <w:r w:rsidRPr="002152E4">
        <w:rPr>
          <w:b/>
          <w:lang w:val="ro-RO" w:eastAsia="ro-RO"/>
        </w:rPr>
        <w:t>suplimentate</w:t>
      </w:r>
      <w:r w:rsidRPr="002152E4">
        <w:rPr>
          <w:lang w:val="ro-RO" w:eastAsia="ro-RO"/>
        </w:rPr>
        <w:t xml:space="preserve"> prin Hotărârea nr. 420/26.04. 2016 a Plenului Consiliului Superior al Magistraturii cu </w:t>
      </w:r>
      <w:r w:rsidRPr="002152E4">
        <w:rPr>
          <w:b/>
          <w:lang w:val="ro-RO" w:eastAsia="ro-RO"/>
        </w:rPr>
        <w:t xml:space="preserve">1 </w:t>
      </w:r>
      <w:r w:rsidRPr="002152E4">
        <w:rPr>
          <w:lang w:val="ro-RO" w:eastAsia="ro-RO"/>
        </w:rPr>
        <w:t xml:space="preserve">post pentru promovarea pe loc în gradul profesional corespunzător Parchetului de pe lângă Înalta Curte de Casaţie şi justiţie şi </w:t>
      </w:r>
      <w:r w:rsidRPr="002152E4">
        <w:rPr>
          <w:b/>
          <w:lang w:val="ro-RO" w:eastAsia="ro-RO"/>
        </w:rPr>
        <w:t>1</w:t>
      </w:r>
      <w:r w:rsidRPr="002152E4">
        <w:rPr>
          <w:lang w:val="ro-RO" w:eastAsia="ro-RO"/>
        </w:rPr>
        <w:t xml:space="preserve"> post corespunzător parchetului de pe lângă tribunal.</w:t>
      </w:r>
    </w:p>
    <w:p w:rsidR="00D17316" w:rsidRPr="002152E4" w:rsidRDefault="00D17316" w:rsidP="00D17316">
      <w:pPr>
        <w:ind w:firstLine="684"/>
        <w:jc w:val="both"/>
        <w:rPr>
          <w:b/>
          <w:lang w:val="ro-RO" w:eastAsia="ro-RO"/>
        </w:rPr>
      </w:pPr>
      <w:r w:rsidRPr="002152E4">
        <w:rPr>
          <w:lang w:val="ro-RO" w:eastAsia="ro-RO"/>
        </w:rPr>
        <w:t xml:space="preserve">După finalizarea concursului, Plenul Consiliului Superior al Magistraturii a dispus </w:t>
      </w:r>
      <w:r w:rsidRPr="002152E4">
        <w:rPr>
          <w:b/>
          <w:lang w:val="ro-RO" w:eastAsia="ro-RO"/>
        </w:rPr>
        <w:t>promovarea efectivă a 49 de procurori</w:t>
      </w:r>
      <w:r w:rsidRPr="002152E4">
        <w:rPr>
          <w:lang w:val="ro-RO" w:eastAsia="ro-RO"/>
        </w:rPr>
        <w:t xml:space="preserve"> (8 procurori la parchetele de pe lângă curţile de apel şi 41 de procurori la parchetele de pe lângă tribunale) şi </w:t>
      </w:r>
      <w:r w:rsidRPr="002152E4">
        <w:rPr>
          <w:b/>
          <w:lang w:val="ro-RO" w:eastAsia="ro-RO"/>
        </w:rPr>
        <w:t>promovarea pe loc a 62 de procurori</w:t>
      </w:r>
      <w:r w:rsidRPr="002152E4">
        <w:rPr>
          <w:lang w:val="ro-RO" w:eastAsia="ro-RO"/>
        </w:rPr>
        <w:t>, dintre care 6 la Parchetul de pe lângă Înalta Curte de Casaţie şi Justiţie, 15 la parchetele de pe lângă curţile de apel şi 41 procurori la parchetele de pe lângă tribunale</w:t>
      </w:r>
      <w:r w:rsidRPr="002152E4">
        <w:rPr>
          <w:b/>
          <w:lang w:val="ro-RO" w:eastAsia="ro-RO"/>
        </w:rPr>
        <w:t>).</w:t>
      </w:r>
    </w:p>
    <w:p w:rsidR="00D17316" w:rsidRPr="002152E4" w:rsidRDefault="00D17316" w:rsidP="00D17316">
      <w:pPr>
        <w:ind w:firstLine="684"/>
        <w:jc w:val="both"/>
        <w:rPr>
          <w:lang w:val="ro-RO" w:eastAsia="ro-RO"/>
        </w:rPr>
      </w:pPr>
      <w:r w:rsidRPr="002152E4">
        <w:rPr>
          <w:lang w:val="ro-RO" w:eastAsia="ro-RO"/>
        </w:rPr>
        <w:t xml:space="preserve">Ulterior, prin valorificarea rezultatelor acestui examen, s-a dispus promovarea a încă </w:t>
      </w:r>
      <w:r w:rsidRPr="002152E4">
        <w:rPr>
          <w:b/>
          <w:lang w:val="ro-RO" w:eastAsia="ro-RO"/>
        </w:rPr>
        <w:t xml:space="preserve">22 de procurori </w:t>
      </w:r>
      <w:r w:rsidRPr="002152E4">
        <w:rPr>
          <w:lang w:val="ro-RO" w:eastAsia="ro-RO"/>
        </w:rPr>
        <w:t>( 4 procurori la parchetele de pe lângă curţile de apel şi 18 procurori la parchetele de pe lângă tribunale).</w:t>
      </w:r>
    </w:p>
    <w:p w:rsidR="00D17316" w:rsidRPr="002152E4" w:rsidRDefault="00D17316" w:rsidP="00D17316">
      <w:pPr>
        <w:ind w:firstLine="684"/>
        <w:jc w:val="both"/>
        <w:rPr>
          <w:lang w:val="ro-RO" w:eastAsia="ro-RO"/>
        </w:rPr>
      </w:pPr>
    </w:p>
    <w:p w:rsidR="00D17316" w:rsidRPr="002152E4" w:rsidRDefault="00D17316" w:rsidP="00D17316">
      <w:pPr>
        <w:ind w:firstLine="684"/>
        <w:jc w:val="both"/>
        <w:rPr>
          <w:b/>
          <w:i/>
          <w:lang w:val="ro-RO" w:eastAsia="ro-RO"/>
        </w:rPr>
      </w:pPr>
    </w:p>
    <w:p w:rsidR="00D17316" w:rsidRPr="002152E4" w:rsidRDefault="00D17316" w:rsidP="00D17316">
      <w:pPr>
        <w:ind w:firstLine="684"/>
        <w:jc w:val="both"/>
        <w:rPr>
          <w:b/>
          <w:lang w:val="ro-RO" w:eastAsia="ro-RO"/>
        </w:rPr>
      </w:pPr>
    </w:p>
    <w:p w:rsidR="00D17316" w:rsidRPr="002152E4" w:rsidRDefault="007041EF" w:rsidP="00D17316">
      <w:pPr>
        <w:ind w:firstLine="684"/>
        <w:jc w:val="both"/>
        <w:rPr>
          <w:lang w:val="ro-RO" w:eastAsia="ro-RO"/>
        </w:rPr>
      </w:pPr>
      <w:r w:rsidRPr="002152E4">
        <w:rPr>
          <w:noProof/>
        </w:rPr>
        <w:lastRenderedPageBreak/>
        <w:drawing>
          <wp:inline distT="0" distB="0" distL="0" distR="0">
            <wp:extent cx="4724400" cy="2514600"/>
            <wp:effectExtent l="0" t="0" r="0" b="0"/>
            <wp:docPr id="68" name="Char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D17316" w:rsidRPr="002152E4" w:rsidRDefault="00D17316" w:rsidP="00D17316">
      <w:pPr>
        <w:ind w:firstLine="684"/>
        <w:jc w:val="both"/>
        <w:rPr>
          <w:lang w:val="ro-RO" w:eastAsia="ro-RO"/>
        </w:rPr>
      </w:pPr>
    </w:p>
    <w:p w:rsidR="00D17316" w:rsidRPr="002152E4" w:rsidRDefault="00D17316" w:rsidP="00D17316">
      <w:pPr>
        <w:ind w:firstLine="684"/>
        <w:jc w:val="both"/>
        <w:rPr>
          <w:b/>
          <w:lang w:val="ro-RO" w:eastAsia="ro-RO"/>
        </w:rPr>
      </w:pPr>
    </w:p>
    <w:p w:rsidR="00D17316" w:rsidRPr="002152E4" w:rsidRDefault="00D17316" w:rsidP="00D17316">
      <w:pPr>
        <w:ind w:firstLine="684"/>
        <w:jc w:val="both"/>
        <w:rPr>
          <w:b/>
          <w:lang w:val="ro-RO" w:eastAsia="ro-RO"/>
        </w:rPr>
      </w:pPr>
    </w:p>
    <w:p w:rsidR="00D17316" w:rsidRPr="002152E4" w:rsidRDefault="007041EF" w:rsidP="00D17316">
      <w:pPr>
        <w:ind w:firstLine="684"/>
        <w:jc w:val="both"/>
        <w:rPr>
          <w:b/>
          <w:lang w:val="ro-RO" w:eastAsia="ro-RO"/>
        </w:rPr>
      </w:pPr>
      <w:r w:rsidRPr="002152E4">
        <w:rPr>
          <w:noProof/>
        </w:rPr>
        <w:drawing>
          <wp:inline distT="0" distB="0" distL="0" distR="0">
            <wp:extent cx="4724400" cy="2514600"/>
            <wp:effectExtent l="0" t="0" r="0" b="0"/>
            <wp:docPr id="69" name="Char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D17316" w:rsidRPr="002152E4" w:rsidRDefault="00D17316" w:rsidP="00D17316">
      <w:pPr>
        <w:ind w:firstLine="684"/>
        <w:jc w:val="both"/>
        <w:rPr>
          <w:lang w:val="ro-RO" w:eastAsia="ro-RO"/>
        </w:rPr>
      </w:pPr>
    </w:p>
    <w:p w:rsidR="00D17316" w:rsidRPr="002152E4" w:rsidRDefault="00D17316" w:rsidP="00D17316">
      <w:pPr>
        <w:ind w:firstLine="684"/>
        <w:jc w:val="both"/>
        <w:rPr>
          <w:b/>
          <w:lang w:val="ro-RO" w:eastAsia="ro-RO"/>
        </w:rPr>
      </w:pPr>
      <w:r w:rsidRPr="002152E4">
        <w:rPr>
          <w:b/>
          <w:lang w:val="ro-RO" w:eastAsia="ro-RO"/>
        </w:rPr>
        <w:t xml:space="preserve"> Eliberări din funcţia de  procuror</w:t>
      </w:r>
    </w:p>
    <w:p w:rsidR="00D17316" w:rsidRPr="002152E4" w:rsidRDefault="00D17316" w:rsidP="00D17316">
      <w:pPr>
        <w:ind w:firstLine="684"/>
        <w:jc w:val="both"/>
        <w:rPr>
          <w:lang w:val="ro-RO" w:eastAsia="ro-RO"/>
        </w:rPr>
      </w:pPr>
    </w:p>
    <w:p w:rsidR="00D17316" w:rsidRPr="002152E4" w:rsidRDefault="00D17316" w:rsidP="00D17316">
      <w:pPr>
        <w:ind w:firstLine="684"/>
        <w:jc w:val="both"/>
        <w:rPr>
          <w:lang w:val="ro-RO" w:eastAsia="ro-RO"/>
        </w:rPr>
      </w:pPr>
      <w:r w:rsidRPr="002152E4">
        <w:rPr>
          <w:lang w:val="ro-RO" w:eastAsia="ro-RO"/>
        </w:rPr>
        <w:t xml:space="preserve">Până la data de 1 ianuarie 2017, Plenul Consiliului Superior al Magistraturii a propus Preşedintelui României </w:t>
      </w:r>
      <w:r w:rsidRPr="002152E4">
        <w:rPr>
          <w:b/>
          <w:lang w:val="ro-RO" w:eastAsia="ro-RO"/>
        </w:rPr>
        <w:t xml:space="preserve">eliberarea din funcţia de procuror a unui număr de 94 de persoane, </w:t>
      </w:r>
      <w:r w:rsidRPr="002152E4">
        <w:rPr>
          <w:lang w:val="ro-RO" w:eastAsia="ro-RO"/>
        </w:rPr>
        <w:t>pentru următoarele motive:</w:t>
      </w:r>
    </w:p>
    <w:p w:rsidR="00D17316" w:rsidRPr="002152E4" w:rsidRDefault="00D17316" w:rsidP="00D17316">
      <w:pPr>
        <w:ind w:firstLine="684"/>
        <w:jc w:val="both"/>
        <w:rPr>
          <w:lang w:val="ro-RO" w:eastAsia="ro-RO"/>
        </w:rPr>
      </w:pPr>
      <w:r w:rsidRPr="002152E4">
        <w:rPr>
          <w:lang w:val="ro-RO" w:eastAsia="ro-RO"/>
        </w:rPr>
        <w:t>-</w:t>
      </w:r>
      <w:r w:rsidRPr="002152E4">
        <w:rPr>
          <w:b/>
          <w:lang w:val="ro-RO" w:eastAsia="ro-RO"/>
        </w:rPr>
        <w:t xml:space="preserve">    72 </w:t>
      </w:r>
      <w:r w:rsidRPr="002152E4">
        <w:rPr>
          <w:lang w:val="ro-RO" w:eastAsia="ro-RO"/>
        </w:rPr>
        <w:t>de procurori, prin pensionare;</w:t>
      </w:r>
    </w:p>
    <w:p w:rsidR="00D17316" w:rsidRPr="002152E4" w:rsidRDefault="00D17316" w:rsidP="00D17316">
      <w:pPr>
        <w:ind w:firstLine="684"/>
        <w:jc w:val="both"/>
        <w:rPr>
          <w:lang w:val="ro-RO" w:eastAsia="ro-RO"/>
        </w:rPr>
      </w:pPr>
      <w:r w:rsidRPr="002152E4">
        <w:rPr>
          <w:lang w:val="ro-RO" w:eastAsia="ro-RO"/>
        </w:rPr>
        <w:t xml:space="preserve">- </w:t>
      </w:r>
      <w:r w:rsidRPr="002152E4">
        <w:rPr>
          <w:b/>
          <w:lang w:val="ro-RO" w:eastAsia="ro-RO"/>
        </w:rPr>
        <w:t xml:space="preserve">    5 </w:t>
      </w:r>
      <w:r w:rsidRPr="002152E4">
        <w:rPr>
          <w:lang w:val="ro-RO" w:eastAsia="ro-RO"/>
        </w:rPr>
        <w:t>procurori, prin demisie;</w:t>
      </w:r>
    </w:p>
    <w:p w:rsidR="00D17316" w:rsidRPr="002152E4" w:rsidRDefault="00D17316" w:rsidP="00D17316">
      <w:pPr>
        <w:ind w:firstLine="684"/>
        <w:jc w:val="both"/>
        <w:rPr>
          <w:lang w:val="ro-RO" w:eastAsia="ro-RO"/>
        </w:rPr>
      </w:pPr>
      <w:r w:rsidRPr="002152E4">
        <w:rPr>
          <w:lang w:val="ro-RO" w:eastAsia="ro-RO"/>
        </w:rPr>
        <w:t xml:space="preserve">-     </w:t>
      </w:r>
      <w:r w:rsidRPr="002152E4">
        <w:rPr>
          <w:b/>
          <w:lang w:val="ro-RO" w:eastAsia="ro-RO"/>
        </w:rPr>
        <w:t>16</w:t>
      </w:r>
      <w:r w:rsidRPr="002152E4">
        <w:rPr>
          <w:lang w:val="ro-RO" w:eastAsia="ro-RO"/>
        </w:rPr>
        <w:t xml:space="preserve"> procurori, ca urmare a numirii în funcţia de judecător;</w:t>
      </w:r>
    </w:p>
    <w:p w:rsidR="00D17316" w:rsidRPr="002152E4" w:rsidRDefault="00D17316" w:rsidP="00D17316">
      <w:pPr>
        <w:ind w:firstLine="684"/>
        <w:jc w:val="both"/>
        <w:rPr>
          <w:lang w:val="ro-RO" w:eastAsia="ro-RO"/>
        </w:rPr>
      </w:pPr>
      <w:r w:rsidRPr="002152E4">
        <w:rPr>
          <w:lang w:val="ro-RO" w:eastAsia="ro-RO"/>
        </w:rPr>
        <w:t xml:space="preserve">-    </w:t>
      </w:r>
      <w:r w:rsidRPr="002152E4">
        <w:rPr>
          <w:b/>
          <w:lang w:val="ro-RO" w:eastAsia="ro-RO"/>
        </w:rPr>
        <w:t>1</w:t>
      </w:r>
      <w:r w:rsidRPr="002152E4">
        <w:rPr>
          <w:lang w:val="ro-RO" w:eastAsia="ro-RO"/>
        </w:rPr>
        <w:t xml:space="preserve"> procuror eliberat din funcţie ca urmare a lipsei avizului anual pentru menținerea în funcție după împlinirea vârstei de 65 ani;</w:t>
      </w:r>
    </w:p>
    <w:p w:rsidR="00D17316" w:rsidRPr="002152E4" w:rsidRDefault="00D17316" w:rsidP="00D17316">
      <w:pPr>
        <w:ind w:firstLine="684"/>
        <w:jc w:val="both"/>
        <w:rPr>
          <w:lang w:val="ro-RO" w:eastAsia="ro-RO"/>
        </w:rPr>
      </w:pPr>
      <w:r w:rsidRPr="002152E4">
        <w:rPr>
          <w:lang w:val="ro-RO" w:eastAsia="ro-RO"/>
        </w:rPr>
        <w:t xml:space="preserve">De asemenea, în cursul acestui an s-a vacantat </w:t>
      </w:r>
      <w:r w:rsidRPr="002152E4">
        <w:rPr>
          <w:b/>
          <w:lang w:val="ro-RO" w:eastAsia="ro-RO"/>
        </w:rPr>
        <w:t>1</w:t>
      </w:r>
      <w:r w:rsidRPr="002152E4">
        <w:rPr>
          <w:lang w:val="ro-RO" w:eastAsia="ro-RO"/>
        </w:rPr>
        <w:t xml:space="preserve"> </w:t>
      </w:r>
      <w:r w:rsidRPr="002152E4">
        <w:rPr>
          <w:b/>
          <w:lang w:val="ro-RO" w:eastAsia="ro-RO"/>
        </w:rPr>
        <w:t>post</w:t>
      </w:r>
      <w:r w:rsidRPr="002152E4">
        <w:rPr>
          <w:lang w:val="ro-RO" w:eastAsia="ro-RO"/>
        </w:rPr>
        <w:t>, ca urmare a decesului unui  procuror.</w:t>
      </w:r>
    </w:p>
    <w:p w:rsidR="00D17316" w:rsidRPr="002152E4" w:rsidRDefault="00D17316" w:rsidP="00D17316">
      <w:pPr>
        <w:ind w:firstLine="684"/>
        <w:jc w:val="both"/>
        <w:rPr>
          <w:lang w:val="ro-RO" w:eastAsia="ro-RO"/>
        </w:rPr>
      </w:pPr>
    </w:p>
    <w:p w:rsidR="00D17316" w:rsidRPr="002152E4" w:rsidRDefault="00D17316" w:rsidP="00D17316">
      <w:pPr>
        <w:ind w:firstLine="684"/>
        <w:jc w:val="both"/>
        <w:rPr>
          <w:lang w:val="ro-RO" w:eastAsia="ro-RO"/>
        </w:rPr>
      </w:pPr>
      <w:r w:rsidRPr="002152E4">
        <w:rPr>
          <w:lang w:val="ro-RO" w:eastAsia="ro-RO"/>
        </w:rPr>
        <w:t xml:space="preserve">Urmare a valorificării tuturor procedurilor de ocupare a posturilor vacante, </w:t>
      </w:r>
      <w:r w:rsidRPr="002152E4">
        <w:rPr>
          <w:b/>
          <w:lang w:val="ro-RO" w:eastAsia="ro-RO"/>
        </w:rPr>
        <w:t>la data de  1 ianuarie 2017</w:t>
      </w:r>
      <w:r w:rsidRPr="002152E4">
        <w:rPr>
          <w:lang w:val="ro-RO" w:eastAsia="ro-RO"/>
        </w:rPr>
        <w:t>, situaţia posturilor de procuror se prezintă astfel:</w:t>
      </w:r>
    </w:p>
    <w:p w:rsidR="008C606D" w:rsidRPr="002152E4" w:rsidRDefault="008C606D" w:rsidP="00D17316">
      <w:pPr>
        <w:ind w:firstLine="684"/>
        <w:jc w:val="both"/>
        <w:rPr>
          <w:lang w:val="ro-RO" w:eastAsia="ro-RO"/>
        </w:rPr>
      </w:pPr>
    </w:p>
    <w:p w:rsidR="008C606D" w:rsidRPr="002152E4" w:rsidRDefault="008C606D" w:rsidP="00D17316">
      <w:pPr>
        <w:ind w:firstLine="684"/>
        <w:jc w:val="both"/>
        <w:rPr>
          <w:lang w:val="ro-RO" w:eastAsia="ro-RO"/>
        </w:rPr>
      </w:pPr>
    </w:p>
    <w:p w:rsidR="008C606D" w:rsidRPr="002152E4" w:rsidRDefault="008C606D" w:rsidP="00D17316">
      <w:pPr>
        <w:ind w:firstLine="684"/>
        <w:jc w:val="both"/>
        <w:rPr>
          <w:lang w:val="ro-RO" w:eastAsia="ro-RO"/>
        </w:rPr>
      </w:pPr>
    </w:p>
    <w:p w:rsidR="008C606D" w:rsidRPr="002152E4" w:rsidRDefault="008C606D" w:rsidP="00D17316">
      <w:pPr>
        <w:ind w:firstLine="684"/>
        <w:jc w:val="both"/>
        <w:rPr>
          <w:lang w:val="ro-RO" w:eastAsia="ro-RO"/>
        </w:rPr>
      </w:pPr>
    </w:p>
    <w:p w:rsidR="008C606D" w:rsidRPr="002152E4" w:rsidRDefault="008C606D" w:rsidP="00D17316">
      <w:pPr>
        <w:ind w:firstLine="684"/>
        <w:jc w:val="both"/>
        <w:rPr>
          <w:lang w:val="ro-RO" w:eastAsia="ro-RO"/>
        </w:rPr>
      </w:pPr>
    </w:p>
    <w:p w:rsidR="008C606D" w:rsidRPr="002152E4" w:rsidRDefault="008C606D" w:rsidP="00D17316">
      <w:pPr>
        <w:ind w:firstLine="684"/>
        <w:jc w:val="both"/>
        <w:rPr>
          <w:lang w:val="ro-RO" w:eastAsia="ro-RO"/>
        </w:rPr>
      </w:pPr>
    </w:p>
    <w:p w:rsidR="00D17316" w:rsidRPr="002152E4" w:rsidRDefault="00D17316" w:rsidP="00D17316">
      <w:pPr>
        <w:ind w:firstLine="684"/>
        <w:jc w:val="both"/>
        <w:rPr>
          <w:lang w:val="ro-RO" w:eastAsia="ro-RO"/>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D17316" w:rsidRPr="002152E4" w:rsidTr="00C72B60">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D17316">
            <w:pPr>
              <w:ind w:firstLine="684"/>
              <w:jc w:val="both"/>
              <w:rPr>
                <w:b/>
                <w:lang w:val="ro-RO" w:eastAsia="ro-RO"/>
              </w:rPr>
            </w:pPr>
            <w:r w:rsidRPr="002152E4">
              <w:rPr>
                <w:b/>
                <w:lang w:val="ro-RO" w:eastAsia="ro-RO"/>
              </w:rPr>
              <w:lastRenderedPageBreak/>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cPr>
          <w:p w:rsidR="00D17316" w:rsidRPr="002152E4" w:rsidRDefault="00D17316" w:rsidP="00D17316">
            <w:pPr>
              <w:ind w:firstLine="684"/>
              <w:jc w:val="both"/>
              <w:rPr>
                <w:lang w:val="ro-RO" w:eastAsia="ro-RO"/>
              </w:rPr>
            </w:pPr>
            <w:r w:rsidRPr="002152E4">
              <w:rPr>
                <w:b/>
                <w:lang w:val="ro-RO" w:eastAsia="ro-RO"/>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tcPr>
          <w:p w:rsidR="00D17316" w:rsidRPr="002152E4" w:rsidRDefault="00D17316" w:rsidP="00D17316">
            <w:pPr>
              <w:ind w:firstLine="684"/>
              <w:jc w:val="both"/>
              <w:rPr>
                <w:lang w:val="ro-RO" w:eastAsia="ro-RO"/>
              </w:rPr>
            </w:pPr>
            <w:r w:rsidRPr="002152E4">
              <w:rPr>
                <w:b/>
                <w:lang w:val="ro-RO" w:eastAsia="ro-RO"/>
              </w:rPr>
              <w:t>Posturi de procuror vacante</w:t>
            </w:r>
          </w:p>
        </w:tc>
      </w:tr>
      <w:tr w:rsidR="00D17316" w:rsidRPr="002152E4" w:rsidTr="00C72B60">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rsidR="00D17316" w:rsidRPr="002152E4" w:rsidRDefault="00D17316" w:rsidP="00D17316">
            <w:pPr>
              <w:ind w:firstLine="684"/>
              <w:jc w:val="both"/>
              <w:rPr>
                <w:b/>
                <w:lang w:val="ro-RO" w:eastAsia="ro-RO"/>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8C606D">
            <w:pPr>
              <w:ind w:left="-690" w:firstLine="684"/>
              <w:jc w:val="center"/>
              <w:rPr>
                <w:b/>
                <w:lang w:val="ro-RO" w:eastAsia="ro-RO"/>
              </w:rPr>
            </w:pPr>
            <w:r w:rsidRPr="002152E4">
              <w:rPr>
                <w:b/>
                <w:lang w:val="ro-RO" w:eastAsia="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8C606D">
            <w:pPr>
              <w:ind w:left="-690" w:firstLine="684"/>
              <w:jc w:val="center"/>
              <w:rPr>
                <w:lang w:val="ro-RO" w:eastAsia="ro-RO"/>
              </w:rPr>
            </w:pPr>
            <w:r w:rsidRPr="002152E4">
              <w:rPr>
                <w:lang w:val="ro-RO" w:eastAsia="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D17316" w:rsidRPr="002152E4" w:rsidRDefault="00D17316" w:rsidP="008C606D">
            <w:pPr>
              <w:ind w:left="-690" w:firstLine="684"/>
              <w:jc w:val="center"/>
              <w:rPr>
                <w:lang w:val="ro-RO" w:eastAsia="ro-RO"/>
              </w:rPr>
            </w:pPr>
            <w:r w:rsidRPr="002152E4">
              <w:rPr>
                <w:lang w:val="ro-RO" w:eastAsia="ro-RO"/>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8C606D">
            <w:pPr>
              <w:ind w:left="-690" w:firstLine="684"/>
              <w:jc w:val="center"/>
              <w:rPr>
                <w:lang w:val="ro-RO" w:eastAsia="ro-RO"/>
              </w:rPr>
            </w:pPr>
            <w:r w:rsidRPr="002152E4">
              <w:rPr>
                <w:lang w:val="ro-RO" w:eastAsia="ro-RO"/>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8C606D">
            <w:pPr>
              <w:ind w:left="-690" w:firstLine="684"/>
              <w:jc w:val="center"/>
              <w:rPr>
                <w:b/>
                <w:lang w:val="ro-RO" w:eastAsia="ro-RO"/>
              </w:rPr>
            </w:pPr>
            <w:r w:rsidRPr="002152E4">
              <w:rPr>
                <w:b/>
                <w:lang w:val="ro-RO" w:eastAsia="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8C606D">
            <w:pPr>
              <w:ind w:left="-690" w:firstLine="684"/>
              <w:jc w:val="center"/>
              <w:rPr>
                <w:lang w:val="ro-RO" w:eastAsia="ro-RO"/>
              </w:rPr>
            </w:pPr>
            <w:r w:rsidRPr="002152E4">
              <w:rPr>
                <w:lang w:val="ro-RO" w:eastAsia="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D17316" w:rsidRPr="002152E4" w:rsidRDefault="00D17316" w:rsidP="008C606D">
            <w:pPr>
              <w:ind w:left="-690" w:firstLine="684"/>
              <w:jc w:val="center"/>
              <w:rPr>
                <w:lang w:val="ro-RO" w:eastAsia="ro-RO"/>
              </w:rPr>
            </w:pPr>
            <w:r w:rsidRPr="002152E4">
              <w:rPr>
                <w:lang w:val="ro-RO" w:eastAsia="ro-RO"/>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D17316" w:rsidRPr="002152E4" w:rsidRDefault="00D17316" w:rsidP="008C606D">
            <w:pPr>
              <w:ind w:left="-690" w:firstLine="684"/>
              <w:jc w:val="center"/>
              <w:rPr>
                <w:lang w:val="ro-RO" w:eastAsia="ro-RO"/>
              </w:rPr>
            </w:pPr>
            <w:r w:rsidRPr="002152E4">
              <w:rPr>
                <w:lang w:val="ro-RO" w:eastAsia="ro-RO"/>
              </w:rPr>
              <w:t>Cond.</w:t>
            </w:r>
          </w:p>
        </w:tc>
      </w:tr>
      <w:tr w:rsidR="00D17316" w:rsidRPr="002152E4" w:rsidTr="00C72B60">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rPr>
                <w:lang w:val="ro-RO" w:eastAsia="ro-RO"/>
              </w:rPr>
            </w:pPr>
            <w:r w:rsidRPr="002152E4">
              <w:rPr>
                <w:lang w:val="ro-RO" w:eastAsia="ro-RO"/>
              </w:rPr>
              <w:t>PÎCCJ (</w:t>
            </w:r>
            <w:r w:rsidRPr="002152E4">
              <w:rPr>
                <w:i/>
                <w:lang w:val="ro-RO" w:eastAsia="ro-RO"/>
              </w:rPr>
              <w:t>inclusiv DNA, DIICOT şi Secţia parchetelor militare</w:t>
            </w:r>
            <w:r w:rsidRPr="002152E4">
              <w:rPr>
                <w:lang w:val="ro-RO" w:eastAsia="ro-RO"/>
              </w:rPr>
              <w:t>)</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647</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510</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0</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137</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116</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55</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0</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61</w:t>
            </w:r>
          </w:p>
        </w:tc>
      </w:tr>
      <w:tr w:rsidR="00D17316" w:rsidRPr="002152E4" w:rsidTr="00C72B60">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rPr>
                <w:lang w:val="ro-RO" w:eastAsia="ro-RO"/>
              </w:rPr>
            </w:pPr>
            <w:r w:rsidRPr="002152E4">
              <w:rPr>
                <w:lang w:val="ro-RO" w:eastAsia="ro-RO"/>
              </w:rPr>
              <w:t>Parchetele de pe lângă curţile de apel (</w:t>
            </w:r>
            <w:r w:rsidRPr="002152E4">
              <w:rPr>
                <w:i/>
                <w:lang w:val="ro-RO" w:eastAsia="ro-RO"/>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282</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189</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18</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75</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22</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3</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18</w:t>
            </w:r>
          </w:p>
        </w:tc>
      </w:tr>
      <w:tr w:rsidR="00D17316" w:rsidRPr="002152E4" w:rsidTr="00C72B60">
        <w:trPr>
          <w:trHeight w:val="1096"/>
          <w:jc w:val="center"/>
        </w:trPr>
        <w:tc>
          <w:tcPr>
            <w:tcW w:w="2547"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rPr>
                <w:lang w:val="ro-RO" w:eastAsia="ro-RO"/>
              </w:rPr>
            </w:pPr>
            <w:r w:rsidRPr="002152E4">
              <w:rPr>
                <w:lang w:val="ro-RO" w:eastAsia="ro-RO"/>
              </w:rPr>
              <w:t>Parchetele de pe lângă  tribunale (</w:t>
            </w:r>
            <w:r w:rsidRPr="002152E4">
              <w:rPr>
                <w:i/>
                <w:lang w:val="ro-RO" w:eastAsia="ro-RO"/>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726</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521</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13</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192</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99</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51</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4</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44</w:t>
            </w:r>
          </w:p>
        </w:tc>
      </w:tr>
      <w:tr w:rsidR="00D17316" w:rsidRPr="002152E4" w:rsidTr="00C72B60">
        <w:trPr>
          <w:trHeight w:val="1144"/>
          <w:jc w:val="center"/>
        </w:trPr>
        <w:tc>
          <w:tcPr>
            <w:tcW w:w="2547"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rPr>
                <w:lang w:val="ro-RO" w:eastAsia="ro-RO"/>
              </w:rPr>
            </w:pPr>
            <w:r w:rsidRPr="002152E4">
              <w:rPr>
                <w:lang w:val="ro-RO" w:eastAsia="ro-RO"/>
              </w:rPr>
              <w:t>Parchetele de pe lângă judecătorii</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1361</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1122</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16</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223</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198</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112</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8</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78</w:t>
            </w:r>
          </w:p>
        </w:tc>
      </w:tr>
      <w:tr w:rsidR="00D17316" w:rsidRPr="002152E4" w:rsidTr="00C72B60">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D17316">
            <w:pPr>
              <w:ind w:firstLine="684"/>
              <w:jc w:val="both"/>
              <w:rPr>
                <w:b/>
                <w:lang w:val="ro-RO" w:eastAsia="ro-RO"/>
              </w:rPr>
            </w:pPr>
            <w:r w:rsidRPr="002152E4">
              <w:rPr>
                <w:b/>
                <w:lang w:val="ro-RO" w:eastAsia="ro-RO"/>
              </w:rPr>
              <w:t xml:space="preserve">          Total </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b/>
                <w:sz w:val="20"/>
                <w:szCs w:val="20"/>
                <w:lang w:val="ro-RO" w:eastAsia="ro-RO"/>
              </w:rPr>
            </w:pPr>
            <w:r w:rsidRPr="002152E4">
              <w:rPr>
                <w:b/>
                <w:sz w:val="20"/>
                <w:szCs w:val="20"/>
                <w:lang w:val="ro-RO" w:eastAsia="ro-RO"/>
              </w:rPr>
              <w:t>3016</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2342</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47</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627</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435</w:t>
            </w:r>
          </w:p>
        </w:tc>
        <w:tc>
          <w:tcPr>
            <w:tcW w:w="851"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221</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13</w:t>
            </w:r>
          </w:p>
        </w:tc>
        <w:tc>
          <w:tcPr>
            <w:tcW w:w="850" w:type="dxa"/>
            <w:tcBorders>
              <w:top w:val="single" w:sz="4" w:space="0" w:color="auto"/>
              <w:left w:val="single" w:sz="4" w:space="0" w:color="auto"/>
              <w:bottom w:val="single" w:sz="4" w:space="0" w:color="auto"/>
              <w:right w:val="single" w:sz="4" w:space="0" w:color="auto"/>
            </w:tcBorders>
            <w:vAlign w:val="center"/>
          </w:tcPr>
          <w:p w:rsidR="00D17316" w:rsidRPr="002152E4" w:rsidRDefault="00D17316" w:rsidP="008C606D">
            <w:pPr>
              <w:ind w:firstLine="684"/>
              <w:jc w:val="center"/>
              <w:rPr>
                <w:sz w:val="20"/>
                <w:szCs w:val="20"/>
                <w:lang w:val="ro-RO" w:eastAsia="ro-RO"/>
              </w:rPr>
            </w:pPr>
            <w:r w:rsidRPr="002152E4">
              <w:rPr>
                <w:sz w:val="20"/>
                <w:szCs w:val="20"/>
                <w:lang w:val="ro-RO" w:eastAsia="ro-RO"/>
              </w:rPr>
              <w:t>201</w:t>
            </w:r>
          </w:p>
        </w:tc>
      </w:tr>
    </w:tbl>
    <w:p w:rsidR="00D17316" w:rsidRPr="002152E4" w:rsidRDefault="00D17316" w:rsidP="00D17316">
      <w:pPr>
        <w:ind w:firstLine="684"/>
        <w:jc w:val="both"/>
        <w:rPr>
          <w:lang w:val="ro-RO" w:eastAsia="ro-RO"/>
        </w:rPr>
      </w:pPr>
    </w:p>
    <w:p w:rsidR="00D17316" w:rsidRPr="002152E4" w:rsidRDefault="00D17316" w:rsidP="00D17316">
      <w:pPr>
        <w:ind w:firstLine="684"/>
        <w:jc w:val="both"/>
        <w:rPr>
          <w:lang w:val="ro-RO" w:eastAsia="ro-RO"/>
        </w:rPr>
      </w:pPr>
      <w:r w:rsidRPr="002152E4">
        <w:rPr>
          <w:lang w:val="ro-RO" w:eastAsia="ro-RO"/>
        </w:rPr>
        <w:t>În totalul de 3016 posturi din schemă de procuror sunt incluse şi 47 posturi de procuror temporar vacante  a căror ocupare pe perioadă nedeterminată s-a aprobat de Plenul Consiliului Superior al Magistraturii în conformitate cu dispoziţiile art.134¹ din Legea nr.304/2004, republicată, cu modificările şi completările ulterioare.  Din cele 47 de posturi sunt ocupate 34 de posturi (17 posturi la parchetele de pe lângă curţile de apel, 9 posturi la parchetele de pe lângă tribunale şi 8 posturi la parchetele de pe lângă judecătorii), rămânând vacante 13 posturi. De asemenea, a fost avut în vedere şi Ordinul nr. 4674/C/21.12. 2016 al ministrului justiţiei, de aprobare a statelor de funcţii şi de personal ale Direcţiei de Investigare a Infracţiunilor de Criminalitate Organizată şi Terorism, avizate conform prin Hotărârea Plenului Consiliului Superior al Magistraturii nr. 1628/20.12. 2016, prin care a fost reconfigurată structura direcţiei şi suplimentată schema acesteia cu 11 posturi de procuror.</w:t>
      </w:r>
    </w:p>
    <w:p w:rsidR="00D17316" w:rsidRPr="002152E4" w:rsidRDefault="00D17316" w:rsidP="00D17316">
      <w:pPr>
        <w:ind w:firstLine="684"/>
        <w:jc w:val="both"/>
        <w:rPr>
          <w:lang w:val="ro-RO" w:eastAsia="ro-RO"/>
        </w:rPr>
      </w:pPr>
      <w:r w:rsidRPr="002152E4">
        <w:rPr>
          <w:lang w:val="ro-RO" w:eastAsia="ro-RO"/>
        </w:rPr>
        <w:t xml:space="preserve">Prin urmare, </w:t>
      </w:r>
      <w:r w:rsidRPr="002152E4">
        <w:rPr>
          <w:b/>
          <w:lang w:val="ro-RO" w:eastAsia="ro-RO"/>
        </w:rPr>
        <w:t>la data de 1 ianuarie 2017</w:t>
      </w:r>
      <w:r w:rsidRPr="002152E4">
        <w:rPr>
          <w:lang w:val="ro-RO" w:eastAsia="ro-RO"/>
        </w:rPr>
        <w:t xml:space="preserve">, din totalul de 3016 posturi de procuror (2969 posturi de procuror prevăzute în schemă, la care se adaugă 47 posturi de procuror acordate conform art.134¹ din Legea nr.304/2004), </w:t>
      </w:r>
      <w:r w:rsidRPr="002152E4">
        <w:rPr>
          <w:b/>
          <w:lang w:val="ro-RO" w:eastAsia="ro-RO"/>
        </w:rPr>
        <w:t>erau ocupate 2622 posturi de procuror</w:t>
      </w:r>
      <w:r w:rsidRPr="002152E4">
        <w:rPr>
          <w:lang w:val="ro-RO" w:eastAsia="ro-RO"/>
        </w:rPr>
        <w:t xml:space="preserve"> (din care 41 de procurori funcţionau peste schemă, astfel cum se va arăta mai jos, deci peste totalul celor 3016 posturi din schemă) </w:t>
      </w:r>
      <w:r w:rsidRPr="002152E4">
        <w:rPr>
          <w:b/>
          <w:lang w:val="ro-RO" w:eastAsia="ro-RO"/>
        </w:rPr>
        <w:t>şi vacante 435 posturi</w:t>
      </w:r>
      <w:r w:rsidRPr="002152E4">
        <w:rPr>
          <w:lang w:val="ro-RO" w:eastAsia="ro-RO"/>
        </w:rPr>
        <w:t xml:space="preserve"> (dintre acestea 13 posturi sunt acordate potrivit art.134¹ din Legea nr.304/2004). Din cele 435 posturi vacante, 221 erau corespunzătoare funcţiilor de execuţie şi 201 funcţiilor de conducere.</w:t>
      </w:r>
    </w:p>
    <w:p w:rsidR="00D17316" w:rsidRPr="002152E4" w:rsidRDefault="00D17316" w:rsidP="00D17316">
      <w:pPr>
        <w:ind w:firstLine="684"/>
        <w:jc w:val="both"/>
        <w:rPr>
          <w:lang w:val="ro-RO" w:eastAsia="ro-RO"/>
        </w:rPr>
      </w:pPr>
      <w:r w:rsidRPr="002152E4">
        <w:rPr>
          <w:lang w:val="ro-RO" w:eastAsia="ro-RO"/>
        </w:rPr>
        <w:tab/>
        <w:t>Din totalul celor 2622 posturi de procuror ocupate, 41 de procurori funcţionau peste schema prevăzută (5 procurori la PÎCCJ, 9 procurori la PCA, 14 procurori la PT, 13 procurori la PJ). Această situaţie se datorează faptului că procurorii respectivi fie şi-au încetat mandatele de conducere, fie şi-au încetat activitatea la cele două structuri din cadrul Parchetului de pe lângă Înalta Curte de Casaţie şi Justiţie (DNA, DIICOT) şi potrivit dispoziţiilor legale au revenit pe posturile de execuţie de la unităţile de parchet la care au funcţionat anterior numirii.</w:t>
      </w:r>
      <w:r w:rsidRPr="002152E4">
        <w:rPr>
          <w:lang w:val="ro-RO" w:eastAsia="ro-RO"/>
        </w:rPr>
        <w:tab/>
      </w:r>
    </w:p>
    <w:p w:rsidR="00D17316" w:rsidRPr="002152E4" w:rsidRDefault="00D17316" w:rsidP="00D17316">
      <w:pPr>
        <w:ind w:firstLine="684"/>
        <w:jc w:val="both"/>
        <w:rPr>
          <w:lang w:val="ro-RO" w:eastAsia="ro-RO"/>
        </w:rPr>
      </w:pPr>
      <w:r w:rsidRPr="002152E4">
        <w:rPr>
          <w:lang w:val="ro-RO" w:eastAsia="ro-RO"/>
        </w:rPr>
        <w:t>Totodată, dintre cei 2622 procurori, un număr de 1256 (48%) îl reprezentau bărbaţii, iar un număr de 1366 (52%) îl reprezentau femeile.</w:t>
      </w:r>
    </w:p>
    <w:p w:rsidR="00D17316" w:rsidRPr="002152E4" w:rsidRDefault="00D17316" w:rsidP="00D17316">
      <w:pPr>
        <w:ind w:firstLine="684"/>
        <w:jc w:val="both"/>
        <w:rPr>
          <w:lang w:val="ro-RO" w:eastAsia="ro-RO"/>
        </w:rPr>
      </w:pPr>
      <w:r w:rsidRPr="002152E4">
        <w:rPr>
          <w:lang w:val="ro-RO" w:eastAsia="ro-RO"/>
        </w:rPr>
        <w:t xml:space="preserve">Comparativ, la începutul anului 2016, din totalul </w:t>
      </w:r>
      <w:r w:rsidRPr="002152E4">
        <w:rPr>
          <w:b/>
          <w:lang w:val="ro-RO" w:eastAsia="ro-RO"/>
        </w:rPr>
        <w:t>de 2953 posturi de procuror</w:t>
      </w:r>
      <w:r w:rsidRPr="002152E4">
        <w:rPr>
          <w:lang w:val="ro-RO" w:eastAsia="ro-RO"/>
        </w:rPr>
        <w:t xml:space="preserve">, la care se adaugă 36 posturi acordate potrivit art.134¹ din Legea nr.304/2004, </w:t>
      </w:r>
      <w:r w:rsidRPr="002152E4">
        <w:rPr>
          <w:b/>
          <w:lang w:val="ro-RO" w:eastAsia="ro-RO"/>
        </w:rPr>
        <w:t>erau vacante 405 posturi</w:t>
      </w:r>
      <w:r w:rsidRPr="002152E4">
        <w:rPr>
          <w:lang w:val="ro-RO" w:eastAsia="ro-RO"/>
        </w:rPr>
        <w:t>, din care 201 erau corespunzătoare funcţiilor de execuţie, iar 204 funcţiilor de conducere.</w:t>
      </w:r>
    </w:p>
    <w:p w:rsidR="00D17316" w:rsidRPr="002152E4" w:rsidRDefault="00D17316" w:rsidP="00D17316">
      <w:pPr>
        <w:ind w:firstLine="684"/>
        <w:jc w:val="both"/>
        <w:rPr>
          <w:lang w:val="ro-RO" w:eastAsia="ro-RO"/>
        </w:rPr>
      </w:pPr>
    </w:p>
    <w:p w:rsidR="00D17316" w:rsidRPr="002152E4" w:rsidRDefault="00D17316" w:rsidP="00D17316">
      <w:pPr>
        <w:ind w:firstLine="684"/>
        <w:jc w:val="both"/>
        <w:rPr>
          <w:lang w:val="ro-RO" w:eastAsia="ro-RO"/>
        </w:rPr>
      </w:pPr>
    </w:p>
    <w:p w:rsidR="00D17316" w:rsidRPr="002152E4" w:rsidRDefault="007041EF" w:rsidP="00D17316">
      <w:pPr>
        <w:ind w:firstLine="684"/>
        <w:jc w:val="both"/>
        <w:rPr>
          <w:b/>
          <w:i/>
          <w:lang w:val="ro-RO" w:eastAsia="ro-RO"/>
        </w:rPr>
      </w:pPr>
      <w:r w:rsidRPr="002152E4">
        <w:rPr>
          <w:noProof/>
        </w:rPr>
        <w:lastRenderedPageBreak/>
        <w:drawing>
          <wp:inline distT="0" distB="0" distL="0" distR="0">
            <wp:extent cx="5478780" cy="2941320"/>
            <wp:effectExtent l="0" t="0" r="0" b="0"/>
            <wp:docPr id="70" name="Object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D17316" w:rsidRPr="002152E4" w:rsidRDefault="00D17316" w:rsidP="00D17316">
      <w:pPr>
        <w:ind w:firstLine="684"/>
        <w:jc w:val="both"/>
        <w:rPr>
          <w:lang w:val="ro-RO" w:eastAsia="ro-RO"/>
        </w:rPr>
      </w:pPr>
      <w:r w:rsidRPr="002152E4">
        <w:rPr>
          <w:lang w:val="ro-RO" w:eastAsia="ro-RO"/>
        </w:rPr>
        <w:tab/>
      </w:r>
    </w:p>
    <w:p w:rsidR="005952DB" w:rsidRPr="002152E4" w:rsidRDefault="007041EF" w:rsidP="00D17316">
      <w:pPr>
        <w:ind w:firstLine="684"/>
        <w:jc w:val="both"/>
        <w:rPr>
          <w:lang w:val="ro-RO" w:eastAsia="ro-RO"/>
        </w:rPr>
      </w:pPr>
      <w:r w:rsidRPr="002152E4">
        <w:rPr>
          <w:noProof/>
        </w:rPr>
        <w:drawing>
          <wp:inline distT="0" distB="0" distL="0" distR="0">
            <wp:extent cx="5478780" cy="3223260"/>
            <wp:effectExtent l="0" t="0" r="0" b="0"/>
            <wp:docPr id="71" name="Object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D17316" w:rsidRPr="002152E4" w:rsidRDefault="007041EF" w:rsidP="00D17316">
      <w:pPr>
        <w:ind w:firstLine="684"/>
        <w:jc w:val="both"/>
        <w:rPr>
          <w:b/>
          <w:i/>
          <w:lang w:val="ro-RO" w:eastAsia="ro-RO"/>
        </w:rPr>
      </w:pPr>
      <w:r w:rsidRPr="002152E4">
        <w:rPr>
          <w:noProof/>
        </w:rPr>
        <w:drawing>
          <wp:inline distT="0" distB="0" distL="0" distR="0">
            <wp:extent cx="5539740" cy="3246120"/>
            <wp:effectExtent l="0" t="0" r="0" b="0"/>
            <wp:docPr id="72" name="Object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D17316" w:rsidRPr="002152E4" w:rsidRDefault="00D17316" w:rsidP="00D17316">
      <w:pPr>
        <w:ind w:firstLine="684"/>
        <w:jc w:val="both"/>
        <w:rPr>
          <w:b/>
          <w:i/>
          <w:lang w:val="ro-RO" w:eastAsia="ro-RO"/>
        </w:rPr>
      </w:pPr>
      <w:r w:rsidRPr="002152E4">
        <w:rPr>
          <w:lang w:val="ro-RO" w:eastAsia="ro-RO"/>
        </w:rPr>
        <w:lastRenderedPageBreak/>
        <w:tab/>
      </w:r>
      <w:r w:rsidRPr="002152E4">
        <w:rPr>
          <w:b/>
          <w:i/>
          <w:lang w:val="ro-RO" w:eastAsia="ro-RO"/>
        </w:rPr>
        <w:t>Aspecte relevante privind personalul auxiliar</w:t>
      </w:r>
    </w:p>
    <w:p w:rsidR="00D17316" w:rsidRPr="002152E4" w:rsidRDefault="00D17316" w:rsidP="00D17316">
      <w:pPr>
        <w:ind w:firstLine="684"/>
        <w:jc w:val="both"/>
        <w:rPr>
          <w:b/>
          <w:i/>
          <w:lang w:val="ro-RO" w:eastAsia="ro-RO"/>
        </w:rPr>
      </w:pPr>
    </w:p>
    <w:p w:rsidR="00D17316" w:rsidRPr="002152E4" w:rsidRDefault="00D17316" w:rsidP="00D17316">
      <w:pPr>
        <w:ind w:firstLine="684"/>
        <w:jc w:val="both"/>
        <w:rPr>
          <w:lang w:val="ro-RO" w:eastAsia="ro-RO"/>
        </w:rPr>
      </w:pPr>
      <w:r w:rsidRPr="002152E4">
        <w:rPr>
          <w:lang w:val="ro-RO" w:eastAsia="ro-RO"/>
        </w:rPr>
        <w:t xml:space="preserve">Potrivit datelor comunicate de parchetele de pe lângă curţile de apel, la sfârşitul anului 2016, în statele de funcţii şi de personal ale acestor parchete erau prevăzute un număr total de  </w:t>
      </w:r>
      <w:r w:rsidRPr="002152E4">
        <w:rPr>
          <w:b/>
          <w:lang w:val="ro-RO" w:eastAsia="ro-RO"/>
        </w:rPr>
        <w:t>1653</w:t>
      </w:r>
      <w:r w:rsidRPr="002152E4">
        <w:rPr>
          <w:lang w:val="ro-RO" w:eastAsia="ro-RO"/>
        </w:rPr>
        <w:t xml:space="preserve"> posturi (grefier, grefier statistician, grefier documentarist, grefier arhivar, grefier registrator şi  specialist IT) ,din care </w:t>
      </w:r>
      <w:r w:rsidRPr="002152E4">
        <w:rPr>
          <w:b/>
          <w:lang w:val="ro-RO" w:eastAsia="ro-RO"/>
        </w:rPr>
        <w:t xml:space="preserve">1566 </w:t>
      </w:r>
      <w:r w:rsidRPr="002152E4">
        <w:rPr>
          <w:lang w:val="ro-RO" w:eastAsia="ro-RO"/>
        </w:rPr>
        <w:t xml:space="preserve">posturi erau ocupate, iar </w:t>
      </w:r>
      <w:r w:rsidRPr="002152E4">
        <w:rPr>
          <w:b/>
          <w:lang w:val="ro-RO" w:eastAsia="ro-RO"/>
        </w:rPr>
        <w:t xml:space="preserve">87 </w:t>
      </w:r>
      <w:r w:rsidRPr="002152E4">
        <w:rPr>
          <w:lang w:val="ro-RO" w:eastAsia="ro-RO"/>
        </w:rPr>
        <w:t xml:space="preserve"> vacante. Detaliat, din cele  1454 de posturi de grefier prevăzute, 1388 erau ocupate,  iar 66 vacante, 1 post de grefier documentarist prevăzut era ocupat, din cele 47 posturi de grefier arhivar, 44 erau ocupate, iar 3 vacante şi  din cele 151 de posturi de specialist IT, 133 erau ocupate, iar 18 vacante.</w:t>
      </w:r>
    </w:p>
    <w:p w:rsidR="00D17316" w:rsidRPr="002152E4" w:rsidRDefault="00D17316" w:rsidP="00D17316">
      <w:pPr>
        <w:ind w:firstLine="684"/>
        <w:jc w:val="both"/>
        <w:rPr>
          <w:lang w:val="ro-RO" w:eastAsia="ro-RO"/>
        </w:rPr>
      </w:pPr>
      <w:r w:rsidRPr="002152E4">
        <w:rPr>
          <w:lang w:val="ro-RO" w:eastAsia="ro-RO"/>
        </w:rPr>
        <w:t xml:space="preserve">La Parchetul de pe lângă Înalta Curte de Casaţie şi Justiţie (inclusiv Secţia parchetelor militare, Direcţia Naţională Anticorupţie şi Direcţia de Investigare a Infracţiunilor de Criminalitate Organizată şi Terorism ) erau prevăzute </w:t>
      </w:r>
      <w:r w:rsidRPr="002152E4">
        <w:rPr>
          <w:b/>
          <w:lang w:val="ro-RO" w:eastAsia="ro-RO"/>
        </w:rPr>
        <w:t>446</w:t>
      </w:r>
      <w:r w:rsidRPr="002152E4">
        <w:rPr>
          <w:lang w:val="ro-RO" w:eastAsia="ro-RO"/>
        </w:rPr>
        <w:t xml:space="preserve"> posturi (grefier, grefier statistician, grefier documentarist, grefier arhivar, grefier registrator şi specialist IT) din care </w:t>
      </w:r>
      <w:r w:rsidRPr="002152E4">
        <w:rPr>
          <w:b/>
          <w:lang w:val="ro-RO" w:eastAsia="ro-RO"/>
        </w:rPr>
        <w:t xml:space="preserve">398 </w:t>
      </w:r>
      <w:r w:rsidRPr="002152E4">
        <w:rPr>
          <w:lang w:val="ro-RO" w:eastAsia="ro-RO"/>
        </w:rPr>
        <w:t xml:space="preserve">erau ocupate şi </w:t>
      </w:r>
      <w:r w:rsidRPr="002152E4">
        <w:rPr>
          <w:b/>
          <w:lang w:val="ro-RO" w:eastAsia="ro-RO"/>
        </w:rPr>
        <w:t>48</w:t>
      </w:r>
      <w:r w:rsidRPr="002152E4">
        <w:rPr>
          <w:lang w:val="ro-RO" w:eastAsia="ro-RO"/>
        </w:rPr>
        <w:t xml:space="preserve"> vacante. </w:t>
      </w:r>
    </w:p>
    <w:p w:rsidR="007F62EB" w:rsidRPr="002152E4" w:rsidRDefault="007F62EB" w:rsidP="00CD6117">
      <w:pPr>
        <w:ind w:firstLine="684"/>
        <w:jc w:val="both"/>
        <w:rPr>
          <w:lang w:val="ro-RO" w:eastAsia="ro-RO"/>
        </w:rPr>
      </w:pPr>
    </w:p>
    <w:p w:rsidR="00CD6117" w:rsidRPr="002152E4" w:rsidRDefault="00DF2D99" w:rsidP="00CD6117">
      <w:pPr>
        <w:ind w:firstLine="684"/>
        <w:jc w:val="both"/>
        <w:rPr>
          <w:b/>
          <w:lang w:val="ro-RO" w:eastAsia="ro-RO"/>
        </w:rPr>
      </w:pPr>
      <w:r w:rsidRPr="002152E4">
        <w:rPr>
          <w:b/>
          <w:i/>
          <w:lang w:val="ro-RO" w:eastAsia="ro-RO"/>
        </w:rPr>
        <w:tab/>
      </w:r>
      <w:r w:rsidR="00A202F1">
        <w:rPr>
          <w:b/>
          <w:lang w:val="ro-RO" w:eastAsia="ro-RO"/>
        </w:rPr>
        <w:t>V.2</w:t>
      </w:r>
      <w:r w:rsidR="007F62EB" w:rsidRPr="002152E4">
        <w:rPr>
          <w:b/>
          <w:lang w:val="ro-RO" w:eastAsia="ro-RO"/>
        </w:rPr>
        <w:t>. S</w:t>
      </w:r>
      <w:r w:rsidR="00CD6117" w:rsidRPr="002152E4">
        <w:rPr>
          <w:b/>
          <w:lang w:val="ro-RO" w:eastAsia="ro-RO"/>
        </w:rPr>
        <w:t>ituaţia sancţiunilor disciplinare şi penale aplicate în cursul anului 2016 pe fiecare categorie de personal</w:t>
      </w:r>
    </w:p>
    <w:p w:rsidR="00DF2D99" w:rsidRPr="002152E4" w:rsidRDefault="00DF2D99" w:rsidP="00CD6117">
      <w:pPr>
        <w:ind w:firstLine="684"/>
        <w:jc w:val="both"/>
        <w:rPr>
          <w:b/>
          <w:i/>
          <w:lang w:val="ro-RO" w:eastAsia="ro-RO"/>
        </w:rPr>
      </w:pPr>
      <w:r w:rsidRPr="002152E4">
        <w:rPr>
          <w:b/>
          <w:i/>
          <w:lang w:val="ro-RO" w:eastAsia="ro-RO"/>
        </w:rPr>
        <w:t>V.3.1. Procurori</w:t>
      </w:r>
    </w:p>
    <w:p w:rsidR="00DF2D99" w:rsidRPr="002152E4" w:rsidRDefault="00DF2D99" w:rsidP="00CD6117">
      <w:pPr>
        <w:ind w:firstLine="684"/>
        <w:jc w:val="both"/>
        <w:rPr>
          <w:b/>
          <w:i/>
          <w:lang w:val="ro-RO" w:eastAsia="ro-RO"/>
        </w:rPr>
      </w:pPr>
      <w:r w:rsidRPr="002152E4">
        <w:rPr>
          <w:b/>
          <w:i/>
          <w:lang w:val="ro-RO" w:eastAsia="ro-RO"/>
        </w:rPr>
        <w:t>A. Răspunderea disciplinară</w:t>
      </w:r>
    </w:p>
    <w:p w:rsidR="009B5C10" w:rsidRDefault="009B5C10" w:rsidP="007F62EB">
      <w:pPr>
        <w:numPr>
          <w:ilvl w:val="1"/>
          <w:numId w:val="0"/>
        </w:numPr>
        <w:ind w:right="48" w:firstLine="709"/>
        <w:jc w:val="both"/>
        <w:rPr>
          <w:lang w:val="ro-RO"/>
        </w:rPr>
      </w:pPr>
      <w:r>
        <w:rPr>
          <w:lang w:val="ro-RO"/>
        </w:rPr>
        <w:t>În total, în anul 2016, au fost aplicate procurorilor un număr de 8 sancţiuni disciplinare.</w:t>
      </w:r>
    </w:p>
    <w:p w:rsidR="00A051E2" w:rsidRPr="002152E4" w:rsidRDefault="007F62EB" w:rsidP="007F62EB">
      <w:pPr>
        <w:numPr>
          <w:ilvl w:val="1"/>
          <w:numId w:val="0"/>
        </w:numPr>
        <w:ind w:right="48" w:firstLine="709"/>
        <w:jc w:val="both"/>
        <w:rPr>
          <w:color w:val="000000"/>
          <w:lang w:val="ro-RO"/>
        </w:rPr>
      </w:pPr>
      <w:r w:rsidRPr="002152E4">
        <w:rPr>
          <w:lang w:val="ro-RO"/>
        </w:rPr>
        <w:t>S</w:t>
      </w:r>
      <w:r w:rsidR="00916126" w:rsidRPr="002152E4">
        <w:rPr>
          <w:lang w:val="ro-RO"/>
        </w:rPr>
        <w:t>ituația</w:t>
      </w:r>
      <w:r w:rsidR="00A051E2" w:rsidRPr="002152E4">
        <w:rPr>
          <w:rStyle w:val="FootnoteReference"/>
          <w:lang w:val="ro-RO"/>
        </w:rPr>
        <w:footnoteReference w:id="6"/>
      </w:r>
      <w:r w:rsidR="00916126" w:rsidRPr="002152E4">
        <w:rPr>
          <w:lang w:val="ro-RO"/>
        </w:rPr>
        <w:t xml:space="preserve"> sancțiunilor disciplinare aplicate în anul 2016 de către</w:t>
      </w:r>
      <w:r w:rsidR="00916126" w:rsidRPr="002152E4">
        <w:rPr>
          <w:color w:val="000000"/>
          <w:lang w:val="ro-RO"/>
        </w:rPr>
        <w:t xml:space="preserve"> Secția pentru procurori în materie disciplinară</w:t>
      </w:r>
      <w:r w:rsidR="00A051E2" w:rsidRPr="002152E4">
        <w:rPr>
          <w:color w:val="000000"/>
          <w:lang w:val="ro-RO"/>
        </w:rPr>
        <w:t xml:space="preserve"> se prezintă astfel :</w:t>
      </w:r>
    </w:p>
    <w:p w:rsidR="00916126" w:rsidRPr="002152E4" w:rsidRDefault="00A051E2" w:rsidP="00A051E2">
      <w:pPr>
        <w:pStyle w:val="AddParagrafBoldItalic"/>
        <w:spacing w:before="0"/>
        <w:ind w:firstLine="630"/>
        <w:jc w:val="both"/>
        <w:rPr>
          <w:b w:val="0"/>
        </w:rPr>
      </w:pPr>
      <w:r w:rsidRPr="002152E4">
        <w:rPr>
          <w:b w:val="0"/>
        </w:rPr>
        <w:t xml:space="preserve">1. </w:t>
      </w:r>
      <w:r w:rsidR="00916126" w:rsidRPr="002152E4">
        <w:rPr>
          <w:b w:val="0"/>
        </w:rPr>
        <w:t xml:space="preserve">Prin </w:t>
      </w:r>
      <w:r w:rsidR="00916126" w:rsidRPr="002152E4">
        <w:t>Hotărârea nr. 1P/13.01.2016</w:t>
      </w:r>
      <w:r w:rsidR="00916126" w:rsidRPr="002152E4">
        <w:rPr>
          <w:b w:val="0"/>
          <w:i/>
          <w:color w:val="000000"/>
        </w:rPr>
        <w:t xml:space="preserve"> </w:t>
      </w:r>
      <w:r w:rsidR="00916126" w:rsidRPr="002152E4">
        <w:rPr>
          <w:b w:val="0"/>
          <w:color w:val="000000"/>
        </w:rPr>
        <w:t xml:space="preserve">Secția pentru procurori în materie disciplinară a Consiliului Superior al Magistraturii a admis acțiunea disciplinară și a aplicat sancțiunea disciplinară </w:t>
      </w:r>
      <w:r w:rsidR="00916126" w:rsidRPr="002152E4">
        <w:rPr>
          <w:b w:val="0"/>
          <w:szCs w:val="28"/>
        </w:rPr>
        <w:t xml:space="preserve">constând în </w:t>
      </w:r>
      <w:r w:rsidR="00916126" w:rsidRPr="002152E4">
        <w:rPr>
          <w:i/>
        </w:rPr>
        <w:t>„avertisment”</w:t>
      </w:r>
      <w:r w:rsidR="00916126" w:rsidRPr="002152E4">
        <w:rPr>
          <w:b w:val="0"/>
          <w:color w:val="000000"/>
        </w:rPr>
        <w:t xml:space="preserve"> față de procurorul</w:t>
      </w:r>
      <w:r w:rsidR="00916126" w:rsidRPr="002152E4">
        <w:rPr>
          <w:b w:val="0"/>
        </w:rPr>
        <w:t xml:space="preserve"> </w:t>
      </w:r>
      <w:r w:rsidR="00916126" w:rsidRPr="002152E4">
        <w:rPr>
          <w:szCs w:val="28"/>
        </w:rPr>
        <w:t>T.A.I. din</w:t>
      </w:r>
      <w:r w:rsidR="00916126" w:rsidRPr="002152E4">
        <w:t xml:space="preserve"> cadrul</w:t>
      </w:r>
      <w:r w:rsidR="00916126" w:rsidRPr="002152E4">
        <w:rPr>
          <w:color w:val="000000"/>
        </w:rPr>
        <w:t xml:space="preserve"> Parchetului de pe lângă Judecătoria Reșița</w:t>
      </w:r>
      <w:r w:rsidR="00916126" w:rsidRPr="002152E4">
        <w:t>,</w:t>
      </w:r>
      <w:r w:rsidR="00916126" w:rsidRPr="002152E4">
        <w:rPr>
          <w:b w:val="0"/>
        </w:rPr>
        <w:t xml:space="preserve"> </w:t>
      </w:r>
      <w:r w:rsidR="00916126" w:rsidRPr="002152E4">
        <w:rPr>
          <w:b w:val="0"/>
          <w:szCs w:val="28"/>
        </w:rPr>
        <w:t xml:space="preserve">pentru săvârşirea abaterii </w:t>
      </w:r>
      <w:r w:rsidR="00916126" w:rsidRPr="002152E4">
        <w:rPr>
          <w:b w:val="0"/>
        </w:rPr>
        <w:t>disciplinare prev. de art.</w:t>
      </w:r>
      <w:r w:rsidR="00916126" w:rsidRPr="002152E4">
        <w:rPr>
          <w:b w:val="0"/>
          <w:szCs w:val="28"/>
        </w:rPr>
        <w:t xml:space="preserve"> 99 lit.t) teza a II-a  din Legea 303/2004. </w:t>
      </w:r>
      <w:r w:rsidRPr="002152E4">
        <w:rPr>
          <w:b w:val="0"/>
          <w:szCs w:val="28"/>
        </w:rPr>
        <w:tab/>
      </w:r>
      <w:r w:rsidR="00916126" w:rsidRPr="002152E4">
        <w:rPr>
          <w:b w:val="0"/>
        </w:rPr>
        <w:t>Prin decizia civilă nr. 276/19.09.2016 a ÎCCJ s-a admis recursul declarat de recurent și în urma rejudecării a fost respinsă acțiunea disciplinară.</w:t>
      </w:r>
    </w:p>
    <w:p w:rsidR="00A051E2" w:rsidRPr="002152E4" w:rsidRDefault="00916126" w:rsidP="00A051E2">
      <w:pPr>
        <w:pStyle w:val="AddParagrafBoldItalic"/>
        <w:spacing w:before="0"/>
        <w:ind w:firstLine="630"/>
        <w:jc w:val="both"/>
        <w:rPr>
          <w:b w:val="0"/>
          <w:szCs w:val="28"/>
        </w:rPr>
      </w:pPr>
      <w:r w:rsidRPr="002152E4">
        <w:rPr>
          <w:b w:val="0"/>
        </w:rPr>
        <w:t xml:space="preserve"> </w:t>
      </w:r>
      <w:r w:rsidR="00A051E2" w:rsidRPr="002152E4">
        <w:rPr>
          <w:b w:val="0"/>
        </w:rPr>
        <w:t xml:space="preserve">2. </w:t>
      </w:r>
      <w:r w:rsidRPr="002152E4">
        <w:rPr>
          <w:b w:val="0"/>
        </w:rPr>
        <w:t xml:space="preserve">Prin </w:t>
      </w:r>
      <w:r w:rsidRPr="002152E4">
        <w:t>Hotărârea nr. 2P/20.04.2016</w:t>
      </w:r>
      <w:r w:rsidRPr="002152E4">
        <w:rPr>
          <w:b w:val="0"/>
          <w:i/>
          <w:color w:val="000000"/>
        </w:rPr>
        <w:t xml:space="preserve"> </w:t>
      </w:r>
      <w:r w:rsidRPr="002152E4">
        <w:rPr>
          <w:b w:val="0"/>
          <w:color w:val="000000"/>
        </w:rPr>
        <w:t xml:space="preserve">Secția pentru procurori în materie disciplinară a Consiliului Superior al Magistraturii a admis acțiunea disciplinară și a aplicat sancțiunea disciplinară </w:t>
      </w:r>
      <w:r w:rsidRPr="002152E4">
        <w:rPr>
          <w:b w:val="0"/>
          <w:szCs w:val="28"/>
        </w:rPr>
        <w:t xml:space="preserve">constând în </w:t>
      </w:r>
      <w:r w:rsidRPr="002152E4">
        <w:rPr>
          <w:i/>
          <w:szCs w:val="28"/>
        </w:rPr>
        <w:t xml:space="preserve">„diminuarea </w:t>
      </w:r>
      <w:r w:rsidR="003234CF" w:rsidRPr="002152E4">
        <w:rPr>
          <w:i/>
          <w:szCs w:val="28"/>
        </w:rPr>
        <w:t>indemnizației</w:t>
      </w:r>
      <w:r w:rsidRPr="002152E4">
        <w:rPr>
          <w:i/>
          <w:szCs w:val="28"/>
        </w:rPr>
        <w:t xml:space="preserve"> de încadrare lunare brute cu 20% pe o perioadă de 6 luni”</w:t>
      </w:r>
      <w:r w:rsidRPr="002152E4">
        <w:rPr>
          <w:b w:val="0"/>
          <w:szCs w:val="28"/>
        </w:rPr>
        <w:t xml:space="preserve"> </w:t>
      </w:r>
      <w:r w:rsidRPr="002152E4">
        <w:rPr>
          <w:b w:val="0"/>
          <w:color w:val="000000"/>
        </w:rPr>
        <w:t>față de procurorul</w:t>
      </w:r>
      <w:r w:rsidRPr="002152E4">
        <w:rPr>
          <w:b w:val="0"/>
        </w:rPr>
        <w:t xml:space="preserve"> </w:t>
      </w:r>
      <w:r w:rsidRPr="002152E4">
        <w:rPr>
          <w:szCs w:val="28"/>
        </w:rPr>
        <w:t>M.E.L. din</w:t>
      </w:r>
      <w:r w:rsidRPr="002152E4">
        <w:t xml:space="preserve"> cadrul</w:t>
      </w:r>
      <w:r w:rsidRPr="002152E4">
        <w:rPr>
          <w:color w:val="000000"/>
        </w:rPr>
        <w:t xml:space="preserve"> Parchetului de pe lângă Judecătoria Șimleu Silvaniei</w:t>
      </w:r>
      <w:r w:rsidRPr="002152E4">
        <w:t>,</w:t>
      </w:r>
      <w:r w:rsidRPr="002152E4">
        <w:rPr>
          <w:b w:val="0"/>
        </w:rPr>
        <w:t xml:space="preserve"> </w:t>
      </w:r>
      <w:r w:rsidRPr="002152E4">
        <w:rPr>
          <w:b w:val="0"/>
          <w:szCs w:val="28"/>
        </w:rPr>
        <w:t xml:space="preserve">pentru săvârşirea abaterii </w:t>
      </w:r>
      <w:r w:rsidRPr="002152E4">
        <w:rPr>
          <w:b w:val="0"/>
        </w:rPr>
        <w:t>disciplinare prev. de art.</w:t>
      </w:r>
      <w:r w:rsidRPr="002152E4">
        <w:rPr>
          <w:b w:val="0"/>
          <w:szCs w:val="28"/>
        </w:rPr>
        <w:t xml:space="preserve"> 99 lit.t) teza a II-a  din Legea 303/2004. </w:t>
      </w:r>
    </w:p>
    <w:p w:rsidR="00A051E2" w:rsidRPr="002152E4" w:rsidRDefault="00A051E2" w:rsidP="00A051E2">
      <w:pPr>
        <w:pStyle w:val="AddParagrafBoldItalic"/>
        <w:spacing w:before="0"/>
        <w:ind w:firstLine="630"/>
        <w:jc w:val="both"/>
        <w:rPr>
          <w:b w:val="0"/>
          <w:szCs w:val="28"/>
        </w:rPr>
      </w:pPr>
      <w:r w:rsidRPr="002152E4">
        <w:rPr>
          <w:b w:val="0"/>
          <w:szCs w:val="28"/>
        </w:rPr>
        <w:t xml:space="preserve">3. </w:t>
      </w:r>
      <w:r w:rsidR="00916126" w:rsidRPr="002152E4">
        <w:rPr>
          <w:b w:val="0"/>
        </w:rPr>
        <w:t xml:space="preserve">Prin </w:t>
      </w:r>
      <w:r w:rsidR="00916126" w:rsidRPr="002152E4">
        <w:t>Hotărârea nr. 3P/20.04.2016</w:t>
      </w:r>
      <w:r w:rsidR="00916126" w:rsidRPr="002152E4">
        <w:rPr>
          <w:b w:val="0"/>
          <w:i/>
          <w:color w:val="000000"/>
        </w:rPr>
        <w:t xml:space="preserve"> </w:t>
      </w:r>
      <w:r w:rsidR="00916126" w:rsidRPr="002152E4">
        <w:rPr>
          <w:b w:val="0"/>
          <w:color w:val="000000"/>
        </w:rPr>
        <w:t xml:space="preserve">Secția pentru procurori în materie disciplinară a Consiliului Superior al Magistraturii a admis acțiunea disciplinară și a aplicat sancțiunea disciplinară </w:t>
      </w:r>
      <w:r w:rsidR="00916126" w:rsidRPr="002152E4">
        <w:rPr>
          <w:b w:val="0"/>
          <w:szCs w:val="28"/>
        </w:rPr>
        <w:t xml:space="preserve">constând în </w:t>
      </w:r>
      <w:r w:rsidR="00916126" w:rsidRPr="002152E4">
        <w:rPr>
          <w:i/>
          <w:szCs w:val="28"/>
        </w:rPr>
        <w:t xml:space="preserve">„diminuarea </w:t>
      </w:r>
      <w:r w:rsidR="003234CF" w:rsidRPr="002152E4">
        <w:rPr>
          <w:i/>
          <w:szCs w:val="28"/>
        </w:rPr>
        <w:t>indemnizației</w:t>
      </w:r>
      <w:r w:rsidR="00916126" w:rsidRPr="002152E4">
        <w:rPr>
          <w:i/>
          <w:szCs w:val="28"/>
        </w:rPr>
        <w:t xml:space="preserve"> de încadrare lunare brute cu 10% pe o perioadă de 3 luni”</w:t>
      </w:r>
      <w:r w:rsidR="00916126" w:rsidRPr="002152E4">
        <w:rPr>
          <w:b w:val="0"/>
          <w:szCs w:val="28"/>
        </w:rPr>
        <w:t xml:space="preserve"> </w:t>
      </w:r>
      <w:r w:rsidR="00916126" w:rsidRPr="002152E4">
        <w:rPr>
          <w:b w:val="0"/>
          <w:color w:val="000000"/>
        </w:rPr>
        <w:t>față de procurorul</w:t>
      </w:r>
      <w:r w:rsidR="00916126" w:rsidRPr="002152E4">
        <w:rPr>
          <w:b w:val="0"/>
        </w:rPr>
        <w:t xml:space="preserve"> </w:t>
      </w:r>
      <w:r w:rsidR="00916126" w:rsidRPr="002152E4">
        <w:rPr>
          <w:szCs w:val="28"/>
        </w:rPr>
        <w:t>R.A. din</w:t>
      </w:r>
      <w:r w:rsidR="00916126" w:rsidRPr="002152E4">
        <w:t xml:space="preserve"> cadrul</w:t>
      </w:r>
      <w:r w:rsidR="00916126" w:rsidRPr="002152E4">
        <w:rPr>
          <w:color w:val="000000"/>
        </w:rPr>
        <w:t xml:space="preserve"> Parchetului de pe lângă Tribunalul Brașov</w:t>
      </w:r>
      <w:r w:rsidR="00916126" w:rsidRPr="002152E4">
        <w:t>,</w:t>
      </w:r>
      <w:r w:rsidR="00916126" w:rsidRPr="002152E4">
        <w:rPr>
          <w:b w:val="0"/>
        </w:rPr>
        <w:t xml:space="preserve"> </w:t>
      </w:r>
      <w:r w:rsidR="00916126" w:rsidRPr="002152E4">
        <w:rPr>
          <w:b w:val="0"/>
          <w:szCs w:val="28"/>
        </w:rPr>
        <w:t xml:space="preserve">pentru săvârşirea abaterilor </w:t>
      </w:r>
      <w:r w:rsidR="00916126" w:rsidRPr="002152E4">
        <w:rPr>
          <w:b w:val="0"/>
        </w:rPr>
        <w:t>disciplinare prev. de art.</w:t>
      </w:r>
      <w:r w:rsidR="00916126" w:rsidRPr="002152E4">
        <w:rPr>
          <w:b w:val="0"/>
          <w:szCs w:val="28"/>
        </w:rPr>
        <w:t xml:space="preserve"> 99 lit.m), h) și  t) din Legea 303/2004. </w:t>
      </w:r>
    </w:p>
    <w:p w:rsidR="00A051E2" w:rsidRPr="002152E4" w:rsidRDefault="00A051E2" w:rsidP="00A051E2">
      <w:pPr>
        <w:pStyle w:val="AddParagrafBoldItalic"/>
        <w:spacing w:before="0"/>
        <w:ind w:firstLine="630"/>
        <w:jc w:val="both"/>
        <w:rPr>
          <w:b w:val="0"/>
          <w:szCs w:val="28"/>
        </w:rPr>
      </w:pPr>
      <w:r w:rsidRPr="002152E4">
        <w:rPr>
          <w:b w:val="0"/>
        </w:rPr>
        <w:t xml:space="preserve">4. </w:t>
      </w:r>
      <w:r w:rsidR="00916126" w:rsidRPr="002152E4">
        <w:rPr>
          <w:b w:val="0"/>
        </w:rPr>
        <w:t xml:space="preserve">Prin </w:t>
      </w:r>
      <w:r w:rsidR="00916126" w:rsidRPr="002152E4">
        <w:t>Hotărârea nr. 4P/04.05.2016</w:t>
      </w:r>
      <w:r w:rsidR="00916126" w:rsidRPr="002152E4">
        <w:rPr>
          <w:b w:val="0"/>
          <w:i/>
          <w:color w:val="000000"/>
        </w:rPr>
        <w:t xml:space="preserve"> </w:t>
      </w:r>
      <w:r w:rsidR="00916126" w:rsidRPr="002152E4">
        <w:rPr>
          <w:b w:val="0"/>
          <w:color w:val="000000"/>
        </w:rPr>
        <w:t xml:space="preserve">Secția pentru procurori în materie disciplinară a Consiliului Superior al Magistraturii a admis acțiunea disciplinară și a aplicat sancțiunea disciplinară </w:t>
      </w:r>
      <w:r w:rsidR="00916126" w:rsidRPr="002152E4">
        <w:rPr>
          <w:b w:val="0"/>
          <w:szCs w:val="28"/>
        </w:rPr>
        <w:t xml:space="preserve">constând în </w:t>
      </w:r>
      <w:r w:rsidR="00916126" w:rsidRPr="002152E4">
        <w:rPr>
          <w:i/>
        </w:rPr>
        <w:t>„avertisment”</w:t>
      </w:r>
      <w:r w:rsidR="00916126" w:rsidRPr="002152E4">
        <w:rPr>
          <w:b w:val="0"/>
          <w:color w:val="000000"/>
        </w:rPr>
        <w:t xml:space="preserve"> față de procurorul</w:t>
      </w:r>
      <w:r w:rsidR="00916126" w:rsidRPr="002152E4">
        <w:rPr>
          <w:b w:val="0"/>
        </w:rPr>
        <w:t xml:space="preserve"> </w:t>
      </w:r>
      <w:r w:rsidR="00916126" w:rsidRPr="002152E4">
        <w:rPr>
          <w:szCs w:val="28"/>
        </w:rPr>
        <w:t>R.C.I. din</w:t>
      </w:r>
      <w:r w:rsidR="00916126" w:rsidRPr="002152E4">
        <w:t xml:space="preserve"> cadrul</w:t>
      </w:r>
      <w:r w:rsidR="00916126" w:rsidRPr="002152E4">
        <w:rPr>
          <w:color w:val="000000"/>
        </w:rPr>
        <w:t xml:space="preserve"> Parchetului de pe lângă Judecătoria Întorsura Buzăului</w:t>
      </w:r>
      <w:r w:rsidR="00916126" w:rsidRPr="002152E4">
        <w:t>,</w:t>
      </w:r>
      <w:r w:rsidR="00916126" w:rsidRPr="002152E4">
        <w:rPr>
          <w:b w:val="0"/>
        </w:rPr>
        <w:t xml:space="preserve"> </w:t>
      </w:r>
      <w:r w:rsidR="00916126" w:rsidRPr="002152E4">
        <w:rPr>
          <w:b w:val="0"/>
          <w:szCs w:val="28"/>
        </w:rPr>
        <w:t xml:space="preserve">pentru săvârşirea abaterii </w:t>
      </w:r>
      <w:r w:rsidR="00916126" w:rsidRPr="002152E4">
        <w:rPr>
          <w:b w:val="0"/>
        </w:rPr>
        <w:t>disciplinare prev. de art.</w:t>
      </w:r>
      <w:r w:rsidR="00916126" w:rsidRPr="002152E4">
        <w:rPr>
          <w:b w:val="0"/>
          <w:szCs w:val="28"/>
        </w:rPr>
        <w:t xml:space="preserve"> 99 lit. k) și m) din Legea 303/2004. </w:t>
      </w:r>
    </w:p>
    <w:p w:rsidR="00A051E2" w:rsidRPr="002152E4" w:rsidRDefault="00A051E2" w:rsidP="00A051E2">
      <w:pPr>
        <w:pStyle w:val="AddParagrafBoldItalic"/>
        <w:spacing w:before="0"/>
        <w:ind w:firstLine="630"/>
        <w:jc w:val="both"/>
        <w:rPr>
          <w:b w:val="0"/>
          <w:szCs w:val="28"/>
        </w:rPr>
      </w:pPr>
      <w:r w:rsidRPr="002152E4">
        <w:rPr>
          <w:b w:val="0"/>
          <w:szCs w:val="28"/>
        </w:rPr>
        <w:t xml:space="preserve">5. </w:t>
      </w:r>
      <w:r w:rsidR="00916126" w:rsidRPr="002152E4">
        <w:rPr>
          <w:b w:val="0"/>
        </w:rPr>
        <w:t xml:space="preserve">Prin </w:t>
      </w:r>
      <w:r w:rsidR="00916126" w:rsidRPr="002152E4">
        <w:t>Hotărârea nr. 5P/08.06.2016</w:t>
      </w:r>
      <w:r w:rsidR="00916126" w:rsidRPr="002152E4">
        <w:rPr>
          <w:b w:val="0"/>
          <w:i/>
          <w:color w:val="000000"/>
        </w:rPr>
        <w:t xml:space="preserve"> </w:t>
      </w:r>
      <w:r w:rsidR="00916126" w:rsidRPr="002152E4">
        <w:rPr>
          <w:b w:val="0"/>
          <w:color w:val="000000"/>
        </w:rPr>
        <w:t xml:space="preserve">Secția pentru procurori în materie disciplinară a Consiliului Superior al Magistraturii a admis acțiunea disciplinară și a aplicat sancțiunea disciplinară </w:t>
      </w:r>
      <w:r w:rsidR="00916126" w:rsidRPr="002152E4">
        <w:rPr>
          <w:b w:val="0"/>
          <w:szCs w:val="28"/>
        </w:rPr>
        <w:t xml:space="preserve">constând în </w:t>
      </w:r>
      <w:r w:rsidR="00916126" w:rsidRPr="002152E4">
        <w:rPr>
          <w:i/>
        </w:rPr>
        <w:t>„avertisment”</w:t>
      </w:r>
      <w:r w:rsidR="00916126" w:rsidRPr="002152E4">
        <w:rPr>
          <w:b w:val="0"/>
          <w:color w:val="000000"/>
        </w:rPr>
        <w:t xml:space="preserve"> față de procurorul</w:t>
      </w:r>
      <w:r w:rsidR="00916126" w:rsidRPr="002152E4">
        <w:rPr>
          <w:b w:val="0"/>
        </w:rPr>
        <w:t xml:space="preserve"> </w:t>
      </w:r>
      <w:r w:rsidR="00916126" w:rsidRPr="002152E4">
        <w:rPr>
          <w:szCs w:val="28"/>
        </w:rPr>
        <w:t>Ș.C. din</w:t>
      </w:r>
      <w:r w:rsidR="00916126" w:rsidRPr="002152E4">
        <w:t xml:space="preserve"> cadrul</w:t>
      </w:r>
      <w:r w:rsidR="00916126" w:rsidRPr="002152E4">
        <w:rPr>
          <w:color w:val="000000"/>
        </w:rPr>
        <w:t xml:space="preserve"> Parchetului de pe lângă Tribunalul Mehedinți</w:t>
      </w:r>
      <w:r w:rsidR="00916126" w:rsidRPr="002152E4">
        <w:t>,</w:t>
      </w:r>
      <w:r w:rsidR="00916126" w:rsidRPr="002152E4">
        <w:rPr>
          <w:b w:val="0"/>
        </w:rPr>
        <w:t xml:space="preserve"> </w:t>
      </w:r>
      <w:r w:rsidR="00916126" w:rsidRPr="002152E4">
        <w:rPr>
          <w:b w:val="0"/>
          <w:szCs w:val="28"/>
        </w:rPr>
        <w:t xml:space="preserve">pentru săvârşirea abaterilor </w:t>
      </w:r>
      <w:r w:rsidR="00916126" w:rsidRPr="002152E4">
        <w:rPr>
          <w:b w:val="0"/>
        </w:rPr>
        <w:t>disciplinare prev. de art.</w:t>
      </w:r>
      <w:r w:rsidR="00916126" w:rsidRPr="002152E4">
        <w:rPr>
          <w:b w:val="0"/>
          <w:szCs w:val="28"/>
        </w:rPr>
        <w:t xml:space="preserve"> 99 lit. h) și m) din Legea 303/2004. </w:t>
      </w:r>
      <w:r w:rsidRPr="002152E4">
        <w:rPr>
          <w:b w:val="0"/>
          <w:szCs w:val="28"/>
        </w:rPr>
        <w:tab/>
        <w:t xml:space="preserve">6. </w:t>
      </w:r>
      <w:r w:rsidR="00916126" w:rsidRPr="002152E4">
        <w:rPr>
          <w:b w:val="0"/>
        </w:rPr>
        <w:t xml:space="preserve">Prin </w:t>
      </w:r>
      <w:r w:rsidR="00916126" w:rsidRPr="002152E4">
        <w:t>Hotărârea nr. 7P/22.06.2016</w:t>
      </w:r>
      <w:r w:rsidR="00916126" w:rsidRPr="002152E4">
        <w:rPr>
          <w:b w:val="0"/>
          <w:i/>
          <w:color w:val="000000"/>
        </w:rPr>
        <w:t xml:space="preserve"> </w:t>
      </w:r>
      <w:r w:rsidR="00916126" w:rsidRPr="002152E4">
        <w:rPr>
          <w:b w:val="0"/>
          <w:color w:val="000000"/>
        </w:rPr>
        <w:t xml:space="preserve">Secția pentru procurori în materie disciplinară a Consiliului Superior al Magistraturii a admis acțiunea disciplinară și a aplicat sancțiunea disciplinară </w:t>
      </w:r>
      <w:r w:rsidR="00916126" w:rsidRPr="002152E4">
        <w:rPr>
          <w:b w:val="0"/>
          <w:szCs w:val="28"/>
        </w:rPr>
        <w:t xml:space="preserve">constând în </w:t>
      </w:r>
      <w:r w:rsidR="00916126" w:rsidRPr="002152E4">
        <w:rPr>
          <w:i/>
        </w:rPr>
        <w:lastRenderedPageBreak/>
        <w:t>„avertisment”</w:t>
      </w:r>
      <w:r w:rsidR="00916126" w:rsidRPr="002152E4">
        <w:rPr>
          <w:b w:val="0"/>
          <w:color w:val="000000"/>
        </w:rPr>
        <w:t xml:space="preserve"> față de procurorul</w:t>
      </w:r>
      <w:r w:rsidR="00916126" w:rsidRPr="002152E4">
        <w:rPr>
          <w:b w:val="0"/>
        </w:rPr>
        <w:t xml:space="preserve"> </w:t>
      </w:r>
      <w:r w:rsidR="00916126" w:rsidRPr="002152E4">
        <w:rPr>
          <w:szCs w:val="28"/>
        </w:rPr>
        <w:t>E.E. din</w:t>
      </w:r>
      <w:r w:rsidR="00916126" w:rsidRPr="002152E4">
        <w:t xml:space="preserve"> cadrul</w:t>
      </w:r>
      <w:r w:rsidR="00916126" w:rsidRPr="002152E4">
        <w:rPr>
          <w:color w:val="000000"/>
        </w:rPr>
        <w:t xml:space="preserve"> Parchetului de pe lângă Tribunalul Iași</w:t>
      </w:r>
      <w:r w:rsidR="00916126" w:rsidRPr="002152E4">
        <w:t>,</w:t>
      </w:r>
      <w:r w:rsidR="00916126" w:rsidRPr="002152E4">
        <w:rPr>
          <w:b w:val="0"/>
        </w:rPr>
        <w:t xml:space="preserve"> </w:t>
      </w:r>
      <w:r w:rsidR="00916126" w:rsidRPr="002152E4">
        <w:rPr>
          <w:b w:val="0"/>
          <w:szCs w:val="28"/>
        </w:rPr>
        <w:t xml:space="preserve">pentru săvârşirea abaterii </w:t>
      </w:r>
      <w:r w:rsidR="00916126" w:rsidRPr="002152E4">
        <w:rPr>
          <w:b w:val="0"/>
        </w:rPr>
        <w:t>disciplinare prev. de art.</w:t>
      </w:r>
      <w:r w:rsidR="00916126" w:rsidRPr="002152E4">
        <w:rPr>
          <w:b w:val="0"/>
          <w:szCs w:val="28"/>
        </w:rPr>
        <w:t xml:space="preserve"> 99 lit. j) din Legea 303/2004. </w:t>
      </w:r>
    </w:p>
    <w:p w:rsidR="00A051E2" w:rsidRPr="002152E4" w:rsidRDefault="00A051E2" w:rsidP="00A051E2">
      <w:pPr>
        <w:pStyle w:val="AddParagrafBoldItalic"/>
        <w:spacing w:before="0"/>
        <w:ind w:firstLine="630"/>
        <w:jc w:val="both"/>
        <w:rPr>
          <w:b w:val="0"/>
          <w:szCs w:val="28"/>
        </w:rPr>
      </w:pPr>
      <w:r w:rsidRPr="002152E4">
        <w:rPr>
          <w:b w:val="0"/>
          <w:szCs w:val="28"/>
        </w:rPr>
        <w:t xml:space="preserve">7. </w:t>
      </w:r>
      <w:r w:rsidR="00916126" w:rsidRPr="002152E4">
        <w:rPr>
          <w:b w:val="0"/>
        </w:rPr>
        <w:t xml:space="preserve">Prin </w:t>
      </w:r>
      <w:r w:rsidR="00916126" w:rsidRPr="002152E4">
        <w:t>Hotărârea nr. 8P/07.09.2016</w:t>
      </w:r>
      <w:r w:rsidR="00916126" w:rsidRPr="002152E4">
        <w:rPr>
          <w:b w:val="0"/>
          <w:i/>
          <w:color w:val="000000"/>
        </w:rPr>
        <w:t xml:space="preserve"> </w:t>
      </w:r>
      <w:r w:rsidR="00916126" w:rsidRPr="002152E4">
        <w:rPr>
          <w:b w:val="0"/>
          <w:color w:val="000000"/>
        </w:rPr>
        <w:t xml:space="preserve">Secția pentru procurori în materie disciplinară a Consiliului Superior al Magistraturii a admis acțiunea disciplinară și a aplicat sancțiunea disciplinară </w:t>
      </w:r>
      <w:r w:rsidR="00916126" w:rsidRPr="002152E4">
        <w:rPr>
          <w:b w:val="0"/>
          <w:szCs w:val="28"/>
        </w:rPr>
        <w:t xml:space="preserve">constând în </w:t>
      </w:r>
      <w:r w:rsidR="00916126" w:rsidRPr="002152E4">
        <w:rPr>
          <w:i/>
        </w:rPr>
        <w:t>„avertisment”</w:t>
      </w:r>
      <w:r w:rsidR="00916126" w:rsidRPr="002152E4">
        <w:rPr>
          <w:b w:val="0"/>
          <w:color w:val="000000"/>
        </w:rPr>
        <w:t xml:space="preserve"> față de procurorul</w:t>
      </w:r>
      <w:r w:rsidR="00916126" w:rsidRPr="002152E4">
        <w:rPr>
          <w:b w:val="0"/>
        </w:rPr>
        <w:t xml:space="preserve"> </w:t>
      </w:r>
      <w:r w:rsidR="00916126" w:rsidRPr="002152E4">
        <w:rPr>
          <w:szCs w:val="28"/>
        </w:rPr>
        <w:t>G.L. din</w:t>
      </w:r>
      <w:r w:rsidR="00916126" w:rsidRPr="002152E4">
        <w:t xml:space="preserve"> cadrul</w:t>
      </w:r>
      <w:r w:rsidR="00916126" w:rsidRPr="002152E4">
        <w:rPr>
          <w:color w:val="000000"/>
        </w:rPr>
        <w:t xml:space="preserve"> Parchetului de pe lângă Tribunalul Tulcea</w:t>
      </w:r>
      <w:r w:rsidR="00916126" w:rsidRPr="002152E4">
        <w:t>,</w:t>
      </w:r>
      <w:r w:rsidR="00916126" w:rsidRPr="002152E4">
        <w:rPr>
          <w:b w:val="0"/>
        </w:rPr>
        <w:t xml:space="preserve"> </w:t>
      </w:r>
      <w:r w:rsidR="00916126" w:rsidRPr="002152E4">
        <w:rPr>
          <w:b w:val="0"/>
          <w:szCs w:val="28"/>
        </w:rPr>
        <w:t xml:space="preserve">pentru săvârşirea abaterii </w:t>
      </w:r>
      <w:r w:rsidR="00916126" w:rsidRPr="002152E4">
        <w:rPr>
          <w:b w:val="0"/>
        </w:rPr>
        <w:t>disciplinare prev. de art.</w:t>
      </w:r>
      <w:r w:rsidR="00916126" w:rsidRPr="002152E4">
        <w:rPr>
          <w:b w:val="0"/>
          <w:szCs w:val="28"/>
        </w:rPr>
        <w:t xml:space="preserve"> 99 lit. c) din Legea 303/2004. </w:t>
      </w:r>
    </w:p>
    <w:p w:rsidR="00916126" w:rsidRPr="002152E4" w:rsidRDefault="00A051E2" w:rsidP="00A051E2">
      <w:pPr>
        <w:pStyle w:val="AddParagrafBoldItalic"/>
        <w:spacing w:before="0"/>
        <w:ind w:firstLine="630"/>
        <w:jc w:val="both"/>
        <w:rPr>
          <w:b w:val="0"/>
        </w:rPr>
      </w:pPr>
      <w:r w:rsidRPr="002152E4">
        <w:rPr>
          <w:b w:val="0"/>
          <w:szCs w:val="28"/>
        </w:rPr>
        <w:t xml:space="preserve">8. </w:t>
      </w:r>
      <w:r w:rsidR="00916126" w:rsidRPr="002152E4">
        <w:rPr>
          <w:b w:val="0"/>
        </w:rPr>
        <w:t xml:space="preserve">Prin </w:t>
      </w:r>
      <w:r w:rsidR="00916126" w:rsidRPr="002152E4">
        <w:t>Hotărârea nr. 10P/05.10.2016</w:t>
      </w:r>
      <w:r w:rsidR="00916126" w:rsidRPr="002152E4">
        <w:rPr>
          <w:b w:val="0"/>
          <w:i/>
          <w:color w:val="000000"/>
        </w:rPr>
        <w:t xml:space="preserve"> </w:t>
      </w:r>
      <w:r w:rsidR="00916126" w:rsidRPr="002152E4">
        <w:rPr>
          <w:b w:val="0"/>
          <w:color w:val="000000"/>
        </w:rPr>
        <w:t xml:space="preserve">Secția pentru procurori în materie disciplinară a Consiliului Superior al Magistraturii a admis acțiunea disciplinară și a aplicat sancțiunea disciplinară </w:t>
      </w:r>
      <w:r w:rsidR="00916126" w:rsidRPr="002152E4">
        <w:rPr>
          <w:b w:val="0"/>
          <w:szCs w:val="28"/>
        </w:rPr>
        <w:t xml:space="preserve">constând în </w:t>
      </w:r>
      <w:r w:rsidR="00916126" w:rsidRPr="002152E4">
        <w:rPr>
          <w:i/>
          <w:szCs w:val="28"/>
        </w:rPr>
        <w:t xml:space="preserve">„diminuarea </w:t>
      </w:r>
      <w:r w:rsidR="003234CF" w:rsidRPr="002152E4">
        <w:rPr>
          <w:i/>
          <w:szCs w:val="28"/>
        </w:rPr>
        <w:t>indemnizației</w:t>
      </w:r>
      <w:r w:rsidR="00916126" w:rsidRPr="002152E4">
        <w:rPr>
          <w:i/>
          <w:szCs w:val="28"/>
        </w:rPr>
        <w:t xml:space="preserve"> de încadrare lunare brute cu 20% pe o perioadă de 2 luni”</w:t>
      </w:r>
      <w:r w:rsidR="00916126" w:rsidRPr="002152E4">
        <w:rPr>
          <w:b w:val="0"/>
          <w:szCs w:val="28"/>
        </w:rPr>
        <w:t xml:space="preserve"> </w:t>
      </w:r>
      <w:r w:rsidR="00916126" w:rsidRPr="002152E4">
        <w:rPr>
          <w:b w:val="0"/>
          <w:color w:val="000000"/>
        </w:rPr>
        <w:t>față de procurorul</w:t>
      </w:r>
      <w:r w:rsidR="00916126" w:rsidRPr="002152E4">
        <w:rPr>
          <w:b w:val="0"/>
        </w:rPr>
        <w:t xml:space="preserve"> </w:t>
      </w:r>
      <w:r w:rsidR="00916126" w:rsidRPr="002152E4">
        <w:rPr>
          <w:szCs w:val="28"/>
        </w:rPr>
        <w:t>Ș.M.D. din</w:t>
      </w:r>
      <w:r w:rsidR="00916126" w:rsidRPr="002152E4">
        <w:t xml:space="preserve"> cadrul</w:t>
      </w:r>
      <w:r w:rsidR="00916126" w:rsidRPr="002152E4">
        <w:rPr>
          <w:color w:val="000000"/>
        </w:rPr>
        <w:t xml:space="preserve"> Parchetului de pe lângă Judecătoria Sectorului 4 București</w:t>
      </w:r>
      <w:r w:rsidR="00916126" w:rsidRPr="002152E4">
        <w:t>,</w:t>
      </w:r>
      <w:r w:rsidR="00916126" w:rsidRPr="002152E4">
        <w:rPr>
          <w:b w:val="0"/>
        </w:rPr>
        <w:t xml:space="preserve"> </w:t>
      </w:r>
      <w:r w:rsidR="00916126" w:rsidRPr="002152E4">
        <w:rPr>
          <w:b w:val="0"/>
          <w:szCs w:val="28"/>
        </w:rPr>
        <w:t xml:space="preserve">pentru săvârşirea abaterii </w:t>
      </w:r>
      <w:r w:rsidR="00916126" w:rsidRPr="002152E4">
        <w:rPr>
          <w:b w:val="0"/>
        </w:rPr>
        <w:t>disciplinare prev. de art.</w:t>
      </w:r>
      <w:r w:rsidR="00916126" w:rsidRPr="002152E4">
        <w:rPr>
          <w:b w:val="0"/>
          <w:szCs w:val="28"/>
        </w:rPr>
        <w:t xml:space="preserve"> 99 lit.c) din Legea 303/2004</w:t>
      </w:r>
      <w:r w:rsidRPr="002152E4">
        <w:rPr>
          <w:b w:val="0"/>
          <w:szCs w:val="28"/>
        </w:rPr>
        <w:t>.</w:t>
      </w:r>
    </w:p>
    <w:p w:rsidR="00916126" w:rsidRPr="002152E4" w:rsidRDefault="00916126" w:rsidP="00DF2D99">
      <w:pPr>
        <w:numPr>
          <w:ilvl w:val="1"/>
          <w:numId w:val="0"/>
        </w:numPr>
        <w:spacing w:after="180"/>
        <w:ind w:right="48" w:firstLine="709"/>
        <w:jc w:val="both"/>
        <w:rPr>
          <w:rFonts w:cs="Arial"/>
          <w:lang w:val="ro-RO"/>
        </w:rPr>
      </w:pPr>
    </w:p>
    <w:p w:rsidR="00DF2D99" w:rsidRPr="002152E4" w:rsidRDefault="00DF2D99" w:rsidP="00DF2D99">
      <w:pPr>
        <w:numPr>
          <w:ilvl w:val="1"/>
          <w:numId w:val="0"/>
        </w:numPr>
        <w:spacing w:after="180"/>
        <w:ind w:right="48" w:firstLine="709"/>
        <w:jc w:val="both"/>
        <w:rPr>
          <w:rFonts w:cs="Arial"/>
          <w:b/>
          <w:i/>
          <w:lang w:val="ro-RO"/>
        </w:rPr>
      </w:pPr>
      <w:r w:rsidRPr="002152E4">
        <w:rPr>
          <w:rFonts w:cs="Arial"/>
          <w:b/>
          <w:i/>
          <w:lang w:val="ro-RO"/>
        </w:rPr>
        <w:t>B. Răspunderea penală</w:t>
      </w:r>
    </w:p>
    <w:p w:rsidR="007F62EB" w:rsidRPr="002152E4" w:rsidRDefault="00DF2D99" w:rsidP="005952DB">
      <w:pPr>
        <w:numPr>
          <w:ilvl w:val="1"/>
          <w:numId w:val="0"/>
        </w:numPr>
        <w:ind w:right="48" w:firstLine="709"/>
        <w:jc w:val="both"/>
        <w:rPr>
          <w:rFonts w:cs="Arial"/>
          <w:b/>
          <w:i/>
          <w:lang w:val="ro-RO"/>
        </w:rPr>
      </w:pPr>
      <w:r w:rsidRPr="002152E4">
        <w:rPr>
          <w:rFonts w:cs="Arial"/>
          <w:lang w:val="ro-RO"/>
        </w:rPr>
        <w:t xml:space="preserve">În cursul </w:t>
      </w:r>
      <w:r w:rsidR="007F62EB" w:rsidRPr="002152E4">
        <w:rPr>
          <w:rFonts w:cs="Arial"/>
          <w:lang w:val="ro-RO"/>
        </w:rPr>
        <w:t>anului 2016</w:t>
      </w:r>
      <w:r w:rsidRPr="002152E4">
        <w:rPr>
          <w:rFonts w:cs="Arial"/>
          <w:lang w:val="ro-RO"/>
        </w:rPr>
        <w:t xml:space="preserve"> nu au fost condamnaţi definitiv pentru infracţiuni de corupţie sau infracţiuni asimilate celor de corupţie  inculpaţi având calitatea de procuror şi nu au fost eliberaţi din funcţie procurori, ca urmare a condamnării definitive.</w:t>
      </w:r>
    </w:p>
    <w:p w:rsidR="00DF2D99" w:rsidRPr="002152E4" w:rsidRDefault="007F62EB" w:rsidP="005952DB">
      <w:pPr>
        <w:numPr>
          <w:ilvl w:val="1"/>
          <w:numId w:val="0"/>
        </w:numPr>
        <w:ind w:right="48" w:firstLine="709"/>
        <w:jc w:val="both"/>
        <w:rPr>
          <w:rFonts w:cs="Arial"/>
          <w:b/>
          <w:i/>
          <w:lang w:val="ro-RO"/>
        </w:rPr>
      </w:pPr>
      <w:r w:rsidRPr="002152E4">
        <w:rPr>
          <w:rFonts w:cs="Arial"/>
          <w:lang w:val="ro-RO"/>
        </w:rPr>
        <w:t>În acelaşi an,</w:t>
      </w:r>
      <w:r w:rsidRPr="002152E4">
        <w:rPr>
          <w:rFonts w:cs="Arial"/>
          <w:b/>
          <w:i/>
          <w:lang w:val="ro-RO"/>
        </w:rPr>
        <w:t xml:space="preserve"> </w:t>
      </w:r>
      <w:r w:rsidR="00DF2D99" w:rsidRPr="002152E4">
        <w:rPr>
          <w:rFonts w:cs="Arial"/>
          <w:lang w:val="ro-RO"/>
        </w:rPr>
        <w:t>Secţia pentru procurori a Consiliului Superior al Magistraturii  a hotărât  su</w:t>
      </w:r>
      <w:r w:rsidR="00A051E2" w:rsidRPr="002152E4">
        <w:rPr>
          <w:rFonts w:cs="Arial"/>
          <w:lang w:val="ro-RO"/>
        </w:rPr>
        <w:t xml:space="preserve">spendarea din funcţie </w:t>
      </w:r>
      <w:r w:rsidR="00DF2D99" w:rsidRPr="002152E4">
        <w:rPr>
          <w:rFonts w:cs="Arial"/>
          <w:lang w:val="ro-RO"/>
        </w:rPr>
        <w:t xml:space="preserve">a </w:t>
      </w:r>
      <w:r w:rsidR="00DF2D99" w:rsidRPr="002152E4">
        <w:rPr>
          <w:rFonts w:cs="Arial"/>
          <w:b/>
          <w:lang w:val="ro-RO"/>
        </w:rPr>
        <w:t>10 procurori</w:t>
      </w:r>
      <w:r w:rsidR="00DF2D99" w:rsidRPr="002152E4">
        <w:rPr>
          <w:rFonts w:cs="Arial"/>
          <w:lang w:val="ro-RO"/>
        </w:rPr>
        <w:t xml:space="preserve"> (ca urmare a dispunerii faţă de aceştia a măsurii arestării preventive,  a măsurii controlului judiciar prin care s-a impus respectarea obligaţiei prevăzute de art. 215 alin. 2 lit. e din Codul de procedură penală, a trimiterii în judecată pentru săvârşirea unor infracţiuni cu intenţie şi în conformitate cu prevederile art. 62 alin. 1 lit. b din Legea nr. 303/2004, republicată cu modificările şi completările ulterioare.</w:t>
      </w:r>
    </w:p>
    <w:p w:rsidR="00DF2D99" w:rsidRDefault="00DF2D99" w:rsidP="005952DB">
      <w:pPr>
        <w:numPr>
          <w:ilvl w:val="1"/>
          <w:numId w:val="0"/>
        </w:numPr>
        <w:ind w:right="48" w:firstLine="709"/>
        <w:jc w:val="both"/>
        <w:rPr>
          <w:rFonts w:cs="Arial"/>
          <w:lang w:val="ro-RO"/>
        </w:rPr>
      </w:pPr>
      <w:r w:rsidRPr="002152E4">
        <w:rPr>
          <w:rFonts w:cs="Arial"/>
          <w:lang w:val="ro-RO"/>
        </w:rPr>
        <w:t xml:space="preserve">În anul 2016 ,au fost admise de către Secţia pentru procurori a Consiliului Superior al Magistraturii  </w:t>
      </w:r>
      <w:r w:rsidRPr="002152E4">
        <w:rPr>
          <w:rFonts w:cs="Arial"/>
          <w:b/>
          <w:lang w:val="ro-RO"/>
        </w:rPr>
        <w:t xml:space="preserve">2 </w:t>
      </w:r>
      <w:r w:rsidRPr="002152E4">
        <w:rPr>
          <w:rFonts w:cs="Arial"/>
          <w:lang w:val="ro-RO"/>
        </w:rPr>
        <w:t xml:space="preserve">cereri pentru încuviinţarea </w:t>
      </w:r>
      <w:r w:rsidR="003234CF" w:rsidRPr="002152E4">
        <w:rPr>
          <w:rFonts w:cs="Arial"/>
          <w:lang w:val="ro-RO"/>
        </w:rPr>
        <w:t>percheziției</w:t>
      </w:r>
      <w:r w:rsidRPr="002152E4">
        <w:rPr>
          <w:rFonts w:cs="Arial"/>
          <w:lang w:val="ro-RO"/>
        </w:rPr>
        <w:t xml:space="preserve"> domiciliare, </w:t>
      </w:r>
      <w:r w:rsidRPr="002152E4">
        <w:rPr>
          <w:rFonts w:cs="Arial"/>
          <w:b/>
          <w:lang w:val="ro-RO"/>
        </w:rPr>
        <w:t xml:space="preserve">1 </w:t>
      </w:r>
      <w:r w:rsidRPr="002152E4">
        <w:rPr>
          <w:rFonts w:cs="Arial"/>
          <w:lang w:val="ro-RO"/>
        </w:rPr>
        <w:t xml:space="preserve">cerere pentru încuviinţarea percheziţionării informatice şi </w:t>
      </w:r>
      <w:r w:rsidRPr="002152E4">
        <w:rPr>
          <w:rFonts w:cs="Arial"/>
          <w:b/>
          <w:lang w:val="ro-RO"/>
        </w:rPr>
        <w:t>1</w:t>
      </w:r>
      <w:r w:rsidRPr="002152E4">
        <w:rPr>
          <w:rFonts w:cs="Arial"/>
          <w:lang w:val="ro-RO"/>
        </w:rPr>
        <w:t xml:space="preserve"> cerere pentru încuviinţarea </w:t>
      </w:r>
      <w:r w:rsidR="003234CF" w:rsidRPr="002152E4">
        <w:rPr>
          <w:rFonts w:cs="Arial"/>
          <w:lang w:val="ro-RO"/>
        </w:rPr>
        <w:t>percheziției</w:t>
      </w:r>
      <w:r w:rsidRPr="002152E4">
        <w:rPr>
          <w:rFonts w:cs="Arial"/>
          <w:lang w:val="ro-RO"/>
        </w:rPr>
        <w:t xml:space="preserve"> biroului folosit de procuror,  iar toate cele </w:t>
      </w:r>
      <w:r w:rsidRPr="002152E4">
        <w:rPr>
          <w:rFonts w:cs="Arial"/>
          <w:b/>
          <w:lang w:val="ro-RO"/>
        </w:rPr>
        <w:t>4</w:t>
      </w:r>
      <w:r w:rsidRPr="002152E4">
        <w:rPr>
          <w:rFonts w:cs="Arial"/>
          <w:lang w:val="ro-RO"/>
        </w:rPr>
        <w:t xml:space="preserve"> cereri pentru încuviinţarea reţinerii şi </w:t>
      </w:r>
      <w:r w:rsidRPr="002152E4">
        <w:rPr>
          <w:rFonts w:cs="Arial"/>
          <w:b/>
          <w:lang w:val="ro-RO"/>
        </w:rPr>
        <w:t xml:space="preserve">4 </w:t>
      </w:r>
      <w:r w:rsidRPr="002152E4">
        <w:rPr>
          <w:rFonts w:cs="Arial"/>
          <w:lang w:val="ro-RO"/>
        </w:rPr>
        <w:t>cereri pentru încuviinţarea arestării preventive au fost admise.</w:t>
      </w:r>
    </w:p>
    <w:p w:rsidR="005952DB" w:rsidRPr="002152E4" w:rsidRDefault="005952DB" w:rsidP="005952DB">
      <w:pPr>
        <w:numPr>
          <w:ilvl w:val="1"/>
          <w:numId w:val="0"/>
        </w:numPr>
        <w:ind w:right="48" w:firstLine="709"/>
        <w:jc w:val="both"/>
        <w:rPr>
          <w:rFonts w:cs="Arial"/>
          <w:lang w:val="ro-RO"/>
        </w:rPr>
      </w:pPr>
    </w:p>
    <w:p w:rsidR="00DF2D99" w:rsidRPr="002152E4" w:rsidRDefault="00DF2D99" w:rsidP="00DF2D99">
      <w:pPr>
        <w:numPr>
          <w:ilvl w:val="1"/>
          <w:numId w:val="0"/>
        </w:numPr>
        <w:spacing w:after="180"/>
        <w:ind w:right="48" w:firstLine="709"/>
        <w:jc w:val="both"/>
        <w:rPr>
          <w:rFonts w:cs="Arial"/>
          <w:b/>
          <w:i/>
          <w:lang w:val="ro-RO"/>
        </w:rPr>
      </w:pPr>
      <w:r w:rsidRPr="002152E4">
        <w:rPr>
          <w:rFonts w:cs="Arial"/>
          <w:b/>
          <w:i/>
          <w:lang w:val="ro-RO"/>
        </w:rPr>
        <w:t>V.3.2. Personalul auxiliar din cadrul parchetelor</w:t>
      </w:r>
    </w:p>
    <w:p w:rsidR="00DF2D99" w:rsidRPr="002152E4" w:rsidRDefault="00DF2D99" w:rsidP="00DF2D99">
      <w:pPr>
        <w:numPr>
          <w:ilvl w:val="1"/>
          <w:numId w:val="0"/>
        </w:numPr>
        <w:spacing w:after="180"/>
        <w:ind w:right="48" w:firstLine="709"/>
        <w:jc w:val="both"/>
        <w:rPr>
          <w:rFonts w:cs="Arial"/>
          <w:lang w:val="ro-RO"/>
        </w:rPr>
      </w:pPr>
      <w:r w:rsidRPr="002152E4">
        <w:rPr>
          <w:rFonts w:cs="Arial"/>
          <w:lang w:val="ro-RO"/>
        </w:rPr>
        <w:t xml:space="preserve">În perioada de referinţă au fost aplicate personalului auxiliar din cadrul Ministerului Public </w:t>
      </w:r>
      <w:r w:rsidRPr="002152E4">
        <w:rPr>
          <w:rFonts w:cs="Arial"/>
          <w:b/>
          <w:lang w:val="ro-RO"/>
        </w:rPr>
        <w:t>4 sancţiuni disciplinare</w:t>
      </w:r>
      <w:r w:rsidRPr="002152E4">
        <w:rPr>
          <w:rFonts w:cs="Arial"/>
          <w:lang w:val="ro-RO"/>
        </w:rPr>
        <w:t>, după cum urmează:</w:t>
      </w:r>
    </w:p>
    <w:p w:rsidR="00DF2D99" w:rsidRPr="002152E4" w:rsidRDefault="00DF2D99" w:rsidP="00DF2D99">
      <w:pPr>
        <w:numPr>
          <w:ilvl w:val="1"/>
          <w:numId w:val="0"/>
        </w:numPr>
        <w:spacing w:after="180"/>
        <w:ind w:right="48" w:firstLine="709"/>
        <w:jc w:val="both"/>
        <w:rPr>
          <w:rFonts w:cs="Arial"/>
          <w:lang w:val="ro-RO"/>
        </w:rPr>
      </w:pPr>
      <w:r w:rsidRPr="002152E4">
        <w:rPr>
          <w:rFonts w:cs="Arial"/>
          <w:lang w:val="ro-RO"/>
        </w:rPr>
        <w:t>- 2 sancţiuni cu avertisment şi 2 sancţiuni vizând reducerea drepturilor salariale.</w:t>
      </w:r>
    </w:p>
    <w:p w:rsidR="00DF2D99" w:rsidRDefault="00DF2D99" w:rsidP="00DF2D99">
      <w:pPr>
        <w:numPr>
          <w:ilvl w:val="1"/>
          <w:numId w:val="0"/>
        </w:numPr>
        <w:spacing w:after="180"/>
        <w:ind w:right="48" w:firstLine="709"/>
        <w:jc w:val="both"/>
        <w:rPr>
          <w:rFonts w:cs="Arial"/>
          <w:lang w:val="ro-RO"/>
        </w:rPr>
      </w:pPr>
      <w:r w:rsidRPr="002152E4">
        <w:rPr>
          <w:rFonts w:cs="Arial"/>
          <w:lang w:val="ro-RO"/>
        </w:rPr>
        <w:t>Totodată, în 2016 nu s-au înregistrat trimiteri în judecată sau condamnări definitive pentru fapte penale aflate în legătură cu exerciţiul atribuţiilor de serviciu săvârşite de personalul auxiliar de specialitate din cadrul parchetelor.</w:t>
      </w:r>
    </w:p>
    <w:p w:rsidR="00EB7297" w:rsidRDefault="00EB7297" w:rsidP="00DF2D99">
      <w:pPr>
        <w:numPr>
          <w:ilvl w:val="1"/>
          <w:numId w:val="0"/>
        </w:numPr>
        <w:spacing w:after="180"/>
        <w:ind w:right="48" w:firstLine="709"/>
        <w:jc w:val="both"/>
        <w:rPr>
          <w:rFonts w:cs="Arial"/>
          <w:lang w:val="ro-RO"/>
        </w:rPr>
      </w:pPr>
    </w:p>
    <w:p w:rsidR="00EB7297" w:rsidRDefault="00EB7297" w:rsidP="00DF2D99">
      <w:pPr>
        <w:numPr>
          <w:ilvl w:val="1"/>
          <w:numId w:val="0"/>
        </w:numPr>
        <w:spacing w:after="180"/>
        <w:ind w:right="48" w:firstLine="709"/>
        <w:jc w:val="both"/>
        <w:rPr>
          <w:rFonts w:cs="Arial"/>
          <w:lang w:val="ro-RO"/>
        </w:rPr>
      </w:pPr>
    </w:p>
    <w:p w:rsidR="00EB7297" w:rsidRDefault="00EB7297" w:rsidP="00DF2D99">
      <w:pPr>
        <w:numPr>
          <w:ilvl w:val="1"/>
          <w:numId w:val="0"/>
        </w:numPr>
        <w:spacing w:after="180"/>
        <w:ind w:right="48" w:firstLine="709"/>
        <w:jc w:val="both"/>
        <w:rPr>
          <w:rFonts w:cs="Arial"/>
          <w:lang w:val="ro-RO"/>
        </w:rPr>
      </w:pPr>
    </w:p>
    <w:p w:rsidR="00EB7297" w:rsidRDefault="00EB7297" w:rsidP="00DF2D99">
      <w:pPr>
        <w:numPr>
          <w:ilvl w:val="1"/>
          <w:numId w:val="0"/>
        </w:numPr>
        <w:spacing w:after="180"/>
        <w:ind w:right="48" w:firstLine="709"/>
        <w:jc w:val="both"/>
        <w:rPr>
          <w:rFonts w:cs="Arial"/>
          <w:lang w:val="ro-RO"/>
        </w:rPr>
      </w:pPr>
    </w:p>
    <w:p w:rsidR="00EB7297" w:rsidRDefault="00EB7297" w:rsidP="00DF2D99">
      <w:pPr>
        <w:numPr>
          <w:ilvl w:val="1"/>
          <w:numId w:val="0"/>
        </w:numPr>
        <w:spacing w:after="180"/>
        <w:ind w:right="48" w:firstLine="709"/>
        <w:jc w:val="both"/>
        <w:rPr>
          <w:rFonts w:cs="Arial"/>
          <w:lang w:val="ro-RO"/>
        </w:rPr>
      </w:pPr>
    </w:p>
    <w:p w:rsidR="005952DB" w:rsidRDefault="005952DB" w:rsidP="00DF2D99">
      <w:pPr>
        <w:numPr>
          <w:ilvl w:val="1"/>
          <w:numId w:val="0"/>
        </w:numPr>
        <w:spacing w:after="180"/>
        <w:ind w:right="48" w:firstLine="709"/>
        <w:jc w:val="both"/>
        <w:rPr>
          <w:rFonts w:cs="Arial"/>
          <w:lang w:val="ro-RO"/>
        </w:rPr>
      </w:pPr>
    </w:p>
    <w:p w:rsidR="009B5C10" w:rsidRPr="002152E4" w:rsidRDefault="009B5C10" w:rsidP="00DF2D99">
      <w:pPr>
        <w:numPr>
          <w:ilvl w:val="1"/>
          <w:numId w:val="0"/>
        </w:numPr>
        <w:spacing w:after="180"/>
        <w:ind w:right="48" w:firstLine="709"/>
        <w:jc w:val="both"/>
        <w:rPr>
          <w:rFonts w:cs="Arial"/>
          <w:lang w:val="ro-RO"/>
        </w:rPr>
      </w:pPr>
    </w:p>
    <w:p w:rsidR="00EE6420" w:rsidRPr="002152E4" w:rsidRDefault="00EE6420" w:rsidP="00CD6117">
      <w:pPr>
        <w:ind w:firstLine="684"/>
        <w:jc w:val="both"/>
        <w:rPr>
          <w:lang w:val="ro-RO" w:eastAsia="ro-RO"/>
        </w:rPr>
      </w:pPr>
    </w:p>
    <w:p w:rsidR="00CD6117" w:rsidRPr="002152E4" w:rsidRDefault="00CD6117" w:rsidP="00B63FCC">
      <w:pPr>
        <w:jc w:val="center"/>
        <w:outlineLvl w:val="0"/>
        <w:rPr>
          <w:b/>
          <w:sz w:val="28"/>
          <w:szCs w:val="28"/>
          <w:lang w:val="ro-RO" w:eastAsia="ro-RO"/>
        </w:rPr>
      </w:pPr>
      <w:bookmarkStart w:id="179" w:name="_Toc486576563"/>
      <w:r w:rsidRPr="002152E4">
        <w:rPr>
          <w:b/>
          <w:sz w:val="28"/>
          <w:szCs w:val="28"/>
          <w:lang w:val="ro-RO" w:eastAsia="ro-RO"/>
        </w:rPr>
        <w:lastRenderedPageBreak/>
        <w:t>VI. Infrastructura instanţelor</w:t>
      </w:r>
      <w:bookmarkEnd w:id="179"/>
    </w:p>
    <w:p w:rsidR="00B63FCC" w:rsidRPr="002152E4" w:rsidRDefault="00B63FCC" w:rsidP="00B63FCC">
      <w:pPr>
        <w:jc w:val="both"/>
        <w:outlineLvl w:val="0"/>
        <w:rPr>
          <w:b/>
          <w:sz w:val="28"/>
          <w:szCs w:val="28"/>
          <w:lang w:val="ro-RO" w:eastAsia="ro-RO"/>
        </w:rPr>
      </w:pPr>
    </w:p>
    <w:p w:rsidR="00B63FCC" w:rsidRPr="00372D6B" w:rsidRDefault="00B63FCC" w:rsidP="00B63FCC">
      <w:pPr>
        <w:pStyle w:val="AddParagraf"/>
        <w:spacing w:after="0"/>
      </w:pPr>
      <w:r w:rsidRPr="00372D6B">
        <w:t xml:space="preserve">Bugetul justiţiei trebuie împărţit în 3 părţi      componente distincte: bugetul curţilor de apel, al tribunalelor, tribunalelor specializate şi al judecătoriilor (denumit în continuare bugetul instanţelor), bugetul ICCJ şi bugetul Ministerului Public. </w:t>
      </w:r>
    </w:p>
    <w:p w:rsidR="00B63FCC" w:rsidRPr="00372D6B" w:rsidRDefault="00B63FCC" w:rsidP="00B63FCC">
      <w:pPr>
        <w:pStyle w:val="AddParagraf"/>
        <w:spacing w:after="0"/>
      </w:pPr>
      <w:r w:rsidRPr="00372D6B">
        <w:t xml:space="preserve">Ministerul Justiţiei (MJ) are calitatea de ordonator principal de credite pentru </w:t>
      </w:r>
      <w:r w:rsidRPr="00372D6B">
        <w:rPr>
          <w:i/>
        </w:rPr>
        <w:t>instanţele judecătoreşti</w:t>
      </w:r>
      <w:r w:rsidRPr="00372D6B">
        <w:rPr>
          <w:rStyle w:val="FootnoteReference"/>
          <w:i/>
        </w:rPr>
        <w:footnoteReference w:id="7"/>
      </w:r>
      <w:r w:rsidRPr="00372D6B">
        <w:rPr>
          <w:b/>
        </w:rPr>
        <w:t>,</w:t>
      </w:r>
      <w:r w:rsidRPr="00372D6B">
        <w:t xml:space="preserve"> Administraţia Naţională a Penitenciarelor şi alte instituţii subordonate.</w:t>
      </w:r>
    </w:p>
    <w:p w:rsidR="00B63FCC" w:rsidRPr="00372D6B" w:rsidRDefault="00B63FCC" w:rsidP="00B63FCC">
      <w:pPr>
        <w:pStyle w:val="AddParagraf"/>
        <w:spacing w:after="0"/>
      </w:pPr>
    </w:p>
    <w:tbl>
      <w:tblPr>
        <w:tblW w:w="9113" w:type="dxa"/>
        <w:tblInd w:w="108" w:type="dxa"/>
        <w:tblLook w:val="0000" w:firstRow="0" w:lastRow="0" w:firstColumn="0" w:lastColumn="0" w:noHBand="0" w:noVBand="0"/>
      </w:tblPr>
      <w:tblGrid>
        <w:gridCol w:w="706"/>
        <w:gridCol w:w="2040"/>
        <w:gridCol w:w="278"/>
        <w:gridCol w:w="2200"/>
        <w:gridCol w:w="278"/>
        <w:gridCol w:w="1697"/>
        <w:gridCol w:w="278"/>
        <w:gridCol w:w="1636"/>
      </w:tblGrid>
      <w:tr w:rsidR="00B63FCC" w:rsidRPr="00372D6B" w:rsidTr="00372D6B">
        <w:trPr>
          <w:trHeight w:val="255"/>
        </w:trPr>
        <w:tc>
          <w:tcPr>
            <w:tcW w:w="706" w:type="dxa"/>
            <w:tcBorders>
              <w:top w:val="nil"/>
              <w:left w:val="nil"/>
              <w:bottom w:val="nil"/>
              <w:right w:val="nil"/>
            </w:tcBorders>
            <w:shd w:val="clear" w:color="auto" w:fill="auto"/>
            <w:noWrap/>
            <w:vAlign w:val="bottom"/>
          </w:tcPr>
          <w:p w:rsidR="00B63FCC" w:rsidRPr="00372D6B" w:rsidRDefault="00B63FCC" w:rsidP="00372D6B">
            <w:pPr>
              <w:rPr>
                <w:rFonts w:eastAsia="SimSun" w:cs="Arial"/>
                <w:lang w:val="ro-RO" w:eastAsia="zh-CN"/>
              </w:rPr>
            </w:pPr>
          </w:p>
        </w:tc>
        <w:tc>
          <w:tcPr>
            <w:tcW w:w="6493" w:type="dxa"/>
            <w:gridSpan w:val="5"/>
            <w:tcBorders>
              <w:top w:val="nil"/>
              <w:left w:val="nil"/>
              <w:bottom w:val="nil"/>
              <w:right w:val="nil"/>
            </w:tcBorders>
            <w:shd w:val="clear" w:color="auto" w:fill="auto"/>
            <w:noWrap/>
            <w:vAlign w:val="bottom"/>
          </w:tcPr>
          <w:p w:rsidR="00B63FCC" w:rsidRPr="00372D6B" w:rsidRDefault="00B63FCC" w:rsidP="00372D6B">
            <w:pPr>
              <w:rPr>
                <w:rFonts w:eastAsia="SimSun" w:cs="Arial"/>
                <w:b/>
                <w:bCs/>
                <w:lang w:val="ro-RO" w:eastAsia="zh-CN"/>
              </w:rPr>
            </w:pPr>
            <w:r w:rsidRPr="00372D6B">
              <w:rPr>
                <w:rFonts w:eastAsia="SimSun" w:cs="Arial"/>
                <w:b/>
                <w:bCs/>
                <w:lang w:val="ro-RO" w:eastAsia="zh-CN"/>
              </w:rPr>
              <w:t>Ponderea bugetului instantelor din bugetul MJ</w:t>
            </w:r>
          </w:p>
        </w:tc>
        <w:tc>
          <w:tcPr>
            <w:tcW w:w="278" w:type="dxa"/>
            <w:tcBorders>
              <w:top w:val="nil"/>
              <w:left w:val="nil"/>
              <w:bottom w:val="nil"/>
              <w:right w:val="nil"/>
            </w:tcBorders>
            <w:shd w:val="clear" w:color="auto" w:fill="auto"/>
            <w:noWrap/>
            <w:vAlign w:val="bottom"/>
          </w:tcPr>
          <w:p w:rsidR="00B63FCC" w:rsidRPr="00372D6B" w:rsidRDefault="00B63FCC" w:rsidP="00372D6B">
            <w:pPr>
              <w:rPr>
                <w:rFonts w:eastAsia="SimSun" w:cs="Arial"/>
                <w:lang w:val="ro-RO" w:eastAsia="zh-CN"/>
              </w:rPr>
            </w:pPr>
          </w:p>
        </w:tc>
        <w:tc>
          <w:tcPr>
            <w:tcW w:w="1636" w:type="dxa"/>
            <w:tcBorders>
              <w:top w:val="nil"/>
              <w:left w:val="nil"/>
              <w:bottom w:val="nil"/>
              <w:right w:val="nil"/>
            </w:tcBorders>
            <w:shd w:val="clear" w:color="auto" w:fill="auto"/>
            <w:noWrap/>
            <w:vAlign w:val="bottom"/>
          </w:tcPr>
          <w:p w:rsidR="00B63FCC" w:rsidRPr="00372D6B" w:rsidRDefault="00B63FCC" w:rsidP="00372D6B">
            <w:pPr>
              <w:rPr>
                <w:rFonts w:eastAsia="SimSun" w:cs="Arial"/>
                <w:lang w:val="ro-RO" w:eastAsia="zh-CN"/>
              </w:rPr>
            </w:pPr>
          </w:p>
        </w:tc>
      </w:tr>
      <w:tr w:rsidR="00B63FCC" w:rsidRPr="00372D6B" w:rsidTr="00372D6B">
        <w:trPr>
          <w:trHeight w:val="255"/>
        </w:trPr>
        <w:tc>
          <w:tcPr>
            <w:tcW w:w="706" w:type="dxa"/>
            <w:tcBorders>
              <w:top w:val="nil"/>
              <w:left w:val="nil"/>
              <w:bottom w:val="single" w:sz="4" w:space="0" w:color="auto"/>
              <w:right w:val="nil"/>
            </w:tcBorders>
            <w:shd w:val="clear" w:color="auto" w:fill="auto"/>
            <w:noWrap/>
            <w:vAlign w:val="bottom"/>
          </w:tcPr>
          <w:p w:rsidR="00B63FCC" w:rsidRPr="00372D6B" w:rsidRDefault="00B63FCC" w:rsidP="00372D6B">
            <w:pPr>
              <w:rPr>
                <w:rFonts w:eastAsia="SimSun" w:cs="Arial"/>
                <w:lang w:val="ro-RO" w:eastAsia="zh-CN"/>
              </w:rPr>
            </w:pPr>
          </w:p>
        </w:tc>
        <w:tc>
          <w:tcPr>
            <w:tcW w:w="2040" w:type="dxa"/>
            <w:tcBorders>
              <w:top w:val="nil"/>
              <w:left w:val="nil"/>
              <w:bottom w:val="single" w:sz="4" w:space="0" w:color="auto"/>
              <w:right w:val="nil"/>
            </w:tcBorders>
            <w:shd w:val="clear" w:color="auto" w:fill="auto"/>
            <w:noWrap/>
            <w:vAlign w:val="bottom"/>
          </w:tcPr>
          <w:p w:rsidR="00B63FCC" w:rsidRPr="00372D6B" w:rsidRDefault="00B63FCC" w:rsidP="00372D6B">
            <w:pPr>
              <w:rPr>
                <w:rFonts w:eastAsia="SimSun" w:cs="Arial"/>
                <w:lang w:val="ro-RO" w:eastAsia="zh-CN"/>
              </w:rPr>
            </w:pPr>
          </w:p>
        </w:tc>
        <w:tc>
          <w:tcPr>
            <w:tcW w:w="278" w:type="dxa"/>
            <w:tcBorders>
              <w:top w:val="nil"/>
              <w:left w:val="nil"/>
              <w:bottom w:val="single" w:sz="4" w:space="0" w:color="auto"/>
              <w:right w:val="nil"/>
            </w:tcBorders>
            <w:shd w:val="clear" w:color="auto" w:fill="auto"/>
            <w:noWrap/>
            <w:vAlign w:val="bottom"/>
          </w:tcPr>
          <w:p w:rsidR="00B63FCC" w:rsidRPr="00372D6B" w:rsidRDefault="00B63FCC" w:rsidP="00372D6B">
            <w:pPr>
              <w:rPr>
                <w:rFonts w:eastAsia="SimSun" w:cs="Arial"/>
                <w:lang w:val="ro-RO" w:eastAsia="zh-CN"/>
              </w:rPr>
            </w:pPr>
          </w:p>
        </w:tc>
        <w:tc>
          <w:tcPr>
            <w:tcW w:w="2200" w:type="dxa"/>
            <w:tcBorders>
              <w:top w:val="nil"/>
              <w:left w:val="nil"/>
              <w:bottom w:val="single" w:sz="4" w:space="0" w:color="auto"/>
              <w:right w:val="nil"/>
            </w:tcBorders>
            <w:shd w:val="clear" w:color="auto" w:fill="auto"/>
            <w:noWrap/>
            <w:vAlign w:val="bottom"/>
          </w:tcPr>
          <w:p w:rsidR="00B63FCC" w:rsidRPr="00372D6B" w:rsidRDefault="00B63FCC" w:rsidP="00372D6B">
            <w:pPr>
              <w:rPr>
                <w:rFonts w:eastAsia="SimSun" w:cs="Arial"/>
                <w:lang w:val="ro-RO" w:eastAsia="zh-CN"/>
              </w:rPr>
            </w:pPr>
          </w:p>
        </w:tc>
        <w:tc>
          <w:tcPr>
            <w:tcW w:w="278" w:type="dxa"/>
            <w:tcBorders>
              <w:top w:val="nil"/>
              <w:left w:val="nil"/>
              <w:bottom w:val="single" w:sz="4" w:space="0" w:color="auto"/>
              <w:right w:val="nil"/>
            </w:tcBorders>
            <w:shd w:val="clear" w:color="auto" w:fill="auto"/>
            <w:noWrap/>
            <w:vAlign w:val="bottom"/>
          </w:tcPr>
          <w:p w:rsidR="00B63FCC" w:rsidRPr="00372D6B" w:rsidRDefault="00B63FCC" w:rsidP="00372D6B">
            <w:pPr>
              <w:rPr>
                <w:rFonts w:eastAsia="SimSun" w:cs="Arial"/>
                <w:lang w:val="ro-RO" w:eastAsia="zh-CN"/>
              </w:rPr>
            </w:pPr>
          </w:p>
        </w:tc>
        <w:tc>
          <w:tcPr>
            <w:tcW w:w="1697" w:type="dxa"/>
            <w:tcBorders>
              <w:top w:val="nil"/>
              <w:left w:val="nil"/>
              <w:bottom w:val="single" w:sz="4" w:space="0" w:color="auto"/>
              <w:right w:val="nil"/>
            </w:tcBorders>
            <w:shd w:val="clear" w:color="auto" w:fill="auto"/>
            <w:noWrap/>
            <w:vAlign w:val="bottom"/>
          </w:tcPr>
          <w:p w:rsidR="00B63FCC" w:rsidRPr="00372D6B" w:rsidRDefault="00B63FCC" w:rsidP="00372D6B">
            <w:pPr>
              <w:rPr>
                <w:rFonts w:eastAsia="SimSun" w:cs="Arial"/>
                <w:lang w:val="ro-RO" w:eastAsia="zh-CN"/>
              </w:rPr>
            </w:pPr>
          </w:p>
        </w:tc>
        <w:tc>
          <w:tcPr>
            <w:tcW w:w="278" w:type="dxa"/>
            <w:tcBorders>
              <w:top w:val="nil"/>
              <w:left w:val="nil"/>
              <w:bottom w:val="single" w:sz="4" w:space="0" w:color="auto"/>
              <w:right w:val="nil"/>
            </w:tcBorders>
            <w:shd w:val="clear" w:color="auto" w:fill="auto"/>
            <w:noWrap/>
            <w:vAlign w:val="bottom"/>
          </w:tcPr>
          <w:p w:rsidR="00B63FCC" w:rsidRPr="00372D6B" w:rsidRDefault="00B63FCC" w:rsidP="00372D6B">
            <w:pPr>
              <w:rPr>
                <w:rFonts w:eastAsia="SimSun" w:cs="Arial"/>
                <w:lang w:val="ro-RO" w:eastAsia="zh-CN"/>
              </w:rPr>
            </w:pPr>
          </w:p>
        </w:tc>
        <w:tc>
          <w:tcPr>
            <w:tcW w:w="1636" w:type="dxa"/>
            <w:tcBorders>
              <w:top w:val="nil"/>
              <w:left w:val="nil"/>
              <w:bottom w:val="single" w:sz="4" w:space="0" w:color="auto"/>
              <w:right w:val="nil"/>
            </w:tcBorders>
            <w:shd w:val="clear" w:color="auto" w:fill="auto"/>
            <w:noWrap/>
            <w:vAlign w:val="bottom"/>
          </w:tcPr>
          <w:p w:rsidR="00B63FCC" w:rsidRPr="00372D6B" w:rsidRDefault="00B63FCC" w:rsidP="00372D6B">
            <w:pPr>
              <w:rPr>
                <w:rFonts w:eastAsia="SimSun" w:cs="Arial"/>
                <w:lang w:val="ro-RO" w:eastAsia="zh-CN"/>
              </w:rPr>
            </w:pPr>
          </w:p>
        </w:tc>
      </w:tr>
      <w:tr w:rsidR="00B63FCC" w:rsidRPr="00372D6B" w:rsidTr="00372D6B">
        <w:trPr>
          <w:trHeight w:val="778"/>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b/>
                <w:bCs/>
                <w:lang w:val="ro-RO" w:eastAsia="zh-CN"/>
              </w:rPr>
            </w:pPr>
            <w:r w:rsidRPr="00372D6B">
              <w:rPr>
                <w:rFonts w:eastAsia="SimSun" w:cs="Arial"/>
                <w:b/>
                <w:bCs/>
                <w:lang w:val="ro-RO" w:eastAsia="zh-CN"/>
              </w:rPr>
              <w:t>Anul</w:t>
            </w:r>
          </w:p>
        </w:tc>
        <w:tc>
          <w:tcPr>
            <w:tcW w:w="2040"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b/>
                <w:bCs/>
                <w:lang w:val="ro-RO" w:eastAsia="zh-CN"/>
              </w:rPr>
            </w:pPr>
            <w:r w:rsidRPr="00372D6B">
              <w:rPr>
                <w:rFonts w:eastAsia="SimSun" w:cs="Arial"/>
                <w:b/>
                <w:bCs/>
                <w:lang w:val="ro-RO" w:eastAsia="zh-CN"/>
              </w:rPr>
              <w:t>Total buget MJ</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b/>
                <w:bCs/>
                <w:lang w:val="ro-RO" w:eastAsia="zh-CN"/>
              </w:rPr>
            </w:pPr>
            <w:r w:rsidRPr="00372D6B">
              <w:rPr>
                <w:rFonts w:eastAsia="SimSun" w:cs="Arial"/>
                <w:b/>
                <w:bCs/>
                <w:lang w:val="ro-RO" w:eastAsia="zh-CN"/>
              </w:rPr>
              <w:t> </w:t>
            </w:r>
          </w:p>
        </w:tc>
        <w:tc>
          <w:tcPr>
            <w:tcW w:w="2200" w:type="dxa"/>
            <w:tcBorders>
              <w:top w:val="single" w:sz="4" w:space="0" w:color="auto"/>
              <w:left w:val="nil"/>
              <w:bottom w:val="single" w:sz="4" w:space="0" w:color="auto"/>
              <w:right w:val="single" w:sz="4" w:space="0" w:color="auto"/>
            </w:tcBorders>
            <w:shd w:val="clear" w:color="auto" w:fill="auto"/>
            <w:vAlign w:val="bottom"/>
          </w:tcPr>
          <w:p w:rsidR="00B63FCC" w:rsidRPr="00372D6B" w:rsidRDefault="00B63FCC" w:rsidP="00372D6B">
            <w:pPr>
              <w:jc w:val="center"/>
              <w:rPr>
                <w:rFonts w:eastAsia="SimSun" w:cs="Arial"/>
                <w:b/>
                <w:bCs/>
                <w:lang w:val="ro-RO" w:eastAsia="zh-CN"/>
              </w:rPr>
            </w:pPr>
            <w:r w:rsidRPr="00372D6B">
              <w:rPr>
                <w:rFonts w:eastAsia="SimSun" w:cs="Arial"/>
                <w:b/>
                <w:bCs/>
                <w:lang w:val="ro-RO" w:eastAsia="zh-CN"/>
              </w:rPr>
              <w:t>Buget instante</w:t>
            </w:r>
          </w:p>
        </w:tc>
        <w:tc>
          <w:tcPr>
            <w:tcW w:w="278" w:type="dxa"/>
            <w:tcBorders>
              <w:top w:val="single" w:sz="4" w:space="0" w:color="auto"/>
              <w:left w:val="nil"/>
              <w:bottom w:val="single" w:sz="4" w:space="0" w:color="auto"/>
              <w:right w:val="single" w:sz="4" w:space="0" w:color="auto"/>
            </w:tcBorders>
            <w:shd w:val="clear" w:color="auto" w:fill="auto"/>
            <w:vAlign w:val="bottom"/>
          </w:tcPr>
          <w:p w:rsidR="00B63FCC" w:rsidRPr="00372D6B" w:rsidRDefault="00B63FCC" w:rsidP="00372D6B">
            <w:pPr>
              <w:jc w:val="center"/>
              <w:rPr>
                <w:rFonts w:eastAsia="SimSun" w:cs="Arial"/>
                <w:b/>
                <w:bCs/>
                <w:lang w:val="ro-RO" w:eastAsia="zh-CN"/>
              </w:rPr>
            </w:pPr>
            <w:r w:rsidRPr="00372D6B">
              <w:rPr>
                <w:rFonts w:eastAsia="SimSun" w:cs="Arial"/>
                <w:b/>
                <w:bCs/>
                <w:lang w:val="ro-RO" w:eastAsia="zh-CN"/>
              </w:rPr>
              <w:t> </w:t>
            </w:r>
          </w:p>
        </w:tc>
        <w:tc>
          <w:tcPr>
            <w:tcW w:w="1697" w:type="dxa"/>
            <w:tcBorders>
              <w:top w:val="single" w:sz="4" w:space="0" w:color="auto"/>
              <w:left w:val="nil"/>
              <w:bottom w:val="single" w:sz="4" w:space="0" w:color="auto"/>
              <w:right w:val="single" w:sz="4" w:space="0" w:color="auto"/>
            </w:tcBorders>
            <w:shd w:val="clear" w:color="auto" w:fill="auto"/>
            <w:vAlign w:val="bottom"/>
          </w:tcPr>
          <w:p w:rsidR="00B63FCC" w:rsidRPr="00372D6B" w:rsidRDefault="00B63FCC" w:rsidP="00372D6B">
            <w:pPr>
              <w:jc w:val="center"/>
              <w:rPr>
                <w:rFonts w:eastAsia="SimSun" w:cs="Arial"/>
                <w:b/>
                <w:bCs/>
                <w:lang w:val="ro-RO" w:eastAsia="zh-CN"/>
              </w:rPr>
            </w:pPr>
            <w:r w:rsidRPr="00372D6B">
              <w:rPr>
                <w:rFonts w:eastAsia="SimSun" w:cs="Arial"/>
                <w:b/>
                <w:bCs/>
                <w:lang w:val="ro-RO" w:eastAsia="zh-CN"/>
              </w:rPr>
              <w:t>Ponderea bugetului instantelor din bugetul MJ</w:t>
            </w:r>
          </w:p>
        </w:tc>
        <w:tc>
          <w:tcPr>
            <w:tcW w:w="278" w:type="dxa"/>
            <w:tcBorders>
              <w:top w:val="single" w:sz="4" w:space="0" w:color="auto"/>
              <w:left w:val="nil"/>
              <w:bottom w:val="single" w:sz="4" w:space="0" w:color="auto"/>
              <w:right w:val="single" w:sz="4" w:space="0" w:color="auto"/>
            </w:tcBorders>
            <w:shd w:val="clear" w:color="auto" w:fill="auto"/>
            <w:vAlign w:val="bottom"/>
          </w:tcPr>
          <w:p w:rsidR="00B63FCC" w:rsidRPr="00372D6B" w:rsidRDefault="00B63FCC" w:rsidP="00372D6B">
            <w:pPr>
              <w:jc w:val="center"/>
              <w:rPr>
                <w:rFonts w:eastAsia="SimSun" w:cs="Arial"/>
                <w:b/>
                <w:bCs/>
                <w:lang w:val="ro-RO" w:eastAsia="zh-CN"/>
              </w:rPr>
            </w:pPr>
            <w:r w:rsidRPr="00372D6B">
              <w:rPr>
                <w:rFonts w:eastAsia="SimSun" w:cs="Arial"/>
                <w:b/>
                <w:bCs/>
                <w:lang w:val="ro-RO" w:eastAsia="zh-CN"/>
              </w:rPr>
              <w:t> </w:t>
            </w:r>
          </w:p>
        </w:tc>
        <w:tc>
          <w:tcPr>
            <w:tcW w:w="1636" w:type="dxa"/>
            <w:tcBorders>
              <w:top w:val="single" w:sz="4" w:space="0" w:color="auto"/>
              <w:left w:val="nil"/>
              <w:bottom w:val="single" w:sz="4" w:space="0" w:color="auto"/>
              <w:right w:val="single" w:sz="4" w:space="0" w:color="auto"/>
            </w:tcBorders>
            <w:shd w:val="clear" w:color="auto" w:fill="auto"/>
            <w:vAlign w:val="bottom"/>
          </w:tcPr>
          <w:p w:rsidR="00B63FCC" w:rsidRPr="00372D6B" w:rsidRDefault="00B63FCC" w:rsidP="00372D6B">
            <w:pPr>
              <w:jc w:val="center"/>
              <w:rPr>
                <w:rFonts w:eastAsia="SimSun" w:cs="Arial"/>
                <w:b/>
                <w:bCs/>
                <w:lang w:val="ro-RO" w:eastAsia="zh-CN"/>
              </w:rPr>
            </w:pPr>
            <w:r w:rsidRPr="00372D6B">
              <w:rPr>
                <w:rFonts w:eastAsia="SimSun" w:cs="Arial"/>
                <w:b/>
                <w:bCs/>
                <w:lang w:val="ro-RO" w:eastAsia="zh-CN"/>
              </w:rPr>
              <w:t>Evolutie</w:t>
            </w:r>
          </w:p>
        </w:tc>
      </w:tr>
      <w:tr w:rsidR="00B63FCC" w:rsidRPr="00372D6B" w:rsidTr="00372D6B">
        <w:trPr>
          <w:trHeight w:val="285"/>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2014</w:t>
            </w:r>
          </w:p>
        </w:tc>
        <w:tc>
          <w:tcPr>
            <w:tcW w:w="2040"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3.518.443.000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lang w:val="ro-RO" w:eastAsia="zh-CN"/>
              </w:rPr>
            </w:pP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2.334.406.000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lang w:val="ro-RO" w:eastAsia="zh-CN"/>
              </w:rPr>
            </w:pPr>
          </w:p>
        </w:tc>
        <w:tc>
          <w:tcPr>
            <w:tcW w:w="1697"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66,35%</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w:t>
            </w:r>
          </w:p>
        </w:tc>
      </w:tr>
      <w:tr w:rsidR="00B63FCC" w:rsidRPr="00372D6B" w:rsidTr="00372D6B">
        <w:trPr>
          <w:trHeight w:val="285"/>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2015</w:t>
            </w:r>
          </w:p>
        </w:tc>
        <w:tc>
          <w:tcPr>
            <w:tcW w:w="2040"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3.345.972.000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lang w:val="ro-RO" w:eastAsia="zh-CN"/>
              </w:rPr>
            </w:pP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2.075.519.000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lang w:val="ro-RO" w:eastAsia="zh-CN"/>
              </w:rPr>
            </w:pPr>
          </w:p>
        </w:tc>
        <w:tc>
          <w:tcPr>
            <w:tcW w:w="1697"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62,03%</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w:t>
            </w:r>
          </w:p>
        </w:tc>
      </w:tr>
      <w:tr w:rsidR="00B63FCC" w:rsidRPr="00372D6B" w:rsidTr="00372D6B">
        <w:trPr>
          <w:trHeight w:val="285"/>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2016</w:t>
            </w:r>
          </w:p>
        </w:tc>
        <w:tc>
          <w:tcPr>
            <w:tcW w:w="2040"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3.054.485.000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lang w:val="ro-RO" w:eastAsia="zh-CN"/>
              </w:rPr>
            </w:pP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1.747.292.000</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lang w:val="ro-RO" w:eastAsia="zh-CN"/>
              </w:rPr>
            </w:pPr>
          </w:p>
        </w:tc>
        <w:tc>
          <w:tcPr>
            <w:tcW w:w="1697"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57,2%</w:t>
            </w:r>
          </w:p>
        </w:tc>
        <w:tc>
          <w:tcPr>
            <w:tcW w:w="278"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lang w:val="ro-RO" w:eastAsia="zh-CN"/>
              </w:rPr>
            </w:pPr>
            <w:r w:rsidRPr="00372D6B">
              <w:rPr>
                <w:rFonts w:eastAsia="SimSun" w:cs="Arial"/>
                <w:lang w:val="ro-RO" w:eastAsia="zh-CN"/>
              </w:rPr>
              <w:t>↓</w:t>
            </w:r>
          </w:p>
        </w:tc>
      </w:tr>
    </w:tbl>
    <w:p w:rsidR="00B63FCC" w:rsidRPr="00372D6B" w:rsidRDefault="00B63FCC" w:rsidP="00B63FCC">
      <w:pPr>
        <w:pStyle w:val="AddParagraf"/>
        <w:spacing w:after="0"/>
        <w:ind w:right="43" w:firstLine="0"/>
      </w:pPr>
    </w:p>
    <w:p w:rsidR="00B63FCC" w:rsidRPr="00372D6B" w:rsidRDefault="00B63FCC" w:rsidP="00B63FCC">
      <w:pPr>
        <w:pStyle w:val="AddParagraf"/>
        <w:spacing w:after="0"/>
        <w:rPr>
          <w:noProof/>
        </w:rPr>
      </w:pPr>
      <w:r w:rsidRPr="00372D6B">
        <w:t xml:space="preserve">După cum se observă, </w:t>
      </w:r>
      <w:r w:rsidRPr="00372D6B">
        <w:rPr>
          <w:b/>
          <w:i/>
        </w:rPr>
        <w:t>ponderea bugetului instanţelor din bugetul MJ s-a aflat în trend descendent până în anul 2016</w:t>
      </w:r>
      <w:r w:rsidRPr="00372D6B">
        <w:t xml:space="preserve">, ceea ce înseamnă că evoluţiile negative ale bugetului MJ au afectat într-o măsură mai mica aceste bugete. </w:t>
      </w:r>
      <w:r w:rsidRPr="00372D6B">
        <w:rPr>
          <w:noProof/>
        </w:rPr>
        <w:t>Fondurile bugetare alocate de la bugetul de stat Ministerului Justiţiei în anul 2016 sunt îndreptate către instanţele judecătoreşti în proporţie de aproximativ 57,2%, restul finanţând aparatul propriu şi celelalte instituţii subordonate financiar. Bugetul alocat instanţelor în anul 2016 a înregistrat o diminuare faţă de anul 2015, în principal datorită faptului că în anul 2016 au fost alocate fonduri doar pentru achitarea dobânzilor aferente hotărârilor judecătoreşti, comparativ cu anul 2015 când au fost alocate fonduri pentru achitarea tranşelor aferente anilor 2015 şi 2016 din hotărârile judecătoreşti.</w:t>
      </w:r>
    </w:p>
    <w:p w:rsidR="00B63FCC" w:rsidRPr="00372D6B" w:rsidRDefault="00B63FCC" w:rsidP="00B63FCC">
      <w:pPr>
        <w:pStyle w:val="AddParagraf"/>
        <w:spacing w:after="0"/>
        <w:rPr>
          <w:noProof/>
        </w:rPr>
      </w:pPr>
      <w:r w:rsidRPr="00372D6B">
        <w:rPr>
          <w:noProof/>
        </w:rPr>
        <w:t>La alocarea fondurilor bugetare pentru instanţe s-a avut în vedere Planul de acţiuni aferent Strategiei privind dezvoltarea sistemului judiciar 2015-2020</w:t>
      </w:r>
      <w:r w:rsidRPr="00372D6B">
        <w:rPr>
          <w:rFonts w:cs="Times New Roman"/>
          <w:i/>
          <w:lang w:eastAsia="en-GB"/>
        </w:rPr>
        <w:t>,</w:t>
      </w:r>
      <w:r w:rsidRPr="00372D6B">
        <w:rPr>
          <w:rFonts w:cs="Times New Roman"/>
          <w:b/>
          <w:lang w:eastAsia="en-GB"/>
        </w:rPr>
        <w:t xml:space="preserve"> </w:t>
      </w:r>
      <w:r w:rsidRPr="00372D6B">
        <w:rPr>
          <w:rFonts w:cs="Times New Roman"/>
          <w:lang w:eastAsia="en-GB"/>
        </w:rPr>
        <w:t>aprobată</w:t>
      </w:r>
      <w:r w:rsidRPr="00372D6B">
        <w:rPr>
          <w:rFonts w:cs="Times New Roman"/>
          <w:b/>
          <w:lang w:eastAsia="en-GB"/>
        </w:rPr>
        <w:t xml:space="preserve"> </w:t>
      </w:r>
      <w:r w:rsidRPr="00372D6B">
        <w:rPr>
          <w:rFonts w:cs="Times New Roman"/>
        </w:rPr>
        <w:t>în decembrie 2014 prin HG. nr. 1155 din 23.12. 2014</w:t>
      </w:r>
      <w:r w:rsidRPr="00372D6B">
        <w:rPr>
          <w:noProof/>
        </w:rPr>
        <w:t>.</w:t>
      </w:r>
    </w:p>
    <w:p w:rsidR="00B63FCC" w:rsidRPr="00372D6B" w:rsidRDefault="00B63FCC" w:rsidP="00B63FCC">
      <w:pPr>
        <w:pStyle w:val="AddParagraf"/>
        <w:spacing w:after="0"/>
        <w:rPr>
          <w:noProof/>
        </w:rPr>
      </w:pPr>
      <w:r w:rsidRPr="00372D6B">
        <w:rPr>
          <w:noProof/>
        </w:rPr>
        <w:t>Fondurile alocate iniţial prin Legea bugetului de stat pe anul 2016 nr.339/2015 au fost insuficiente pentru desfăşurarea în condiţii normale a activităţii instanţelor judecătoreşti pentru întreg anul 2016; cu prilejul celor două rectificări bugetare, aprobate prin Ordonanţa Guvernului cu privire la rectificarea bugetului  de stat pe anul 2016, nr.14/2016 şi nr.86/2016 au fost asigurate fondurile necesare pentru funcţionarea normală în cursul anului.</w:t>
      </w:r>
    </w:p>
    <w:p w:rsidR="00B63FCC" w:rsidRPr="00372D6B" w:rsidRDefault="00B63FCC" w:rsidP="00B63FCC">
      <w:pPr>
        <w:pStyle w:val="AddParagraf"/>
        <w:spacing w:after="0"/>
      </w:pPr>
      <w:r w:rsidRPr="00372D6B">
        <w:t>Referindu-ne doar la bugetul curţilor</w:t>
      </w:r>
      <w:bookmarkStart w:id="180" w:name="_Toc243705536"/>
      <w:bookmarkStart w:id="181" w:name="_Toc243705610"/>
      <w:bookmarkStart w:id="182" w:name="_Toc244328799"/>
      <w:r w:rsidRPr="00372D6B">
        <w:t xml:space="preserve">, din tabelul următor rezultă în mod clar valorile alocate anual: </w:t>
      </w:r>
      <w:r w:rsidRPr="00372D6B">
        <w:tab/>
      </w:r>
    </w:p>
    <w:p w:rsidR="00B63FCC" w:rsidRPr="00372D6B" w:rsidRDefault="00B63FCC" w:rsidP="00B63FCC">
      <w:pPr>
        <w:pStyle w:val="AddParagraf"/>
        <w:spacing w:after="0"/>
        <w:ind w:firstLine="0"/>
      </w:pPr>
    </w:p>
    <w:p w:rsidR="00B63FCC" w:rsidRPr="00372D6B" w:rsidRDefault="00B63FCC" w:rsidP="00B63FCC">
      <w:pPr>
        <w:pStyle w:val="CazSteluta"/>
        <w:numPr>
          <w:ilvl w:val="0"/>
          <w:numId w:val="0"/>
        </w:numPr>
        <w:spacing w:before="0" w:after="0" w:line="240" w:lineRule="auto"/>
      </w:pPr>
      <w:r w:rsidRPr="00372D6B">
        <w:tab/>
        <w:t>Dinamica bugetului curţilor 2014 - 20</w:t>
      </w:r>
      <w:bookmarkEnd w:id="180"/>
      <w:bookmarkEnd w:id="181"/>
      <w:bookmarkEnd w:id="182"/>
      <w:r w:rsidRPr="00372D6B">
        <w:t>16 (în euro)</w:t>
      </w:r>
    </w:p>
    <w:tbl>
      <w:tblPr>
        <w:tblW w:w="9897" w:type="dxa"/>
        <w:tblInd w:w="103" w:type="dxa"/>
        <w:tblLook w:val="0000" w:firstRow="0" w:lastRow="0" w:firstColumn="0" w:lastColumn="0" w:noHBand="0" w:noVBand="0"/>
      </w:tblPr>
      <w:tblGrid>
        <w:gridCol w:w="689"/>
        <w:gridCol w:w="1539"/>
        <w:gridCol w:w="398"/>
        <w:gridCol w:w="1565"/>
        <w:gridCol w:w="398"/>
        <w:gridCol w:w="1565"/>
        <w:gridCol w:w="398"/>
        <w:gridCol w:w="1622"/>
        <w:gridCol w:w="398"/>
        <w:gridCol w:w="1337"/>
        <w:gridCol w:w="398"/>
      </w:tblGrid>
      <w:tr w:rsidR="00B63FCC" w:rsidRPr="00372D6B" w:rsidTr="00372D6B">
        <w:trPr>
          <w:trHeight w:val="255"/>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b/>
                <w:bCs/>
                <w:sz w:val="20"/>
                <w:szCs w:val="20"/>
                <w:lang w:val="ro-RO" w:eastAsia="zh-CN"/>
              </w:rPr>
            </w:pPr>
            <w:bookmarkStart w:id="183" w:name="_Toc243705538"/>
            <w:bookmarkStart w:id="184" w:name="_Toc243705612"/>
            <w:bookmarkStart w:id="185" w:name="_Toc244328801"/>
            <w:r w:rsidRPr="00372D6B">
              <w:rPr>
                <w:rFonts w:eastAsia="SimSun" w:cs="Arial"/>
                <w:b/>
                <w:bCs/>
                <w:sz w:val="20"/>
                <w:szCs w:val="20"/>
                <w:lang w:val="ro-RO" w:eastAsia="zh-CN"/>
              </w:rPr>
              <w:t>Anul</w:t>
            </w:r>
          </w:p>
        </w:tc>
        <w:tc>
          <w:tcPr>
            <w:tcW w:w="1855" w:type="dxa"/>
            <w:gridSpan w:val="2"/>
            <w:tcBorders>
              <w:top w:val="single" w:sz="4" w:space="0" w:color="auto"/>
              <w:left w:val="nil"/>
              <w:bottom w:val="single" w:sz="4" w:space="0" w:color="auto"/>
              <w:right w:val="single" w:sz="4" w:space="0" w:color="000000"/>
            </w:tcBorders>
            <w:shd w:val="clear" w:color="auto" w:fill="auto"/>
            <w:noWrap/>
            <w:vAlign w:val="bottom"/>
          </w:tcPr>
          <w:p w:rsidR="00B63FCC" w:rsidRPr="00372D6B" w:rsidRDefault="00B63FCC" w:rsidP="00372D6B">
            <w:pPr>
              <w:jc w:val="center"/>
              <w:rPr>
                <w:rFonts w:eastAsia="SimSun" w:cs="Arial"/>
                <w:b/>
                <w:bCs/>
                <w:sz w:val="20"/>
                <w:szCs w:val="20"/>
                <w:lang w:val="ro-RO" w:eastAsia="zh-CN"/>
              </w:rPr>
            </w:pPr>
            <w:r w:rsidRPr="00372D6B">
              <w:rPr>
                <w:rFonts w:eastAsia="SimSun" w:cs="Arial"/>
                <w:b/>
                <w:bCs/>
                <w:sz w:val="20"/>
                <w:szCs w:val="20"/>
                <w:lang w:val="ro-RO" w:eastAsia="zh-CN"/>
              </w:rPr>
              <w:t>Instante</w:t>
            </w:r>
          </w:p>
        </w:tc>
        <w:tc>
          <w:tcPr>
            <w:tcW w:w="1881" w:type="dxa"/>
            <w:gridSpan w:val="2"/>
            <w:tcBorders>
              <w:top w:val="single" w:sz="4" w:space="0" w:color="auto"/>
              <w:left w:val="nil"/>
              <w:bottom w:val="single" w:sz="4" w:space="0" w:color="auto"/>
              <w:right w:val="single" w:sz="4" w:space="0" w:color="000000"/>
            </w:tcBorders>
            <w:shd w:val="clear" w:color="auto" w:fill="auto"/>
            <w:noWrap/>
            <w:vAlign w:val="bottom"/>
          </w:tcPr>
          <w:p w:rsidR="00B63FCC" w:rsidRPr="00372D6B" w:rsidRDefault="00B63FCC" w:rsidP="00372D6B">
            <w:pPr>
              <w:jc w:val="center"/>
              <w:rPr>
                <w:rFonts w:eastAsia="SimSun" w:cs="Arial"/>
                <w:b/>
                <w:bCs/>
                <w:sz w:val="20"/>
                <w:szCs w:val="20"/>
                <w:lang w:val="ro-RO" w:eastAsia="zh-CN"/>
              </w:rPr>
            </w:pPr>
            <w:r w:rsidRPr="00372D6B">
              <w:rPr>
                <w:rFonts w:eastAsia="SimSun" w:cs="Arial"/>
                <w:b/>
                <w:bCs/>
                <w:sz w:val="20"/>
                <w:szCs w:val="20"/>
                <w:lang w:val="ro-RO" w:eastAsia="zh-CN"/>
              </w:rPr>
              <w:t>Cheltuieli de personal</w:t>
            </w:r>
          </w:p>
        </w:tc>
        <w:tc>
          <w:tcPr>
            <w:tcW w:w="1881" w:type="dxa"/>
            <w:gridSpan w:val="2"/>
            <w:tcBorders>
              <w:top w:val="single" w:sz="4" w:space="0" w:color="auto"/>
              <w:left w:val="nil"/>
              <w:bottom w:val="single" w:sz="4" w:space="0" w:color="auto"/>
              <w:right w:val="single" w:sz="4" w:space="0" w:color="000000"/>
            </w:tcBorders>
            <w:shd w:val="clear" w:color="auto" w:fill="auto"/>
            <w:noWrap/>
            <w:vAlign w:val="bottom"/>
          </w:tcPr>
          <w:p w:rsidR="00B63FCC" w:rsidRPr="00372D6B" w:rsidRDefault="00B63FCC" w:rsidP="00372D6B">
            <w:pPr>
              <w:jc w:val="center"/>
              <w:rPr>
                <w:rFonts w:eastAsia="SimSun" w:cs="Arial"/>
                <w:b/>
                <w:bCs/>
                <w:sz w:val="20"/>
                <w:szCs w:val="20"/>
                <w:lang w:val="ro-RO" w:eastAsia="zh-CN"/>
              </w:rPr>
            </w:pPr>
            <w:r w:rsidRPr="00372D6B">
              <w:rPr>
                <w:rFonts w:eastAsia="SimSun" w:cs="Arial"/>
                <w:b/>
                <w:bCs/>
                <w:sz w:val="20"/>
                <w:szCs w:val="20"/>
                <w:lang w:val="ro-RO" w:eastAsia="zh-CN"/>
              </w:rPr>
              <w:t>Bunuri si servicii</w:t>
            </w:r>
          </w:p>
        </w:tc>
        <w:tc>
          <w:tcPr>
            <w:tcW w:w="1938" w:type="dxa"/>
            <w:gridSpan w:val="2"/>
            <w:tcBorders>
              <w:top w:val="single" w:sz="4" w:space="0" w:color="auto"/>
              <w:left w:val="nil"/>
              <w:bottom w:val="single" w:sz="4" w:space="0" w:color="auto"/>
              <w:right w:val="single" w:sz="4" w:space="0" w:color="000000"/>
            </w:tcBorders>
            <w:shd w:val="clear" w:color="auto" w:fill="auto"/>
            <w:noWrap/>
            <w:vAlign w:val="bottom"/>
          </w:tcPr>
          <w:p w:rsidR="00B63FCC" w:rsidRPr="00372D6B" w:rsidRDefault="00B63FCC" w:rsidP="00372D6B">
            <w:pPr>
              <w:jc w:val="center"/>
              <w:rPr>
                <w:rFonts w:eastAsia="SimSun" w:cs="Arial"/>
                <w:b/>
                <w:bCs/>
                <w:sz w:val="20"/>
                <w:szCs w:val="20"/>
                <w:lang w:val="ro-RO" w:eastAsia="zh-CN"/>
              </w:rPr>
            </w:pPr>
            <w:r w:rsidRPr="00372D6B">
              <w:rPr>
                <w:rFonts w:eastAsia="SimSun" w:cs="Arial"/>
                <w:b/>
                <w:bCs/>
                <w:sz w:val="20"/>
                <w:szCs w:val="20"/>
                <w:lang w:val="ro-RO" w:eastAsia="zh-CN"/>
              </w:rPr>
              <w:t>Transferuri</w:t>
            </w:r>
          </w:p>
        </w:tc>
        <w:tc>
          <w:tcPr>
            <w:tcW w:w="1653" w:type="dxa"/>
            <w:gridSpan w:val="2"/>
            <w:tcBorders>
              <w:top w:val="single" w:sz="4" w:space="0" w:color="auto"/>
              <w:left w:val="nil"/>
              <w:bottom w:val="single" w:sz="4" w:space="0" w:color="auto"/>
              <w:right w:val="single" w:sz="4" w:space="0" w:color="000000"/>
            </w:tcBorders>
            <w:shd w:val="clear" w:color="auto" w:fill="auto"/>
            <w:noWrap/>
            <w:vAlign w:val="bottom"/>
          </w:tcPr>
          <w:p w:rsidR="00B63FCC" w:rsidRPr="00372D6B" w:rsidRDefault="00B63FCC" w:rsidP="00372D6B">
            <w:pPr>
              <w:jc w:val="center"/>
              <w:rPr>
                <w:rFonts w:eastAsia="SimSun" w:cs="Arial"/>
                <w:b/>
                <w:bCs/>
                <w:sz w:val="20"/>
                <w:szCs w:val="20"/>
                <w:lang w:val="ro-RO" w:eastAsia="zh-CN"/>
              </w:rPr>
            </w:pPr>
            <w:r w:rsidRPr="00372D6B">
              <w:rPr>
                <w:rFonts w:eastAsia="SimSun" w:cs="Arial"/>
                <w:b/>
                <w:bCs/>
                <w:sz w:val="20"/>
                <w:szCs w:val="20"/>
                <w:lang w:val="ro-RO" w:eastAsia="zh-CN"/>
              </w:rPr>
              <w:t>Investitii</w:t>
            </w:r>
          </w:p>
        </w:tc>
      </w:tr>
      <w:tr w:rsidR="00B63FCC" w:rsidRPr="00372D6B" w:rsidTr="00372D6B">
        <w:trPr>
          <w:trHeight w:val="255"/>
        </w:trPr>
        <w:tc>
          <w:tcPr>
            <w:tcW w:w="689" w:type="dxa"/>
            <w:tcBorders>
              <w:top w:val="nil"/>
              <w:left w:val="single" w:sz="4" w:space="0" w:color="auto"/>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w:t>
            </w:r>
          </w:p>
        </w:tc>
        <w:tc>
          <w:tcPr>
            <w:tcW w:w="1539" w:type="dxa"/>
            <w:tcBorders>
              <w:top w:val="nil"/>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w:t>
            </w:r>
          </w:p>
        </w:tc>
        <w:tc>
          <w:tcPr>
            <w:tcW w:w="316" w:type="dxa"/>
            <w:tcBorders>
              <w:top w:val="nil"/>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w:t>
            </w:r>
          </w:p>
        </w:tc>
        <w:tc>
          <w:tcPr>
            <w:tcW w:w="1565" w:type="dxa"/>
            <w:tcBorders>
              <w:top w:val="nil"/>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w:t>
            </w:r>
          </w:p>
        </w:tc>
        <w:tc>
          <w:tcPr>
            <w:tcW w:w="316" w:type="dxa"/>
            <w:tcBorders>
              <w:top w:val="nil"/>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w:t>
            </w:r>
          </w:p>
        </w:tc>
        <w:tc>
          <w:tcPr>
            <w:tcW w:w="1565" w:type="dxa"/>
            <w:tcBorders>
              <w:top w:val="nil"/>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w:t>
            </w:r>
          </w:p>
        </w:tc>
        <w:tc>
          <w:tcPr>
            <w:tcW w:w="316" w:type="dxa"/>
            <w:tcBorders>
              <w:top w:val="nil"/>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w:t>
            </w:r>
          </w:p>
        </w:tc>
        <w:tc>
          <w:tcPr>
            <w:tcW w:w="1622" w:type="dxa"/>
            <w:tcBorders>
              <w:top w:val="nil"/>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w:t>
            </w:r>
          </w:p>
        </w:tc>
        <w:tc>
          <w:tcPr>
            <w:tcW w:w="316" w:type="dxa"/>
            <w:tcBorders>
              <w:top w:val="nil"/>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w:t>
            </w:r>
          </w:p>
        </w:tc>
        <w:tc>
          <w:tcPr>
            <w:tcW w:w="1337" w:type="dxa"/>
            <w:tcBorders>
              <w:top w:val="nil"/>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w:t>
            </w:r>
          </w:p>
        </w:tc>
        <w:tc>
          <w:tcPr>
            <w:tcW w:w="316" w:type="dxa"/>
            <w:tcBorders>
              <w:top w:val="nil"/>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w:t>
            </w:r>
          </w:p>
        </w:tc>
      </w:tr>
      <w:tr w:rsidR="00B63FCC" w:rsidRPr="00372D6B" w:rsidTr="00372D6B">
        <w:trPr>
          <w:trHeight w:val="255"/>
        </w:trPr>
        <w:tc>
          <w:tcPr>
            <w:tcW w:w="689" w:type="dxa"/>
            <w:tcBorders>
              <w:top w:val="nil"/>
              <w:left w:val="single" w:sz="4" w:space="0" w:color="auto"/>
              <w:bottom w:val="nil"/>
              <w:right w:val="single" w:sz="4" w:space="0" w:color="auto"/>
            </w:tcBorders>
            <w:shd w:val="clear" w:color="auto" w:fill="auto"/>
            <w:noWrap/>
            <w:vAlign w:val="bottom"/>
          </w:tcPr>
          <w:p w:rsidR="00B63FCC" w:rsidRPr="00372D6B" w:rsidRDefault="00B63FCC" w:rsidP="00372D6B">
            <w:pPr>
              <w:jc w:val="right"/>
              <w:rPr>
                <w:rFonts w:eastAsia="SimSun" w:cs="Arial"/>
                <w:sz w:val="20"/>
                <w:szCs w:val="20"/>
                <w:lang w:val="ro-RO" w:eastAsia="zh-CN"/>
              </w:rPr>
            </w:pPr>
            <w:r w:rsidRPr="00372D6B">
              <w:rPr>
                <w:rFonts w:eastAsia="SimSun" w:cs="Arial"/>
                <w:sz w:val="20"/>
                <w:szCs w:val="20"/>
                <w:lang w:val="ro-RO" w:eastAsia="zh-CN"/>
              </w:rPr>
              <w:t>2014</w:t>
            </w:r>
          </w:p>
        </w:tc>
        <w:tc>
          <w:tcPr>
            <w:tcW w:w="1539" w:type="dxa"/>
            <w:tcBorders>
              <w:top w:val="nil"/>
              <w:left w:val="nil"/>
              <w:bottom w:val="nil"/>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524.585.618     </w:t>
            </w:r>
          </w:p>
        </w:tc>
        <w:tc>
          <w:tcPr>
            <w:tcW w:w="316" w:type="dxa"/>
            <w:tcBorders>
              <w:top w:val="nil"/>
              <w:left w:val="nil"/>
              <w:bottom w:val="nil"/>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 </w:t>
            </w:r>
          </w:p>
        </w:tc>
        <w:tc>
          <w:tcPr>
            <w:tcW w:w="1565" w:type="dxa"/>
            <w:tcBorders>
              <w:top w:val="nil"/>
              <w:left w:val="nil"/>
              <w:bottom w:val="nil"/>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462.942.022     </w:t>
            </w:r>
          </w:p>
        </w:tc>
        <w:tc>
          <w:tcPr>
            <w:tcW w:w="316" w:type="dxa"/>
            <w:tcBorders>
              <w:top w:val="nil"/>
              <w:left w:val="nil"/>
              <w:bottom w:val="nil"/>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 </w:t>
            </w:r>
          </w:p>
        </w:tc>
        <w:tc>
          <w:tcPr>
            <w:tcW w:w="1565" w:type="dxa"/>
            <w:tcBorders>
              <w:top w:val="nil"/>
              <w:left w:val="nil"/>
              <w:bottom w:val="nil"/>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38.535.506     </w:t>
            </w:r>
          </w:p>
        </w:tc>
        <w:tc>
          <w:tcPr>
            <w:tcW w:w="316" w:type="dxa"/>
            <w:tcBorders>
              <w:top w:val="nil"/>
              <w:left w:val="nil"/>
              <w:bottom w:val="nil"/>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 </w:t>
            </w:r>
          </w:p>
        </w:tc>
        <w:tc>
          <w:tcPr>
            <w:tcW w:w="1622" w:type="dxa"/>
            <w:tcBorders>
              <w:top w:val="nil"/>
              <w:left w:val="nil"/>
              <w:bottom w:val="nil"/>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16.557.528     </w:t>
            </w:r>
          </w:p>
        </w:tc>
        <w:tc>
          <w:tcPr>
            <w:tcW w:w="316" w:type="dxa"/>
            <w:tcBorders>
              <w:top w:val="nil"/>
              <w:left w:val="nil"/>
              <w:bottom w:val="nil"/>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 </w:t>
            </w:r>
          </w:p>
        </w:tc>
        <w:tc>
          <w:tcPr>
            <w:tcW w:w="1337" w:type="dxa"/>
            <w:tcBorders>
              <w:top w:val="nil"/>
              <w:left w:val="nil"/>
              <w:bottom w:val="nil"/>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6.550.562     </w:t>
            </w:r>
          </w:p>
        </w:tc>
        <w:tc>
          <w:tcPr>
            <w:tcW w:w="316" w:type="dxa"/>
            <w:tcBorders>
              <w:top w:val="nil"/>
              <w:left w:val="nil"/>
              <w:bottom w:val="nil"/>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 </w:t>
            </w:r>
          </w:p>
        </w:tc>
      </w:tr>
      <w:tr w:rsidR="00B63FCC" w:rsidRPr="00372D6B" w:rsidTr="00372D6B">
        <w:trPr>
          <w:trHeight w:val="255"/>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3FCC" w:rsidRPr="00372D6B" w:rsidRDefault="00B63FCC" w:rsidP="00372D6B">
            <w:pPr>
              <w:jc w:val="right"/>
              <w:rPr>
                <w:rFonts w:eastAsia="SimSun" w:cs="Arial"/>
                <w:sz w:val="20"/>
                <w:szCs w:val="20"/>
                <w:lang w:val="ro-RO" w:eastAsia="zh-CN"/>
              </w:rPr>
            </w:pPr>
            <w:r w:rsidRPr="00372D6B">
              <w:rPr>
                <w:rFonts w:eastAsia="SimSun" w:cs="Arial"/>
                <w:sz w:val="20"/>
                <w:szCs w:val="20"/>
                <w:lang w:val="ro-RO" w:eastAsia="zh-CN"/>
              </w:rPr>
              <w:t>2015</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467.459.234</w:t>
            </w:r>
          </w:p>
        </w:tc>
        <w:tc>
          <w:tcPr>
            <w:tcW w:w="31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 </w:t>
            </w:r>
          </w:p>
        </w:tc>
        <w:tc>
          <w:tcPr>
            <w:tcW w:w="1565"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401.506.306</w:t>
            </w:r>
          </w:p>
        </w:tc>
        <w:tc>
          <w:tcPr>
            <w:tcW w:w="31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 </w:t>
            </w:r>
          </w:p>
        </w:tc>
        <w:tc>
          <w:tcPr>
            <w:tcW w:w="1565"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38.865.090</w:t>
            </w:r>
          </w:p>
        </w:tc>
        <w:tc>
          <w:tcPr>
            <w:tcW w:w="31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 </w:t>
            </w:r>
          </w:p>
        </w:tc>
        <w:tc>
          <w:tcPr>
            <w:tcW w:w="1622"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sz w:val="20"/>
                <w:szCs w:val="20"/>
                <w:lang w:val="ro-RO" w:eastAsia="zh-CN"/>
              </w:rPr>
            </w:pPr>
            <w:r w:rsidRPr="00372D6B">
              <w:rPr>
                <w:rFonts w:eastAsia="SimSun" w:cs="Arial"/>
                <w:sz w:val="20"/>
                <w:szCs w:val="20"/>
                <w:lang w:val="ro-RO" w:eastAsia="zh-CN"/>
              </w:rPr>
              <w:t>19.142.343</w:t>
            </w:r>
          </w:p>
        </w:tc>
        <w:tc>
          <w:tcPr>
            <w:tcW w:w="31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 </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7.945.495</w:t>
            </w:r>
          </w:p>
        </w:tc>
        <w:tc>
          <w:tcPr>
            <w:tcW w:w="31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 xml:space="preserve"> ↑ </w:t>
            </w:r>
          </w:p>
        </w:tc>
      </w:tr>
      <w:tr w:rsidR="00B63FCC" w:rsidRPr="00372D6B" w:rsidTr="00372D6B">
        <w:trPr>
          <w:trHeight w:val="255"/>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3FCC" w:rsidRPr="00372D6B" w:rsidRDefault="00B63FCC" w:rsidP="00372D6B">
            <w:pPr>
              <w:jc w:val="right"/>
              <w:rPr>
                <w:rFonts w:eastAsia="SimSun" w:cs="Arial"/>
                <w:sz w:val="20"/>
                <w:szCs w:val="20"/>
                <w:lang w:val="ro-RO" w:eastAsia="zh-CN"/>
              </w:rPr>
            </w:pPr>
            <w:r w:rsidRPr="00372D6B">
              <w:rPr>
                <w:rFonts w:eastAsia="SimSun" w:cs="Arial"/>
                <w:sz w:val="20"/>
                <w:szCs w:val="20"/>
                <w:lang w:val="ro-RO" w:eastAsia="zh-CN"/>
              </w:rPr>
              <w:t>2016</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388.287.111</w:t>
            </w:r>
          </w:p>
        </w:tc>
        <w:tc>
          <w:tcPr>
            <w:tcW w:w="31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w:t>
            </w:r>
          </w:p>
        </w:tc>
        <w:tc>
          <w:tcPr>
            <w:tcW w:w="1565"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320.029.556</w:t>
            </w:r>
          </w:p>
        </w:tc>
        <w:tc>
          <w:tcPr>
            <w:tcW w:w="31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w:t>
            </w:r>
          </w:p>
        </w:tc>
        <w:tc>
          <w:tcPr>
            <w:tcW w:w="1565"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40.222.444</w:t>
            </w:r>
          </w:p>
        </w:tc>
        <w:tc>
          <w:tcPr>
            <w:tcW w:w="31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w:t>
            </w:r>
          </w:p>
        </w:tc>
        <w:tc>
          <w:tcPr>
            <w:tcW w:w="1622"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jc w:val="center"/>
              <w:rPr>
                <w:rFonts w:eastAsia="SimSun" w:cs="Arial"/>
                <w:sz w:val="20"/>
                <w:szCs w:val="20"/>
                <w:lang w:val="ro-RO" w:eastAsia="zh-CN"/>
              </w:rPr>
            </w:pPr>
            <w:r w:rsidRPr="00372D6B">
              <w:rPr>
                <w:rFonts w:eastAsia="SimSun" w:cs="Arial"/>
                <w:sz w:val="20"/>
                <w:szCs w:val="20"/>
                <w:lang w:val="ro-RO" w:eastAsia="zh-CN"/>
              </w:rPr>
              <w:t>22.187.778</w:t>
            </w:r>
          </w:p>
        </w:tc>
        <w:tc>
          <w:tcPr>
            <w:tcW w:w="31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5.847.333</w:t>
            </w:r>
          </w:p>
        </w:tc>
        <w:tc>
          <w:tcPr>
            <w:tcW w:w="316" w:type="dxa"/>
            <w:tcBorders>
              <w:top w:val="single" w:sz="4" w:space="0" w:color="auto"/>
              <w:left w:val="nil"/>
              <w:bottom w:val="single" w:sz="4" w:space="0" w:color="auto"/>
              <w:right w:val="single" w:sz="4" w:space="0" w:color="auto"/>
            </w:tcBorders>
            <w:shd w:val="clear" w:color="auto" w:fill="auto"/>
            <w:noWrap/>
            <w:vAlign w:val="bottom"/>
          </w:tcPr>
          <w:p w:rsidR="00B63FCC" w:rsidRPr="00372D6B" w:rsidRDefault="00B63FCC" w:rsidP="00372D6B">
            <w:pPr>
              <w:rPr>
                <w:rFonts w:eastAsia="SimSun" w:cs="Arial"/>
                <w:sz w:val="20"/>
                <w:szCs w:val="20"/>
                <w:lang w:val="ro-RO" w:eastAsia="zh-CN"/>
              </w:rPr>
            </w:pPr>
            <w:r w:rsidRPr="00372D6B">
              <w:rPr>
                <w:rFonts w:eastAsia="SimSun" w:cs="Arial"/>
                <w:sz w:val="20"/>
                <w:szCs w:val="20"/>
                <w:lang w:val="ro-RO" w:eastAsia="zh-CN"/>
              </w:rPr>
              <w:t>↓</w:t>
            </w:r>
          </w:p>
        </w:tc>
      </w:tr>
    </w:tbl>
    <w:p w:rsidR="00B63FCC" w:rsidRPr="00372D6B" w:rsidRDefault="00B63FCC" w:rsidP="00B63FCC">
      <w:pPr>
        <w:pStyle w:val="AddParagraf"/>
        <w:spacing w:after="0"/>
        <w:ind w:right="43" w:firstLine="0"/>
      </w:pPr>
    </w:p>
    <w:p w:rsidR="00B63FCC" w:rsidRPr="00372D6B" w:rsidRDefault="00B63FCC" w:rsidP="00B63FCC">
      <w:pPr>
        <w:pStyle w:val="AddParagraf"/>
        <w:spacing w:after="0"/>
        <w:ind w:right="43" w:firstLine="706"/>
      </w:pPr>
      <w:r w:rsidRPr="00372D6B">
        <w:lastRenderedPageBreak/>
        <w:t>La partea de transferuri au fost incluse celelalte titluri de cheltuieli, respectiv cheltuielile cu proiectele finanţate din fonduri externe nerambursabile postaderare, programe cu finanţare rambursabilă, etc.</w:t>
      </w:r>
    </w:p>
    <w:p w:rsidR="00B63FCC" w:rsidRPr="00372D6B" w:rsidRDefault="00B63FCC" w:rsidP="00B63FCC">
      <w:pPr>
        <w:pStyle w:val="AddParagraf"/>
        <w:spacing w:after="0"/>
      </w:pPr>
      <w:r w:rsidRPr="00372D6B">
        <w:t>Pentru o analiză comparativă, în graficul de mai jos este prezentată alocarea bugetului în</w:t>
      </w:r>
      <w:bookmarkStart w:id="186" w:name="_Toc243705539"/>
      <w:bookmarkStart w:id="187" w:name="_Toc243705613"/>
      <w:bookmarkStart w:id="188" w:name="_Toc244328802"/>
      <w:bookmarkEnd w:id="183"/>
      <w:bookmarkEnd w:id="184"/>
      <w:bookmarkEnd w:id="185"/>
      <w:r w:rsidRPr="00372D6B">
        <w:t xml:space="preserve"> perioada de referinţă.</w:t>
      </w:r>
    </w:p>
    <w:p w:rsidR="00B63FCC" w:rsidRPr="00372D6B" w:rsidRDefault="007041EF" w:rsidP="00B63FCC">
      <w:pPr>
        <w:pStyle w:val="AddParagraf"/>
        <w:spacing w:after="0"/>
      </w:pPr>
      <w:r w:rsidRPr="00372D6B">
        <w:rPr>
          <w:noProof/>
          <w:lang w:val="en-US"/>
        </w:rPr>
        <w:drawing>
          <wp:inline distT="0" distB="0" distL="0" distR="0">
            <wp:extent cx="3320415" cy="1691640"/>
            <wp:effectExtent l="0" t="0" r="13335" b="3810"/>
            <wp:docPr id="7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B63FCC" w:rsidRPr="00372D6B" w:rsidRDefault="00B63FCC" w:rsidP="00B63FCC">
      <w:pPr>
        <w:pStyle w:val="AddParagraf"/>
        <w:spacing w:after="0"/>
        <w:ind w:firstLine="0"/>
      </w:pPr>
    </w:p>
    <w:p w:rsidR="00B63FCC" w:rsidRPr="00372D6B" w:rsidRDefault="00B63FCC" w:rsidP="00B63FCC">
      <w:pPr>
        <w:pStyle w:val="AddParagraf"/>
        <w:spacing w:after="0"/>
      </w:pPr>
    </w:p>
    <w:p w:rsidR="00B63FCC" w:rsidRPr="00372D6B" w:rsidRDefault="00B63FCC" w:rsidP="00B63FCC">
      <w:pPr>
        <w:pStyle w:val="AddParagraf"/>
        <w:spacing w:after="0"/>
        <w:ind w:right="43" w:firstLine="706"/>
      </w:pPr>
      <w:r w:rsidRPr="00372D6B">
        <w:t>Potrivit datelor  de mai sus, o pondere semnificativa în bugetul instanţelor o au cheltuielile de personal.</w:t>
      </w:r>
    </w:p>
    <w:p w:rsidR="00B63FCC" w:rsidRPr="00372D6B" w:rsidRDefault="007041EF" w:rsidP="00B63FCC">
      <w:pPr>
        <w:pStyle w:val="AddParagraf"/>
        <w:spacing w:after="0"/>
        <w:ind w:right="43" w:firstLine="706"/>
        <w:rPr>
          <w:noProof/>
        </w:rPr>
      </w:pPr>
      <w:r w:rsidRPr="00372D6B">
        <w:rPr>
          <w:noProof/>
          <w:lang w:val="en-US"/>
        </w:rPr>
        <w:drawing>
          <wp:inline distT="0" distB="0" distL="0" distR="0">
            <wp:extent cx="3312160" cy="1713865"/>
            <wp:effectExtent l="0" t="0" r="2540" b="635"/>
            <wp:docPr id="7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B63FCC" w:rsidRPr="00372D6B" w:rsidRDefault="00B63FCC" w:rsidP="00B63FCC">
      <w:pPr>
        <w:pStyle w:val="AddParagraf"/>
        <w:spacing w:after="0"/>
        <w:ind w:right="43" w:firstLine="0"/>
      </w:pPr>
    </w:p>
    <w:p w:rsidR="00B63FCC" w:rsidRPr="00372D6B" w:rsidRDefault="00B63FCC" w:rsidP="00B63FCC">
      <w:pPr>
        <w:rPr>
          <w:lang w:val="ro-RO"/>
        </w:rPr>
      </w:pPr>
    </w:p>
    <w:p w:rsidR="00B63FCC" w:rsidRPr="00372D6B" w:rsidRDefault="00B63FCC" w:rsidP="00B63FCC">
      <w:pPr>
        <w:pStyle w:val="AddParagraf"/>
        <w:spacing w:after="0"/>
      </w:pPr>
      <w:r w:rsidRPr="00372D6B">
        <w:t>Bugetul alocat instanţelor în anul 2016 la cheltuieli de personal înregistrează o descreştere faţă de anul 2015 deoarece în anul 2016 au fost alocate fonduri suplimentare pentru:</w:t>
      </w:r>
    </w:p>
    <w:p w:rsidR="00B63FCC" w:rsidRPr="00372D6B" w:rsidRDefault="00B63FCC" w:rsidP="00B63FCC">
      <w:pPr>
        <w:pStyle w:val="AddParagraf"/>
        <w:numPr>
          <w:ilvl w:val="0"/>
          <w:numId w:val="28"/>
        </w:numPr>
        <w:tabs>
          <w:tab w:val="left" w:pos="851"/>
        </w:tabs>
        <w:spacing w:after="0"/>
        <w:ind w:left="0" w:firstLine="709"/>
      </w:pPr>
      <w:r w:rsidRPr="00372D6B">
        <w:t>achitarea drepturilor salariale și a contribuțiilor datorate de angajator (impactul generat de aplicarea prevederilor art. III din Legea nr. 293/2015);</w:t>
      </w:r>
    </w:p>
    <w:p w:rsidR="00B63FCC" w:rsidRPr="00372D6B" w:rsidRDefault="00B63FCC" w:rsidP="00B63FCC">
      <w:pPr>
        <w:pStyle w:val="AddParagraf"/>
        <w:numPr>
          <w:ilvl w:val="0"/>
          <w:numId w:val="28"/>
        </w:numPr>
        <w:tabs>
          <w:tab w:val="left" w:pos="851"/>
        </w:tabs>
        <w:spacing w:after="0"/>
        <w:ind w:left="0" w:firstLine="709"/>
      </w:pPr>
      <w:r w:rsidRPr="00372D6B">
        <w:t>ocuparea posturilor aprobate prin H.G. nr. 328/2016 pentru modificarea și completarea H.G. nr. 652/2009 privind organizarea și funcționarea Ministerului Justiției, precum și pentru modificarea unor acte normative: 137 judecători, 102 grefieri și pentru promoția INM - 80 auditori de justiție care au fost încadrați cu 15 iulie 2016;</w:t>
      </w:r>
    </w:p>
    <w:p w:rsidR="00B63FCC" w:rsidRPr="00372D6B" w:rsidRDefault="00B63FCC" w:rsidP="00B63FCC">
      <w:pPr>
        <w:pStyle w:val="AddParagraf"/>
        <w:numPr>
          <w:ilvl w:val="0"/>
          <w:numId w:val="28"/>
        </w:numPr>
        <w:tabs>
          <w:tab w:val="left" w:pos="851"/>
        </w:tabs>
        <w:spacing w:after="0"/>
        <w:ind w:left="0" w:firstLine="709"/>
      </w:pPr>
      <w:r w:rsidRPr="00372D6B">
        <w:t>achitarea tranșelor aferente sentințelor judecătorești.</w:t>
      </w:r>
    </w:p>
    <w:p w:rsidR="00B63FCC" w:rsidRPr="00372D6B" w:rsidRDefault="00B63FCC" w:rsidP="00B63FCC">
      <w:pPr>
        <w:pStyle w:val="AddParagraf"/>
        <w:numPr>
          <w:ilvl w:val="0"/>
          <w:numId w:val="28"/>
        </w:numPr>
        <w:tabs>
          <w:tab w:val="left" w:pos="851"/>
        </w:tabs>
        <w:spacing w:after="0"/>
        <w:ind w:left="0" w:firstLine="709"/>
      </w:pPr>
      <w:r w:rsidRPr="00372D6B">
        <w:t xml:space="preserve">asigurarea influențelor generate de aplicarea prevederilor O.U.G. nr. 20/2016 și O.U.G. nr. 43/2016; </w:t>
      </w:r>
    </w:p>
    <w:p w:rsidR="00B63FCC" w:rsidRPr="00372D6B" w:rsidRDefault="00B63FCC" w:rsidP="00B63FCC">
      <w:pPr>
        <w:pStyle w:val="AddParagraf"/>
        <w:numPr>
          <w:ilvl w:val="0"/>
          <w:numId w:val="28"/>
        </w:numPr>
        <w:tabs>
          <w:tab w:val="left" w:pos="851"/>
        </w:tabs>
        <w:spacing w:after="0"/>
        <w:ind w:left="0" w:firstLine="709"/>
      </w:pPr>
      <w:r w:rsidRPr="00372D6B">
        <w:t>plata unor sume reprezentând titluri executorii.</w:t>
      </w:r>
    </w:p>
    <w:p w:rsidR="00B63FCC" w:rsidRPr="00372D6B" w:rsidRDefault="00B63FCC" w:rsidP="00B63FCC">
      <w:pPr>
        <w:pStyle w:val="AddParagraf"/>
        <w:spacing w:after="0"/>
      </w:pPr>
      <w:r w:rsidRPr="00372D6B">
        <w:t xml:space="preserve">Din totalul de 82.536 mii lei cu care a fost suplimentat bugetul aprobat pentru anul 2016, la cheltuieli de personal pentru instanţele judecătoreşti, fondurile sunt în sumă de 51.400 mii lei, comparativ cu anul 2015 când au fost de 550.466 mii lei. </w:t>
      </w:r>
    </w:p>
    <w:p w:rsidR="00B63FCC" w:rsidRPr="00372D6B" w:rsidRDefault="00B63FCC" w:rsidP="00B63FCC">
      <w:pPr>
        <w:ind w:firstLine="720"/>
        <w:jc w:val="both"/>
        <w:rPr>
          <w:lang w:val="ro-RO"/>
        </w:rPr>
      </w:pPr>
      <w:r w:rsidRPr="00372D6B">
        <w:rPr>
          <w:lang w:val="ro-RO"/>
        </w:rPr>
        <w:t xml:space="preserve">În cadrul bugetului instanţelor, analiza reflectă o atenţie continuă acordată bunurilor şi serviciilor. </w:t>
      </w:r>
    </w:p>
    <w:p w:rsidR="00B63FCC" w:rsidRPr="00372D6B" w:rsidRDefault="007041EF" w:rsidP="00B63FCC">
      <w:pPr>
        <w:ind w:firstLine="720"/>
        <w:jc w:val="both"/>
        <w:rPr>
          <w:lang w:val="ro-RO"/>
        </w:rPr>
      </w:pPr>
      <w:r w:rsidRPr="00372D6B">
        <w:rPr>
          <w:noProof/>
        </w:rPr>
        <w:lastRenderedPageBreak/>
        <w:drawing>
          <wp:inline distT="0" distB="0" distL="0" distR="0">
            <wp:extent cx="3540760" cy="1986915"/>
            <wp:effectExtent l="0" t="0" r="2540" b="13335"/>
            <wp:docPr id="7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B63FCC" w:rsidRPr="00372D6B" w:rsidRDefault="00B63FCC" w:rsidP="00B63FCC">
      <w:pPr>
        <w:spacing w:before="60"/>
        <w:rPr>
          <w:rFonts w:cs="Arial"/>
          <w:lang w:val="ro-RO"/>
        </w:rPr>
      </w:pPr>
    </w:p>
    <w:p w:rsidR="00B63FCC" w:rsidRPr="00372D6B" w:rsidRDefault="00B63FCC" w:rsidP="00B63FCC">
      <w:pPr>
        <w:spacing w:before="60"/>
        <w:ind w:firstLine="720"/>
        <w:jc w:val="both"/>
        <w:rPr>
          <w:lang w:val="ro-RO"/>
        </w:rPr>
      </w:pPr>
      <w:r w:rsidRPr="00372D6B">
        <w:rPr>
          <w:rFonts w:cs="Arial"/>
          <w:lang w:val="ro-RO"/>
        </w:rPr>
        <w:t>Creditele bugetare alocate instanţelor judecătoreşti pentru cheltuielile cu bunuri şi servicii î</w:t>
      </w:r>
      <w:r w:rsidRPr="00372D6B">
        <w:rPr>
          <w:lang w:val="ro-RO"/>
        </w:rPr>
        <w:t xml:space="preserve">n anul 2016 au înregistrat o creştere faţă de anul precedent cu suma de 8.440 mii lei. Pentru asigurarea funcţionării in condiţii normale a instanţelor judecătoreşti, cu prilejul celor două rectificări bugetare, fondurile alocate </w:t>
      </w:r>
      <w:r w:rsidR="003234CF" w:rsidRPr="00372D6B">
        <w:rPr>
          <w:lang w:val="ro-RO"/>
        </w:rPr>
        <w:t>iniţial</w:t>
      </w:r>
      <w:r w:rsidRPr="00372D6B">
        <w:rPr>
          <w:lang w:val="ro-RO"/>
        </w:rPr>
        <w:t xml:space="preserve"> instanţelor au fost suplimentate cu suma de 6.508 mii lei, pentru:</w:t>
      </w:r>
    </w:p>
    <w:p w:rsidR="00B63FCC" w:rsidRPr="00372D6B" w:rsidRDefault="00B63FCC" w:rsidP="00B63FCC">
      <w:pPr>
        <w:pStyle w:val="AddParagraf"/>
        <w:numPr>
          <w:ilvl w:val="0"/>
          <w:numId w:val="28"/>
        </w:numPr>
        <w:tabs>
          <w:tab w:val="left" w:pos="851"/>
        </w:tabs>
        <w:spacing w:after="0"/>
        <w:ind w:left="0" w:firstLine="709"/>
      </w:pPr>
      <w:r w:rsidRPr="00372D6B">
        <w:t>achitarea contravalorii chiriilor aferente unor spații noi în care își desfășoară activitatea (C.A. Ploiești, C.A. Tg. Mureș, C.A. Constanța și C.A. Bacău) - în sumă de 1.076 mii lei;</w:t>
      </w:r>
    </w:p>
    <w:p w:rsidR="00B63FCC" w:rsidRPr="00372D6B" w:rsidRDefault="00B63FCC" w:rsidP="00B63FCC">
      <w:pPr>
        <w:pStyle w:val="AddParagraf"/>
        <w:numPr>
          <w:ilvl w:val="0"/>
          <w:numId w:val="28"/>
        </w:numPr>
        <w:tabs>
          <w:tab w:val="left" w:pos="851"/>
        </w:tabs>
        <w:spacing w:after="0"/>
        <w:ind w:left="0" w:firstLine="709"/>
      </w:pPr>
      <w:r w:rsidRPr="00372D6B">
        <w:t>pentru  cheltuieli de funcționare- suma de 30 mii lei;</w:t>
      </w:r>
    </w:p>
    <w:p w:rsidR="00B63FCC" w:rsidRPr="00372D6B" w:rsidRDefault="00B63FCC" w:rsidP="00B63FCC">
      <w:pPr>
        <w:pStyle w:val="AddParagraf"/>
        <w:numPr>
          <w:ilvl w:val="0"/>
          <w:numId w:val="28"/>
        </w:numPr>
        <w:tabs>
          <w:tab w:val="left" w:pos="851"/>
        </w:tabs>
        <w:spacing w:after="0"/>
        <w:ind w:left="0" w:firstLine="709"/>
      </w:pPr>
      <w:r w:rsidRPr="00372D6B">
        <w:t>în vederea achitării contravalorii serviciilor de preluare, prezentare, prelucrare și expediere a actelor de procedură pentru instanțele judecătorești-suma de 2.600 mii lei.</w:t>
      </w:r>
    </w:p>
    <w:p w:rsidR="00B63FCC" w:rsidRPr="00372D6B" w:rsidRDefault="00B63FCC" w:rsidP="00B63FCC">
      <w:pPr>
        <w:pStyle w:val="AddParagraf"/>
        <w:numPr>
          <w:ilvl w:val="0"/>
          <w:numId w:val="28"/>
        </w:numPr>
        <w:tabs>
          <w:tab w:val="left" w:pos="851"/>
        </w:tabs>
        <w:spacing w:after="0"/>
        <w:ind w:left="0" w:firstLine="709"/>
      </w:pPr>
      <w:r w:rsidRPr="00372D6B">
        <w:t>pentru achiziționarea de obiecte de inventar: sediul nou în care va funcționa Judecătoria Lehliu Gară și Judecătoria Ploiești, ca urmare a finalizării lucrărilor de reabilitare a acestora (birouri, scaune birou, dulapuri birou, mese, biblioteci cu rafturi, cuiere, mese prezidiu, bănci pentru public, rafturi metalice, jaluzele, covoare, telefoane, stingătoare incendiu, etc); mobilier: scaune, birouri pentru personalul nou încadrat în cadrul instanțelor judecătorești; rafturi pentru arhivă, stingătoare pentru arhivă, fișete, aparate aer condiționat pentru camerele serverelor și sălile de ședință, calculatoare, imprimante – marea majoritate sunt defecte, distrugătoare de documente, bănci săli ședință, etc. - suma de 1.834 mii lei;</w:t>
      </w:r>
    </w:p>
    <w:p w:rsidR="00B63FCC" w:rsidRPr="00372D6B" w:rsidRDefault="00B63FCC" w:rsidP="00B63FCC">
      <w:pPr>
        <w:pStyle w:val="AddParagraf"/>
        <w:numPr>
          <w:ilvl w:val="0"/>
          <w:numId w:val="28"/>
        </w:numPr>
        <w:tabs>
          <w:tab w:val="left" w:pos="851"/>
        </w:tabs>
        <w:spacing w:after="0"/>
        <w:ind w:left="0" w:firstLine="709"/>
      </w:pPr>
      <w:r w:rsidRPr="00372D6B">
        <w:t>pentru reparații curente la sediile pe care le au în administrare, în vederea amenajării sălilor de consiliu necesare ca urmare a intrării în vigoare a noilor coduri și efectuării lucrărilor de igienizare a spațiilor – suma de 1.589 mii lei;</w:t>
      </w:r>
    </w:p>
    <w:p w:rsidR="00B63FCC" w:rsidRPr="00372D6B" w:rsidRDefault="00B63FCC" w:rsidP="00B63FCC">
      <w:pPr>
        <w:pStyle w:val="AddParagraf"/>
        <w:numPr>
          <w:ilvl w:val="0"/>
          <w:numId w:val="28"/>
        </w:numPr>
        <w:tabs>
          <w:tab w:val="left" w:pos="851"/>
        </w:tabs>
        <w:spacing w:after="0"/>
        <w:ind w:left="0" w:firstLine="709"/>
      </w:pPr>
      <w:r w:rsidRPr="00372D6B">
        <w:t xml:space="preserve"> pentru servicii (curăţenie, reparaţii, întreţinere si reparaţie echipamente IT, imprimante), rechizite (tonere, hârtie, registre tipizate), carburanți, încheierea de asigurări facultative CASCO și asigurări obligatorii RCA pentru autoturismele din dotare achiziționate prin programul „Rabla” în decembrie 2015, confecționarea de robe și insigne pentru absolvenții de INM, servicii evaluare clădiri și terenuri, piese de schimb, plata fondului pentru persoane cu dizabilități, obținerea de avize și autorizații privind securitatea la incendii, etc – suma de 577 mii lei.</w:t>
      </w:r>
    </w:p>
    <w:p w:rsidR="00B63FCC" w:rsidRPr="00372D6B" w:rsidRDefault="00B63FCC" w:rsidP="00B63FCC">
      <w:pPr>
        <w:ind w:right="1" w:firstLine="720"/>
        <w:jc w:val="both"/>
        <w:rPr>
          <w:lang w:val="ro-RO"/>
        </w:rPr>
      </w:pPr>
    </w:p>
    <w:p w:rsidR="00B63FCC" w:rsidRPr="00372D6B" w:rsidRDefault="007041EF" w:rsidP="00B63FCC">
      <w:pPr>
        <w:ind w:right="1" w:firstLine="720"/>
        <w:jc w:val="both"/>
        <w:rPr>
          <w:noProof/>
          <w:lang w:val="ro-RO"/>
        </w:rPr>
      </w:pPr>
      <w:r w:rsidRPr="00372D6B">
        <w:rPr>
          <w:noProof/>
        </w:rPr>
        <w:drawing>
          <wp:inline distT="0" distB="0" distL="0" distR="0">
            <wp:extent cx="3059430" cy="1591310"/>
            <wp:effectExtent l="0" t="0" r="7620" b="8890"/>
            <wp:docPr id="7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B63FCC" w:rsidRPr="00372D6B" w:rsidRDefault="00B63FCC" w:rsidP="00B63FCC">
      <w:pPr>
        <w:ind w:right="1"/>
        <w:rPr>
          <w:lang w:val="ro-RO"/>
        </w:rPr>
      </w:pPr>
    </w:p>
    <w:bookmarkEnd w:id="186"/>
    <w:bookmarkEnd w:id="187"/>
    <w:bookmarkEnd w:id="188"/>
    <w:p w:rsidR="00B63FCC" w:rsidRPr="00372D6B" w:rsidRDefault="00B63FCC" w:rsidP="00B63FCC">
      <w:pPr>
        <w:ind w:firstLine="720"/>
        <w:jc w:val="both"/>
        <w:rPr>
          <w:rFonts w:cs="Arial"/>
          <w:lang w:val="ro-RO"/>
        </w:rPr>
      </w:pPr>
      <w:r w:rsidRPr="00372D6B">
        <w:rPr>
          <w:rFonts w:cs="Arial"/>
          <w:lang w:val="ro-RO"/>
        </w:rPr>
        <w:t>La cheltuieli de capital au fost alocate fonduri in anul 2016 atât pentru obiectivele de investiţii, cât şi pentru dotarea cu echipamente IT (software, hardware).</w:t>
      </w:r>
    </w:p>
    <w:p w:rsidR="00B63FCC" w:rsidRPr="00372D6B" w:rsidRDefault="00B63FCC" w:rsidP="00B63FCC">
      <w:pPr>
        <w:ind w:firstLine="720"/>
        <w:jc w:val="both"/>
        <w:rPr>
          <w:rFonts w:cs="Arial"/>
          <w:lang w:val="ro-RO"/>
        </w:rPr>
      </w:pPr>
      <w:r w:rsidRPr="00372D6B">
        <w:rPr>
          <w:rFonts w:cs="Arial"/>
          <w:lang w:val="ro-RO"/>
        </w:rPr>
        <w:lastRenderedPageBreak/>
        <w:t>Dinamica fondurilor alocate de la bugetul de stat în perioada 2014-2016 reflectă o diminuare continuă până în anul 2016, în condiţiile în care acestea au fost completate cu fonduri externe.</w:t>
      </w: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3381"/>
        <w:gridCol w:w="1011"/>
        <w:gridCol w:w="2834"/>
        <w:gridCol w:w="1000"/>
      </w:tblGrid>
      <w:tr w:rsidR="00B63FCC" w:rsidRPr="00631BB4" w:rsidTr="00372D6B">
        <w:trPr>
          <w:trHeight w:val="255"/>
        </w:trPr>
        <w:tc>
          <w:tcPr>
            <w:tcW w:w="5000" w:type="pct"/>
            <w:gridSpan w:val="5"/>
            <w:tcBorders>
              <w:top w:val="nil"/>
              <w:left w:val="nil"/>
              <w:bottom w:val="nil"/>
              <w:right w:val="nil"/>
            </w:tcBorders>
            <w:shd w:val="clear" w:color="auto" w:fill="auto"/>
          </w:tcPr>
          <w:p w:rsidR="00B63FCC" w:rsidRPr="00372D6B" w:rsidRDefault="00B63FCC" w:rsidP="00372D6B">
            <w:pPr>
              <w:jc w:val="center"/>
              <w:rPr>
                <w:rFonts w:cs="Arial"/>
                <w:b/>
                <w:bCs/>
                <w:lang w:val="ro-RO"/>
              </w:rPr>
            </w:pPr>
            <w:r w:rsidRPr="00372D6B">
              <w:rPr>
                <w:rFonts w:cs="Arial"/>
                <w:b/>
                <w:lang w:val="ro-RO"/>
              </w:rPr>
              <w:t>Fondurile prevăzute în anul 2016 pentru reparaţii capitale, modernizări şi investiţii</w:t>
            </w:r>
          </w:p>
        </w:tc>
      </w:tr>
      <w:tr w:rsidR="00B63FCC" w:rsidRPr="00372D6B" w:rsidTr="00372D6B">
        <w:trPr>
          <w:trHeight w:val="255"/>
        </w:trPr>
        <w:tc>
          <w:tcPr>
            <w:tcW w:w="5000" w:type="pct"/>
            <w:gridSpan w:val="5"/>
            <w:tcBorders>
              <w:top w:val="nil"/>
              <w:left w:val="nil"/>
              <w:bottom w:val="single" w:sz="4" w:space="0" w:color="auto"/>
              <w:right w:val="nil"/>
            </w:tcBorders>
            <w:shd w:val="clear" w:color="auto" w:fill="auto"/>
          </w:tcPr>
          <w:p w:rsidR="00B63FCC" w:rsidRPr="00372D6B" w:rsidRDefault="00B63FCC" w:rsidP="00372D6B">
            <w:pPr>
              <w:jc w:val="right"/>
              <w:rPr>
                <w:rFonts w:cs="Arial"/>
                <w:bCs/>
                <w:lang w:val="ro-RO"/>
              </w:rPr>
            </w:pPr>
            <w:r w:rsidRPr="00372D6B">
              <w:rPr>
                <w:rFonts w:cs="Arial"/>
                <w:bCs/>
                <w:lang w:val="ro-RO"/>
              </w:rPr>
              <w:t>- mii lei-</w:t>
            </w:r>
          </w:p>
        </w:tc>
      </w:tr>
      <w:tr w:rsidR="00B63FCC" w:rsidRPr="00631BB4" w:rsidTr="00372D6B">
        <w:trPr>
          <w:trHeight w:val="255"/>
        </w:trPr>
        <w:tc>
          <w:tcPr>
            <w:tcW w:w="730" w:type="pct"/>
            <w:tcBorders>
              <w:top w:val="single" w:sz="4" w:space="0" w:color="auto"/>
              <w:left w:val="single" w:sz="4" w:space="0" w:color="auto"/>
            </w:tcBorders>
            <w:shd w:val="clear" w:color="auto" w:fill="E6E6E6"/>
          </w:tcPr>
          <w:p w:rsidR="00B63FCC" w:rsidRPr="00372D6B" w:rsidRDefault="00B63FCC" w:rsidP="00372D6B">
            <w:pPr>
              <w:rPr>
                <w:rFonts w:cs="Arial"/>
                <w:b/>
                <w:bCs/>
                <w:sz w:val="22"/>
                <w:szCs w:val="22"/>
                <w:lang w:val="ro-RO"/>
              </w:rPr>
            </w:pPr>
          </w:p>
        </w:tc>
        <w:tc>
          <w:tcPr>
            <w:tcW w:w="2280" w:type="pct"/>
            <w:gridSpan w:val="2"/>
            <w:tcBorders>
              <w:top w:val="single" w:sz="4" w:space="0" w:color="auto"/>
            </w:tcBorders>
            <w:shd w:val="clear" w:color="auto" w:fill="E6E6E6"/>
            <w:noWrap/>
            <w:vAlign w:val="center"/>
          </w:tcPr>
          <w:p w:rsidR="00B63FCC" w:rsidRPr="00372D6B" w:rsidRDefault="00B63FCC" w:rsidP="00372D6B">
            <w:pPr>
              <w:jc w:val="center"/>
              <w:rPr>
                <w:rFonts w:cs="Arial"/>
                <w:b/>
                <w:bCs/>
                <w:sz w:val="22"/>
                <w:szCs w:val="22"/>
                <w:lang w:val="ro-RO"/>
              </w:rPr>
            </w:pPr>
            <w:r w:rsidRPr="00372D6B">
              <w:rPr>
                <w:rFonts w:cs="Arial"/>
                <w:b/>
                <w:bCs/>
                <w:sz w:val="22"/>
                <w:szCs w:val="22"/>
                <w:lang w:val="ro-RO"/>
              </w:rPr>
              <w:t>Buget de stat (Titlul XII)</w:t>
            </w:r>
          </w:p>
        </w:tc>
        <w:tc>
          <w:tcPr>
            <w:tcW w:w="1990" w:type="pct"/>
            <w:gridSpan w:val="2"/>
            <w:tcBorders>
              <w:top w:val="single" w:sz="4" w:space="0" w:color="auto"/>
              <w:right w:val="single" w:sz="4" w:space="0" w:color="auto"/>
            </w:tcBorders>
            <w:shd w:val="clear" w:color="auto" w:fill="E6E6E6"/>
            <w:noWrap/>
            <w:vAlign w:val="center"/>
          </w:tcPr>
          <w:p w:rsidR="00B63FCC" w:rsidRPr="00372D6B" w:rsidRDefault="00B63FCC" w:rsidP="00372D6B">
            <w:pPr>
              <w:jc w:val="center"/>
              <w:rPr>
                <w:rFonts w:cs="Arial"/>
                <w:b/>
                <w:bCs/>
                <w:sz w:val="22"/>
                <w:szCs w:val="22"/>
                <w:lang w:val="ro-RO"/>
              </w:rPr>
            </w:pPr>
            <w:r w:rsidRPr="00372D6B">
              <w:rPr>
                <w:rFonts w:cs="Arial"/>
                <w:b/>
                <w:bCs/>
                <w:sz w:val="22"/>
                <w:szCs w:val="22"/>
                <w:lang w:val="ro-RO"/>
              </w:rPr>
              <w:t xml:space="preserve">Fonduri externe rambursabile Titlul XII </w:t>
            </w:r>
          </w:p>
        </w:tc>
      </w:tr>
      <w:tr w:rsidR="00B63FCC" w:rsidRPr="00372D6B" w:rsidTr="00372D6B">
        <w:trPr>
          <w:trHeight w:val="255"/>
        </w:trPr>
        <w:tc>
          <w:tcPr>
            <w:tcW w:w="730" w:type="pct"/>
            <w:tcBorders>
              <w:left w:val="single" w:sz="4" w:space="0" w:color="auto"/>
            </w:tcBorders>
            <w:shd w:val="clear" w:color="auto" w:fill="E6E6E6"/>
          </w:tcPr>
          <w:p w:rsidR="00B63FCC" w:rsidRPr="00372D6B" w:rsidRDefault="00B63FCC" w:rsidP="00372D6B">
            <w:pPr>
              <w:rPr>
                <w:rFonts w:cs="Arial"/>
                <w:b/>
                <w:bCs/>
                <w:sz w:val="22"/>
                <w:szCs w:val="22"/>
                <w:lang w:val="ro-RO"/>
              </w:rPr>
            </w:pPr>
          </w:p>
        </w:tc>
        <w:tc>
          <w:tcPr>
            <w:tcW w:w="1755" w:type="pct"/>
            <w:tcBorders>
              <w:bottom w:val="single" w:sz="4" w:space="0" w:color="auto"/>
            </w:tcBorders>
            <w:shd w:val="clear" w:color="auto" w:fill="E6E6E6"/>
            <w:noWrap/>
            <w:vAlign w:val="center"/>
          </w:tcPr>
          <w:p w:rsidR="00B63FCC" w:rsidRPr="00372D6B" w:rsidRDefault="00B63FCC" w:rsidP="00372D6B">
            <w:pPr>
              <w:tabs>
                <w:tab w:val="left" w:pos="3478"/>
              </w:tabs>
              <w:jc w:val="center"/>
              <w:rPr>
                <w:rFonts w:cs="Arial"/>
                <w:b/>
                <w:sz w:val="22"/>
                <w:szCs w:val="22"/>
                <w:lang w:val="ro-RO"/>
              </w:rPr>
            </w:pPr>
            <w:r w:rsidRPr="00372D6B">
              <w:rPr>
                <w:rFonts w:cs="Arial"/>
                <w:b/>
                <w:sz w:val="22"/>
                <w:szCs w:val="22"/>
                <w:lang w:val="ro-RO"/>
              </w:rPr>
              <w:t>Nr. obiective/proiecte</w:t>
            </w:r>
          </w:p>
        </w:tc>
        <w:tc>
          <w:tcPr>
            <w:tcW w:w="525" w:type="pct"/>
            <w:shd w:val="clear" w:color="auto" w:fill="E6E6E6"/>
            <w:vAlign w:val="center"/>
          </w:tcPr>
          <w:p w:rsidR="00B63FCC" w:rsidRPr="00372D6B" w:rsidRDefault="00B63FCC" w:rsidP="00372D6B">
            <w:pPr>
              <w:jc w:val="center"/>
              <w:rPr>
                <w:rFonts w:cs="Arial"/>
                <w:b/>
                <w:bCs/>
                <w:sz w:val="22"/>
                <w:szCs w:val="22"/>
                <w:lang w:val="ro-RO"/>
              </w:rPr>
            </w:pPr>
            <w:r w:rsidRPr="00372D6B">
              <w:rPr>
                <w:rFonts w:cs="Arial"/>
                <w:b/>
                <w:bCs/>
                <w:sz w:val="22"/>
                <w:szCs w:val="22"/>
                <w:lang w:val="ro-RO"/>
              </w:rPr>
              <w:t>fonduri alocate</w:t>
            </w:r>
          </w:p>
        </w:tc>
        <w:tc>
          <w:tcPr>
            <w:tcW w:w="1471" w:type="pct"/>
            <w:tcBorders>
              <w:bottom w:val="single" w:sz="4" w:space="0" w:color="auto"/>
            </w:tcBorders>
            <w:shd w:val="clear" w:color="auto" w:fill="E6E6E6"/>
            <w:noWrap/>
            <w:vAlign w:val="center"/>
          </w:tcPr>
          <w:p w:rsidR="00B63FCC" w:rsidRPr="00372D6B" w:rsidRDefault="00B63FCC" w:rsidP="00372D6B">
            <w:pPr>
              <w:jc w:val="center"/>
              <w:rPr>
                <w:rFonts w:cs="Arial"/>
                <w:b/>
                <w:sz w:val="22"/>
                <w:szCs w:val="22"/>
                <w:lang w:val="ro-RO"/>
              </w:rPr>
            </w:pPr>
            <w:r w:rsidRPr="00372D6B">
              <w:rPr>
                <w:rFonts w:cs="Arial"/>
                <w:b/>
                <w:sz w:val="22"/>
                <w:szCs w:val="22"/>
                <w:lang w:val="ro-RO"/>
              </w:rPr>
              <w:t>Nr. obiective/proiecte</w:t>
            </w:r>
          </w:p>
        </w:tc>
        <w:tc>
          <w:tcPr>
            <w:tcW w:w="519" w:type="pct"/>
            <w:tcBorders>
              <w:right w:val="single" w:sz="4" w:space="0" w:color="auto"/>
            </w:tcBorders>
            <w:shd w:val="clear" w:color="auto" w:fill="E6E6E6"/>
            <w:vAlign w:val="center"/>
          </w:tcPr>
          <w:p w:rsidR="00B63FCC" w:rsidRPr="00372D6B" w:rsidRDefault="00B63FCC" w:rsidP="00372D6B">
            <w:pPr>
              <w:jc w:val="center"/>
              <w:rPr>
                <w:rFonts w:cs="Arial"/>
                <w:b/>
                <w:bCs/>
                <w:sz w:val="22"/>
                <w:szCs w:val="22"/>
                <w:lang w:val="ro-RO"/>
              </w:rPr>
            </w:pPr>
            <w:r w:rsidRPr="00372D6B">
              <w:rPr>
                <w:rFonts w:cs="Arial"/>
                <w:b/>
                <w:bCs/>
                <w:sz w:val="22"/>
                <w:szCs w:val="22"/>
                <w:lang w:val="ro-RO"/>
              </w:rPr>
              <w:t>fonduri alocate</w:t>
            </w:r>
          </w:p>
        </w:tc>
      </w:tr>
      <w:tr w:rsidR="00B63FCC" w:rsidRPr="00372D6B" w:rsidTr="00372D6B">
        <w:trPr>
          <w:trHeight w:val="255"/>
        </w:trPr>
        <w:tc>
          <w:tcPr>
            <w:tcW w:w="730" w:type="pct"/>
            <w:tcBorders>
              <w:left w:val="single" w:sz="4" w:space="0" w:color="auto"/>
              <w:right w:val="single" w:sz="4" w:space="0" w:color="auto"/>
            </w:tcBorders>
            <w:shd w:val="clear" w:color="auto" w:fill="E6E6E6"/>
          </w:tcPr>
          <w:p w:rsidR="00B63FCC" w:rsidRPr="00372D6B" w:rsidRDefault="00B63FCC" w:rsidP="00372D6B">
            <w:pPr>
              <w:rPr>
                <w:rFonts w:cs="Arial"/>
                <w:b/>
                <w:bCs/>
                <w:sz w:val="22"/>
                <w:szCs w:val="22"/>
                <w:lang w:val="ro-RO"/>
              </w:rPr>
            </w:pPr>
            <w:r w:rsidRPr="00372D6B">
              <w:rPr>
                <w:rFonts w:cs="Arial"/>
                <w:b/>
                <w:bCs/>
                <w:sz w:val="22"/>
                <w:szCs w:val="22"/>
                <w:lang w:val="ro-RO"/>
              </w:rPr>
              <w:t xml:space="preserve">Total </w:t>
            </w:r>
          </w:p>
        </w:tc>
        <w:tc>
          <w:tcPr>
            <w:tcW w:w="1755" w:type="pct"/>
            <w:tcBorders>
              <w:top w:val="single" w:sz="4" w:space="0" w:color="auto"/>
              <w:left w:val="single" w:sz="4" w:space="0" w:color="auto"/>
              <w:bottom w:val="nil"/>
              <w:right w:val="single" w:sz="4" w:space="0" w:color="auto"/>
            </w:tcBorders>
            <w:shd w:val="clear" w:color="auto" w:fill="E6E6E6"/>
            <w:noWrap/>
            <w:vAlign w:val="bottom"/>
          </w:tcPr>
          <w:p w:rsidR="00B63FCC" w:rsidRPr="00372D6B" w:rsidRDefault="00B63FCC" w:rsidP="00372D6B">
            <w:pPr>
              <w:rPr>
                <w:rFonts w:cs="Arial"/>
                <w:b/>
                <w:sz w:val="22"/>
                <w:szCs w:val="22"/>
                <w:lang w:val="ro-RO"/>
              </w:rPr>
            </w:pPr>
          </w:p>
        </w:tc>
        <w:tc>
          <w:tcPr>
            <w:tcW w:w="525" w:type="pct"/>
            <w:tcBorders>
              <w:left w:val="single" w:sz="4" w:space="0" w:color="auto"/>
            </w:tcBorders>
            <w:shd w:val="clear" w:color="auto" w:fill="E6E6E6"/>
            <w:vAlign w:val="bottom"/>
          </w:tcPr>
          <w:p w:rsidR="00B63FCC" w:rsidRPr="00372D6B" w:rsidRDefault="00B63FCC" w:rsidP="00372D6B">
            <w:pPr>
              <w:jc w:val="right"/>
              <w:rPr>
                <w:rFonts w:cs="Arial"/>
                <w:b/>
                <w:bCs/>
                <w:sz w:val="22"/>
                <w:szCs w:val="22"/>
                <w:lang w:val="ro-RO"/>
              </w:rPr>
            </w:pPr>
            <w:r w:rsidRPr="00372D6B">
              <w:rPr>
                <w:rFonts w:cs="Arial"/>
                <w:b/>
                <w:bCs/>
                <w:sz w:val="22"/>
                <w:szCs w:val="22"/>
                <w:lang w:val="ro-RO"/>
              </w:rPr>
              <w:t>14.937</w:t>
            </w:r>
          </w:p>
        </w:tc>
        <w:tc>
          <w:tcPr>
            <w:tcW w:w="1471" w:type="pct"/>
            <w:tcBorders>
              <w:bottom w:val="nil"/>
            </w:tcBorders>
            <w:shd w:val="clear" w:color="auto" w:fill="E6E6E6"/>
            <w:noWrap/>
            <w:vAlign w:val="bottom"/>
          </w:tcPr>
          <w:p w:rsidR="00B63FCC" w:rsidRPr="00372D6B" w:rsidRDefault="00B63FCC" w:rsidP="00372D6B">
            <w:pPr>
              <w:jc w:val="right"/>
              <w:rPr>
                <w:rFonts w:cs="Arial"/>
                <w:b/>
                <w:bCs/>
                <w:sz w:val="22"/>
                <w:szCs w:val="22"/>
                <w:lang w:val="ro-RO"/>
              </w:rPr>
            </w:pPr>
          </w:p>
        </w:tc>
        <w:tc>
          <w:tcPr>
            <w:tcW w:w="519" w:type="pct"/>
            <w:tcBorders>
              <w:right w:val="single" w:sz="4" w:space="0" w:color="auto"/>
            </w:tcBorders>
            <w:shd w:val="clear" w:color="auto" w:fill="E6E6E6"/>
            <w:vAlign w:val="center"/>
          </w:tcPr>
          <w:p w:rsidR="00B63FCC" w:rsidRPr="00372D6B" w:rsidRDefault="00B63FCC" w:rsidP="00372D6B">
            <w:pPr>
              <w:jc w:val="right"/>
              <w:rPr>
                <w:rFonts w:cs="Arial"/>
                <w:b/>
                <w:bCs/>
                <w:sz w:val="22"/>
                <w:szCs w:val="22"/>
                <w:lang w:val="ro-RO"/>
              </w:rPr>
            </w:pPr>
            <w:r w:rsidRPr="00372D6B">
              <w:rPr>
                <w:rFonts w:cs="Arial"/>
                <w:b/>
                <w:bCs/>
                <w:sz w:val="22"/>
                <w:szCs w:val="22"/>
                <w:lang w:val="ro-RO"/>
              </w:rPr>
              <w:t>31.046</w:t>
            </w:r>
          </w:p>
        </w:tc>
      </w:tr>
      <w:tr w:rsidR="00B63FCC" w:rsidRPr="00372D6B" w:rsidTr="00372D6B">
        <w:trPr>
          <w:trHeight w:val="255"/>
        </w:trPr>
        <w:tc>
          <w:tcPr>
            <w:tcW w:w="730" w:type="pct"/>
            <w:tcBorders>
              <w:left w:val="single" w:sz="4" w:space="0" w:color="auto"/>
              <w:right w:val="single" w:sz="4" w:space="0" w:color="auto"/>
            </w:tcBorders>
            <w:shd w:val="clear" w:color="auto" w:fill="E6E6E6"/>
          </w:tcPr>
          <w:p w:rsidR="00B63FCC" w:rsidRPr="00372D6B" w:rsidRDefault="00B63FCC" w:rsidP="00372D6B">
            <w:pPr>
              <w:rPr>
                <w:rFonts w:cs="Arial"/>
                <w:b/>
                <w:bCs/>
                <w:sz w:val="22"/>
                <w:szCs w:val="22"/>
                <w:lang w:val="ro-RO"/>
              </w:rPr>
            </w:pPr>
            <w:r w:rsidRPr="00372D6B">
              <w:rPr>
                <w:rFonts w:cs="Arial"/>
                <w:b/>
                <w:bCs/>
                <w:sz w:val="22"/>
                <w:szCs w:val="22"/>
                <w:lang w:val="ro-RO"/>
              </w:rPr>
              <w:t>I. Construcţii</w:t>
            </w:r>
          </w:p>
        </w:tc>
        <w:tc>
          <w:tcPr>
            <w:tcW w:w="1755" w:type="pct"/>
            <w:tcBorders>
              <w:top w:val="nil"/>
              <w:left w:val="single" w:sz="4" w:space="0" w:color="auto"/>
              <w:bottom w:val="single" w:sz="4" w:space="0" w:color="auto"/>
              <w:right w:val="single" w:sz="4" w:space="0" w:color="auto"/>
            </w:tcBorders>
            <w:shd w:val="clear" w:color="auto" w:fill="E6E6E6"/>
            <w:noWrap/>
            <w:vAlign w:val="bottom"/>
          </w:tcPr>
          <w:p w:rsidR="00B63FCC" w:rsidRPr="00372D6B" w:rsidRDefault="00B63FCC" w:rsidP="00372D6B">
            <w:pPr>
              <w:rPr>
                <w:rFonts w:cs="Arial"/>
                <w:b/>
                <w:sz w:val="22"/>
                <w:szCs w:val="22"/>
                <w:lang w:val="ro-RO"/>
              </w:rPr>
            </w:pPr>
          </w:p>
        </w:tc>
        <w:tc>
          <w:tcPr>
            <w:tcW w:w="525" w:type="pct"/>
            <w:tcBorders>
              <w:left w:val="single" w:sz="4" w:space="0" w:color="auto"/>
            </w:tcBorders>
            <w:shd w:val="clear" w:color="auto" w:fill="E6E6E6"/>
            <w:vAlign w:val="bottom"/>
          </w:tcPr>
          <w:p w:rsidR="00B63FCC" w:rsidRPr="00372D6B" w:rsidRDefault="00B63FCC" w:rsidP="00372D6B">
            <w:pPr>
              <w:jc w:val="right"/>
              <w:rPr>
                <w:rFonts w:cs="Arial"/>
                <w:b/>
                <w:bCs/>
                <w:sz w:val="22"/>
                <w:szCs w:val="22"/>
                <w:lang w:val="ro-RO"/>
              </w:rPr>
            </w:pPr>
            <w:r w:rsidRPr="00372D6B">
              <w:rPr>
                <w:rFonts w:cs="Arial"/>
                <w:b/>
                <w:bCs/>
                <w:sz w:val="22"/>
                <w:szCs w:val="22"/>
                <w:lang w:val="ro-RO"/>
              </w:rPr>
              <w:t>10.133</w:t>
            </w:r>
          </w:p>
        </w:tc>
        <w:tc>
          <w:tcPr>
            <w:tcW w:w="1471" w:type="pct"/>
            <w:tcBorders>
              <w:top w:val="nil"/>
            </w:tcBorders>
            <w:shd w:val="clear" w:color="auto" w:fill="E6E6E6"/>
            <w:noWrap/>
            <w:vAlign w:val="bottom"/>
          </w:tcPr>
          <w:p w:rsidR="00B63FCC" w:rsidRPr="00372D6B" w:rsidRDefault="00B63FCC" w:rsidP="00372D6B">
            <w:pPr>
              <w:jc w:val="right"/>
              <w:rPr>
                <w:rFonts w:cs="Arial"/>
                <w:b/>
                <w:bCs/>
                <w:sz w:val="22"/>
                <w:szCs w:val="22"/>
                <w:lang w:val="ro-RO"/>
              </w:rPr>
            </w:pPr>
          </w:p>
        </w:tc>
        <w:tc>
          <w:tcPr>
            <w:tcW w:w="519" w:type="pct"/>
            <w:tcBorders>
              <w:right w:val="single" w:sz="4" w:space="0" w:color="auto"/>
            </w:tcBorders>
            <w:shd w:val="clear" w:color="auto" w:fill="E6E6E6"/>
            <w:vAlign w:val="center"/>
          </w:tcPr>
          <w:p w:rsidR="00B63FCC" w:rsidRPr="00372D6B" w:rsidRDefault="00B63FCC" w:rsidP="00372D6B">
            <w:pPr>
              <w:jc w:val="right"/>
              <w:rPr>
                <w:rFonts w:cs="Arial"/>
                <w:b/>
                <w:bCs/>
                <w:sz w:val="22"/>
                <w:szCs w:val="22"/>
                <w:lang w:val="ro-RO"/>
              </w:rPr>
            </w:pPr>
            <w:r w:rsidRPr="00372D6B">
              <w:rPr>
                <w:rFonts w:cs="Arial"/>
                <w:b/>
                <w:bCs/>
                <w:sz w:val="22"/>
                <w:szCs w:val="22"/>
                <w:lang w:val="ro-RO"/>
              </w:rPr>
              <w:t>31.046</w:t>
            </w:r>
          </w:p>
        </w:tc>
      </w:tr>
      <w:tr w:rsidR="00B63FCC" w:rsidRPr="00372D6B" w:rsidTr="00372D6B">
        <w:trPr>
          <w:trHeight w:val="255"/>
        </w:trPr>
        <w:tc>
          <w:tcPr>
            <w:tcW w:w="730" w:type="pct"/>
            <w:vMerge w:val="restart"/>
            <w:tcBorders>
              <w:left w:val="single" w:sz="4" w:space="0" w:color="auto"/>
            </w:tcBorders>
          </w:tcPr>
          <w:p w:rsidR="00B63FCC" w:rsidRPr="00372D6B" w:rsidRDefault="00B63FCC" w:rsidP="00372D6B">
            <w:pPr>
              <w:rPr>
                <w:rFonts w:cs="Arial"/>
                <w:b/>
                <w:sz w:val="22"/>
                <w:szCs w:val="22"/>
                <w:lang w:val="ro-RO"/>
              </w:rPr>
            </w:pPr>
            <w:r w:rsidRPr="00372D6B">
              <w:rPr>
                <w:rFonts w:cs="Arial"/>
                <w:sz w:val="22"/>
                <w:szCs w:val="22"/>
                <w:lang w:val="ro-RO"/>
              </w:rPr>
              <w:t>Obiective (proiecte) de investiţii în continuare</w:t>
            </w:r>
          </w:p>
        </w:tc>
        <w:tc>
          <w:tcPr>
            <w:tcW w:w="1755" w:type="pct"/>
            <w:tcBorders>
              <w:top w:val="single" w:sz="4" w:space="0" w:color="auto"/>
            </w:tcBorders>
            <w:shd w:val="clear" w:color="auto" w:fill="auto"/>
            <w:noWrap/>
            <w:vAlign w:val="center"/>
          </w:tcPr>
          <w:p w:rsidR="00B63FCC" w:rsidRPr="00372D6B" w:rsidRDefault="00B63FCC" w:rsidP="00372D6B">
            <w:pPr>
              <w:jc w:val="center"/>
              <w:rPr>
                <w:rFonts w:cs="Arial"/>
                <w:sz w:val="22"/>
                <w:szCs w:val="22"/>
                <w:lang w:val="ro-RO"/>
              </w:rPr>
            </w:pPr>
            <w:r w:rsidRPr="00372D6B">
              <w:rPr>
                <w:rFonts w:cs="Arial"/>
                <w:b/>
                <w:sz w:val="22"/>
                <w:szCs w:val="22"/>
                <w:lang w:val="ro-RO"/>
              </w:rPr>
              <w:t xml:space="preserve">9 </w:t>
            </w:r>
            <w:r w:rsidRPr="00372D6B">
              <w:rPr>
                <w:rFonts w:cs="Arial"/>
                <w:sz w:val="22"/>
                <w:szCs w:val="22"/>
                <w:lang w:val="ro-RO"/>
              </w:rPr>
              <w:t>obiective, din care:</w:t>
            </w:r>
          </w:p>
        </w:tc>
        <w:tc>
          <w:tcPr>
            <w:tcW w:w="525" w:type="pct"/>
            <w:vAlign w:val="center"/>
          </w:tcPr>
          <w:p w:rsidR="00B63FCC" w:rsidRPr="00372D6B" w:rsidRDefault="00B63FCC" w:rsidP="00372D6B">
            <w:pPr>
              <w:jc w:val="right"/>
              <w:rPr>
                <w:rFonts w:cs="Arial"/>
                <w:sz w:val="22"/>
                <w:szCs w:val="22"/>
                <w:lang w:val="ro-RO"/>
              </w:rPr>
            </w:pPr>
            <w:r w:rsidRPr="00372D6B">
              <w:rPr>
                <w:rFonts w:cs="Arial"/>
                <w:bCs/>
                <w:sz w:val="22"/>
                <w:szCs w:val="22"/>
                <w:lang w:val="ro-RO"/>
              </w:rPr>
              <w:t>9.036</w:t>
            </w:r>
          </w:p>
        </w:tc>
        <w:tc>
          <w:tcPr>
            <w:tcW w:w="1471" w:type="pct"/>
            <w:shd w:val="clear" w:color="auto" w:fill="auto"/>
            <w:noWrap/>
            <w:vAlign w:val="center"/>
          </w:tcPr>
          <w:p w:rsidR="00B63FCC" w:rsidRPr="00372D6B" w:rsidRDefault="00B63FCC" w:rsidP="00372D6B">
            <w:pPr>
              <w:jc w:val="center"/>
              <w:rPr>
                <w:rFonts w:cs="Arial"/>
                <w:sz w:val="22"/>
                <w:szCs w:val="22"/>
                <w:lang w:val="ro-RO"/>
              </w:rPr>
            </w:pPr>
            <w:r w:rsidRPr="00372D6B">
              <w:rPr>
                <w:rFonts w:cs="Arial"/>
                <w:b/>
                <w:sz w:val="22"/>
                <w:szCs w:val="22"/>
                <w:lang w:val="ro-RO"/>
              </w:rPr>
              <w:t xml:space="preserve">3 </w:t>
            </w:r>
            <w:r w:rsidRPr="00372D6B">
              <w:rPr>
                <w:rFonts w:cs="Arial"/>
                <w:sz w:val="22"/>
                <w:szCs w:val="22"/>
                <w:lang w:val="ro-RO"/>
              </w:rPr>
              <w:t>obiective, din care:</w:t>
            </w:r>
          </w:p>
        </w:tc>
        <w:tc>
          <w:tcPr>
            <w:tcW w:w="519" w:type="pct"/>
            <w:tcBorders>
              <w:right w:val="single" w:sz="4" w:space="0" w:color="auto"/>
            </w:tcBorders>
            <w:vAlign w:val="center"/>
          </w:tcPr>
          <w:p w:rsidR="00B63FCC" w:rsidRPr="00372D6B" w:rsidRDefault="00B63FCC" w:rsidP="00372D6B">
            <w:pPr>
              <w:jc w:val="right"/>
              <w:rPr>
                <w:rFonts w:cs="Arial"/>
                <w:sz w:val="22"/>
                <w:szCs w:val="22"/>
                <w:lang w:val="ro-RO"/>
              </w:rPr>
            </w:pPr>
            <w:r w:rsidRPr="00372D6B">
              <w:rPr>
                <w:rFonts w:cs="Arial"/>
                <w:sz w:val="22"/>
                <w:szCs w:val="22"/>
                <w:lang w:val="ro-RO"/>
              </w:rPr>
              <w:t>15.300</w:t>
            </w:r>
          </w:p>
        </w:tc>
      </w:tr>
      <w:tr w:rsidR="00B63FCC" w:rsidRPr="00372D6B" w:rsidTr="00372D6B">
        <w:trPr>
          <w:trHeight w:val="255"/>
        </w:trPr>
        <w:tc>
          <w:tcPr>
            <w:tcW w:w="730" w:type="pct"/>
            <w:vMerge/>
            <w:tcBorders>
              <w:left w:val="single" w:sz="4" w:space="0" w:color="auto"/>
            </w:tcBorders>
          </w:tcPr>
          <w:p w:rsidR="00B63FCC" w:rsidRPr="00372D6B" w:rsidRDefault="00B63FCC" w:rsidP="00372D6B">
            <w:pPr>
              <w:rPr>
                <w:rFonts w:cs="Arial"/>
                <w:b/>
                <w:sz w:val="22"/>
                <w:szCs w:val="22"/>
                <w:lang w:val="ro-RO"/>
              </w:rPr>
            </w:pPr>
          </w:p>
        </w:tc>
        <w:tc>
          <w:tcPr>
            <w:tcW w:w="1755" w:type="pct"/>
            <w:shd w:val="clear" w:color="auto" w:fill="auto"/>
            <w:noWrap/>
            <w:vAlign w:val="center"/>
          </w:tcPr>
          <w:p w:rsidR="00B63FCC" w:rsidRPr="00372D6B" w:rsidRDefault="00B63FCC" w:rsidP="00B63FCC">
            <w:pPr>
              <w:numPr>
                <w:ilvl w:val="0"/>
                <w:numId w:val="27"/>
              </w:numPr>
              <w:tabs>
                <w:tab w:val="clear" w:pos="360"/>
              </w:tabs>
              <w:ind w:left="171" w:hanging="171"/>
              <w:jc w:val="both"/>
              <w:rPr>
                <w:rFonts w:cs="Arial"/>
                <w:sz w:val="22"/>
                <w:szCs w:val="22"/>
                <w:lang w:val="ro-RO"/>
              </w:rPr>
            </w:pPr>
            <w:r w:rsidRPr="00372D6B">
              <w:rPr>
                <w:rFonts w:cs="Arial"/>
                <w:sz w:val="22"/>
                <w:szCs w:val="22"/>
                <w:lang w:val="ro-RO"/>
              </w:rPr>
              <w:t xml:space="preserve">3 obiective de investiţii în continuare finanţate de </w:t>
            </w:r>
            <w:smartTag w:uri="urn:schemas-microsoft-com:office:smarttags" w:element="PersonName">
              <w:smartTagPr>
                <w:attr w:name="ProductID" w:val="la Banca Mondială"/>
              </w:smartTagPr>
              <w:r w:rsidRPr="00372D6B">
                <w:rPr>
                  <w:rFonts w:cs="Arial"/>
                  <w:sz w:val="22"/>
                  <w:szCs w:val="22"/>
                  <w:lang w:val="ro-RO"/>
                </w:rPr>
                <w:t>la Banca Mondială</w:t>
              </w:r>
            </w:smartTag>
            <w:r w:rsidRPr="00372D6B">
              <w:rPr>
                <w:rFonts w:cs="Arial"/>
                <w:sz w:val="22"/>
                <w:szCs w:val="22"/>
                <w:lang w:val="ro-RO"/>
              </w:rPr>
              <w:t xml:space="preserve"> (de la bugetul de stat, partea de cofinanţare)</w:t>
            </w:r>
          </w:p>
        </w:tc>
        <w:tc>
          <w:tcPr>
            <w:tcW w:w="525" w:type="pct"/>
            <w:vAlign w:val="center"/>
          </w:tcPr>
          <w:p w:rsidR="00B63FCC" w:rsidRPr="00372D6B" w:rsidRDefault="00B63FCC" w:rsidP="00372D6B">
            <w:pPr>
              <w:jc w:val="right"/>
              <w:rPr>
                <w:rFonts w:cs="Arial"/>
                <w:sz w:val="22"/>
                <w:szCs w:val="22"/>
                <w:lang w:val="ro-RO"/>
              </w:rPr>
            </w:pPr>
            <w:r w:rsidRPr="00372D6B">
              <w:rPr>
                <w:rFonts w:cs="Arial"/>
                <w:sz w:val="22"/>
                <w:szCs w:val="22"/>
                <w:lang w:val="ro-RO"/>
              </w:rPr>
              <w:t>1.218</w:t>
            </w:r>
          </w:p>
        </w:tc>
        <w:tc>
          <w:tcPr>
            <w:tcW w:w="1471" w:type="pct"/>
            <w:shd w:val="clear" w:color="auto" w:fill="auto"/>
            <w:noWrap/>
          </w:tcPr>
          <w:p w:rsidR="00B63FCC" w:rsidRPr="00372D6B" w:rsidRDefault="00B63FCC" w:rsidP="00B63FCC">
            <w:pPr>
              <w:numPr>
                <w:ilvl w:val="0"/>
                <w:numId w:val="27"/>
              </w:numPr>
              <w:tabs>
                <w:tab w:val="clear" w:pos="360"/>
              </w:tabs>
              <w:ind w:left="171" w:hanging="171"/>
              <w:jc w:val="both"/>
              <w:rPr>
                <w:rFonts w:cs="Arial"/>
                <w:sz w:val="22"/>
                <w:szCs w:val="22"/>
                <w:lang w:val="ro-RO"/>
              </w:rPr>
            </w:pPr>
            <w:r w:rsidRPr="00372D6B">
              <w:rPr>
                <w:rFonts w:cs="Arial"/>
                <w:sz w:val="22"/>
                <w:szCs w:val="22"/>
                <w:lang w:val="ro-RO"/>
              </w:rPr>
              <w:t>3 obiective de investiţii în continuare finanţate 100% din fonduri externe rambursabile de la Banca Mondială</w:t>
            </w:r>
          </w:p>
        </w:tc>
        <w:tc>
          <w:tcPr>
            <w:tcW w:w="519" w:type="pct"/>
            <w:tcBorders>
              <w:right w:val="single" w:sz="4" w:space="0" w:color="auto"/>
            </w:tcBorders>
            <w:vAlign w:val="center"/>
          </w:tcPr>
          <w:p w:rsidR="00B63FCC" w:rsidRPr="00372D6B" w:rsidRDefault="00B63FCC" w:rsidP="00372D6B">
            <w:pPr>
              <w:jc w:val="right"/>
              <w:rPr>
                <w:rFonts w:cs="Arial"/>
                <w:sz w:val="22"/>
                <w:szCs w:val="22"/>
                <w:lang w:val="ro-RO"/>
              </w:rPr>
            </w:pPr>
            <w:r w:rsidRPr="00372D6B">
              <w:rPr>
                <w:rFonts w:cs="Arial"/>
                <w:sz w:val="22"/>
                <w:szCs w:val="22"/>
                <w:lang w:val="ro-RO"/>
              </w:rPr>
              <w:t>15.300</w:t>
            </w:r>
          </w:p>
        </w:tc>
      </w:tr>
      <w:tr w:rsidR="00B63FCC" w:rsidRPr="00372D6B" w:rsidTr="00372D6B">
        <w:trPr>
          <w:trHeight w:val="255"/>
        </w:trPr>
        <w:tc>
          <w:tcPr>
            <w:tcW w:w="730" w:type="pct"/>
            <w:vMerge/>
            <w:tcBorders>
              <w:left w:val="single" w:sz="4" w:space="0" w:color="auto"/>
            </w:tcBorders>
          </w:tcPr>
          <w:p w:rsidR="00B63FCC" w:rsidRPr="00372D6B" w:rsidRDefault="00B63FCC" w:rsidP="00372D6B">
            <w:pPr>
              <w:rPr>
                <w:rFonts w:cs="Arial"/>
                <w:b/>
                <w:sz w:val="22"/>
                <w:szCs w:val="22"/>
                <w:lang w:val="ro-RO"/>
              </w:rPr>
            </w:pPr>
          </w:p>
        </w:tc>
        <w:tc>
          <w:tcPr>
            <w:tcW w:w="1755" w:type="pct"/>
            <w:shd w:val="clear" w:color="auto" w:fill="auto"/>
            <w:noWrap/>
            <w:vAlign w:val="bottom"/>
          </w:tcPr>
          <w:p w:rsidR="00B63FCC" w:rsidRPr="00372D6B" w:rsidRDefault="00B63FCC" w:rsidP="00B63FCC">
            <w:pPr>
              <w:numPr>
                <w:ilvl w:val="0"/>
                <w:numId w:val="27"/>
              </w:numPr>
              <w:tabs>
                <w:tab w:val="clear" w:pos="360"/>
              </w:tabs>
              <w:ind w:left="171" w:hanging="171"/>
              <w:jc w:val="both"/>
              <w:rPr>
                <w:rFonts w:cs="Arial"/>
                <w:sz w:val="22"/>
                <w:szCs w:val="22"/>
                <w:lang w:val="ro-RO"/>
              </w:rPr>
            </w:pPr>
            <w:r w:rsidRPr="00372D6B">
              <w:rPr>
                <w:rFonts w:cs="Arial"/>
                <w:b/>
                <w:sz w:val="22"/>
                <w:szCs w:val="22"/>
                <w:lang w:val="ro-RO"/>
              </w:rPr>
              <w:t>5</w:t>
            </w:r>
            <w:r w:rsidRPr="00372D6B">
              <w:rPr>
                <w:rFonts w:cs="Arial"/>
                <w:sz w:val="22"/>
                <w:szCs w:val="22"/>
                <w:lang w:val="ro-RO"/>
              </w:rPr>
              <w:t xml:space="preserve"> obiective de investiţii în continuare finanţate 100% de la bugetul de stat </w:t>
            </w:r>
          </w:p>
        </w:tc>
        <w:tc>
          <w:tcPr>
            <w:tcW w:w="525" w:type="pct"/>
            <w:vAlign w:val="center"/>
          </w:tcPr>
          <w:p w:rsidR="00B63FCC" w:rsidRPr="00372D6B" w:rsidRDefault="00B63FCC" w:rsidP="00372D6B">
            <w:pPr>
              <w:jc w:val="right"/>
              <w:rPr>
                <w:rFonts w:cs="Arial"/>
                <w:sz w:val="22"/>
                <w:szCs w:val="22"/>
                <w:lang w:val="ro-RO"/>
              </w:rPr>
            </w:pPr>
            <w:r w:rsidRPr="00372D6B">
              <w:rPr>
                <w:rFonts w:cs="Arial"/>
                <w:sz w:val="22"/>
                <w:szCs w:val="22"/>
                <w:lang w:val="ro-RO"/>
              </w:rPr>
              <w:t>7.818</w:t>
            </w:r>
          </w:p>
        </w:tc>
        <w:tc>
          <w:tcPr>
            <w:tcW w:w="1471" w:type="pct"/>
            <w:shd w:val="clear" w:color="auto" w:fill="auto"/>
            <w:noWrap/>
            <w:vAlign w:val="center"/>
          </w:tcPr>
          <w:p w:rsidR="00B63FCC" w:rsidRPr="00372D6B" w:rsidRDefault="00B63FCC" w:rsidP="00372D6B">
            <w:pPr>
              <w:jc w:val="center"/>
              <w:rPr>
                <w:rFonts w:cs="Arial"/>
                <w:sz w:val="22"/>
                <w:szCs w:val="22"/>
                <w:lang w:val="ro-RO"/>
              </w:rPr>
            </w:pPr>
            <w:r w:rsidRPr="00372D6B">
              <w:rPr>
                <w:rFonts w:cs="Arial"/>
                <w:sz w:val="22"/>
                <w:szCs w:val="22"/>
                <w:lang w:val="ro-RO"/>
              </w:rPr>
              <w:t>-</w:t>
            </w:r>
          </w:p>
        </w:tc>
        <w:tc>
          <w:tcPr>
            <w:tcW w:w="519" w:type="pct"/>
            <w:tcBorders>
              <w:right w:val="single" w:sz="4" w:space="0" w:color="auto"/>
            </w:tcBorders>
            <w:vAlign w:val="center"/>
          </w:tcPr>
          <w:p w:rsidR="00B63FCC" w:rsidRPr="00372D6B" w:rsidRDefault="00B63FCC" w:rsidP="00372D6B">
            <w:pPr>
              <w:jc w:val="center"/>
              <w:rPr>
                <w:rFonts w:cs="Arial"/>
                <w:sz w:val="22"/>
                <w:szCs w:val="22"/>
                <w:lang w:val="ro-RO"/>
              </w:rPr>
            </w:pPr>
            <w:r w:rsidRPr="00372D6B">
              <w:rPr>
                <w:rFonts w:cs="Arial"/>
                <w:sz w:val="22"/>
                <w:szCs w:val="22"/>
                <w:lang w:val="ro-RO"/>
              </w:rPr>
              <w:t>-</w:t>
            </w:r>
          </w:p>
        </w:tc>
      </w:tr>
      <w:tr w:rsidR="00B63FCC" w:rsidRPr="00372D6B" w:rsidTr="00372D6B">
        <w:trPr>
          <w:trHeight w:val="255"/>
        </w:trPr>
        <w:tc>
          <w:tcPr>
            <w:tcW w:w="730" w:type="pct"/>
            <w:vMerge w:val="restart"/>
            <w:tcBorders>
              <w:left w:val="single" w:sz="4" w:space="0" w:color="auto"/>
            </w:tcBorders>
          </w:tcPr>
          <w:p w:rsidR="00B63FCC" w:rsidRPr="00372D6B" w:rsidRDefault="00B63FCC" w:rsidP="00372D6B">
            <w:pPr>
              <w:rPr>
                <w:rFonts w:cs="Arial"/>
                <w:sz w:val="22"/>
                <w:szCs w:val="22"/>
                <w:lang w:val="ro-RO"/>
              </w:rPr>
            </w:pPr>
            <w:r w:rsidRPr="00372D6B">
              <w:rPr>
                <w:rFonts w:cs="Arial"/>
                <w:sz w:val="22"/>
                <w:szCs w:val="22"/>
                <w:lang w:val="ro-RO"/>
              </w:rPr>
              <w:t>Alte cheltuieli de investiţii</w:t>
            </w:r>
          </w:p>
        </w:tc>
        <w:tc>
          <w:tcPr>
            <w:tcW w:w="1755" w:type="pct"/>
            <w:shd w:val="clear" w:color="auto" w:fill="auto"/>
            <w:noWrap/>
            <w:vAlign w:val="bottom"/>
          </w:tcPr>
          <w:p w:rsidR="00B63FCC" w:rsidRPr="00372D6B" w:rsidRDefault="00B63FCC" w:rsidP="00372D6B">
            <w:pPr>
              <w:rPr>
                <w:rFonts w:cs="Arial"/>
                <w:sz w:val="22"/>
                <w:szCs w:val="22"/>
                <w:lang w:val="ro-RO"/>
              </w:rPr>
            </w:pPr>
            <w:r w:rsidRPr="00372D6B">
              <w:rPr>
                <w:rFonts w:cs="Arial"/>
                <w:sz w:val="22"/>
                <w:szCs w:val="22"/>
                <w:lang w:val="ro-RO"/>
              </w:rPr>
              <w:t>14  intervenţii asupra construcţiilor şi instalaţiilor aferente acestora,</w:t>
            </w:r>
          </w:p>
          <w:p w:rsidR="00B63FCC" w:rsidRPr="00372D6B" w:rsidRDefault="00B63FCC" w:rsidP="00372D6B">
            <w:pPr>
              <w:rPr>
                <w:rFonts w:cs="Arial"/>
                <w:sz w:val="22"/>
                <w:szCs w:val="22"/>
                <w:lang w:val="ro-RO"/>
              </w:rPr>
            </w:pPr>
            <w:r w:rsidRPr="00372D6B">
              <w:rPr>
                <w:rFonts w:cs="Arial"/>
                <w:sz w:val="22"/>
                <w:szCs w:val="22"/>
                <w:lang w:val="ro-RO"/>
              </w:rPr>
              <w:t>din care:</w:t>
            </w:r>
          </w:p>
        </w:tc>
        <w:tc>
          <w:tcPr>
            <w:tcW w:w="525" w:type="pct"/>
            <w:vAlign w:val="center"/>
          </w:tcPr>
          <w:p w:rsidR="00B63FCC" w:rsidRPr="00372D6B" w:rsidRDefault="00B63FCC" w:rsidP="00372D6B">
            <w:pPr>
              <w:jc w:val="right"/>
              <w:rPr>
                <w:rFonts w:cs="Arial"/>
                <w:sz w:val="22"/>
                <w:szCs w:val="22"/>
                <w:lang w:val="ro-RO"/>
              </w:rPr>
            </w:pPr>
            <w:r w:rsidRPr="00372D6B">
              <w:rPr>
                <w:rFonts w:cs="Arial"/>
                <w:sz w:val="22"/>
                <w:szCs w:val="22"/>
                <w:lang w:val="ro-RO"/>
              </w:rPr>
              <w:t>1.097</w:t>
            </w:r>
          </w:p>
        </w:tc>
        <w:tc>
          <w:tcPr>
            <w:tcW w:w="1471" w:type="pct"/>
            <w:shd w:val="clear" w:color="auto" w:fill="auto"/>
            <w:noWrap/>
            <w:vAlign w:val="bottom"/>
          </w:tcPr>
          <w:p w:rsidR="00B63FCC" w:rsidRPr="00372D6B" w:rsidRDefault="00B63FCC" w:rsidP="00372D6B">
            <w:pPr>
              <w:rPr>
                <w:rFonts w:cs="Arial"/>
                <w:sz w:val="22"/>
                <w:szCs w:val="22"/>
                <w:lang w:val="ro-RO"/>
              </w:rPr>
            </w:pPr>
            <w:r w:rsidRPr="00372D6B">
              <w:rPr>
                <w:rFonts w:cs="Arial"/>
                <w:sz w:val="22"/>
                <w:szCs w:val="22"/>
                <w:lang w:val="ro-RO"/>
              </w:rPr>
              <w:t>4 intervenţii asupra construcţiilor şi instalaţiilor aferente acestora,</w:t>
            </w:r>
          </w:p>
          <w:p w:rsidR="00B63FCC" w:rsidRPr="00372D6B" w:rsidRDefault="00B63FCC" w:rsidP="00372D6B">
            <w:pPr>
              <w:rPr>
                <w:rFonts w:cs="Arial"/>
                <w:sz w:val="22"/>
                <w:szCs w:val="22"/>
                <w:lang w:val="ro-RO"/>
              </w:rPr>
            </w:pPr>
            <w:r w:rsidRPr="00372D6B">
              <w:rPr>
                <w:rFonts w:cs="Arial"/>
                <w:sz w:val="22"/>
                <w:szCs w:val="22"/>
                <w:lang w:val="ro-RO"/>
              </w:rPr>
              <w:t>din care:</w:t>
            </w:r>
          </w:p>
        </w:tc>
        <w:tc>
          <w:tcPr>
            <w:tcW w:w="519" w:type="pct"/>
            <w:tcBorders>
              <w:right w:val="single" w:sz="4" w:space="0" w:color="auto"/>
            </w:tcBorders>
            <w:vAlign w:val="center"/>
          </w:tcPr>
          <w:p w:rsidR="00B63FCC" w:rsidRPr="00372D6B" w:rsidRDefault="00B63FCC" w:rsidP="00372D6B">
            <w:pPr>
              <w:jc w:val="right"/>
              <w:rPr>
                <w:rFonts w:cs="Arial"/>
                <w:sz w:val="22"/>
                <w:szCs w:val="22"/>
                <w:lang w:val="ro-RO"/>
              </w:rPr>
            </w:pPr>
            <w:r w:rsidRPr="00372D6B">
              <w:rPr>
                <w:rFonts w:cs="Arial"/>
                <w:sz w:val="22"/>
                <w:szCs w:val="22"/>
                <w:lang w:val="ro-RO"/>
              </w:rPr>
              <w:t>15.746</w:t>
            </w:r>
          </w:p>
        </w:tc>
      </w:tr>
      <w:tr w:rsidR="00B63FCC" w:rsidRPr="00372D6B" w:rsidTr="00372D6B">
        <w:trPr>
          <w:trHeight w:val="255"/>
        </w:trPr>
        <w:tc>
          <w:tcPr>
            <w:tcW w:w="730" w:type="pct"/>
            <w:vMerge/>
            <w:tcBorders>
              <w:left w:val="single" w:sz="4" w:space="0" w:color="auto"/>
            </w:tcBorders>
          </w:tcPr>
          <w:p w:rsidR="00B63FCC" w:rsidRPr="00372D6B" w:rsidRDefault="00B63FCC" w:rsidP="00372D6B">
            <w:pPr>
              <w:rPr>
                <w:rFonts w:cs="Arial"/>
                <w:b/>
                <w:sz w:val="22"/>
                <w:szCs w:val="22"/>
                <w:lang w:val="ro-RO"/>
              </w:rPr>
            </w:pPr>
          </w:p>
        </w:tc>
        <w:tc>
          <w:tcPr>
            <w:tcW w:w="1755" w:type="pct"/>
            <w:shd w:val="clear" w:color="auto" w:fill="auto"/>
            <w:noWrap/>
          </w:tcPr>
          <w:p w:rsidR="00B63FCC" w:rsidRPr="00372D6B" w:rsidRDefault="00B63FCC" w:rsidP="00B63FCC">
            <w:pPr>
              <w:numPr>
                <w:ilvl w:val="0"/>
                <w:numId w:val="27"/>
              </w:numPr>
              <w:tabs>
                <w:tab w:val="clear" w:pos="360"/>
              </w:tabs>
              <w:ind w:left="171" w:hanging="171"/>
              <w:jc w:val="both"/>
              <w:rPr>
                <w:rFonts w:cs="Arial"/>
                <w:sz w:val="22"/>
                <w:szCs w:val="22"/>
                <w:lang w:val="ro-RO"/>
              </w:rPr>
            </w:pPr>
            <w:r w:rsidRPr="00372D6B">
              <w:rPr>
                <w:rFonts w:cs="Arial"/>
                <w:b/>
                <w:sz w:val="22"/>
                <w:szCs w:val="22"/>
                <w:lang w:val="ro-RO"/>
              </w:rPr>
              <w:t>1</w:t>
            </w:r>
            <w:r w:rsidRPr="00372D6B">
              <w:rPr>
                <w:rFonts w:cs="Arial"/>
                <w:sz w:val="22"/>
                <w:szCs w:val="22"/>
                <w:lang w:val="ro-RO"/>
              </w:rPr>
              <w:t xml:space="preserve"> </w:t>
            </w:r>
            <w:r w:rsidRPr="00372D6B">
              <w:rPr>
                <w:rFonts w:cs="Arial"/>
                <w:b/>
                <w:sz w:val="22"/>
                <w:szCs w:val="22"/>
                <w:lang w:val="ro-RO"/>
              </w:rPr>
              <w:t>proiect</w:t>
            </w:r>
            <w:r w:rsidRPr="00372D6B">
              <w:rPr>
                <w:rFonts w:cs="Arial"/>
                <w:sz w:val="22"/>
                <w:szCs w:val="22"/>
                <w:lang w:val="ro-RO"/>
              </w:rPr>
              <w:t xml:space="preserve"> – studii de prefezabilitate, fezabilitate şi alte studii prevăzute de lege</w:t>
            </w:r>
          </w:p>
        </w:tc>
        <w:tc>
          <w:tcPr>
            <w:tcW w:w="525" w:type="pct"/>
            <w:vAlign w:val="center"/>
          </w:tcPr>
          <w:p w:rsidR="00B63FCC" w:rsidRPr="00372D6B" w:rsidRDefault="00B63FCC" w:rsidP="00372D6B">
            <w:pPr>
              <w:jc w:val="center"/>
              <w:rPr>
                <w:rFonts w:cs="Arial"/>
                <w:sz w:val="22"/>
                <w:szCs w:val="22"/>
                <w:lang w:val="ro-RO"/>
              </w:rPr>
            </w:pPr>
            <w:r w:rsidRPr="00372D6B">
              <w:rPr>
                <w:rFonts w:cs="Arial"/>
                <w:sz w:val="22"/>
                <w:szCs w:val="22"/>
                <w:lang w:val="ro-RO"/>
              </w:rPr>
              <w:t>94</w:t>
            </w:r>
          </w:p>
        </w:tc>
        <w:tc>
          <w:tcPr>
            <w:tcW w:w="1471" w:type="pct"/>
            <w:shd w:val="clear" w:color="auto" w:fill="auto"/>
            <w:noWrap/>
            <w:vAlign w:val="bottom"/>
          </w:tcPr>
          <w:p w:rsidR="00B63FCC" w:rsidRPr="00372D6B" w:rsidRDefault="00B63FCC" w:rsidP="00B63FCC">
            <w:pPr>
              <w:numPr>
                <w:ilvl w:val="0"/>
                <w:numId w:val="27"/>
              </w:numPr>
              <w:tabs>
                <w:tab w:val="clear" w:pos="360"/>
              </w:tabs>
              <w:ind w:left="171" w:hanging="171"/>
              <w:jc w:val="both"/>
              <w:rPr>
                <w:rFonts w:cs="Arial"/>
                <w:sz w:val="22"/>
                <w:szCs w:val="22"/>
                <w:lang w:val="ro-RO"/>
              </w:rPr>
            </w:pPr>
            <w:r w:rsidRPr="00372D6B">
              <w:rPr>
                <w:rFonts w:cs="Arial"/>
                <w:b/>
                <w:sz w:val="22"/>
                <w:szCs w:val="22"/>
                <w:lang w:val="ro-RO"/>
              </w:rPr>
              <w:t xml:space="preserve">0 proiecte </w:t>
            </w:r>
            <w:r w:rsidRPr="00372D6B">
              <w:rPr>
                <w:rFonts w:cs="Arial"/>
                <w:sz w:val="22"/>
                <w:szCs w:val="22"/>
                <w:lang w:val="ro-RO"/>
              </w:rPr>
              <w:t>studii de prefezabilitate, fezabilitate şi alte studii prevăzute de lege</w:t>
            </w:r>
          </w:p>
        </w:tc>
        <w:tc>
          <w:tcPr>
            <w:tcW w:w="519" w:type="pct"/>
            <w:tcBorders>
              <w:right w:val="single" w:sz="4" w:space="0" w:color="auto"/>
            </w:tcBorders>
            <w:vAlign w:val="center"/>
          </w:tcPr>
          <w:p w:rsidR="00B63FCC" w:rsidRPr="00372D6B" w:rsidRDefault="00B63FCC" w:rsidP="00372D6B">
            <w:pPr>
              <w:jc w:val="right"/>
              <w:rPr>
                <w:rFonts w:cs="Arial"/>
                <w:sz w:val="22"/>
                <w:szCs w:val="22"/>
                <w:lang w:val="ro-RO"/>
              </w:rPr>
            </w:pPr>
            <w:r w:rsidRPr="00372D6B">
              <w:rPr>
                <w:rFonts w:cs="Arial"/>
                <w:sz w:val="22"/>
                <w:szCs w:val="22"/>
                <w:lang w:val="ro-RO"/>
              </w:rPr>
              <w:t>0</w:t>
            </w:r>
          </w:p>
        </w:tc>
      </w:tr>
      <w:tr w:rsidR="00B63FCC" w:rsidRPr="00372D6B" w:rsidTr="00372D6B">
        <w:trPr>
          <w:trHeight w:val="255"/>
        </w:trPr>
        <w:tc>
          <w:tcPr>
            <w:tcW w:w="730" w:type="pct"/>
            <w:vMerge/>
            <w:tcBorders>
              <w:left w:val="single" w:sz="4" w:space="0" w:color="auto"/>
            </w:tcBorders>
          </w:tcPr>
          <w:p w:rsidR="00B63FCC" w:rsidRPr="00372D6B" w:rsidRDefault="00B63FCC" w:rsidP="00372D6B">
            <w:pPr>
              <w:rPr>
                <w:rFonts w:cs="Arial"/>
                <w:b/>
                <w:sz w:val="22"/>
                <w:szCs w:val="22"/>
                <w:lang w:val="ro-RO"/>
              </w:rPr>
            </w:pPr>
          </w:p>
        </w:tc>
        <w:tc>
          <w:tcPr>
            <w:tcW w:w="1755" w:type="pct"/>
            <w:shd w:val="clear" w:color="auto" w:fill="auto"/>
            <w:noWrap/>
          </w:tcPr>
          <w:p w:rsidR="00B63FCC" w:rsidRPr="00372D6B" w:rsidRDefault="00B63FCC" w:rsidP="00B63FCC">
            <w:pPr>
              <w:numPr>
                <w:ilvl w:val="0"/>
                <w:numId w:val="27"/>
              </w:numPr>
              <w:tabs>
                <w:tab w:val="clear" w:pos="360"/>
              </w:tabs>
              <w:ind w:left="171" w:hanging="171"/>
              <w:jc w:val="both"/>
              <w:rPr>
                <w:rFonts w:cs="Arial"/>
                <w:sz w:val="22"/>
                <w:szCs w:val="22"/>
                <w:lang w:val="ro-RO"/>
              </w:rPr>
            </w:pPr>
            <w:r w:rsidRPr="00372D6B">
              <w:rPr>
                <w:rFonts w:cs="Arial"/>
                <w:b/>
                <w:sz w:val="22"/>
                <w:szCs w:val="22"/>
                <w:lang w:val="ro-RO"/>
              </w:rPr>
              <w:t>2</w:t>
            </w:r>
            <w:r w:rsidRPr="00372D6B">
              <w:rPr>
                <w:rFonts w:cs="Arial"/>
                <w:sz w:val="22"/>
                <w:szCs w:val="22"/>
                <w:lang w:val="ro-RO"/>
              </w:rPr>
              <w:t xml:space="preserve"> consolidare,  execuţie de lucrări </w:t>
            </w:r>
          </w:p>
        </w:tc>
        <w:tc>
          <w:tcPr>
            <w:tcW w:w="525" w:type="pct"/>
            <w:vAlign w:val="center"/>
          </w:tcPr>
          <w:p w:rsidR="00B63FCC" w:rsidRPr="00372D6B" w:rsidRDefault="00B63FCC" w:rsidP="00372D6B">
            <w:pPr>
              <w:jc w:val="right"/>
              <w:rPr>
                <w:rFonts w:cs="Arial"/>
                <w:sz w:val="22"/>
                <w:szCs w:val="22"/>
                <w:lang w:val="ro-RO"/>
              </w:rPr>
            </w:pPr>
            <w:r w:rsidRPr="00372D6B">
              <w:rPr>
                <w:rFonts w:cs="Arial"/>
                <w:sz w:val="22"/>
                <w:szCs w:val="22"/>
                <w:lang w:val="ro-RO"/>
              </w:rPr>
              <w:t>440</w:t>
            </w:r>
          </w:p>
        </w:tc>
        <w:tc>
          <w:tcPr>
            <w:tcW w:w="1471" w:type="pct"/>
            <w:shd w:val="clear" w:color="auto" w:fill="auto"/>
            <w:noWrap/>
          </w:tcPr>
          <w:p w:rsidR="00B63FCC" w:rsidRPr="00372D6B" w:rsidRDefault="00B63FCC" w:rsidP="00B63FCC">
            <w:pPr>
              <w:numPr>
                <w:ilvl w:val="0"/>
                <w:numId w:val="27"/>
              </w:numPr>
              <w:tabs>
                <w:tab w:val="clear" w:pos="360"/>
              </w:tabs>
              <w:ind w:left="171" w:hanging="171"/>
              <w:jc w:val="both"/>
              <w:rPr>
                <w:rFonts w:cs="Arial"/>
                <w:sz w:val="22"/>
                <w:szCs w:val="22"/>
                <w:lang w:val="ro-RO"/>
              </w:rPr>
            </w:pPr>
            <w:r w:rsidRPr="00372D6B">
              <w:rPr>
                <w:rFonts w:cs="Arial"/>
                <w:b/>
                <w:sz w:val="22"/>
                <w:szCs w:val="22"/>
                <w:lang w:val="ro-RO"/>
              </w:rPr>
              <w:t>0</w:t>
            </w:r>
            <w:r w:rsidRPr="00372D6B">
              <w:rPr>
                <w:rFonts w:cs="Arial"/>
                <w:sz w:val="22"/>
                <w:szCs w:val="22"/>
                <w:lang w:val="ro-RO"/>
              </w:rPr>
              <w:t xml:space="preserve"> consolidare,  execuţie de lucrări </w:t>
            </w:r>
          </w:p>
        </w:tc>
        <w:tc>
          <w:tcPr>
            <w:tcW w:w="519" w:type="pct"/>
            <w:tcBorders>
              <w:right w:val="single" w:sz="4" w:space="0" w:color="auto"/>
            </w:tcBorders>
            <w:vAlign w:val="center"/>
          </w:tcPr>
          <w:p w:rsidR="00B63FCC" w:rsidRPr="00372D6B" w:rsidRDefault="00B63FCC" w:rsidP="00372D6B">
            <w:pPr>
              <w:jc w:val="center"/>
              <w:rPr>
                <w:rFonts w:cs="Arial"/>
                <w:sz w:val="22"/>
                <w:szCs w:val="22"/>
                <w:lang w:val="ro-RO"/>
              </w:rPr>
            </w:pPr>
            <w:r w:rsidRPr="00372D6B">
              <w:rPr>
                <w:rFonts w:cs="Arial"/>
                <w:sz w:val="22"/>
                <w:szCs w:val="22"/>
                <w:lang w:val="ro-RO"/>
              </w:rPr>
              <w:t>0</w:t>
            </w:r>
          </w:p>
        </w:tc>
      </w:tr>
      <w:tr w:rsidR="00B63FCC" w:rsidRPr="00372D6B" w:rsidTr="00372D6B">
        <w:trPr>
          <w:trHeight w:val="580"/>
        </w:trPr>
        <w:tc>
          <w:tcPr>
            <w:tcW w:w="730" w:type="pct"/>
            <w:vMerge/>
            <w:tcBorders>
              <w:left w:val="single" w:sz="4" w:space="0" w:color="auto"/>
            </w:tcBorders>
          </w:tcPr>
          <w:p w:rsidR="00B63FCC" w:rsidRPr="00372D6B" w:rsidRDefault="00B63FCC" w:rsidP="00372D6B">
            <w:pPr>
              <w:rPr>
                <w:rFonts w:cs="Arial"/>
                <w:b/>
                <w:sz w:val="22"/>
                <w:szCs w:val="22"/>
                <w:lang w:val="ro-RO"/>
              </w:rPr>
            </w:pPr>
          </w:p>
        </w:tc>
        <w:tc>
          <w:tcPr>
            <w:tcW w:w="1755" w:type="pct"/>
            <w:shd w:val="clear" w:color="auto" w:fill="auto"/>
            <w:noWrap/>
          </w:tcPr>
          <w:p w:rsidR="00B63FCC" w:rsidRPr="00372D6B" w:rsidRDefault="00B63FCC" w:rsidP="00B63FCC">
            <w:pPr>
              <w:numPr>
                <w:ilvl w:val="0"/>
                <w:numId w:val="27"/>
              </w:numPr>
              <w:tabs>
                <w:tab w:val="clear" w:pos="360"/>
              </w:tabs>
              <w:ind w:left="171" w:hanging="171"/>
              <w:jc w:val="both"/>
              <w:rPr>
                <w:rFonts w:cs="Arial"/>
                <w:b/>
                <w:sz w:val="22"/>
                <w:szCs w:val="22"/>
                <w:lang w:val="ro-RO"/>
              </w:rPr>
            </w:pPr>
            <w:r w:rsidRPr="00372D6B">
              <w:rPr>
                <w:rFonts w:cs="Arial"/>
                <w:b/>
                <w:sz w:val="22"/>
                <w:szCs w:val="22"/>
                <w:lang w:val="ro-RO"/>
              </w:rPr>
              <w:t xml:space="preserve">6 lucrări </w:t>
            </w:r>
            <w:r w:rsidRPr="00372D6B">
              <w:rPr>
                <w:rFonts w:cs="Arial"/>
                <w:sz w:val="22"/>
                <w:szCs w:val="22"/>
                <w:lang w:val="ro-RO"/>
              </w:rPr>
              <w:t>de modernizări, amenajări, reabilitări fond construit, din care 5 execuţie de lucrări</w:t>
            </w:r>
          </w:p>
        </w:tc>
        <w:tc>
          <w:tcPr>
            <w:tcW w:w="525" w:type="pct"/>
            <w:vAlign w:val="center"/>
          </w:tcPr>
          <w:p w:rsidR="00B63FCC" w:rsidRPr="00372D6B" w:rsidRDefault="00B63FCC" w:rsidP="00372D6B">
            <w:pPr>
              <w:jc w:val="right"/>
              <w:rPr>
                <w:rFonts w:cs="Arial"/>
                <w:sz w:val="22"/>
                <w:szCs w:val="22"/>
                <w:lang w:val="ro-RO"/>
              </w:rPr>
            </w:pPr>
            <w:r w:rsidRPr="00372D6B">
              <w:rPr>
                <w:rFonts w:cs="Arial"/>
                <w:sz w:val="22"/>
                <w:szCs w:val="22"/>
                <w:lang w:val="ro-RO"/>
              </w:rPr>
              <w:t xml:space="preserve">563     </w:t>
            </w:r>
          </w:p>
        </w:tc>
        <w:tc>
          <w:tcPr>
            <w:tcW w:w="1471" w:type="pct"/>
            <w:shd w:val="clear" w:color="auto" w:fill="auto"/>
            <w:noWrap/>
            <w:vAlign w:val="bottom"/>
          </w:tcPr>
          <w:p w:rsidR="00B63FCC" w:rsidRPr="00372D6B" w:rsidRDefault="00B63FCC" w:rsidP="00B63FCC">
            <w:pPr>
              <w:numPr>
                <w:ilvl w:val="0"/>
                <w:numId w:val="27"/>
              </w:numPr>
              <w:tabs>
                <w:tab w:val="clear" w:pos="360"/>
              </w:tabs>
              <w:ind w:left="171" w:hanging="171"/>
              <w:jc w:val="both"/>
              <w:rPr>
                <w:rFonts w:cs="Arial"/>
                <w:sz w:val="22"/>
                <w:szCs w:val="22"/>
                <w:lang w:val="ro-RO"/>
              </w:rPr>
            </w:pPr>
            <w:r w:rsidRPr="00372D6B">
              <w:rPr>
                <w:rFonts w:cs="Arial"/>
                <w:b/>
                <w:sz w:val="22"/>
                <w:szCs w:val="22"/>
                <w:lang w:val="ro-RO"/>
              </w:rPr>
              <w:t>4 lucrări</w:t>
            </w:r>
            <w:r w:rsidRPr="00372D6B">
              <w:rPr>
                <w:rFonts w:cs="Arial"/>
                <w:sz w:val="22"/>
                <w:szCs w:val="22"/>
                <w:lang w:val="ro-RO"/>
              </w:rPr>
              <w:t xml:space="preserve"> de modernizări, amenajări, reabilitări fond construit</w:t>
            </w:r>
          </w:p>
        </w:tc>
        <w:tc>
          <w:tcPr>
            <w:tcW w:w="519" w:type="pct"/>
            <w:tcBorders>
              <w:right w:val="single" w:sz="4" w:space="0" w:color="auto"/>
            </w:tcBorders>
            <w:vAlign w:val="center"/>
          </w:tcPr>
          <w:p w:rsidR="00B63FCC" w:rsidRPr="00372D6B" w:rsidRDefault="00B63FCC" w:rsidP="00372D6B">
            <w:pPr>
              <w:jc w:val="right"/>
              <w:rPr>
                <w:rFonts w:cs="Arial"/>
                <w:sz w:val="22"/>
                <w:szCs w:val="22"/>
                <w:lang w:val="ro-RO"/>
              </w:rPr>
            </w:pPr>
            <w:r w:rsidRPr="00372D6B">
              <w:rPr>
                <w:rFonts w:cs="Arial"/>
                <w:sz w:val="22"/>
                <w:szCs w:val="22"/>
                <w:lang w:val="ro-RO"/>
              </w:rPr>
              <w:t>15.746</w:t>
            </w:r>
          </w:p>
        </w:tc>
      </w:tr>
      <w:tr w:rsidR="00B63FCC" w:rsidRPr="00372D6B" w:rsidTr="00372D6B">
        <w:trPr>
          <w:trHeight w:val="70"/>
        </w:trPr>
        <w:tc>
          <w:tcPr>
            <w:tcW w:w="730" w:type="pct"/>
            <w:tcBorders>
              <w:left w:val="single" w:sz="4" w:space="0" w:color="auto"/>
            </w:tcBorders>
            <w:shd w:val="clear" w:color="auto" w:fill="E6E6E6"/>
          </w:tcPr>
          <w:p w:rsidR="00B63FCC" w:rsidRPr="00372D6B" w:rsidRDefault="00B63FCC" w:rsidP="00372D6B">
            <w:pPr>
              <w:rPr>
                <w:rFonts w:cs="Arial"/>
                <w:b/>
                <w:sz w:val="22"/>
                <w:szCs w:val="22"/>
                <w:lang w:val="ro-RO"/>
              </w:rPr>
            </w:pPr>
            <w:r w:rsidRPr="00372D6B">
              <w:rPr>
                <w:rFonts w:cs="Arial"/>
                <w:b/>
                <w:sz w:val="22"/>
                <w:szCs w:val="22"/>
                <w:lang w:val="ro-RO"/>
              </w:rPr>
              <w:t>II. Reparaţii capitale</w:t>
            </w:r>
          </w:p>
        </w:tc>
        <w:tc>
          <w:tcPr>
            <w:tcW w:w="1755" w:type="pct"/>
            <w:shd w:val="clear" w:color="auto" w:fill="E6E6E6"/>
            <w:noWrap/>
            <w:vAlign w:val="bottom"/>
          </w:tcPr>
          <w:p w:rsidR="00B63FCC" w:rsidRPr="00372D6B" w:rsidRDefault="00B63FCC" w:rsidP="00372D6B">
            <w:pPr>
              <w:rPr>
                <w:rFonts w:cs="Arial"/>
                <w:b/>
                <w:sz w:val="22"/>
                <w:szCs w:val="22"/>
                <w:lang w:val="ro-RO"/>
              </w:rPr>
            </w:pPr>
          </w:p>
        </w:tc>
        <w:tc>
          <w:tcPr>
            <w:tcW w:w="525" w:type="pct"/>
            <w:shd w:val="clear" w:color="auto" w:fill="E6E6E6"/>
            <w:vAlign w:val="center"/>
          </w:tcPr>
          <w:p w:rsidR="00B63FCC" w:rsidRPr="00372D6B" w:rsidRDefault="00B63FCC" w:rsidP="00372D6B">
            <w:pPr>
              <w:jc w:val="right"/>
              <w:rPr>
                <w:rFonts w:cs="Arial"/>
                <w:b/>
                <w:sz w:val="22"/>
                <w:szCs w:val="22"/>
                <w:lang w:val="ro-RO"/>
              </w:rPr>
            </w:pPr>
            <w:r w:rsidRPr="00372D6B">
              <w:rPr>
                <w:rFonts w:cs="Arial"/>
                <w:b/>
                <w:bCs/>
                <w:sz w:val="22"/>
                <w:szCs w:val="22"/>
                <w:lang w:val="ro-RO"/>
              </w:rPr>
              <w:t>4.804</w:t>
            </w:r>
          </w:p>
        </w:tc>
        <w:tc>
          <w:tcPr>
            <w:tcW w:w="1471" w:type="pct"/>
            <w:shd w:val="clear" w:color="auto" w:fill="E6E6E6"/>
            <w:noWrap/>
            <w:vAlign w:val="bottom"/>
          </w:tcPr>
          <w:p w:rsidR="00B63FCC" w:rsidRPr="00372D6B" w:rsidRDefault="00B63FCC" w:rsidP="00372D6B">
            <w:pPr>
              <w:jc w:val="right"/>
              <w:rPr>
                <w:rFonts w:cs="Arial"/>
                <w:b/>
                <w:sz w:val="22"/>
                <w:szCs w:val="22"/>
                <w:lang w:val="ro-RO"/>
              </w:rPr>
            </w:pPr>
          </w:p>
        </w:tc>
        <w:tc>
          <w:tcPr>
            <w:tcW w:w="519" w:type="pct"/>
            <w:tcBorders>
              <w:right w:val="single" w:sz="4" w:space="0" w:color="auto"/>
            </w:tcBorders>
            <w:shd w:val="clear" w:color="auto" w:fill="E6E6E6"/>
            <w:vAlign w:val="center"/>
          </w:tcPr>
          <w:p w:rsidR="00B63FCC" w:rsidRPr="00372D6B" w:rsidRDefault="00B63FCC" w:rsidP="00372D6B">
            <w:pPr>
              <w:jc w:val="right"/>
              <w:rPr>
                <w:rFonts w:cs="Arial"/>
                <w:b/>
                <w:sz w:val="22"/>
                <w:szCs w:val="22"/>
                <w:lang w:val="ro-RO"/>
              </w:rPr>
            </w:pPr>
          </w:p>
        </w:tc>
      </w:tr>
      <w:tr w:rsidR="00B63FCC" w:rsidRPr="00372D6B" w:rsidTr="00372D6B">
        <w:trPr>
          <w:trHeight w:val="174"/>
        </w:trPr>
        <w:tc>
          <w:tcPr>
            <w:tcW w:w="730" w:type="pct"/>
            <w:vMerge w:val="restart"/>
            <w:tcBorders>
              <w:left w:val="single" w:sz="4" w:space="0" w:color="auto"/>
            </w:tcBorders>
          </w:tcPr>
          <w:p w:rsidR="00B63FCC" w:rsidRPr="00372D6B" w:rsidRDefault="00B63FCC" w:rsidP="00372D6B">
            <w:pPr>
              <w:rPr>
                <w:rFonts w:cs="Arial"/>
                <w:sz w:val="22"/>
                <w:szCs w:val="22"/>
                <w:lang w:val="ro-RO"/>
              </w:rPr>
            </w:pPr>
            <w:r w:rsidRPr="00372D6B">
              <w:rPr>
                <w:rFonts w:cs="Arial"/>
                <w:sz w:val="22"/>
                <w:szCs w:val="22"/>
                <w:lang w:val="ro-RO"/>
              </w:rPr>
              <w:t xml:space="preserve">Reparaţii capitale la construcţiile existente, inclusiv instalaţiile aferente acestora </w:t>
            </w:r>
          </w:p>
        </w:tc>
        <w:tc>
          <w:tcPr>
            <w:tcW w:w="1755" w:type="pct"/>
            <w:shd w:val="clear" w:color="auto" w:fill="auto"/>
            <w:noWrap/>
            <w:vAlign w:val="bottom"/>
          </w:tcPr>
          <w:p w:rsidR="00B63FCC" w:rsidRPr="00372D6B" w:rsidRDefault="00B63FCC" w:rsidP="00B63FCC">
            <w:pPr>
              <w:numPr>
                <w:ilvl w:val="0"/>
                <w:numId w:val="27"/>
              </w:numPr>
              <w:tabs>
                <w:tab w:val="clear" w:pos="360"/>
              </w:tabs>
              <w:ind w:left="171" w:hanging="171"/>
              <w:jc w:val="both"/>
              <w:rPr>
                <w:rFonts w:cs="Arial"/>
                <w:sz w:val="22"/>
                <w:szCs w:val="22"/>
                <w:lang w:val="ro-RO"/>
              </w:rPr>
            </w:pPr>
            <w:r w:rsidRPr="00372D6B">
              <w:rPr>
                <w:rFonts w:cs="Arial"/>
                <w:b/>
                <w:sz w:val="22"/>
                <w:szCs w:val="22"/>
                <w:lang w:val="ro-RO"/>
              </w:rPr>
              <w:t>11</w:t>
            </w:r>
            <w:r w:rsidRPr="00372D6B">
              <w:rPr>
                <w:rFonts w:cs="Arial"/>
                <w:sz w:val="22"/>
                <w:szCs w:val="22"/>
                <w:lang w:val="ro-RO"/>
              </w:rPr>
              <w:t xml:space="preserve"> </w:t>
            </w:r>
            <w:r w:rsidRPr="00372D6B">
              <w:rPr>
                <w:rFonts w:cs="Arial"/>
                <w:b/>
                <w:sz w:val="22"/>
                <w:szCs w:val="22"/>
                <w:lang w:val="ro-RO"/>
              </w:rPr>
              <w:t>lucrări</w:t>
            </w:r>
            <w:r w:rsidRPr="00372D6B">
              <w:rPr>
                <w:rFonts w:cs="Arial"/>
                <w:sz w:val="22"/>
                <w:szCs w:val="22"/>
                <w:lang w:val="ro-RO"/>
              </w:rPr>
              <w:t xml:space="preserve"> de reparaţii capitale, din care:             </w:t>
            </w:r>
          </w:p>
        </w:tc>
        <w:tc>
          <w:tcPr>
            <w:tcW w:w="525" w:type="pct"/>
            <w:vAlign w:val="center"/>
          </w:tcPr>
          <w:p w:rsidR="00B63FCC" w:rsidRPr="00372D6B" w:rsidRDefault="00B63FCC" w:rsidP="00372D6B">
            <w:pPr>
              <w:jc w:val="right"/>
              <w:rPr>
                <w:rFonts w:cs="Arial"/>
                <w:sz w:val="22"/>
                <w:szCs w:val="22"/>
                <w:lang w:val="ro-RO"/>
              </w:rPr>
            </w:pPr>
            <w:r w:rsidRPr="00372D6B">
              <w:rPr>
                <w:rFonts w:cs="Arial"/>
                <w:bCs/>
                <w:sz w:val="22"/>
                <w:szCs w:val="22"/>
                <w:lang w:val="ro-RO"/>
              </w:rPr>
              <w:t>4.804</w:t>
            </w:r>
          </w:p>
        </w:tc>
        <w:tc>
          <w:tcPr>
            <w:tcW w:w="1471" w:type="pct"/>
            <w:shd w:val="clear" w:color="auto" w:fill="auto"/>
            <w:noWrap/>
            <w:vAlign w:val="bottom"/>
          </w:tcPr>
          <w:p w:rsidR="00B63FCC" w:rsidRPr="00372D6B" w:rsidRDefault="00B63FCC" w:rsidP="00372D6B">
            <w:pPr>
              <w:jc w:val="right"/>
              <w:rPr>
                <w:rFonts w:cs="Arial"/>
                <w:sz w:val="22"/>
                <w:szCs w:val="22"/>
                <w:lang w:val="ro-RO"/>
              </w:rPr>
            </w:pPr>
          </w:p>
        </w:tc>
        <w:tc>
          <w:tcPr>
            <w:tcW w:w="519" w:type="pct"/>
            <w:tcBorders>
              <w:right w:val="single" w:sz="4" w:space="0" w:color="auto"/>
            </w:tcBorders>
            <w:vAlign w:val="center"/>
          </w:tcPr>
          <w:p w:rsidR="00B63FCC" w:rsidRPr="00372D6B" w:rsidRDefault="00B63FCC" w:rsidP="00372D6B">
            <w:pPr>
              <w:jc w:val="right"/>
              <w:rPr>
                <w:rFonts w:cs="Arial"/>
                <w:sz w:val="22"/>
                <w:szCs w:val="22"/>
                <w:lang w:val="ro-RO"/>
              </w:rPr>
            </w:pPr>
          </w:p>
        </w:tc>
      </w:tr>
      <w:tr w:rsidR="00B63FCC" w:rsidRPr="00372D6B" w:rsidTr="00372D6B">
        <w:trPr>
          <w:trHeight w:val="174"/>
        </w:trPr>
        <w:tc>
          <w:tcPr>
            <w:tcW w:w="730" w:type="pct"/>
            <w:vMerge/>
            <w:tcBorders>
              <w:left w:val="single" w:sz="4" w:space="0" w:color="auto"/>
            </w:tcBorders>
          </w:tcPr>
          <w:p w:rsidR="00B63FCC" w:rsidRPr="00372D6B" w:rsidRDefault="00B63FCC" w:rsidP="00372D6B">
            <w:pPr>
              <w:rPr>
                <w:rFonts w:cs="Arial"/>
                <w:sz w:val="22"/>
                <w:szCs w:val="22"/>
                <w:lang w:val="ro-RO"/>
              </w:rPr>
            </w:pPr>
          </w:p>
        </w:tc>
        <w:tc>
          <w:tcPr>
            <w:tcW w:w="1755" w:type="pct"/>
            <w:shd w:val="clear" w:color="auto" w:fill="auto"/>
            <w:noWrap/>
            <w:vAlign w:val="bottom"/>
          </w:tcPr>
          <w:p w:rsidR="00B63FCC" w:rsidRPr="00372D6B" w:rsidRDefault="00B63FCC" w:rsidP="00B63FCC">
            <w:pPr>
              <w:numPr>
                <w:ilvl w:val="0"/>
                <w:numId w:val="27"/>
              </w:numPr>
              <w:tabs>
                <w:tab w:val="clear" w:pos="360"/>
              </w:tabs>
              <w:ind w:left="171" w:hanging="171"/>
              <w:jc w:val="both"/>
              <w:rPr>
                <w:rFonts w:cs="Arial"/>
                <w:b/>
                <w:sz w:val="22"/>
                <w:szCs w:val="22"/>
                <w:lang w:val="ro-RO"/>
              </w:rPr>
            </w:pPr>
            <w:r w:rsidRPr="00372D6B">
              <w:rPr>
                <w:rFonts w:cs="Arial"/>
                <w:b/>
                <w:sz w:val="22"/>
                <w:szCs w:val="22"/>
                <w:lang w:val="ro-RO"/>
              </w:rPr>
              <w:t xml:space="preserve">4 lucrări de reparaţii capitale, </w:t>
            </w:r>
            <w:r w:rsidRPr="00372D6B">
              <w:rPr>
                <w:rFonts w:cs="Arial"/>
                <w:sz w:val="22"/>
                <w:szCs w:val="22"/>
                <w:lang w:val="ro-RO"/>
              </w:rPr>
              <w:t>execuţie de lucrări</w:t>
            </w:r>
          </w:p>
        </w:tc>
        <w:tc>
          <w:tcPr>
            <w:tcW w:w="525" w:type="pct"/>
            <w:vAlign w:val="center"/>
          </w:tcPr>
          <w:p w:rsidR="00B63FCC" w:rsidRPr="00372D6B" w:rsidRDefault="00B63FCC" w:rsidP="00372D6B">
            <w:pPr>
              <w:jc w:val="right"/>
              <w:rPr>
                <w:rFonts w:cs="Arial"/>
                <w:bCs/>
                <w:sz w:val="22"/>
                <w:szCs w:val="22"/>
                <w:lang w:val="ro-RO"/>
              </w:rPr>
            </w:pPr>
            <w:r w:rsidRPr="00372D6B">
              <w:rPr>
                <w:rFonts w:cs="Arial"/>
                <w:bCs/>
                <w:sz w:val="22"/>
                <w:szCs w:val="22"/>
                <w:lang w:val="ro-RO"/>
              </w:rPr>
              <w:t>4.115</w:t>
            </w:r>
          </w:p>
        </w:tc>
        <w:tc>
          <w:tcPr>
            <w:tcW w:w="1471" w:type="pct"/>
            <w:shd w:val="clear" w:color="auto" w:fill="auto"/>
            <w:noWrap/>
            <w:vAlign w:val="bottom"/>
          </w:tcPr>
          <w:p w:rsidR="00B63FCC" w:rsidRPr="00372D6B" w:rsidRDefault="00B63FCC" w:rsidP="00372D6B">
            <w:pPr>
              <w:jc w:val="right"/>
              <w:rPr>
                <w:rFonts w:cs="Arial"/>
                <w:sz w:val="22"/>
                <w:szCs w:val="22"/>
                <w:lang w:val="ro-RO"/>
              </w:rPr>
            </w:pPr>
          </w:p>
        </w:tc>
        <w:tc>
          <w:tcPr>
            <w:tcW w:w="519" w:type="pct"/>
            <w:tcBorders>
              <w:right w:val="single" w:sz="4" w:space="0" w:color="auto"/>
            </w:tcBorders>
            <w:vAlign w:val="center"/>
          </w:tcPr>
          <w:p w:rsidR="00B63FCC" w:rsidRPr="00372D6B" w:rsidRDefault="00B63FCC" w:rsidP="00372D6B">
            <w:pPr>
              <w:jc w:val="right"/>
              <w:rPr>
                <w:rFonts w:cs="Arial"/>
                <w:sz w:val="22"/>
                <w:szCs w:val="22"/>
                <w:lang w:val="ro-RO"/>
              </w:rPr>
            </w:pPr>
          </w:p>
        </w:tc>
      </w:tr>
      <w:tr w:rsidR="00B63FCC" w:rsidRPr="00372D6B" w:rsidTr="00372D6B">
        <w:trPr>
          <w:trHeight w:val="174"/>
        </w:trPr>
        <w:tc>
          <w:tcPr>
            <w:tcW w:w="730" w:type="pct"/>
            <w:vMerge/>
            <w:tcBorders>
              <w:left w:val="single" w:sz="4" w:space="0" w:color="auto"/>
              <w:bottom w:val="single" w:sz="4" w:space="0" w:color="auto"/>
            </w:tcBorders>
          </w:tcPr>
          <w:p w:rsidR="00B63FCC" w:rsidRPr="00372D6B" w:rsidRDefault="00B63FCC" w:rsidP="00372D6B">
            <w:pPr>
              <w:rPr>
                <w:rFonts w:cs="Arial"/>
                <w:sz w:val="22"/>
                <w:szCs w:val="22"/>
                <w:lang w:val="ro-RO"/>
              </w:rPr>
            </w:pPr>
          </w:p>
        </w:tc>
        <w:tc>
          <w:tcPr>
            <w:tcW w:w="1755" w:type="pct"/>
            <w:tcBorders>
              <w:bottom w:val="single" w:sz="4" w:space="0" w:color="auto"/>
            </w:tcBorders>
            <w:shd w:val="clear" w:color="auto" w:fill="auto"/>
            <w:noWrap/>
            <w:vAlign w:val="bottom"/>
          </w:tcPr>
          <w:p w:rsidR="00B63FCC" w:rsidRPr="00372D6B" w:rsidRDefault="00B63FCC" w:rsidP="00B63FCC">
            <w:pPr>
              <w:numPr>
                <w:ilvl w:val="0"/>
                <w:numId w:val="27"/>
              </w:numPr>
              <w:tabs>
                <w:tab w:val="clear" w:pos="360"/>
              </w:tabs>
              <w:ind w:left="171" w:hanging="171"/>
              <w:jc w:val="both"/>
              <w:rPr>
                <w:rFonts w:cs="Arial"/>
                <w:b/>
                <w:sz w:val="22"/>
                <w:szCs w:val="22"/>
                <w:lang w:val="ro-RO"/>
              </w:rPr>
            </w:pPr>
            <w:r w:rsidRPr="00372D6B">
              <w:rPr>
                <w:rFonts w:cs="Arial"/>
                <w:b/>
                <w:sz w:val="22"/>
                <w:szCs w:val="22"/>
                <w:lang w:val="ro-RO"/>
              </w:rPr>
              <w:t xml:space="preserve">7 lucrări de reparaţii capitale, </w:t>
            </w:r>
            <w:r w:rsidRPr="00372D6B">
              <w:rPr>
                <w:rFonts w:cs="Arial"/>
                <w:sz w:val="22"/>
                <w:szCs w:val="22"/>
                <w:lang w:val="ro-RO"/>
              </w:rPr>
              <w:t>proiectare, inclusiv expertiză tehnică</w:t>
            </w:r>
          </w:p>
        </w:tc>
        <w:tc>
          <w:tcPr>
            <w:tcW w:w="525" w:type="pct"/>
            <w:tcBorders>
              <w:bottom w:val="single" w:sz="4" w:space="0" w:color="auto"/>
            </w:tcBorders>
            <w:vAlign w:val="center"/>
          </w:tcPr>
          <w:p w:rsidR="00B63FCC" w:rsidRPr="00372D6B" w:rsidRDefault="00B63FCC" w:rsidP="00372D6B">
            <w:pPr>
              <w:jc w:val="right"/>
              <w:rPr>
                <w:rFonts w:cs="Arial"/>
                <w:bCs/>
                <w:sz w:val="22"/>
                <w:szCs w:val="22"/>
                <w:lang w:val="ro-RO"/>
              </w:rPr>
            </w:pPr>
            <w:r w:rsidRPr="00372D6B">
              <w:rPr>
                <w:rFonts w:cs="Arial"/>
                <w:bCs/>
                <w:sz w:val="22"/>
                <w:szCs w:val="22"/>
                <w:lang w:val="ro-RO"/>
              </w:rPr>
              <w:t>689</w:t>
            </w:r>
          </w:p>
        </w:tc>
        <w:tc>
          <w:tcPr>
            <w:tcW w:w="1471" w:type="pct"/>
            <w:tcBorders>
              <w:bottom w:val="single" w:sz="4" w:space="0" w:color="auto"/>
            </w:tcBorders>
            <w:shd w:val="clear" w:color="auto" w:fill="auto"/>
            <w:noWrap/>
            <w:vAlign w:val="bottom"/>
          </w:tcPr>
          <w:p w:rsidR="00B63FCC" w:rsidRPr="00372D6B" w:rsidRDefault="00B63FCC" w:rsidP="00372D6B">
            <w:pPr>
              <w:jc w:val="right"/>
              <w:rPr>
                <w:rFonts w:cs="Arial"/>
                <w:sz w:val="22"/>
                <w:szCs w:val="22"/>
                <w:lang w:val="ro-RO"/>
              </w:rPr>
            </w:pPr>
          </w:p>
        </w:tc>
        <w:tc>
          <w:tcPr>
            <w:tcW w:w="519" w:type="pct"/>
            <w:tcBorders>
              <w:bottom w:val="single" w:sz="4" w:space="0" w:color="auto"/>
              <w:right w:val="single" w:sz="4" w:space="0" w:color="auto"/>
            </w:tcBorders>
            <w:vAlign w:val="center"/>
          </w:tcPr>
          <w:p w:rsidR="00B63FCC" w:rsidRPr="00372D6B" w:rsidRDefault="00B63FCC" w:rsidP="00372D6B">
            <w:pPr>
              <w:jc w:val="right"/>
              <w:rPr>
                <w:rFonts w:cs="Arial"/>
                <w:sz w:val="22"/>
                <w:szCs w:val="22"/>
                <w:lang w:val="ro-RO"/>
              </w:rPr>
            </w:pPr>
          </w:p>
        </w:tc>
      </w:tr>
    </w:tbl>
    <w:p w:rsidR="00B63FCC" w:rsidRPr="00372D6B" w:rsidRDefault="00B63FCC" w:rsidP="00B63FCC">
      <w:pPr>
        <w:ind w:right="22"/>
        <w:rPr>
          <w:rFonts w:cs="Arial"/>
          <w:lang w:val="ro-RO"/>
        </w:rPr>
      </w:pPr>
    </w:p>
    <w:p w:rsidR="00B63FCC" w:rsidRDefault="00B63FCC" w:rsidP="00B63FCC">
      <w:pPr>
        <w:ind w:firstLine="720"/>
        <w:jc w:val="both"/>
        <w:rPr>
          <w:rFonts w:cs="Arial"/>
          <w:lang w:val="ro-RO"/>
        </w:rPr>
      </w:pPr>
      <w:r w:rsidRPr="00372D6B">
        <w:rPr>
          <w:rFonts w:cs="Arial"/>
          <w:lang w:val="ro-RO"/>
        </w:rPr>
        <w:t xml:space="preserve">Fondurile prevăzute în anul 2016 pentru reparaţii capitale, modernizări şi investiţii au fost alocate pentru un număr de 23 de instanţe, dintre acestea 3 având atât o componentă de finanţare din fonduri externe rambursabile, cât şi o componentă de finanţare de la bugetul de stat şi 7 instanţe având doar componentă din fonduri externe rambursabile. Majoritatea sediilor deţinute de instanţe sunt deţinute în proprietate şi, doar o mică parte, cu chirie. </w:t>
      </w:r>
    </w:p>
    <w:p w:rsidR="005952DB" w:rsidRDefault="005952DB" w:rsidP="00B63FCC">
      <w:pPr>
        <w:ind w:firstLine="720"/>
        <w:jc w:val="both"/>
        <w:rPr>
          <w:rFonts w:cs="Arial"/>
          <w:lang w:val="ro-RO"/>
        </w:rPr>
      </w:pPr>
    </w:p>
    <w:p w:rsidR="005952DB" w:rsidRDefault="005952DB" w:rsidP="00B63FCC">
      <w:pPr>
        <w:ind w:firstLine="720"/>
        <w:jc w:val="both"/>
        <w:rPr>
          <w:rFonts w:cs="Arial"/>
          <w:lang w:val="ro-RO"/>
        </w:rPr>
      </w:pPr>
    </w:p>
    <w:p w:rsidR="005952DB" w:rsidRDefault="005952DB" w:rsidP="00B63FCC">
      <w:pPr>
        <w:ind w:firstLine="720"/>
        <w:jc w:val="both"/>
        <w:rPr>
          <w:rFonts w:cs="Arial"/>
          <w:lang w:val="ro-RO"/>
        </w:rPr>
      </w:pPr>
    </w:p>
    <w:p w:rsidR="005952DB" w:rsidRDefault="005952DB" w:rsidP="00B63FCC">
      <w:pPr>
        <w:ind w:firstLine="720"/>
        <w:jc w:val="both"/>
        <w:rPr>
          <w:rFonts w:cs="Arial"/>
          <w:lang w:val="ro-RO"/>
        </w:rPr>
      </w:pPr>
    </w:p>
    <w:p w:rsidR="005952DB" w:rsidRPr="00372D6B" w:rsidRDefault="005952DB" w:rsidP="00B63FCC">
      <w:pPr>
        <w:ind w:firstLine="720"/>
        <w:jc w:val="both"/>
        <w:rPr>
          <w:rFonts w:cs="Arial"/>
          <w:lang w:val="ro-RO"/>
        </w:rPr>
      </w:pPr>
    </w:p>
    <w:p w:rsidR="00B63FCC" w:rsidRPr="00372D6B" w:rsidRDefault="00B63FCC" w:rsidP="00B63FCC">
      <w:pPr>
        <w:ind w:firstLine="720"/>
        <w:jc w:val="both"/>
        <w:rPr>
          <w:rFonts w:cs="Arial"/>
          <w:lang w:val="ro-RO"/>
        </w:rPr>
      </w:pPr>
    </w:p>
    <w:p w:rsidR="00B63FCC" w:rsidRPr="00372D6B" w:rsidRDefault="00B63FCC" w:rsidP="00B63FCC">
      <w:pPr>
        <w:ind w:left="2" w:firstLine="718"/>
        <w:rPr>
          <w:rFonts w:cs="Arial"/>
          <w:lang w:val="ro-RO"/>
        </w:rPr>
      </w:pPr>
      <w:r w:rsidRPr="00372D6B">
        <w:rPr>
          <w:rFonts w:cs="Arial"/>
          <w:lang w:val="ro-RO"/>
        </w:rPr>
        <w:lastRenderedPageBreak/>
        <w:t>Starea sediilor instanţelor este prezentată în tabelul următor:</w:t>
      </w:r>
    </w:p>
    <w:p w:rsidR="00B63FCC" w:rsidRPr="00372D6B" w:rsidRDefault="00B63FCC" w:rsidP="00B63FCC">
      <w:pPr>
        <w:ind w:left="2" w:firstLine="718"/>
        <w:rPr>
          <w:rFonts w:cs="Arial"/>
          <w:lang w:val="ro-RO"/>
        </w:rPr>
      </w:pPr>
    </w:p>
    <w:tbl>
      <w:tblPr>
        <w:tblW w:w="9100" w:type="dxa"/>
        <w:tblInd w:w="93" w:type="dxa"/>
        <w:tblLook w:val="0000" w:firstRow="0" w:lastRow="0" w:firstColumn="0" w:lastColumn="0" w:noHBand="0" w:noVBand="0"/>
      </w:tblPr>
      <w:tblGrid>
        <w:gridCol w:w="5340"/>
        <w:gridCol w:w="3760"/>
      </w:tblGrid>
      <w:tr w:rsidR="00B63FCC" w:rsidRPr="00372D6B" w:rsidTr="00372D6B">
        <w:trPr>
          <w:trHeight w:val="467"/>
        </w:trPr>
        <w:tc>
          <w:tcPr>
            <w:tcW w:w="5340" w:type="dxa"/>
            <w:tcBorders>
              <w:top w:val="single" w:sz="8" w:space="0" w:color="auto"/>
              <w:left w:val="single" w:sz="8" w:space="0" w:color="auto"/>
              <w:bottom w:val="single" w:sz="8" w:space="0" w:color="auto"/>
              <w:right w:val="single" w:sz="8" w:space="0" w:color="auto"/>
            </w:tcBorders>
            <w:shd w:val="clear" w:color="auto" w:fill="D9D9D9"/>
            <w:vAlign w:val="center"/>
          </w:tcPr>
          <w:p w:rsidR="00B63FCC" w:rsidRPr="00372D6B" w:rsidRDefault="00B63FCC" w:rsidP="00372D6B">
            <w:pPr>
              <w:rPr>
                <w:rFonts w:cs="Arial"/>
                <w:b/>
                <w:bCs/>
                <w:lang w:val="ro-RO"/>
              </w:rPr>
            </w:pPr>
            <w:r w:rsidRPr="00372D6B">
              <w:rPr>
                <w:rFonts w:cs="Arial"/>
                <w:b/>
                <w:bCs/>
                <w:lang w:val="ro-RO"/>
              </w:rPr>
              <w:t>Starea sediilor de instanţă la 31 decembrie 2015</w:t>
            </w:r>
          </w:p>
        </w:tc>
        <w:tc>
          <w:tcPr>
            <w:tcW w:w="3760" w:type="dxa"/>
            <w:tcBorders>
              <w:top w:val="single" w:sz="8" w:space="0" w:color="auto"/>
              <w:left w:val="nil"/>
              <w:bottom w:val="single" w:sz="8" w:space="0" w:color="auto"/>
              <w:right w:val="single" w:sz="8" w:space="0" w:color="auto"/>
            </w:tcBorders>
            <w:shd w:val="clear" w:color="auto" w:fill="D9D9D9"/>
            <w:vAlign w:val="center"/>
          </w:tcPr>
          <w:p w:rsidR="00B63FCC" w:rsidRPr="00372D6B" w:rsidRDefault="00B63FCC" w:rsidP="00372D6B">
            <w:pPr>
              <w:jc w:val="center"/>
              <w:rPr>
                <w:rFonts w:cs="Arial"/>
                <w:b/>
                <w:bCs/>
                <w:lang w:val="ro-RO"/>
              </w:rPr>
            </w:pPr>
            <w:r w:rsidRPr="00372D6B">
              <w:rPr>
                <w:rFonts w:cs="Arial"/>
                <w:b/>
                <w:bCs/>
                <w:lang w:val="ro-RO"/>
              </w:rPr>
              <w:t>Număr de sedii</w:t>
            </w:r>
          </w:p>
        </w:tc>
      </w:tr>
      <w:tr w:rsidR="00B63FCC" w:rsidRPr="00372D6B" w:rsidTr="00372D6B">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B63FCC" w:rsidRPr="00372D6B" w:rsidRDefault="00B63FCC" w:rsidP="00372D6B">
            <w:pPr>
              <w:rPr>
                <w:rFonts w:cs="Arial"/>
                <w:lang w:val="ro-RO"/>
              </w:rPr>
            </w:pPr>
            <w:r w:rsidRPr="00372D6B">
              <w:rPr>
                <w:rFonts w:cs="Arial"/>
                <w:lang w:val="ro-RO"/>
              </w:rPr>
              <w:t>Sedii în stare</w:t>
            </w:r>
            <w:r w:rsidRPr="00372D6B">
              <w:rPr>
                <w:rFonts w:cs="Arial"/>
                <w:b/>
                <w:bCs/>
                <w:lang w:val="ro-RO"/>
              </w:rPr>
              <w:t xml:space="preserve"> </w:t>
            </w:r>
            <w:r w:rsidRPr="00372D6B">
              <w:rPr>
                <w:rFonts w:cs="Arial"/>
                <w:b/>
                <w:bCs/>
                <w:i/>
                <w:iCs/>
                <w:lang w:val="ro-RO"/>
              </w:rPr>
              <w:t>foarte bună</w:t>
            </w:r>
          </w:p>
        </w:tc>
        <w:tc>
          <w:tcPr>
            <w:tcW w:w="3760" w:type="dxa"/>
            <w:tcBorders>
              <w:top w:val="nil"/>
              <w:left w:val="nil"/>
              <w:bottom w:val="single" w:sz="4" w:space="0" w:color="auto"/>
              <w:right w:val="single" w:sz="8" w:space="0" w:color="auto"/>
            </w:tcBorders>
            <w:shd w:val="clear" w:color="auto" w:fill="auto"/>
            <w:noWrap/>
            <w:vAlign w:val="bottom"/>
          </w:tcPr>
          <w:p w:rsidR="00B63FCC" w:rsidRPr="00372D6B" w:rsidRDefault="00B63FCC" w:rsidP="00372D6B">
            <w:pPr>
              <w:jc w:val="center"/>
              <w:rPr>
                <w:rFonts w:cs="Arial"/>
                <w:b/>
                <w:bCs/>
                <w:lang w:val="ro-RO"/>
              </w:rPr>
            </w:pPr>
            <w:r w:rsidRPr="00372D6B">
              <w:rPr>
                <w:rFonts w:cs="Arial"/>
                <w:b/>
                <w:bCs/>
                <w:lang w:val="ro-RO"/>
              </w:rPr>
              <w:t>60</w:t>
            </w:r>
          </w:p>
        </w:tc>
      </w:tr>
      <w:tr w:rsidR="00B63FCC" w:rsidRPr="00372D6B" w:rsidTr="00372D6B">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B63FCC" w:rsidRPr="00372D6B" w:rsidRDefault="00B63FCC" w:rsidP="00372D6B">
            <w:pPr>
              <w:rPr>
                <w:rFonts w:cs="Arial"/>
                <w:lang w:val="ro-RO"/>
              </w:rPr>
            </w:pPr>
            <w:r w:rsidRPr="00372D6B">
              <w:rPr>
                <w:rFonts w:cs="Arial"/>
                <w:lang w:val="ro-RO"/>
              </w:rPr>
              <w:t>Sedii în stare</w:t>
            </w:r>
            <w:r w:rsidRPr="00372D6B">
              <w:rPr>
                <w:rFonts w:cs="Arial"/>
                <w:b/>
                <w:bCs/>
                <w:lang w:val="ro-RO"/>
              </w:rPr>
              <w:t xml:space="preserve"> </w:t>
            </w:r>
            <w:r w:rsidRPr="00372D6B">
              <w:rPr>
                <w:rFonts w:cs="Arial"/>
                <w:b/>
                <w:bCs/>
                <w:i/>
                <w:iCs/>
                <w:lang w:val="ro-RO"/>
              </w:rPr>
              <w:t>bună</w:t>
            </w:r>
          </w:p>
        </w:tc>
        <w:tc>
          <w:tcPr>
            <w:tcW w:w="3760" w:type="dxa"/>
            <w:tcBorders>
              <w:top w:val="nil"/>
              <w:left w:val="nil"/>
              <w:bottom w:val="single" w:sz="4" w:space="0" w:color="auto"/>
              <w:right w:val="single" w:sz="8" w:space="0" w:color="auto"/>
            </w:tcBorders>
            <w:shd w:val="clear" w:color="auto" w:fill="auto"/>
            <w:noWrap/>
            <w:vAlign w:val="bottom"/>
          </w:tcPr>
          <w:p w:rsidR="00B63FCC" w:rsidRPr="00372D6B" w:rsidRDefault="00B63FCC" w:rsidP="00372D6B">
            <w:pPr>
              <w:jc w:val="center"/>
              <w:rPr>
                <w:rFonts w:cs="Arial"/>
                <w:b/>
                <w:bCs/>
                <w:lang w:val="ro-RO"/>
              </w:rPr>
            </w:pPr>
            <w:r w:rsidRPr="00372D6B">
              <w:rPr>
                <w:rFonts w:cs="Arial"/>
                <w:b/>
                <w:bCs/>
                <w:lang w:val="ro-RO"/>
              </w:rPr>
              <w:t>60</w:t>
            </w:r>
          </w:p>
        </w:tc>
      </w:tr>
      <w:tr w:rsidR="00B63FCC" w:rsidRPr="00372D6B" w:rsidTr="00372D6B">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B63FCC" w:rsidRPr="00372D6B" w:rsidRDefault="00B63FCC" w:rsidP="00372D6B">
            <w:pPr>
              <w:rPr>
                <w:rFonts w:cs="Arial"/>
                <w:lang w:val="ro-RO"/>
              </w:rPr>
            </w:pPr>
            <w:r w:rsidRPr="00372D6B">
              <w:rPr>
                <w:rFonts w:cs="Arial"/>
                <w:lang w:val="ro-RO"/>
              </w:rPr>
              <w:t>Sedii în stare</w:t>
            </w:r>
            <w:r w:rsidRPr="00372D6B">
              <w:rPr>
                <w:rFonts w:cs="Arial"/>
                <w:b/>
                <w:bCs/>
                <w:lang w:val="ro-RO"/>
              </w:rPr>
              <w:t xml:space="preserve"> </w:t>
            </w:r>
            <w:r w:rsidRPr="00372D6B">
              <w:rPr>
                <w:rFonts w:cs="Arial"/>
                <w:b/>
                <w:bCs/>
                <w:i/>
                <w:iCs/>
                <w:lang w:val="ro-RO"/>
              </w:rPr>
              <w:t>acceptabilă</w:t>
            </w:r>
          </w:p>
        </w:tc>
        <w:tc>
          <w:tcPr>
            <w:tcW w:w="3760" w:type="dxa"/>
            <w:tcBorders>
              <w:top w:val="nil"/>
              <w:left w:val="nil"/>
              <w:bottom w:val="single" w:sz="4" w:space="0" w:color="auto"/>
              <w:right w:val="single" w:sz="8" w:space="0" w:color="auto"/>
            </w:tcBorders>
            <w:shd w:val="clear" w:color="auto" w:fill="auto"/>
            <w:noWrap/>
            <w:vAlign w:val="bottom"/>
          </w:tcPr>
          <w:p w:rsidR="00B63FCC" w:rsidRPr="00372D6B" w:rsidRDefault="00B63FCC" w:rsidP="00372D6B">
            <w:pPr>
              <w:jc w:val="center"/>
              <w:rPr>
                <w:rFonts w:cs="Arial"/>
                <w:b/>
                <w:bCs/>
                <w:lang w:val="ro-RO"/>
              </w:rPr>
            </w:pPr>
            <w:r w:rsidRPr="00372D6B">
              <w:rPr>
                <w:rFonts w:cs="Arial"/>
                <w:b/>
                <w:bCs/>
                <w:lang w:val="ro-RO"/>
              </w:rPr>
              <w:t>46</w:t>
            </w:r>
          </w:p>
        </w:tc>
      </w:tr>
      <w:tr w:rsidR="00B63FCC" w:rsidRPr="00372D6B" w:rsidTr="00372D6B">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B63FCC" w:rsidRPr="00372D6B" w:rsidRDefault="00B63FCC" w:rsidP="00372D6B">
            <w:pPr>
              <w:rPr>
                <w:rFonts w:cs="Arial"/>
                <w:lang w:val="ro-RO"/>
              </w:rPr>
            </w:pPr>
            <w:r w:rsidRPr="00372D6B">
              <w:rPr>
                <w:rFonts w:cs="Arial"/>
                <w:lang w:val="ro-RO"/>
              </w:rPr>
              <w:t>Sedii în stare</w:t>
            </w:r>
            <w:r w:rsidRPr="00372D6B">
              <w:rPr>
                <w:rFonts w:cs="Arial"/>
                <w:b/>
                <w:bCs/>
                <w:lang w:val="ro-RO"/>
              </w:rPr>
              <w:t xml:space="preserve"> rea</w:t>
            </w:r>
          </w:p>
        </w:tc>
        <w:tc>
          <w:tcPr>
            <w:tcW w:w="3760" w:type="dxa"/>
            <w:tcBorders>
              <w:top w:val="nil"/>
              <w:left w:val="nil"/>
              <w:bottom w:val="single" w:sz="4" w:space="0" w:color="auto"/>
              <w:right w:val="single" w:sz="8" w:space="0" w:color="auto"/>
            </w:tcBorders>
            <w:shd w:val="clear" w:color="auto" w:fill="auto"/>
            <w:noWrap/>
            <w:vAlign w:val="bottom"/>
          </w:tcPr>
          <w:p w:rsidR="00B63FCC" w:rsidRPr="00372D6B" w:rsidRDefault="00B63FCC" w:rsidP="00372D6B">
            <w:pPr>
              <w:jc w:val="center"/>
              <w:rPr>
                <w:rFonts w:cs="Arial"/>
                <w:b/>
                <w:bCs/>
                <w:lang w:val="ro-RO"/>
              </w:rPr>
            </w:pPr>
            <w:r w:rsidRPr="00372D6B">
              <w:rPr>
                <w:rFonts w:cs="Arial"/>
                <w:b/>
                <w:bCs/>
                <w:lang w:val="ro-RO"/>
              </w:rPr>
              <w:t>20</w:t>
            </w:r>
          </w:p>
        </w:tc>
      </w:tr>
      <w:tr w:rsidR="00B63FCC" w:rsidRPr="00372D6B" w:rsidTr="00372D6B">
        <w:trPr>
          <w:trHeight w:val="300"/>
        </w:trPr>
        <w:tc>
          <w:tcPr>
            <w:tcW w:w="5340" w:type="dxa"/>
            <w:tcBorders>
              <w:top w:val="nil"/>
              <w:left w:val="single" w:sz="8" w:space="0" w:color="auto"/>
              <w:bottom w:val="single" w:sz="4" w:space="0" w:color="auto"/>
              <w:right w:val="single" w:sz="8" w:space="0" w:color="auto"/>
            </w:tcBorders>
            <w:shd w:val="clear" w:color="auto" w:fill="auto"/>
            <w:noWrap/>
            <w:vAlign w:val="bottom"/>
          </w:tcPr>
          <w:p w:rsidR="00B63FCC" w:rsidRPr="00372D6B" w:rsidRDefault="00B63FCC" w:rsidP="00372D6B">
            <w:pPr>
              <w:rPr>
                <w:rFonts w:cs="Arial"/>
                <w:lang w:val="ro-RO"/>
              </w:rPr>
            </w:pPr>
            <w:r w:rsidRPr="00372D6B">
              <w:rPr>
                <w:rFonts w:cs="Arial"/>
                <w:lang w:val="ro-RO"/>
              </w:rPr>
              <w:t>Sedii în stare</w:t>
            </w:r>
            <w:r w:rsidRPr="00372D6B">
              <w:rPr>
                <w:rFonts w:cs="Arial"/>
                <w:b/>
                <w:bCs/>
                <w:lang w:val="ro-RO"/>
              </w:rPr>
              <w:t xml:space="preserve"> foarte rea</w:t>
            </w:r>
          </w:p>
        </w:tc>
        <w:tc>
          <w:tcPr>
            <w:tcW w:w="3760" w:type="dxa"/>
            <w:tcBorders>
              <w:top w:val="nil"/>
              <w:left w:val="nil"/>
              <w:bottom w:val="single" w:sz="4" w:space="0" w:color="auto"/>
              <w:right w:val="single" w:sz="8" w:space="0" w:color="auto"/>
            </w:tcBorders>
            <w:shd w:val="clear" w:color="auto" w:fill="auto"/>
            <w:noWrap/>
            <w:vAlign w:val="bottom"/>
          </w:tcPr>
          <w:p w:rsidR="00B63FCC" w:rsidRPr="00372D6B" w:rsidRDefault="00B63FCC" w:rsidP="00372D6B">
            <w:pPr>
              <w:jc w:val="center"/>
              <w:rPr>
                <w:rFonts w:cs="Arial"/>
                <w:b/>
                <w:bCs/>
                <w:lang w:val="ro-RO"/>
              </w:rPr>
            </w:pPr>
            <w:r w:rsidRPr="00372D6B">
              <w:rPr>
                <w:rFonts w:cs="Arial"/>
                <w:b/>
                <w:bCs/>
                <w:lang w:val="ro-RO"/>
              </w:rPr>
              <w:t>12</w:t>
            </w:r>
          </w:p>
        </w:tc>
      </w:tr>
      <w:tr w:rsidR="00B63FCC" w:rsidRPr="00372D6B" w:rsidTr="00372D6B">
        <w:trPr>
          <w:trHeight w:val="315"/>
        </w:trPr>
        <w:tc>
          <w:tcPr>
            <w:tcW w:w="5340" w:type="dxa"/>
            <w:tcBorders>
              <w:top w:val="nil"/>
              <w:left w:val="single" w:sz="8" w:space="0" w:color="auto"/>
              <w:bottom w:val="single" w:sz="8" w:space="0" w:color="auto"/>
              <w:right w:val="single" w:sz="8" w:space="0" w:color="auto"/>
            </w:tcBorders>
            <w:shd w:val="clear" w:color="auto" w:fill="auto"/>
            <w:noWrap/>
            <w:vAlign w:val="bottom"/>
          </w:tcPr>
          <w:p w:rsidR="00B63FCC" w:rsidRPr="00372D6B" w:rsidRDefault="00B63FCC" w:rsidP="00372D6B">
            <w:pPr>
              <w:rPr>
                <w:rFonts w:cs="Arial"/>
                <w:b/>
                <w:bCs/>
                <w:lang w:val="ro-RO"/>
              </w:rPr>
            </w:pPr>
            <w:r w:rsidRPr="00372D6B">
              <w:rPr>
                <w:rFonts w:cs="Arial"/>
                <w:b/>
                <w:bCs/>
                <w:lang w:val="ro-RO"/>
              </w:rPr>
              <w:t xml:space="preserve">Număr total </w:t>
            </w:r>
            <w:r w:rsidRPr="00372D6B">
              <w:rPr>
                <w:rFonts w:cs="Arial"/>
                <w:lang w:val="ro-RO"/>
              </w:rPr>
              <w:t>sedii de instanţe</w:t>
            </w:r>
          </w:p>
        </w:tc>
        <w:tc>
          <w:tcPr>
            <w:tcW w:w="3760" w:type="dxa"/>
            <w:tcBorders>
              <w:top w:val="nil"/>
              <w:left w:val="nil"/>
              <w:bottom w:val="single" w:sz="8" w:space="0" w:color="auto"/>
              <w:right w:val="single" w:sz="8" w:space="0" w:color="auto"/>
            </w:tcBorders>
            <w:shd w:val="clear" w:color="auto" w:fill="auto"/>
            <w:noWrap/>
            <w:vAlign w:val="bottom"/>
          </w:tcPr>
          <w:p w:rsidR="00B63FCC" w:rsidRPr="00372D6B" w:rsidRDefault="00B63FCC" w:rsidP="00372D6B">
            <w:pPr>
              <w:jc w:val="center"/>
              <w:rPr>
                <w:rFonts w:cs="Arial"/>
                <w:b/>
                <w:bCs/>
                <w:lang w:val="ro-RO"/>
              </w:rPr>
            </w:pPr>
            <w:r w:rsidRPr="00372D6B">
              <w:rPr>
                <w:rFonts w:cs="Arial"/>
                <w:b/>
                <w:bCs/>
                <w:lang w:val="ro-RO"/>
              </w:rPr>
              <w:t>198</w:t>
            </w:r>
          </w:p>
        </w:tc>
      </w:tr>
    </w:tbl>
    <w:p w:rsidR="00B63FCC" w:rsidRPr="00372D6B" w:rsidRDefault="00B63FCC" w:rsidP="00B63FCC">
      <w:pPr>
        <w:rPr>
          <w:rFonts w:cs="Arial"/>
          <w:b/>
          <w:u w:val="single"/>
          <w:lang w:val="ro-RO"/>
        </w:rPr>
      </w:pPr>
    </w:p>
    <w:p w:rsidR="00B63FCC" w:rsidRPr="00372D6B" w:rsidRDefault="00B63FCC" w:rsidP="00B63FCC">
      <w:pPr>
        <w:pStyle w:val="AddParagraf"/>
        <w:spacing w:after="0"/>
      </w:pPr>
      <w:r w:rsidRPr="00372D6B">
        <w:t>Numărul de 198 sedii de instanţă este cel rămas după aplicarea Legii nr.148/2011 privind desfiinţarea unor instanţe judecătoreşti şi a parchetelor de pe lângă acestea si nu includ sediile luate în chirie de la terţi.</w:t>
      </w:r>
    </w:p>
    <w:p w:rsidR="00B63FCC" w:rsidRPr="00372D6B" w:rsidRDefault="00B63FCC" w:rsidP="00B63FCC">
      <w:pPr>
        <w:pStyle w:val="AddParagraf"/>
        <w:spacing w:after="0"/>
      </w:pPr>
      <w:r w:rsidRPr="00372D6B">
        <w:t>La dotările independente, bugetul final la 31 decembrie 2016 este în sumă de 21.832 mii lei.</w:t>
      </w:r>
    </w:p>
    <w:p w:rsidR="00B63FCC" w:rsidRPr="00372D6B" w:rsidRDefault="00B63FCC" w:rsidP="00B63FCC">
      <w:pPr>
        <w:jc w:val="both"/>
        <w:outlineLvl w:val="0"/>
        <w:rPr>
          <w:b/>
          <w:lang w:val="ro-RO" w:eastAsia="ro-RO"/>
        </w:rPr>
      </w:pPr>
    </w:p>
    <w:p w:rsidR="00B63FCC" w:rsidRDefault="00B63FCC"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EB7297" w:rsidRDefault="00EB7297" w:rsidP="00CD6117">
      <w:pPr>
        <w:jc w:val="both"/>
        <w:outlineLvl w:val="0"/>
        <w:rPr>
          <w:b/>
          <w:lang w:val="ro-RO" w:eastAsia="ro-RO"/>
        </w:rPr>
      </w:pPr>
    </w:p>
    <w:p w:rsidR="005952DB" w:rsidRDefault="005952DB" w:rsidP="00CD6117">
      <w:pPr>
        <w:jc w:val="both"/>
        <w:outlineLvl w:val="0"/>
        <w:rPr>
          <w:b/>
          <w:lang w:val="ro-RO" w:eastAsia="ro-RO"/>
        </w:rPr>
      </w:pPr>
    </w:p>
    <w:p w:rsidR="00EB7297" w:rsidRDefault="00EB7297" w:rsidP="00CD6117">
      <w:pPr>
        <w:jc w:val="both"/>
        <w:outlineLvl w:val="0"/>
        <w:rPr>
          <w:b/>
          <w:lang w:val="ro-RO" w:eastAsia="ro-RO"/>
        </w:rPr>
      </w:pPr>
    </w:p>
    <w:p w:rsidR="00EB7297" w:rsidRPr="002152E4" w:rsidRDefault="00EB7297" w:rsidP="00CD6117">
      <w:pPr>
        <w:jc w:val="both"/>
        <w:outlineLvl w:val="0"/>
        <w:rPr>
          <w:b/>
          <w:lang w:val="ro-RO" w:eastAsia="ro-RO"/>
        </w:rPr>
      </w:pPr>
    </w:p>
    <w:p w:rsidR="00CD6117" w:rsidRPr="002152E4" w:rsidRDefault="00CD6117" w:rsidP="00B63FCC">
      <w:pPr>
        <w:jc w:val="center"/>
        <w:outlineLvl w:val="0"/>
        <w:rPr>
          <w:b/>
          <w:sz w:val="28"/>
          <w:szCs w:val="28"/>
          <w:lang w:val="ro-RO" w:eastAsia="ro-RO"/>
        </w:rPr>
      </w:pPr>
      <w:bookmarkStart w:id="189" w:name="_Toc486576564"/>
      <w:r w:rsidRPr="002152E4">
        <w:rPr>
          <w:b/>
          <w:sz w:val="28"/>
          <w:szCs w:val="28"/>
          <w:lang w:val="ro-RO" w:eastAsia="ro-RO"/>
        </w:rPr>
        <w:lastRenderedPageBreak/>
        <w:t>VII. Infrastructura parchetelor</w:t>
      </w:r>
      <w:bookmarkEnd w:id="189"/>
    </w:p>
    <w:p w:rsidR="00B63FCC" w:rsidRPr="002152E4" w:rsidRDefault="00B63FCC" w:rsidP="00B63FCC">
      <w:pPr>
        <w:jc w:val="center"/>
        <w:outlineLvl w:val="0"/>
        <w:rPr>
          <w:b/>
          <w:sz w:val="28"/>
          <w:szCs w:val="28"/>
          <w:lang w:val="ro-RO" w:eastAsia="ro-RO"/>
        </w:rPr>
      </w:pPr>
    </w:p>
    <w:p w:rsidR="00B63FCC" w:rsidRPr="00B63FCC" w:rsidRDefault="00B63FCC" w:rsidP="00B63FCC">
      <w:pPr>
        <w:numPr>
          <w:ilvl w:val="1"/>
          <w:numId w:val="0"/>
        </w:numPr>
        <w:ind w:right="43" w:firstLine="706"/>
        <w:jc w:val="both"/>
        <w:rPr>
          <w:rFonts w:cs="Arial"/>
          <w:lang w:val="ro-RO"/>
        </w:rPr>
      </w:pPr>
      <w:r w:rsidRPr="00B63FCC">
        <w:rPr>
          <w:rFonts w:cs="Arial"/>
          <w:lang w:val="ro-RO"/>
        </w:rPr>
        <w:t>Urmare modificărilor operate cu ocazia rectificărilor bugetului de stat pe anul 2016, bugetul instituției,  actualizat la finele anului 2016 este în valoare de 884.426 mii lei.</w:t>
      </w:r>
    </w:p>
    <w:p w:rsidR="00B63FCC" w:rsidRPr="002152E4" w:rsidRDefault="00B63FCC" w:rsidP="00B63FCC">
      <w:pPr>
        <w:numPr>
          <w:ilvl w:val="1"/>
          <w:numId w:val="0"/>
        </w:numPr>
        <w:ind w:right="43" w:firstLine="706"/>
        <w:jc w:val="both"/>
        <w:rPr>
          <w:rFonts w:cs="Arial"/>
          <w:lang w:val="ro-RO"/>
        </w:rPr>
      </w:pPr>
      <w:r w:rsidRPr="00B63FCC">
        <w:rPr>
          <w:rFonts w:cs="Arial"/>
          <w:lang w:val="ro-RO"/>
        </w:rPr>
        <w:t>Dinamica bugetului alocat parchetelor 2014-2016 se prezintă în felul următor:</w:t>
      </w:r>
    </w:p>
    <w:p w:rsidR="00B63FCC" w:rsidRPr="00B63FCC" w:rsidRDefault="00B63FCC" w:rsidP="00B63FCC">
      <w:pPr>
        <w:numPr>
          <w:ilvl w:val="1"/>
          <w:numId w:val="0"/>
        </w:numPr>
        <w:ind w:right="43" w:firstLine="706"/>
        <w:jc w:val="both"/>
        <w:rPr>
          <w:rFonts w:cs="Arial"/>
          <w:lang w:val="ro-RO"/>
        </w:rPr>
      </w:pPr>
    </w:p>
    <w:tbl>
      <w:tblPr>
        <w:tblW w:w="9576" w:type="dxa"/>
        <w:tblInd w:w="279" w:type="dxa"/>
        <w:tblLook w:val="0000" w:firstRow="0" w:lastRow="0" w:firstColumn="0" w:lastColumn="0" w:noHBand="0" w:noVBand="0"/>
      </w:tblPr>
      <w:tblGrid>
        <w:gridCol w:w="855"/>
        <w:gridCol w:w="1539"/>
        <w:gridCol w:w="1539"/>
        <w:gridCol w:w="1539"/>
        <w:gridCol w:w="1368"/>
        <w:gridCol w:w="1368"/>
        <w:gridCol w:w="1368"/>
      </w:tblGrid>
      <w:tr w:rsidR="00B63FCC" w:rsidRPr="002152E4" w:rsidTr="00372D6B">
        <w:trPr>
          <w:trHeight w:val="255"/>
        </w:trPr>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Anul</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Buget total (RON)</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Buget total (EURO)</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Cheltuieli de personal (euro)</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Bunuri si servicii (euro)</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Transferuri (euro)</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Investitii (euro)</w:t>
            </w:r>
          </w:p>
        </w:tc>
      </w:tr>
      <w:tr w:rsidR="00B63FCC" w:rsidRPr="002152E4" w:rsidTr="00372D6B">
        <w:trPr>
          <w:trHeight w:val="255"/>
        </w:trPr>
        <w:tc>
          <w:tcPr>
            <w:tcW w:w="855" w:type="dxa"/>
            <w:tcBorders>
              <w:top w:val="nil"/>
              <w:left w:val="single" w:sz="4" w:space="0" w:color="auto"/>
              <w:bottom w:val="single" w:sz="4" w:space="0" w:color="auto"/>
              <w:right w:val="single" w:sz="4" w:space="0" w:color="auto"/>
            </w:tcBorders>
            <w:shd w:val="clear" w:color="auto" w:fill="auto"/>
            <w:noWrap/>
            <w:vAlign w:val="bottom"/>
          </w:tcPr>
          <w:p w:rsidR="00B63FCC" w:rsidRPr="00B63FCC" w:rsidRDefault="00B63FCC" w:rsidP="00B63FCC">
            <w:pPr>
              <w:jc w:val="right"/>
              <w:rPr>
                <w:rFonts w:ascii="Arial" w:eastAsia="SimSun" w:hAnsi="Arial" w:cs="Arial"/>
                <w:sz w:val="20"/>
                <w:szCs w:val="20"/>
                <w:lang w:val="ro-RO" w:eastAsia="zh-CN"/>
              </w:rPr>
            </w:pPr>
            <w:r w:rsidRPr="00B63FCC">
              <w:rPr>
                <w:rFonts w:ascii="Arial" w:eastAsia="SimSun" w:hAnsi="Arial" w:cs="Arial"/>
                <w:sz w:val="20"/>
                <w:szCs w:val="20"/>
                <w:lang w:val="ro-RO" w:eastAsia="zh-CN"/>
              </w:rPr>
              <w:t>2014</w:t>
            </w:r>
          </w:p>
        </w:tc>
        <w:tc>
          <w:tcPr>
            <w:tcW w:w="1539"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1.066.406.000     </w:t>
            </w:r>
          </w:p>
        </w:tc>
        <w:tc>
          <w:tcPr>
            <w:tcW w:w="1539"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239.641.798     </w:t>
            </w:r>
          </w:p>
        </w:tc>
        <w:tc>
          <w:tcPr>
            <w:tcW w:w="1539"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220.367.865     </w:t>
            </w:r>
          </w:p>
        </w:tc>
        <w:tc>
          <w:tcPr>
            <w:tcW w:w="1368"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15.831.461     </w:t>
            </w:r>
          </w:p>
        </w:tc>
        <w:tc>
          <w:tcPr>
            <w:tcW w:w="1368"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245.618     </w:t>
            </w:r>
          </w:p>
        </w:tc>
        <w:tc>
          <w:tcPr>
            <w:tcW w:w="1368"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3.196.854     </w:t>
            </w:r>
          </w:p>
        </w:tc>
      </w:tr>
      <w:tr w:rsidR="00B63FCC" w:rsidRPr="002152E4" w:rsidTr="00372D6B">
        <w:trPr>
          <w:trHeight w:val="255"/>
        </w:trPr>
        <w:tc>
          <w:tcPr>
            <w:tcW w:w="855" w:type="dxa"/>
            <w:tcBorders>
              <w:top w:val="nil"/>
              <w:left w:val="single" w:sz="4" w:space="0" w:color="auto"/>
              <w:bottom w:val="nil"/>
              <w:right w:val="single" w:sz="4" w:space="0" w:color="auto"/>
            </w:tcBorders>
            <w:shd w:val="clear" w:color="auto" w:fill="auto"/>
            <w:noWrap/>
            <w:vAlign w:val="bottom"/>
          </w:tcPr>
          <w:p w:rsidR="00B63FCC" w:rsidRPr="00B63FCC" w:rsidRDefault="00B63FCC" w:rsidP="00B63FCC">
            <w:pPr>
              <w:jc w:val="right"/>
              <w:rPr>
                <w:rFonts w:ascii="Arial" w:eastAsia="SimSun" w:hAnsi="Arial" w:cs="Arial"/>
                <w:sz w:val="20"/>
                <w:szCs w:val="20"/>
                <w:lang w:val="ro-RO" w:eastAsia="zh-CN"/>
              </w:rPr>
            </w:pPr>
            <w:r w:rsidRPr="00B63FCC">
              <w:rPr>
                <w:rFonts w:ascii="Arial" w:eastAsia="SimSun" w:hAnsi="Arial" w:cs="Arial"/>
                <w:sz w:val="20"/>
                <w:szCs w:val="20"/>
                <w:lang w:val="ro-RO" w:eastAsia="zh-CN"/>
              </w:rPr>
              <w:t>2015</w:t>
            </w:r>
          </w:p>
        </w:tc>
        <w:tc>
          <w:tcPr>
            <w:tcW w:w="1539" w:type="dxa"/>
            <w:tcBorders>
              <w:top w:val="nil"/>
              <w:left w:val="nil"/>
              <w:bottom w:val="nil"/>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1.032.288.000     </w:t>
            </w:r>
          </w:p>
        </w:tc>
        <w:tc>
          <w:tcPr>
            <w:tcW w:w="1539" w:type="dxa"/>
            <w:tcBorders>
              <w:top w:val="nil"/>
              <w:left w:val="nil"/>
              <w:bottom w:val="nil"/>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232.497.297     </w:t>
            </w:r>
          </w:p>
        </w:tc>
        <w:tc>
          <w:tcPr>
            <w:tcW w:w="1539" w:type="dxa"/>
            <w:tcBorders>
              <w:top w:val="nil"/>
              <w:left w:val="nil"/>
              <w:bottom w:val="nil"/>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206.104.955     </w:t>
            </w:r>
          </w:p>
        </w:tc>
        <w:tc>
          <w:tcPr>
            <w:tcW w:w="1368" w:type="dxa"/>
            <w:tcBorders>
              <w:top w:val="nil"/>
              <w:left w:val="nil"/>
              <w:bottom w:val="nil"/>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18.211.712     </w:t>
            </w:r>
          </w:p>
        </w:tc>
        <w:tc>
          <w:tcPr>
            <w:tcW w:w="1368" w:type="dxa"/>
            <w:tcBorders>
              <w:top w:val="nil"/>
              <w:left w:val="nil"/>
              <w:bottom w:val="nil"/>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372.072     </w:t>
            </w:r>
          </w:p>
        </w:tc>
        <w:tc>
          <w:tcPr>
            <w:tcW w:w="1368" w:type="dxa"/>
            <w:tcBorders>
              <w:top w:val="nil"/>
              <w:left w:val="nil"/>
              <w:bottom w:val="nil"/>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6.233.559     </w:t>
            </w:r>
          </w:p>
        </w:tc>
      </w:tr>
      <w:tr w:rsidR="00B63FCC" w:rsidRPr="002152E4" w:rsidTr="00372D6B">
        <w:trPr>
          <w:trHeight w:val="255"/>
        </w:trPr>
        <w:tc>
          <w:tcPr>
            <w:tcW w:w="855" w:type="dxa"/>
            <w:tcBorders>
              <w:top w:val="nil"/>
              <w:left w:val="single" w:sz="4" w:space="0" w:color="auto"/>
              <w:bottom w:val="single" w:sz="4" w:space="0" w:color="auto"/>
              <w:right w:val="single" w:sz="4" w:space="0" w:color="auto"/>
            </w:tcBorders>
            <w:shd w:val="clear" w:color="auto" w:fill="auto"/>
            <w:noWrap/>
            <w:vAlign w:val="bottom"/>
          </w:tcPr>
          <w:p w:rsidR="00B63FCC" w:rsidRPr="00B63FCC" w:rsidRDefault="00B63FCC" w:rsidP="00B63FCC">
            <w:pPr>
              <w:jc w:val="right"/>
              <w:rPr>
                <w:rFonts w:ascii="Arial" w:eastAsia="SimSun" w:hAnsi="Arial" w:cs="Arial"/>
                <w:sz w:val="20"/>
                <w:szCs w:val="20"/>
                <w:lang w:val="ro-RO" w:eastAsia="zh-CN"/>
              </w:rPr>
            </w:pPr>
          </w:p>
        </w:tc>
        <w:tc>
          <w:tcPr>
            <w:tcW w:w="1539"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p>
        </w:tc>
        <w:tc>
          <w:tcPr>
            <w:tcW w:w="1539"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p>
        </w:tc>
        <w:tc>
          <w:tcPr>
            <w:tcW w:w="1539"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p>
        </w:tc>
        <w:tc>
          <w:tcPr>
            <w:tcW w:w="1368"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p>
        </w:tc>
        <w:tc>
          <w:tcPr>
            <w:tcW w:w="1368"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p>
        </w:tc>
        <w:tc>
          <w:tcPr>
            <w:tcW w:w="1368" w:type="dxa"/>
            <w:tcBorders>
              <w:top w:val="nil"/>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p>
        </w:tc>
      </w:tr>
      <w:tr w:rsidR="00B63FCC" w:rsidRPr="002152E4" w:rsidTr="00372D6B">
        <w:trPr>
          <w:trHeight w:val="255"/>
        </w:trPr>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3FCC" w:rsidRPr="00B63FCC" w:rsidRDefault="00B63FCC" w:rsidP="00B63FCC">
            <w:pPr>
              <w:jc w:val="right"/>
              <w:rPr>
                <w:rFonts w:ascii="Arial" w:eastAsia="SimSun" w:hAnsi="Arial" w:cs="Arial"/>
                <w:sz w:val="20"/>
                <w:szCs w:val="20"/>
                <w:lang w:val="ro-RO" w:eastAsia="zh-CN"/>
              </w:rPr>
            </w:pPr>
            <w:r w:rsidRPr="00B63FCC">
              <w:rPr>
                <w:rFonts w:ascii="Arial" w:eastAsia="SimSun" w:hAnsi="Arial" w:cs="Arial"/>
                <w:sz w:val="20"/>
                <w:szCs w:val="20"/>
                <w:lang w:val="ro-RO" w:eastAsia="zh-CN"/>
              </w:rPr>
              <w:t>2016</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884.426.000</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196.539.111</w:t>
            </w:r>
          </w:p>
        </w:tc>
        <w:tc>
          <w:tcPr>
            <w:tcW w:w="1539"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167.709.556   </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  18.396.667     </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4.373.111     </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63FCC" w:rsidRPr="00B63FCC" w:rsidRDefault="00B63FCC" w:rsidP="00B63FCC">
            <w:pPr>
              <w:rPr>
                <w:rFonts w:ascii="Arial" w:eastAsia="SimSun" w:hAnsi="Arial" w:cs="Arial"/>
                <w:sz w:val="20"/>
                <w:szCs w:val="20"/>
                <w:lang w:val="ro-RO" w:eastAsia="zh-CN"/>
              </w:rPr>
            </w:pPr>
            <w:r w:rsidRPr="00B63FCC">
              <w:rPr>
                <w:rFonts w:ascii="Arial" w:eastAsia="SimSun" w:hAnsi="Arial" w:cs="Arial"/>
                <w:sz w:val="20"/>
                <w:szCs w:val="20"/>
                <w:lang w:val="ro-RO" w:eastAsia="zh-CN"/>
              </w:rPr>
              <w:t xml:space="preserve">6.059.778     </w:t>
            </w:r>
          </w:p>
        </w:tc>
      </w:tr>
    </w:tbl>
    <w:p w:rsidR="00B63FCC" w:rsidRPr="00B63FCC" w:rsidRDefault="00B63FCC" w:rsidP="00B63FCC">
      <w:pPr>
        <w:numPr>
          <w:ilvl w:val="1"/>
          <w:numId w:val="0"/>
        </w:numPr>
        <w:ind w:left="171" w:right="43" w:firstLine="535"/>
        <w:jc w:val="both"/>
        <w:rPr>
          <w:rFonts w:cs="Arial"/>
          <w:lang w:val="ro-RO"/>
        </w:rPr>
      </w:pPr>
    </w:p>
    <w:p w:rsidR="00B63FCC" w:rsidRPr="00B63FCC" w:rsidRDefault="00B63FCC" w:rsidP="00B63FCC">
      <w:pPr>
        <w:rPr>
          <w:noProof/>
          <w:lang w:val="ro-RO" w:eastAsia="ro-RO"/>
        </w:rPr>
      </w:pPr>
      <w:r w:rsidRPr="00B63FCC">
        <w:rPr>
          <w:noProof/>
          <w:lang w:val="ro-RO" w:eastAsia="ro-RO"/>
        </w:rPr>
        <w:tab/>
        <w:t>Grafic, situatia se prezintă în felul următor:</w:t>
      </w:r>
    </w:p>
    <w:p w:rsidR="00B63FCC" w:rsidRPr="00B63FCC" w:rsidRDefault="007041EF" w:rsidP="00B63FCC">
      <w:pPr>
        <w:ind w:firstLine="851"/>
        <w:rPr>
          <w:noProof/>
          <w:lang w:val="ro-RO"/>
        </w:rPr>
      </w:pPr>
      <w:r w:rsidRPr="00B63FCC">
        <w:rPr>
          <w:noProof/>
        </w:rPr>
        <w:drawing>
          <wp:inline distT="0" distB="0" distL="0" distR="0">
            <wp:extent cx="3077845" cy="1804035"/>
            <wp:effectExtent l="0" t="0" r="8255" b="5715"/>
            <wp:docPr id="7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B63FCC" w:rsidRPr="00B63FCC" w:rsidRDefault="00B63FCC" w:rsidP="00B63FCC">
      <w:pPr>
        <w:rPr>
          <w:noProof/>
          <w:lang w:val="ro-RO" w:eastAsia="ro-RO"/>
        </w:rPr>
      </w:pPr>
    </w:p>
    <w:p w:rsidR="00B63FCC" w:rsidRPr="00B63FCC" w:rsidRDefault="00B63FCC" w:rsidP="00B63FCC">
      <w:pPr>
        <w:ind w:firstLine="720"/>
        <w:rPr>
          <w:noProof/>
          <w:lang w:val="ro-RO" w:eastAsia="ro-RO"/>
        </w:rPr>
      </w:pPr>
      <w:r w:rsidRPr="00B63FCC">
        <w:rPr>
          <w:noProof/>
          <w:lang w:val="ro-RO" w:eastAsia="ro-RO"/>
        </w:rPr>
        <w:t xml:space="preserve">O altă sursă de finanţare a bugetului pe anul 2016 a fost finanţarea externă nerambursabilă în sumă de 3.098 mii lei. </w:t>
      </w:r>
    </w:p>
    <w:p w:rsidR="00B63FCC" w:rsidRPr="00B63FCC" w:rsidRDefault="00B63FCC" w:rsidP="00B63FCC">
      <w:pPr>
        <w:ind w:firstLine="720"/>
        <w:rPr>
          <w:noProof/>
          <w:lang w:val="ro-RO" w:eastAsia="ro-RO"/>
        </w:rPr>
      </w:pPr>
      <w:r w:rsidRPr="00B63FCC">
        <w:rPr>
          <w:noProof/>
          <w:lang w:val="ro-RO" w:eastAsia="ro-RO"/>
        </w:rPr>
        <w:t>Din total buget aprobat în anul 2016, sumele repartizate pentru DNA si DIICOT sunt:</w:t>
      </w:r>
    </w:p>
    <w:p w:rsidR="00B63FCC" w:rsidRPr="00B63FCC" w:rsidRDefault="00B63FCC" w:rsidP="00B63FCC">
      <w:pPr>
        <w:numPr>
          <w:ilvl w:val="0"/>
          <w:numId w:val="29"/>
        </w:numPr>
        <w:jc w:val="both"/>
        <w:rPr>
          <w:noProof/>
          <w:lang w:val="ro-RO" w:eastAsia="ro-RO"/>
        </w:rPr>
      </w:pPr>
      <w:r w:rsidRPr="00B63FCC">
        <w:rPr>
          <w:noProof/>
          <w:lang w:val="ro-RO" w:eastAsia="ro-RO"/>
        </w:rPr>
        <w:t>buget final DNA – 121.256 mii lei;</w:t>
      </w:r>
    </w:p>
    <w:p w:rsidR="00B63FCC" w:rsidRPr="00B63FCC" w:rsidRDefault="00B63FCC" w:rsidP="00B63FCC">
      <w:pPr>
        <w:numPr>
          <w:ilvl w:val="0"/>
          <w:numId w:val="29"/>
        </w:numPr>
        <w:jc w:val="both"/>
        <w:rPr>
          <w:noProof/>
          <w:lang w:val="ro-RO" w:eastAsia="ro-RO"/>
        </w:rPr>
      </w:pPr>
      <w:r w:rsidRPr="00B63FCC">
        <w:rPr>
          <w:noProof/>
          <w:lang w:val="ro-RO" w:eastAsia="ro-RO"/>
        </w:rPr>
        <w:t>buget final DIICOT – 112.930 mii lei.</w:t>
      </w:r>
    </w:p>
    <w:p w:rsidR="00B63FCC" w:rsidRPr="00B63FCC" w:rsidRDefault="00B63FCC" w:rsidP="00B63FCC">
      <w:pPr>
        <w:spacing w:afterLines="60" w:after="144" w:line="276" w:lineRule="auto"/>
        <w:ind w:firstLine="720"/>
        <w:jc w:val="both"/>
        <w:rPr>
          <w:noProof/>
          <w:lang w:val="ro-RO" w:eastAsia="ro-RO"/>
        </w:rPr>
      </w:pPr>
      <w:r w:rsidRPr="00B63FCC">
        <w:rPr>
          <w:noProof/>
          <w:lang w:val="ro-RO" w:eastAsia="ro-RO"/>
        </w:rPr>
        <w:t xml:space="preserve">Reprezentarea grafică a fondurilor alocate în perioada de referinţă, pentru principalele titluri de cheltuieli, se regăseşte în tabelele de mai jos: </w:t>
      </w:r>
    </w:p>
    <w:p w:rsidR="00B63FCC" w:rsidRPr="00B63FCC" w:rsidRDefault="007041EF" w:rsidP="00B63FCC">
      <w:pPr>
        <w:spacing w:afterLines="60" w:after="144" w:line="276" w:lineRule="auto"/>
        <w:ind w:firstLine="720"/>
        <w:jc w:val="both"/>
        <w:rPr>
          <w:noProof/>
          <w:lang w:val="ro-RO"/>
        </w:rPr>
      </w:pPr>
      <w:r w:rsidRPr="00B63FCC">
        <w:rPr>
          <w:noProof/>
        </w:rPr>
        <w:drawing>
          <wp:inline distT="0" distB="0" distL="0" distR="0">
            <wp:extent cx="3326765" cy="1598295"/>
            <wp:effectExtent l="0" t="0" r="6985" b="1905"/>
            <wp:docPr id="7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B63FCC" w:rsidRPr="00B63FCC" w:rsidRDefault="00B63FCC" w:rsidP="00B63FCC">
      <w:pPr>
        <w:numPr>
          <w:ilvl w:val="1"/>
          <w:numId w:val="0"/>
        </w:numPr>
        <w:ind w:right="48" w:firstLine="709"/>
        <w:jc w:val="both"/>
        <w:rPr>
          <w:rFonts w:cs="Arial"/>
          <w:lang w:val="ro-RO"/>
        </w:rPr>
      </w:pPr>
      <w:r w:rsidRPr="00B63FCC">
        <w:rPr>
          <w:rFonts w:cs="Arial"/>
          <w:lang w:val="ro-RO"/>
        </w:rPr>
        <w:t xml:space="preserve">Ca si cazul instanţelor, cheltuielile de personal au o pondere semnificativă în bugetul parchetelor. Bugetul alocat parchetelor în anul 2016 la cheltuieli de personal înregistrează o diminuare faţă de anul precedent, deoarece în anul 2015 au fost alocate fonduri doar pentru achitarea tranşei aferentă anului 2016 din hotărârile judecătoreşti. </w:t>
      </w:r>
    </w:p>
    <w:p w:rsidR="00B63FCC" w:rsidRPr="00B63FCC" w:rsidRDefault="007041EF" w:rsidP="00B63FCC">
      <w:pPr>
        <w:ind w:firstLine="720"/>
        <w:jc w:val="both"/>
        <w:rPr>
          <w:lang w:val="ro-RO"/>
        </w:rPr>
      </w:pPr>
      <w:r w:rsidRPr="00B63FCC">
        <w:rPr>
          <w:noProof/>
        </w:rPr>
        <w:lastRenderedPageBreak/>
        <w:drawing>
          <wp:inline distT="0" distB="0" distL="0" distR="0">
            <wp:extent cx="3220720" cy="1872615"/>
            <wp:effectExtent l="0" t="0" r="17780" b="13335"/>
            <wp:docPr id="7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r w:rsidR="00B63FCC" w:rsidRPr="00B63FCC">
        <w:rPr>
          <w:lang w:val="ro-RO"/>
        </w:rPr>
        <w:t xml:space="preserve"> </w:t>
      </w:r>
    </w:p>
    <w:p w:rsidR="00B63FCC" w:rsidRPr="00B63FCC" w:rsidRDefault="00B63FCC" w:rsidP="00B63FCC">
      <w:pPr>
        <w:jc w:val="both"/>
        <w:rPr>
          <w:lang w:val="ro-RO"/>
        </w:rPr>
      </w:pPr>
    </w:p>
    <w:p w:rsidR="00B63FCC" w:rsidRPr="00B63FCC" w:rsidRDefault="00B63FCC" w:rsidP="00B63FCC">
      <w:pPr>
        <w:spacing w:before="60"/>
        <w:ind w:firstLine="720"/>
        <w:jc w:val="both"/>
        <w:rPr>
          <w:rFonts w:cs="Arial"/>
          <w:lang w:val="ro-RO"/>
        </w:rPr>
      </w:pPr>
      <w:r w:rsidRPr="00B63FCC">
        <w:rPr>
          <w:rFonts w:cs="Arial"/>
          <w:lang w:val="ro-RO"/>
        </w:rPr>
        <w:t>Creditele bugetare alocate parchetelor pentru cheltuielile cu bunuri şi servicii înregistrează o creștere conti</w:t>
      </w:r>
      <w:r w:rsidRPr="00B63FCC">
        <w:rPr>
          <w:rFonts w:cs="Arial"/>
          <w:lang w:val="ro-RO"/>
        </w:rPr>
        <w:pgNum/>
      </w:r>
      <w:r w:rsidRPr="00B63FCC">
        <w:rPr>
          <w:rFonts w:cs="Arial"/>
          <w:lang w:val="ro-RO"/>
        </w:rPr>
        <w:t>nuă în perioada de referință.</w:t>
      </w:r>
    </w:p>
    <w:p w:rsidR="00B63FCC" w:rsidRPr="00B63FCC" w:rsidRDefault="007041EF" w:rsidP="00B63FCC">
      <w:pPr>
        <w:spacing w:before="60"/>
        <w:ind w:firstLine="720"/>
        <w:jc w:val="both"/>
        <w:rPr>
          <w:rFonts w:cs="Arial"/>
          <w:lang w:val="ro-RO"/>
        </w:rPr>
      </w:pPr>
      <w:r w:rsidRPr="00B63FCC">
        <w:rPr>
          <w:noProof/>
        </w:rPr>
        <w:drawing>
          <wp:inline distT="0" distB="0" distL="0" distR="0">
            <wp:extent cx="3203575" cy="1767840"/>
            <wp:effectExtent l="0" t="0" r="15875" b="3810"/>
            <wp:docPr id="8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sidR="00B63FCC" w:rsidRPr="00B63FCC">
        <w:rPr>
          <w:rFonts w:cs="Arial"/>
          <w:lang w:val="ro-RO"/>
        </w:rPr>
        <w:t xml:space="preserve"> </w:t>
      </w:r>
    </w:p>
    <w:p w:rsidR="00B63FCC" w:rsidRPr="00B63FCC" w:rsidRDefault="00B63FCC" w:rsidP="00B63FCC">
      <w:pPr>
        <w:spacing w:before="60"/>
        <w:rPr>
          <w:rFonts w:cs="Arial"/>
          <w:lang w:val="ro-RO"/>
        </w:rPr>
      </w:pPr>
    </w:p>
    <w:p w:rsidR="00B63FCC" w:rsidRPr="00B63FCC" w:rsidRDefault="00B63FCC" w:rsidP="00B63FCC">
      <w:pPr>
        <w:numPr>
          <w:ilvl w:val="1"/>
          <w:numId w:val="0"/>
        </w:numPr>
        <w:ind w:right="48" w:firstLine="709"/>
        <w:jc w:val="both"/>
        <w:rPr>
          <w:rFonts w:cs="Arial"/>
          <w:lang w:val="ro-RO"/>
        </w:rPr>
      </w:pPr>
      <w:r w:rsidRPr="00B63FCC">
        <w:rPr>
          <w:rFonts w:cs="Arial"/>
          <w:lang w:val="ro-RO"/>
        </w:rPr>
        <w:t>În ceea ce priveşte situaţia cheltuielilor de investiţii alocate în anul 2016, fondurile alocate inițial, în sumă de 27.000 mii lei, au crescut la 27.269 mii lei, fiind utilizate, după cum urmează:</w:t>
      </w:r>
    </w:p>
    <w:p w:rsidR="00B63FCC" w:rsidRPr="00B63FCC" w:rsidRDefault="00B63FCC" w:rsidP="00B63FCC">
      <w:pPr>
        <w:numPr>
          <w:ilvl w:val="1"/>
          <w:numId w:val="0"/>
        </w:numPr>
        <w:ind w:right="48" w:firstLine="709"/>
        <w:jc w:val="both"/>
        <w:rPr>
          <w:rFonts w:cs="Arial"/>
          <w:lang w:val="ro-RO"/>
        </w:rPr>
      </w:pPr>
      <w:r w:rsidRPr="00B63FCC">
        <w:rPr>
          <w:rFonts w:cs="Arial"/>
          <w:lang w:val="ro-RO"/>
        </w:rPr>
        <w:t>La alineatul 71.01.01 “Construcții”, creditele bugetare au fost de 252 mii lei, fiind utilizate pentru lucrări de investiții în continuare la sediile a doua parchete:  „Sediul Parchetului de pe lângă Judecătoria Moinești” si „Sediul Parchetului de pe lângă Judecătoria Săveni”.</w:t>
      </w:r>
    </w:p>
    <w:p w:rsidR="00B63FCC" w:rsidRPr="00B63FCC" w:rsidRDefault="00B63FCC" w:rsidP="00B63FCC">
      <w:pPr>
        <w:numPr>
          <w:ilvl w:val="1"/>
          <w:numId w:val="0"/>
        </w:numPr>
        <w:ind w:right="48" w:firstLine="709"/>
        <w:jc w:val="both"/>
        <w:rPr>
          <w:rFonts w:cs="Arial"/>
          <w:lang w:val="ro-RO"/>
        </w:rPr>
      </w:pPr>
      <w:r w:rsidRPr="00B63FCC">
        <w:rPr>
          <w:rFonts w:cs="Arial"/>
          <w:lang w:val="ro-RO"/>
        </w:rPr>
        <w:t>La art.71.03 „</w:t>
      </w:r>
      <w:r w:rsidR="003234CF" w:rsidRPr="00B63FCC">
        <w:rPr>
          <w:rFonts w:cs="Arial"/>
          <w:lang w:val="ro-RO"/>
        </w:rPr>
        <w:t>Reparaţii</w:t>
      </w:r>
      <w:r w:rsidRPr="00B63FCC">
        <w:rPr>
          <w:rFonts w:cs="Arial"/>
          <w:lang w:val="ro-RO"/>
        </w:rPr>
        <w:t xml:space="preserve"> capitale”, Ministerul Public a executat  </w:t>
      </w:r>
      <w:r w:rsidR="003234CF" w:rsidRPr="00B63FCC">
        <w:rPr>
          <w:rFonts w:cs="Arial"/>
          <w:lang w:val="ro-RO"/>
        </w:rPr>
        <w:t>lucrări</w:t>
      </w:r>
      <w:r w:rsidRPr="00B63FCC">
        <w:rPr>
          <w:rFonts w:cs="Arial"/>
          <w:lang w:val="ro-RO"/>
        </w:rPr>
        <w:t xml:space="preserve"> de </w:t>
      </w:r>
      <w:r w:rsidR="003234CF" w:rsidRPr="00B63FCC">
        <w:rPr>
          <w:rFonts w:cs="Arial"/>
          <w:lang w:val="ro-RO"/>
        </w:rPr>
        <w:t>reparaţii</w:t>
      </w:r>
      <w:r w:rsidRPr="00B63FCC">
        <w:rPr>
          <w:rFonts w:cs="Arial"/>
          <w:lang w:val="ro-RO"/>
        </w:rPr>
        <w:t xml:space="preserve"> capitale in suma de 2.464 mii lei, pentru:</w:t>
      </w:r>
    </w:p>
    <w:p w:rsidR="00B63FCC" w:rsidRPr="00B63FCC" w:rsidRDefault="003234CF" w:rsidP="00B63FCC">
      <w:pPr>
        <w:numPr>
          <w:ilvl w:val="0"/>
          <w:numId w:val="29"/>
        </w:numPr>
        <w:ind w:right="48"/>
        <w:jc w:val="both"/>
        <w:rPr>
          <w:rFonts w:cs="Arial"/>
          <w:lang w:val="ro-RO"/>
        </w:rPr>
      </w:pPr>
      <w:r w:rsidRPr="00B63FCC">
        <w:rPr>
          <w:rFonts w:cs="Arial"/>
          <w:lang w:val="ro-RO"/>
        </w:rPr>
        <w:t>reparația</w:t>
      </w:r>
      <w:r w:rsidR="00B63FCC" w:rsidRPr="00B63FCC">
        <w:rPr>
          <w:rFonts w:cs="Arial"/>
          <w:lang w:val="ro-RO"/>
        </w:rPr>
        <w:t xml:space="preserve"> clădirii dată în </w:t>
      </w:r>
      <w:r w:rsidRPr="00B63FCC">
        <w:rPr>
          <w:rFonts w:cs="Arial"/>
          <w:lang w:val="ro-RO"/>
        </w:rPr>
        <w:t>folosință</w:t>
      </w:r>
      <w:r w:rsidR="00B63FCC" w:rsidRPr="00B63FCC">
        <w:rPr>
          <w:rFonts w:cs="Arial"/>
          <w:lang w:val="ro-RO"/>
        </w:rPr>
        <w:t xml:space="preserve"> gratuită de Ministerul Apărării Naţionale, Parchetului de pe lângă Curtea de Apel Tg. </w:t>
      </w:r>
      <w:r w:rsidRPr="00B63FCC">
        <w:rPr>
          <w:rFonts w:cs="Arial"/>
          <w:lang w:val="ro-RO"/>
        </w:rPr>
        <w:t>Mureş</w:t>
      </w:r>
      <w:r w:rsidR="00B63FCC" w:rsidRPr="00B63FCC">
        <w:rPr>
          <w:rFonts w:cs="Arial"/>
          <w:lang w:val="ro-RO"/>
        </w:rPr>
        <w:t xml:space="preserve"> şi a Parchetului de pe lângă Tribunalul Mureş;</w:t>
      </w:r>
    </w:p>
    <w:p w:rsidR="00B63FCC" w:rsidRPr="00B63FCC" w:rsidRDefault="00B63FCC" w:rsidP="00B63FCC">
      <w:pPr>
        <w:numPr>
          <w:ilvl w:val="0"/>
          <w:numId w:val="29"/>
        </w:numPr>
        <w:ind w:right="48"/>
        <w:jc w:val="both"/>
        <w:rPr>
          <w:rFonts w:cs="Arial"/>
          <w:lang w:val="ro-RO"/>
        </w:rPr>
      </w:pPr>
      <w:r w:rsidRPr="00B63FCC">
        <w:rPr>
          <w:rFonts w:cs="Arial"/>
          <w:lang w:val="ro-RO"/>
        </w:rPr>
        <w:t xml:space="preserve">sistem de umbrire pe faţă de la sediile </w:t>
      </w:r>
      <w:r w:rsidR="003234CF" w:rsidRPr="00B63FCC">
        <w:rPr>
          <w:rFonts w:cs="Arial"/>
          <w:lang w:val="ro-RO"/>
        </w:rPr>
        <w:t>unităților</w:t>
      </w:r>
      <w:r w:rsidRPr="00B63FCC">
        <w:rPr>
          <w:rFonts w:cs="Arial"/>
          <w:lang w:val="ro-RO"/>
        </w:rPr>
        <w:t xml:space="preserve"> de parchet din Suceava;</w:t>
      </w:r>
    </w:p>
    <w:p w:rsidR="00B63FCC" w:rsidRPr="00B63FCC" w:rsidRDefault="00B63FCC" w:rsidP="00B63FCC">
      <w:pPr>
        <w:numPr>
          <w:ilvl w:val="0"/>
          <w:numId w:val="29"/>
        </w:numPr>
        <w:ind w:right="48"/>
        <w:jc w:val="both"/>
        <w:rPr>
          <w:rFonts w:cs="Arial"/>
          <w:lang w:val="ro-RO"/>
        </w:rPr>
      </w:pPr>
      <w:r w:rsidRPr="00B63FCC">
        <w:rPr>
          <w:rFonts w:cs="Arial"/>
          <w:lang w:val="ro-RO"/>
        </w:rPr>
        <w:t>reparaţii terase la sediul PT Bucureşti;</w:t>
      </w:r>
    </w:p>
    <w:p w:rsidR="00B63FCC" w:rsidRPr="00B63FCC" w:rsidRDefault="00B63FCC" w:rsidP="00B63FCC">
      <w:pPr>
        <w:numPr>
          <w:ilvl w:val="0"/>
          <w:numId w:val="29"/>
        </w:numPr>
        <w:ind w:right="48"/>
        <w:jc w:val="both"/>
        <w:rPr>
          <w:rFonts w:cs="Arial"/>
          <w:lang w:val="ro-RO"/>
        </w:rPr>
      </w:pPr>
      <w:r w:rsidRPr="00B63FCC">
        <w:rPr>
          <w:rFonts w:cs="Arial"/>
          <w:lang w:val="ro-RO"/>
        </w:rPr>
        <w:t xml:space="preserve">acces secundar şi </w:t>
      </w:r>
      <w:r w:rsidR="003234CF" w:rsidRPr="00B63FCC">
        <w:rPr>
          <w:rFonts w:cs="Arial"/>
          <w:lang w:val="ro-RO"/>
        </w:rPr>
        <w:t>rețea</w:t>
      </w:r>
      <w:r w:rsidRPr="00B63FCC">
        <w:rPr>
          <w:rFonts w:cs="Arial"/>
          <w:lang w:val="ro-RO"/>
        </w:rPr>
        <w:t xml:space="preserve"> voce date la PT Bucureşti;</w:t>
      </w:r>
    </w:p>
    <w:p w:rsidR="00B63FCC" w:rsidRPr="00B63FCC" w:rsidRDefault="00B63FCC" w:rsidP="00B63FCC">
      <w:pPr>
        <w:numPr>
          <w:ilvl w:val="0"/>
          <w:numId w:val="29"/>
        </w:numPr>
        <w:ind w:right="48"/>
        <w:jc w:val="both"/>
        <w:rPr>
          <w:rFonts w:cs="Arial"/>
          <w:lang w:val="ro-RO"/>
        </w:rPr>
      </w:pPr>
      <w:r w:rsidRPr="00B63FCC">
        <w:rPr>
          <w:rFonts w:cs="Arial"/>
          <w:lang w:val="ro-RO"/>
        </w:rPr>
        <w:t>înlocuirea pe verticală a liniei de alimentare cu energie electrică la sediul PICCJ;</w:t>
      </w:r>
    </w:p>
    <w:p w:rsidR="00B63FCC" w:rsidRPr="00B63FCC" w:rsidRDefault="00B63FCC" w:rsidP="00B63FCC">
      <w:pPr>
        <w:numPr>
          <w:ilvl w:val="0"/>
          <w:numId w:val="29"/>
        </w:numPr>
        <w:ind w:right="48"/>
        <w:jc w:val="both"/>
        <w:rPr>
          <w:rFonts w:cs="Arial"/>
          <w:lang w:val="ro-RO"/>
        </w:rPr>
      </w:pPr>
      <w:r w:rsidRPr="00B63FCC">
        <w:rPr>
          <w:rFonts w:cs="Arial"/>
          <w:lang w:val="ro-RO"/>
        </w:rPr>
        <w:t xml:space="preserve">completarea </w:t>
      </w:r>
      <w:r w:rsidR="003234CF" w:rsidRPr="00B63FCC">
        <w:rPr>
          <w:rFonts w:cs="Arial"/>
          <w:lang w:val="ro-RO"/>
        </w:rPr>
        <w:t>instalației</w:t>
      </w:r>
      <w:r w:rsidRPr="00B63FCC">
        <w:rPr>
          <w:rFonts w:cs="Arial"/>
          <w:lang w:val="ro-RO"/>
        </w:rPr>
        <w:t xml:space="preserve"> de voce-date la sediul PICCJ.</w:t>
      </w:r>
    </w:p>
    <w:p w:rsidR="00B63FCC" w:rsidRPr="00B63FCC" w:rsidRDefault="00B63FCC" w:rsidP="00B63FCC">
      <w:pPr>
        <w:numPr>
          <w:ilvl w:val="1"/>
          <w:numId w:val="0"/>
        </w:numPr>
        <w:ind w:right="48" w:firstLine="709"/>
        <w:jc w:val="both"/>
        <w:rPr>
          <w:rFonts w:cs="Arial"/>
          <w:lang w:val="ro-RO"/>
        </w:rPr>
      </w:pPr>
      <w:r w:rsidRPr="00B63FCC">
        <w:rPr>
          <w:rFonts w:cs="Arial"/>
          <w:lang w:val="ro-RO"/>
        </w:rPr>
        <w:t xml:space="preserve">Dotările independente alocate au fost în sumă de 23.275 mii lei și au fost utilizate în pentru achiziționarea a 103 autoturisme pentru unitățile de parchet din țară, 140 stații de lucru și 50 de imprimante şi </w:t>
      </w:r>
      <w:r w:rsidR="003234CF" w:rsidRPr="00B63FCC">
        <w:rPr>
          <w:rFonts w:cs="Arial"/>
          <w:lang w:val="ro-RO"/>
        </w:rPr>
        <w:t>licențe</w:t>
      </w:r>
      <w:r w:rsidRPr="00B63FCC">
        <w:rPr>
          <w:rFonts w:cs="Arial"/>
          <w:lang w:val="ro-RO"/>
        </w:rPr>
        <w:t xml:space="preserve">. </w:t>
      </w:r>
    </w:p>
    <w:p w:rsidR="00B63FCC" w:rsidRPr="00B63FCC" w:rsidRDefault="00B63FCC" w:rsidP="00B63FCC">
      <w:pPr>
        <w:numPr>
          <w:ilvl w:val="1"/>
          <w:numId w:val="0"/>
        </w:numPr>
        <w:ind w:right="48" w:firstLine="709"/>
        <w:jc w:val="both"/>
        <w:rPr>
          <w:rFonts w:cs="Arial"/>
          <w:lang w:val="ro-RO"/>
        </w:rPr>
      </w:pPr>
      <w:r w:rsidRPr="00B63FCC">
        <w:rPr>
          <w:rFonts w:cs="Arial"/>
          <w:lang w:val="ro-RO"/>
        </w:rPr>
        <w:t>Parchetele deţin în majoritatea cazurilor sedii în proprietate, doar o mica parte fiind închiriate.  Numărul total de sedii este de 186, pentru un număr de 246 unităţi (fără DNA si DIICOT).</w:t>
      </w:r>
    </w:p>
    <w:p w:rsidR="00B63FCC" w:rsidRPr="00B63FCC" w:rsidRDefault="00B63FCC" w:rsidP="00B63FCC">
      <w:pPr>
        <w:numPr>
          <w:ilvl w:val="1"/>
          <w:numId w:val="0"/>
        </w:numPr>
        <w:ind w:right="48" w:firstLine="709"/>
        <w:jc w:val="both"/>
        <w:rPr>
          <w:rFonts w:cs="Arial"/>
          <w:lang w:val="ro-RO"/>
        </w:rPr>
      </w:pPr>
      <w:r w:rsidRPr="00B63FCC">
        <w:rPr>
          <w:rFonts w:cs="Arial"/>
          <w:lang w:val="ro-RO"/>
        </w:rPr>
        <w:t>Stadiul sediilor parchetelor se prezintă astfel:</w:t>
      </w:r>
    </w:p>
    <w:p w:rsidR="00B63FCC" w:rsidRPr="00B63FCC" w:rsidRDefault="00B63FCC" w:rsidP="00B63FCC">
      <w:pPr>
        <w:numPr>
          <w:ilvl w:val="1"/>
          <w:numId w:val="0"/>
        </w:numPr>
        <w:ind w:right="48" w:firstLine="709"/>
        <w:jc w:val="both"/>
        <w:rPr>
          <w:rFonts w:cs="Arial"/>
          <w:lang w:val="ro-RO"/>
        </w:rPr>
      </w:pPr>
      <w:r w:rsidRPr="00B63FCC">
        <w:rPr>
          <w:rFonts w:cs="Arial"/>
          <w:lang w:val="ro-RO"/>
        </w:rPr>
        <w:t>- sedii stare bună                 - 86;</w:t>
      </w:r>
    </w:p>
    <w:p w:rsidR="00B63FCC" w:rsidRPr="00B63FCC" w:rsidRDefault="00B63FCC" w:rsidP="00B63FCC">
      <w:pPr>
        <w:numPr>
          <w:ilvl w:val="1"/>
          <w:numId w:val="0"/>
        </w:numPr>
        <w:ind w:right="48" w:firstLine="709"/>
        <w:jc w:val="both"/>
        <w:rPr>
          <w:rFonts w:cs="Arial"/>
          <w:lang w:val="ro-RO"/>
        </w:rPr>
      </w:pPr>
      <w:r w:rsidRPr="00B63FCC">
        <w:rPr>
          <w:rFonts w:cs="Arial"/>
          <w:lang w:val="ro-RO"/>
        </w:rPr>
        <w:t xml:space="preserve">- sedii stare foarte bună     - 50; </w:t>
      </w:r>
    </w:p>
    <w:p w:rsidR="00B63FCC" w:rsidRPr="00B63FCC" w:rsidRDefault="00B63FCC" w:rsidP="00B63FCC">
      <w:pPr>
        <w:numPr>
          <w:ilvl w:val="1"/>
          <w:numId w:val="0"/>
        </w:numPr>
        <w:ind w:right="48" w:firstLine="709"/>
        <w:jc w:val="both"/>
        <w:rPr>
          <w:rFonts w:cs="Arial"/>
          <w:lang w:val="ro-RO"/>
        </w:rPr>
      </w:pPr>
      <w:r w:rsidRPr="00B63FCC">
        <w:rPr>
          <w:rFonts w:cs="Arial"/>
          <w:lang w:val="ro-RO"/>
        </w:rPr>
        <w:t>- sedii investiţii                     - 26:</w:t>
      </w:r>
    </w:p>
    <w:p w:rsidR="00B63FCC" w:rsidRDefault="00B63FCC" w:rsidP="00B63FCC">
      <w:pPr>
        <w:numPr>
          <w:ilvl w:val="1"/>
          <w:numId w:val="0"/>
        </w:numPr>
        <w:ind w:right="48" w:firstLine="709"/>
        <w:jc w:val="both"/>
        <w:rPr>
          <w:rFonts w:cs="Arial"/>
          <w:lang w:val="ro-RO"/>
        </w:rPr>
      </w:pPr>
      <w:r w:rsidRPr="00B63FCC">
        <w:rPr>
          <w:rFonts w:cs="Arial"/>
          <w:lang w:val="ro-RO"/>
        </w:rPr>
        <w:t>- sedii satisfăcătoare           - 24.</w:t>
      </w:r>
    </w:p>
    <w:p w:rsidR="00EB7297" w:rsidRDefault="00EB7297" w:rsidP="00B63FCC">
      <w:pPr>
        <w:numPr>
          <w:ilvl w:val="1"/>
          <w:numId w:val="0"/>
        </w:numPr>
        <w:ind w:right="48" w:firstLine="709"/>
        <w:jc w:val="both"/>
        <w:rPr>
          <w:rFonts w:cs="Arial"/>
          <w:lang w:val="ro-RO"/>
        </w:rPr>
      </w:pPr>
    </w:p>
    <w:p w:rsidR="00EB7297" w:rsidRPr="00B63FCC" w:rsidRDefault="00EB7297" w:rsidP="00B63FCC">
      <w:pPr>
        <w:numPr>
          <w:ilvl w:val="1"/>
          <w:numId w:val="0"/>
        </w:numPr>
        <w:ind w:right="48" w:firstLine="709"/>
        <w:jc w:val="both"/>
        <w:rPr>
          <w:rFonts w:cs="Arial"/>
          <w:lang w:val="ro-RO"/>
        </w:rPr>
      </w:pPr>
    </w:p>
    <w:p w:rsidR="00B63FCC" w:rsidRPr="002152E4" w:rsidRDefault="00B63FCC" w:rsidP="00B63FCC">
      <w:pPr>
        <w:jc w:val="both"/>
        <w:outlineLvl w:val="0"/>
        <w:rPr>
          <w:b/>
          <w:sz w:val="28"/>
          <w:szCs w:val="28"/>
          <w:lang w:val="ro-RO" w:eastAsia="ro-RO"/>
        </w:rPr>
      </w:pPr>
    </w:p>
    <w:p w:rsidR="00FE05E5" w:rsidRPr="002152E4" w:rsidRDefault="00CD6117" w:rsidP="00FE05E5">
      <w:pPr>
        <w:jc w:val="center"/>
        <w:outlineLvl w:val="0"/>
        <w:rPr>
          <w:b/>
          <w:sz w:val="28"/>
          <w:szCs w:val="28"/>
          <w:lang w:val="ro-RO" w:eastAsia="ro-RO"/>
        </w:rPr>
      </w:pPr>
      <w:bookmarkStart w:id="190" w:name="_Toc486576565"/>
      <w:r w:rsidRPr="002152E4">
        <w:rPr>
          <w:b/>
          <w:sz w:val="28"/>
          <w:szCs w:val="28"/>
          <w:lang w:val="ro-RO" w:eastAsia="ro-RO"/>
        </w:rPr>
        <w:lastRenderedPageBreak/>
        <w:t>VIII. Date statistice privind cooperarea internaţională</w:t>
      </w:r>
      <w:bookmarkEnd w:id="190"/>
    </w:p>
    <w:p w:rsidR="00FE05E5" w:rsidRPr="002152E4" w:rsidRDefault="00FE05E5" w:rsidP="00FE05E5">
      <w:pPr>
        <w:jc w:val="center"/>
        <w:outlineLvl w:val="0"/>
        <w:rPr>
          <w:b/>
          <w:sz w:val="28"/>
          <w:szCs w:val="28"/>
          <w:lang w:val="ro-RO" w:eastAsia="ro-RO"/>
        </w:rPr>
      </w:pPr>
    </w:p>
    <w:p w:rsidR="00FE05E5" w:rsidRPr="002152E4" w:rsidRDefault="00AB5B13" w:rsidP="00FE05E5">
      <w:pPr>
        <w:spacing w:after="120" w:line="276" w:lineRule="auto"/>
        <w:jc w:val="both"/>
        <w:rPr>
          <w:rFonts w:eastAsia="MS Mincho"/>
          <w:b/>
          <w:lang w:val="ro-RO"/>
        </w:rPr>
      </w:pPr>
      <w:r w:rsidRPr="002152E4">
        <w:rPr>
          <w:rFonts w:eastAsia="MS Mincho"/>
          <w:b/>
          <w:lang w:val="ro-RO"/>
        </w:rPr>
        <w:tab/>
      </w:r>
      <w:r w:rsidR="00FE05E5" w:rsidRPr="002152E4">
        <w:rPr>
          <w:rFonts w:eastAsia="MS Mincho"/>
          <w:b/>
          <w:lang w:val="ro-RO"/>
        </w:rPr>
        <w:t>Extrădarea</w:t>
      </w:r>
    </w:p>
    <w:p w:rsidR="00FE05E5" w:rsidRPr="002152E4" w:rsidRDefault="00FE05E5" w:rsidP="00FE05E5">
      <w:pPr>
        <w:numPr>
          <w:ilvl w:val="0"/>
          <w:numId w:val="25"/>
        </w:numPr>
        <w:spacing w:after="120" w:line="276" w:lineRule="auto"/>
        <w:jc w:val="both"/>
        <w:rPr>
          <w:rFonts w:eastAsia="MS Mincho"/>
          <w:b/>
          <w:lang w:val="ro-RO"/>
        </w:rPr>
      </w:pPr>
      <w:r w:rsidRPr="002152E4">
        <w:rPr>
          <w:rFonts w:eastAsia="MS Mincho"/>
          <w:b/>
          <w:lang w:val="ro-RO"/>
        </w:rPr>
        <w:t>Extrădarea activă</w:t>
      </w:r>
    </w:p>
    <w:p w:rsidR="00FE05E5" w:rsidRPr="002152E4" w:rsidRDefault="00FE05E5" w:rsidP="00FE05E5">
      <w:pPr>
        <w:jc w:val="both"/>
        <w:rPr>
          <w:rFonts w:eastAsia="MS Mincho"/>
          <w:lang w:val="ro-RO"/>
        </w:rPr>
      </w:pPr>
      <w:r w:rsidRPr="002152E4">
        <w:rPr>
          <w:rFonts w:eastAsia="MS Mincho"/>
          <w:lang w:val="ro-RO"/>
        </w:rPr>
        <w:tab/>
        <w:t>În anul 2016,</w:t>
      </w:r>
      <w:r w:rsidRPr="002152E4">
        <w:rPr>
          <w:color w:val="000000"/>
          <w:sz w:val="23"/>
          <w:szCs w:val="23"/>
          <w:shd w:val="clear" w:color="auto" w:fill="FFFFFF"/>
          <w:lang w:val="ro-RO"/>
        </w:rPr>
        <w:t xml:space="preserve"> Serviciul cooperare judiciară internaţională în materie penală</w:t>
      </w:r>
      <w:r w:rsidRPr="002152E4">
        <w:rPr>
          <w:rStyle w:val="apple-converted-space"/>
          <w:color w:val="000000"/>
          <w:sz w:val="23"/>
          <w:szCs w:val="23"/>
          <w:shd w:val="clear" w:color="auto" w:fill="FFFFFF"/>
          <w:lang w:val="ro-RO"/>
        </w:rPr>
        <w:t> </w:t>
      </w:r>
      <w:r w:rsidR="005952DB" w:rsidRPr="002152E4">
        <w:rPr>
          <w:rStyle w:val="apple-converted-space"/>
          <w:color w:val="000000"/>
          <w:sz w:val="23"/>
          <w:szCs w:val="23"/>
          <w:shd w:val="clear" w:color="auto" w:fill="FFFFFF"/>
          <w:lang w:val="ro-RO"/>
        </w:rPr>
        <w:t xml:space="preserve">din cadrul </w:t>
      </w:r>
      <w:r w:rsidRPr="002152E4">
        <w:rPr>
          <w:rStyle w:val="apple-converted-space"/>
          <w:color w:val="000000"/>
          <w:sz w:val="23"/>
          <w:szCs w:val="23"/>
          <w:shd w:val="clear" w:color="auto" w:fill="FFFFFF"/>
          <w:lang w:val="ro-RO"/>
        </w:rPr>
        <w:t>Ministerului Justiţiei</w:t>
      </w:r>
      <w:r w:rsidRPr="002152E4">
        <w:rPr>
          <w:rFonts w:eastAsia="MS Mincho"/>
          <w:lang w:val="ro-RO"/>
        </w:rPr>
        <w:t xml:space="preserve"> a solicitat, la propunerea instanţelor judecătoreşti, extrădarea unui număr de 87 de persoane localizate pe teritoriile mai multor state: </w:t>
      </w:r>
      <w:r w:rsidR="005952DB">
        <w:rPr>
          <w:rFonts w:eastAsia="MS Mincho"/>
          <w:lang w:val="ro-RO"/>
        </w:rPr>
        <w:t>c</w:t>
      </w:r>
      <w:r w:rsidRPr="002152E4">
        <w:rPr>
          <w:rFonts w:eastAsia="MS Mincho"/>
          <w:lang w:val="ro-RO"/>
        </w:rPr>
        <w:t xml:space="preserve">ele mai multe cereri de extrădare au fost transmise către Ucraina (17).  </w:t>
      </w:r>
    </w:p>
    <w:p w:rsidR="00FE05E5" w:rsidRPr="002152E4" w:rsidRDefault="00FE05E5" w:rsidP="00FE05E5">
      <w:pPr>
        <w:jc w:val="both"/>
        <w:rPr>
          <w:rFonts w:eastAsia="MS Mincho"/>
          <w:lang w:val="ro-RO"/>
        </w:rPr>
      </w:pPr>
      <w:r w:rsidRPr="002152E4">
        <w:rPr>
          <w:rFonts w:eastAsia="MS Mincho"/>
          <w:lang w:val="ro-RO"/>
        </w:rPr>
        <w:tab/>
        <w:t xml:space="preserve">Din numărul total al persoanelor sus menţionate, un procent de 98% sunt căutate pentru executarea unor pedepse cu închisoare, aplicate prin hotărâri de condamnare definitive, iar restul pentru punerea în executare a unor mandate de arestare preventivă emise în faza urmăririi penale sau judecății, după caz. </w:t>
      </w:r>
    </w:p>
    <w:p w:rsidR="00FE05E5" w:rsidRPr="002152E4" w:rsidRDefault="00FE05E5" w:rsidP="00FE05E5">
      <w:pPr>
        <w:jc w:val="both"/>
        <w:rPr>
          <w:rFonts w:eastAsia="MS Mincho"/>
          <w:lang w:val="ro-RO"/>
        </w:rPr>
      </w:pPr>
      <w:r w:rsidRPr="002152E4">
        <w:rPr>
          <w:rFonts w:eastAsia="MS Mincho"/>
          <w:lang w:val="ro-RO"/>
        </w:rPr>
        <w:tab/>
        <w:t xml:space="preserve">Din perspectiva tipologiei </w:t>
      </w:r>
      <w:r w:rsidR="003234CF" w:rsidRPr="002152E4">
        <w:rPr>
          <w:rFonts w:eastAsia="MS Mincho"/>
          <w:lang w:val="ro-RO"/>
        </w:rPr>
        <w:t>infracționale</w:t>
      </w:r>
      <w:r w:rsidRPr="002152E4">
        <w:rPr>
          <w:rFonts w:eastAsia="MS Mincho"/>
          <w:lang w:val="ro-RO"/>
        </w:rPr>
        <w:t xml:space="preserve">, extrădarea a fost solicitată pentru infracţiuni grave, precum traficul de droguri, traficul de persoane, traficul de minori, terorism, criminalitatea informatică, infracțiuni de corupţie, infracţiuni de fals, infracţiuni contra </w:t>
      </w:r>
      <w:r w:rsidR="003234CF" w:rsidRPr="002152E4">
        <w:rPr>
          <w:rFonts w:eastAsia="MS Mincho"/>
          <w:lang w:val="ro-RO"/>
        </w:rPr>
        <w:t>vieții</w:t>
      </w:r>
      <w:r w:rsidRPr="002152E4">
        <w:rPr>
          <w:rFonts w:eastAsia="MS Mincho"/>
          <w:lang w:val="ro-RO"/>
        </w:rPr>
        <w:t xml:space="preserve"> persoanei, infracţiuni contra </w:t>
      </w:r>
      <w:r w:rsidR="003234CF" w:rsidRPr="002152E4">
        <w:rPr>
          <w:rFonts w:eastAsia="MS Mincho"/>
          <w:lang w:val="ro-RO"/>
        </w:rPr>
        <w:t>libertății</w:t>
      </w:r>
      <w:r w:rsidRPr="002152E4">
        <w:rPr>
          <w:rFonts w:eastAsia="MS Mincho"/>
          <w:lang w:val="ro-RO"/>
        </w:rPr>
        <w:t xml:space="preserve"> persoanei (lipsire de libertate în mod ilegal şi violare de domiciliu), dar şi pentru infracţiuni economice, inclusiv fiscale). </w:t>
      </w:r>
    </w:p>
    <w:p w:rsidR="00FE05E5" w:rsidRPr="002152E4" w:rsidRDefault="00FE05E5" w:rsidP="00FE05E5">
      <w:pPr>
        <w:jc w:val="both"/>
        <w:rPr>
          <w:rFonts w:eastAsia="MS Mincho"/>
          <w:lang w:val="ro-RO"/>
        </w:rPr>
      </w:pPr>
    </w:p>
    <w:p w:rsidR="00AB5B13" w:rsidRPr="002152E4" w:rsidRDefault="00FE05E5" w:rsidP="00AB5B13">
      <w:pPr>
        <w:numPr>
          <w:ilvl w:val="0"/>
          <w:numId w:val="24"/>
        </w:numPr>
        <w:tabs>
          <w:tab w:val="left" w:pos="720"/>
        </w:tabs>
        <w:autoSpaceDE w:val="0"/>
        <w:autoSpaceDN w:val="0"/>
        <w:adjustRightInd w:val="0"/>
        <w:spacing w:after="120"/>
        <w:jc w:val="both"/>
        <w:rPr>
          <w:rFonts w:eastAsia="MS Mincho"/>
          <w:b/>
          <w:bCs/>
          <w:lang w:val="ro-RO"/>
        </w:rPr>
      </w:pPr>
      <w:r w:rsidRPr="002152E4">
        <w:rPr>
          <w:rFonts w:eastAsia="MS Mincho"/>
          <w:b/>
          <w:bCs/>
          <w:lang w:val="ro-RO"/>
        </w:rPr>
        <w:t>Extrădare pasivă</w:t>
      </w:r>
    </w:p>
    <w:p w:rsidR="005952DB" w:rsidRDefault="00AB5B13" w:rsidP="005952DB">
      <w:pPr>
        <w:tabs>
          <w:tab w:val="left" w:pos="283"/>
          <w:tab w:val="left" w:pos="720"/>
        </w:tabs>
        <w:autoSpaceDE w:val="0"/>
        <w:autoSpaceDN w:val="0"/>
        <w:adjustRightInd w:val="0"/>
        <w:spacing w:after="120"/>
        <w:ind w:left="283"/>
        <w:jc w:val="both"/>
        <w:rPr>
          <w:rFonts w:eastAsia="MS Mincho"/>
          <w:lang w:val="ro-RO"/>
        </w:rPr>
      </w:pPr>
      <w:r w:rsidRPr="002152E4">
        <w:rPr>
          <w:rFonts w:eastAsia="MS Mincho"/>
          <w:lang w:val="ro-RO"/>
        </w:rPr>
        <w:tab/>
      </w:r>
      <w:r w:rsidR="00FE05E5" w:rsidRPr="002152E4">
        <w:rPr>
          <w:rFonts w:eastAsia="MS Mincho"/>
          <w:lang w:val="ro-RO"/>
        </w:rPr>
        <w:t xml:space="preserve">Au fost recepționate şi s-a făcut examenul de regularitate pentru </w:t>
      </w:r>
      <w:r w:rsidR="00FE05E5" w:rsidRPr="002152E4">
        <w:rPr>
          <w:rFonts w:eastAsia="MS Mincho"/>
          <w:b/>
          <w:lang w:val="ro-RO"/>
        </w:rPr>
        <w:t>34</w:t>
      </w:r>
      <w:r w:rsidR="00FE05E5" w:rsidRPr="002152E4">
        <w:rPr>
          <w:rFonts w:eastAsia="MS Mincho"/>
          <w:b/>
          <w:bCs/>
          <w:lang w:val="ro-RO"/>
        </w:rPr>
        <w:t xml:space="preserve"> cereri de extrădare</w:t>
      </w:r>
      <w:r w:rsidR="005952DB">
        <w:rPr>
          <w:rFonts w:eastAsia="MS Mincho"/>
          <w:lang w:val="ro-RO"/>
        </w:rPr>
        <w:t xml:space="preserve"> formulate de alte state.</w:t>
      </w:r>
      <w:r w:rsidR="005952DB">
        <w:rPr>
          <w:rFonts w:eastAsia="MS Mincho"/>
          <w:b/>
          <w:bCs/>
          <w:lang w:val="ro-RO"/>
        </w:rPr>
        <w:t xml:space="preserve"> </w:t>
      </w:r>
      <w:r w:rsidR="00FE05E5" w:rsidRPr="002152E4">
        <w:rPr>
          <w:rFonts w:eastAsia="MS Mincho"/>
          <w:lang w:val="ro-RO"/>
        </w:rPr>
        <w:t>S-a efectuat examenul de regularitate pentru 11 notițe roșii/cereri de arestare provizorie in vederea extrădării</w:t>
      </w:r>
      <w:r w:rsidR="005952DB">
        <w:rPr>
          <w:rFonts w:eastAsia="MS Mincho"/>
          <w:lang w:val="ro-RO"/>
        </w:rPr>
        <w:t>.</w:t>
      </w:r>
    </w:p>
    <w:p w:rsidR="00FE05E5" w:rsidRPr="005952DB" w:rsidRDefault="005952DB" w:rsidP="005952DB">
      <w:pPr>
        <w:tabs>
          <w:tab w:val="left" w:pos="283"/>
          <w:tab w:val="left" w:pos="720"/>
        </w:tabs>
        <w:autoSpaceDE w:val="0"/>
        <w:autoSpaceDN w:val="0"/>
        <w:adjustRightInd w:val="0"/>
        <w:spacing w:after="120"/>
        <w:ind w:left="283"/>
        <w:jc w:val="both"/>
        <w:rPr>
          <w:rFonts w:eastAsia="MS Mincho"/>
          <w:b/>
          <w:bCs/>
          <w:lang w:val="ro-RO"/>
        </w:rPr>
      </w:pPr>
      <w:r>
        <w:rPr>
          <w:rFonts w:eastAsia="MS Mincho"/>
          <w:b/>
          <w:bCs/>
          <w:lang w:val="ro-RO"/>
        </w:rPr>
        <w:tab/>
      </w:r>
      <w:r w:rsidR="00FE05E5" w:rsidRPr="002152E4">
        <w:rPr>
          <w:rFonts w:eastAsia="MS Mincho"/>
          <w:lang w:val="ro-RO"/>
        </w:rPr>
        <w:t>Din perspectiva tipologiei infracționale, extrădarea şi arestarea provizorie în vederea extrădării au fost solicitate pentru infracţiuni de criminalitate informatică, înşelăciune, fraudă bancară, înșelăciune, infracțiuni de natură sexuală, participare la o grupare teroristă.</w:t>
      </w:r>
    </w:p>
    <w:p w:rsidR="00FE05E5" w:rsidRPr="002152E4" w:rsidRDefault="00FE05E5" w:rsidP="00FE05E5">
      <w:pPr>
        <w:spacing w:after="120"/>
        <w:jc w:val="both"/>
        <w:rPr>
          <w:rFonts w:eastAsia="MS Mincho"/>
          <w:lang w:val="ro-RO"/>
        </w:rPr>
      </w:pPr>
      <w:r w:rsidRPr="002152E4">
        <w:rPr>
          <w:rFonts w:eastAsia="MS Mincho"/>
          <w:b/>
          <w:lang w:val="ro-RO"/>
        </w:rPr>
        <w:tab/>
        <w:t>Mandate europene de arestare</w:t>
      </w:r>
    </w:p>
    <w:p w:rsidR="00FE05E5" w:rsidRPr="002152E4" w:rsidRDefault="00FE05E5" w:rsidP="00FE05E5">
      <w:pPr>
        <w:jc w:val="both"/>
        <w:rPr>
          <w:rFonts w:eastAsia="MS Mincho"/>
          <w:lang w:val="ro-RO"/>
        </w:rPr>
      </w:pPr>
      <w:r w:rsidRPr="002152E4">
        <w:rPr>
          <w:rFonts w:eastAsia="MS Mincho"/>
          <w:lang w:val="ro-RO"/>
        </w:rPr>
        <w:tab/>
        <w:t xml:space="preserve">În anul 2016, instanţele judecătoreşti au emise un număr de 1.053 de mandate europene de arestare. În perioada de referință, 654 au fost transmise spre executare direct de instanța emitentă autorității de executare iar prin Ministerul Justiţiei - 7. </w:t>
      </w:r>
    </w:p>
    <w:p w:rsidR="00FE05E5" w:rsidRPr="002152E4" w:rsidRDefault="00FE05E5" w:rsidP="00FE05E5">
      <w:pPr>
        <w:jc w:val="both"/>
        <w:rPr>
          <w:rFonts w:eastAsia="MS Mincho"/>
          <w:lang w:val="ro-RO"/>
        </w:rPr>
      </w:pPr>
      <w:r w:rsidRPr="002152E4">
        <w:rPr>
          <w:rFonts w:eastAsia="MS Mincho"/>
          <w:lang w:val="ro-RO"/>
        </w:rPr>
        <w:tab/>
        <w:t>Din cele 1.053 mandate europene de arestare emise în anul 2016 și cele emise în perioada 2007 - 1016, în perioada de referință 525 au fost executate cu predare imediată (aducere în ţară şi încarcerare).</w:t>
      </w:r>
    </w:p>
    <w:p w:rsidR="00FE05E5" w:rsidRPr="002152E4" w:rsidRDefault="00FE05E5" w:rsidP="00FE05E5">
      <w:pPr>
        <w:jc w:val="both"/>
        <w:rPr>
          <w:rFonts w:eastAsia="MS Mincho"/>
          <w:lang w:val="ro-RO"/>
        </w:rPr>
      </w:pPr>
      <w:r w:rsidRPr="002152E4">
        <w:rPr>
          <w:rFonts w:eastAsia="MS Mincho"/>
          <w:lang w:val="ro-RO"/>
        </w:rPr>
        <w:tab/>
        <w:t xml:space="preserve">Într-un număr de 163 de cazuri s-a refuzat predarea, principalele motive fiind: condițiile de detenție neconforme standardelor internaționale care pot fi asigurate de autoritățile române (motiv invocat în principal de Germania, Regatul Suediei, Regatul Danemarcei, Italia), rezidența persoanei solicitate pe teritoriul statului solicitat, preluarea executării pedepsei de către statul solicitat, lipsa dublei incriminări, garanții considerate ca fiind insuficiente cu privire la rejudecarea persoanei solicitate. </w:t>
      </w:r>
    </w:p>
    <w:p w:rsidR="00FE05E5" w:rsidRDefault="00FE05E5" w:rsidP="00FE05E5">
      <w:pPr>
        <w:jc w:val="both"/>
        <w:rPr>
          <w:rFonts w:eastAsia="MS Mincho"/>
          <w:lang w:val="ro-RO"/>
        </w:rPr>
      </w:pPr>
      <w:r w:rsidRPr="002152E4">
        <w:rPr>
          <w:rFonts w:eastAsia="MS Mincho"/>
          <w:lang w:val="ro-RO"/>
        </w:rPr>
        <w:tab/>
        <w:t>Din perspectiva tipologiei infracționale, situaţia mandatelor europene de arestare emise de instanţele române se prezintă astfel:</w:t>
      </w:r>
    </w:p>
    <w:p w:rsidR="004777EA" w:rsidRDefault="004777EA" w:rsidP="00FE05E5">
      <w:pPr>
        <w:jc w:val="both"/>
        <w:rPr>
          <w:rFonts w:eastAsia="MS Mincho"/>
          <w:lang w:val="ro-RO"/>
        </w:rPr>
      </w:pPr>
    </w:p>
    <w:p w:rsidR="004777EA" w:rsidRDefault="004777EA" w:rsidP="00FE05E5">
      <w:pPr>
        <w:jc w:val="both"/>
        <w:rPr>
          <w:rFonts w:eastAsia="MS Mincho"/>
          <w:lang w:val="ro-RO"/>
        </w:rPr>
      </w:pPr>
    </w:p>
    <w:p w:rsidR="004777EA" w:rsidRDefault="004777EA" w:rsidP="00FE05E5">
      <w:pPr>
        <w:jc w:val="both"/>
        <w:rPr>
          <w:rFonts w:eastAsia="MS Mincho"/>
          <w:lang w:val="ro-RO"/>
        </w:rPr>
      </w:pPr>
    </w:p>
    <w:p w:rsidR="004777EA" w:rsidRDefault="004777EA" w:rsidP="00FE05E5">
      <w:pPr>
        <w:jc w:val="both"/>
        <w:rPr>
          <w:rFonts w:eastAsia="MS Mincho"/>
          <w:lang w:val="ro-RO"/>
        </w:rPr>
      </w:pPr>
    </w:p>
    <w:p w:rsidR="004777EA" w:rsidRDefault="004777EA" w:rsidP="00FE05E5">
      <w:pPr>
        <w:jc w:val="both"/>
        <w:rPr>
          <w:rFonts w:eastAsia="MS Mincho"/>
          <w:lang w:val="ro-RO"/>
        </w:rPr>
      </w:pPr>
    </w:p>
    <w:p w:rsidR="004777EA" w:rsidRDefault="004777EA" w:rsidP="00FE05E5">
      <w:pPr>
        <w:jc w:val="both"/>
        <w:rPr>
          <w:rFonts w:eastAsia="MS Mincho"/>
          <w:lang w:val="ro-RO"/>
        </w:rPr>
      </w:pPr>
    </w:p>
    <w:p w:rsidR="004777EA" w:rsidRDefault="004777EA" w:rsidP="00FE05E5">
      <w:pPr>
        <w:jc w:val="both"/>
        <w:rPr>
          <w:rFonts w:eastAsia="MS Mincho"/>
          <w:lang w:val="ro-RO"/>
        </w:rPr>
      </w:pPr>
    </w:p>
    <w:p w:rsidR="004777EA" w:rsidRDefault="004777EA" w:rsidP="00FE05E5">
      <w:pPr>
        <w:jc w:val="both"/>
        <w:rPr>
          <w:rFonts w:eastAsia="MS Mincho"/>
          <w:lang w:val="ro-RO"/>
        </w:rPr>
      </w:pPr>
    </w:p>
    <w:p w:rsidR="004777EA" w:rsidRPr="002152E4" w:rsidRDefault="004777EA" w:rsidP="00FE05E5">
      <w:pPr>
        <w:jc w:val="both"/>
        <w:rPr>
          <w:rFonts w:eastAsia="MS Mincho"/>
          <w:lang w:val="ro-RO"/>
        </w:rPr>
      </w:pPr>
    </w:p>
    <w:p w:rsidR="00FE05E5" w:rsidRPr="002152E4" w:rsidRDefault="00FE05E5" w:rsidP="00FE05E5">
      <w:pPr>
        <w:spacing w:after="120" w:line="276" w:lineRule="auto"/>
        <w:jc w:val="both"/>
        <w:rPr>
          <w:rFonts w:ascii="Times New Roman" w:eastAsia="MS Mincho" w:hAnsi="Times New Roman"/>
          <w:noProof/>
          <w:lang w:val="ro-RO" w:eastAsia="ro-RO"/>
        </w:rPr>
      </w:pPr>
      <w:r w:rsidRPr="002152E4">
        <w:rPr>
          <w:rFonts w:ascii="Times New Roman" w:eastAsia="MS Mincho" w:hAnsi="Times New Roman"/>
          <w:b/>
          <w:lang w:val="ro-RO"/>
        </w:rPr>
        <w:lastRenderedPageBreak/>
        <w:t>Figura 3  - Statistica mandatelor europene de arestare în funcţie de natura infracţiunilor</w:t>
      </w:r>
    </w:p>
    <w:p w:rsidR="00FE05E5" w:rsidRPr="002152E4" w:rsidRDefault="00FE05E5" w:rsidP="00FE05E5">
      <w:pPr>
        <w:spacing w:after="120" w:line="276" w:lineRule="auto"/>
        <w:jc w:val="both"/>
        <w:rPr>
          <w:rFonts w:ascii="Times New Roman" w:eastAsia="MS Mincho" w:hAnsi="Times New Roman"/>
          <w:noProof/>
          <w:lang w:val="ro-RO" w:eastAsia="ro-RO"/>
        </w:rPr>
      </w:pPr>
    </w:p>
    <w:p w:rsidR="00FE05E5" w:rsidRPr="002152E4" w:rsidRDefault="00C742FD" w:rsidP="00FE05E5">
      <w:pPr>
        <w:spacing w:after="120" w:line="276" w:lineRule="auto"/>
        <w:jc w:val="both"/>
        <w:rPr>
          <w:rFonts w:ascii="Times New Roman" w:eastAsia="MS Mincho" w:hAnsi="Times New Roman"/>
          <w:noProof/>
          <w:lang w:val="ro-RO" w:eastAsia="ro-RO"/>
        </w:rPr>
      </w:pPr>
      <w:r>
        <w:rPr>
          <w:rFonts w:ascii="Times New Roman" w:eastAsia="MS Mincho" w:hAnsi="Times New Roman"/>
          <w:noProof/>
          <w:lang w:val="ro-RO"/>
        </w:rPr>
        <w:pict>
          <v:shape id="Diagramă 5" o:spid="_x0000_i1058" type="#_x0000_t75" style="width:457.05pt;height:400.05pt;visibility:visible">
            <v:imagedata r:id="rId122" o:title="" cropbottom="-5795f" cropleft="-3584f" cropright="-3592f"/>
          </v:shape>
        </w:pict>
      </w:r>
    </w:p>
    <w:p w:rsidR="00FE05E5" w:rsidRPr="002152E4" w:rsidRDefault="00FE05E5" w:rsidP="00AB5B13">
      <w:pPr>
        <w:jc w:val="both"/>
        <w:rPr>
          <w:rFonts w:eastAsia="MS Mincho"/>
          <w:lang w:val="ro-RO"/>
        </w:rPr>
      </w:pPr>
      <w:r w:rsidRPr="002152E4">
        <w:rPr>
          <w:rFonts w:eastAsia="MS Mincho"/>
          <w:lang w:val="ro-RO"/>
        </w:rPr>
        <w:tab/>
        <w:t xml:space="preserve">În anul 2016, la nivelul curţilor de apel au fost sesizate cu 760 de cereri de predare a unor persoane în baza mandatelor europene de arestare emise de celelalte state membre ale Uniunii Europene. Din cele 760 de dosare, un număr de 713 au vizat persoane având </w:t>
      </w:r>
      <w:r w:rsidR="003234CF" w:rsidRPr="002152E4">
        <w:rPr>
          <w:rFonts w:eastAsia="MS Mincho"/>
          <w:lang w:val="ro-RO"/>
        </w:rPr>
        <w:t>cetățenia</w:t>
      </w:r>
      <w:r w:rsidRPr="002152E4">
        <w:rPr>
          <w:rFonts w:eastAsia="MS Mincho"/>
          <w:lang w:val="ro-RO"/>
        </w:rPr>
        <w:t xml:space="preserve"> română, 47 având altă cetățenie. Un număr de 713 persoane au fost predate în 2016, dintre care 619 au fost de acord cu predarea, iar 47 nu au </w:t>
      </w:r>
      <w:r w:rsidR="003234CF" w:rsidRPr="002152E4">
        <w:rPr>
          <w:rFonts w:eastAsia="MS Mincho"/>
          <w:lang w:val="ro-RO"/>
        </w:rPr>
        <w:t>consimțit</w:t>
      </w:r>
      <w:r w:rsidRPr="002152E4">
        <w:rPr>
          <w:rFonts w:eastAsia="MS Mincho"/>
          <w:lang w:val="ro-RO"/>
        </w:rPr>
        <w:t xml:space="preserve">. În 47 de dosare </w:t>
      </w:r>
      <w:r w:rsidR="003234CF" w:rsidRPr="002152E4">
        <w:rPr>
          <w:rFonts w:eastAsia="MS Mincho"/>
          <w:lang w:val="ro-RO"/>
        </w:rPr>
        <w:t>soluția</w:t>
      </w:r>
      <w:r w:rsidRPr="002152E4">
        <w:rPr>
          <w:rFonts w:eastAsia="MS Mincho"/>
          <w:lang w:val="ro-RO"/>
        </w:rPr>
        <w:t xml:space="preserve"> a fost de ne-executare a mandatelor europene de arestare, motivele principale fiind: retragerea mandatului de către autoritatea emitentă, recunoașterea pe cale incidentală a hotărârii de condamnare și preluarea executării pedepsei (în cazul cetățenilor români care și-au exprimat acordul în acest sens), netransmiterea de către instanța străină emitentă a mandatului/a traducerii/a informațiilor suplimentare solicitate de autoritatea română de executare, intervenirea prescripției răspunderii penale, persoana indicată nu e cea căutată, lipsă dublă incriminare. </w:t>
      </w:r>
    </w:p>
    <w:p w:rsidR="00FE05E5" w:rsidRPr="002152E4" w:rsidRDefault="00AB5B13" w:rsidP="00AB5B13">
      <w:pPr>
        <w:jc w:val="both"/>
        <w:rPr>
          <w:rFonts w:eastAsia="MS Mincho"/>
          <w:lang w:val="ro-RO"/>
        </w:rPr>
      </w:pPr>
      <w:r w:rsidRPr="002152E4">
        <w:rPr>
          <w:rFonts w:eastAsia="MS Mincho"/>
          <w:lang w:val="ro-RO"/>
        </w:rPr>
        <w:tab/>
      </w:r>
      <w:r w:rsidR="00FE05E5" w:rsidRPr="002152E4">
        <w:rPr>
          <w:rFonts w:eastAsia="MS Mincho"/>
          <w:lang w:val="ro-RO"/>
        </w:rPr>
        <w:t xml:space="preserve">Atunci când persoana a fost de acord cu predarea sa, durata medie de soluţionare  de 8  zile. </w:t>
      </w:r>
      <w:r w:rsidRPr="002152E4">
        <w:rPr>
          <w:rFonts w:eastAsia="MS Mincho"/>
          <w:lang w:val="ro-RO"/>
        </w:rPr>
        <w:tab/>
      </w:r>
      <w:r w:rsidR="00FE05E5" w:rsidRPr="002152E4">
        <w:rPr>
          <w:rFonts w:eastAsia="MS Mincho"/>
          <w:lang w:val="ro-RO"/>
        </w:rPr>
        <w:t xml:space="preserve">În cazul în care persoana nu a fost de acord cu predarea sa, durata medie de soluţionare definitivă (primă instanţă şi recurs) este de 11 de zile. </w:t>
      </w:r>
    </w:p>
    <w:p w:rsidR="00FE05E5"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Cel mai mare număr de cereri având acest obiect s-a înregistrat pe rolul Curții de Apel București (163), urmată de Curtea de Apel Craiova (87). </w:t>
      </w:r>
    </w:p>
    <w:p w:rsidR="00FE05E5" w:rsidRPr="002152E4" w:rsidRDefault="00AB5B13" w:rsidP="00FE05E5">
      <w:pPr>
        <w:jc w:val="both"/>
        <w:rPr>
          <w:rFonts w:eastAsia="MS Mincho"/>
          <w:b/>
          <w:lang w:val="ro-RO"/>
        </w:rPr>
      </w:pPr>
      <w:r w:rsidRPr="002152E4">
        <w:rPr>
          <w:rFonts w:eastAsia="MS Mincho"/>
          <w:b/>
          <w:lang w:val="ro-RO"/>
        </w:rPr>
        <w:tab/>
      </w:r>
      <w:r w:rsidR="00FE05E5" w:rsidRPr="002152E4">
        <w:rPr>
          <w:rFonts w:eastAsia="MS Mincho"/>
          <w:b/>
          <w:lang w:val="ro-RO"/>
        </w:rPr>
        <w:t xml:space="preserve">Transferarea în România a </w:t>
      </w:r>
      <w:r w:rsidR="003234CF" w:rsidRPr="002152E4">
        <w:rPr>
          <w:rFonts w:eastAsia="MS Mincho"/>
          <w:b/>
          <w:lang w:val="ro-RO"/>
        </w:rPr>
        <w:t>cetățenilor</w:t>
      </w:r>
      <w:r w:rsidR="00FE05E5" w:rsidRPr="002152E4">
        <w:rPr>
          <w:rFonts w:eastAsia="MS Mincho"/>
          <w:b/>
          <w:lang w:val="ro-RO"/>
        </w:rPr>
        <w:t xml:space="preserve"> români condamnați în străinătate</w:t>
      </w:r>
    </w:p>
    <w:p w:rsidR="00FE05E5" w:rsidRPr="002152E4" w:rsidRDefault="00AB5B13" w:rsidP="00AB5B13">
      <w:pPr>
        <w:jc w:val="both"/>
        <w:rPr>
          <w:rFonts w:eastAsia="MS Mincho"/>
          <w:lang w:val="ro-RO"/>
        </w:rPr>
      </w:pPr>
      <w:r w:rsidRPr="002152E4">
        <w:rPr>
          <w:rFonts w:eastAsia="MS Mincho"/>
          <w:lang w:val="ro-RO"/>
        </w:rPr>
        <w:tab/>
      </w:r>
      <w:r w:rsidR="00FE05E5" w:rsidRPr="002152E4">
        <w:rPr>
          <w:rFonts w:eastAsia="MS Mincho"/>
          <w:lang w:val="ro-RO"/>
        </w:rPr>
        <w:t xml:space="preserve">În 2016, pe rolul </w:t>
      </w:r>
      <w:r w:rsidRPr="002152E4">
        <w:rPr>
          <w:rFonts w:eastAsia="MS Mincho"/>
          <w:lang w:val="ro-RO"/>
        </w:rPr>
        <w:t xml:space="preserve">SERVICIUL COOPERARE JUDICIARĂ INTERNAŢIONALĂ ÎN MATERIE PENALĂ </w:t>
      </w:r>
      <w:r w:rsidR="00FE05E5" w:rsidRPr="002152E4">
        <w:rPr>
          <w:rFonts w:eastAsia="MS Mincho"/>
          <w:lang w:val="ro-RO"/>
        </w:rPr>
        <w:t xml:space="preserve"> s-au înregistrat de 453 cereri de transferare a unor cetățeni români din statul de condamnare în țara de origine – România și 28 de dosare de transfer ale unor cetățeni străini în statul de cetățenie, aceștia fiind condamnați de autoritățile române. </w:t>
      </w:r>
    </w:p>
    <w:p w:rsidR="00FE05E5" w:rsidRPr="004777EA" w:rsidRDefault="00AB5B13" w:rsidP="004777EA">
      <w:pPr>
        <w:jc w:val="both"/>
        <w:rPr>
          <w:rFonts w:eastAsia="MS Mincho"/>
          <w:iCs/>
          <w:shd w:val="clear" w:color="auto" w:fill="FFFFFF"/>
          <w:lang w:val="ro-RO"/>
        </w:rPr>
      </w:pPr>
      <w:r w:rsidRPr="002152E4">
        <w:rPr>
          <w:rFonts w:eastAsia="MS Mincho"/>
          <w:lang w:val="ro-RO"/>
        </w:rPr>
        <w:lastRenderedPageBreak/>
        <w:tab/>
      </w:r>
      <w:r w:rsidR="00FE05E5" w:rsidRPr="002152E4">
        <w:rPr>
          <w:rFonts w:eastAsia="MS Mincho"/>
          <w:lang w:val="ro-RO"/>
        </w:rPr>
        <w:t xml:space="preserve">Cererile s-au întemeiat fie pe dispozițiile Convenției europene asupra transferării persoanelor condamnate (Strasbourg, 1983, fie pe dispozițiile </w:t>
      </w:r>
      <w:r w:rsidR="00FE05E5" w:rsidRPr="002152E4">
        <w:rPr>
          <w:rFonts w:eastAsia="MS Mincho"/>
          <w:iCs/>
          <w:shd w:val="clear" w:color="auto" w:fill="FFFFFF"/>
          <w:lang w:val="ro-RO"/>
        </w:rPr>
        <w:t xml:space="preserve">Deciziei-cadru 2008/909/JAI a Consiliului din 27 noiembrie 2008 privind aplicarea principiului recunoașterii reciproce în cazul hotărârilor </w:t>
      </w:r>
      <w:r w:rsidR="004777EA">
        <w:rPr>
          <w:rFonts w:eastAsia="MS Mincho"/>
          <w:iCs/>
          <w:shd w:val="clear" w:color="auto" w:fill="FFFFFF"/>
          <w:lang w:val="ro-RO"/>
        </w:rPr>
        <w:t>judecătorești în materie penală.</w:t>
      </w:r>
      <w:r w:rsidR="00FE05E5" w:rsidRPr="002152E4">
        <w:rPr>
          <w:rFonts w:eastAsia="MS Mincho"/>
          <w:lang w:val="ro-RO"/>
        </w:rPr>
        <w:t xml:space="preserve"> </w:t>
      </w:r>
    </w:p>
    <w:p w:rsidR="00FE05E5" w:rsidRPr="002152E4" w:rsidRDefault="00AB5B13" w:rsidP="00AB5B13">
      <w:pPr>
        <w:suppressAutoHyphens/>
        <w:jc w:val="both"/>
        <w:rPr>
          <w:rFonts w:eastAsia="MS Mincho"/>
          <w:lang w:val="ro-RO"/>
        </w:rPr>
      </w:pPr>
      <w:r w:rsidRPr="002152E4">
        <w:rPr>
          <w:rFonts w:eastAsia="MS Mincho"/>
          <w:lang w:val="ro-RO"/>
        </w:rPr>
        <w:tab/>
      </w:r>
      <w:r w:rsidR="00FE05E5" w:rsidRPr="002152E4">
        <w:rPr>
          <w:rFonts w:eastAsia="MS Mincho"/>
          <w:lang w:val="ro-RO"/>
        </w:rPr>
        <w:t xml:space="preserve">În temeiul altor instrumente decât decizia cadru 2008/909, s-au primit 50 cereri de transferare a unor cetățeni români și 24 de cereri a unor cetățeni străini de a fi transferați în statele de cetățenie. </w:t>
      </w:r>
    </w:p>
    <w:p w:rsidR="00FE05E5" w:rsidRPr="002152E4" w:rsidRDefault="00AB5B13" w:rsidP="00FE05E5">
      <w:pPr>
        <w:jc w:val="both"/>
        <w:rPr>
          <w:rFonts w:eastAsia="MS Mincho"/>
          <w:b/>
          <w:lang w:val="ro-RO"/>
        </w:rPr>
      </w:pPr>
      <w:r w:rsidRPr="002152E4">
        <w:rPr>
          <w:rFonts w:eastAsia="MS Mincho"/>
          <w:b/>
          <w:lang w:val="ro-RO"/>
        </w:rPr>
        <w:tab/>
      </w:r>
      <w:r w:rsidR="00FE05E5" w:rsidRPr="002152E4">
        <w:rPr>
          <w:rFonts w:eastAsia="MS Mincho"/>
          <w:b/>
          <w:lang w:val="ro-RO"/>
        </w:rPr>
        <w:t>Cereri de tranzit</w:t>
      </w:r>
    </w:p>
    <w:p w:rsidR="00FE05E5" w:rsidRPr="004777EA" w:rsidRDefault="00AB5B13" w:rsidP="004777EA">
      <w:pPr>
        <w:jc w:val="both"/>
        <w:rPr>
          <w:rFonts w:eastAsia="MS Mincho"/>
          <w:lang w:val="ro-RO"/>
        </w:rPr>
      </w:pPr>
      <w:r w:rsidRPr="002152E4">
        <w:rPr>
          <w:rFonts w:eastAsia="MS Mincho"/>
          <w:lang w:val="ro-RO"/>
        </w:rPr>
        <w:tab/>
      </w:r>
      <w:r w:rsidR="00FE05E5" w:rsidRPr="002152E4">
        <w:rPr>
          <w:rFonts w:eastAsia="MS Mincho"/>
          <w:lang w:val="ro-RO"/>
        </w:rPr>
        <w:t xml:space="preserve">În anul 2016, </w:t>
      </w:r>
      <w:r w:rsidRPr="002152E4">
        <w:rPr>
          <w:rFonts w:eastAsia="MS Mincho"/>
          <w:lang w:val="ro-RO"/>
        </w:rPr>
        <w:t xml:space="preserve">SERVICIUL COOPERARE JUDICIARĂ INTERNAŢIONALĂ ÎN MATERIE PENALĂ </w:t>
      </w:r>
      <w:r w:rsidR="00FE05E5" w:rsidRPr="002152E4">
        <w:rPr>
          <w:rFonts w:eastAsia="MS Mincho"/>
          <w:lang w:val="ro-RO"/>
        </w:rPr>
        <w:t xml:space="preserve"> </w:t>
      </w:r>
      <w:r w:rsidR="00FE05E5" w:rsidRPr="002152E4">
        <w:rPr>
          <w:rFonts w:eastAsia="MS Mincho"/>
          <w:b/>
          <w:lang w:val="ro-RO"/>
        </w:rPr>
        <w:t>a solicitat şi a obținut</w:t>
      </w:r>
      <w:r w:rsidR="00FE05E5" w:rsidRPr="002152E4">
        <w:rPr>
          <w:rFonts w:eastAsia="MS Mincho"/>
          <w:lang w:val="ro-RO"/>
        </w:rPr>
        <w:t xml:space="preserve"> autorizarea tranzitării (pe cale aeriană cu escală) teritoriilor altor state într-un număr de </w:t>
      </w:r>
      <w:r w:rsidR="00FE05E5" w:rsidRPr="002152E4">
        <w:rPr>
          <w:rFonts w:eastAsia="MS Mincho"/>
          <w:b/>
          <w:lang w:val="ro-RO"/>
        </w:rPr>
        <w:t>103 dosare de cooperare judiciară internaţională în materie penală</w:t>
      </w:r>
      <w:r w:rsidR="00FE05E5" w:rsidRPr="002152E4">
        <w:rPr>
          <w:rFonts w:eastAsia="MS Mincho"/>
          <w:lang w:val="ro-RO"/>
        </w:rPr>
        <w:t xml:space="preserve">. </w:t>
      </w:r>
    </w:p>
    <w:p w:rsidR="00FE05E5" w:rsidRPr="004777EA" w:rsidRDefault="00AB5B13" w:rsidP="004777EA">
      <w:pPr>
        <w:jc w:val="both"/>
        <w:rPr>
          <w:rFonts w:eastAsia="MS Mincho"/>
          <w:b/>
          <w:lang w:val="ro-RO"/>
        </w:rPr>
      </w:pPr>
      <w:r w:rsidRPr="002152E4">
        <w:rPr>
          <w:rFonts w:eastAsia="MS Mincho"/>
          <w:b/>
          <w:lang w:val="ro-RO"/>
        </w:rPr>
        <w:tab/>
      </w:r>
      <w:r w:rsidR="00FE05E5" w:rsidRPr="002152E4">
        <w:rPr>
          <w:rFonts w:eastAsia="MS Mincho"/>
          <w:b/>
          <w:lang w:val="ro-RO"/>
        </w:rPr>
        <w:t>Efectuarea, pe cale de comisie rogatorie internaţională, de acte procedurale în cauze instrumentate de autorităţile române</w:t>
      </w:r>
    </w:p>
    <w:p w:rsidR="00FE05E5" w:rsidRPr="002152E4" w:rsidRDefault="00AB5B13" w:rsidP="00FE05E5">
      <w:pPr>
        <w:jc w:val="both"/>
        <w:rPr>
          <w:rFonts w:eastAsia="MS Mincho"/>
          <w:b/>
          <w:lang w:val="ro-RO"/>
        </w:rPr>
      </w:pPr>
      <w:r w:rsidRPr="002152E4">
        <w:rPr>
          <w:rFonts w:eastAsia="MS Mincho"/>
          <w:lang w:val="ro-RO"/>
        </w:rPr>
        <w:tab/>
      </w:r>
      <w:r w:rsidR="00FE05E5" w:rsidRPr="002152E4">
        <w:rPr>
          <w:rFonts w:eastAsia="MS Mincho"/>
          <w:lang w:val="ro-RO"/>
        </w:rPr>
        <w:t xml:space="preserve">Cererile înregistrate în anul 2016 au avut ca obiect în principal, </w:t>
      </w:r>
      <w:r w:rsidR="00FE05E5" w:rsidRPr="002152E4">
        <w:rPr>
          <w:rFonts w:eastAsia="MS Mincho"/>
          <w:b/>
          <w:lang w:val="ro-RO"/>
        </w:rPr>
        <w:t xml:space="preserve">audierea, în calitate de inculpat, martor, parte vătămată, a unor persoane domiciliate sau deţinute pe teritoriile altor state, obţinerea de documente şi informaţii, transferul temporar al persoanelor deţinute în străinătate în vederea participării la judecată în calitate de inculpat, obţinerea de informaţii cu privire la situaţia juridică a inculpaţilor deţinuţi în străinătate, comunicarea de citaţii, hotărâri judecătoreşti şi rechizitorii persoanelor aflate pe teritoriile altor state. </w:t>
      </w:r>
    </w:p>
    <w:p w:rsidR="00FE05E5"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Astfel, în perioada de referință, Ministerul Justiției, prin Direcția de specialitate a instrumentat 323 de cereri emise de autoritățile române transmise spre executare autorităților române în vederea transmiterii către destinatari.</w:t>
      </w:r>
    </w:p>
    <w:p w:rsidR="00FE05E5"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Din perspectiva tipologiei </w:t>
      </w:r>
      <w:r w:rsidR="003234CF" w:rsidRPr="002152E4">
        <w:rPr>
          <w:rFonts w:eastAsia="MS Mincho"/>
          <w:lang w:val="ro-RO"/>
        </w:rPr>
        <w:t>infracționale</w:t>
      </w:r>
      <w:r w:rsidR="00FE05E5" w:rsidRPr="002152E4">
        <w:rPr>
          <w:rFonts w:eastAsia="MS Mincho"/>
          <w:lang w:val="ro-RO"/>
        </w:rPr>
        <w:t xml:space="preserve">, cererile au vizat săvârşirea de infracţiuni grave: criminalitate informatică (inclusiv fraudă informatică), spălare de bani, trafic de persoane, trafic de minori, trafic de droguri, infracţiuni economice, infracţiuni contra </w:t>
      </w:r>
      <w:r w:rsidR="003234CF" w:rsidRPr="002152E4">
        <w:rPr>
          <w:rFonts w:eastAsia="MS Mincho"/>
          <w:lang w:val="ro-RO"/>
        </w:rPr>
        <w:t>vieții</w:t>
      </w:r>
      <w:r w:rsidR="00FE05E5" w:rsidRPr="002152E4">
        <w:rPr>
          <w:rFonts w:eastAsia="MS Mincho"/>
          <w:lang w:val="ro-RO"/>
        </w:rPr>
        <w:t xml:space="preserve"> dar și infracțiuni privind patrimoniul (furt, tâlhărie).  </w:t>
      </w:r>
    </w:p>
    <w:p w:rsidR="00FE05E5" w:rsidRPr="002152E4" w:rsidRDefault="00AB5B13" w:rsidP="004777EA">
      <w:pPr>
        <w:jc w:val="both"/>
        <w:rPr>
          <w:rFonts w:eastAsia="MS Mincho"/>
          <w:lang w:val="ro-RO"/>
        </w:rPr>
      </w:pPr>
      <w:r w:rsidRPr="002152E4">
        <w:rPr>
          <w:rFonts w:eastAsia="MS Mincho"/>
          <w:lang w:val="ro-RO"/>
        </w:rPr>
        <w:tab/>
      </w:r>
      <w:r w:rsidR="00FE05E5" w:rsidRPr="002152E4">
        <w:rPr>
          <w:rFonts w:eastAsia="MS Mincho"/>
          <w:lang w:val="ro-RO"/>
        </w:rPr>
        <w:t xml:space="preserve">De asemenea, instanțele române au raportat un număr de 109 de cereri transmise direct (și nu prin intermediul Ministerului Justiției) către autoritățile străine de executare, utilizând contactul direct permis de instrumentele juridice internaționale. </w:t>
      </w:r>
    </w:p>
    <w:p w:rsidR="00FE05E5" w:rsidRPr="002152E4" w:rsidRDefault="00AB5B13" w:rsidP="00FE05E5">
      <w:pPr>
        <w:jc w:val="both"/>
        <w:rPr>
          <w:rFonts w:eastAsia="MS Mincho"/>
          <w:b/>
          <w:lang w:val="ro-RO"/>
        </w:rPr>
      </w:pPr>
      <w:r w:rsidRPr="002152E4">
        <w:rPr>
          <w:rFonts w:eastAsia="MS Mincho"/>
          <w:b/>
          <w:lang w:val="ro-RO"/>
        </w:rPr>
        <w:tab/>
      </w:r>
      <w:r w:rsidR="00FE05E5" w:rsidRPr="002152E4">
        <w:rPr>
          <w:rFonts w:eastAsia="MS Mincho"/>
          <w:b/>
          <w:lang w:val="ro-RO"/>
        </w:rPr>
        <w:t>Efectuarea, pe cale de comisie rogatorie internaţională, de acte procedurale în cauze instrumentate de autorităţile străine</w:t>
      </w:r>
    </w:p>
    <w:p w:rsidR="00FE05E5" w:rsidRPr="002152E4" w:rsidRDefault="00AB5B13" w:rsidP="00FE05E5">
      <w:pPr>
        <w:jc w:val="both"/>
        <w:rPr>
          <w:rFonts w:eastAsia="MS Mincho"/>
          <w:b/>
          <w:lang w:val="ro-RO"/>
        </w:rPr>
      </w:pPr>
      <w:r w:rsidRPr="002152E4">
        <w:rPr>
          <w:rFonts w:eastAsia="MS Mincho"/>
          <w:b/>
          <w:lang w:val="ro-RO"/>
        </w:rPr>
        <w:tab/>
      </w:r>
      <w:r w:rsidR="00FE05E5" w:rsidRPr="002152E4">
        <w:rPr>
          <w:rFonts w:eastAsia="MS Mincho"/>
          <w:lang w:val="ro-RO"/>
        </w:rPr>
        <w:t xml:space="preserve">În 2016, </w:t>
      </w:r>
      <w:r w:rsidRPr="002152E4">
        <w:rPr>
          <w:rFonts w:eastAsia="MS Mincho"/>
          <w:lang w:val="ro-RO"/>
        </w:rPr>
        <w:t xml:space="preserve">SERVICIUL COOPERARE JUDICIARĂ INTERNAŢIONALĂ ÎN MATERIE PENALĂ </w:t>
      </w:r>
      <w:r w:rsidR="00FE05E5" w:rsidRPr="002152E4">
        <w:rPr>
          <w:rFonts w:eastAsia="MS Mincho"/>
          <w:lang w:val="ro-RO"/>
        </w:rPr>
        <w:t xml:space="preserve"> a gestionat (primire, analiză, transmitere, coordonare) un număr de 446 de cereri formulate de autorităţile străine</w:t>
      </w:r>
      <w:r w:rsidR="004777EA">
        <w:rPr>
          <w:rFonts w:eastAsia="MS Mincho"/>
          <w:lang w:val="ro-RO"/>
        </w:rPr>
        <w:t>.</w:t>
      </w:r>
      <w:r w:rsidRPr="002152E4">
        <w:rPr>
          <w:rFonts w:eastAsia="MS Mincho"/>
          <w:b/>
          <w:lang w:val="ro-RO"/>
        </w:rPr>
        <w:tab/>
      </w:r>
      <w:r w:rsidR="00FE05E5" w:rsidRPr="002152E4">
        <w:rPr>
          <w:rFonts w:eastAsia="MS Mincho"/>
          <w:lang w:val="ro-RO"/>
        </w:rPr>
        <w:t xml:space="preserve">Cererile înregistrate în anul 2016 au avut ca obiect </w:t>
      </w:r>
      <w:r w:rsidR="00FE05E5" w:rsidRPr="002152E4">
        <w:rPr>
          <w:rFonts w:eastAsia="MS Mincho"/>
          <w:b/>
          <w:lang w:val="ro-RO"/>
        </w:rPr>
        <w:t xml:space="preserve">audierea, în calitate de inculpat, martor, parte vătămată, a unor persoane domiciliate sau deţinute în România, efectuarea de expertize şi comunicarea de citaţii, hotărâri judecătoreşti şi rechizitorii persoanelor domiciliate în România. </w:t>
      </w:r>
    </w:p>
    <w:p w:rsidR="00FE05E5"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Din perspectiva tipologiei </w:t>
      </w:r>
      <w:r w:rsidR="003234CF" w:rsidRPr="002152E4">
        <w:rPr>
          <w:rFonts w:eastAsia="MS Mincho"/>
          <w:lang w:val="ro-RO"/>
        </w:rPr>
        <w:t>infracționale</w:t>
      </w:r>
      <w:r w:rsidR="00FE05E5" w:rsidRPr="002152E4">
        <w:rPr>
          <w:rFonts w:eastAsia="MS Mincho"/>
          <w:lang w:val="ro-RO"/>
        </w:rPr>
        <w:t xml:space="preserve">, cererile au fost formulate în cauze privind infracţiuni de contrabandă, trafic de droguri, trafic de persoane, infracţiuni bancare, criminalitate informatică, înşelăciune, ameninţare. </w:t>
      </w:r>
    </w:p>
    <w:p w:rsidR="00AB5B13"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De asemenea, instanțele române au raportat un număr de 113 de cereri primite direct (și nu prin intermediul Ministerului Justiției) de la autoritățile străine emitente, utilizând contactul direct permis de instrumentele juridice internaționale. </w:t>
      </w:r>
    </w:p>
    <w:p w:rsidR="00FE05E5" w:rsidRPr="002152E4" w:rsidRDefault="00AB5B13" w:rsidP="00AB5B13">
      <w:pPr>
        <w:jc w:val="both"/>
        <w:rPr>
          <w:rFonts w:eastAsia="MS Mincho"/>
          <w:b/>
          <w:lang w:val="ro-RO"/>
        </w:rPr>
      </w:pPr>
      <w:r w:rsidRPr="002152E4">
        <w:rPr>
          <w:rFonts w:eastAsia="MS Mincho"/>
          <w:lang w:val="ro-RO"/>
        </w:rPr>
        <w:tab/>
      </w:r>
      <w:r w:rsidR="00FE05E5" w:rsidRPr="002152E4">
        <w:rPr>
          <w:rFonts w:eastAsia="MS Mincho"/>
          <w:b/>
          <w:lang w:val="ro-RO"/>
        </w:rPr>
        <w:t>Audieri prin video-conferinţă</w:t>
      </w:r>
    </w:p>
    <w:p w:rsidR="00FE05E5"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În anul 2016, </w:t>
      </w:r>
      <w:r w:rsidRPr="002152E4">
        <w:rPr>
          <w:rFonts w:eastAsia="MS Mincho"/>
          <w:lang w:val="ro-RO"/>
        </w:rPr>
        <w:t xml:space="preserve">SERVICIUL COOPERARE JUDICIARĂ INTERNAŢIONALĂ ÎN MATERIE PENALĂ </w:t>
      </w:r>
      <w:r w:rsidR="00FE05E5" w:rsidRPr="002152E4">
        <w:rPr>
          <w:rFonts w:eastAsia="MS Mincho"/>
          <w:lang w:val="ro-RO"/>
        </w:rPr>
        <w:t xml:space="preserve"> a gestionat (primire, analiză, transmitere, coordonare) un număr de 23</w:t>
      </w:r>
      <w:r w:rsidR="00FE05E5" w:rsidRPr="002152E4">
        <w:rPr>
          <w:rFonts w:eastAsia="MS Mincho"/>
          <w:b/>
          <w:lang w:val="ro-RO"/>
        </w:rPr>
        <w:t xml:space="preserve"> de cereri de audieri prin video-conferinţă</w:t>
      </w:r>
      <w:r w:rsidR="00FE05E5" w:rsidRPr="002152E4">
        <w:rPr>
          <w:rFonts w:eastAsia="MS Mincho"/>
          <w:lang w:val="ro-RO"/>
        </w:rPr>
        <w:t xml:space="preserve"> formulate de instanţele judecătoreşti române (</w:t>
      </w:r>
      <w:r w:rsidR="00FE05E5" w:rsidRPr="002152E4">
        <w:rPr>
          <w:rFonts w:eastAsia="MS Mincho"/>
          <w:i/>
          <w:lang w:val="ro-RO"/>
        </w:rPr>
        <w:t>judecătorii, tribunale, curţi de apel şi Înalta Curte de Casaţie şi Justiţie</w:t>
      </w:r>
      <w:r w:rsidR="00FE05E5" w:rsidRPr="002152E4">
        <w:rPr>
          <w:rFonts w:eastAsia="MS Mincho"/>
          <w:lang w:val="ro-RO"/>
        </w:rPr>
        <w:t xml:space="preserve">) și 20 de cereri transmise direct (și nu prin intermediul Ministerului Justiției) către autoritățile străine de executare, utilizând contactul direct permis de instrumentele juridice internaționale. </w:t>
      </w:r>
    </w:p>
    <w:p w:rsidR="00FE05E5" w:rsidRPr="002152E4" w:rsidRDefault="00AB5B13" w:rsidP="004777EA">
      <w:pPr>
        <w:jc w:val="both"/>
        <w:rPr>
          <w:rFonts w:eastAsia="MS Mincho"/>
          <w:b/>
          <w:lang w:val="ro-RO"/>
        </w:rPr>
      </w:pPr>
      <w:r w:rsidRPr="002152E4">
        <w:rPr>
          <w:rFonts w:eastAsia="MS Mincho"/>
          <w:lang w:val="ro-RO"/>
        </w:rPr>
        <w:tab/>
      </w:r>
      <w:r w:rsidR="00FE05E5" w:rsidRPr="002152E4">
        <w:rPr>
          <w:rFonts w:eastAsia="MS Mincho"/>
          <w:lang w:val="ro-RO"/>
        </w:rPr>
        <w:t xml:space="preserve">Din perspectiva tipologiei </w:t>
      </w:r>
      <w:r w:rsidR="003234CF" w:rsidRPr="002152E4">
        <w:rPr>
          <w:rFonts w:eastAsia="MS Mincho"/>
          <w:lang w:val="ro-RO"/>
        </w:rPr>
        <w:t>infracționale</w:t>
      </w:r>
      <w:r w:rsidR="00FE05E5" w:rsidRPr="002152E4">
        <w:rPr>
          <w:rFonts w:eastAsia="MS Mincho"/>
          <w:lang w:val="ro-RO"/>
        </w:rPr>
        <w:t xml:space="preserve">, cererile au vizat audierea în cauze penale având ca obiect cercetarea unor persoane sub aspectul săvârşirii infracţiunilor: </w:t>
      </w:r>
      <w:r w:rsidR="00FE05E5" w:rsidRPr="002152E4">
        <w:rPr>
          <w:rFonts w:eastAsia="MS Mincho"/>
          <w:b/>
          <w:lang w:val="ro-RO"/>
        </w:rPr>
        <w:t>trafic de stupefiante, trafic de persoane, spălare de bani, infracţiuni de corupţie</w:t>
      </w:r>
      <w:r w:rsidR="00FE05E5" w:rsidRPr="002152E4">
        <w:rPr>
          <w:rFonts w:eastAsia="MS Mincho"/>
          <w:lang w:val="ro-RO"/>
        </w:rPr>
        <w:t xml:space="preserve">, </w:t>
      </w:r>
      <w:r w:rsidR="00FE05E5" w:rsidRPr="002152E4">
        <w:rPr>
          <w:rFonts w:eastAsia="MS Mincho"/>
          <w:b/>
          <w:lang w:val="ro-RO"/>
        </w:rPr>
        <w:t xml:space="preserve">infracţiuni contra patrimoniului, ucidere din culpă, </w:t>
      </w:r>
      <w:r w:rsidR="00FE05E5" w:rsidRPr="002152E4">
        <w:rPr>
          <w:rFonts w:eastAsia="MS Mincho"/>
          <w:b/>
          <w:lang w:val="ro-RO"/>
        </w:rPr>
        <w:lastRenderedPageBreak/>
        <w:t xml:space="preserve">înșelăciune, criminalitate informatică, punerea în circulație de monedă străină contrafăcută, sustragere de sub sechestru. </w:t>
      </w:r>
    </w:p>
    <w:p w:rsidR="00FE05E5"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Cererile au fost adresate în special către următoarele state: Italia, Olanda, Austria, Germania, Ungaria, Spania. </w:t>
      </w:r>
    </w:p>
    <w:p w:rsidR="00FE05E5"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Tot în anul 2016, </w:t>
      </w:r>
      <w:r w:rsidRPr="002152E4">
        <w:rPr>
          <w:rFonts w:eastAsia="MS Mincho"/>
          <w:lang w:val="ro-RO"/>
        </w:rPr>
        <w:t xml:space="preserve">SERVICIUL COOPERARE JUDICIARĂ INTERNAŢIONALĂ ÎN MATERIE PENALĂ </w:t>
      </w:r>
      <w:r w:rsidR="00FE05E5" w:rsidRPr="002152E4">
        <w:rPr>
          <w:rFonts w:eastAsia="MS Mincho"/>
          <w:lang w:val="ro-RO"/>
        </w:rPr>
        <w:t xml:space="preserve"> a gestionat (primire, analiză, transmitere, coordonare) un număr de </w:t>
      </w:r>
      <w:r w:rsidR="00FE05E5" w:rsidRPr="002152E4">
        <w:rPr>
          <w:rFonts w:eastAsia="MS Mincho"/>
          <w:b/>
          <w:lang w:val="ro-RO"/>
        </w:rPr>
        <w:t>40 de cereri de audieri prin video-conferinţă</w:t>
      </w:r>
      <w:r w:rsidR="00FE05E5" w:rsidRPr="002152E4">
        <w:rPr>
          <w:rFonts w:eastAsia="MS Mincho"/>
          <w:lang w:val="ro-RO"/>
        </w:rPr>
        <w:t xml:space="preserve"> formulate de autorităţile străine la care adăugăm un număr de 48 de cereri de audiere transmise direct de autoritățile străine eminente, autorităților române de executare. </w:t>
      </w:r>
    </w:p>
    <w:p w:rsidR="00FE05E5" w:rsidRPr="002152E4" w:rsidRDefault="00AB5B13" w:rsidP="00FE05E5">
      <w:pPr>
        <w:jc w:val="both"/>
        <w:rPr>
          <w:rFonts w:eastAsia="MS Mincho"/>
          <w:b/>
          <w:lang w:val="ro-RO"/>
        </w:rPr>
      </w:pPr>
      <w:r w:rsidRPr="002152E4">
        <w:rPr>
          <w:rFonts w:eastAsia="MS Mincho"/>
          <w:lang w:val="ro-RO"/>
        </w:rPr>
        <w:tab/>
      </w:r>
      <w:r w:rsidR="00FE05E5" w:rsidRPr="002152E4">
        <w:rPr>
          <w:rFonts w:eastAsia="MS Mincho"/>
          <w:lang w:val="ro-RO"/>
        </w:rPr>
        <w:t xml:space="preserve">Din perspectiva tipologiei </w:t>
      </w:r>
      <w:r w:rsidR="003234CF" w:rsidRPr="002152E4">
        <w:rPr>
          <w:rFonts w:eastAsia="MS Mincho"/>
          <w:lang w:val="ro-RO"/>
        </w:rPr>
        <w:t>infracționale</w:t>
      </w:r>
      <w:r w:rsidR="00FE05E5" w:rsidRPr="002152E4">
        <w:rPr>
          <w:rFonts w:eastAsia="MS Mincho"/>
          <w:lang w:val="ro-RO"/>
        </w:rPr>
        <w:t xml:space="preserve">, cererile au fost formulate în cauze având ca obiect cercetarea mai multor persoane sub aspectul săvârşirii de infracţiuni grave: </w:t>
      </w:r>
      <w:r w:rsidR="00FE05E5" w:rsidRPr="002152E4">
        <w:rPr>
          <w:rFonts w:eastAsia="MS Mincho"/>
          <w:b/>
          <w:lang w:val="ro-RO"/>
        </w:rPr>
        <w:t xml:space="preserve">spălare de bani, trafic de persoane, trafic de droguri, prostituţie, proxenetism, criminalitate informatică (skimming bancar), infracţiuni de fals, infracţiuni contra </w:t>
      </w:r>
      <w:r w:rsidR="003234CF" w:rsidRPr="002152E4">
        <w:rPr>
          <w:rFonts w:eastAsia="MS Mincho"/>
          <w:b/>
          <w:lang w:val="ro-RO"/>
        </w:rPr>
        <w:t>vieții</w:t>
      </w:r>
      <w:r w:rsidR="00FE05E5" w:rsidRPr="002152E4">
        <w:rPr>
          <w:rFonts w:eastAsia="MS Mincho"/>
          <w:b/>
          <w:lang w:val="ro-RO"/>
        </w:rPr>
        <w:t xml:space="preserve">, infracţiuni contra patrimoniului (consecinţe grave şi deosebit de grave). </w:t>
      </w:r>
    </w:p>
    <w:p w:rsidR="00FE05E5" w:rsidRPr="002152E4" w:rsidRDefault="00AB5B13" w:rsidP="00FE05E5">
      <w:pPr>
        <w:jc w:val="both"/>
        <w:rPr>
          <w:rFonts w:eastAsia="MS Mincho"/>
          <w:b/>
          <w:lang w:val="ro-RO"/>
        </w:rPr>
      </w:pPr>
      <w:r w:rsidRPr="002152E4">
        <w:rPr>
          <w:rFonts w:eastAsia="MS Mincho"/>
          <w:b/>
          <w:lang w:val="ro-RO"/>
        </w:rPr>
        <w:tab/>
      </w:r>
      <w:r w:rsidR="00FE05E5" w:rsidRPr="002152E4">
        <w:rPr>
          <w:rFonts w:eastAsia="MS Mincho"/>
          <w:b/>
          <w:lang w:val="ro-RO"/>
        </w:rPr>
        <w:t>Transferul de proceduri penale în şi din România</w:t>
      </w:r>
    </w:p>
    <w:p w:rsidR="004777EA"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În anul 2016, </w:t>
      </w:r>
      <w:r w:rsidRPr="002152E4">
        <w:rPr>
          <w:rFonts w:eastAsia="MS Mincho"/>
          <w:lang w:val="ro-RO"/>
        </w:rPr>
        <w:t xml:space="preserve">SERVICIUL COOPERARE JUDICIARĂ INTERNAŢIONALĂ ÎN MATERIE PENALĂ </w:t>
      </w:r>
      <w:r w:rsidR="00FE05E5" w:rsidRPr="002152E4">
        <w:rPr>
          <w:rFonts w:eastAsia="MS Mincho"/>
          <w:lang w:val="ro-RO"/>
        </w:rPr>
        <w:t xml:space="preserve"> a gestionat (primire, analiză, transmitere, coordonare) </w:t>
      </w:r>
      <w:r w:rsidR="00FE05E5" w:rsidRPr="002152E4">
        <w:rPr>
          <w:rFonts w:eastAsia="MS Mincho"/>
          <w:b/>
          <w:lang w:val="ro-RO"/>
        </w:rPr>
        <w:t>14 de cereri de preluare a urmăririi penale</w:t>
      </w:r>
      <w:r w:rsidR="00FE05E5" w:rsidRPr="002152E4">
        <w:rPr>
          <w:rFonts w:eastAsia="MS Mincho"/>
          <w:lang w:val="ro-RO"/>
        </w:rPr>
        <w:t xml:space="preserve"> formulate de alte state în cauze având ca obiect săvârşirea de către cetăţeni români de infracţiuni pe</w:t>
      </w:r>
      <w:r w:rsidR="004777EA">
        <w:rPr>
          <w:rFonts w:eastAsia="MS Mincho"/>
          <w:lang w:val="ro-RO"/>
        </w:rPr>
        <w:t xml:space="preserve"> teritoriile altor state. </w:t>
      </w:r>
      <w:r w:rsidR="00FE05E5" w:rsidRPr="002152E4">
        <w:rPr>
          <w:rFonts w:eastAsia="MS Mincho"/>
          <w:lang w:val="ro-RO"/>
        </w:rPr>
        <w:t>De asemenea, instanțele române, au transmis, prin intermediul Direcției de specialitate un număr de 23 cereri de transfer de proceduri către alte state</w:t>
      </w:r>
      <w:r w:rsidR="004777EA">
        <w:rPr>
          <w:rFonts w:eastAsia="MS Mincho"/>
          <w:lang w:val="ro-RO"/>
        </w:rPr>
        <w:t>.</w:t>
      </w:r>
    </w:p>
    <w:p w:rsidR="00FE05E5" w:rsidRPr="002152E4" w:rsidRDefault="00AB5B13" w:rsidP="004777EA">
      <w:pPr>
        <w:jc w:val="both"/>
        <w:rPr>
          <w:rFonts w:eastAsia="MS Mincho"/>
          <w:lang w:val="ro-RO"/>
        </w:rPr>
      </w:pPr>
      <w:r w:rsidRPr="002152E4">
        <w:rPr>
          <w:rFonts w:eastAsia="MS Mincho"/>
          <w:lang w:val="ro-RO"/>
        </w:rPr>
        <w:tab/>
      </w:r>
      <w:r w:rsidR="00FE05E5" w:rsidRPr="004777EA">
        <w:rPr>
          <w:rFonts w:eastAsia="MS Mincho"/>
          <w:lang w:val="ro-RO"/>
        </w:rPr>
        <w:t xml:space="preserve">Din perspectiva tipologiei </w:t>
      </w:r>
      <w:r w:rsidR="003234CF" w:rsidRPr="004777EA">
        <w:rPr>
          <w:rFonts w:eastAsia="MS Mincho"/>
          <w:lang w:val="ro-RO"/>
        </w:rPr>
        <w:t>infracționale</w:t>
      </w:r>
      <w:r w:rsidR="00FE05E5" w:rsidRPr="004777EA">
        <w:rPr>
          <w:rFonts w:eastAsia="MS Mincho"/>
          <w:lang w:val="ro-RO"/>
        </w:rPr>
        <w:t xml:space="preserve">, infracţiunile săvârşite fac parte din categoria infracţiunilor contra patrimoniului, contra persoanei, la regimul circulaţiei pe drumurile publice şi contrabanda. </w:t>
      </w:r>
    </w:p>
    <w:p w:rsidR="00FE05E5" w:rsidRPr="002152E4" w:rsidRDefault="00AB5B13" w:rsidP="00FE05E5">
      <w:pPr>
        <w:autoSpaceDE w:val="0"/>
        <w:autoSpaceDN w:val="0"/>
        <w:adjustRightInd w:val="0"/>
        <w:jc w:val="both"/>
        <w:rPr>
          <w:rFonts w:eastAsia="MS Mincho"/>
          <w:lang w:val="ro-RO"/>
        </w:rPr>
      </w:pPr>
      <w:r w:rsidRPr="002152E4">
        <w:rPr>
          <w:rFonts w:eastAsia="MS Mincho"/>
          <w:b/>
          <w:lang w:val="ro-RO"/>
        </w:rPr>
        <w:tab/>
      </w:r>
      <w:r w:rsidR="00FE05E5" w:rsidRPr="002152E4">
        <w:rPr>
          <w:rFonts w:eastAsia="MS Mincho"/>
          <w:b/>
          <w:lang w:val="ro-RO"/>
        </w:rPr>
        <w:t>Măsuri asigurătorii (ordine de indisponibilizare emise în baza DC 2003/577/JAI din 22 iulie 2003)</w:t>
      </w:r>
    </w:p>
    <w:p w:rsidR="00AB5B13"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În anul 2016, s-a transmis prin </w:t>
      </w:r>
      <w:r w:rsidRPr="002152E4">
        <w:rPr>
          <w:rFonts w:eastAsia="MS Mincho"/>
          <w:lang w:val="ro-RO"/>
        </w:rPr>
        <w:t xml:space="preserve">SERVICIUL COOPERARE JUDICIARĂ INTERNAŢIONALĂ ÎN MATERIE PENALĂ </w:t>
      </w:r>
      <w:r w:rsidR="00FE05E5" w:rsidRPr="002152E4">
        <w:rPr>
          <w:rFonts w:eastAsia="MS Mincho"/>
          <w:lang w:val="ro-RO"/>
        </w:rPr>
        <w:t xml:space="preserve"> un ordin de indisponibilizare emise de instanțele române destinat autorităților din Austria. </w:t>
      </w:r>
    </w:p>
    <w:p w:rsidR="00AB5B13"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În aceeași perioadă de referință, </w:t>
      </w:r>
      <w:r w:rsidRPr="002152E4">
        <w:rPr>
          <w:rFonts w:eastAsia="MS Mincho"/>
          <w:lang w:val="ro-RO"/>
        </w:rPr>
        <w:t xml:space="preserve">SERVICIUL COOPERARE JUDICIARĂ INTERNAŢIONALĂ ÎN MATERIE PENALĂ </w:t>
      </w:r>
      <w:r w:rsidR="00FE05E5" w:rsidRPr="002152E4">
        <w:rPr>
          <w:rFonts w:eastAsia="MS Mincho"/>
          <w:lang w:val="ro-RO"/>
        </w:rPr>
        <w:t xml:space="preserve"> a gestionat un număr de 2 ordine de indisponibilizare emise de autoritățile din Danemarca vizând infracțiunile de înșelăciune în bandă organizată, spălare de bani rezultați dintr-o înșelăciune în bandă organizată.</w:t>
      </w:r>
    </w:p>
    <w:p w:rsidR="00FE05E5"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Infracțiunile vizate au fost: trafic de stupefiante, înșelăciune. </w:t>
      </w:r>
    </w:p>
    <w:p w:rsidR="00AB5B13"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Cu privire la ordinele de confiscare emise în baza </w:t>
      </w:r>
      <w:r w:rsidR="00FE05E5" w:rsidRPr="002152E4">
        <w:rPr>
          <w:rFonts w:eastAsia="MS Mincho"/>
          <w:b/>
          <w:lang w:val="ro-RO"/>
        </w:rPr>
        <w:t>DC 200</w:t>
      </w:r>
      <w:r w:rsidR="004777EA">
        <w:rPr>
          <w:rFonts w:eastAsia="MS Mincho"/>
          <w:b/>
          <w:lang w:val="ro-RO"/>
        </w:rPr>
        <w:t>6/783/JAI din 26 februarie 2009, î</w:t>
      </w:r>
      <w:r w:rsidR="00FE05E5" w:rsidRPr="002152E4">
        <w:rPr>
          <w:rFonts w:eastAsia="MS Mincho"/>
          <w:lang w:val="ro-RO"/>
        </w:rPr>
        <w:t xml:space="preserve">n aceeași perioadă de referință, </w:t>
      </w:r>
      <w:r w:rsidRPr="002152E4">
        <w:rPr>
          <w:rFonts w:eastAsia="MS Mincho"/>
          <w:lang w:val="ro-RO"/>
        </w:rPr>
        <w:t xml:space="preserve">SERVICIUL COOPERARE JUDICIARĂ INTERNAŢIONALĂ ÎN MATERIE PENALĂ </w:t>
      </w:r>
      <w:r w:rsidR="00FE05E5" w:rsidRPr="002152E4">
        <w:rPr>
          <w:rFonts w:eastAsia="MS Mincho"/>
          <w:lang w:val="ro-RO"/>
        </w:rPr>
        <w:t xml:space="preserve"> a gestionat un număr de 5 ordine de confiscare emise de autoritățile din Austria, SUA, Slovenia, Ungaria și Franța vizând infracțiunile de înșelăciune în bandă organizată, spălare de bani rezultați dintr-o înșelăciune în bandă organizată și 2 cereri au fost transmise direct instanțelor române de executare. </w:t>
      </w:r>
    </w:p>
    <w:p w:rsidR="00FE05E5" w:rsidRPr="002152E4" w:rsidRDefault="00AB5B13" w:rsidP="004777EA">
      <w:pPr>
        <w:jc w:val="both"/>
        <w:rPr>
          <w:rFonts w:eastAsia="MS Mincho"/>
          <w:lang w:val="ro-RO"/>
        </w:rPr>
      </w:pPr>
      <w:r w:rsidRPr="002152E4">
        <w:rPr>
          <w:rFonts w:eastAsia="MS Mincho"/>
          <w:lang w:val="ro-RO"/>
        </w:rPr>
        <w:tab/>
      </w:r>
      <w:r w:rsidR="00FE05E5" w:rsidRPr="002152E4">
        <w:rPr>
          <w:rFonts w:eastAsia="MS Mincho"/>
          <w:lang w:val="ro-RO"/>
        </w:rPr>
        <w:t xml:space="preserve">Infracțiunile vizate au fost: trafic de stupefiante, înșelăciune. </w:t>
      </w:r>
    </w:p>
    <w:p w:rsidR="00FE05E5" w:rsidRPr="002152E4" w:rsidRDefault="00AB5B13" w:rsidP="004777EA">
      <w:pPr>
        <w:autoSpaceDE w:val="0"/>
        <w:autoSpaceDN w:val="0"/>
        <w:adjustRightInd w:val="0"/>
        <w:contextualSpacing/>
        <w:jc w:val="both"/>
        <w:rPr>
          <w:rFonts w:eastAsia="MS Mincho"/>
          <w:lang w:val="ro-RO"/>
        </w:rPr>
      </w:pPr>
      <w:r w:rsidRPr="002152E4">
        <w:rPr>
          <w:rFonts w:eastAsia="MS Mincho"/>
          <w:b/>
          <w:iCs/>
          <w:lang w:val="ro-RO"/>
        </w:rPr>
        <w:tab/>
      </w:r>
      <w:r w:rsidR="00FE05E5" w:rsidRPr="002152E4">
        <w:rPr>
          <w:rFonts w:eastAsia="MS Mincho"/>
          <w:b/>
          <w:iCs/>
          <w:lang w:val="ro-RO"/>
        </w:rPr>
        <w:t>Cu privire la Decizia-cadru 2009/829/JAI</w:t>
      </w:r>
      <w:r w:rsidR="00FE05E5" w:rsidRPr="002152E4">
        <w:rPr>
          <w:rFonts w:eastAsia="MS Mincho"/>
          <w:iCs/>
          <w:lang w:val="ro-RO"/>
        </w:rPr>
        <w:t xml:space="preserve"> a Consiliului din 23 octombrie 2009 privind aplicarea, între statele membre ale Uniunii Europene, a principiului recunoaşterii reciproce în materia deciziilor privind măsurile de supraveghere judiciară ca alternativă la arestarea preventivă, </w:t>
      </w:r>
      <w:r w:rsidR="00FE05E5" w:rsidRPr="002152E4">
        <w:rPr>
          <w:rFonts w:eastAsia="MS Mincho"/>
          <w:lang w:val="ro-RO"/>
        </w:rPr>
        <w:t xml:space="preserve">instanțele române au transmis direct o cerere destinată autorităților bulgare și au primit (direct) 2 cereri adresate de autoritățile din Spania și Ungaria. </w:t>
      </w:r>
    </w:p>
    <w:p w:rsidR="00FE05E5" w:rsidRPr="002152E4" w:rsidRDefault="00AB5B13" w:rsidP="00FE05E5">
      <w:pPr>
        <w:autoSpaceDE w:val="0"/>
        <w:autoSpaceDN w:val="0"/>
        <w:adjustRightInd w:val="0"/>
        <w:contextualSpacing/>
        <w:jc w:val="both"/>
        <w:rPr>
          <w:rFonts w:eastAsia="MS Mincho"/>
          <w:lang w:val="ro-RO"/>
        </w:rPr>
      </w:pPr>
      <w:r w:rsidRPr="002152E4">
        <w:rPr>
          <w:rFonts w:eastAsia="MS Mincho"/>
          <w:b/>
          <w:iCs/>
          <w:lang w:val="ro-RO"/>
        </w:rPr>
        <w:tab/>
      </w:r>
      <w:r w:rsidR="00FE05E5" w:rsidRPr="002152E4">
        <w:rPr>
          <w:rFonts w:eastAsia="MS Mincho"/>
          <w:b/>
          <w:iCs/>
          <w:lang w:val="ro-RO"/>
        </w:rPr>
        <w:t>Cu privire la Decizia-cadru 2008/947/JAI</w:t>
      </w:r>
      <w:r w:rsidR="00FE05E5" w:rsidRPr="002152E4">
        <w:rPr>
          <w:rFonts w:eastAsia="MS Mincho"/>
          <w:iCs/>
          <w:lang w:val="ro-RO"/>
        </w:rPr>
        <w:t xml:space="preserve"> a Consiliului din 27 noiembrie 2008 privind aplicarea principiului recunoaşterii reciproce în cazul hotărârilor judecătoreşti şi al deciziilor de probaţiune în vederea supravegherii măsurilor de probaţiune şi a sancţiunilor alternative, </w:t>
      </w:r>
      <w:r w:rsidR="00FE05E5" w:rsidRPr="002152E4">
        <w:rPr>
          <w:rFonts w:eastAsia="MS Mincho"/>
          <w:lang w:val="ro-RO"/>
        </w:rPr>
        <w:t>instanțele române au transmis direct două cereri destinate autorităților lituaniene și bulgare.</w:t>
      </w:r>
    </w:p>
    <w:p w:rsidR="00AB5B13" w:rsidRPr="002152E4" w:rsidRDefault="00AB5B13" w:rsidP="00FE05E5">
      <w:pPr>
        <w:autoSpaceDE w:val="0"/>
        <w:autoSpaceDN w:val="0"/>
        <w:adjustRightInd w:val="0"/>
        <w:jc w:val="both"/>
        <w:rPr>
          <w:rFonts w:eastAsia="MS Mincho"/>
          <w:b/>
          <w:lang w:val="ro-RO"/>
        </w:rPr>
      </w:pPr>
      <w:r w:rsidRPr="002152E4">
        <w:rPr>
          <w:rFonts w:eastAsia="MS Mincho"/>
          <w:b/>
          <w:lang w:val="ro-RO"/>
        </w:rPr>
        <w:tab/>
      </w:r>
      <w:r w:rsidR="00FE05E5" w:rsidRPr="002152E4">
        <w:rPr>
          <w:rFonts w:eastAsia="MS Mincho"/>
          <w:b/>
          <w:lang w:val="ro-RO"/>
        </w:rPr>
        <w:t>Sancţiuni pecuniare (DC  2005/214/JAI din 24 februarie 2005</w:t>
      </w:r>
      <w:r w:rsidRPr="002152E4">
        <w:rPr>
          <w:rFonts w:eastAsia="MS Mincho"/>
          <w:b/>
          <w:lang w:val="ro-RO"/>
        </w:rPr>
        <w:t>)</w:t>
      </w:r>
    </w:p>
    <w:p w:rsidR="00FE05E5" w:rsidRPr="002152E4" w:rsidRDefault="00AB5B13" w:rsidP="004777EA">
      <w:pPr>
        <w:autoSpaceDE w:val="0"/>
        <w:autoSpaceDN w:val="0"/>
        <w:adjustRightInd w:val="0"/>
        <w:jc w:val="both"/>
        <w:rPr>
          <w:rFonts w:eastAsia="MS Mincho"/>
          <w:lang w:val="ro-RO"/>
        </w:rPr>
      </w:pPr>
      <w:r w:rsidRPr="002152E4">
        <w:rPr>
          <w:rFonts w:eastAsia="MS Mincho"/>
          <w:b/>
          <w:lang w:val="ro-RO"/>
        </w:rPr>
        <w:tab/>
      </w:r>
      <w:r w:rsidR="00FE05E5" w:rsidRPr="002152E4">
        <w:rPr>
          <w:rFonts w:eastAsia="MS Mincho"/>
          <w:lang w:val="ro-RO"/>
        </w:rPr>
        <w:t xml:space="preserve">În anul 2016, </w:t>
      </w:r>
      <w:r w:rsidRPr="002152E4">
        <w:rPr>
          <w:rFonts w:eastAsia="MS Mincho"/>
          <w:lang w:val="ro-RO"/>
        </w:rPr>
        <w:t xml:space="preserve">SERVICIUL COOPERARE JUDICIARĂ INTERNAŢIONALĂ ÎN MATERIE PENALĂ </w:t>
      </w:r>
      <w:r w:rsidR="00FE05E5" w:rsidRPr="002152E4">
        <w:rPr>
          <w:rFonts w:eastAsia="MS Mincho"/>
          <w:lang w:val="ro-RO"/>
        </w:rPr>
        <w:t xml:space="preserve"> a gestionat (primire, analiză, transmitere, coordonare) </w:t>
      </w:r>
      <w:r w:rsidR="00FE05E5" w:rsidRPr="002152E4">
        <w:rPr>
          <w:rFonts w:eastAsia="MS Mincho"/>
          <w:b/>
          <w:lang w:val="ro-RO"/>
        </w:rPr>
        <w:t xml:space="preserve">1005 de hotărâri definitive </w:t>
      </w:r>
      <w:r w:rsidR="00FE05E5" w:rsidRPr="002152E4">
        <w:rPr>
          <w:rFonts w:eastAsia="MS Mincho"/>
          <w:lang w:val="ro-RO"/>
        </w:rPr>
        <w:t>(la care se adaugă un număr de 36 de cereri transmise direct autorităților române de executare)</w:t>
      </w:r>
      <w:r w:rsidR="00FE05E5" w:rsidRPr="002152E4">
        <w:rPr>
          <w:rFonts w:eastAsia="MS Mincho"/>
          <w:b/>
          <w:lang w:val="ro-RO"/>
        </w:rPr>
        <w:t xml:space="preserve"> </w:t>
      </w:r>
      <w:r w:rsidR="00FE05E5" w:rsidRPr="002152E4">
        <w:rPr>
          <w:rFonts w:eastAsia="MS Mincho"/>
          <w:lang w:val="ro-RO"/>
        </w:rPr>
        <w:t xml:space="preserve">prin care persoanelor aflate pe teritoriul României au fost obligate la plata unor sancţiuni pecuniare. La acestea se adaugă 17 cereri </w:t>
      </w:r>
      <w:r w:rsidR="00FE05E5" w:rsidRPr="002152E4">
        <w:rPr>
          <w:rFonts w:eastAsia="MS Mincho"/>
          <w:lang w:val="ro-RO"/>
        </w:rPr>
        <w:lastRenderedPageBreak/>
        <w:t xml:space="preserve">emise de autoritățile române (15 transmise prin intermediul Ministerului Justiției și 2 transmise direct instanței străine de executare). Suma totală depășește 400.000 euro, respectiv 600 lire sterline. Valoarea medie a unei sancţiuni pecuniare este de 300 euro. </w:t>
      </w:r>
    </w:p>
    <w:p w:rsidR="00FE05E5" w:rsidRPr="002152E4" w:rsidRDefault="00AB5B13" w:rsidP="00FE05E5">
      <w:pPr>
        <w:jc w:val="both"/>
        <w:rPr>
          <w:rFonts w:eastAsia="MS Mincho"/>
          <w:b/>
          <w:lang w:val="ro-RO"/>
        </w:rPr>
      </w:pPr>
      <w:r w:rsidRPr="002152E4">
        <w:rPr>
          <w:rFonts w:eastAsia="MS Mincho"/>
          <w:lang w:val="ro-RO"/>
        </w:rPr>
        <w:tab/>
      </w:r>
      <w:r w:rsidR="00FE05E5" w:rsidRPr="002152E4">
        <w:rPr>
          <w:rFonts w:eastAsia="MS Mincho"/>
          <w:lang w:val="ro-RO"/>
        </w:rPr>
        <w:t xml:space="preserve"> Majoritatea sancţiunilor pecuniare au fost aplicate pentru săvârşirea de </w:t>
      </w:r>
      <w:r w:rsidR="00FE05E5" w:rsidRPr="002152E4">
        <w:rPr>
          <w:rFonts w:eastAsia="MS Mincho"/>
          <w:b/>
          <w:lang w:val="ro-RO"/>
        </w:rPr>
        <w:t>infracţiuni la regimul circulaţiei pe drumurile publice</w:t>
      </w:r>
      <w:r w:rsidR="00FE05E5" w:rsidRPr="002152E4">
        <w:rPr>
          <w:rFonts w:eastAsia="MS Mincho"/>
          <w:lang w:val="ro-RO"/>
        </w:rPr>
        <w:t xml:space="preserve"> </w:t>
      </w:r>
      <w:r w:rsidR="00FE05E5" w:rsidRPr="002152E4">
        <w:rPr>
          <w:rFonts w:eastAsia="MS Mincho"/>
          <w:b/>
          <w:lang w:val="ro-RO"/>
        </w:rPr>
        <w:t xml:space="preserve">sau infracțiuni contra patrimoniului. </w:t>
      </w:r>
    </w:p>
    <w:p w:rsidR="00FE05E5" w:rsidRPr="002152E4" w:rsidRDefault="00AB5B13" w:rsidP="004777EA">
      <w:pPr>
        <w:jc w:val="both"/>
        <w:rPr>
          <w:rFonts w:eastAsia="MS Mincho"/>
          <w:lang w:val="ro-RO"/>
        </w:rPr>
      </w:pPr>
      <w:r w:rsidRPr="002152E4">
        <w:rPr>
          <w:rFonts w:eastAsia="MS Mincho"/>
          <w:b/>
          <w:lang w:val="ro-RO"/>
        </w:rPr>
        <w:tab/>
      </w:r>
      <w:r w:rsidR="00FE05E5" w:rsidRPr="002152E4">
        <w:rPr>
          <w:rFonts w:eastAsia="MS Mincho"/>
          <w:lang w:val="ro-RO"/>
        </w:rPr>
        <w:t xml:space="preserve">În anul 2016, </w:t>
      </w:r>
      <w:r w:rsidRPr="002152E4">
        <w:rPr>
          <w:rFonts w:eastAsia="MS Mincho"/>
          <w:lang w:val="ro-RO"/>
        </w:rPr>
        <w:t xml:space="preserve">SERVICIUL COOPERARE JUDICIARĂ INTERNAŢIONALĂ ÎN MATERIE PENALĂ </w:t>
      </w:r>
      <w:r w:rsidR="00FE05E5" w:rsidRPr="002152E4">
        <w:rPr>
          <w:rFonts w:eastAsia="MS Mincho"/>
          <w:lang w:val="ro-RO"/>
        </w:rPr>
        <w:t xml:space="preserve"> a gestionat (primire, analiză, transmitere, coordonare</w:t>
      </w:r>
      <w:r w:rsidR="00FE05E5" w:rsidRPr="004777EA">
        <w:rPr>
          <w:rFonts w:eastAsia="MS Mincho"/>
          <w:lang w:val="ro-RO"/>
        </w:rPr>
        <w:t xml:space="preserve">) 15 hotărâri definitive prin care persoanelor aflate pe teritoriul altor state membre ale Uniunii Europene au fost obligate la plata unor sancţiuni pecuniare constând în </w:t>
      </w:r>
      <w:r w:rsidR="00FE05E5" w:rsidRPr="004777EA">
        <w:rPr>
          <w:rFonts w:eastAsia="MS Mincho"/>
          <w:i/>
          <w:lang w:val="ro-RO"/>
        </w:rPr>
        <w:t xml:space="preserve">cheltuieli judiciare avansate de stat şi despăgubiri ( în sumă de peste 25.400 lei) </w:t>
      </w:r>
      <w:r w:rsidR="00FE05E5" w:rsidRPr="004777EA">
        <w:rPr>
          <w:rFonts w:eastAsia="MS Mincho"/>
          <w:lang w:val="ro-RO"/>
        </w:rPr>
        <w:t xml:space="preserve">aplicate prin hotărâri judecătoreşti definitive date în cauze în care au fost cercetate persoane sub aspectul săvârşirii de infracţiuni de evaziune fiscală, trafic de droguri, trafic de persoane şi ucidere din culpă. </w:t>
      </w:r>
    </w:p>
    <w:p w:rsidR="00FE05E5" w:rsidRPr="002152E4" w:rsidRDefault="00AB5B13" w:rsidP="00FE05E5">
      <w:pPr>
        <w:jc w:val="both"/>
        <w:rPr>
          <w:rFonts w:eastAsia="MS Mincho"/>
          <w:b/>
          <w:lang w:val="ro-RO"/>
        </w:rPr>
      </w:pPr>
      <w:r w:rsidRPr="002152E4">
        <w:rPr>
          <w:rFonts w:eastAsia="MS Mincho"/>
          <w:b/>
          <w:lang w:val="ro-RO"/>
        </w:rPr>
        <w:tab/>
      </w:r>
      <w:r w:rsidR="00FE05E5" w:rsidRPr="002152E4">
        <w:rPr>
          <w:rFonts w:eastAsia="MS Mincho"/>
          <w:b/>
          <w:lang w:val="ro-RO"/>
        </w:rPr>
        <w:t xml:space="preserve">Punerea în executare a </w:t>
      </w:r>
      <w:r w:rsidR="00FE05E5" w:rsidRPr="002152E4">
        <w:rPr>
          <w:rFonts w:eastAsia="MS Mincho"/>
          <w:b/>
          <w:i/>
          <w:lang w:val="ro-RO"/>
        </w:rPr>
        <w:t>cheltuielilor judiciare avansate de stat</w:t>
      </w:r>
      <w:r w:rsidR="00FE05E5" w:rsidRPr="002152E4">
        <w:rPr>
          <w:rFonts w:eastAsia="MS Mincho"/>
          <w:b/>
          <w:lang w:val="ro-RO"/>
        </w:rPr>
        <w:t xml:space="preserve"> în relaţia cu state nemembre ale Uniunii Europene</w:t>
      </w:r>
    </w:p>
    <w:p w:rsidR="00FE05E5" w:rsidRPr="002152E4" w:rsidRDefault="00AB5B13" w:rsidP="00FE05E5">
      <w:pPr>
        <w:jc w:val="both"/>
        <w:rPr>
          <w:rFonts w:eastAsia="MS Mincho"/>
          <w:lang w:val="ro-RO"/>
        </w:rPr>
      </w:pPr>
      <w:r w:rsidRPr="002152E4">
        <w:rPr>
          <w:rFonts w:eastAsia="MS Mincho"/>
          <w:lang w:val="ro-RO"/>
        </w:rPr>
        <w:tab/>
      </w:r>
      <w:r w:rsidR="00FE05E5" w:rsidRPr="002152E4">
        <w:rPr>
          <w:rFonts w:eastAsia="MS Mincho"/>
          <w:lang w:val="ro-RO"/>
        </w:rPr>
        <w:t xml:space="preserve">În perioada de referință 194 de cereri procesate prin intermediul </w:t>
      </w:r>
      <w:r w:rsidRPr="002152E4">
        <w:rPr>
          <w:rFonts w:eastAsia="MS Mincho"/>
          <w:lang w:val="ro-RO"/>
        </w:rPr>
        <w:t xml:space="preserve">SERVICIUL COOPERARE JUDICIARĂ INTERNAŢIONALĂ ÎN MATERIE PENALĂ </w:t>
      </w:r>
      <w:r w:rsidR="00FE05E5" w:rsidRPr="002152E4">
        <w:rPr>
          <w:rFonts w:eastAsia="MS Mincho"/>
          <w:lang w:val="ro-RO"/>
        </w:rPr>
        <w:t xml:space="preserve"> au avut ca obiect recunoașterea și executarea pe teritoriul altor state a sentințelor penale de condamnare</w:t>
      </w:r>
      <w:r w:rsidR="004777EA">
        <w:rPr>
          <w:rFonts w:eastAsia="MS Mincho"/>
          <w:lang w:val="ro-RO"/>
        </w:rPr>
        <w:t xml:space="preserve"> emise de autorităților române.</w:t>
      </w:r>
    </w:p>
    <w:p w:rsidR="00FE05E5" w:rsidRPr="004777EA" w:rsidRDefault="00AB5B13" w:rsidP="00FE05E5">
      <w:pPr>
        <w:jc w:val="both"/>
        <w:rPr>
          <w:rFonts w:eastAsia="MS Mincho"/>
          <w:lang w:val="ro-RO"/>
        </w:rPr>
      </w:pPr>
      <w:r w:rsidRPr="002152E4">
        <w:rPr>
          <w:rFonts w:eastAsia="MS Mincho"/>
          <w:lang w:val="ro-RO"/>
        </w:rPr>
        <w:tab/>
      </w:r>
      <w:r w:rsidR="00FE05E5" w:rsidRPr="002152E4">
        <w:rPr>
          <w:rFonts w:eastAsia="MS Mincho"/>
          <w:b/>
          <w:lang w:val="ro-RO"/>
        </w:rPr>
        <w:t>Comunicarea de informaţii din cazierul judiciar şi de hotărâri judecătoreşti</w:t>
      </w:r>
    </w:p>
    <w:p w:rsidR="00FE05E5" w:rsidRPr="002152E4" w:rsidRDefault="00AB5B13" w:rsidP="00AB5B13">
      <w:pPr>
        <w:jc w:val="both"/>
        <w:rPr>
          <w:rFonts w:eastAsia="MS Mincho"/>
          <w:lang w:val="ro-RO"/>
        </w:rPr>
      </w:pPr>
      <w:r w:rsidRPr="002152E4">
        <w:rPr>
          <w:rFonts w:eastAsia="MS Mincho"/>
          <w:lang w:val="ro-RO"/>
        </w:rPr>
        <w:tab/>
      </w:r>
      <w:r w:rsidR="00FE05E5" w:rsidRPr="002152E4">
        <w:rPr>
          <w:rFonts w:eastAsia="MS Mincho"/>
          <w:lang w:val="ro-RO"/>
        </w:rPr>
        <w:t xml:space="preserve">În anul 2016, </w:t>
      </w:r>
      <w:r w:rsidRPr="002152E4">
        <w:rPr>
          <w:rFonts w:eastAsia="MS Mincho"/>
          <w:lang w:val="ro-RO"/>
        </w:rPr>
        <w:t xml:space="preserve">SERVICIUL COOPERARE JUDICIARĂ INTERNAŢIONALĂ ÎN MATERIE PENALĂ </w:t>
      </w:r>
      <w:r w:rsidR="00FE05E5" w:rsidRPr="002152E4">
        <w:rPr>
          <w:rFonts w:eastAsia="MS Mincho"/>
          <w:lang w:val="ro-RO"/>
        </w:rPr>
        <w:t xml:space="preserve"> a primit a gestionat (primire, analiză, transmitere) un număr de 130 de caziere judiciare şi hotărâri judecătoreşti date de instanţele străine şi române împotriva unor cetăţeni români sau străini, după caz. Cererile au avut ca obiect comunicarea hotărâri judecătoreşti date de instanţele străine împotriva unor cetăţeni străini (art. 22 din Convenţia Consiliului Europei din 1959). </w:t>
      </w:r>
    </w:p>
    <w:p w:rsidR="00AB5B13" w:rsidRPr="002152E4" w:rsidRDefault="00AB5B13" w:rsidP="00AB5B13">
      <w:pPr>
        <w:jc w:val="both"/>
        <w:rPr>
          <w:rFonts w:eastAsia="MS Mincho"/>
          <w:lang w:val="ro-RO"/>
        </w:rPr>
      </w:pPr>
    </w:p>
    <w:p w:rsidR="00FE05E5" w:rsidRPr="004777EA" w:rsidRDefault="00AB5B13" w:rsidP="004777EA">
      <w:pPr>
        <w:autoSpaceDE w:val="0"/>
        <w:autoSpaceDN w:val="0"/>
        <w:adjustRightInd w:val="0"/>
        <w:ind w:right="79"/>
        <w:jc w:val="both"/>
        <w:rPr>
          <w:b/>
          <w:lang w:val="ro-RO" w:eastAsia="ro-RO"/>
        </w:rPr>
      </w:pPr>
      <w:r w:rsidRPr="002152E4">
        <w:rPr>
          <w:rFonts w:ascii="Times New Roman" w:hAnsi="Times New Roman"/>
          <w:b/>
          <w:lang w:val="ro-RO" w:eastAsia="ro-RO"/>
        </w:rPr>
        <w:tab/>
      </w:r>
      <w:r w:rsidR="00FE05E5" w:rsidRPr="002152E4">
        <w:rPr>
          <w:b/>
          <w:lang w:val="ro-RO" w:eastAsia="ro-RO"/>
        </w:rPr>
        <w:t>Date relevante privind lucrările efectuate în domeniul cooperării judiciare internaţionale în materie civilă şi comercială</w:t>
      </w:r>
      <w:r w:rsidRPr="002152E4">
        <w:rPr>
          <w:b/>
          <w:vertAlign w:val="superscript"/>
          <w:lang w:val="ro-RO" w:eastAsia="ro-RO"/>
        </w:rPr>
        <w:t xml:space="preserve"> </w:t>
      </w:r>
      <w:r w:rsidR="00FE05E5" w:rsidRPr="002152E4">
        <w:rPr>
          <w:b/>
          <w:lang w:val="ro-RO" w:eastAsia="ro-RO"/>
        </w:rPr>
        <w:t>în cadrul Serviciului de cooperare judiciară internaţională în materie civilă şi comercială</w:t>
      </w:r>
      <w:r w:rsidR="00FE05E5" w:rsidRPr="002152E4">
        <w:rPr>
          <w:b/>
          <w:lang w:val="ro-RO" w:eastAsia="ro-RO"/>
        </w:rPr>
        <w:tab/>
      </w:r>
      <w:r w:rsidR="00FE05E5" w:rsidRPr="002152E4">
        <w:rPr>
          <w:rFonts w:eastAsia="MS Mincho"/>
          <w:lang w:val="ro-RO"/>
        </w:rPr>
        <w:tab/>
        <w:t xml:space="preserve"> </w:t>
      </w:r>
    </w:p>
    <w:p w:rsidR="004777EA" w:rsidRDefault="00FE05E5" w:rsidP="00AB5B13">
      <w:pPr>
        <w:spacing w:after="120"/>
        <w:jc w:val="both"/>
        <w:rPr>
          <w:rFonts w:eastAsia="MS Mincho"/>
          <w:lang w:val="ro-RO"/>
        </w:rPr>
      </w:pPr>
      <w:r w:rsidRPr="002152E4">
        <w:rPr>
          <w:rFonts w:eastAsia="MS Mincho"/>
          <w:lang w:val="ro-RO"/>
        </w:rPr>
        <w:t xml:space="preserve">- </w:t>
      </w:r>
      <w:r w:rsidRPr="002152E4">
        <w:rPr>
          <w:rFonts w:eastAsia="MS Mincho"/>
          <w:b/>
          <w:bCs/>
          <w:lang w:val="ro-RO"/>
        </w:rPr>
        <w:t xml:space="preserve">325 </w:t>
      </w:r>
      <w:r w:rsidRPr="002152E4">
        <w:rPr>
          <w:rFonts w:eastAsia="MS Mincho"/>
          <w:lang w:val="ro-RO"/>
        </w:rPr>
        <w:t xml:space="preserve">cereri de asistenţă judiciară având ca obiect comunicări de acte, formulate de instanţele judecătoreşti române, transmise în SM ale UE, în baza Regulamentului nr.1393/2007 privind comunicarea actelor judiciare şi </w:t>
      </w:r>
      <w:r w:rsidR="004777EA">
        <w:rPr>
          <w:rFonts w:eastAsia="MS Mincho"/>
          <w:lang w:val="ro-RO"/>
        </w:rPr>
        <w:t>extrajudiciare în materie civilă.</w:t>
      </w:r>
    </w:p>
    <w:p w:rsidR="00FE05E5" w:rsidRPr="002152E4" w:rsidRDefault="00FE05E5" w:rsidP="00AB5B13">
      <w:pPr>
        <w:spacing w:after="120"/>
        <w:jc w:val="both"/>
        <w:rPr>
          <w:rFonts w:eastAsia="MS Mincho"/>
          <w:lang w:val="ro-RO"/>
        </w:rPr>
      </w:pPr>
      <w:r w:rsidRPr="002152E4">
        <w:rPr>
          <w:rFonts w:eastAsia="MS Mincho"/>
          <w:lang w:val="ro-RO"/>
        </w:rPr>
        <w:t xml:space="preserve">- </w:t>
      </w:r>
      <w:r w:rsidRPr="002152E4">
        <w:rPr>
          <w:rFonts w:eastAsia="MS Mincho"/>
          <w:b/>
          <w:bCs/>
          <w:lang w:val="ro-RO"/>
        </w:rPr>
        <w:t>157</w:t>
      </w:r>
      <w:r w:rsidRPr="002152E4">
        <w:rPr>
          <w:rFonts w:eastAsia="MS Mincho"/>
          <w:lang w:val="ro-RO"/>
        </w:rPr>
        <w:t xml:space="preserve"> cereri de asistenţă judiciară având ca obiect comunicări de acte către persoane fizice/juridice cu domiciliul/sediul în România, formulate de instanţele judecătoreşti din Statele Membre ale Uniunii Europene, în baza Regulamentului nr.1393/2007 privind comunicarea actelor judiciare şi ex</w:t>
      </w:r>
      <w:r w:rsidR="004777EA">
        <w:rPr>
          <w:rFonts w:eastAsia="MS Mincho"/>
          <w:lang w:val="ro-RO"/>
        </w:rPr>
        <w:t>trajudiciare în materie civilă.</w:t>
      </w:r>
    </w:p>
    <w:p w:rsidR="00FE05E5" w:rsidRPr="002152E4" w:rsidRDefault="00FE05E5" w:rsidP="00AB5B13">
      <w:pPr>
        <w:spacing w:after="120"/>
        <w:jc w:val="both"/>
        <w:rPr>
          <w:rFonts w:eastAsia="MS Mincho"/>
          <w:lang w:val="ro-RO"/>
        </w:rPr>
      </w:pPr>
      <w:r w:rsidRPr="002152E4">
        <w:rPr>
          <w:rFonts w:eastAsia="MS Mincho"/>
          <w:lang w:val="ro-RO"/>
        </w:rPr>
        <w:t xml:space="preserve">- </w:t>
      </w:r>
      <w:r w:rsidRPr="002152E4">
        <w:rPr>
          <w:rFonts w:eastAsia="MS Mincho"/>
          <w:b/>
          <w:lang w:val="ro-RO"/>
        </w:rPr>
        <w:t>35</w:t>
      </w:r>
      <w:r w:rsidRPr="002152E4">
        <w:rPr>
          <w:rFonts w:eastAsia="MS Mincho"/>
          <w:lang w:val="ro-RO"/>
        </w:rPr>
        <w:t xml:space="preserve"> cereri de deblocare formulate de instanțele române sau străine în aplicar</w:t>
      </w:r>
      <w:r w:rsidR="004777EA">
        <w:rPr>
          <w:rFonts w:eastAsia="MS Mincho"/>
          <w:lang w:val="ro-RO"/>
        </w:rPr>
        <w:t>ea Regulamentului nr.1393/2007.</w:t>
      </w:r>
    </w:p>
    <w:p w:rsidR="00FE05E5" w:rsidRPr="002152E4" w:rsidRDefault="00FE05E5" w:rsidP="00AB5B13">
      <w:pPr>
        <w:spacing w:after="120"/>
        <w:jc w:val="both"/>
        <w:rPr>
          <w:rFonts w:eastAsia="MS Mincho"/>
          <w:lang w:val="ro-RO"/>
        </w:rPr>
      </w:pPr>
      <w:r w:rsidRPr="002152E4">
        <w:rPr>
          <w:rFonts w:eastAsia="MS Mincho"/>
          <w:lang w:val="ro-RO"/>
        </w:rPr>
        <w:t xml:space="preserve">- </w:t>
      </w:r>
      <w:r w:rsidRPr="002152E4">
        <w:rPr>
          <w:rFonts w:eastAsia="MS Mincho"/>
          <w:b/>
          <w:bCs/>
          <w:lang w:val="ro-RO"/>
        </w:rPr>
        <w:t xml:space="preserve">356  </w:t>
      </w:r>
      <w:r w:rsidRPr="002152E4">
        <w:rPr>
          <w:rFonts w:eastAsia="MS Mincho"/>
          <w:lang w:val="ro-RO"/>
        </w:rPr>
        <w:t>cereri de comisie rogatorie formulate de instanțele române, transmise în SM ale UE, în baza Regulamentului nr. 1206/2001 privind cooperarea între instanțele statelor membre în domeniul obţinerii de probe î</w:t>
      </w:r>
      <w:r w:rsidR="004777EA">
        <w:rPr>
          <w:rFonts w:eastAsia="MS Mincho"/>
          <w:lang w:val="ro-RO"/>
        </w:rPr>
        <w:t>n materie civilă sau comercială.</w:t>
      </w:r>
    </w:p>
    <w:p w:rsidR="00FE05E5" w:rsidRPr="002152E4" w:rsidRDefault="00FE05E5" w:rsidP="00AB5B13">
      <w:pPr>
        <w:spacing w:after="120"/>
        <w:jc w:val="both"/>
        <w:rPr>
          <w:rFonts w:eastAsia="MS Mincho"/>
          <w:lang w:val="ro-RO"/>
        </w:rPr>
      </w:pPr>
      <w:r w:rsidRPr="002152E4">
        <w:rPr>
          <w:rFonts w:eastAsia="MS Mincho"/>
          <w:lang w:val="ro-RO"/>
        </w:rPr>
        <w:t xml:space="preserve">- </w:t>
      </w:r>
      <w:r w:rsidRPr="002152E4">
        <w:rPr>
          <w:rFonts w:eastAsia="MS Mincho"/>
          <w:b/>
          <w:bCs/>
          <w:lang w:val="ro-RO"/>
        </w:rPr>
        <w:t>16</w:t>
      </w:r>
      <w:r w:rsidRPr="002152E4">
        <w:rPr>
          <w:rFonts w:eastAsia="MS Mincho"/>
          <w:lang w:val="ro-RO"/>
        </w:rPr>
        <w:t>  cereri de comisie rogatorie formulate de instanţele SM ale UE în baza Regulamentului nr. 1206/2001 privind cooperarea între instanţele statelor membre în domeniul obţinerii de probe î</w:t>
      </w:r>
      <w:r w:rsidR="004777EA">
        <w:rPr>
          <w:rFonts w:eastAsia="MS Mincho"/>
          <w:lang w:val="ro-RO"/>
        </w:rPr>
        <w:t>n materie civilă sau comercială.</w:t>
      </w:r>
    </w:p>
    <w:p w:rsidR="004777EA" w:rsidRDefault="00FE05E5" w:rsidP="00AB5B13">
      <w:pPr>
        <w:spacing w:after="120"/>
        <w:jc w:val="both"/>
        <w:rPr>
          <w:rFonts w:eastAsia="MS Mincho"/>
          <w:lang w:val="ro-RO"/>
        </w:rPr>
      </w:pPr>
      <w:r w:rsidRPr="002152E4">
        <w:rPr>
          <w:rFonts w:eastAsia="MS Mincho"/>
          <w:lang w:val="ro-RO"/>
        </w:rPr>
        <w:t xml:space="preserve">- </w:t>
      </w:r>
      <w:r w:rsidRPr="002152E4">
        <w:rPr>
          <w:rFonts w:eastAsia="MS Mincho"/>
          <w:b/>
          <w:lang w:val="ro-RO"/>
        </w:rPr>
        <w:t xml:space="preserve">111 </w:t>
      </w:r>
      <w:r w:rsidRPr="002152E4">
        <w:rPr>
          <w:rFonts w:eastAsia="MS Mincho"/>
          <w:lang w:val="ro-RO"/>
        </w:rPr>
        <w:t>cereri de deblocare formulate de instanțele române sau străine în aplicar</w:t>
      </w:r>
      <w:r w:rsidR="004777EA">
        <w:rPr>
          <w:rFonts w:eastAsia="MS Mincho"/>
          <w:lang w:val="ro-RO"/>
        </w:rPr>
        <w:t>ea Regulamentului nr. 1206/2001.</w:t>
      </w:r>
    </w:p>
    <w:p w:rsidR="00FE05E5" w:rsidRPr="002152E4" w:rsidRDefault="00031B39" w:rsidP="00AB5B13">
      <w:pPr>
        <w:spacing w:after="120"/>
        <w:jc w:val="both"/>
        <w:rPr>
          <w:rFonts w:eastAsia="MS Mincho"/>
          <w:lang w:val="ro-RO"/>
        </w:rPr>
      </w:pPr>
      <w:r w:rsidRPr="002152E4">
        <w:rPr>
          <w:rFonts w:eastAsia="MS Mincho"/>
          <w:lang w:val="ro-RO"/>
        </w:rPr>
        <w:tab/>
      </w:r>
      <w:r w:rsidR="00FE05E5" w:rsidRPr="002152E4">
        <w:rPr>
          <w:rFonts w:eastAsia="MS Mincho"/>
          <w:lang w:val="ro-RO"/>
        </w:rPr>
        <w:t>De asemenea, la Ministerul Justiției au fost înregistrate şi transmise, în străinătate (state nemembre ale Uniunii Europene):</w:t>
      </w:r>
    </w:p>
    <w:p w:rsidR="00FE05E5" w:rsidRPr="002152E4" w:rsidRDefault="00FE05E5" w:rsidP="00AB5B13">
      <w:pPr>
        <w:spacing w:after="120"/>
        <w:jc w:val="both"/>
        <w:rPr>
          <w:rFonts w:eastAsia="MS Mincho"/>
          <w:lang w:val="ro-RO"/>
        </w:rPr>
      </w:pPr>
      <w:r w:rsidRPr="002152E4">
        <w:rPr>
          <w:rFonts w:eastAsia="MS Mincho"/>
          <w:lang w:val="ro-RO"/>
        </w:rPr>
        <w:t xml:space="preserve">- </w:t>
      </w:r>
      <w:r w:rsidRPr="002152E4">
        <w:rPr>
          <w:rFonts w:eastAsia="MS Mincho"/>
          <w:b/>
          <w:lang w:val="ro-RO"/>
        </w:rPr>
        <w:t xml:space="preserve"> 385 </w:t>
      </w:r>
      <w:r w:rsidRPr="002152E4">
        <w:rPr>
          <w:rFonts w:eastAsia="MS Mincho"/>
          <w:lang w:val="ro-RO"/>
        </w:rPr>
        <w:t>cereri de  asistenţă judiciară având ca obiect comunicări de acte, formulate de instanţele judecătoreşti române, în baza Convenţiei privind notificarea şi comunicarea de acte judiciare şi extrajudiciare, Haga, 1965, precum şi a tratatelor/convenţiilor bilaterale/curtoaziei internaţionale,;</w:t>
      </w:r>
    </w:p>
    <w:p w:rsidR="00FE05E5" w:rsidRPr="002152E4" w:rsidRDefault="00FE05E5" w:rsidP="00AB5B13">
      <w:pPr>
        <w:spacing w:after="120"/>
        <w:jc w:val="both"/>
        <w:rPr>
          <w:rFonts w:eastAsia="MS Mincho"/>
          <w:lang w:val="ro-RO"/>
        </w:rPr>
      </w:pPr>
      <w:r w:rsidRPr="002152E4">
        <w:rPr>
          <w:rFonts w:eastAsia="MS Mincho"/>
          <w:lang w:val="ro-RO"/>
        </w:rPr>
        <w:lastRenderedPageBreak/>
        <w:t xml:space="preserve">- </w:t>
      </w:r>
      <w:r w:rsidRPr="002152E4">
        <w:rPr>
          <w:rFonts w:eastAsia="MS Mincho"/>
          <w:b/>
          <w:lang w:val="ro-RO"/>
        </w:rPr>
        <w:t xml:space="preserve"> 112 c</w:t>
      </w:r>
      <w:r w:rsidRPr="002152E4">
        <w:rPr>
          <w:rFonts w:eastAsia="MS Mincho"/>
          <w:lang w:val="ro-RO"/>
        </w:rPr>
        <w:t>ereri de asistenţă judiciară internaţională având ca obiect obţinerea de probe, formulate de instanţele judecătoreşti, în baza Convenţiei privind obţinerea de probe în străinătate, Haga, 1970, precum şi a tratatelor/convenţiilor bilaterale/ curtoaziei internaţionale</w:t>
      </w:r>
      <w:r w:rsidR="004777EA">
        <w:rPr>
          <w:rFonts w:eastAsia="MS Mincho"/>
          <w:lang w:val="ro-RO"/>
        </w:rPr>
        <w:t>.</w:t>
      </w:r>
    </w:p>
    <w:p w:rsidR="00FE05E5" w:rsidRPr="002152E4" w:rsidRDefault="00031B39" w:rsidP="00AB5B13">
      <w:pPr>
        <w:spacing w:after="120"/>
        <w:jc w:val="both"/>
        <w:rPr>
          <w:rFonts w:eastAsia="MS Mincho"/>
          <w:lang w:val="ro-RO"/>
        </w:rPr>
      </w:pPr>
      <w:r w:rsidRPr="002152E4">
        <w:rPr>
          <w:rFonts w:eastAsia="MS Mincho"/>
          <w:lang w:val="ro-RO"/>
        </w:rPr>
        <w:tab/>
      </w:r>
      <w:r w:rsidR="00FE05E5" w:rsidRPr="002152E4">
        <w:rPr>
          <w:rFonts w:eastAsia="MS Mincho"/>
          <w:b/>
          <w:lang w:val="ro-RO"/>
        </w:rPr>
        <w:t>În domeniul aspectelor civile ale răpirii internaționale de copii și exercitării/organizării unui drept de vizită trans - frontalier</w:t>
      </w:r>
      <w:r w:rsidR="00FE05E5" w:rsidRPr="002152E4">
        <w:rPr>
          <w:rFonts w:eastAsia="MS Mincho"/>
          <w:lang w:val="ro-RO"/>
        </w:rPr>
        <w:t xml:space="preserve">, în cursul anului 2016, au fost înregistrate 56 cereri noi în aplicarea  </w:t>
      </w:r>
      <w:r w:rsidR="00FE05E5" w:rsidRPr="002152E4">
        <w:rPr>
          <w:rFonts w:eastAsia="MS Mincho"/>
          <w:i/>
          <w:lang w:val="ro-RO"/>
        </w:rPr>
        <w:t>Regulamentului (CE) nr. 2201/2003 al Consiliului din 27.11.2003 privind competența, recunoașterea și executarea hotărârilor judecătorești în materie matrimonială și în materia răspunderii părintești și Convenției de la Haga din 25 octombrie 1980 asupra aspectelor civile ale răpirii internaționale de copi</w:t>
      </w:r>
      <w:r w:rsidR="004777EA">
        <w:rPr>
          <w:rFonts w:eastAsia="MS Mincho"/>
          <w:i/>
          <w:lang w:val="ro-RO"/>
        </w:rPr>
        <w:t>i.</w:t>
      </w:r>
      <w:r w:rsidRPr="002152E4">
        <w:rPr>
          <w:rFonts w:eastAsia="MS Mincho"/>
          <w:lang w:val="ro-RO"/>
        </w:rPr>
        <w:tab/>
      </w:r>
      <w:r w:rsidR="00FE05E5" w:rsidRPr="002152E4">
        <w:rPr>
          <w:rFonts w:eastAsia="MS Mincho"/>
          <w:b/>
          <w:lang w:val="ro-RO"/>
        </w:rPr>
        <w:t xml:space="preserve">În domeniul obligaţiilor de întreţinere, </w:t>
      </w:r>
      <w:r w:rsidR="00FE05E5" w:rsidRPr="002152E4">
        <w:rPr>
          <w:rFonts w:eastAsia="MS Mincho"/>
          <w:lang w:val="ro-RO"/>
        </w:rPr>
        <w:t xml:space="preserve">aferent anului 2016, se aflau în curs de soluționare aproximativ 150 de dosare în/din străinătate, având în vedere caracterul succesiv al executării silite, în aplicarea </w:t>
      </w:r>
      <w:r w:rsidR="00FE05E5" w:rsidRPr="002152E4">
        <w:rPr>
          <w:rFonts w:eastAsia="MS Mincho"/>
          <w:i/>
          <w:lang w:val="ro-RO"/>
        </w:rPr>
        <w:t>Regulamentului (CE) nr. 4/2009 privind competenţa, legea aplicabilă, recunoaşterea şi executarea hotărârilor şi cooperarea în materie de obligaţii de întreţinere</w:t>
      </w:r>
      <w:r w:rsidR="004777EA">
        <w:rPr>
          <w:rFonts w:eastAsia="MS Mincho"/>
          <w:i/>
          <w:lang w:val="ro-RO"/>
        </w:rPr>
        <w:t xml:space="preserve">. </w:t>
      </w:r>
      <w:r w:rsidR="00FE05E5" w:rsidRPr="002152E4">
        <w:rPr>
          <w:rFonts w:eastAsia="MS Mincho"/>
          <w:lang w:val="ro-RO"/>
        </w:rPr>
        <w:t xml:space="preserve">În plus, au fost soluţionate aproximativ 125 de cereri de localizare a adresei debitorilor, la solicitarea instanţelor române/străine. </w:t>
      </w:r>
    </w:p>
    <w:p w:rsidR="00FE05E5" w:rsidRPr="002152E4" w:rsidRDefault="00031B39" w:rsidP="00AB5B13">
      <w:pPr>
        <w:spacing w:after="120"/>
        <w:jc w:val="both"/>
        <w:rPr>
          <w:rFonts w:eastAsia="MS Mincho"/>
          <w:lang w:val="ro-RO"/>
        </w:rPr>
      </w:pPr>
      <w:r w:rsidRPr="002152E4">
        <w:rPr>
          <w:rFonts w:eastAsia="MS Mincho"/>
          <w:lang w:val="ro-RO"/>
        </w:rPr>
        <w:tab/>
      </w:r>
      <w:r w:rsidR="00FE05E5" w:rsidRPr="002152E4">
        <w:rPr>
          <w:rFonts w:eastAsia="MS Mincho"/>
          <w:lang w:val="ro-RO"/>
        </w:rPr>
        <w:t xml:space="preserve">În domeniul obligaţiilor de întreţinere, aferent anului 2016, se aflau în curs de soluţionare aproximativ 100 de dosare în/din străinătate, în aplicarea </w:t>
      </w:r>
      <w:r w:rsidR="00FE05E5" w:rsidRPr="002152E4">
        <w:rPr>
          <w:rFonts w:eastAsia="MS Mincho"/>
          <w:i/>
          <w:lang w:val="ro-RO"/>
        </w:rPr>
        <w:t>Convenţiei de la New York din 1956 privind obligaţiilor de întreţinere</w:t>
      </w:r>
      <w:r w:rsidR="00FE05E5" w:rsidRPr="002152E4">
        <w:rPr>
          <w:rFonts w:eastAsia="MS Mincho"/>
          <w:lang w:val="ro-RO"/>
        </w:rPr>
        <w:t>, în relaţia cu s</w:t>
      </w:r>
      <w:r w:rsidR="004777EA">
        <w:rPr>
          <w:rFonts w:eastAsia="MS Mincho"/>
          <w:lang w:val="ro-RO"/>
        </w:rPr>
        <w:t>tate membre şi nemembre ale UE.</w:t>
      </w:r>
    </w:p>
    <w:p w:rsidR="00FE05E5" w:rsidRPr="002152E4" w:rsidRDefault="00031B39" w:rsidP="00AB5B13">
      <w:pPr>
        <w:spacing w:after="120"/>
        <w:jc w:val="both"/>
        <w:rPr>
          <w:rFonts w:eastAsia="MS Mincho"/>
          <w:i/>
          <w:lang w:val="ro-RO"/>
        </w:rPr>
      </w:pPr>
      <w:r w:rsidRPr="002152E4">
        <w:rPr>
          <w:rFonts w:eastAsia="MS Mincho"/>
          <w:lang w:val="ro-RO"/>
        </w:rPr>
        <w:tab/>
      </w:r>
      <w:r w:rsidR="00FE05E5" w:rsidRPr="002152E4">
        <w:rPr>
          <w:rFonts w:eastAsia="MS Mincho"/>
          <w:lang w:val="ro-RO"/>
        </w:rPr>
        <w:t xml:space="preserve">În domeniul obligațiilor de întreținere, aferent anului 2016, se aflau în curs de soluționare 5 dosare de obținere a pensiei de întreținere din Norvegia, în aplicarea </w:t>
      </w:r>
      <w:r w:rsidR="00FE05E5" w:rsidRPr="002152E4">
        <w:rPr>
          <w:rFonts w:eastAsia="MS Mincho"/>
          <w:i/>
          <w:lang w:val="ro-RO"/>
        </w:rPr>
        <w:t xml:space="preserve">Convenției de la Haga din 2007 privind obținerea pensiei de întreținere din străinătate pentru copii și alți membri ai familiei, aprobată de Uniunea Europeană prin Decizia Consiliului nr.2011/432/UE din 9 iunie 2011. </w:t>
      </w:r>
    </w:p>
    <w:p w:rsidR="00FE05E5" w:rsidRPr="002152E4" w:rsidRDefault="00031B39" w:rsidP="00AB5B13">
      <w:pPr>
        <w:spacing w:after="120"/>
        <w:jc w:val="both"/>
        <w:rPr>
          <w:rFonts w:eastAsia="MS Mincho"/>
          <w:b/>
          <w:lang w:val="ro-RO"/>
        </w:rPr>
      </w:pPr>
      <w:r w:rsidRPr="002152E4">
        <w:rPr>
          <w:rFonts w:eastAsia="MS Mincho"/>
          <w:lang w:val="ro-RO"/>
        </w:rPr>
        <w:tab/>
      </w:r>
      <w:r w:rsidR="00FE05E5" w:rsidRPr="002152E4">
        <w:rPr>
          <w:rFonts w:eastAsia="MS Mincho"/>
          <w:b/>
          <w:lang w:val="ro-RO"/>
        </w:rPr>
        <w:t xml:space="preserve">Alte cereri de cooperare judiciară internațională </w:t>
      </w:r>
    </w:p>
    <w:p w:rsidR="00FE05E5" w:rsidRPr="002152E4" w:rsidRDefault="00FE05E5" w:rsidP="00AB5B13">
      <w:pPr>
        <w:spacing w:after="120"/>
        <w:jc w:val="both"/>
        <w:rPr>
          <w:rFonts w:eastAsia="MS Mincho"/>
          <w:lang w:val="ro-RO"/>
        </w:rPr>
      </w:pPr>
      <w:r w:rsidRPr="002152E4">
        <w:rPr>
          <w:rFonts w:eastAsia="MS Mincho"/>
          <w:lang w:val="ro-RO"/>
        </w:rPr>
        <w:t>- 72 de cereri de supra-legalizare a actelor oficiale emise de autoritățile române judiciare pentru a fi folosite în statele necontractate la Convenția de la</w:t>
      </w:r>
      <w:r w:rsidR="004777EA">
        <w:rPr>
          <w:rFonts w:eastAsia="MS Mincho"/>
          <w:lang w:val="ro-RO"/>
        </w:rPr>
        <w:t xml:space="preserve"> Haga din 1961 privind apostila.</w:t>
      </w:r>
      <w:r w:rsidRPr="002152E4">
        <w:rPr>
          <w:rFonts w:eastAsia="MS Mincho"/>
          <w:lang w:val="ro-RO"/>
        </w:rPr>
        <w:t xml:space="preserve">.  </w:t>
      </w:r>
    </w:p>
    <w:p w:rsidR="00FE05E5" w:rsidRPr="002152E4" w:rsidRDefault="00FE05E5" w:rsidP="00031B39">
      <w:pPr>
        <w:spacing w:after="120"/>
        <w:jc w:val="both"/>
        <w:rPr>
          <w:rFonts w:eastAsia="MS Mincho"/>
          <w:lang w:val="ro-RO"/>
        </w:rPr>
      </w:pPr>
      <w:r w:rsidRPr="002152E4">
        <w:rPr>
          <w:rFonts w:eastAsia="MS Mincho"/>
          <w:lang w:val="ro-RO"/>
        </w:rPr>
        <w:t>- 307 cereri de obținere a conținutului dreptului străin, informații privind situația juridică a minorului (art. 55 și 56 din Regulamentul nr. 2201/2003), exequatur, acte de stare civilă, aflarea domiciliului, majoritat</w:t>
      </w:r>
      <w:r w:rsidR="004777EA">
        <w:rPr>
          <w:rFonts w:eastAsia="MS Mincho"/>
          <w:lang w:val="ro-RO"/>
        </w:rPr>
        <w:t>ea în relația cu statele membre.</w:t>
      </w:r>
    </w:p>
    <w:p w:rsidR="00FE05E5" w:rsidRPr="002152E4" w:rsidRDefault="00031B39" w:rsidP="00AB5B13">
      <w:pPr>
        <w:spacing w:after="120"/>
        <w:jc w:val="both"/>
        <w:rPr>
          <w:rFonts w:eastAsia="MS Mincho"/>
          <w:b/>
          <w:lang w:val="ro-RO"/>
        </w:rPr>
      </w:pPr>
      <w:r w:rsidRPr="002152E4">
        <w:rPr>
          <w:rFonts w:eastAsia="MS Mincho"/>
          <w:b/>
          <w:lang w:val="ro-RO"/>
        </w:rPr>
        <w:tab/>
      </w:r>
      <w:r w:rsidR="00FE05E5" w:rsidRPr="002152E4">
        <w:rPr>
          <w:rFonts w:eastAsia="MS Mincho"/>
          <w:b/>
          <w:lang w:val="ro-RO"/>
        </w:rPr>
        <w:t xml:space="preserve">Activitatea reţelelor judiciare </w:t>
      </w:r>
    </w:p>
    <w:p w:rsidR="00FE05E5" w:rsidRPr="002152E4" w:rsidRDefault="00031B39" w:rsidP="00AB5B13">
      <w:pPr>
        <w:spacing w:after="120"/>
        <w:jc w:val="both"/>
        <w:rPr>
          <w:rFonts w:eastAsia="MS Mincho"/>
          <w:b/>
          <w:lang w:val="ro-RO"/>
        </w:rPr>
      </w:pPr>
      <w:r w:rsidRPr="002152E4">
        <w:rPr>
          <w:rFonts w:eastAsia="MS Mincho"/>
          <w:b/>
          <w:lang w:val="ro-RO"/>
        </w:rPr>
        <w:tab/>
      </w:r>
      <w:r w:rsidR="003234CF" w:rsidRPr="002152E4">
        <w:rPr>
          <w:rFonts w:eastAsia="MS Mincho"/>
          <w:b/>
          <w:lang w:val="ro-RO"/>
        </w:rPr>
        <w:t>Rețeaua</w:t>
      </w:r>
      <w:r w:rsidR="00FE05E5" w:rsidRPr="002152E4">
        <w:rPr>
          <w:rFonts w:eastAsia="MS Mincho"/>
          <w:b/>
          <w:lang w:val="ro-RO"/>
        </w:rPr>
        <w:t xml:space="preserve"> Judiciară Europeană în materie penală</w:t>
      </w:r>
    </w:p>
    <w:p w:rsidR="00FE05E5" w:rsidRPr="002152E4" w:rsidRDefault="00031B39" w:rsidP="00031B39">
      <w:pPr>
        <w:suppressAutoHyphens/>
        <w:jc w:val="both"/>
        <w:rPr>
          <w:rFonts w:eastAsia="MS Mincho"/>
          <w:lang w:val="ro-RO"/>
        </w:rPr>
      </w:pPr>
      <w:r w:rsidRPr="002152E4">
        <w:rPr>
          <w:rFonts w:eastAsia="MS Mincho"/>
          <w:lang w:val="ro-RO"/>
        </w:rPr>
        <w:tab/>
      </w:r>
      <w:r w:rsidR="00FE05E5" w:rsidRPr="002152E4">
        <w:rPr>
          <w:rFonts w:eastAsia="MS Mincho"/>
          <w:lang w:val="ro-RO"/>
        </w:rPr>
        <w:t>În ceea ce priveşte reuniunile Reţelei Judiciare Europene organizate în anul 2016, reprezentarea României a fost asigurată după cum urmează:</w:t>
      </w:r>
    </w:p>
    <w:p w:rsidR="00FE05E5" w:rsidRPr="002152E4" w:rsidRDefault="00FE05E5" w:rsidP="00031B39">
      <w:pPr>
        <w:numPr>
          <w:ilvl w:val="0"/>
          <w:numId w:val="26"/>
        </w:numPr>
        <w:suppressAutoHyphens/>
        <w:jc w:val="both"/>
        <w:rPr>
          <w:rFonts w:eastAsia="MS Mincho"/>
          <w:lang w:val="ro-RO"/>
        </w:rPr>
      </w:pPr>
      <w:r w:rsidRPr="002152E4">
        <w:rPr>
          <w:rFonts w:eastAsia="MS Mincho"/>
          <w:lang w:val="ro-RO"/>
        </w:rPr>
        <w:t>7 – 9 iunie 2016, Haga și Amsterdam: cea de-a 46-a reuniune Plenară a Rețelei Judiciare Europene</w:t>
      </w:r>
    </w:p>
    <w:p w:rsidR="00FE05E5" w:rsidRPr="002152E4" w:rsidRDefault="00FE05E5" w:rsidP="00031B39">
      <w:pPr>
        <w:suppressAutoHyphens/>
        <w:ind w:left="1065"/>
        <w:jc w:val="both"/>
        <w:rPr>
          <w:rFonts w:eastAsia="MS Mincho"/>
          <w:lang w:val="ro-RO"/>
        </w:rPr>
      </w:pPr>
      <w:r w:rsidRPr="002152E4">
        <w:rPr>
          <w:rFonts w:eastAsia="MS Mincho"/>
          <w:lang w:val="ro-RO"/>
        </w:rPr>
        <w:t>Au participat reprezentanți ai Parchetului General.</w:t>
      </w:r>
    </w:p>
    <w:p w:rsidR="00FE05E5" w:rsidRPr="002152E4" w:rsidRDefault="00FE05E5" w:rsidP="00031B39">
      <w:pPr>
        <w:suppressAutoHyphens/>
        <w:ind w:left="1065"/>
        <w:jc w:val="both"/>
        <w:rPr>
          <w:rFonts w:eastAsia="MS Mincho"/>
          <w:lang w:val="ro-RO"/>
        </w:rPr>
      </w:pPr>
      <w:r w:rsidRPr="002152E4">
        <w:rPr>
          <w:rFonts w:eastAsia="MS Mincho"/>
          <w:lang w:val="ro-RO"/>
        </w:rPr>
        <w:t xml:space="preserve">Tematica discuțiilor s-a axat pe criminalitatea informatică, investigarea infracțiunilor economice, traficul de ființe umane. </w:t>
      </w:r>
    </w:p>
    <w:p w:rsidR="00FE05E5" w:rsidRPr="002152E4" w:rsidRDefault="00FE05E5" w:rsidP="00031B39">
      <w:pPr>
        <w:numPr>
          <w:ilvl w:val="0"/>
          <w:numId w:val="26"/>
        </w:numPr>
        <w:suppressAutoHyphens/>
        <w:jc w:val="both"/>
        <w:rPr>
          <w:rFonts w:eastAsia="MS Mincho"/>
          <w:lang w:val="ro-RO"/>
        </w:rPr>
      </w:pPr>
      <w:r w:rsidRPr="002152E4">
        <w:rPr>
          <w:rFonts w:eastAsia="MS Mincho"/>
          <w:lang w:val="ro-RO"/>
        </w:rPr>
        <w:t>21 – 23 noiembrie 2016, Bratislava: cea de-a 47-a reuniune Plenară a Rețelei Judiciare Europene</w:t>
      </w:r>
    </w:p>
    <w:p w:rsidR="00FE05E5" w:rsidRPr="002152E4" w:rsidRDefault="00FE05E5" w:rsidP="00031B39">
      <w:pPr>
        <w:suppressAutoHyphens/>
        <w:ind w:left="1065"/>
        <w:jc w:val="both"/>
        <w:rPr>
          <w:rFonts w:eastAsia="MS Mincho"/>
          <w:lang w:val="ro-RO"/>
        </w:rPr>
      </w:pPr>
      <w:r w:rsidRPr="002152E4">
        <w:rPr>
          <w:rFonts w:eastAsia="MS Mincho"/>
          <w:lang w:val="ro-RO"/>
        </w:rPr>
        <w:t>Au participat reprezentanți ai Parchetului General.</w:t>
      </w:r>
    </w:p>
    <w:p w:rsidR="00FE05E5" w:rsidRPr="002152E4" w:rsidRDefault="00FE05E5" w:rsidP="00031B39">
      <w:pPr>
        <w:suppressAutoHyphens/>
        <w:ind w:left="1065"/>
        <w:jc w:val="both"/>
        <w:rPr>
          <w:rFonts w:eastAsia="MS Mincho"/>
          <w:lang w:val="ro-RO"/>
        </w:rPr>
      </w:pPr>
      <w:r w:rsidRPr="002152E4">
        <w:rPr>
          <w:rFonts w:eastAsia="MS Mincho"/>
          <w:lang w:val="ro-RO"/>
        </w:rPr>
        <w:t xml:space="preserve">Tematica discuțiilor s-a axat pe drepturile victimelor și obținerea probelor electronice. </w:t>
      </w:r>
    </w:p>
    <w:p w:rsidR="00FE05E5" w:rsidRPr="002152E4" w:rsidRDefault="00FE05E5" w:rsidP="00031B39">
      <w:pPr>
        <w:ind w:left="1701"/>
        <w:jc w:val="both"/>
        <w:rPr>
          <w:rFonts w:eastAsia="MS Mincho"/>
          <w:b/>
          <w:u w:val="single"/>
          <w:lang w:val="ro-RO"/>
        </w:rPr>
      </w:pPr>
    </w:p>
    <w:p w:rsidR="00031B39" w:rsidRPr="002152E4" w:rsidRDefault="00031B39" w:rsidP="00031B39">
      <w:pPr>
        <w:jc w:val="both"/>
        <w:rPr>
          <w:rFonts w:eastAsia="MS Mincho"/>
          <w:b/>
          <w:lang w:val="ro-RO"/>
        </w:rPr>
      </w:pPr>
      <w:r w:rsidRPr="002152E4">
        <w:rPr>
          <w:rFonts w:eastAsia="MS Mincho"/>
          <w:b/>
          <w:lang w:val="ro-RO"/>
        </w:rPr>
        <w:tab/>
      </w:r>
      <w:r w:rsidR="003234CF" w:rsidRPr="002152E4">
        <w:rPr>
          <w:rFonts w:eastAsia="MS Mincho"/>
          <w:b/>
          <w:lang w:val="ro-RO"/>
        </w:rPr>
        <w:t>Rețeaua</w:t>
      </w:r>
      <w:r w:rsidR="00FE05E5" w:rsidRPr="002152E4">
        <w:rPr>
          <w:rFonts w:eastAsia="MS Mincho"/>
          <w:b/>
          <w:lang w:val="ro-RO"/>
        </w:rPr>
        <w:t xml:space="preserve"> Judiciară Română de cooperare în materie penală </w:t>
      </w:r>
    </w:p>
    <w:p w:rsidR="00FE05E5" w:rsidRPr="002152E4" w:rsidRDefault="00031B39" w:rsidP="00031B39">
      <w:pPr>
        <w:jc w:val="both"/>
        <w:rPr>
          <w:rFonts w:eastAsia="MS Mincho"/>
          <w:b/>
          <w:lang w:val="ro-RO"/>
        </w:rPr>
      </w:pPr>
      <w:r w:rsidRPr="002152E4">
        <w:rPr>
          <w:rFonts w:eastAsia="MS Mincho"/>
          <w:b/>
          <w:lang w:val="ro-RO"/>
        </w:rPr>
        <w:tab/>
      </w:r>
      <w:r w:rsidR="00FE05E5" w:rsidRPr="002152E4">
        <w:rPr>
          <w:rFonts w:eastAsia="MS Mincho"/>
          <w:lang w:val="ro-RO"/>
        </w:rPr>
        <w:t xml:space="preserve">Rețeaua Judiciară Română în materie penală este compusă din judecători ai Înaltei Curţi de Casaţie, procurori ai Parchetului de pe lângă Înalta Curte de Casaţie şi Justiţie, judecători din cadrul curţilor de apel şi procurori ai parchetelor ai parchetelor de pe lângă curţile de apel, precum şi personalul cu atribuţii în domeniul cooperării judiciare în materie penală al direcţiei de specialitate a Ministerului Justiţiei, desemnaţi în condiţiile legii. </w:t>
      </w:r>
    </w:p>
    <w:p w:rsidR="00FE05E5" w:rsidRPr="002152E4" w:rsidRDefault="00031B39" w:rsidP="00AB5B13">
      <w:pPr>
        <w:suppressAutoHyphens/>
        <w:spacing w:after="120"/>
        <w:jc w:val="both"/>
        <w:rPr>
          <w:rFonts w:eastAsia="MS Mincho"/>
          <w:lang w:val="ro-RO"/>
        </w:rPr>
      </w:pPr>
      <w:r w:rsidRPr="002152E4">
        <w:rPr>
          <w:rFonts w:eastAsia="MS Mincho"/>
          <w:lang w:val="ro-RO"/>
        </w:rPr>
        <w:tab/>
      </w:r>
      <w:r w:rsidR="00FE05E5" w:rsidRPr="002152E4">
        <w:rPr>
          <w:rFonts w:eastAsia="MS Mincho"/>
          <w:lang w:val="ro-RO"/>
        </w:rPr>
        <w:t>Reuniunile bianuale ale RJR s-au desfășurat după cum urmează:</w:t>
      </w:r>
    </w:p>
    <w:p w:rsidR="00FE05E5" w:rsidRPr="002152E4" w:rsidRDefault="00FE05E5" w:rsidP="00AB5B13">
      <w:pPr>
        <w:suppressAutoHyphens/>
        <w:spacing w:after="120"/>
        <w:jc w:val="both"/>
        <w:rPr>
          <w:rFonts w:eastAsia="MS Mincho"/>
          <w:lang w:val="ro-RO"/>
        </w:rPr>
      </w:pPr>
      <w:r w:rsidRPr="002152E4">
        <w:rPr>
          <w:rFonts w:eastAsia="MS Mincho"/>
          <w:lang w:val="ro-RO"/>
        </w:rPr>
        <w:t>-</w:t>
      </w:r>
      <w:r w:rsidRPr="002152E4">
        <w:rPr>
          <w:rFonts w:eastAsia="MS Mincho"/>
          <w:lang w:val="ro-RO"/>
        </w:rPr>
        <w:tab/>
        <w:t>4 – 6 aprilie 2016 la București</w:t>
      </w:r>
    </w:p>
    <w:p w:rsidR="00FE05E5" w:rsidRPr="002152E4" w:rsidRDefault="00FE05E5" w:rsidP="00AB5B13">
      <w:pPr>
        <w:suppressAutoHyphens/>
        <w:spacing w:after="120"/>
        <w:jc w:val="both"/>
        <w:rPr>
          <w:rFonts w:eastAsia="MS Mincho"/>
          <w:lang w:val="ro-RO"/>
        </w:rPr>
      </w:pPr>
      <w:r w:rsidRPr="002152E4">
        <w:rPr>
          <w:rFonts w:eastAsia="MS Mincho"/>
          <w:lang w:val="ro-RO"/>
        </w:rPr>
        <w:lastRenderedPageBreak/>
        <w:t>-</w:t>
      </w:r>
      <w:r w:rsidRPr="002152E4">
        <w:rPr>
          <w:rFonts w:eastAsia="MS Mincho"/>
          <w:lang w:val="ro-RO"/>
        </w:rPr>
        <w:tab/>
        <w:t>26 – 28 septembrie 2016 la Cluj</w:t>
      </w:r>
    </w:p>
    <w:p w:rsidR="00FE05E5" w:rsidRPr="002152E4" w:rsidRDefault="00FE05E5" w:rsidP="00AB5B13">
      <w:pPr>
        <w:suppressAutoHyphens/>
        <w:spacing w:after="120"/>
        <w:jc w:val="both"/>
        <w:rPr>
          <w:rFonts w:eastAsia="MS Mincho"/>
          <w:lang w:val="ro-RO"/>
        </w:rPr>
      </w:pPr>
      <w:r w:rsidRPr="002152E4">
        <w:rPr>
          <w:rFonts w:eastAsia="MS Mincho"/>
          <w:lang w:val="ro-RO"/>
        </w:rPr>
        <w:t xml:space="preserve">-         24 – 25 noiembrie 2016 la București (reuniune extraordinară organizată în contextul necesității dezbaterii unor aspecte legate de transpunerea în legislația română a Directivei 2014/41/UE a Parlamentului European și a Consiliului din 3 aprilie 2014 privind ordinul european de anchetă). </w:t>
      </w:r>
    </w:p>
    <w:p w:rsidR="00031B39" w:rsidRPr="00EB7297" w:rsidRDefault="00031B39" w:rsidP="00EB7297">
      <w:pPr>
        <w:tabs>
          <w:tab w:val="left" w:pos="0"/>
        </w:tabs>
        <w:ind w:right="567"/>
        <w:jc w:val="both"/>
        <w:rPr>
          <w:rFonts w:eastAsia="MS Mincho"/>
          <w:b/>
          <w:lang w:val="ro-RO" w:eastAsia="en-GB"/>
        </w:rPr>
      </w:pPr>
      <w:r w:rsidRPr="002152E4">
        <w:rPr>
          <w:rFonts w:eastAsia="MS Mincho"/>
          <w:lang w:val="ro-RO"/>
        </w:rPr>
        <w:tab/>
      </w:r>
      <w:r w:rsidR="003234CF" w:rsidRPr="002152E4">
        <w:rPr>
          <w:rFonts w:eastAsia="MS Mincho"/>
          <w:b/>
          <w:lang w:val="ro-RO"/>
        </w:rPr>
        <w:t>Rețeaua</w:t>
      </w:r>
      <w:r w:rsidR="00FE05E5" w:rsidRPr="002152E4">
        <w:rPr>
          <w:rFonts w:eastAsia="MS Mincho"/>
          <w:b/>
          <w:lang w:val="ro-RO"/>
        </w:rPr>
        <w:t xml:space="preserve"> Judiciară Europeană în Materie Civilă şi Comercială – activităţi d</w:t>
      </w:r>
      <w:r w:rsidR="00EB7297">
        <w:rPr>
          <w:rFonts w:eastAsia="MS Mincho"/>
          <w:b/>
          <w:lang w:val="ro-RO"/>
        </w:rPr>
        <w:t>esfăşurate în cursul anului 2016.</w:t>
      </w:r>
    </w:p>
    <w:p w:rsidR="00FE05E5" w:rsidRPr="004777EA" w:rsidRDefault="00EB7297" w:rsidP="004777EA">
      <w:pPr>
        <w:tabs>
          <w:tab w:val="left" w:pos="0"/>
          <w:tab w:val="left" w:pos="720"/>
        </w:tabs>
        <w:ind w:right="79"/>
        <w:jc w:val="both"/>
        <w:rPr>
          <w:rFonts w:eastAsia="MS Mincho"/>
          <w:bCs/>
          <w:lang w:val="ro-RO"/>
        </w:rPr>
      </w:pPr>
      <w:r>
        <w:rPr>
          <w:rFonts w:eastAsia="MS Mincho"/>
          <w:b/>
          <w:lang w:val="ro-RO"/>
        </w:rPr>
        <w:tab/>
      </w:r>
      <w:r w:rsidR="00FE05E5" w:rsidRPr="002152E4">
        <w:rPr>
          <w:rFonts w:eastAsia="MS Mincho"/>
          <w:b/>
          <w:lang w:val="ro-RO"/>
        </w:rPr>
        <w:t xml:space="preserve">În cursul anului 2016, </w:t>
      </w:r>
      <w:r w:rsidR="003234CF" w:rsidRPr="002152E4">
        <w:rPr>
          <w:rFonts w:eastAsia="MS Mincho"/>
          <w:b/>
          <w:lang w:val="ro-RO"/>
        </w:rPr>
        <w:t>Rețeaua</w:t>
      </w:r>
      <w:r w:rsidR="00FE05E5" w:rsidRPr="002152E4">
        <w:rPr>
          <w:rFonts w:eastAsia="MS Mincho"/>
          <w:b/>
          <w:lang w:val="ro-RO"/>
        </w:rPr>
        <w:t xml:space="preserve"> Judiciară Europeană în materie civilă şi comercială a organizat 7 reuniuni </w:t>
      </w:r>
      <w:r w:rsidR="00FE05E5" w:rsidRPr="002152E4">
        <w:rPr>
          <w:rFonts w:eastAsia="MS Mincho"/>
          <w:lang w:val="ro-RO"/>
        </w:rPr>
        <w:t xml:space="preserve">(6 întâlniri la Bruxelles dedicate reuniunii plenare, obligațiilor de întreținere, succesiunilor, obținerii compensațiilor victimelor infracțiunilor, comunicării actelor și obținerii probelor, </w:t>
      </w:r>
      <w:r w:rsidR="00FE05E5" w:rsidRPr="002152E4">
        <w:rPr>
          <w:rFonts w:eastAsia="MS Mincho"/>
          <w:b/>
          <w:bCs/>
          <w:lang w:val="ro-RO"/>
        </w:rPr>
        <w:t xml:space="preserve">obținerii conținutului dreptului străin; procedurilor europene privind cererile de valoare redusă, titlu executoriu european etc., </w:t>
      </w:r>
      <w:r w:rsidR="00FE05E5" w:rsidRPr="002152E4">
        <w:rPr>
          <w:rFonts w:eastAsia="MS Mincho"/>
          <w:lang w:val="ro-RO"/>
        </w:rPr>
        <w:t xml:space="preserve">precum și o întâlnire la Amsterdam dedicată Regulamentului Bruxelles II bis și aspectelor civile ale răpirii internaționale de copii). România a fost reprezentată la toate aceste reuniuni, în funcţie de temele discutate, de către reprezentanţi ai autorităţii centrale desemnate în baza </w:t>
      </w:r>
      <w:r w:rsidR="00FE05E5" w:rsidRPr="002152E4">
        <w:rPr>
          <w:rFonts w:eastAsia="MS Mincho"/>
          <w:bCs/>
          <w:lang w:val="ro-RO"/>
        </w:rPr>
        <w:t xml:space="preserve">Regulamentului Bruxelles II bis </w:t>
      </w:r>
      <w:r w:rsidR="00FE05E5" w:rsidRPr="002152E4">
        <w:rPr>
          <w:rFonts w:eastAsia="MS Mincho"/>
          <w:lang w:val="ro-RO"/>
        </w:rPr>
        <w:t>și aspectelor civile ale răpirii internaționale de copii</w:t>
      </w:r>
      <w:r w:rsidR="00FE05E5" w:rsidRPr="002152E4">
        <w:rPr>
          <w:rFonts w:eastAsia="MS Mincho"/>
          <w:bCs/>
          <w:lang w:val="ro-RO"/>
        </w:rPr>
        <w:t xml:space="preserve">, precum şi de către magistraţi, membri ai Reţelei Judiciare Române în materie civilă şi comercială din cadrul Curții de Apel Alba Iulia (1); București (2), Cluj (3), Galați (1) Iași (1), Ploiești (2), Timișoara (2), Tg. Mureș (1) sau Tribunalului București (4), precum și reprezentanți ai Uniunii Naționale a Notarilor publici din România (2).  </w:t>
      </w:r>
    </w:p>
    <w:p w:rsidR="00031B39" w:rsidRPr="002152E4" w:rsidRDefault="00031B39" w:rsidP="00031B39">
      <w:pPr>
        <w:ind w:right="567"/>
        <w:jc w:val="both"/>
        <w:rPr>
          <w:rFonts w:eastAsia="MS Mincho"/>
          <w:b/>
          <w:lang w:val="ro-RO"/>
        </w:rPr>
      </w:pPr>
      <w:r w:rsidRPr="002152E4">
        <w:rPr>
          <w:rFonts w:eastAsia="MS Mincho"/>
          <w:b/>
          <w:lang w:val="ro-RO"/>
        </w:rPr>
        <w:tab/>
      </w:r>
      <w:r w:rsidR="003234CF" w:rsidRPr="002152E4">
        <w:rPr>
          <w:rFonts w:eastAsia="MS Mincho"/>
          <w:b/>
          <w:lang w:val="ro-RO"/>
        </w:rPr>
        <w:t>Rețeaua</w:t>
      </w:r>
      <w:r w:rsidR="00FE05E5" w:rsidRPr="002152E4">
        <w:rPr>
          <w:rFonts w:eastAsia="MS Mincho"/>
          <w:b/>
          <w:lang w:val="ro-RO"/>
        </w:rPr>
        <w:t xml:space="preserve"> Judiciară Română în Materie Civilă şi Comercială – activităţi desfăşurate în cursul anului 2016</w:t>
      </w:r>
    </w:p>
    <w:p w:rsidR="00031B39" w:rsidRPr="002152E4" w:rsidRDefault="00031B39" w:rsidP="00031B39">
      <w:pPr>
        <w:ind w:right="567"/>
        <w:jc w:val="both"/>
        <w:rPr>
          <w:rFonts w:eastAsia="MS Mincho"/>
          <w:b/>
          <w:lang w:val="ro-RO"/>
        </w:rPr>
      </w:pPr>
      <w:r w:rsidRPr="002152E4">
        <w:rPr>
          <w:rFonts w:eastAsia="MS Mincho"/>
          <w:b/>
          <w:lang w:val="ro-RO"/>
        </w:rPr>
        <w:tab/>
      </w:r>
      <w:r w:rsidR="00FE05E5" w:rsidRPr="002152E4">
        <w:rPr>
          <w:rFonts w:eastAsia="MS Mincho"/>
          <w:lang w:val="ro-RO"/>
        </w:rPr>
        <w:t xml:space="preserve">Corespondenta la nivel național a Rețelei Judiciare Europene în materie civilă şi comercială este Rețeaua Judiciară Română în materie civilă şi comercială, a cărei componență a fost actualizată în 2016 prin </w:t>
      </w:r>
      <w:r w:rsidR="00FE05E5" w:rsidRPr="002152E4">
        <w:rPr>
          <w:rFonts w:eastAsia="MS Mincho"/>
          <w:b/>
          <w:lang w:val="ro-RO"/>
        </w:rPr>
        <w:t xml:space="preserve">Ordinul ministrului justiţiei </w:t>
      </w:r>
      <w:r w:rsidR="00FE05E5" w:rsidRPr="002152E4">
        <w:rPr>
          <w:rFonts w:eastAsia="MS Mincho"/>
          <w:b/>
          <w:bCs/>
          <w:lang w:val="ro-RO"/>
        </w:rPr>
        <w:t>nr. 4314/05.12.2016.</w:t>
      </w:r>
    </w:p>
    <w:p w:rsidR="00031B39" w:rsidRPr="002152E4" w:rsidRDefault="00031B39" w:rsidP="00031B39">
      <w:pPr>
        <w:ind w:right="567"/>
        <w:jc w:val="both"/>
        <w:rPr>
          <w:rFonts w:eastAsia="MS Mincho"/>
          <w:b/>
          <w:lang w:val="ro-RO"/>
        </w:rPr>
      </w:pPr>
      <w:r w:rsidRPr="002152E4">
        <w:rPr>
          <w:rFonts w:eastAsia="MS Mincho"/>
          <w:b/>
          <w:lang w:val="ro-RO"/>
        </w:rPr>
        <w:tab/>
      </w:r>
      <w:r w:rsidR="00FE05E5" w:rsidRPr="002152E4">
        <w:rPr>
          <w:rFonts w:eastAsia="MS Mincho"/>
          <w:lang w:val="ro-RO"/>
        </w:rPr>
        <w:t xml:space="preserve">Cele două reuniuni ale Rețelei judiciare române în materie civilă şi comercială au fost organizate în perioada 02-03 iunie și 06-07 octombrie la Sinaia, respectiv la Murghiol (jud. Tulcea), cu sprijinul judecătorilor din cadrul Curţii de Apel Ploiești, respectiv Constanța,  membri ai Reţelei judiciare române. La întâlniri au participat membrii Rețelei Judiciare Române în materie civilă şi comercială, precum și reprezentanți din cadrul Uniunii Naționale a Notarilor Publici, Oficiul Național al Registrului Comerțului și ECC-net. </w:t>
      </w:r>
    </w:p>
    <w:p w:rsidR="00FE05E5" w:rsidRPr="002152E4" w:rsidRDefault="00031B39" w:rsidP="00031B39">
      <w:pPr>
        <w:ind w:right="567"/>
        <w:jc w:val="both"/>
        <w:rPr>
          <w:rFonts w:eastAsia="MS Mincho"/>
          <w:lang w:val="ro-RO"/>
        </w:rPr>
      </w:pPr>
      <w:r w:rsidRPr="002152E4">
        <w:rPr>
          <w:rFonts w:eastAsia="MS Mincho"/>
          <w:b/>
          <w:lang w:val="ro-RO"/>
        </w:rPr>
        <w:tab/>
      </w:r>
    </w:p>
    <w:p w:rsidR="00FE05E5" w:rsidRDefault="00FE05E5"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Default="00EB7297" w:rsidP="00FE05E5">
      <w:pPr>
        <w:jc w:val="both"/>
        <w:outlineLvl w:val="0"/>
        <w:rPr>
          <w:b/>
          <w:sz w:val="28"/>
          <w:szCs w:val="28"/>
          <w:lang w:val="ro-RO" w:eastAsia="ro-RO"/>
        </w:rPr>
      </w:pPr>
    </w:p>
    <w:p w:rsidR="00EB7297" w:rsidRPr="002152E4" w:rsidRDefault="00EB7297" w:rsidP="00FE05E5">
      <w:pPr>
        <w:jc w:val="both"/>
        <w:outlineLvl w:val="0"/>
        <w:rPr>
          <w:b/>
          <w:sz w:val="28"/>
          <w:szCs w:val="28"/>
          <w:lang w:val="ro-RO" w:eastAsia="ro-RO"/>
        </w:rPr>
      </w:pPr>
    </w:p>
    <w:p w:rsidR="00031B39" w:rsidRPr="002152E4" w:rsidRDefault="00031B39" w:rsidP="00FE05E5">
      <w:pPr>
        <w:jc w:val="both"/>
        <w:outlineLvl w:val="0"/>
        <w:rPr>
          <w:b/>
          <w:sz w:val="28"/>
          <w:szCs w:val="28"/>
          <w:lang w:val="ro-RO" w:eastAsia="ro-RO"/>
        </w:rPr>
      </w:pPr>
    </w:p>
    <w:p w:rsidR="00752B7A" w:rsidRPr="002152E4" w:rsidRDefault="00CD6117" w:rsidP="00031B39">
      <w:pPr>
        <w:jc w:val="center"/>
        <w:outlineLvl w:val="0"/>
        <w:rPr>
          <w:b/>
          <w:sz w:val="28"/>
          <w:szCs w:val="28"/>
          <w:lang w:val="ro-RO" w:eastAsia="ro-RO"/>
        </w:rPr>
      </w:pPr>
      <w:bookmarkStart w:id="191" w:name="_Toc486576566"/>
      <w:r w:rsidRPr="002152E4">
        <w:rPr>
          <w:b/>
          <w:sz w:val="28"/>
          <w:szCs w:val="28"/>
          <w:lang w:val="ro-RO" w:eastAsia="ro-RO"/>
        </w:rPr>
        <w:t xml:space="preserve">IX. </w:t>
      </w:r>
      <w:r w:rsidRPr="002152E4">
        <w:rPr>
          <w:rFonts w:eastAsia="Calibri"/>
          <w:b/>
          <w:sz w:val="28"/>
          <w:szCs w:val="28"/>
          <w:lang w:val="ro-RO"/>
        </w:rPr>
        <w:t>Apărarea independenţei şi imp</w:t>
      </w:r>
      <w:r w:rsidR="00752B7A" w:rsidRPr="002152E4">
        <w:rPr>
          <w:rFonts w:eastAsia="Calibri"/>
          <w:b/>
          <w:sz w:val="28"/>
          <w:szCs w:val="28"/>
          <w:lang w:val="ro-RO"/>
        </w:rPr>
        <w:t>arţialităţii sistemului judiciar</w:t>
      </w:r>
      <w:bookmarkEnd w:id="191"/>
    </w:p>
    <w:p w:rsidR="00752B7A" w:rsidRPr="002152E4" w:rsidRDefault="00752B7A" w:rsidP="00752B7A">
      <w:pPr>
        <w:jc w:val="center"/>
        <w:outlineLvl w:val="0"/>
        <w:rPr>
          <w:rFonts w:eastAsia="Calibri"/>
          <w:b/>
          <w:lang w:val="ro-RO"/>
        </w:rPr>
      </w:pPr>
    </w:p>
    <w:p w:rsidR="00752B7A" w:rsidRPr="002152E4" w:rsidRDefault="00752B7A" w:rsidP="000476E4">
      <w:pPr>
        <w:ind w:firstLine="360"/>
        <w:jc w:val="both"/>
        <w:rPr>
          <w:color w:val="000000"/>
          <w:lang w:val="ro-RO"/>
        </w:rPr>
      </w:pPr>
      <w:r w:rsidRPr="002152E4">
        <w:rPr>
          <w:b/>
          <w:color w:val="000000"/>
          <w:lang w:val="ro-RO"/>
        </w:rPr>
        <w:t>A.</w:t>
      </w:r>
      <w:r w:rsidRPr="002152E4">
        <w:rPr>
          <w:color w:val="000000"/>
          <w:lang w:val="ro-RO"/>
        </w:rPr>
        <w:t xml:space="preserve"> În perioada 01 ianuarie – 31 decembrie 2016 Plenul Consiliului Superior al Magistraturii a pronunţat 21 de hotărâri în materia apărării independenţei şi imparţialităţii sistemului judiciar.</w:t>
      </w:r>
    </w:p>
    <w:p w:rsidR="00752B7A" w:rsidRPr="002152E4" w:rsidRDefault="00752B7A" w:rsidP="000476E4">
      <w:pPr>
        <w:ind w:firstLine="360"/>
        <w:jc w:val="both"/>
        <w:rPr>
          <w:color w:val="000000"/>
          <w:lang w:val="ro-RO"/>
        </w:rPr>
      </w:pPr>
      <w:r w:rsidRPr="002152E4">
        <w:rPr>
          <w:color w:val="000000"/>
          <w:lang w:val="ro-RO"/>
        </w:rPr>
        <w:t>Situaţia acestora se prezintă astfel:</w:t>
      </w:r>
    </w:p>
    <w:p w:rsidR="00752B7A" w:rsidRPr="002152E4" w:rsidRDefault="00752B7A" w:rsidP="000476E4">
      <w:pPr>
        <w:ind w:firstLine="708"/>
        <w:jc w:val="both"/>
        <w:rPr>
          <w:bCs/>
          <w:color w:val="000000"/>
          <w:kern w:val="32"/>
          <w:lang w:val="ro-RO"/>
        </w:rPr>
      </w:pPr>
      <w:r w:rsidRPr="002152E4">
        <w:rPr>
          <w:b/>
          <w:bCs/>
          <w:color w:val="000000"/>
          <w:kern w:val="32"/>
          <w:lang w:val="ro-RO"/>
        </w:rPr>
        <w:t>1.</w:t>
      </w:r>
      <w:r w:rsidRPr="002152E4">
        <w:rPr>
          <w:bCs/>
          <w:color w:val="000000"/>
          <w:kern w:val="32"/>
          <w:lang w:val="ro-RO"/>
        </w:rPr>
        <w:t xml:space="preserve">  Consiliul Superior al Magistraturii a solicitat Inspecţiei Judiciare efectuarea unor verificări cu privire la apărarea independenţei sistemului judiciar, urmare a declaraţiilor făcute de doamna M.M, deputat în Parlamentul European şi lider al unui partid politic, precum şi de moderatorul emisiunii „Xpress”, difuzată la data de 30.01.2016 pe postul de televiziune B1 TV.</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w:t>
      </w:r>
      <w:r w:rsidRPr="002152E4">
        <w:rPr>
          <w:b/>
          <w:bCs/>
          <w:i/>
          <w:color w:val="000000"/>
          <w:kern w:val="32"/>
          <w:lang w:val="ro-RO"/>
        </w:rPr>
        <w:t>Hotărârea nr. 232/17.03.2016</w:t>
      </w:r>
      <w:r w:rsidRPr="002152E4">
        <w:rPr>
          <w:bCs/>
          <w:i/>
          <w:color w:val="000000"/>
          <w:kern w:val="32"/>
          <w:lang w:val="ro-RO"/>
        </w:rPr>
        <w:t>, şi-a însuşit concluziile raportului Inspecţiei Judiciare în sensul că prin afirmaţiile, opiniile şi aprecierile personale ale doamnei M.M s-a adus atingere gravă independenţei sistemului judiciar în ansamblul său.</w:t>
      </w:r>
    </w:p>
    <w:p w:rsidR="00752B7A" w:rsidRPr="002152E4" w:rsidRDefault="00752B7A" w:rsidP="000476E4">
      <w:pPr>
        <w:ind w:firstLine="708"/>
        <w:jc w:val="both"/>
        <w:rPr>
          <w:bCs/>
          <w:i/>
          <w:color w:val="000000"/>
          <w:kern w:val="32"/>
          <w:lang w:val="ro-RO"/>
        </w:rPr>
      </w:pPr>
      <w:r w:rsidRPr="002152E4">
        <w:rPr>
          <w:b/>
          <w:bCs/>
          <w:color w:val="000000"/>
          <w:kern w:val="32"/>
          <w:lang w:val="ro-RO"/>
        </w:rPr>
        <w:t>2</w:t>
      </w:r>
      <w:r w:rsidRPr="002152E4">
        <w:rPr>
          <w:bCs/>
          <w:color w:val="000000"/>
          <w:kern w:val="32"/>
          <w:lang w:val="ro-RO"/>
        </w:rPr>
        <w:t>. Consiliul Superior al Magistraturii a solicitat Inspecţiei Judiciare efectuarea unor verificări cu privire la apărarea  independenţei procurorilor Direcţiei Naţionale Anticorupţie şi sistemului judiciar în ansamblul său, urmare a afirmaţiilor emise în spaţiul public de deputatul G.S.A., membru al Camerei Deputaților, la datele de 29.03.2016 şi, respectiv, 30.03.2016.</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w:t>
      </w:r>
      <w:r w:rsidRPr="002152E4">
        <w:rPr>
          <w:b/>
          <w:bCs/>
          <w:i/>
          <w:color w:val="000000"/>
          <w:kern w:val="32"/>
          <w:lang w:val="ro-RO"/>
        </w:rPr>
        <w:t>Hotărârea nr. 504/26.04.2016</w:t>
      </w:r>
      <w:r w:rsidRPr="002152E4">
        <w:rPr>
          <w:bCs/>
          <w:i/>
          <w:color w:val="000000"/>
          <w:kern w:val="32"/>
          <w:lang w:val="ro-RO"/>
        </w:rPr>
        <w:t>, şi-a însuşit concluziile raportului Inspecţiei Judiciare în sensul că declaraţiile publice ale domnului G.S.A., aduc atingere independenţei procurorilor din cadrul Direcţiei Naţionale Anticorupţie şi independenţei, prestigiului şi credibilităţii sistemului judiciar în ansamblul său.</w:t>
      </w:r>
    </w:p>
    <w:p w:rsidR="00752B7A" w:rsidRPr="002152E4" w:rsidRDefault="00752B7A" w:rsidP="000476E4">
      <w:pPr>
        <w:ind w:firstLine="708"/>
        <w:jc w:val="both"/>
        <w:rPr>
          <w:bCs/>
          <w:i/>
          <w:color w:val="000000"/>
          <w:kern w:val="32"/>
          <w:lang w:val="ro-RO"/>
        </w:rPr>
      </w:pPr>
      <w:r w:rsidRPr="002152E4">
        <w:rPr>
          <w:b/>
          <w:bCs/>
          <w:color w:val="000000"/>
          <w:kern w:val="32"/>
          <w:lang w:val="ro-RO"/>
        </w:rPr>
        <w:t>3.</w:t>
      </w:r>
      <w:r w:rsidRPr="002152E4">
        <w:rPr>
          <w:bCs/>
          <w:color w:val="000000"/>
          <w:kern w:val="32"/>
          <w:lang w:val="ro-RO"/>
        </w:rPr>
        <w:t xml:space="preserve"> Prin Hotărârea nr. 993 din data de  6 octombrie 2015, Plenul Consiliului Superior al Magistraturii a  hotărât  sesizarea Inspecţiei Judiciare, în vederea efectuării de verificări cu privire la  afirmaţiile  publice,  din data de 7 iunie 2015 şi ulterior acestei date</w:t>
      </w:r>
      <w:r w:rsidR="009B5C10">
        <w:rPr>
          <w:bCs/>
          <w:color w:val="000000"/>
          <w:kern w:val="32"/>
          <w:lang w:val="ro-RO"/>
        </w:rPr>
        <w:t xml:space="preserve">, făcute de  domnul </w:t>
      </w:r>
      <w:r w:rsidRPr="002152E4">
        <w:rPr>
          <w:bCs/>
          <w:color w:val="000000"/>
          <w:kern w:val="32"/>
          <w:lang w:val="ro-RO"/>
        </w:rPr>
        <w:t>prim ministru al României şi cu privire la afirmaţiile din data de 8 iunie 2015 şi ulterior</w:t>
      </w:r>
      <w:r w:rsidR="009B5C10">
        <w:rPr>
          <w:bCs/>
          <w:color w:val="000000"/>
          <w:kern w:val="32"/>
          <w:lang w:val="ro-RO"/>
        </w:rPr>
        <w:t xml:space="preserve"> acestei date, făcute de </w:t>
      </w:r>
      <w:r w:rsidRPr="002152E4">
        <w:rPr>
          <w:bCs/>
          <w:color w:val="000000"/>
          <w:kern w:val="32"/>
          <w:lang w:val="ro-RO"/>
        </w:rPr>
        <w:t>preşedintele Senatului României.</w:t>
      </w:r>
      <w:r w:rsidRPr="002152E4">
        <w:rPr>
          <w:bCs/>
          <w:i/>
          <w:color w:val="000000"/>
          <w:kern w:val="32"/>
          <w:lang w:val="ro-RO"/>
        </w:rPr>
        <w:t xml:space="preserve"> </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Hotărârea nr. </w:t>
      </w:r>
      <w:r w:rsidRPr="002152E4">
        <w:rPr>
          <w:b/>
          <w:bCs/>
          <w:i/>
          <w:color w:val="000000"/>
          <w:kern w:val="32"/>
          <w:lang w:val="ro-RO"/>
        </w:rPr>
        <w:t>542/12.05.2016</w:t>
      </w:r>
      <w:r w:rsidRPr="002152E4">
        <w:rPr>
          <w:bCs/>
          <w:i/>
          <w:color w:val="000000"/>
          <w:kern w:val="32"/>
          <w:lang w:val="ro-RO"/>
        </w:rPr>
        <w:t>, şi-a însuşit concluziile raportului Inspecţiei Judiciare în sensul că s-a adus atingere independenţei, prestigiului şi credibilităţii justiţiei, cu consecinţa subminării autorităţii acesteia.</w:t>
      </w:r>
    </w:p>
    <w:p w:rsidR="00752B7A" w:rsidRPr="002152E4" w:rsidRDefault="00752B7A" w:rsidP="000476E4">
      <w:pPr>
        <w:ind w:firstLine="708"/>
        <w:jc w:val="both"/>
        <w:rPr>
          <w:bCs/>
          <w:color w:val="000000"/>
          <w:kern w:val="32"/>
          <w:lang w:val="ro-RO"/>
        </w:rPr>
      </w:pPr>
      <w:r w:rsidRPr="002152E4">
        <w:rPr>
          <w:b/>
          <w:bCs/>
          <w:color w:val="000000"/>
          <w:kern w:val="32"/>
          <w:lang w:val="ro-RO"/>
        </w:rPr>
        <w:t>4.</w:t>
      </w:r>
      <w:r w:rsidRPr="002152E4">
        <w:rPr>
          <w:bCs/>
          <w:color w:val="000000"/>
          <w:kern w:val="32"/>
          <w:lang w:val="ro-RO"/>
        </w:rPr>
        <w:t xml:space="preserve"> Consiliul Superior al Magistraturii, având la bază solicitarea formulată de către Direcţia Naţională Anticorupţie, a solicitat Inspecţiei Judiciare efectuarea unor verificări privind apărarea independenţei, imparţialităţii procurorilor şi a sistemului judiciar în ansamblul său în legătură afirmaţiile făcute de inculpatul P.P.D., în cadrul procesului penal ce face obiectul unui dosar aflat pe rolul Curţii de Apel B. şi faţă de afirmaţiile denigratoare făcute la adresa procurorilor DNA de către inculpatul R.C.M., deputat în Parlamentul României, după condamnarea sa în primă instanţă de ÎCCJ, ca urmare a trimiterii sale în judecată pentru fapte de corupție, într-un dosar instrumentat de procurorii DNA.</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Hotărârea nr. </w:t>
      </w:r>
      <w:r w:rsidRPr="002152E4">
        <w:rPr>
          <w:b/>
          <w:bCs/>
          <w:i/>
          <w:color w:val="000000"/>
          <w:kern w:val="32"/>
          <w:lang w:val="ro-RO"/>
        </w:rPr>
        <w:t>543/12.05.2016</w:t>
      </w:r>
      <w:r w:rsidRPr="002152E4">
        <w:rPr>
          <w:bCs/>
          <w:i/>
          <w:color w:val="000000"/>
          <w:kern w:val="32"/>
          <w:lang w:val="ro-RO"/>
        </w:rPr>
        <w:t>, şi-a însuşit concluziile raportului Inspecţiei Judiciare în sensul că afirmaţiile publice făcute de domnul deputat R.C.M, aduc atingere independenţei procurorilor DNA şi independenţei, prestigiului şi credibilităţii sistemului judiciar în ansamblul său.</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 Totodată, Plenul a apreciat că afirmaţiile făcute de domnul P.P.D., nu aduc atingere independenţei procurorilor DNA şi independenţei, prestigiului şi credibilităţii sistemului judiciar în ansamblul său.</w:t>
      </w:r>
    </w:p>
    <w:p w:rsidR="00752B7A" w:rsidRPr="002152E4" w:rsidRDefault="00752B7A" w:rsidP="000476E4">
      <w:pPr>
        <w:ind w:firstLine="708"/>
        <w:jc w:val="both"/>
        <w:rPr>
          <w:bCs/>
          <w:color w:val="000000"/>
          <w:kern w:val="32"/>
          <w:lang w:val="ro-RO"/>
        </w:rPr>
      </w:pPr>
      <w:r w:rsidRPr="002152E4">
        <w:rPr>
          <w:b/>
          <w:bCs/>
          <w:color w:val="000000"/>
          <w:kern w:val="32"/>
          <w:lang w:val="ro-RO"/>
        </w:rPr>
        <w:t>5.</w:t>
      </w:r>
      <w:r w:rsidRPr="002152E4">
        <w:rPr>
          <w:bCs/>
          <w:color w:val="000000"/>
          <w:kern w:val="32"/>
          <w:lang w:val="ro-RO"/>
        </w:rPr>
        <w:t xml:space="preserve"> Consiliul Superior al Magistraturii a solicitat Inspecţiei Judiciare efectuarea unor verificări cu privire la apărarea independenţei sistemului judiciar urmare a  afir</w:t>
      </w:r>
      <w:r w:rsidR="009B5C10">
        <w:rPr>
          <w:bCs/>
          <w:color w:val="000000"/>
          <w:kern w:val="32"/>
          <w:lang w:val="ro-RO"/>
        </w:rPr>
        <w:t>maţiilor lansate de domnul C.P.T.</w:t>
      </w:r>
      <w:r w:rsidRPr="002152E4">
        <w:rPr>
          <w:bCs/>
          <w:color w:val="000000"/>
          <w:kern w:val="32"/>
          <w:lang w:val="ro-RO"/>
        </w:rPr>
        <w:t>, preşedintele Senatului României în cadrul unor emisiuni TV.</w:t>
      </w:r>
    </w:p>
    <w:p w:rsidR="00752B7A" w:rsidRPr="002152E4" w:rsidRDefault="00752B7A" w:rsidP="000476E4">
      <w:pPr>
        <w:ind w:firstLine="708"/>
        <w:jc w:val="both"/>
        <w:rPr>
          <w:bCs/>
          <w:i/>
          <w:color w:val="000000"/>
          <w:kern w:val="32"/>
          <w:lang w:val="ro-RO"/>
        </w:rPr>
      </w:pPr>
      <w:r w:rsidRPr="002152E4">
        <w:rPr>
          <w:bCs/>
          <w:color w:val="000000"/>
          <w:kern w:val="32"/>
          <w:lang w:val="ro-RO"/>
        </w:rPr>
        <w:t xml:space="preserve"> Plenul Consiliului Superior al Magistraturii, </w:t>
      </w:r>
      <w:r w:rsidRPr="002152E4">
        <w:rPr>
          <w:bCs/>
          <w:i/>
          <w:color w:val="000000"/>
          <w:kern w:val="32"/>
          <w:lang w:val="ro-RO"/>
        </w:rPr>
        <w:t xml:space="preserve">prin </w:t>
      </w:r>
      <w:r w:rsidRPr="002152E4">
        <w:rPr>
          <w:b/>
          <w:bCs/>
          <w:i/>
          <w:color w:val="000000"/>
          <w:kern w:val="32"/>
          <w:lang w:val="ro-RO"/>
        </w:rPr>
        <w:t>Hotărârea nr. 564/17.05.2016</w:t>
      </w:r>
      <w:r w:rsidRPr="002152E4">
        <w:rPr>
          <w:bCs/>
          <w:i/>
          <w:color w:val="000000"/>
          <w:kern w:val="32"/>
          <w:lang w:val="ro-RO"/>
        </w:rPr>
        <w:t xml:space="preserve"> şi-a însuşit concluziile raportului Inspecţiei Judiciare în sensul că s-a adus atingerea independenţei, prestigiului şi credibilităţii justiţiei, cu consecinţa subminării autorităţii acesteia, inclusiv a sistemului judiciar în ansamblul său.</w:t>
      </w:r>
    </w:p>
    <w:p w:rsidR="00752B7A" w:rsidRPr="002152E4" w:rsidRDefault="00752B7A" w:rsidP="000476E4">
      <w:pPr>
        <w:ind w:firstLine="708"/>
        <w:jc w:val="both"/>
        <w:rPr>
          <w:bCs/>
          <w:color w:val="000000"/>
          <w:kern w:val="32"/>
          <w:lang w:val="ro-RO"/>
        </w:rPr>
      </w:pPr>
      <w:r w:rsidRPr="002152E4">
        <w:rPr>
          <w:b/>
          <w:bCs/>
          <w:color w:val="000000"/>
          <w:kern w:val="32"/>
          <w:lang w:val="ro-RO"/>
        </w:rPr>
        <w:lastRenderedPageBreak/>
        <w:t>6.</w:t>
      </w:r>
      <w:r w:rsidRPr="002152E4">
        <w:rPr>
          <w:bCs/>
          <w:color w:val="000000"/>
          <w:kern w:val="32"/>
          <w:lang w:val="ro-RO"/>
        </w:rPr>
        <w:t xml:space="preserve"> Consiliul Superior al Magistraturii a solicitat Inspecţiei Judiciare efectuarea unor verificări cu privire la apărarea independenţei sistemului judiciar, în raport de afi</w:t>
      </w:r>
      <w:r w:rsidR="009B5C10">
        <w:rPr>
          <w:bCs/>
          <w:color w:val="000000"/>
          <w:kern w:val="32"/>
          <w:lang w:val="ro-RO"/>
        </w:rPr>
        <w:t>rmaţiile făcute de domnul T.B.</w:t>
      </w:r>
      <w:r w:rsidRPr="002152E4">
        <w:rPr>
          <w:bCs/>
          <w:color w:val="000000"/>
          <w:kern w:val="32"/>
          <w:lang w:val="ro-RO"/>
        </w:rPr>
        <w:t>, fost preşedinte al României, lider al Partidului Mişcarea Populară,  în cadrul interviului acordat la emisiunea „NEWS LINE”, difuzată la postul de televiziune România TV în data de 17 aprilie 2016.</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w:t>
      </w:r>
      <w:r w:rsidRPr="002152E4">
        <w:rPr>
          <w:b/>
          <w:bCs/>
          <w:i/>
          <w:color w:val="000000"/>
          <w:kern w:val="32"/>
          <w:lang w:val="ro-RO"/>
        </w:rPr>
        <w:t>Hotărârea nr. 642/26.05.2016</w:t>
      </w:r>
      <w:r w:rsidRPr="002152E4">
        <w:rPr>
          <w:bCs/>
          <w:i/>
          <w:color w:val="000000"/>
          <w:kern w:val="32"/>
          <w:lang w:val="ro-RO"/>
        </w:rPr>
        <w:t>, şi-a însuşit concluziile raportului Inspecţiei Judiciare în sensul că s-a adus atingere independenţ</w:t>
      </w:r>
      <w:r w:rsidR="003234CF">
        <w:rPr>
          <w:bCs/>
          <w:i/>
          <w:color w:val="000000"/>
          <w:kern w:val="32"/>
          <w:lang w:val="ro-RO"/>
        </w:rPr>
        <w:t>ei procurorilor Direcţiei Naţio</w:t>
      </w:r>
      <w:r w:rsidRPr="002152E4">
        <w:rPr>
          <w:bCs/>
          <w:i/>
          <w:color w:val="000000"/>
          <w:kern w:val="32"/>
          <w:lang w:val="ro-RO"/>
        </w:rPr>
        <w:t>nale Anticorupţie şi independenţei, prestigiului şi credibilităţii sistemului judiciar în ansamblul său.</w:t>
      </w:r>
    </w:p>
    <w:p w:rsidR="00752B7A" w:rsidRPr="002152E4" w:rsidRDefault="00752B7A" w:rsidP="000476E4">
      <w:pPr>
        <w:ind w:firstLine="708"/>
        <w:jc w:val="both"/>
        <w:rPr>
          <w:bCs/>
          <w:color w:val="000000"/>
          <w:kern w:val="32"/>
          <w:lang w:val="ro-RO"/>
        </w:rPr>
      </w:pPr>
      <w:r w:rsidRPr="002152E4">
        <w:rPr>
          <w:b/>
          <w:bCs/>
          <w:color w:val="000000"/>
          <w:kern w:val="32"/>
          <w:lang w:val="ro-RO"/>
        </w:rPr>
        <w:t>7.</w:t>
      </w:r>
      <w:r w:rsidRPr="002152E4">
        <w:rPr>
          <w:bCs/>
          <w:color w:val="000000"/>
          <w:kern w:val="32"/>
          <w:lang w:val="ro-RO"/>
        </w:rPr>
        <w:t xml:space="preserve"> Consiliul Superior al Magistraturii a solicitat Inspecţiei Judiciare efectuarea unor verificări cu privire la apărarea independenţei sistemului judiciar, precum şi a procurorilor din cadrul Direcţiei Naţionale Anticorupţie ca urm</w:t>
      </w:r>
      <w:r w:rsidR="009B5C10">
        <w:rPr>
          <w:bCs/>
          <w:color w:val="000000"/>
          <w:kern w:val="32"/>
          <w:lang w:val="ro-RO"/>
        </w:rPr>
        <w:t>are a declaraţiilor E.U.</w:t>
      </w:r>
      <w:r w:rsidRPr="002152E4">
        <w:rPr>
          <w:bCs/>
          <w:color w:val="000000"/>
          <w:kern w:val="32"/>
          <w:lang w:val="ro-RO"/>
        </w:rPr>
        <w:t xml:space="preserve">, publicate în mass media. </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w:t>
      </w:r>
      <w:r w:rsidRPr="002152E4">
        <w:rPr>
          <w:b/>
          <w:bCs/>
          <w:i/>
          <w:color w:val="000000"/>
          <w:kern w:val="32"/>
          <w:lang w:val="ro-RO"/>
        </w:rPr>
        <w:t>Hotărârea. nr 690/07.06.2016</w:t>
      </w:r>
      <w:r w:rsidRPr="002152E4">
        <w:rPr>
          <w:bCs/>
          <w:i/>
          <w:color w:val="000000"/>
          <w:kern w:val="32"/>
          <w:lang w:val="ro-RO"/>
        </w:rPr>
        <w:t xml:space="preserve"> şi-a însuşit concluziile raportului Inspecţiei Judiciare în sensul că s-a adus atingerea independenţei sistemului judiciar în ansamblul său, precum şi procurorilor din cadrul Direcţiei Naţionale Anticorupţie. </w:t>
      </w:r>
    </w:p>
    <w:p w:rsidR="00752B7A" w:rsidRPr="002152E4" w:rsidRDefault="00752B7A" w:rsidP="000476E4">
      <w:pPr>
        <w:ind w:firstLine="708"/>
        <w:jc w:val="both"/>
        <w:rPr>
          <w:bCs/>
          <w:color w:val="000000"/>
          <w:kern w:val="32"/>
          <w:lang w:val="ro-RO"/>
        </w:rPr>
      </w:pPr>
      <w:r w:rsidRPr="002152E4">
        <w:rPr>
          <w:b/>
          <w:bCs/>
          <w:color w:val="000000"/>
          <w:kern w:val="32"/>
          <w:lang w:val="ro-RO"/>
        </w:rPr>
        <w:t>8.</w:t>
      </w:r>
      <w:r w:rsidRPr="002152E4">
        <w:rPr>
          <w:bCs/>
          <w:color w:val="000000"/>
          <w:kern w:val="32"/>
          <w:lang w:val="ro-RO"/>
        </w:rPr>
        <w:t xml:space="preserve"> Consiliul Superior al Magistraturii, având la bază</w:t>
      </w:r>
      <w:r w:rsidRPr="002152E4">
        <w:rPr>
          <w:color w:val="000000"/>
          <w:lang w:val="ro-RO"/>
        </w:rPr>
        <w:t xml:space="preserve"> </w:t>
      </w:r>
      <w:r w:rsidRPr="002152E4">
        <w:rPr>
          <w:bCs/>
          <w:color w:val="000000"/>
          <w:kern w:val="32"/>
          <w:lang w:val="ro-RO"/>
        </w:rPr>
        <w:t>cererea domnului S. Ş., a solicitat Inspecţiei judiciare efectuarea de verificări cu privire la apărarea independenţei sistemului judiciar şi a procurorilor Direcţiei Naţionale Anticorupţie ca urmare a articolului “Din culisele războiului stelelor din Poliţia Brăila: Scheletele din dulapul IPJ”, publicat în ziarul Obiectiv Vocea Brăilei la data de 12.05.2016.</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w:t>
      </w:r>
      <w:r w:rsidRPr="002152E4">
        <w:rPr>
          <w:b/>
          <w:bCs/>
          <w:i/>
          <w:color w:val="000000"/>
          <w:kern w:val="32"/>
          <w:lang w:val="ro-RO"/>
        </w:rPr>
        <w:t>Hotărârea nr.</w:t>
      </w:r>
      <w:r w:rsidRPr="002152E4">
        <w:rPr>
          <w:bCs/>
          <w:i/>
          <w:color w:val="000000"/>
          <w:kern w:val="32"/>
          <w:lang w:val="ro-RO"/>
        </w:rPr>
        <w:t xml:space="preserve"> </w:t>
      </w:r>
      <w:r w:rsidRPr="002152E4">
        <w:rPr>
          <w:b/>
          <w:bCs/>
          <w:i/>
          <w:color w:val="000000"/>
          <w:kern w:val="32"/>
          <w:lang w:val="ro-RO"/>
        </w:rPr>
        <w:t>807/28.06.2016</w:t>
      </w:r>
      <w:r w:rsidRPr="002152E4">
        <w:rPr>
          <w:bCs/>
          <w:i/>
          <w:color w:val="000000"/>
          <w:kern w:val="32"/>
          <w:lang w:val="ro-RO"/>
        </w:rPr>
        <w:t>, şi-a însuşit concluziile raportului Inspecţiei Judiciare în sensul că</w:t>
      </w:r>
      <w:r w:rsidRPr="002152E4">
        <w:rPr>
          <w:color w:val="000000"/>
          <w:lang w:val="ro-RO"/>
        </w:rPr>
        <w:t xml:space="preserve"> </w:t>
      </w:r>
      <w:r w:rsidRPr="002152E4">
        <w:rPr>
          <w:bCs/>
          <w:i/>
          <w:color w:val="000000"/>
          <w:kern w:val="32"/>
          <w:lang w:val="ro-RO"/>
        </w:rPr>
        <w:t>a hotărât respingerea, ca neîntemeiată, a cererii de apărare a independenţei sistemului judiciar şi a procurorilor din cadrul Direcţiei Naţionale Anticorupţie.</w:t>
      </w:r>
    </w:p>
    <w:p w:rsidR="00752B7A" w:rsidRPr="002152E4" w:rsidRDefault="00752B7A" w:rsidP="000476E4">
      <w:pPr>
        <w:ind w:firstLine="708"/>
        <w:jc w:val="both"/>
        <w:rPr>
          <w:bCs/>
          <w:color w:val="000000"/>
          <w:kern w:val="32"/>
          <w:lang w:val="ro-RO"/>
        </w:rPr>
      </w:pPr>
      <w:r w:rsidRPr="002152E4">
        <w:rPr>
          <w:b/>
          <w:bCs/>
          <w:color w:val="000000"/>
          <w:kern w:val="32"/>
          <w:lang w:val="ro-RO"/>
        </w:rPr>
        <w:t>9.</w:t>
      </w:r>
      <w:r w:rsidRPr="002152E4">
        <w:rPr>
          <w:bCs/>
          <w:color w:val="000000"/>
          <w:kern w:val="32"/>
          <w:lang w:val="ro-RO"/>
        </w:rPr>
        <w:t xml:space="preserve"> Consiliul Superior al Magistraturii a solicitat Inspecţiei Judiciare efectuarea unor verificări necesare pentru a se stabili dacă a fost adusă atingere independenţei sistemului judiciar, prin afirmaţiile emise în spaţiul public de domnul </w:t>
      </w:r>
      <w:r w:rsidR="009B5C10">
        <w:rPr>
          <w:bCs/>
          <w:color w:val="000000"/>
          <w:kern w:val="32"/>
          <w:lang w:val="ro-RO"/>
        </w:rPr>
        <w:t xml:space="preserve"> T.B. </w:t>
      </w:r>
      <w:r w:rsidRPr="002152E4">
        <w:rPr>
          <w:bCs/>
          <w:color w:val="000000"/>
          <w:kern w:val="32"/>
          <w:lang w:val="ro-RO"/>
        </w:rPr>
        <w:t>la data de 15.06.2016  prin intermediul postului România TV şi preluate de mass-media.</w:t>
      </w:r>
    </w:p>
    <w:p w:rsidR="00752B7A" w:rsidRPr="002152E4" w:rsidRDefault="00752B7A" w:rsidP="000476E4">
      <w:pPr>
        <w:ind w:firstLine="708"/>
        <w:jc w:val="both"/>
        <w:rPr>
          <w:bCs/>
          <w:i/>
          <w:color w:val="000000"/>
          <w:kern w:val="32"/>
          <w:lang w:val="ro-RO"/>
        </w:rPr>
      </w:pPr>
      <w:r w:rsidRPr="002152E4">
        <w:rPr>
          <w:bCs/>
          <w:i/>
          <w:color w:val="000000"/>
          <w:kern w:val="32"/>
          <w:lang w:val="ro-RO"/>
        </w:rPr>
        <w:t>Plenul Consiliului Superior al Magistraturii, prin Hotărârea nr. 880/14.07.2016, şi-a însuşit concluziile raportului Inspecţiei Judiciare în sensul că declaraţiile emise în spaţiul public sunt de natură a aduce atingere independenţei sistemului judiciar, în ansamblul său.</w:t>
      </w:r>
    </w:p>
    <w:p w:rsidR="00752B7A" w:rsidRPr="002152E4" w:rsidRDefault="00752B7A" w:rsidP="000476E4">
      <w:pPr>
        <w:ind w:firstLine="708"/>
        <w:jc w:val="both"/>
        <w:rPr>
          <w:rFonts w:eastAsia="Calibri"/>
          <w:color w:val="000000"/>
          <w:lang w:val="ro-RO"/>
        </w:rPr>
      </w:pPr>
      <w:r w:rsidRPr="002152E4">
        <w:rPr>
          <w:b/>
          <w:bCs/>
          <w:color w:val="000000"/>
          <w:kern w:val="32"/>
          <w:lang w:val="ro-RO"/>
        </w:rPr>
        <w:t>10.</w:t>
      </w:r>
      <w:r w:rsidRPr="002152E4">
        <w:rPr>
          <w:bCs/>
          <w:color w:val="000000"/>
          <w:kern w:val="32"/>
          <w:lang w:val="ro-RO"/>
        </w:rPr>
        <w:t xml:space="preserve"> Consiliul Superior al Magistraturii a solicitat Inspecţiei Judiciare efectuarea unor verificări cu privire la apărarea independenţei sistemului judiciar, urmare a declaraţiilor făcute de domnul S.V.G. </w:t>
      </w:r>
      <w:r w:rsidRPr="002152E4">
        <w:rPr>
          <w:rFonts w:eastAsia="Calibri"/>
          <w:color w:val="000000"/>
          <w:lang w:val="ro-RO"/>
        </w:rPr>
        <w:t>preşedintele Consiliului</w:t>
      </w:r>
      <w:r w:rsidRPr="002152E4">
        <w:rPr>
          <w:color w:val="000000"/>
          <w:lang w:val="ro-RO"/>
        </w:rPr>
        <w:t xml:space="preserve"> </w:t>
      </w:r>
      <w:r w:rsidRPr="002152E4">
        <w:rPr>
          <w:rFonts w:eastAsia="Calibri"/>
          <w:color w:val="000000"/>
          <w:lang w:val="ro-RO"/>
        </w:rPr>
        <w:t>Patronatelor bancare din Romania care a afirmat că în opinia reprezentanţilor băncilor au fost pronunţate împotriva soluţii împotriva legii, încălcându-se în acest fel drepturi legitime care afectează activitatea instituţiilor de credit.</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w:t>
      </w:r>
      <w:r w:rsidRPr="002152E4">
        <w:rPr>
          <w:b/>
          <w:bCs/>
          <w:i/>
          <w:color w:val="000000"/>
          <w:kern w:val="32"/>
          <w:lang w:val="ro-RO"/>
        </w:rPr>
        <w:t>Hotărârea nr. 1006/23.08.2016</w:t>
      </w:r>
      <w:r w:rsidRPr="002152E4">
        <w:rPr>
          <w:bCs/>
          <w:i/>
          <w:color w:val="000000"/>
          <w:kern w:val="32"/>
          <w:lang w:val="ro-RO"/>
        </w:rPr>
        <w:t xml:space="preserve"> şi-a însuşit conţinutul raportului Inspecţiei Judiciare şi a admis cererea de apărare a independenţei şi imparţialităţii sistemului judiciar </w:t>
      </w:r>
    </w:p>
    <w:p w:rsidR="00752B7A" w:rsidRPr="002152E4" w:rsidRDefault="00752B7A" w:rsidP="000476E4">
      <w:pPr>
        <w:ind w:firstLine="708"/>
        <w:jc w:val="both"/>
        <w:rPr>
          <w:bCs/>
          <w:color w:val="000000"/>
          <w:kern w:val="32"/>
          <w:lang w:val="ro-RO"/>
        </w:rPr>
      </w:pPr>
      <w:r w:rsidRPr="002152E4">
        <w:rPr>
          <w:b/>
          <w:bCs/>
          <w:color w:val="000000"/>
          <w:kern w:val="32"/>
          <w:lang w:val="ro-RO"/>
        </w:rPr>
        <w:t>11.</w:t>
      </w:r>
      <w:r w:rsidRPr="002152E4">
        <w:rPr>
          <w:bCs/>
          <w:color w:val="000000"/>
          <w:kern w:val="32"/>
          <w:lang w:val="ro-RO"/>
        </w:rPr>
        <w:t xml:space="preserve"> Consiliul Superior al Magistraturii, având la bază solicitarea Direcţiei Naţionale Anticorupţie, a solicitat Inspecţiei Judiciare efectuarea unor verificări cu privire la apărare a independenţei, imparţialităţii procurorilor şi a sistemului judiciar în ansamblul său în legătură cu opiniile ce au fost exprimate în emisiunea „Sinteza zilei”, difuzată de postul de televiziune Antena 3 în seara zilei de 12 iulie 2016. S-a apreciat că limitele dreptului de exprimare a opiniei au fost depăşite prin modul în care invitatul emisiunii, domnul D.P.</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w:t>
      </w:r>
      <w:r w:rsidRPr="002152E4">
        <w:rPr>
          <w:b/>
          <w:bCs/>
          <w:i/>
          <w:color w:val="000000"/>
          <w:kern w:val="32"/>
          <w:lang w:val="ro-RO"/>
        </w:rPr>
        <w:t>Hotărârea nr. 1007/23.08.2016</w:t>
      </w:r>
      <w:r w:rsidRPr="002152E4">
        <w:rPr>
          <w:bCs/>
          <w:i/>
          <w:color w:val="000000"/>
          <w:kern w:val="32"/>
          <w:lang w:val="ro-RO"/>
        </w:rPr>
        <w:t>, şi-a însuşit concluziile raportului Inspecţiei Judiciare în sensul că intervenţia telefonică a domnului D.P. în emisiunea din data de 12 iulie 2016 şi opiniile exprimate de moderatorul emisiunii sunt de natură a afecta independenţa şi imparţialitatea procurorilor, precum şi independenţa şi prestigiul justiţiei.</w:t>
      </w:r>
    </w:p>
    <w:p w:rsidR="00752B7A" w:rsidRPr="002152E4" w:rsidRDefault="00752B7A" w:rsidP="000476E4">
      <w:pPr>
        <w:ind w:firstLine="708"/>
        <w:jc w:val="both"/>
        <w:rPr>
          <w:b/>
          <w:bCs/>
          <w:i/>
          <w:color w:val="000000"/>
          <w:kern w:val="32"/>
          <w:lang w:val="ro-RO"/>
        </w:rPr>
      </w:pPr>
      <w:r w:rsidRPr="002152E4">
        <w:rPr>
          <w:b/>
          <w:bCs/>
          <w:i/>
          <w:color w:val="000000"/>
          <w:kern w:val="32"/>
          <w:lang w:val="ro-RO"/>
        </w:rPr>
        <w:t xml:space="preserve">12. </w:t>
      </w:r>
      <w:r w:rsidRPr="002152E4">
        <w:rPr>
          <w:bCs/>
          <w:color w:val="000000"/>
          <w:kern w:val="32"/>
          <w:lang w:val="ro-RO"/>
        </w:rPr>
        <w:t>Consiliul Superior al Magistraturii, având la bază solicitarea Direcţiei Naţionale Anticorupţie, a solicitat Inspecţiei Judiciare efectuarea de verificări cu privire la apărarea independenţei sistemului judiciar, în legătură cu afirmaţiile domnului R.B. asemenea afirmaţii tendenţioase sunt de natură să submineze autoritatea judecătorească şi sunt de natură a pune în discuţie deontologia profesională a magistraţilor.</w:t>
      </w:r>
    </w:p>
    <w:p w:rsidR="00752B7A" w:rsidRPr="002152E4" w:rsidRDefault="00752B7A" w:rsidP="000476E4">
      <w:pPr>
        <w:ind w:firstLine="708"/>
        <w:jc w:val="both"/>
        <w:rPr>
          <w:bCs/>
          <w:i/>
          <w:color w:val="000000"/>
          <w:kern w:val="32"/>
          <w:lang w:val="ro-RO"/>
        </w:rPr>
      </w:pPr>
      <w:r w:rsidRPr="002152E4">
        <w:rPr>
          <w:bCs/>
          <w:i/>
          <w:color w:val="000000"/>
          <w:kern w:val="32"/>
          <w:lang w:val="ro-RO"/>
        </w:rPr>
        <w:lastRenderedPageBreak/>
        <w:t xml:space="preserve">Plenul Consiliului Superior al Magistraturii, prin </w:t>
      </w:r>
      <w:r w:rsidRPr="002152E4">
        <w:rPr>
          <w:b/>
          <w:bCs/>
          <w:i/>
          <w:color w:val="000000"/>
          <w:kern w:val="32"/>
          <w:lang w:val="ro-RO"/>
        </w:rPr>
        <w:t>Hotărârea nr. 1008/23.08.2016</w:t>
      </w:r>
      <w:r w:rsidRPr="002152E4">
        <w:rPr>
          <w:bCs/>
          <w:i/>
          <w:color w:val="000000"/>
          <w:kern w:val="32"/>
          <w:lang w:val="ro-RO"/>
        </w:rPr>
        <w:t>, şi-a însuşit concluziile raportului Inspecţiei Judiciare în sensul că afirmaţiile domnului R.B., sunt de natură a aduce atingere independenţei sistemului judiciar, în cadrul căruia îşi desfăşoară activitatea şi procurorii din cadrul DNA</w:t>
      </w:r>
    </w:p>
    <w:p w:rsidR="00752B7A" w:rsidRPr="002152E4" w:rsidRDefault="00752B7A" w:rsidP="000476E4">
      <w:pPr>
        <w:ind w:firstLine="708"/>
        <w:jc w:val="both"/>
        <w:rPr>
          <w:bCs/>
          <w:color w:val="000000"/>
          <w:kern w:val="32"/>
          <w:lang w:val="ro-RO"/>
        </w:rPr>
      </w:pPr>
      <w:r w:rsidRPr="002152E4">
        <w:rPr>
          <w:b/>
          <w:bCs/>
          <w:color w:val="000000"/>
          <w:kern w:val="32"/>
          <w:lang w:val="ro-RO"/>
        </w:rPr>
        <w:t>13.</w:t>
      </w:r>
      <w:r w:rsidRPr="002152E4">
        <w:rPr>
          <w:bCs/>
          <w:color w:val="000000"/>
          <w:kern w:val="32"/>
          <w:lang w:val="ro-RO"/>
        </w:rPr>
        <w:t xml:space="preserve"> Consiliul Superior al Magistraturii, având la bază solicitarea Direcţiei Naţionale Anticorupţie, a solicitat Inspecţiei Judiciare efectuarea unor verificări cu privire la apărarea independenţei sistemului judiciar cu privire la situaţia constatată în legătură cu declaraţiile domnului deputat N.E., făcute la postul de televiziune Antena 3, în data de 11.07.2016 şi preluate de numeroase televiziuni şi publicaţii.</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w:t>
      </w:r>
      <w:r w:rsidRPr="002152E4">
        <w:rPr>
          <w:b/>
          <w:bCs/>
          <w:i/>
          <w:color w:val="000000"/>
          <w:kern w:val="32"/>
          <w:lang w:val="ro-RO"/>
        </w:rPr>
        <w:t>Hotărârea nr. 1009/23.08.2016</w:t>
      </w:r>
      <w:r w:rsidRPr="002152E4">
        <w:rPr>
          <w:bCs/>
          <w:i/>
          <w:color w:val="000000"/>
          <w:kern w:val="32"/>
          <w:lang w:val="ro-RO"/>
        </w:rPr>
        <w:t>, şi-a însuşit concluziile raportului Inspecţiei Judiciare în sensul că declaraţiile domnului N.E, deputat, sunt de natură a aduce atingere independenţei sistemului judiciar, în cadrul căruia îşi desfăşoară activitatea şi procurorii din cadrul DNA.</w:t>
      </w:r>
    </w:p>
    <w:p w:rsidR="00752B7A" w:rsidRPr="002152E4" w:rsidRDefault="00752B7A" w:rsidP="000476E4">
      <w:pPr>
        <w:ind w:firstLine="708"/>
        <w:jc w:val="both"/>
        <w:rPr>
          <w:bCs/>
          <w:color w:val="000000"/>
          <w:kern w:val="32"/>
          <w:lang w:val="ro-RO"/>
        </w:rPr>
      </w:pPr>
      <w:r w:rsidRPr="002152E4">
        <w:rPr>
          <w:b/>
          <w:bCs/>
          <w:color w:val="000000"/>
          <w:kern w:val="32"/>
          <w:lang w:val="ro-RO"/>
        </w:rPr>
        <w:t>14.</w:t>
      </w:r>
      <w:r w:rsidRPr="002152E4">
        <w:rPr>
          <w:bCs/>
          <w:color w:val="000000"/>
          <w:kern w:val="32"/>
          <w:lang w:val="ro-RO"/>
        </w:rPr>
        <w:t xml:space="preserve"> Consiliul Superior al Magistraturii, având la bază solicitarea Direcţiei Naţionale Anticorupţie, a solicitat Inspecţiei Judiciare efectuarea de verificări cu privire la apărarea independenţei sistemului judiciar ca urmare a declaraţiile doamnei V. L. O., primar  al municipiului Craiova, făcute la postul de televiziune Antena 3 la data de 19.07.2016 şi preluate de majoritatea instituţiilor de presă.</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w:t>
      </w:r>
      <w:r w:rsidRPr="002152E4">
        <w:rPr>
          <w:b/>
          <w:bCs/>
          <w:i/>
          <w:color w:val="000000"/>
          <w:kern w:val="32"/>
          <w:lang w:val="ro-RO"/>
        </w:rPr>
        <w:t>Hotărârea nr. 1076/19.09.2016</w:t>
      </w:r>
      <w:r w:rsidRPr="002152E4">
        <w:rPr>
          <w:bCs/>
          <w:i/>
          <w:color w:val="000000"/>
          <w:kern w:val="32"/>
          <w:lang w:val="ro-RO"/>
        </w:rPr>
        <w:t>, şi-a însuşit concluziile raportului Inspecţiei Judiciare în sensul că afirmaţiile emise în spaţiul public de către doamna V. L.O. sunt de natură a afecta independenţa, prestigiul şi credibilitatea justiţiei.</w:t>
      </w:r>
    </w:p>
    <w:p w:rsidR="00752B7A" w:rsidRPr="002152E4" w:rsidRDefault="00752B7A" w:rsidP="000476E4">
      <w:pPr>
        <w:ind w:firstLine="708"/>
        <w:jc w:val="both"/>
        <w:rPr>
          <w:color w:val="000000"/>
          <w:lang w:val="ro-RO"/>
        </w:rPr>
      </w:pPr>
      <w:r w:rsidRPr="002152E4">
        <w:rPr>
          <w:b/>
          <w:bCs/>
          <w:color w:val="000000"/>
          <w:kern w:val="32"/>
          <w:lang w:val="ro-RO"/>
        </w:rPr>
        <w:t>15.</w:t>
      </w:r>
      <w:r w:rsidRPr="002152E4">
        <w:rPr>
          <w:bCs/>
          <w:color w:val="000000"/>
          <w:kern w:val="32"/>
          <w:lang w:val="ro-RO"/>
        </w:rPr>
        <w:t xml:space="preserve"> Consiliul Superior al Magistraturii a solicitat Inspecţiei Judiciare efectuarea verificărilor necesare pentru a se stabili dacă şi în ce măsură a fost adusă atingere independenţei şi imparţialităţii procurorilor Direcţiei Naţionale Anticorupţie, precum şi dacă a fost adusă atingere independenţei sistemului judiciar, în ansamblul său, prin afirmaţiile emise în spaţiul public la data de 25 iulie 2016, de către M.A.M. , reprezentant legal al Fotbal Club U Craiova SA şi director general, afirmaţii preluate ulterior de mass media</w:t>
      </w:r>
      <w:r w:rsidRPr="002152E4">
        <w:rPr>
          <w:color w:val="000000"/>
          <w:lang w:val="ro-RO"/>
        </w:rPr>
        <w:t>.</w:t>
      </w:r>
    </w:p>
    <w:p w:rsidR="00752B7A" w:rsidRPr="002152E4" w:rsidRDefault="00752B7A" w:rsidP="000476E4">
      <w:pPr>
        <w:ind w:firstLine="708"/>
        <w:jc w:val="both"/>
        <w:rPr>
          <w:bCs/>
          <w:i/>
          <w:color w:val="000000"/>
          <w:kern w:val="32"/>
          <w:lang w:val="ro-RO"/>
        </w:rPr>
      </w:pPr>
      <w:r w:rsidRPr="002152E4">
        <w:rPr>
          <w:bCs/>
          <w:i/>
          <w:color w:val="000000"/>
          <w:kern w:val="32"/>
          <w:lang w:val="ro-RO"/>
        </w:rPr>
        <w:t xml:space="preserve">Plenul Consiliului Superior al Magistraturii, prin </w:t>
      </w:r>
      <w:r w:rsidRPr="002152E4">
        <w:rPr>
          <w:b/>
          <w:bCs/>
          <w:i/>
          <w:color w:val="000000"/>
          <w:kern w:val="32"/>
          <w:lang w:val="ro-RO"/>
        </w:rPr>
        <w:t>Hotărârea nr. 1075/19.09.2016</w:t>
      </w:r>
      <w:r w:rsidRPr="002152E4">
        <w:rPr>
          <w:bCs/>
          <w:i/>
          <w:color w:val="000000"/>
          <w:kern w:val="32"/>
          <w:lang w:val="ro-RO"/>
        </w:rPr>
        <w:t>, şi-a însuşit concluziile raportului Inspecţiei Judiciare în sensul că postările făcute de domnul M.A.M. sunt de natură a aduce atingere independenţei şi imparţialităţii procurorilor Direcţiei Naţionale Anticorupţie şi, implicit, întregului sistem judiciar.</w:t>
      </w:r>
    </w:p>
    <w:p w:rsidR="00752B7A" w:rsidRPr="002152E4" w:rsidRDefault="00752B7A" w:rsidP="000476E4">
      <w:pPr>
        <w:ind w:firstLine="708"/>
        <w:jc w:val="both"/>
        <w:rPr>
          <w:bCs/>
          <w:color w:val="000000"/>
          <w:kern w:val="32"/>
          <w:lang w:val="ro-RO"/>
        </w:rPr>
      </w:pPr>
      <w:r w:rsidRPr="002152E4">
        <w:rPr>
          <w:b/>
          <w:bCs/>
          <w:color w:val="000000"/>
          <w:kern w:val="32"/>
          <w:lang w:val="ro-RO"/>
        </w:rPr>
        <w:t>16.</w:t>
      </w:r>
      <w:r w:rsidRPr="002152E4">
        <w:rPr>
          <w:bCs/>
          <w:color w:val="000000"/>
          <w:kern w:val="32"/>
          <w:lang w:val="ro-RO"/>
        </w:rPr>
        <w:t xml:space="preserve"> Consiliul Superior al Magistraturii, având la bază solicitarea Direcţiei Naţionale Anticorupţie, a solicitat Inspecţiei Judiciare efectuarea de verificări necesare pentru a se stabili dacă şi în ce măsură a fost adusă atingere independenţei sistemului judiciar în ansamblul său, prin informaţiile publicate pe site-ul www.danielsavu.ro în data de 18 septembrie 2016, preluate ulterior de mai multe trusturi de presă.</w:t>
      </w:r>
    </w:p>
    <w:p w:rsidR="00752B7A" w:rsidRPr="002152E4" w:rsidRDefault="00752B7A" w:rsidP="000476E4">
      <w:pPr>
        <w:ind w:firstLine="708"/>
        <w:jc w:val="both"/>
        <w:rPr>
          <w:i/>
          <w:lang w:val="ro-RO"/>
        </w:rPr>
      </w:pPr>
      <w:r w:rsidRPr="002152E4">
        <w:rPr>
          <w:i/>
          <w:lang w:val="ro-RO"/>
        </w:rPr>
        <w:t xml:space="preserve">Plenul Consiliului Superior al Magistraturii, prin </w:t>
      </w:r>
      <w:r w:rsidRPr="002152E4">
        <w:rPr>
          <w:b/>
          <w:i/>
          <w:lang w:val="ro-RO"/>
        </w:rPr>
        <w:t>Hotărârea  nr. 1390/14.11.2016</w:t>
      </w:r>
      <w:r w:rsidRPr="002152E4">
        <w:rPr>
          <w:i/>
          <w:lang w:val="ro-RO"/>
        </w:rPr>
        <w:t xml:space="preserve"> a apreciat că afirmaţiile emise în spaţiul public de către domnul senator </w:t>
      </w:r>
      <w:r w:rsidR="009B5C10">
        <w:rPr>
          <w:i/>
          <w:lang w:val="ro-RO"/>
        </w:rPr>
        <w:t xml:space="preserve"> D.S. </w:t>
      </w:r>
      <w:r w:rsidRPr="002152E4">
        <w:rPr>
          <w:i/>
          <w:lang w:val="ro-RO"/>
        </w:rPr>
        <w:t>sunt de natură a aduce atingere independenţei, prestigiului şi credibilităţii justiţiei, cu consecinţa subminării autorităţii acesteia</w:t>
      </w:r>
    </w:p>
    <w:p w:rsidR="00752B7A" w:rsidRPr="002152E4" w:rsidRDefault="00752B7A" w:rsidP="000476E4">
      <w:pPr>
        <w:ind w:firstLine="708"/>
        <w:jc w:val="both"/>
        <w:rPr>
          <w:bCs/>
          <w:i/>
          <w:color w:val="000000"/>
          <w:kern w:val="32"/>
          <w:lang w:val="ro-RO"/>
        </w:rPr>
      </w:pPr>
      <w:r w:rsidRPr="002152E4">
        <w:rPr>
          <w:b/>
          <w:bCs/>
          <w:color w:val="000000"/>
          <w:kern w:val="32"/>
          <w:lang w:val="ro-RO"/>
        </w:rPr>
        <w:t>17.</w:t>
      </w:r>
      <w:r w:rsidRPr="002152E4">
        <w:rPr>
          <w:bCs/>
          <w:color w:val="000000"/>
          <w:kern w:val="32"/>
          <w:lang w:val="ro-RO"/>
        </w:rPr>
        <w:t xml:space="preserve"> Consiliul Superior al Magistraturii a solicitat Inspecţiei Judiciare efectuarea unor verificări cu privire la apărarea independenţei sistemului judiciar, în raport de afirmaţiile făcute de domnul</w:t>
      </w:r>
      <w:r w:rsidR="009B5C10">
        <w:rPr>
          <w:bCs/>
          <w:color w:val="000000"/>
          <w:kern w:val="32"/>
          <w:lang w:val="ro-RO"/>
        </w:rPr>
        <w:t xml:space="preserve"> T.B.</w:t>
      </w:r>
      <w:r w:rsidRPr="002152E4">
        <w:rPr>
          <w:bCs/>
          <w:color w:val="000000"/>
          <w:kern w:val="32"/>
          <w:lang w:val="ro-RO"/>
        </w:rPr>
        <w:t>, fost preşedinte al României, precum şi a altor persoane apropiate fostului preşedinte, în cadrul mai multor apariții televizate.</w:t>
      </w:r>
    </w:p>
    <w:p w:rsidR="00752B7A" w:rsidRPr="002152E4" w:rsidRDefault="00752B7A" w:rsidP="000476E4">
      <w:pPr>
        <w:ind w:firstLine="708"/>
        <w:jc w:val="both"/>
        <w:rPr>
          <w:i/>
          <w:lang w:val="ro-RO"/>
        </w:rPr>
      </w:pPr>
      <w:r w:rsidRPr="002152E4">
        <w:rPr>
          <w:bCs/>
          <w:i/>
          <w:color w:val="000000"/>
          <w:kern w:val="32"/>
          <w:lang w:val="ro-RO"/>
        </w:rPr>
        <w:t xml:space="preserve">Plenul Consiliului Superior al Magistraturii, prin </w:t>
      </w:r>
      <w:r w:rsidRPr="002152E4">
        <w:rPr>
          <w:b/>
          <w:bCs/>
          <w:i/>
          <w:color w:val="000000"/>
          <w:kern w:val="32"/>
          <w:lang w:val="ro-RO"/>
        </w:rPr>
        <w:t xml:space="preserve">Hotărârea nr. </w:t>
      </w:r>
      <w:r w:rsidRPr="002152E4">
        <w:rPr>
          <w:b/>
          <w:i/>
          <w:lang w:val="ro-RO"/>
        </w:rPr>
        <w:t>1389/14.11.2016</w:t>
      </w:r>
      <w:r w:rsidRPr="002152E4">
        <w:rPr>
          <w:i/>
          <w:lang w:val="ro-RO"/>
        </w:rPr>
        <w:t xml:space="preserve"> a apreciat că afirmaţiile formulate de domnul</w:t>
      </w:r>
      <w:r w:rsidR="009B5C10">
        <w:rPr>
          <w:i/>
          <w:lang w:val="ro-RO"/>
        </w:rPr>
        <w:t xml:space="preserve"> T.B.</w:t>
      </w:r>
      <w:r w:rsidRPr="002152E4">
        <w:rPr>
          <w:i/>
          <w:lang w:val="ro-RO"/>
        </w:rPr>
        <w:t>, fost preşedinte al României precum şi doamna</w:t>
      </w:r>
      <w:r w:rsidR="009B5C10">
        <w:rPr>
          <w:i/>
          <w:lang w:val="ro-RO"/>
        </w:rPr>
        <w:t xml:space="preserve"> E.U.</w:t>
      </w:r>
      <w:r w:rsidRPr="002152E4">
        <w:rPr>
          <w:i/>
          <w:lang w:val="ro-RO"/>
        </w:rPr>
        <w:t>, deputat în Parlamentul României, în cadrul mai multor apariţii televizate, sunt de natură să producă un impact negativ asupra credibilităţii sistemului judiciar, aducând atingere independenţei procurorilor DNA şi independenţei, prestigiului şi credibilităţii justiţiei în ansamblul său.</w:t>
      </w:r>
    </w:p>
    <w:p w:rsidR="00752B7A" w:rsidRPr="002152E4" w:rsidRDefault="00752B7A" w:rsidP="000476E4">
      <w:pPr>
        <w:ind w:firstLine="708"/>
        <w:jc w:val="both"/>
        <w:rPr>
          <w:bCs/>
          <w:color w:val="000000"/>
          <w:kern w:val="32"/>
          <w:lang w:val="ro-RO"/>
        </w:rPr>
      </w:pPr>
      <w:r w:rsidRPr="002152E4">
        <w:rPr>
          <w:b/>
          <w:bCs/>
          <w:i/>
          <w:color w:val="000000"/>
          <w:kern w:val="32"/>
          <w:lang w:val="ro-RO"/>
        </w:rPr>
        <w:t>18.</w:t>
      </w:r>
      <w:r w:rsidRPr="002152E4">
        <w:rPr>
          <w:bCs/>
          <w:i/>
          <w:color w:val="000000"/>
          <w:kern w:val="32"/>
          <w:lang w:val="ro-RO"/>
        </w:rPr>
        <w:t xml:space="preserve"> </w:t>
      </w:r>
      <w:r w:rsidRPr="002152E4">
        <w:rPr>
          <w:bCs/>
          <w:color w:val="000000"/>
          <w:kern w:val="32"/>
          <w:lang w:val="ro-RO"/>
        </w:rPr>
        <w:t>Consiliul Superior al Magistraturii a solicitat Inspecţiei Judiciare efectuarea verificărilor necesare pentru a se stabili dacă şi în ce măsură a fost adusă atingere independenţei sistemului judiciar în ansamblul său, prin Apelul către parlamentari, adresat de către Preşedintele Senatului României, domnul</w:t>
      </w:r>
      <w:r w:rsidR="009B5C10">
        <w:rPr>
          <w:bCs/>
          <w:color w:val="000000"/>
          <w:kern w:val="32"/>
          <w:lang w:val="ro-RO"/>
        </w:rPr>
        <w:t xml:space="preserve"> C.P.T.</w:t>
      </w:r>
      <w:r w:rsidRPr="002152E4">
        <w:rPr>
          <w:bCs/>
          <w:color w:val="000000"/>
          <w:kern w:val="32"/>
          <w:lang w:val="ro-RO"/>
        </w:rPr>
        <w:t xml:space="preserve">, colegilor senatori şi deputaţi,  în data de 16 octombrie 2016, preluat ulterior de mai multe trusturi de presă. </w:t>
      </w:r>
    </w:p>
    <w:p w:rsidR="00752B7A" w:rsidRPr="002152E4" w:rsidRDefault="00752B7A" w:rsidP="000476E4">
      <w:pPr>
        <w:jc w:val="both"/>
        <w:rPr>
          <w:i/>
          <w:lang w:val="ro-RO"/>
        </w:rPr>
      </w:pPr>
      <w:r w:rsidRPr="002152E4">
        <w:rPr>
          <w:bCs/>
          <w:i/>
          <w:color w:val="000000"/>
          <w:kern w:val="32"/>
          <w:lang w:val="ro-RO"/>
        </w:rPr>
        <w:lastRenderedPageBreak/>
        <w:t xml:space="preserve">Plenul Consiliului Superior al Magistraturii, prin </w:t>
      </w:r>
      <w:r w:rsidRPr="002152E4">
        <w:rPr>
          <w:b/>
          <w:bCs/>
          <w:i/>
          <w:color w:val="000000"/>
          <w:kern w:val="32"/>
          <w:lang w:val="ro-RO"/>
        </w:rPr>
        <w:t xml:space="preserve">Hotărârea nr. </w:t>
      </w:r>
      <w:r w:rsidRPr="002152E4">
        <w:rPr>
          <w:b/>
          <w:i/>
          <w:lang w:val="ro-RO"/>
        </w:rPr>
        <w:t>1391/14.11.2016</w:t>
      </w:r>
      <w:r w:rsidRPr="002152E4">
        <w:rPr>
          <w:i/>
          <w:lang w:val="ro-RO"/>
        </w:rPr>
        <w:t xml:space="preserve"> a apreciat că prin afirmaţiile asumate instituțional de către Preşedintele Senatului României, în documentul intitulat „Apel către parlamentari”, publicat sub semnătura domnului</w:t>
      </w:r>
      <w:r w:rsidR="009B5C10">
        <w:rPr>
          <w:i/>
          <w:lang w:val="ro-RO"/>
        </w:rPr>
        <w:t xml:space="preserve"> C.P.T.</w:t>
      </w:r>
      <w:r w:rsidRPr="002152E4">
        <w:rPr>
          <w:i/>
          <w:lang w:val="ro-RO"/>
        </w:rPr>
        <w:t>, precum şi în dezbaterea mediatică subsecventă acestora, a fost adusă atingere independenţei justiţiei, în ansamblul său.</w:t>
      </w:r>
    </w:p>
    <w:p w:rsidR="00752B7A" w:rsidRPr="002152E4" w:rsidRDefault="00752B7A" w:rsidP="000476E4">
      <w:pPr>
        <w:ind w:firstLine="708"/>
        <w:jc w:val="both"/>
        <w:rPr>
          <w:bCs/>
          <w:kern w:val="32"/>
          <w:lang w:val="ro-RO"/>
        </w:rPr>
      </w:pPr>
      <w:r w:rsidRPr="002152E4">
        <w:rPr>
          <w:b/>
          <w:bCs/>
          <w:i/>
          <w:color w:val="000000"/>
          <w:kern w:val="32"/>
          <w:lang w:val="ro-RO"/>
        </w:rPr>
        <w:t xml:space="preserve">19. </w:t>
      </w:r>
      <w:r w:rsidRPr="002152E4">
        <w:rPr>
          <w:bCs/>
          <w:color w:val="000000"/>
          <w:kern w:val="32"/>
          <w:lang w:val="ro-RO"/>
        </w:rPr>
        <w:t xml:space="preserve">Consiliul Superior al Magistraturii a solicitat Inspecţiei Judiciare efectuarea </w:t>
      </w:r>
      <w:r w:rsidRPr="002152E4">
        <w:rPr>
          <w:bCs/>
          <w:kern w:val="32"/>
          <w:lang w:val="ro-RO"/>
        </w:rPr>
        <w:t>verificărilor  necesare pentru a se stabili dacă informaţiile apărute în articolul “iar se aţâţă dihonia la Târgu Mureş” publicat în ziarul “Puterea” din data de 14.11.2016 au fost de natură să aducă atingere independenţei şi imparţialităţii procurorilor DNA, precum şi independenţei sistemului judiciar, în ansamblul său.</w:t>
      </w:r>
    </w:p>
    <w:p w:rsidR="00752B7A" w:rsidRPr="002152E4" w:rsidRDefault="00752B7A" w:rsidP="000476E4">
      <w:pPr>
        <w:ind w:firstLine="708"/>
        <w:jc w:val="both"/>
        <w:rPr>
          <w:bCs/>
          <w:i/>
          <w:kern w:val="32"/>
          <w:lang w:val="ro-RO"/>
        </w:rPr>
      </w:pPr>
      <w:r w:rsidRPr="002152E4">
        <w:rPr>
          <w:bCs/>
          <w:i/>
          <w:kern w:val="32"/>
          <w:lang w:val="ro-RO"/>
        </w:rPr>
        <w:t xml:space="preserve">Plenul Consiliului Superior al Magistraturii, prin </w:t>
      </w:r>
      <w:r w:rsidRPr="002152E4">
        <w:rPr>
          <w:b/>
          <w:bCs/>
          <w:i/>
          <w:kern w:val="32"/>
          <w:lang w:val="ro-RO"/>
        </w:rPr>
        <w:t>Hotărârea nr. 1589/15.12.2016</w:t>
      </w:r>
      <w:r w:rsidRPr="002152E4">
        <w:rPr>
          <w:bCs/>
          <w:i/>
          <w:kern w:val="32"/>
          <w:lang w:val="ro-RO"/>
        </w:rPr>
        <w:t>, şi-a însuşit concluziile raportului Inspecţiei Judiciare în sensul că informaţiile transmise în spaţiul public de lideri ai UDMR şi prelaţi catolici de origine maghiară, sunt de natură să afecteze independenţa şi imparţialitatea procurorilor Direcţiei Naţionale Anticorupţie şi implicit a întregului sistem judiciar.</w:t>
      </w:r>
    </w:p>
    <w:p w:rsidR="00752B7A" w:rsidRPr="002152E4" w:rsidRDefault="00752B7A" w:rsidP="000476E4">
      <w:pPr>
        <w:ind w:firstLine="708"/>
        <w:jc w:val="both"/>
        <w:rPr>
          <w:bCs/>
          <w:kern w:val="32"/>
          <w:lang w:val="ro-RO"/>
        </w:rPr>
      </w:pPr>
      <w:r w:rsidRPr="002152E4">
        <w:rPr>
          <w:b/>
          <w:lang w:val="ro-RO"/>
        </w:rPr>
        <w:t xml:space="preserve">20. </w:t>
      </w:r>
      <w:r w:rsidRPr="002152E4">
        <w:rPr>
          <w:bCs/>
          <w:color w:val="000000"/>
          <w:kern w:val="32"/>
          <w:lang w:val="ro-RO"/>
        </w:rPr>
        <w:t xml:space="preserve">Consiliul Superior al Magistraturii a solicitat Inspecţiei Judiciare efectuarea unor verificări </w:t>
      </w:r>
      <w:r w:rsidRPr="002152E4">
        <w:rPr>
          <w:bCs/>
          <w:kern w:val="32"/>
          <w:lang w:val="ro-RO"/>
        </w:rPr>
        <w:t xml:space="preserve">cu privire la apărarea independenţei sistemului judiciar, ca urmare a intervenţiei telefonice a domnului </w:t>
      </w:r>
      <w:r w:rsidR="009B5C10">
        <w:rPr>
          <w:bCs/>
          <w:kern w:val="32"/>
          <w:lang w:val="ro-RO"/>
        </w:rPr>
        <w:t xml:space="preserve"> T.B. </w:t>
      </w:r>
      <w:r w:rsidRPr="002152E4">
        <w:rPr>
          <w:bCs/>
          <w:kern w:val="32"/>
          <w:lang w:val="ro-RO"/>
        </w:rPr>
        <w:t>în timpul emisiunii „Ultima oră” din data de 6 decembrie 2016, difuzată de postul de televiziune România TV, preluată parţial în cadrul „Ştirilor B1TV” din data de 7 decembrie 2016 şi în articolul publicat la aceeaşi dată pe pagina de web www.luju.ro.</w:t>
      </w:r>
    </w:p>
    <w:p w:rsidR="00752B7A" w:rsidRPr="002152E4" w:rsidRDefault="00752B7A" w:rsidP="000476E4">
      <w:pPr>
        <w:ind w:firstLine="708"/>
        <w:jc w:val="both"/>
        <w:rPr>
          <w:bCs/>
          <w:i/>
          <w:kern w:val="32"/>
          <w:lang w:val="ro-RO"/>
        </w:rPr>
      </w:pPr>
      <w:r w:rsidRPr="002152E4">
        <w:rPr>
          <w:bCs/>
          <w:i/>
          <w:kern w:val="32"/>
          <w:lang w:val="ro-RO"/>
        </w:rPr>
        <w:t xml:space="preserve">Plenul Consiliului Superior al Magistraturii, prin </w:t>
      </w:r>
      <w:r w:rsidRPr="002152E4">
        <w:rPr>
          <w:b/>
          <w:bCs/>
          <w:i/>
          <w:kern w:val="32"/>
          <w:lang w:val="ro-RO"/>
        </w:rPr>
        <w:t>Hotărârea nr. 1618/15.12.2016</w:t>
      </w:r>
      <w:r w:rsidRPr="002152E4">
        <w:rPr>
          <w:bCs/>
          <w:i/>
          <w:kern w:val="32"/>
          <w:lang w:val="ro-RO"/>
        </w:rPr>
        <w:t xml:space="preserve"> a apreciat că afirmaţiile din intervenţia telefonică a domnului </w:t>
      </w:r>
      <w:r w:rsidR="009B5C10">
        <w:rPr>
          <w:bCs/>
          <w:i/>
          <w:kern w:val="32"/>
          <w:lang w:val="ro-RO"/>
        </w:rPr>
        <w:t xml:space="preserve"> T.B. </w:t>
      </w:r>
      <w:r w:rsidRPr="002152E4">
        <w:rPr>
          <w:bCs/>
          <w:i/>
          <w:kern w:val="32"/>
          <w:lang w:val="ro-RO"/>
        </w:rPr>
        <w:t>sunt de natură să producă un impact negativ asupra credibilităţii sistemului judiciar, cu consecinţa afectării independenţei şi integrităţii magistraţilor.</w:t>
      </w:r>
    </w:p>
    <w:p w:rsidR="00752B7A" w:rsidRPr="002152E4" w:rsidRDefault="00752B7A" w:rsidP="000476E4">
      <w:pPr>
        <w:ind w:firstLine="708"/>
        <w:jc w:val="both"/>
        <w:rPr>
          <w:bCs/>
          <w:kern w:val="32"/>
          <w:lang w:val="ro-RO"/>
        </w:rPr>
      </w:pPr>
      <w:r w:rsidRPr="002152E4">
        <w:rPr>
          <w:b/>
          <w:bCs/>
          <w:i/>
          <w:kern w:val="32"/>
          <w:lang w:val="ro-RO"/>
        </w:rPr>
        <w:t>21.</w:t>
      </w:r>
      <w:r w:rsidRPr="002152E4">
        <w:rPr>
          <w:bCs/>
          <w:i/>
          <w:kern w:val="32"/>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verificărilor necesare pentru a se stabili dacă şi în ce măsură a fost adusă atingere independenţei sistemului judiciar în ansamblul său, în raport de afirmaţiile şi informaţiile prezentate în cadrul emisiunii “Sinteza zilei” difuzată pe postul TV Antena 3, în data de 16.11.2016, precum şi în data de 20.11.2016 preluate ulterior în mass media.</w:t>
      </w:r>
    </w:p>
    <w:p w:rsidR="00752B7A" w:rsidRPr="002152E4" w:rsidRDefault="00752B7A" w:rsidP="000476E4">
      <w:pPr>
        <w:ind w:firstLine="708"/>
        <w:jc w:val="both"/>
        <w:rPr>
          <w:bCs/>
          <w:kern w:val="32"/>
          <w:lang w:val="ro-RO"/>
        </w:rPr>
      </w:pPr>
      <w:r w:rsidRPr="002152E4">
        <w:rPr>
          <w:bCs/>
          <w:kern w:val="32"/>
          <w:lang w:val="ro-RO"/>
        </w:rPr>
        <w:t>De asemenea preşedintele Consiliului Superior al Magistraturii a solicitat Inspecţiei Judiciare efectuare unor verificări cu privire la apărarea independenţei sistemului judiciar, în general, și a unei persoane cu funcție reprezentativă  în sistemul judiciar, în raport de 4 materiale difuzate de mass media, respectiv: emisiunea România de poveste difuzată în data de 03.12.2016, articolului publicat în data de 05.12.2016 pe pagina web www.luju.ro şi emisiunile Sinteza Zilei şi Esenţial din data 05.12.2016  difuzate de postul Antena 3.</w:t>
      </w:r>
    </w:p>
    <w:p w:rsidR="00752B7A" w:rsidRPr="002152E4" w:rsidRDefault="00752B7A" w:rsidP="000476E4">
      <w:pPr>
        <w:ind w:firstLine="708"/>
        <w:jc w:val="both"/>
        <w:rPr>
          <w:bCs/>
          <w:kern w:val="32"/>
          <w:lang w:val="ro-RO"/>
        </w:rPr>
      </w:pPr>
      <w:r w:rsidRPr="002152E4">
        <w:rPr>
          <w:bCs/>
          <w:kern w:val="32"/>
          <w:lang w:val="ro-RO"/>
        </w:rPr>
        <w:t>Totodată, s-a dispus efectuarea de verificări cu privire la aspectele sesizate de procurorul şef al Direcţiei Naţionale Anticorupţie, privind apărarea independenţei sistemului judiciar, faţă de afirmaţiile făcute în cadrul emisiunii „sinteza Zilei” la data de 16.11.2016.</w:t>
      </w:r>
    </w:p>
    <w:p w:rsidR="00752B7A" w:rsidRPr="002152E4" w:rsidRDefault="00752B7A" w:rsidP="000476E4">
      <w:pPr>
        <w:ind w:firstLine="708"/>
        <w:jc w:val="both"/>
        <w:rPr>
          <w:i/>
          <w:lang w:val="ro-RO"/>
        </w:rPr>
      </w:pPr>
      <w:r w:rsidRPr="002152E4">
        <w:rPr>
          <w:bCs/>
          <w:i/>
          <w:kern w:val="32"/>
          <w:lang w:val="ro-RO"/>
        </w:rPr>
        <w:t xml:space="preserve">Plenul Consiliului Superior al Magistraturii, prin </w:t>
      </w:r>
      <w:r w:rsidRPr="002152E4">
        <w:rPr>
          <w:b/>
          <w:bCs/>
          <w:i/>
          <w:kern w:val="32"/>
          <w:lang w:val="ro-RO"/>
        </w:rPr>
        <w:t>Hotărârea nr. 1619/15.12.2016</w:t>
      </w:r>
      <w:r w:rsidRPr="002152E4">
        <w:rPr>
          <w:bCs/>
          <w:i/>
          <w:kern w:val="32"/>
          <w:lang w:val="ro-RO"/>
        </w:rPr>
        <w:t xml:space="preserve">, şi-a însuşit concluziile raportului Inspecţiei Judiciare şi a apreciat că afirmaţiile apărute în cele 4 materiale difuzate de mass media sunt de natură să afecteze încrederea cetățenilor în sistemul judiciar şi, implicit, a afectării independenţei acestuia. </w:t>
      </w:r>
    </w:p>
    <w:p w:rsidR="00752B7A" w:rsidRPr="002152E4" w:rsidRDefault="00752B7A" w:rsidP="000476E4">
      <w:pPr>
        <w:ind w:firstLine="708"/>
        <w:jc w:val="both"/>
        <w:rPr>
          <w:rFonts w:ascii="Times New Roman" w:hAnsi="Times New Roman"/>
          <w:bCs/>
          <w:i/>
          <w:kern w:val="32"/>
          <w:lang w:val="ro-RO"/>
        </w:rPr>
      </w:pPr>
    </w:p>
    <w:p w:rsidR="00752B7A" w:rsidRPr="002152E4" w:rsidRDefault="00752B7A" w:rsidP="00752B7A">
      <w:pPr>
        <w:pStyle w:val="ListParagraph"/>
        <w:rPr>
          <w:rFonts w:ascii="Calibri" w:hAnsi="Calibri"/>
          <w:b/>
          <w:color w:val="000000"/>
          <w:lang w:val="ro-RO"/>
        </w:rPr>
      </w:pPr>
      <w:r w:rsidRPr="002152E4">
        <w:rPr>
          <w:rFonts w:ascii="Calibri" w:hAnsi="Calibri"/>
          <w:b/>
          <w:color w:val="000000"/>
          <w:lang w:val="ro-RO"/>
        </w:rPr>
        <w:t xml:space="preserve">B. Apărarea independenţei, imparţialităţii şi a reputaţiei profesionale  </w:t>
      </w:r>
    </w:p>
    <w:p w:rsidR="00752B7A" w:rsidRPr="002152E4" w:rsidRDefault="00EB7297" w:rsidP="000476E4">
      <w:pPr>
        <w:keepNext/>
        <w:tabs>
          <w:tab w:val="left" w:pos="851"/>
        </w:tabs>
        <w:jc w:val="both"/>
        <w:outlineLvl w:val="1"/>
        <w:rPr>
          <w:color w:val="000000"/>
          <w:lang w:val="ro-RO"/>
        </w:rPr>
      </w:pPr>
      <w:r>
        <w:rPr>
          <w:rFonts w:eastAsia="Calibri"/>
          <w:b/>
          <w:color w:val="000000"/>
          <w:lang w:val="ro-RO"/>
        </w:rPr>
        <w:tab/>
      </w:r>
      <w:bookmarkStart w:id="192" w:name="_Toc476907746"/>
      <w:bookmarkStart w:id="193" w:name="_Toc486576567"/>
      <w:r w:rsidR="00752B7A" w:rsidRPr="002152E4">
        <w:rPr>
          <w:color w:val="000000"/>
          <w:lang w:val="ro-RO"/>
        </w:rPr>
        <w:t xml:space="preserve">În cadrul </w:t>
      </w:r>
      <w:r w:rsidR="00752B7A" w:rsidRPr="002152E4">
        <w:rPr>
          <w:b/>
          <w:color w:val="000000"/>
          <w:lang w:val="ro-RO"/>
        </w:rPr>
        <w:t>Direcţiei de inspecţie judiciară pentru judecători</w:t>
      </w:r>
      <w:r w:rsidR="00752B7A" w:rsidRPr="002152E4">
        <w:rPr>
          <w:color w:val="000000"/>
          <w:lang w:val="ro-RO"/>
        </w:rPr>
        <w:t xml:space="preserve"> au fost înregistrate </w:t>
      </w:r>
      <w:r w:rsidR="00752B7A" w:rsidRPr="002152E4">
        <w:rPr>
          <w:b/>
          <w:color w:val="000000"/>
          <w:lang w:val="ro-RO"/>
        </w:rPr>
        <w:t>17 cereri</w:t>
      </w:r>
      <w:r w:rsidR="00752B7A" w:rsidRPr="002152E4">
        <w:rPr>
          <w:color w:val="000000"/>
          <w:lang w:val="ro-RO"/>
        </w:rPr>
        <w:t xml:space="preserve"> de apărare a reputaţiei profesionale, independenţei şi imparţialităţii formulate de judecători,  dintre care 5 cereri au fost admise, 6 au fost respinse, 3 au fost retrase,  în 2 cazuri s-a luat act de renunţare la cereri şi o lucrare se află pe rolul Plenului Consiliului Superior al Magistraturii.</w:t>
      </w:r>
      <w:bookmarkEnd w:id="192"/>
      <w:bookmarkEnd w:id="193"/>
    </w:p>
    <w:p w:rsidR="00752B7A" w:rsidRPr="002152E4" w:rsidRDefault="00752B7A" w:rsidP="000476E4">
      <w:pPr>
        <w:jc w:val="both"/>
        <w:rPr>
          <w:color w:val="000000"/>
          <w:lang w:val="ro-RO"/>
        </w:rPr>
      </w:pPr>
      <w:r w:rsidRPr="002152E4">
        <w:rPr>
          <w:color w:val="000000"/>
          <w:lang w:val="ro-RO"/>
        </w:rPr>
        <w:t xml:space="preserve"> </w:t>
      </w:r>
      <w:r w:rsidR="00EB7297">
        <w:rPr>
          <w:color w:val="000000"/>
          <w:lang w:val="ro-RO"/>
        </w:rPr>
        <w:tab/>
      </w:r>
      <w:r w:rsidRPr="002152E4">
        <w:rPr>
          <w:color w:val="000000"/>
          <w:lang w:val="ro-RO"/>
        </w:rPr>
        <w:t>Situaţia acestora se prezintă astfel:</w:t>
      </w:r>
    </w:p>
    <w:p w:rsidR="00752B7A" w:rsidRPr="002152E4" w:rsidRDefault="00752B7A" w:rsidP="000476E4">
      <w:pPr>
        <w:ind w:firstLine="708"/>
        <w:jc w:val="both"/>
        <w:rPr>
          <w:color w:val="000000"/>
          <w:lang w:val="ro-RO"/>
        </w:rPr>
      </w:pPr>
      <w:r w:rsidRPr="002152E4">
        <w:rPr>
          <w:b/>
          <w:bCs/>
          <w:color w:val="000000"/>
          <w:kern w:val="32"/>
          <w:lang w:val="ro-RO"/>
        </w:rPr>
        <w:t>1</w:t>
      </w:r>
      <w:r w:rsidRPr="002152E4">
        <w:rPr>
          <w:bCs/>
          <w:color w:val="000000"/>
          <w:kern w:val="32"/>
          <w:lang w:val="ro-RO"/>
        </w:rPr>
        <w:t xml:space="preserve">.Consiliul Superior al Magistraturii a solicitat Inspecţiei Judiciare efectuarea </w:t>
      </w:r>
      <w:r w:rsidRPr="002152E4">
        <w:rPr>
          <w:bCs/>
          <w:kern w:val="32"/>
          <w:lang w:val="ro-RO"/>
        </w:rPr>
        <w:t xml:space="preserve">verificărilor necesare </w:t>
      </w:r>
      <w:r w:rsidRPr="002152E4">
        <w:rPr>
          <w:color w:val="000000"/>
          <w:lang w:val="ro-RO"/>
        </w:rPr>
        <w:t>în raport de cererea de apărare a reputaţiei profesionale formulată de doamna judecător C.A.G. din cadrul  Judecătoriei P. cu referire la un dosar  având ca obiect contestaţie la executare şi suspendarea executării, privind acţiunile întreprinse împotriva sa de către contestatorul M.S şi apărătorul acestuia, av. IA.</w:t>
      </w:r>
    </w:p>
    <w:p w:rsidR="00752B7A" w:rsidRPr="002152E4" w:rsidRDefault="00752B7A" w:rsidP="000476E4">
      <w:pPr>
        <w:ind w:firstLine="708"/>
        <w:jc w:val="both"/>
        <w:rPr>
          <w:i/>
          <w:color w:val="000000"/>
          <w:lang w:val="ro-RO"/>
        </w:rPr>
      </w:pPr>
      <w:r w:rsidRPr="002152E4">
        <w:rPr>
          <w:b/>
          <w:i/>
          <w:color w:val="000000"/>
          <w:lang w:val="ro-RO"/>
        </w:rPr>
        <w:lastRenderedPageBreak/>
        <w:t>Prin Hotărârea nr. 301/24.03.2016</w:t>
      </w:r>
      <w:r w:rsidRPr="002152E4">
        <w:rPr>
          <w:i/>
          <w:color w:val="000000"/>
          <w:lang w:val="ro-RO"/>
        </w:rPr>
        <w:t xml:space="preserve">, </w:t>
      </w:r>
      <w:r w:rsidRPr="002152E4">
        <w:rPr>
          <w:color w:val="000000"/>
          <w:lang w:val="ro-RO"/>
        </w:rPr>
        <w:t xml:space="preserve"> </w:t>
      </w:r>
      <w:r w:rsidRPr="002152E4">
        <w:rPr>
          <w:i/>
          <w:color w:val="000000"/>
          <w:lang w:val="ro-RO"/>
        </w:rPr>
        <w:t>Plenul Consiliului Superior al Magistraturii şi-a însuşit concluzia Inspecţiei Judiciare şi a respins cererea.</w:t>
      </w:r>
    </w:p>
    <w:p w:rsidR="00752B7A" w:rsidRPr="002152E4" w:rsidRDefault="00752B7A" w:rsidP="000476E4">
      <w:pPr>
        <w:ind w:firstLine="708"/>
        <w:jc w:val="both"/>
        <w:rPr>
          <w:color w:val="000000"/>
          <w:lang w:val="ro-RO"/>
        </w:rPr>
      </w:pPr>
      <w:r w:rsidRPr="002152E4">
        <w:rPr>
          <w:b/>
          <w:color w:val="000000"/>
          <w:lang w:val="ro-RO"/>
        </w:rPr>
        <w:t>2.</w:t>
      </w:r>
      <w:r w:rsidRPr="002152E4">
        <w:rPr>
          <w:bCs/>
          <w:color w:val="000000"/>
          <w:kern w:val="32"/>
          <w:lang w:val="ro-RO"/>
        </w:rPr>
        <w:t xml:space="preserve"> Consiliul Superior al Magistraturii a solicitat Inspecţiei Judiciare efectuarea </w:t>
      </w:r>
      <w:r w:rsidRPr="002152E4">
        <w:rPr>
          <w:bCs/>
          <w:kern w:val="32"/>
          <w:lang w:val="ro-RO"/>
        </w:rPr>
        <w:t xml:space="preserve">verificărilor necesare </w:t>
      </w:r>
      <w:r w:rsidRPr="002152E4">
        <w:rPr>
          <w:color w:val="000000"/>
          <w:lang w:val="ro-RO"/>
        </w:rPr>
        <w:t>în raport de cererea de apărare a reputaţiei profesionale formulată de doamna judecător P.A., din cadrul Judecătoriei C.A. ca urmare a apariţiei în presă a articolului intitulat "judecătoarea P:A. şi procurorul C.M acoperă furtul celor 270 ha ale Liceului Agricol C.A." publicat în ziarul "Reflectorul Argeşean"</w:t>
      </w:r>
    </w:p>
    <w:p w:rsidR="00752B7A" w:rsidRPr="002152E4" w:rsidRDefault="00752B7A" w:rsidP="000476E4">
      <w:pPr>
        <w:ind w:firstLine="708"/>
        <w:jc w:val="both"/>
        <w:rPr>
          <w:i/>
          <w:color w:val="000000"/>
          <w:lang w:val="ro-RO"/>
        </w:rPr>
      </w:pPr>
      <w:r w:rsidRPr="002152E4">
        <w:rPr>
          <w:b/>
          <w:i/>
          <w:color w:val="000000"/>
          <w:lang w:val="ro-RO"/>
        </w:rPr>
        <w:t>Prin Hotărârea nr. 302/24.03.2016</w:t>
      </w:r>
      <w:r w:rsidRPr="002152E4">
        <w:rPr>
          <w:i/>
          <w:color w:val="000000"/>
          <w:lang w:val="ro-RO"/>
        </w:rPr>
        <w:t xml:space="preserve">, </w:t>
      </w:r>
      <w:r w:rsidRPr="002152E4">
        <w:rPr>
          <w:color w:val="000000"/>
          <w:lang w:val="ro-RO"/>
        </w:rPr>
        <w:t xml:space="preserve"> </w:t>
      </w:r>
      <w:r w:rsidRPr="002152E4">
        <w:rPr>
          <w:i/>
          <w:color w:val="000000"/>
          <w:lang w:val="ro-RO"/>
        </w:rPr>
        <w:t>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color w:val="000000"/>
          <w:lang w:val="ro-RO"/>
        </w:rPr>
        <w:t>3.</w:t>
      </w:r>
      <w:r w:rsidRPr="002152E4">
        <w:rPr>
          <w:color w:val="000000"/>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 xml:space="preserve">verificărilor necesare </w:t>
      </w:r>
      <w:r w:rsidRPr="002152E4">
        <w:rPr>
          <w:color w:val="000000"/>
          <w:lang w:val="ro-RO"/>
        </w:rPr>
        <w:t>în raport de cererea de apărare a reputaţiei profesionale formulată de doamna judecător B.C. din cadrul Curţii de Apel B. ca urmare a  articolului publicat pe portalul on line  ,, Lumea Justiţiei" şi emisiunea difuzată la data de 15.02.2016 pe postul ,, Antena 1", prin care se  induce în cunoştinţă opiniei publice ideea, că doamna judecător a primit o remunerație  în calitate de lector în cadrul seminarului din 2014, la care se adaugă concediul de odihnă ce ar fi fost efectuat pe banii părţii vătămate într-o staţiune montană, ar fi fost plătiți mascat pentru decizia pronunțată în dosarul privatizării frauduloase a unei instituții de stat, în care a fost condamnat D.V., fondatorul Trustului I.</w:t>
      </w:r>
    </w:p>
    <w:p w:rsidR="00752B7A" w:rsidRPr="002152E4" w:rsidRDefault="00752B7A" w:rsidP="000476E4">
      <w:pPr>
        <w:ind w:firstLine="708"/>
        <w:jc w:val="both"/>
        <w:rPr>
          <w:i/>
          <w:color w:val="000000"/>
          <w:lang w:val="ro-RO"/>
        </w:rPr>
      </w:pPr>
      <w:r w:rsidRPr="002152E4">
        <w:rPr>
          <w:i/>
          <w:color w:val="000000"/>
          <w:lang w:val="ro-RO"/>
        </w:rPr>
        <w:t>Lucrarea a fost transmisă Plenului Consiliului Superior al Magistraturii.</w:t>
      </w:r>
    </w:p>
    <w:p w:rsidR="00752B7A" w:rsidRPr="002152E4" w:rsidRDefault="00752B7A" w:rsidP="000476E4">
      <w:pPr>
        <w:ind w:firstLine="708"/>
        <w:jc w:val="both"/>
        <w:rPr>
          <w:color w:val="000000"/>
          <w:lang w:val="ro-RO"/>
        </w:rPr>
      </w:pPr>
      <w:r w:rsidRPr="002152E4">
        <w:rPr>
          <w:b/>
          <w:color w:val="000000"/>
          <w:lang w:val="ro-RO"/>
        </w:rPr>
        <w:t>4.</w:t>
      </w:r>
      <w:r w:rsidRPr="002152E4">
        <w:rPr>
          <w:bCs/>
          <w:color w:val="000000"/>
          <w:kern w:val="32"/>
          <w:lang w:val="ro-RO"/>
        </w:rPr>
        <w:t xml:space="preserve"> Consiliul Superior al Magistraturii a solicitat Inspecţiei Judiciare efectuarea </w:t>
      </w:r>
      <w:r w:rsidRPr="002152E4">
        <w:rPr>
          <w:bCs/>
          <w:kern w:val="32"/>
          <w:lang w:val="ro-RO"/>
        </w:rPr>
        <w:t xml:space="preserve">verificărilor necesare </w:t>
      </w:r>
      <w:r w:rsidRPr="002152E4">
        <w:rPr>
          <w:color w:val="000000"/>
          <w:lang w:val="ro-RO"/>
        </w:rPr>
        <w:t xml:space="preserve"> în raport de cererea de apărare a reputaţiei profesionale formulate de judecător P.L.M din cadrul ICCJ ca urmare a emisiunii difuzate în mass-media, în cadrul căreia au fost formulate acuzații nedrepte în legătură cu un dosar  în recurs prin pronunţarea unei decizii, de către un complet al Înaltei Curţi de Casaţie şi Justiţie - Secţia de Contencios Administrativ şi Fiscal  din a cărei componenţa a făcut parte judecătorul.</w:t>
      </w:r>
    </w:p>
    <w:p w:rsidR="00752B7A" w:rsidRPr="002152E4" w:rsidRDefault="00752B7A" w:rsidP="000476E4">
      <w:pPr>
        <w:ind w:firstLine="708"/>
        <w:jc w:val="both"/>
        <w:rPr>
          <w:i/>
          <w:color w:val="000000"/>
          <w:lang w:val="ro-RO"/>
        </w:rPr>
      </w:pPr>
      <w:r w:rsidRPr="002152E4">
        <w:rPr>
          <w:i/>
          <w:color w:val="000000"/>
          <w:lang w:val="ro-RO"/>
        </w:rPr>
        <w:t>Prin</w:t>
      </w:r>
      <w:r w:rsidRPr="002152E4">
        <w:rPr>
          <w:b/>
          <w:i/>
          <w:color w:val="000000"/>
          <w:lang w:val="ro-RO"/>
        </w:rPr>
        <w:t xml:space="preserve"> Hotărârea nr. 562/17.05.2016</w:t>
      </w:r>
      <w:r w:rsidRPr="002152E4">
        <w:rPr>
          <w:i/>
          <w:color w:val="000000"/>
          <w:lang w:val="ro-RO"/>
        </w:rPr>
        <w:t xml:space="preserve">, </w:t>
      </w:r>
      <w:r w:rsidRPr="002152E4">
        <w:rPr>
          <w:color w:val="000000"/>
          <w:lang w:val="ro-RO"/>
        </w:rPr>
        <w:t xml:space="preserve"> </w:t>
      </w:r>
      <w:r w:rsidRPr="002152E4">
        <w:rPr>
          <w:i/>
          <w:color w:val="000000"/>
          <w:lang w:val="ro-RO"/>
        </w:rPr>
        <w:t>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i/>
          <w:color w:val="000000"/>
          <w:lang w:val="ro-RO"/>
        </w:rPr>
        <w:t>5.</w:t>
      </w:r>
      <w:r w:rsidRPr="002152E4">
        <w:rPr>
          <w:i/>
          <w:color w:val="000000"/>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 xml:space="preserve">verificărilor necesare </w:t>
      </w:r>
      <w:r w:rsidRPr="002152E4">
        <w:rPr>
          <w:color w:val="000000"/>
          <w:lang w:val="ro-RO"/>
        </w:rPr>
        <w:t xml:space="preserve">în raport de cererea de apărare a reputaţiei profesionale formulate de judecător B.M din cadrul Tribunalului S. urmare a apariţiei articolelor de presă "teroare în sala de judecată! Reacţie şocantă a judecătorului dintr-un dosar UMF Iaşi! A fugit din faţa acuzaţiilor"!  </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691/07.06.2016</w:t>
      </w:r>
      <w:r w:rsidRPr="002152E4">
        <w:rPr>
          <w:i/>
          <w:color w:val="000000"/>
          <w:lang w:val="ro-RO"/>
        </w:rPr>
        <w:t xml:space="preserve">, </w:t>
      </w:r>
      <w:r w:rsidRPr="002152E4">
        <w:rPr>
          <w:color w:val="000000"/>
          <w:lang w:val="ro-RO"/>
        </w:rPr>
        <w:t xml:space="preserve"> </w:t>
      </w:r>
      <w:r w:rsidRPr="002152E4">
        <w:rPr>
          <w:i/>
          <w:color w:val="000000"/>
          <w:lang w:val="ro-RO"/>
        </w:rPr>
        <w:t>Plenul Consiliului Superior al Magistraturii şi-a însuşit concluzia Inspecţiei Judiciare şi a respins cererea.</w:t>
      </w:r>
    </w:p>
    <w:p w:rsidR="00752B7A" w:rsidRPr="002152E4" w:rsidRDefault="00752B7A" w:rsidP="000476E4">
      <w:pPr>
        <w:ind w:firstLine="708"/>
        <w:jc w:val="both"/>
        <w:rPr>
          <w:color w:val="000000"/>
          <w:lang w:val="ro-RO"/>
        </w:rPr>
      </w:pPr>
      <w:r w:rsidRPr="002152E4">
        <w:rPr>
          <w:b/>
          <w:color w:val="000000"/>
          <w:lang w:val="ro-RO"/>
        </w:rPr>
        <w:t>6.</w:t>
      </w:r>
      <w:r w:rsidRPr="002152E4">
        <w:rPr>
          <w:color w:val="000000"/>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 xml:space="preserve">verificărilor necesare </w:t>
      </w:r>
      <w:r w:rsidRPr="002152E4">
        <w:rPr>
          <w:color w:val="000000"/>
          <w:lang w:val="ro-RO"/>
        </w:rPr>
        <w:t>în raport de cererea de apărare a independenţei şi reputaţiei profesionale formulate de judecător A.C.T. din cadrul Tribunalului C.S. urmare a  apariţiei în ziarul on line Express de Banat şi pe facebook  a mai multor articole cu caracter neadevărat şi tendențios.</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804/28.06.2016</w:t>
      </w:r>
      <w:r w:rsidRPr="002152E4">
        <w:rPr>
          <w:i/>
          <w:color w:val="000000"/>
          <w:lang w:val="ro-RO"/>
        </w:rPr>
        <w:t xml:space="preserve">, </w:t>
      </w:r>
      <w:r w:rsidRPr="002152E4">
        <w:rPr>
          <w:color w:val="000000"/>
          <w:lang w:val="ro-RO"/>
        </w:rPr>
        <w:t xml:space="preserve"> </w:t>
      </w:r>
      <w:r w:rsidRPr="002152E4">
        <w:rPr>
          <w:i/>
          <w:color w:val="000000"/>
          <w:lang w:val="ro-RO"/>
        </w:rPr>
        <w:t>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i/>
          <w:color w:val="000000"/>
          <w:lang w:val="ro-RO"/>
        </w:rPr>
        <w:t>7.</w:t>
      </w:r>
      <w:r w:rsidRPr="002152E4">
        <w:rPr>
          <w:color w:val="000000"/>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verificărilor necesare</w:t>
      </w:r>
      <w:r w:rsidRPr="002152E4">
        <w:rPr>
          <w:color w:val="000000"/>
          <w:lang w:val="ro-RO"/>
        </w:rPr>
        <w:t xml:space="preserve"> în raport de cererea de apărare a reputaţiei profesionale formulate de judecător B.L.S. din cadrul Tribunalului C.S. urmare a apariţiei a apariţiei în mass-media şi pe facebook a mai multor articole denigratoare, în care judecătorul consideră că i-a fost lezată imaginea şi reputația profesională.</w:t>
      </w:r>
    </w:p>
    <w:p w:rsidR="00752B7A" w:rsidRPr="002152E4" w:rsidRDefault="00752B7A" w:rsidP="000476E4">
      <w:pPr>
        <w:ind w:firstLine="708"/>
        <w:jc w:val="both"/>
        <w:rPr>
          <w:i/>
          <w:color w:val="000000"/>
          <w:lang w:val="ro-RO"/>
        </w:rPr>
      </w:pPr>
      <w:r w:rsidRPr="002152E4">
        <w:rPr>
          <w:color w:val="000000"/>
          <w:lang w:val="ro-RO"/>
        </w:rPr>
        <w:t xml:space="preserve"> </w:t>
      </w:r>
      <w:r w:rsidRPr="002152E4">
        <w:rPr>
          <w:i/>
          <w:color w:val="000000"/>
          <w:lang w:val="ro-RO"/>
        </w:rPr>
        <w:t xml:space="preserve">Prin </w:t>
      </w:r>
      <w:r w:rsidRPr="002152E4">
        <w:rPr>
          <w:b/>
          <w:i/>
          <w:color w:val="000000"/>
          <w:lang w:val="ro-RO"/>
        </w:rPr>
        <w:t>Hotărârea nr. 805/28.06.2016</w:t>
      </w:r>
      <w:r w:rsidRPr="002152E4">
        <w:rPr>
          <w:i/>
          <w:color w:val="000000"/>
          <w:lang w:val="ro-RO"/>
        </w:rPr>
        <w:t xml:space="preserve">, </w:t>
      </w:r>
      <w:r w:rsidRPr="002152E4">
        <w:rPr>
          <w:color w:val="000000"/>
          <w:lang w:val="ro-RO"/>
        </w:rPr>
        <w:t xml:space="preserve"> </w:t>
      </w:r>
      <w:r w:rsidRPr="002152E4">
        <w:rPr>
          <w:i/>
          <w:color w:val="000000"/>
          <w:lang w:val="ro-RO"/>
        </w:rPr>
        <w:t>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i/>
          <w:color w:val="000000"/>
          <w:lang w:val="ro-RO"/>
        </w:rPr>
        <w:t>8.</w:t>
      </w:r>
      <w:r w:rsidRPr="002152E4">
        <w:rPr>
          <w:color w:val="000000"/>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 xml:space="preserve">verificărilor necesare </w:t>
      </w:r>
      <w:r w:rsidRPr="002152E4">
        <w:rPr>
          <w:color w:val="000000"/>
          <w:lang w:val="ro-RO"/>
        </w:rPr>
        <w:t>în raport de cererea de apărare a reputaţiei profesionale formulate de judecător C.M.B din cadrul Judecătoriei Craiova în raport de articolele apărute în presă locală şi naţională, editate ca urmare a unui comunicat publicat pe site-ul Baroul D., respectiv www.luju.ro, etc.</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883/14.07.2016</w:t>
      </w:r>
      <w:r w:rsidRPr="002152E4">
        <w:rPr>
          <w:i/>
          <w:color w:val="000000"/>
          <w:lang w:val="ro-RO"/>
        </w:rPr>
        <w:t xml:space="preserve">, </w:t>
      </w:r>
      <w:r w:rsidRPr="002152E4">
        <w:rPr>
          <w:color w:val="000000"/>
          <w:lang w:val="ro-RO"/>
        </w:rPr>
        <w:t xml:space="preserve"> </w:t>
      </w:r>
      <w:r w:rsidRPr="002152E4">
        <w:rPr>
          <w:i/>
          <w:color w:val="000000"/>
          <w:lang w:val="ro-RO"/>
        </w:rPr>
        <w:t>Plenul Consiliului Superior al Magistraturii şi-a însuşit concluzia Inspecţiei Judiciare şi a admis cererea.</w:t>
      </w:r>
    </w:p>
    <w:p w:rsidR="00752B7A" w:rsidRPr="002152E4" w:rsidRDefault="00752B7A" w:rsidP="000476E4">
      <w:pPr>
        <w:ind w:firstLine="708"/>
        <w:jc w:val="both"/>
        <w:rPr>
          <w:bCs/>
          <w:kern w:val="32"/>
          <w:lang w:val="ro-RO"/>
        </w:rPr>
      </w:pPr>
      <w:r w:rsidRPr="002152E4">
        <w:rPr>
          <w:b/>
          <w:i/>
          <w:color w:val="000000"/>
          <w:lang w:val="ro-RO"/>
        </w:rPr>
        <w:t>9.</w:t>
      </w:r>
      <w:r w:rsidRPr="002152E4">
        <w:rPr>
          <w:bCs/>
          <w:color w:val="000000"/>
          <w:kern w:val="32"/>
          <w:lang w:val="ro-RO"/>
        </w:rPr>
        <w:t xml:space="preserve"> Consiliul Superior al Magistraturii a solicitat Inspecţiei Judiciare efectuarea </w:t>
      </w:r>
      <w:r w:rsidRPr="002152E4">
        <w:rPr>
          <w:bCs/>
          <w:kern w:val="32"/>
          <w:lang w:val="ro-RO"/>
        </w:rPr>
        <w:t xml:space="preserve">verificărilor necesare </w:t>
      </w:r>
      <w:r w:rsidRPr="002152E4">
        <w:rPr>
          <w:color w:val="000000"/>
          <w:lang w:val="ro-RO"/>
        </w:rPr>
        <w:t xml:space="preserve">în raport de cererea de apărare a reputaţiei profesionale şi apărare sistem formulată de </w:t>
      </w:r>
      <w:r w:rsidRPr="002152E4">
        <w:rPr>
          <w:color w:val="000000"/>
          <w:lang w:val="ro-RO"/>
        </w:rPr>
        <w:lastRenderedPageBreak/>
        <w:t xml:space="preserve">doamna judecător C.N.C. din cadrul Judecătoriei A. ca urmare a faptului că în şedinţa din data de  25.02.2016 decanul Baroului A. a făcut afirmaţii calomnioase la adresa sa în faţa a 200 de avocați deoarece judecătorul în cauză a constatat folosirea unor delegații de asistenţă extrajudiciară semnate de decanul Baroului A., pe care le consideră ilegale. </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894/14.07.2016</w:t>
      </w:r>
      <w:r w:rsidRPr="002152E4">
        <w:rPr>
          <w:i/>
          <w:color w:val="000000"/>
          <w:lang w:val="ro-RO"/>
        </w:rPr>
        <w:t xml:space="preserve">, </w:t>
      </w:r>
      <w:r w:rsidRPr="002152E4">
        <w:rPr>
          <w:color w:val="000000"/>
          <w:lang w:val="ro-RO"/>
        </w:rPr>
        <w:t xml:space="preserve"> </w:t>
      </w:r>
      <w:r w:rsidRPr="002152E4">
        <w:rPr>
          <w:i/>
          <w:color w:val="000000"/>
          <w:lang w:val="ro-RO"/>
        </w:rPr>
        <w:t>Plenul Consiliului Superior al Magistraturii şi-a însuşit concluzia Inspecţiei Judiciare şi a respins cererea.</w:t>
      </w:r>
    </w:p>
    <w:p w:rsidR="00752B7A" w:rsidRPr="002152E4" w:rsidRDefault="00752B7A" w:rsidP="000476E4">
      <w:pPr>
        <w:ind w:firstLine="708"/>
        <w:jc w:val="both"/>
        <w:rPr>
          <w:color w:val="000000"/>
          <w:lang w:val="ro-RO"/>
        </w:rPr>
      </w:pPr>
      <w:r w:rsidRPr="002152E4">
        <w:rPr>
          <w:b/>
          <w:i/>
          <w:color w:val="000000"/>
          <w:lang w:val="ro-RO"/>
        </w:rPr>
        <w:t>10.</w:t>
      </w:r>
      <w:r w:rsidRPr="002152E4">
        <w:rPr>
          <w:color w:val="000000"/>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verificărilor necesare</w:t>
      </w:r>
      <w:r w:rsidRPr="002152E4">
        <w:rPr>
          <w:color w:val="000000"/>
          <w:lang w:val="ro-RO"/>
        </w:rPr>
        <w:t xml:space="preserve"> în raport de cererea de apărare a independenţei formulate de judecător S.L.R. din cadrul Curţii de Apel C.  ca urmare a "unor acţiuni concentrate" împotriva dumnealui exercitate de către conducerea instanţei în care funcţionează.</w:t>
      </w:r>
    </w:p>
    <w:p w:rsidR="00752B7A" w:rsidRPr="002152E4" w:rsidRDefault="00752B7A" w:rsidP="000476E4">
      <w:pPr>
        <w:ind w:firstLine="708"/>
        <w:jc w:val="both"/>
        <w:rPr>
          <w:color w:val="000000"/>
          <w:lang w:val="ro-RO"/>
        </w:rPr>
      </w:pPr>
      <w:r w:rsidRPr="002152E4">
        <w:rPr>
          <w:i/>
          <w:color w:val="000000"/>
          <w:lang w:val="ro-RO"/>
        </w:rPr>
        <w:t xml:space="preserve">Prin </w:t>
      </w:r>
      <w:r w:rsidRPr="002152E4">
        <w:rPr>
          <w:b/>
          <w:i/>
          <w:color w:val="000000"/>
          <w:lang w:val="ro-RO"/>
        </w:rPr>
        <w:t>Hotărârea nr. 1073/19.09.2016</w:t>
      </w:r>
      <w:r w:rsidRPr="002152E4">
        <w:rPr>
          <w:i/>
          <w:color w:val="000000"/>
          <w:lang w:val="ro-RO"/>
        </w:rPr>
        <w:t xml:space="preserve">, </w:t>
      </w:r>
      <w:r w:rsidRPr="002152E4">
        <w:rPr>
          <w:color w:val="000000"/>
          <w:lang w:val="ro-RO"/>
        </w:rPr>
        <w:t xml:space="preserve"> </w:t>
      </w:r>
      <w:r w:rsidRPr="002152E4">
        <w:rPr>
          <w:i/>
          <w:color w:val="000000"/>
          <w:lang w:val="ro-RO"/>
        </w:rPr>
        <w:t xml:space="preserve">Plenul Consiliului Superior al Magistraturii a luat act de retragerea cererii. </w:t>
      </w:r>
    </w:p>
    <w:p w:rsidR="00752B7A" w:rsidRPr="002152E4" w:rsidRDefault="00752B7A" w:rsidP="000476E4">
      <w:pPr>
        <w:ind w:firstLine="708"/>
        <w:jc w:val="both"/>
        <w:rPr>
          <w:color w:val="000000"/>
          <w:lang w:val="ro-RO"/>
        </w:rPr>
      </w:pPr>
      <w:r w:rsidRPr="002152E4">
        <w:rPr>
          <w:b/>
          <w:i/>
          <w:color w:val="000000"/>
          <w:lang w:val="ro-RO"/>
        </w:rPr>
        <w:t>11.</w:t>
      </w:r>
      <w:r w:rsidRPr="002152E4">
        <w:rPr>
          <w:color w:val="000000"/>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 xml:space="preserve">verificărilor necesare </w:t>
      </w:r>
      <w:r w:rsidRPr="002152E4">
        <w:rPr>
          <w:color w:val="000000"/>
          <w:lang w:val="ro-RO"/>
        </w:rPr>
        <w:t>în raport de cererea de apărare a  reputaţiei profesionale formulată de judecător G.A.M din cadrul Tribunalului C. având în vedere afirmaţiile fostului soţ, C.B. avocat în  din cadrul Baroului C.</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1292/27.10.2016</w:t>
      </w:r>
      <w:r w:rsidRPr="002152E4">
        <w:rPr>
          <w:i/>
          <w:color w:val="000000"/>
          <w:lang w:val="ro-RO"/>
        </w:rPr>
        <w:t xml:space="preserve">, </w:t>
      </w:r>
      <w:r w:rsidRPr="002152E4">
        <w:rPr>
          <w:color w:val="000000"/>
          <w:lang w:val="ro-RO"/>
        </w:rPr>
        <w:t xml:space="preserve"> </w:t>
      </w:r>
      <w:r w:rsidRPr="002152E4">
        <w:rPr>
          <w:i/>
          <w:color w:val="000000"/>
          <w:lang w:val="ro-RO"/>
        </w:rPr>
        <w:t>Plenul Consiliului Superior al Magistraturii şi-a însuşit concluzia Inspecţiei Judiciare şi a respins cererea.</w:t>
      </w:r>
    </w:p>
    <w:p w:rsidR="00752B7A" w:rsidRPr="002152E4" w:rsidRDefault="00752B7A" w:rsidP="000476E4">
      <w:pPr>
        <w:ind w:firstLine="708"/>
        <w:jc w:val="both"/>
        <w:rPr>
          <w:color w:val="000000"/>
          <w:lang w:val="ro-RO"/>
        </w:rPr>
      </w:pPr>
      <w:r w:rsidRPr="002152E4">
        <w:rPr>
          <w:b/>
          <w:i/>
          <w:color w:val="000000"/>
          <w:lang w:val="ro-RO"/>
        </w:rPr>
        <w:t>12.</w:t>
      </w:r>
      <w:r w:rsidRPr="002152E4">
        <w:rPr>
          <w:color w:val="000000"/>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 xml:space="preserve">verificărilor necesare </w:t>
      </w:r>
      <w:r w:rsidRPr="002152E4">
        <w:rPr>
          <w:color w:val="000000"/>
          <w:lang w:val="ro-RO"/>
        </w:rPr>
        <w:t>în raport de cererea de apărare a reputaţiei profesionale formulate de judecător L.L.C din cadrul Judecătoriei A. ca urmare a publicării în mass media a articolului "Exclusiv. Cel mai bogat dintre candidaţii pentru CSM: Femeile  frumoase şi inteligente  primesc cadouri"</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1293/27.10.2016</w:t>
      </w:r>
      <w:r w:rsidRPr="002152E4">
        <w:rPr>
          <w:i/>
          <w:color w:val="000000"/>
          <w:lang w:val="ro-RO"/>
        </w:rPr>
        <w:t xml:space="preserve">, </w:t>
      </w:r>
      <w:r w:rsidRPr="002152E4">
        <w:rPr>
          <w:color w:val="000000"/>
          <w:lang w:val="ro-RO"/>
        </w:rPr>
        <w:t xml:space="preserve"> </w:t>
      </w:r>
      <w:r w:rsidRPr="002152E4">
        <w:rPr>
          <w:i/>
          <w:color w:val="000000"/>
          <w:lang w:val="ro-RO"/>
        </w:rPr>
        <w:t xml:space="preserve">Plenul Consiliului Superior al Magistraturii a luat act de retragerea cererii. </w:t>
      </w:r>
    </w:p>
    <w:p w:rsidR="00752B7A" w:rsidRPr="002152E4" w:rsidRDefault="00752B7A" w:rsidP="000476E4">
      <w:pPr>
        <w:ind w:firstLine="708"/>
        <w:jc w:val="both"/>
        <w:rPr>
          <w:color w:val="000000"/>
          <w:lang w:val="ro-RO"/>
        </w:rPr>
      </w:pPr>
      <w:r w:rsidRPr="002152E4">
        <w:rPr>
          <w:b/>
          <w:i/>
          <w:color w:val="000000"/>
          <w:lang w:val="ro-RO"/>
        </w:rPr>
        <w:t>13.</w:t>
      </w:r>
      <w:r w:rsidRPr="002152E4">
        <w:rPr>
          <w:color w:val="000000"/>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 xml:space="preserve">verificărilor necesare </w:t>
      </w:r>
      <w:r w:rsidRPr="002152E4">
        <w:rPr>
          <w:color w:val="000000"/>
          <w:lang w:val="ro-RO"/>
        </w:rPr>
        <w:t>în raport de cererea de apărare a independenţei profesionale formulate de judecător S.L.R. din cadrul Curţii  de Apel C.  în raport cu „acţiuni şi inacțiuni ale unui grup din care fac parte Preşedintele CA Cluj şi, probabil un membru CSM, care determină derularea activităţii Inspecţiei Judiciare altfel decât potrivit prevederilor legale".</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1392/14.11.2016</w:t>
      </w:r>
      <w:r w:rsidRPr="002152E4">
        <w:rPr>
          <w:i/>
          <w:color w:val="000000"/>
          <w:lang w:val="ro-RO"/>
        </w:rPr>
        <w:t xml:space="preserve">, </w:t>
      </w:r>
      <w:r w:rsidRPr="002152E4">
        <w:rPr>
          <w:color w:val="000000"/>
          <w:lang w:val="ro-RO"/>
        </w:rPr>
        <w:t xml:space="preserve"> </w:t>
      </w:r>
      <w:r w:rsidRPr="002152E4">
        <w:rPr>
          <w:i/>
          <w:color w:val="000000"/>
          <w:lang w:val="ro-RO"/>
        </w:rPr>
        <w:t xml:space="preserve">Plenul Consiliului Superior al Magistraturii a luat act de retragerea cererii. </w:t>
      </w:r>
    </w:p>
    <w:p w:rsidR="00752B7A" w:rsidRPr="002152E4" w:rsidRDefault="00752B7A" w:rsidP="000476E4">
      <w:pPr>
        <w:ind w:firstLine="708"/>
        <w:jc w:val="both"/>
        <w:rPr>
          <w:color w:val="000000"/>
          <w:lang w:val="ro-RO"/>
        </w:rPr>
      </w:pPr>
      <w:r w:rsidRPr="002152E4">
        <w:rPr>
          <w:b/>
          <w:i/>
          <w:color w:val="000000"/>
          <w:lang w:val="ro-RO"/>
        </w:rPr>
        <w:t>14.</w:t>
      </w:r>
      <w:r w:rsidRPr="002152E4">
        <w:rPr>
          <w:color w:val="000000"/>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 xml:space="preserve">verificărilor necesare </w:t>
      </w:r>
      <w:r w:rsidRPr="002152E4">
        <w:rPr>
          <w:color w:val="000000"/>
          <w:lang w:val="ro-RO"/>
        </w:rPr>
        <w:t>în raport de  cererea de apărare a  independenţei, imparţialităţii şi reputaţiei profesionale formulată de domnul A.F.F. din cadrul Judecătoriei J. , ca urmare a acţiunilor  "de intimidare" întreprinse împotriva sa de domnul procuror  B.D.E de la P.T S., în sensul în care acesta din urmă a depus sesizări menite să-i "atragă" atenţia asupra deciziilor pronunţate în calitatea sa de judecător, decizii care nu concordau cu propunerile formulate de procuror.</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1461/22.11.2016</w:t>
      </w:r>
      <w:r w:rsidRPr="002152E4">
        <w:rPr>
          <w:i/>
          <w:color w:val="000000"/>
          <w:lang w:val="ro-RO"/>
        </w:rPr>
        <w:t xml:space="preserve">  Plenul Consiliului Superior al Magistraturii şi-a însuşit concluzia Inspecţiei Judiciare şi a respins cererea.</w:t>
      </w:r>
    </w:p>
    <w:p w:rsidR="00752B7A" w:rsidRPr="002152E4" w:rsidRDefault="00752B7A" w:rsidP="000476E4">
      <w:pPr>
        <w:ind w:firstLine="630"/>
        <w:jc w:val="both"/>
        <w:rPr>
          <w:b/>
          <w:i/>
          <w:color w:val="000000"/>
          <w:lang w:val="ro-RO"/>
        </w:rPr>
      </w:pPr>
      <w:r w:rsidRPr="002152E4">
        <w:rPr>
          <w:b/>
          <w:bCs/>
          <w:color w:val="000000"/>
          <w:kern w:val="32"/>
          <w:lang w:val="ro-RO"/>
        </w:rPr>
        <w:t>15.</w:t>
      </w:r>
      <w:r w:rsidRPr="002152E4">
        <w:rPr>
          <w:bCs/>
          <w:color w:val="000000"/>
          <w:kern w:val="32"/>
          <w:lang w:val="ro-RO"/>
        </w:rPr>
        <w:t xml:space="preserve">Consiliul Superior al Magistraturii a solicitat Inspecţiei Judiciare efectuarea </w:t>
      </w:r>
      <w:r w:rsidRPr="002152E4">
        <w:rPr>
          <w:bCs/>
          <w:kern w:val="32"/>
          <w:lang w:val="ro-RO"/>
        </w:rPr>
        <w:t xml:space="preserve">verificărilor necesare </w:t>
      </w:r>
      <w:r w:rsidRPr="002152E4">
        <w:rPr>
          <w:color w:val="000000"/>
          <w:lang w:val="ro-RO"/>
        </w:rPr>
        <w:t xml:space="preserve"> în raport de  cererea de apărare a  reputaţiei profesionale afectate ca urmare a adoptării unei hotărâri a Consiliului Baroului Cluj şi articolelor de presă prin care Baroul Cluj se prevalează de această hotărâre nelegală sau, acreditându-se ideea că judecătorul a comis o abatere disciplinară, şi-a exercitat atribuţiile cu încălcarea legii.</w:t>
      </w:r>
    </w:p>
    <w:p w:rsidR="00752B7A" w:rsidRPr="002152E4" w:rsidRDefault="00752B7A" w:rsidP="000476E4">
      <w:pPr>
        <w:pStyle w:val="ListParagraph"/>
        <w:ind w:left="90" w:firstLine="540"/>
        <w:jc w:val="both"/>
        <w:rPr>
          <w:rFonts w:ascii="Calibri" w:hAnsi="Calibri"/>
          <w:i/>
          <w:color w:val="000000"/>
          <w:lang w:val="ro-RO"/>
        </w:rPr>
      </w:pPr>
      <w:r w:rsidRPr="002152E4">
        <w:rPr>
          <w:rFonts w:ascii="Calibri" w:hAnsi="Calibri"/>
          <w:i/>
          <w:color w:val="000000"/>
          <w:lang w:val="ro-RO"/>
        </w:rPr>
        <w:t xml:space="preserve">   Prin </w:t>
      </w:r>
      <w:r w:rsidRPr="002152E4">
        <w:rPr>
          <w:rFonts w:ascii="Calibri" w:hAnsi="Calibri"/>
          <w:b/>
          <w:i/>
          <w:color w:val="000000"/>
          <w:lang w:val="ro-RO"/>
        </w:rPr>
        <w:t>Hotărârea 1515/29.11.2016</w:t>
      </w:r>
      <w:r w:rsidRPr="002152E4">
        <w:rPr>
          <w:rFonts w:ascii="Calibri" w:hAnsi="Calibri"/>
          <w:i/>
          <w:color w:val="000000"/>
          <w:lang w:val="ro-RO"/>
        </w:rPr>
        <w:t xml:space="preserve"> Plenul Consiliului Superior al Magistraturii a luat act de renunțare la  cererea de apărare a reputaţiei profesionale.</w:t>
      </w:r>
    </w:p>
    <w:p w:rsidR="00752B7A" w:rsidRPr="002152E4" w:rsidRDefault="00752B7A" w:rsidP="000476E4">
      <w:pPr>
        <w:ind w:firstLine="630"/>
        <w:jc w:val="both"/>
        <w:rPr>
          <w:i/>
          <w:color w:val="000000"/>
          <w:lang w:val="ro-RO"/>
        </w:rPr>
      </w:pPr>
      <w:r w:rsidRPr="002152E4">
        <w:rPr>
          <w:b/>
          <w:color w:val="000000"/>
          <w:lang w:val="ro-RO"/>
        </w:rPr>
        <w:t>16</w:t>
      </w:r>
      <w:r w:rsidRPr="002152E4">
        <w:rPr>
          <w:i/>
          <w:color w:val="000000"/>
          <w:lang w:val="ro-RO"/>
        </w:rPr>
        <w:t>.</w:t>
      </w:r>
      <w:r w:rsidRPr="002152E4">
        <w:rPr>
          <w:b/>
          <w:i/>
          <w:color w:val="000000"/>
          <w:lang w:val="ro-RO"/>
        </w:rPr>
        <w:t xml:space="preserve"> </w:t>
      </w:r>
      <w:r w:rsidRPr="002152E4">
        <w:rPr>
          <w:bCs/>
          <w:color w:val="000000"/>
          <w:kern w:val="32"/>
          <w:lang w:val="ro-RO"/>
        </w:rPr>
        <w:t xml:space="preserve">Consiliul Superior al Magistraturii a solicitat Inspecţiei Judiciare efectuarea </w:t>
      </w:r>
      <w:r w:rsidRPr="002152E4">
        <w:rPr>
          <w:bCs/>
          <w:kern w:val="32"/>
          <w:lang w:val="ro-RO"/>
        </w:rPr>
        <w:t xml:space="preserve">verificărilor necesare </w:t>
      </w:r>
      <w:r w:rsidRPr="002152E4">
        <w:rPr>
          <w:color w:val="000000"/>
          <w:lang w:val="ro-RO"/>
        </w:rPr>
        <w:t>în raport de cererea de apărarea reputaţiei profesionale formulată de  judecător M.M.B. din cadrul Judecătoriei R.V. ca urmare a inacțiunii parchetului în ceea ce priveşte o plângere formulată împotriva unui individ care manifestă, fără nici o autorizație, şi  proferează injurii la adresa magistraţilor, în sediul instanţei în care îşi desfășoară activitatea.</w:t>
      </w:r>
    </w:p>
    <w:p w:rsidR="00752B7A" w:rsidRPr="002152E4" w:rsidRDefault="00752B7A" w:rsidP="000476E4">
      <w:pPr>
        <w:pStyle w:val="ListParagraph"/>
        <w:ind w:left="90" w:firstLine="540"/>
        <w:jc w:val="both"/>
        <w:rPr>
          <w:rFonts w:ascii="Calibri" w:hAnsi="Calibri"/>
          <w:i/>
          <w:color w:val="000000"/>
          <w:lang w:val="ro-RO"/>
        </w:rPr>
      </w:pPr>
      <w:r w:rsidRPr="002152E4">
        <w:rPr>
          <w:rFonts w:ascii="Calibri" w:hAnsi="Calibri"/>
          <w:i/>
          <w:color w:val="000000"/>
          <w:lang w:val="ro-RO"/>
        </w:rPr>
        <w:t xml:space="preserve">Prin </w:t>
      </w:r>
      <w:r w:rsidRPr="002152E4">
        <w:rPr>
          <w:rFonts w:ascii="Calibri" w:hAnsi="Calibri"/>
          <w:b/>
          <w:i/>
          <w:color w:val="000000"/>
          <w:lang w:val="ro-RO"/>
        </w:rPr>
        <w:t>Hotărârea nr. 48/17.01.2017</w:t>
      </w:r>
      <w:r w:rsidRPr="002152E4">
        <w:rPr>
          <w:rFonts w:ascii="Calibri" w:hAnsi="Calibri"/>
          <w:i/>
          <w:color w:val="000000"/>
          <w:lang w:val="ro-RO"/>
        </w:rPr>
        <w:t xml:space="preserve"> Plenul Consiliului Superior al Magistraturii a luat act de retragerea  cererea de apărare a reputaţiei profesionale.</w:t>
      </w:r>
    </w:p>
    <w:p w:rsidR="00752B7A" w:rsidRPr="002152E4" w:rsidRDefault="00752B7A" w:rsidP="000476E4">
      <w:pPr>
        <w:pStyle w:val="ListParagraph"/>
        <w:ind w:left="90" w:firstLine="540"/>
        <w:jc w:val="both"/>
        <w:rPr>
          <w:rFonts w:ascii="Calibri" w:hAnsi="Calibri"/>
          <w:i/>
          <w:color w:val="000000"/>
          <w:lang w:val="ro-RO"/>
        </w:rPr>
      </w:pPr>
      <w:r w:rsidRPr="002152E4">
        <w:rPr>
          <w:rFonts w:ascii="Calibri" w:hAnsi="Calibri"/>
          <w:b/>
          <w:i/>
          <w:color w:val="000000"/>
          <w:lang w:val="ro-RO"/>
        </w:rPr>
        <w:lastRenderedPageBreak/>
        <w:t>17</w:t>
      </w:r>
      <w:r w:rsidRPr="002152E4">
        <w:rPr>
          <w:rFonts w:ascii="Calibri" w:hAnsi="Calibri"/>
          <w:i/>
          <w:color w:val="000000"/>
          <w:lang w:val="ro-RO"/>
        </w:rPr>
        <w:t>.</w:t>
      </w:r>
      <w:r w:rsidRPr="002152E4">
        <w:rPr>
          <w:bCs/>
          <w:color w:val="000000"/>
          <w:kern w:val="32"/>
          <w:lang w:val="ro-RO"/>
        </w:rPr>
        <w:t xml:space="preserve"> Consiliul Superior al Magistraturii a solicitat Inspecţiei Judiciare efectuarea </w:t>
      </w:r>
      <w:r w:rsidRPr="002152E4">
        <w:rPr>
          <w:rFonts w:eastAsia="Times New Roman"/>
          <w:bCs/>
          <w:kern w:val="32"/>
          <w:lang w:val="ro-RO"/>
        </w:rPr>
        <w:t xml:space="preserve">verificărilor necesare </w:t>
      </w:r>
      <w:r w:rsidRPr="002152E4">
        <w:rPr>
          <w:rFonts w:ascii="Calibri" w:hAnsi="Calibri"/>
          <w:color w:val="000000"/>
          <w:lang w:val="ro-RO"/>
        </w:rPr>
        <w:t>în raport</w:t>
      </w:r>
      <w:r w:rsidRPr="002152E4">
        <w:rPr>
          <w:lang w:val="ro-RO"/>
        </w:rPr>
        <w:t xml:space="preserve"> </w:t>
      </w:r>
      <w:r w:rsidRPr="002152E4">
        <w:rPr>
          <w:rFonts w:ascii="Calibri" w:hAnsi="Calibri"/>
          <w:color w:val="000000"/>
          <w:lang w:val="ro-RO"/>
        </w:rPr>
        <w:t>cererea de apărare a independenţei şi imparţialităţii formulată de domnul judecător M.G, din cadrul Curţii Militare de Apel, ca urmare a actelor săvârşite de colegii săi judecători, care, în aprecierea sa, îl împiedică să şi exercite în mod normal, legal şi constituțional atribuţiile de judecător al instanţei la care funcţionează.</w:t>
      </w:r>
    </w:p>
    <w:p w:rsidR="00752B7A" w:rsidRPr="002152E4" w:rsidRDefault="00752B7A" w:rsidP="000476E4">
      <w:pPr>
        <w:pStyle w:val="ListParagraph"/>
        <w:ind w:left="90" w:firstLine="540"/>
        <w:jc w:val="both"/>
        <w:rPr>
          <w:rFonts w:ascii="Calibri" w:hAnsi="Calibri"/>
          <w:i/>
          <w:color w:val="000000"/>
          <w:lang w:val="ro-RO"/>
        </w:rPr>
      </w:pPr>
      <w:r w:rsidRPr="002152E4">
        <w:rPr>
          <w:rFonts w:ascii="Calibri" w:hAnsi="Calibri"/>
          <w:i/>
          <w:color w:val="000000"/>
          <w:lang w:val="ro-RO"/>
        </w:rPr>
        <w:t xml:space="preserve"> Prin </w:t>
      </w:r>
      <w:r w:rsidRPr="002152E4">
        <w:rPr>
          <w:rFonts w:ascii="Calibri" w:hAnsi="Calibri"/>
          <w:b/>
          <w:i/>
          <w:color w:val="000000"/>
          <w:lang w:val="ro-RO"/>
        </w:rPr>
        <w:t xml:space="preserve">Hotărârea </w:t>
      </w:r>
      <w:r w:rsidRPr="002152E4">
        <w:rPr>
          <w:rFonts w:ascii="Calibri" w:hAnsi="Calibri"/>
          <w:b/>
          <w:color w:val="000000"/>
          <w:lang w:val="ro-RO"/>
        </w:rPr>
        <w:t>nr. 101/02.02.2017</w:t>
      </w:r>
      <w:r w:rsidRPr="002152E4">
        <w:rPr>
          <w:rFonts w:ascii="Calibri" w:hAnsi="Calibri"/>
          <w:color w:val="000000"/>
          <w:lang w:val="ro-RO"/>
        </w:rPr>
        <w:t xml:space="preserve"> </w:t>
      </w:r>
      <w:r w:rsidRPr="002152E4">
        <w:rPr>
          <w:rFonts w:ascii="Calibri" w:hAnsi="Calibri"/>
          <w:i/>
          <w:color w:val="000000"/>
          <w:lang w:val="ro-RO"/>
        </w:rPr>
        <w:t>Plenul Consiliului Superior al Magistraturii şi-a însuşit propunerea Inspecţiei Judiciare şi a respins cererea.</w:t>
      </w:r>
    </w:p>
    <w:p w:rsidR="00752B7A" w:rsidRPr="002152E4" w:rsidRDefault="00752B7A" w:rsidP="000476E4">
      <w:pPr>
        <w:ind w:firstLine="708"/>
        <w:jc w:val="both"/>
        <w:rPr>
          <w:color w:val="000000"/>
          <w:lang w:val="ro-RO"/>
        </w:rPr>
      </w:pPr>
    </w:p>
    <w:p w:rsidR="00752B7A" w:rsidRPr="002152E4" w:rsidRDefault="00752B7A" w:rsidP="000476E4">
      <w:pPr>
        <w:ind w:firstLine="708"/>
        <w:jc w:val="both"/>
        <w:rPr>
          <w:color w:val="000000"/>
          <w:lang w:val="ro-RO"/>
        </w:rPr>
      </w:pPr>
      <w:r w:rsidRPr="002152E4">
        <w:rPr>
          <w:color w:val="000000"/>
          <w:lang w:val="ro-RO"/>
        </w:rPr>
        <w:t xml:space="preserve">În cadrul </w:t>
      </w:r>
      <w:r w:rsidRPr="002152E4">
        <w:rPr>
          <w:b/>
          <w:color w:val="000000"/>
          <w:lang w:val="ro-RO"/>
        </w:rPr>
        <w:t>Direcţiei de inspecţie judiciară pentru procurori</w:t>
      </w:r>
      <w:r w:rsidRPr="002152E4">
        <w:rPr>
          <w:color w:val="000000"/>
          <w:lang w:val="ro-RO"/>
        </w:rPr>
        <w:t xml:space="preserve"> au fost înregistrate </w:t>
      </w:r>
      <w:r w:rsidRPr="002152E4">
        <w:rPr>
          <w:b/>
          <w:color w:val="000000"/>
          <w:lang w:val="ro-RO"/>
        </w:rPr>
        <w:t>19 cereri</w:t>
      </w:r>
      <w:r w:rsidRPr="002152E4">
        <w:rPr>
          <w:color w:val="000000"/>
          <w:lang w:val="ro-RO"/>
        </w:rPr>
        <w:t xml:space="preserve"> de apărare a reputaţiei profesionale, independenţei şi imparţialităţii formulate de procurori, dintre care, 11 cereri au fost admise de </w:t>
      </w:r>
      <w:r w:rsidRPr="002152E4">
        <w:rPr>
          <w:b/>
          <w:color w:val="000000"/>
          <w:lang w:val="ro-RO"/>
        </w:rPr>
        <w:t xml:space="preserve"> </w:t>
      </w:r>
      <w:r w:rsidRPr="002152E4">
        <w:rPr>
          <w:color w:val="000000"/>
          <w:lang w:val="ro-RO"/>
        </w:rPr>
        <w:t xml:space="preserve">Plenul Consiliului Superior al Magistraturii , 4 cereri au fost respinse, iar  în 4 cazuri s-a luat act de retragerea cererilor. </w:t>
      </w:r>
    </w:p>
    <w:p w:rsidR="00752B7A" w:rsidRPr="002152E4" w:rsidRDefault="00752B7A" w:rsidP="000476E4">
      <w:pPr>
        <w:ind w:firstLine="708"/>
        <w:jc w:val="both"/>
        <w:rPr>
          <w:color w:val="000000"/>
          <w:lang w:val="ro-RO"/>
        </w:rPr>
      </w:pPr>
      <w:r w:rsidRPr="002152E4">
        <w:rPr>
          <w:color w:val="000000"/>
          <w:lang w:val="ro-RO"/>
        </w:rPr>
        <w:t>Situaţia acestora se prezintă astfel:</w:t>
      </w:r>
    </w:p>
    <w:p w:rsidR="00752B7A" w:rsidRPr="002152E4" w:rsidRDefault="00752B7A" w:rsidP="000476E4">
      <w:pPr>
        <w:ind w:firstLine="708"/>
        <w:jc w:val="both"/>
        <w:rPr>
          <w:color w:val="000000"/>
          <w:lang w:val="ro-RO"/>
        </w:rPr>
      </w:pPr>
      <w:r w:rsidRPr="002152E4">
        <w:rPr>
          <w:b/>
          <w:color w:val="000000"/>
          <w:lang w:val="ro-RO"/>
        </w:rPr>
        <w:t>1</w:t>
      </w:r>
      <w:r w:rsidRPr="002152E4">
        <w:rPr>
          <w:color w:val="000000"/>
          <w:lang w:val="ro-RO"/>
        </w:rPr>
        <w:t xml:space="preserve">. </w:t>
      </w:r>
      <w:r w:rsidRPr="002152E4">
        <w:rPr>
          <w:bCs/>
          <w:color w:val="000000"/>
          <w:kern w:val="32"/>
          <w:lang w:val="ro-RO"/>
        </w:rPr>
        <w:t>Consiliul Superior al Magistraturii a solicitat Inspecţiei Judiciare efectuarea</w:t>
      </w:r>
      <w:r w:rsidRPr="002152E4">
        <w:rPr>
          <w:color w:val="000000"/>
          <w:lang w:val="ro-RO"/>
        </w:rPr>
        <w:t xml:space="preserve"> unor verificări în raport de cererea de apărare a reputaţiei profesionale formulată de domnul T.L.M, procuror general adjunct al PCA P., urmare a aspectelor  semnalate în mass-media, respectiv apariţia unor ştiri şi articole ce conţin afirmaţii grave şi nefondate, unde s-a menționat, în principal, posibilitatea de a avea calitatea de colaborator al unui serviciu de informaţii.</w:t>
      </w:r>
    </w:p>
    <w:p w:rsidR="00752B7A" w:rsidRPr="002152E4" w:rsidRDefault="00752B7A" w:rsidP="000476E4">
      <w:pPr>
        <w:ind w:firstLine="708"/>
        <w:jc w:val="both"/>
        <w:rPr>
          <w:color w:val="000000"/>
          <w:lang w:val="ro-RO"/>
        </w:rPr>
      </w:pPr>
      <w:r w:rsidRPr="002152E4">
        <w:rPr>
          <w:i/>
          <w:color w:val="000000"/>
          <w:lang w:val="ro-RO"/>
        </w:rPr>
        <w:t xml:space="preserve">Prin </w:t>
      </w:r>
      <w:r w:rsidRPr="002152E4">
        <w:rPr>
          <w:b/>
          <w:i/>
          <w:color w:val="000000"/>
          <w:lang w:val="ro-RO"/>
        </w:rPr>
        <w:t>Hotărârea nr. 234/17.03.2016</w:t>
      </w:r>
      <w:r w:rsidRPr="002152E4">
        <w:rPr>
          <w:i/>
          <w:color w:val="000000"/>
          <w:lang w:val="ro-RO"/>
        </w:rPr>
        <w:t>, 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color w:val="000000"/>
          <w:lang w:val="ro-RO"/>
        </w:rPr>
        <w:t>2</w:t>
      </w:r>
      <w:r w:rsidRPr="002152E4">
        <w:rPr>
          <w:color w:val="000000"/>
          <w:lang w:val="ro-RO"/>
        </w:rPr>
        <w:t xml:space="preserve">. </w:t>
      </w:r>
      <w:r w:rsidRPr="002152E4">
        <w:rPr>
          <w:bCs/>
          <w:color w:val="000000"/>
          <w:kern w:val="32"/>
          <w:lang w:val="ro-RO"/>
        </w:rPr>
        <w:t>Consiliul Superior al Magistraturii a solicitat Inspecţiei Judiciare efectuarea</w:t>
      </w:r>
      <w:r w:rsidRPr="002152E4">
        <w:rPr>
          <w:color w:val="000000"/>
          <w:lang w:val="ro-RO"/>
        </w:rPr>
        <w:t xml:space="preserve"> unor verificări în raport de cererea de apărare a reputaţiei profesionale formulată de doamna L.C.K. procuror şef al Direcţiei Naţionale Anticorupţie, urmare afirmaţiilor făcute în cadrul unei emisiunii din data de 18.02.2016, unde, s-a afirmat permanent şi s-a acreditat idea că, în calitate reprezentant al sistemului judiciar, este părtinitoare în raport cu punerea în executare de către organele fiscale  a unei hotărâri judecătoreşti definitive.</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235/17.03.2016</w:t>
      </w:r>
      <w:r w:rsidRPr="002152E4">
        <w:rPr>
          <w:i/>
          <w:color w:val="000000"/>
          <w:lang w:val="ro-RO"/>
        </w:rPr>
        <w:t>, 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color w:val="000000"/>
          <w:lang w:val="ro-RO"/>
        </w:rPr>
        <w:t>3.</w:t>
      </w:r>
      <w:r w:rsidRPr="002152E4">
        <w:rPr>
          <w:color w:val="000000"/>
          <w:lang w:val="ro-RO"/>
        </w:rPr>
        <w:t xml:space="preserve"> </w:t>
      </w:r>
      <w:r w:rsidRPr="002152E4">
        <w:rPr>
          <w:bCs/>
          <w:color w:val="000000"/>
          <w:kern w:val="32"/>
          <w:lang w:val="ro-RO"/>
        </w:rPr>
        <w:t>Consiliul Superior al Magistraturii a solicitat Inspecţiei Judiciare efectuarea</w:t>
      </w:r>
      <w:r w:rsidRPr="002152E4">
        <w:rPr>
          <w:color w:val="000000"/>
          <w:lang w:val="ro-RO"/>
        </w:rPr>
        <w:t xml:space="preserve"> unor verificări în raport de cererea de apărare a reputaţiei profesionale formulată de doamna M.M.P. – procuror în cadrul Direcţiei Naţionale Anticorupţie – Serviciul Teritorial S.  ca urmare a aspectelor semnalate în mass-media, respectiv apariția a două  articole  ce conţin afirmaţii grave şi nefondate, cu referire la aspecte din viaţa personală şi activitatea profesională, de natură a induce în conştiinţa opiniei publice ideea de conflict dintre dumneaei şi un inculpat cercetat de această unitate de parchet, precum şi ideea de imparţialitate şi răzbunare prin constituirea şi instrumentarea  unui dosar penal.   </w:t>
      </w:r>
    </w:p>
    <w:p w:rsidR="00752B7A" w:rsidRPr="002152E4" w:rsidRDefault="00752B7A" w:rsidP="000476E4">
      <w:pPr>
        <w:ind w:firstLine="708"/>
        <w:jc w:val="both"/>
        <w:rPr>
          <w:color w:val="000000"/>
          <w:lang w:val="ro-RO"/>
        </w:rPr>
      </w:pPr>
      <w:r w:rsidRPr="002152E4">
        <w:rPr>
          <w:i/>
          <w:color w:val="000000"/>
          <w:lang w:val="ro-RO"/>
        </w:rPr>
        <w:t xml:space="preserve">Prin </w:t>
      </w:r>
      <w:r w:rsidRPr="002152E4">
        <w:rPr>
          <w:b/>
          <w:i/>
          <w:color w:val="000000"/>
          <w:lang w:val="ro-RO"/>
        </w:rPr>
        <w:t>Hotărârea nr. 299/24.03.2016</w:t>
      </w:r>
      <w:r w:rsidRPr="002152E4">
        <w:rPr>
          <w:i/>
          <w:color w:val="000000"/>
          <w:lang w:val="ro-RO"/>
        </w:rPr>
        <w:t>, 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color w:val="000000"/>
          <w:lang w:val="ro-RO"/>
        </w:rPr>
        <w:t>4.</w:t>
      </w:r>
      <w:r w:rsidRPr="002152E4">
        <w:rPr>
          <w:color w:val="000000"/>
          <w:lang w:val="ro-RO"/>
        </w:rPr>
        <w:t xml:space="preserve"> </w:t>
      </w:r>
      <w:r w:rsidRPr="002152E4">
        <w:rPr>
          <w:bCs/>
          <w:color w:val="000000"/>
          <w:kern w:val="32"/>
          <w:lang w:val="ro-RO"/>
        </w:rPr>
        <w:t>Consiliul Superior al Magistraturii a solicitat Inspecţiei Judiciare efectuarea</w:t>
      </w:r>
      <w:r w:rsidRPr="002152E4">
        <w:rPr>
          <w:color w:val="000000"/>
          <w:lang w:val="ro-RO"/>
        </w:rPr>
        <w:t xml:space="preserve"> unor verificări în raport de cererea de apărare a reputaţiei profesionale formulată de doamna procuror H.E. membru în Plenul ONRCSB, reprezentant al PÎCCJ,  urmare aspectele semnalate în mass-media, în care se face referire la existenta unui grup de crimă organizată care se ocupă de poliţia politică, respectiv de hârțuirea realizatorului emisiunii jurnalistul R.M, a familiei sale, prietenilor şi postului de televiziune. </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505/26.04.2016</w:t>
      </w:r>
      <w:r w:rsidRPr="002152E4">
        <w:rPr>
          <w:i/>
          <w:color w:val="000000"/>
          <w:lang w:val="ro-RO"/>
        </w:rPr>
        <w:t>, Plenul Consiliului Superior al Magistraturii nu şi-a însuşit concluzia Inspecţiei Judiciare şi a admis cererea.</w:t>
      </w:r>
    </w:p>
    <w:p w:rsidR="00752B7A" w:rsidRPr="002152E4" w:rsidRDefault="00752B7A" w:rsidP="000476E4">
      <w:pPr>
        <w:ind w:firstLine="708"/>
        <w:jc w:val="both"/>
        <w:rPr>
          <w:color w:val="000000"/>
          <w:lang w:val="ro-RO"/>
        </w:rPr>
      </w:pPr>
      <w:r w:rsidRPr="002152E4">
        <w:rPr>
          <w:b/>
          <w:color w:val="000000"/>
          <w:lang w:val="ro-RO"/>
        </w:rPr>
        <w:t>5.</w:t>
      </w:r>
      <w:r w:rsidRPr="002152E4">
        <w:rPr>
          <w:color w:val="000000"/>
          <w:lang w:val="ro-RO"/>
        </w:rPr>
        <w:t xml:space="preserve"> </w:t>
      </w:r>
      <w:r w:rsidRPr="002152E4">
        <w:rPr>
          <w:bCs/>
          <w:color w:val="000000"/>
          <w:kern w:val="32"/>
          <w:lang w:val="ro-RO"/>
        </w:rPr>
        <w:t>Consiliul Superior al Magistraturii a solicitat Inspecţiei Judiciare efectuarea</w:t>
      </w:r>
      <w:r w:rsidRPr="002152E4">
        <w:rPr>
          <w:color w:val="000000"/>
          <w:lang w:val="ro-RO"/>
        </w:rPr>
        <w:t xml:space="preserve"> unor verificări în raport de cererea de apărare a reputaţiei profesionale formulată de domnii procurori militari V.I, C.C, D.I., M.C. şi T.M din cadrul Parchetului de pe lângă Înalta Curte de Casaţie şi Justiţie - Secţia Parchetelor Militare faţă de declaraţia făcută de domnul procuror D.B.L – prim-adjunct al procurorului general al Parchetului de pe lângă Înalta Curte de Casaţie şi Justiţie în cadrul conferinţei de presă susţinută la data de 05.04.2016.</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563/17.05.2016</w:t>
      </w:r>
      <w:r w:rsidRPr="002152E4">
        <w:rPr>
          <w:i/>
          <w:color w:val="000000"/>
          <w:lang w:val="ro-RO"/>
        </w:rPr>
        <w:t>, Plenul Consiliului Superior al Magistraturii şi-a însuşit concluzia Inspecţiei Judiciare şi a respins cererea.</w:t>
      </w:r>
      <w:r w:rsidRPr="002152E4">
        <w:rPr>
          <w:color w:val="000000"/>
          <w:lang w:val="ro-RO"/>
        </w:rPr>
        <w:t xml:space="preserve"> </w:t>
      </w:r>
    </w:p>
    <w:p w:rsidR="00752B7A" w:rsidRPr="002152E4" w:rsidRDefault="00752B7A" w:rsidP="000476E4">
      <w:pPr>
        <w:ind w:firstLine="708"/>
        <w:jc w:val="both"/>
        <w:rPr>
          <w:color w:val="000000"/>
          <w:lang w:val="ro-RO"/>
        </w:rPr>
      </w:pPr>
      <w:r w:rsidRPr="002152E4">
        <w:rPr>
          <w:b/>
          <w:color w:val="000000"/>
          <w:lang w:val="ro-RO"/>
        </w:rPr>
        <w:lastRenderedPageBreak/>
        <w:t>6</w:t>
      </w:r>
      <w:r w:rsidRPr="002152E4">
        <w:rPr>
          <w:color w:val="000000"/>
          <w:lang w:val="ro-RO"/>
        </w:rPr>
        <w:t xml:space="preserve">. </w:t>
      </w:r>
      <w:r w:rsidRPr="002152E4">
        <w:rPr>
          <w:bCs/>
          <w:color w:val="000000"/>
          <w:kern w:val="32"/>
          <w:lang w:val="ro-RO"/>
        </w:rPr>
        <w:t xml:space="preserve">Consiliul Superior al Magistraturii a solicitat Inspecţiei Judiciare efectuarea </w:t>
      </w:r>
      <w:r w:rsidRPr="002152E4">
        <w:rPr>
          <w:color w:val="000000"/>
          <w:lang w:val="ro-RO"/>
        </w:rPr>
        <w:t>unor verificări în raport de cererea de apărare a reputaţiei profesionale formulată de domnul I.T.L, procuror stagiar în cadrul PJ G. urmare unei posibile intervenţii a procurorului ierarhic superior în formularea concluziilor scrise în dosarul penal al J. G prin depunerea concluziilor atât de procurorul de şedinţă cât şi de către parchet.</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692/07.06.2016</w:t>
      </w:r>
      <w:r w:rsidRPr="002152E4">
        <w:rPr>
          <w:i/>
          <w:color w:val="000000"/>
          <w:lang w:val="ro-RO"/>
        </w:rPr>
        <w:t>, Plenul Consiliului Superior al Magistraturii nu şi-a însuşit concluzia Inspecţiei Judiciare şi a hotărât respingerea cererii de apărare a independenţei şi reputaţiei profesionale.</w:t>
      </w:r>
    </w:p>
    <w:p w:rsidR="00752B7A" w:rsidRPr="002152E4" w:rsidRDefault="00752B7A" w:rsidP="000476E4">
      <w:pPr>
        <w:ind w:firstLine="708"/>
        <w:jc w:val="both"/>
        <w:rPr>
          <w:color w:val="000000"/>
          <w:lang w:val="ro-RO"/>
        </w:rPr>
      </w:pPr>
      <w:r w:rsidRPr="002152E4">
        <w:rPr>
          <w:b/>
          <w:i/>
          <w:color w:val="000000"/>
          <w:lang w:val="ro-RO"/>
        </w:rPr>
        <w:t xml:space="preserve">7. </w:t>
      </w:r>
      <w:r w:rsidRPr="002152E4">
        <w:rPr>
          <w:bCs/>
          <w:color w:val="000000"/>
          <w:kern w:val="32"/>
          <w:lang w:val="ro-RO"/>
        </w:rPr>
        <w:t>Consiliul Superior al Magistraturii a solicitat Inspecţiei Judiciare efectuarea</w:t>
      </w:r>
      <w:r w:rsidRPr="002152E4">
        <w:rPr>
          <w:color w:val="000000"/>
          <w:lang w:val="ro-RO"/>
        </w:rPr>
        <w:t xml:space="preserve"> unor verificări ca urmare a  cererii de apărare a reputaţiei profesionale formulată de domnul procuror G.L.M. din cadrul Parchetului de pe lângă Judecătoria T.J., în raport de articolele apărute în presă, publicate în ziarul Pandurul (la data de 13.05.2015, denumit „Ciobotărică, executat de mafia politică din Gorj”) şi respectiv, în publicația on-line enational.ro (la data de 09.05.2015). </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806/28.06.2016</w:t>
      </w:r>
      <w:r w:rsidRPr="002152E4">
        <w:rPr>
          <w:i/>
          <w:color w:val="000000"/>
          <w:lang w:val="ro-RO"/>
        </w:rPr>
        <w:t>, 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i/>
          <w:color w:val="000000"/>
          <w:lang w:val="ro-RO"/>
        </w:rPr>
        <w:t xml:space="preserve">8. </w:t>
      </w:r>
      <w:r w:rsidRPr="002152E4">
        <w:rPr>
          <w:bCs/>
          <w:color w:val="000000"/>
          <w:kern w:val="32"/>
          <w:lang w:val="ro-RO"/>
        </w:rPr>
        <w:t xml:space="preserve">Consiliul Superior al Magistraturii a solicitat Inspecţiei Judiciare efectuarea </w:t>
      </w:r>
      <w:r w:rsidRPr="002152E4">
        <w:rPr>
          <w:color w:val="000000"/>
          <w:lang w:val="ro-RO"/>
        </w:rPr>
        <w:t xml:space="preserve"> unor verificări în raport de cererea de apărare a reputaţiei profesionale formulată de domnul Ş.G.V, prim procuror al Parchetului de pe lângă Tribunalul C. prin faptul că atât în rechizitoriu, cât şi în referatul cu propunere de prelungire a măsurii arestului la domiciliu al inculpatului D.R. din data de 5.04.2016 al aceleiași unități de parchet, au fost inserate o serie de menţiuni ce pot aduce atingere onoarei şi reputaţiei profesionale-</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881/14.07.2016</w:t>
      </w:r>
      <w:r w:rsidRPr="002152E4">
        <w:rPr>
          <w:i/>
          <w:color w:val="000000"/>
          <w:lang w:val="ro-RO"/>
        </w:rPr>
        <w:t>, Plenul Consiliului Superior al Magistraturii a luat act de retragerea cererii de apărare a reputaţiei profesionale.</w:t>
      </w:r>
    </w:p>
    <w:p w:rsidR="00752B7A" w:rsidRPr="002152E4" w:rsidRDefault="00752B7A" w:rsidP="000476E4">
      <w:pPr>
        <w:ind w:firstLine="708"/>
        <w:jc w:val="both"/>
        <w:rPr>
          <w:color w:val="000000"/>
          <w:lang w:val="ro-RO"/>
        </w:rPr>
      </w:pPr>
      <w:r w:rsidRPr="002152E4">
        <w:rPr>
          <w:b/>
          <w:i/>
          <w:color w:val="000000"/>
          <w:lang w:val="ro-RO"/>
        </w:rPr>
        <w:t xml:space="preserve">9. </w:t>
      </w:r>
      <w:r w:rsidRPr="002152E4">
        <w:rPr>
          <w:bCs/>
          <w:color w:val="000000"/>
          <w:kern w:val="32"/>
          <w:lang w:val="ro-RO"/>
        </w:rPr>
        <w:t>Consiliul Superior al Magistraturii a solicitat Inspecţiei Judiciare efectuarea</w:t>
      </w:r>
      <w:r w:rsidRPr="002152E4">
        <w:rPr>
          <w:color w:val="000000"/>
          <w:lang w:val="ro-RO"/>
        </w:rPr>
        <w:t xml:space="preserve"> unor verificări în raport de cererea de apărare a reputaţiei profesionale formulată de doamna procuror B.D., din cadrul DNA – Secţia Judiciară Penală ca urmare a faptului că, în data de 12.05.2016, participând la şedinţa de judecată într-o cauză a Curţii de Apel Bucureşti Secţia I Penală, după încheierea ședinței şi după retragerea completului de judecată, a fost apostrofată de inculpat cu expresia repetată „ nu ţi-e ruşine”, după care acesta a părăsit imediat sala de judecată.</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882/14.07.2016</w:t>
      </w:r>
      <w:r w:rsidRPr="002152E4">
        <w:rPr>
          <w:i/>
          <w:color w:val="000000"/>
          <w:lang w:val="ro-RO"/>
        </w:rPr>
        <w:t>, 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i/>
          <w:color w:val="000000"/>
          <w:lang w:val="ro-RO"/>
        </w:rPr>
        <w:t>10.</w:t>
      </w:r>
      <w:r w:rsidRPr="002152E4">
        <w:rPr>
          <w:bCs/>
          <w:color w:val="000000"/>
          <w:kern w:val="32"/>
          <w:lang w:val="ro-RO"/>
        </w:rPr>
        <w:t xml:space="preserve"> Consiliul Superior al Magistraturii a solicitat Inspecţiei Judiciare efectuarea </w:t>
      </w:r>
      <w:r w:rsidRPr="002152E4">
        <w:rPr>
          <w:color w:val="000000"/>
          <w:lang w:val="ro-RO"/>
        </w:rPr>
        <w:t>unor verificări ca urmare a cererii de apărare a reputaţiei profesionale formulată de domnul procuror  L.S., procuror din cadrul Parchetul de pe lângă Judecătoria S., în raport de aspectele semnalate în mass-media, respectiv apariţia unui articol publicat în secțiunea Ultimele Ştiri Imperativ - Ziarul tău online - pe site-ul www.imperativ.ro din 04.06.2016, ce conţine afirmaţii grave şi nefondate, de natură să-i afecteze imaginea şi reputația profesională.</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901/14.07.2016</w:t>
      </w:r>
      <w:r w:rsidRPr="002152E4">
        <w:rPr>
          <w:i/>
          <w:color w:val="000000"/>
          <w:lang w:val="ro-RO"/>
        </w:rPr>
        <w:t>, 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i/>
          <w:color w:val="000000"/>
          <w:lang w:val="ro-RO"/>
        </w:rPr>
        <w:t xml:space="preserve">11. </w:t>
      </w:r>
      <w:r w:rsidRPr="002152E4">
        <w:rPr>
          <w:bCs/>
          <w:color w:val="000000"/>
          <w:kern w:val="32"/>
          <w:lang w:val="ro-RO"/>
        </w:rPr>
        <w:t>Consiliul Superior al Magistraturii a solicitat Inspecţiei Judiciare efectuarea</w:t>
      </w:r>
      <w:r w:rsidRPr="002152E4">
        <w:rPr>
          <w:color w:val="000000"/>
          <w:lang w:val="ro-RO"/>
        </w:rPr>
        <w:t xml:space="preserve"> unor verificări în raport de cererea de apărare a reputaţiei profesionale formulată procurorul R.A din cadrul Parchetului de pe lângă Judecătoria T.. Procurorul a apreciat că, deşi aspectele cuprinse în contestaţie nu au fost preluate în mass-media, acestea au fost de natură a-i afecta reputația profesională, încălcându-se dispoziţiile constituționale privind libertate de exprimare-</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1005/23.08.2016</w:t>
      </w:r>
      <w:r w:rsidRPr="002152E4">
        <w:rPr>
          <w:i/>
          <w:color w:val="000000"/>
          <w:lang w:val="ro-RO"/>
        </w:rPr>
        <w:t>, Plenul Consiliului Superior al Magistraturii luat act de retragerea cererii de apărare a reputaţiei profesionale .</w:t>
      </w:r>
    </w:p>
    <w:p w:rsidR="00752B7A" w:rsidRPr="002152E4" w:rsidRDefault="00752B7A" w:rsidP="000476E4">
      <w:pPr>
        <w:ind w:firstLine="708"/>
        <w:jc w:val="both"/>
        <w:rPr>
          <w:color w:val="000000"/>
          <w:lang w:val="ro-RO"/>
        </w:rPr>
      </w:pPr>
      <w:r w:rsidRPr="002152E4">
        <w:rPr>
          <w:b/>
          <w:i/>
          <w:color w:val="000000"/>
          <w:lang w:val="ro-RO"/>
        </w:rPr>
        <w:t xml:space="preserve">12. </w:t>
      </w:r>
      <w:r w:rsidRPr="002152E4">
        <w:rPr>
          <w:bCs/>
          <w:color w:val="000000"/>
          <w:kern w:val="32"/>
          <w:lang w:val="ro-RO"/>
        </w:rPr>
        <w:t xml:space="preserve">Consiliul Superior al Magistraturii a solicitat Inspecţiei Judiciare efectuarea </w:t>
      </w:r>
      <w:r w:rsidRPr="002152E4">
        <w:rPr>
          <w:color w:val="000000"/>
          <w:lang w:val="ro-RO"/>
        </w:rPr>
        <w:t>unor verificări în raport de cererea de apărare a reputaţiei profesionale formulată de doamna D.N, procuror în cadrul Parchetului de pe lângă Judecătoria C., în raport de aspectele semnalate în mass-media, respectiv apariţia unui  articol  ce conţine afirmaţii grave şi nefondate, cu referire la aspecte din activitatea profesională, de natură a induce în conştiinţa opiniei publice ideea lipsei de integritate şi a unei bune pregătiri profesionale a acestui procuror.</w:t>
      </w:r>
    </w:p>
    <w:p w:rsidR="00752B7A" w:rsidRPr="002152E4" w:rsidRDefault="00752B7A" w:rsidP="000476E4">
      <w:pPr>
        <w:ind w:firstLine="708"/>
        <w:jc w:val="both"/>
        <w:rPr>
          <w:color w:val="000000"/>
          <w:lang w:val="ro-RO"/>
        </w:rPr>
      </w:pPr>
      <w:r w:rsidRPr="002152E4">
        <w:rPr>
          <w:rFonts w:cs="Arial"/>
          <w:bCs/>
          <w:i/>
          <w:color w:val="000000"/>
          <w:kern w:val="32"/>
          <w:lang w:val="ro-RO"/>
        </w:rPr>
        <w:lastRenderedPageBreak/>
        <w:t xml:space="preserve">Prin </w:t>
      </w:r>
      <w:r w:rsidRPr="002152E4">
        <w:rPr>
          <w:rFonts w:cs="Arial"/>
          <w:b/>
          <w:bCs/>
          <w:i/>
          <w:color w:val="000000"/>
          <w:kern w:val="32"/>
          <w:lang w:val="ro-RO"/>
        </w:rPr>
        <w:t>Hotărârea nr. 1074/19.09.2016</w:t>
      </w:r>
      <w:r w:rsidRPr="002152E4">
        <w:rPr>
          <w:rFonts w:cs="Arial"/>
          <w:bCs/>
          <w:i/>
          <w:color w:val="000000"/>
          <w:kern w:val="32"/>
          <w:lang w:val="ro-RO"/>
        </w:rPr>
        <w:t>, Plenul Consiliului Superior al Magistraturii şi-a însuşit concluzia Inspecţiei Judiciare şi a admis cererea.</w:t>
      </w:r>
    </w:p>
    <w:p w:rsidR="00752B7A" w:rsidRPr="002152E4" w:rsidRDefault="00752B7A" w:rsidP="000476E4">
      <w:pPr>
        <w:tabs>
          <w:tab w:val="left" w:pos="709"/>
          <w:tab w:val="left" w:pos="5103"/>
        </w:tabs>
        <w:jc w:val="both"/>
        <w:rPr>
          <w:rFonts w:cs="Arial"/>
          <w:color w:val="000000"/>
          <w:lang w:val="ro-RO"/>
        </w:rPr>
      </w:pPr>
      <w:r w:rsidRPr="002152E4">
        <w:rPr>
          <w:rFonts w:cs="Arial"/>
          <w:b/>
          <w:i/>
          <w:color w:val="000000"/>
          <w:lang w:val="ro-RO"/>
        </w:rPr>
        <w:tab/>
        <w:t xml:space="preserve">13. </w:t>
      </w:r>
      <w:r w:rsidRPr="002152E4">
        <w:rPr>
          <w:bCs/>
          <w:color w:val="000000"/>
          <w:kern w:val="32"/>
          <w:lang w:val="ro-RO"/>
        </w:rPr>
        <w:t xml:space="preserve">Consiliul Superior al Magistraturii a solicitat Inspecţiei Judiciare efectuarea </w:t>
      </w:r>
      <w:r w:rsidRPr="002152E4">
        <w:rPr>
          <w:color w:val="000000"/>
          <w:lang w:val="ro-RO"/>
        </w:rPr>
        <w:t>verificări în raport de cererea de apărare a reputaţiei profesionale formulată de domnul  M.M.E.  – procuror în cadrul Parchetului de pe lângă Tribunalul  O. – în prezent delegat la Parchetul de pe lângă Tribunalul C-V., în raport de aspectele semnalate în mass-media, respectiv apariţia pe site-ul luju.ro a articolului din data de 04.09.2016,  intitulat ,,S-a răsturnat căruța la Parchetul Olt”, articol ce conţine afirmaţii grave şi nefondate  cu referire la activitatea profesională.</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1163/06.10.2016</w:t>
      </w:r>
      <w:r w:rsidRPr="002152E4">
        <w:rPr>
          <w:i/>
          <w:color w:val="000000"/>
          <w:lang w:val="ro-RO"/>
        </w:rPr>
        <w:t>, 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i/>
          <w:color w:val="000000"/>
          <w:lang w:val="ro-RO"/>
        </w:rPr>
        <w:t xml:space="preserve">14. </w:t>
      </w:r>
      <w:r w:rsidRPr="002152E4">
        <w:rPr>
          <w:bCs/>
          <w:color w:val="000000"/>
          <w:kern w:val="32"/>
          <w:lang w:val="ro-RO"/>
        </w:rPr>
        <w:t xml:space="preserve">Consiliul Superior al Magistraturii a solicitat Inspecţiei Judiciare efectuarea unor </w:t>
      </w:r>
      <w:r w:rsidRPr="002152E4">
        <w:rPr>
          <w:color w:val="000000"/>
          <w:lang w:val="ro-RO"/>
        </w:rPr>
        <w:t>verificări cu privire la eventuala atingere adusă reputaţiei profesionale a procurorului I.I. A. – M. din cadrul Parchetului de pe lângă Judecătoria Sectorului 3 Bucureşti ca urmare a publicării unor articole de presă şi a unor postări pe rețeaua de socializare Facebook având un conţinut denigrator şi defăimător la adresa procurorului care a instrumentat dosarul penal.</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1164/06.10.2016</w:t>
      </w:r>
      <w:r w:rsidRPr="002152E4">
        <w:rPr>
          <w:i/>
          <w:color w:val="000000"/>
          <w:lang w:val="ro-RO"/>
        </w:rPr>
        <w:t>, Plenul Consiliului Superior al Magistraturii şi-a însuşit concluzia Inspecţiei Judiciare şi a admis cererea.</w:t>
      </w:r>
    </w:p>
    <w:p w:rsidR="00752B7A" w:rsidRPr="002152E4" w:rsidRDefault="00752B7A" w:rsidP="000476E4">
      <w:pPr>
        <w:ind w:firstLine="708"/>
        <w:jc w:val="both"/>
        <w:rPr>
          <w:color w:val="000000"/>
          <w:lang w:val="ro-RO"/>
        </w:rPr>
      </w:pPr>
      <w:r w:rsidRPr="002152E4">
        <w:rPr>
          <w:b/>
          <w:i/>
          <w:color w:val="000000"/>
          <w:lang w:val="ro-RO"/>
        </w:rPr>
        <w:t>15.</w:t>
      </w:r>
      <w:r w:rsidRPr="002152E4">
        <w:rPr>
          <w:bCs/>
          <w:color w:val="000000"/>
          <w:kern w:val="32"/>
          <w:lang w:val="ro-RO"/>
        </w:rPr>
        <w:t xml:space="preserve"> Consiliul Superior al Magistraturii a solicitat Inspecţiei Judiciare efectuarea</w:t>
      </w:r>
      <w:r w:rsidRPr="002152E4">
        <w:rPr>
          <w:color w:val="000000"/>
          <w:lang w:val="ro-RO"/>
        </w:rPr>
        <w:t xml:space="preserve"> unor verificări în raport de cererea de apărare a reputaţiei profesionale formulată de domnul D.G., procuror în cadrul Parchetului de pe lângă Judecătoria I. prin care reclamă o pretinsă conduită profesională neconformă a magistratului T.C.A. din cadrul Judecătoriei I., constând în folosirea abuzivă, în calitate de judecător de cameră preliminară, a prevederilor art. 346 alin.(3) lit. a) Cod procedură penală.</w:t>
      </w:r>
    </w:p>
    <w:p w:rsidR="00752B7A" w:rsidRPr="002152E4" w:rsidRDefault="00752B7A" w:rsidP="000476E4">
      <w:pPr>
        <w:ind w:firstLine="708"/>
        <w:jc w:val="both"/>
        <w:rPr>
          <w:i/>
          <w:color w:val="000000"/>
          <w:lang w:val="ro-RO"/>
        </w:rPr>
      </w:pPr>
      <w:r w:rsidRPr="002152E4">
        <w:rPr>
          <w:i/>
          <w:color w:val="000000"/>
          <w:lang w:val="ro-RO"/>
        </w:rPr>
        <w:t xml:space="preserve">Prin </w:t>
      </w:r>
      <w:r w:rsidRPr="002152E4">
        <w:rPr>
          <w:b/>
          <w:i/>
          <w:color w:val="000000"/>
          <w:lang w:val="ro-RO"/>
        </w:rPr>
        <w:t>Hotărârea nr. 1203/11.10.2016</w:t>
      </w:r>
      <w:r w:rsidRPr="002152E4">
        <w:rPr>
          <w:i/>
          <w:color w:val="000000"/>
          <w:lang w:val="ro-RO"/>
        </w:rPr>
        <w:t>, Plenul Consiliului Superior al Magistraturii CSM a luat act de renunțarea la cererea de apărare a reputației profesionale.</w:t>
      </w:r>
    </w:p>
    <w:p w:rsidR="00752B7A" w:rsidRPr="002152E4" w:rsidRDefault="00752B7A" w:rsidP="000476E4">
      <w:pPr>
        <w:ind w:firstLine="708"/>
        <w:jc w:val="both"/>
        <w:rPr>
          <w:color w:val="000000"/>
          <w:lang w:val="ro-RO"/>
        </w:rPr>
      </w:pPr>
      <w:r w:rsidRPr="002152E4">
        <w:rPr>
          <w:b/>
          <w:i/>
          <w:color w:val="000000"/>
          <w:lang w:val="ro-RO"/>
        </w:rPr>
        <w:t xml:space="preserve">16. </w:t>
      </w:r>
      <w:r w:rsidRPr="002152E4">
        <w:rPr>
          <w:bCs/>
          <w:color w:val="000000"/>
          <w:kern w:val="32"/>
          <w:lang w:val="ro-RO"/>
        </w:rPr>
        <w:t>Consiliul Superior al Magistraturii a solicitat Inspecţiei Judiciare efectuarea</w:t>
      </w:r>
      <w:r w:rsidRPr="002152E4">
        <w:rPr>
          <w:color w:val="000000"/>
          <w:lang w:val="ro-RO"/>
        </w:rPr>
        <w:t xml:space="preserve"> unor verificări în raport de cererea de apărare a reputaţiei profesionale formulată de doamna F.C.E. procuror în cadrul Parchetului de pe lângă Judecătoria S4 B., ca urmare a întocmirii unui rechizitoriu într-un dosar penal şi luarea la cunoștință de rezultatul analizei Secției judiciare penale a Parchetului de pe lângă Curtea de Apel B., vizate de conducătorul unităţii. Prin decizia de imputabilitate a achitării celor doi inculpați, în opinia sa, doamna procuror a considerat că este o decizie care îi afectează reputația şi carierea profesională.</w:t>
      </w:r>
    </w:p>
    <w:p w:rsidR="00752B7A" w:rsidRPr="002152E4" w:rsidRDefault="00752B7A" w:rsidP="000476E4">
      <w:pPr>
        <w:ind w:firstLine="708"/>
        <w:jc w:val="both"/>
        <w:rPr>
          <w:i/>
          <w:lang w:val="ro-RO"/>
        </w:rPr>
      </w:pPr>
      <w:r w:rsidRPr="002152E4">
        <w:rPr>
          <w:i/>
          <w:color w:val="000000"/>
          <w:lang w:val="ro-RO"/>
        </w:rPr>
        <w:t xml:space="preserve">Prin </w:t>
      </w:r>
      <w:r w:rsidRPr="002152E4">
        <w:rPr>
          <w:b/>
          <w:i/>
          <w:color w:val="000000"/>
          <w:lang w:val="ro-RO"/>
        </w:rPr>
        <w:t xml:space="preserve">Hotărârea nr. </w:t>
      </w:r>
      <w:r w:rsidRPr="002152E4">
        <w:rPr>
          <w:b/>
          <w:i/>
          <w:lang w:val="ro-RO"/>
        </w:rPr>
        <w:t>1411/14.11.2016</w:t>
      </w:r>
      <w:r w:rsidRPr="002152E4">
        <w:rPr>
          <w:i/>
          <w:lang w:val="ro-RO"/>
        </w:rPr>
        <w:t xml:space="preserve"> Plenul CSM şi-a însuşit concluzia Inspecţiei Judiciare şi a hotărât respingerea cererii de apărare a reputaţiei profesionale. </w:t>
      </w:r>
    </w:p>
    <w:p w:rsidR="00752B7A" w:rsidRPr="002152E4" w:rsidRDefault="00752B7A" w:rsidP="000476E4">
      <w:pPr>
        <w:ind w:firstLine="708"/>
        <w:jc w:val="both"/>
        <w:rPr>
          <w:color w:val="000000"/>
          <w:lang w:val="ro-RO"/>
        </w:rPr>
      </w:pPr>
      <w:r w:rsidRPr="002152E4">
        <w:rPr>
          <w:b/>
          <w:i/>
          <w:color w:val="000000"/>
          <w:lang w:val="ro-RO"/>
        </w:rPr>
        <w:t xml:space="preserve">17. </w:t>
      </w:r>
      <w:r w:rsidRPr="002152E4">
        <w:rPr>
          <w:bCs/>
          <w:color w:val="000000"/>
          <w:kern w:val="32"/>
          <w:lang w:val="ro-RO"/>
        </w:rPr>
        <w:t xml:space="preserve">Consiliul Superior al Magistraturii a solicitat Inspecţiei Judiciare efectuarea </w:t>
      </w:r>
      <w:r w:rsidRPr="002152E4">
        <w:rPr>
          <w:color w:val="000000"/>
          <w:lang w:val="ro-RO"/>
        </w:rPr>
        <w:t>unor verificări în raport de cererea de apărare a reputaţiei profesionale formulată de domnul C.A.O. procuror în cadrul Parchetului de pe lângă Judecătoria T.,  ca urmare a articolelor apărute în presă care conțin informații denigratoare la adresa procurorului şi aspecte de natură a crea dubii cu privire la capacitatea profesională şi imparțialitatea de care magistratul trebuie să dea dovadă în soluționarea unei cauze</w:t>
      </w:r>
    </w:p>
    <w:p w:rsidR="00752B7A" w:rsidRPr="002152E4" w:rsidRDefault="00752B7A" w:rsidP="000476E4">
      <w:pPr>
        <w:tabs>
          <w:tab w:val="left" w:pos="709"/>
          <w:tab w:val="left" w:pos="5103"/>
        </w:tabs>
        <w:spacing w:line="276" w:lineRule="auto"/>
        <w:jc w:val="both"/>
        <w:rPr>
          <w:i/>
          <w:lang w:val="ro-RO"/>
        </w:rPr>
      </w:pPr>
      <w:r w:rsidRPr="002152E4">
        <w:rPr>
          <w:i/>
          <w:color w:val="000000"/>
          <w:lang w:val="ro-RO"/>
        </w:rPr>
        <w:tab/>
        <w:t xml:space="preserve">Prin </w:t>
      </w:r>
      <w:r w:rsidRPr="002152E4">
        <w:rPr>
          <w:b/>
          <w:i/>
          <w:color w:val="000000"/>
          <w:lang w:val="ro-RO"/>
        </w:rPr>
        <w:t xml:space="preserve">Hotărârea nr. </w:t>
      </w:r>
      <w:r w:rsidRPr="002152E4">
        <w:rPr>
          <w:b/>
          <w:i/>
          <w:lang w:val="ro-RO"/>
        </w:rPr>
        <w:t>1412/14.11.2016</w:t>
      </w:r>
      <w:r w:rsidRPr="002152E4">
        <w:rPr>
          <w:i/>
          <w:lang w:val="ro-RO"/>
        </w:rPr>
        <w:t xml:space="preserve"> Plenul CSM </w:t>
      </w:r>
      <w:r w:rsidRPr="002152E4">
        <w:rPr>
          <w:i/>
          <w:color w:val="000000"/>
          <w:lang w:val="ro-RO"/>
        </w:rPr>
        <w:t>şi-a însuşit concluzia Inspecţiei Judiciare</w:t>
      </w:r>
      <w:r w:rsidRPr="002152E4">
        <w:rPr>
          <w:i/>
          <w:lang w:val="ro-RO"/>
        </w:rPr>
        <w:t xml:space="preserve">  şi a admis cererea. </w:t>
      </w:r>
    </w:p>
    <w:p w:rsidR="00752B7A" w:rsidRPr="002152E4" w:rsidRDefault="00752B7A" w:rsidP="000476E4">
      <w:pPr>
        <w:ind w:firstLine="708"/>
        <w:jc w:val="both"/>
        <w:rPr>
          <w:lang w:val="ro-RO"/>
        </w:rPr>
      </w:pPr>
      <w:r w:rsidRPr="002152E4">
        <w:rPr>
          <w:b/>
          <w:i/>
          <w:lang w:val="ro-RO"/>
        </w:rPr>
        <w:t xml:space="preserve">18. </w:t>
      </w:r>
      <w:r w:rsidRPr="002152E4">
        <w:rPr>
          <w:bCs/>
          <w:color w:val="000000"/>
          <w:kern w:val="32"/>
          <w:lang w:val="ro-RO"/>
        </w:rPr>
        <w:t xml:space="preserve">Consiliul Superior al Magistraturii a solicitat Inspecţiei Judiciare efectuarea </w:t>
      </w:r>
      <w:r w:rsidRPr="002152E4">
        <w:rPr>
          <w:lang w:val="ro-RO"/>
        </w:rPr>
        <w:t>unor verificări în raport de cererea de apărare a independenţei profesionale formulată de doamna V.A.S. procuror în cadrul Parchetului de pe lângă Tribunalul B., urmare posibilului mod neprincipial şi contrar  legii în care procurorul şef secţie urmărire penală V. A. S. a înţeles să o determine să efectueze supravegherea urmăririi penale, în mod contrar dispoziţiilor Codului de procedură penală.</w:t>
      </w:r>
    </w:p>
    <w:p w:rsidR="00752B7A" w:rsidRPr="002152E4" w:rsidRDefault="00752B7A" w:rsidP="000476E4">
      <w:pPr>
        <w:jc w:val="both"/>
        <w:rPr>
          <w:lang w:val="ro-RO"/>
        </w:rPr>
      </w:pPr>
      <w:r w:rsidRPr="002152E4">
        <w:rPr>
          <w:lang w:val="ro-RO"/>
        </w:rPr>
        <w:t xml:space="preserve">Prin </w:t>
      </w:r>
      <w:r w:rsidRPr="002152E4">
        <w:rPr>
          <w:b/>
          <w:lang w:val="ro-RO"/>
        </w:rPr>
        <w:t>Hotărârea nr. 13/12.01.2017</w:t>
      </w:r>
      <w:r w:rsidRPr="002152E4">
        <w:rPr>
          <w:lang w:val="ro-RO"/>
        </w:rPr>
        <w:t xml:space="preserve"> Plenul Consiliului Superior al Magistraturii </w:t>
      </w:r>
      <w:r w:rsidRPr="002152E4">
        <w:rPr>
          <w:i/>
          <w:color w:val="000000"/>
          <w:lang w:val="ro-RO"/>
        </w:rPr>
        <w:t>şi-a însuşit concluzia Inspecţiei Judiciare</w:t>
      </w:r>
      <w:r w:rsidRPr="002152E4">
        <w:rPr>
          <w:i/>
          <w:lang w:val="ro-RO"/>
        </w:rPr>
        <w:t xml:space="preserve"> şi </w:t>
      </w:r>
      <w:r w:rsidRPr="002152E4">
        <w:rPr>
          <w:lang w:val="ro-RO"/>
        </w:rPr>
        <w:t xml:space="preserve">a hotărât respingerea cererii. </w:t>
      </w:r>
    </w:p>
    <w:p w:rsidR="00752B7A" w:rsidRPr="002152E4" w:rsidRDefault="00752B7A" w:rsidP="000476E4">
      <w:pPr>
        <w:tabs>
          <w:tab w:val="left" w:pos="709"/>
          <w:tab w:val="left" w:pos="5103"/>
        </w:tabs>
        <w:spacing w:line="276" w:lineRule="auto"/>
        <w:ind w:firstLine="709"/>
        <w:jc w:val="both"/>
        <w:rPr>
          <w:lang w:val="ro-RO"/>
        </w:rPr>
      </w:pPr>
      <w:r w:rsidRPr="002152E4">
        <w:rPr>
          <w:b/>
          <w:i/>
          <w:color w:val="000000"/>
          <w:lang w:val="ro-RO"/>
        </w:rPr>
        <w:t xml:space="preserve">19. </w:t>
      </w:r>
      <w:r w:rsidRPr="002152E4">
        <w:rPr>
          <w:bCs/>
          <w:color w:val="000000"/>
          <w:kern w:val="32"/>
          <w:lang w:val="ro-RO"/>
        </w:rPr>
        <w:t xml:space="preserve">Consiliul Superior al Magistraturii a solicitat Inspecţiei Judiciare efectuarea </w:t>
      </w:r>
      <w:r w:rsidRPr="002152E4">
        <w:rPr>
          <w:color w:val="000000"/>
          <w:lang w:val="ro-RO"/>
        </w:rPr>
        <w:t xml:space="preserve">unor verificări în raport de cererea de apărare a reputaţiei profesionale formulată de domnul </w:t>
      </w:r>
      <w:r w:rsidRPr="002152E4">
        <w:rPr>
          <w:lang w:val="ro-RO"/>
        </w:rPr>
        <w:t xml:space="preserve">Ş.G., procuror în cadrul DIICOT ca urmare a informaţiile apărute în mass-media cu privire la dosar înregistrat la DIICOT-Structura Centrală. </w:t>
      </w:r>
    </w:p>
    <w:p w:rsidR="00752B7A" w:rsidRDefault="00752B7A" w:rsidP="000476E4">
      <w:pPr>
        <w:tabs>
          <w:tab w:val="left" w:pos="709"/>
          <w:tab w:val="left" w:pos="5103"/>
        </w:tabs>
        <w:spacing w:line="276" w:lineRule="auto"/>
        <w:ind w:firstLine="709"/>
        <w:jc w:val="both"/>
        <w:rPr>
          <w:bCs/>
          <w:i/>
          <w:lang w:val="ro-RO"/>
        </w:rPr>
      </w:pPr>
      <w:r w:rsidRPr="002152E4">
        <w:rPr>
          <w:i/>
          <w:lang w:val="ro-RO"/>
        </w:rPr>
        <w:lastRenderedPageBreak/>
        <w:t xml:space="preserve">Prin </w:t>
      </w:r>
      <w:r w:rsidRPr="002152E4">
        <w:rPr>
          <w:b/>
          <w:i/>
          <w:lang w:val="ro-RO"/>
        </w:rPr>
        <w:t>H</w:t>
      </w:r>
      <w:r w:rsidRPr="002152E4">
        <w:rPr>
          <w:b/>
          <w:bCs/>
          <w:i/>
          <w:lang w:val="ro-RO"/>
        </w:rPr>
        <w:t>otărârea nr. 47/17.01.2017</w:t>
      </w:r>
      <w:r w:rsidRPr="002152E4">
        <w:rPr>
          <w:bCs/>
          <w:i/>
          <w:lang w:val="ro-RO"/>
        </w:rPr>
        <w:t xml:space="preserve"> Plenul Consiliului Superior al Magistraturii a luat act de retragerea cererii de apărare a reputaţiei profesionale formulate de domnul procuror Ş.G. </w:t>
      </w: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bCs/>
          <w:i/>
          <w:lang w:val="ro-RO"/>
        </w:rPr>
      </w:pPr>
    </w:p>
    <w:p w:rsidR="00EB7297" w:rsidRDefault="00EB7297" w:rsidP="000476E4">
      <w:pPr>
        <w:tabs>
          <w:tab w:val="left" w:pos="709"/>
          <w:tab w:val="left" w:pos="5103"/>
        </w:tabs>
        <w:spacing w:line="276" w:lineRule="auto"/>
        <w:ind w:firstLine="709"/>
        <w:jc w:val="both"/>
        <w:rPr>
          <w:i/>
          <w:lang w:val="ro-RO"/>
        </w:rPr>
      </w:pPr>
    </w:p>
    <w:p w:rsidR="004777EA" w:rsidRDefault="004777EA" w:rsidP="000476E4">
      <w:pPr>
        <w:tabs>
          <w:tab w:val="left" w:pos="709"/>
          <w:tab w:val="left" w:pos="5103"/>
        </w:tabs>
        <w:spacing w:line="276" w:lineRule="auto"/>
        <w:ind w:firstLine="709"/>
        <w:jc w:val="both"/>
        <w:rPr>
          <w:i/>
          <w:lang w:val="ro-RO"/>
        </w:rPr>
      </w:pPr>
    </w:p>
    <w:p w:rsidR="004777EA" w:rsidRDefault="004777EA" w:rsidP="000476E4">
      <w:pPr>
        <w:tabs>
          <w:tab w:val="left" w:pos="709"/>
          <w:tab w:val="left" w:pos="5103"/>
        </w:tabs>
        <w:spacing w:line="276" w:lineRule="auto"/>
        <w:ind w:firstLine="709"/>
        <w:jc w:val="both"/>
        <w:rPr>
          <w:i/>
          <w:lang w:val="ro-RO"/>
        </w:rPr>
      </w:pPr>
    </w:p>
    <w:p w:rsidR="004777EA" w:rsidRDefault="004777EA" w:rsidP="000476E4">
      <w:pPr>
        <w:tabs>
          <w:tab w:val="left" w:pos="709"/>
          <w:tab w:val="left" w:pos="5103"/>
        </w:tabs>
        <w:spacing w:line="276" w:lineRule="auto"/>
        <w:ind w:firstLine="709"/>
        <w:jc w:val="both"/>
        <w:rPr>
          <w:i/>
          <w:lang w:val="ro-RO"/>
        </w:rPr>
      </w:pPr>
    </w:p>
    <w:p w:rsidR="004777EA" w:rsidRDefault="004777EA" w:rsidP="000476E4">
      <w:pPr>
        <w:tabs>
          <w:tab w:val="left" w:pos="709"/>
          <w:tab w:val="left" w:pos="5103"/>
        </w:tabs>
        <w:spacing w:line="276" w:lineRule="auto"/>
        <w:ind w:firstLine="709"/>
        <w:jc w:val="both"/>
        <w:rPr>
          <w:i/>
          <w:lang w:val="ro-RO"/>
        </w:rPr>
      </w:pPr>
    </w:p>
    <w:p w:rsidR="004777EA" w:rsidRDefault="004777EA" w:rsidP="000476E4">
      <w:pPr>
        <w:tabs>
          <w:tab w:val="left" w:pos="709"/>
          <w:tab w:val="left" w:pos="5103"/>
        </w:tabs>
        <w:spacing w:line="276" w:lineRule="auto"/>
        <w:ind w:firstLine="709"/>
        <w:jc w:val="both"/>
        <w:rPr>
          <w:i/>
          <w:lang w:val="ro-RO"/>
        </w:rPr>
      </w:pPr>
    </w:p>
    <w:p w:rsidR="004777EA" w:rsidRDefault="004777EA" w:rsidP="000476E4">
      <w:pPr>
        <w:tabs>
          <w:tab w:val="left" w:pos="709"/>
          <w:tab w:val="left" w:pos="5103"/>
        </w:tabs>
        <w:spacing w:line="276" w:lineRule="auto"/>
        <w:ind w:firstLine="709"/>
        <w:jc w:val="both"/>
        <w:rPr>
          <w:i/>
          <w:lang w:val="ro-RO"/>
        </w:rPr>
      </w:pPr>
    </w:p>
    <w:p w:rsidR="004777EA" w:rsidRDefault="004777EA" w:rsidP="000476E4">
      <w:pPr>
        <w:tabs>
          <w:tab w:val="left" w:pos="709"/>
          <w:tab w:val="left" w:pos="5103"/>
        </w:tabs>
        <w:spacing w:line="276" w:lineRule="auto"/>
        <w:ind w:firstLine="709"/>
        <w:jc w:val="both"/>
        <w:rPr>
          <w:i/>
          <w:lang w:val="ro-RO"/>
        </w:rPr>
      </w:pPr>
    </w:p>
    <w:p w:rsidR="004777EA" w:rsidRPr="002152E4" w:rsidRDefault="004777EA" w:rsidP="000476E4">
      <w:pPr>
        <w:tabs>
          <w:tab w:val="left" w:pos="709"/>
          <w:tab w:val="left" w:pos="5103"/>
        </w:tabs>
        <w:spacing w:line="276" w:lineRule="auto"/>
        <w:ind w:firstLine="709"/>
        <w:jc w:val="both"/>
        <w:rPr>
          <w:i/>
          <w:lang w:val="ro-RO"/>
        </w:rPr>
      </w:pPr>
    </w:p>
    <w:p w:rsidR="00752B7A" w:rsidRPr="002152E4" w:rsidRDefault="00752B7A" w:rsidP="00752B7A">
      <w:pPr>
        <w:jc w:val="both"/>
        <w:outlineLvl w:val="0"/>
        <w:rPr>
          <w:rFonts w:eastAsia="Calibri"/>
          <w:b/>
          <w:lang w:val="ro-RO"/>
        </w:rPr>
      </w:pPr>
    </w:p>
    <w:p w:rsidR="00EE6420" w:rsidRPr="002152E4" w:rsidRDefault="00EE6420" w:rsidP="00CD6117">
      <w:pPr>
        <w:jc w:val="both"/>
        <w:outlineLvl w:val="0"/>
        <w:rPr>
          <w:rFonts w:eastAsia="Calibri"/>
          <w:b/>
          <w:lang w:val="ro-RO"/>
        </w:rPr>
      </w:pPr>
    </w:p>
    <w:p w:rsidR="00CD6117" w:rsidRPr="00EB7297" w:rsidRDefault="00CD6117" w:rsidP="00EE6420">
      <w:pPr>
        <w:jc w:val="center"/>
        <w:outlineLvl w:val="0"/>
        <w:rPr>
          <w:b/>
          <w:sz w:val="28"/>
          <w:szCs w:val="28"/>
          <w:lang w:val="ro-RO" w:eastAsia="ro-RO"/>
        </w:rPr>
      </w:pPr>
      <w:bookmarkStart w:id="194" w:name="_Toc486576568"/>
      <w:r w:rsidRPr="00EB7297">
        <w:rPr>
          <w:b/>
          <w:sz w:val="28"/>
          <w:szCs w:val="28"/>
          <w:lang w:val="ro-RO" w:eastAsia="ro-RO"/>
        </w:rPr>
        <w:lastRenderedPageBreak/>
        <w:t>X. Propunerile instanţelor şi parchetelor în vederea îmbunătăţirii activităţii</w:t>
      </w:r>
      <w:bookmarkEnd w:id="194"/>
    </w:p>
    <w:p w:rsidR="00EE6420" w:rsidRPr="002152E4" w:rsidRDefault="00EE6420" w:rsidP="00EE6420">
      <w:pPr>
        <w:jc w:val="both"/>
        <w:rPr>
          <w:b/>
          <w:lang w:val="ro-RO"/>
        </w:rPr>
      </w:pPr>
    </w:p>
    <w:p w:rsidR="00EE6420" w:rsidRPr="002152E4" w:rsidRDefault="00EE6420" w:rsidP="00EE6420">
      <w:pPr>
        <w:ind w:firstLine="720"/>
        <w:jc w:val="both"/>
        <w:rPr>
          <w:lang w:val="ro-RO"/>
        </w:rPr>
      </w:pPr>
      <w:r w:rsidRPr="002152E4">
        <w:rPr>
          <w:lang w:val="ro-RO"/>
        </w:rPr>
        <w:t>Principalele vulnerabilităţi cu care s-a confruntat sistemul judiciar în anul 2016, identificate de instanţele judecătoreşti, sunt următoarele:</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instabilitatea şi lipsa de predictibilitate legislative;</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lipsa resurselor umane şi materiale;</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dependenţa financiară faţă de puterea executivă;</w:t>
      </w:r>
    </w:p>
    <w:p w:rsidR="00EE6420" w:rsidRPr="002152E4" w:rsidRDefault="00EE6420" w:rsidP="00C72B60">
      <w:pPr>
        <w:pStyle w:val="ListParagraph"/>
        <w:numPr>
          <w:ilvl w:val="0"/>
          <w:numId w:val="13"/>
        </w:numPr>
        <w:tabs>
          <w:tab w:val="clear" w:pos="1068"/>
          <w:tab w:val="num" w:pos="709"/>
        </w:tabs>
        <w:ind w:left="993"/>
        <w:jc w:val="both"/>
        <w:rPr>
          <w:rFonts w:ascii="Calibri" w:hAnsi="Calibri"/>
          <w:lang w:val="ro-RO"/>
        </w:rPr>
      </w:pPr>
      <w:r w:rsidRPr="002152E4">
        <w:rPr>
          <w:rFonts w:ascii="Calibri" w:hAnsi="Calibri"/>
          <w:lang w:val="ro-RO"/>
        </w:rPr>
        <w:t xml:space="preserve"> presiunile exercitate, în special de prin intermediul mass-media, asupra sistemului judiciar;</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presiuni asupra actului de justiţie prin încărcarea cu sarcini administrative;</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lipsa unei protecţii eficiente a imaginii judecătorilor şi a prestigiului profesional al acestora.</w:t>
      </w:r>
    </w:p>
    <w:p w:rsidR="00EE6420" w:rsidRPr="002152E4" w:rsidRDefault="00EE6420" w:rsidP="00EE6420">
      <w:pPr>
        <w:ind w:firstLine="567"/>
        <w:jc w:val="both"/>
        <w:rPr>
          <w:lang w:val="ro-RO"/>
        </w:rPr>
      </w:pPr>
      <w:r w:rsidRPr="002152E4">
        <w:rPr>
          <w:lang w:val="ro-RO"/>
        </w:rPr>
        <w:t>Totodată, principalele propuneri de îmbunătățire activităţii instanţelor vizează următoarele aspecte:</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măsuri legislative coerente, stabilitatea şi previzibilitatea legislaţiei fiind necesară pentru asigurarea unei practici unitare;</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 xml:space="preserve">alocarea de resurse materiale şi umane corespunzătoare; dimensionarea corectă a schemelor de personal prin redistribuirea posturilor de la instanţele supradimensionate la instanţele care se confruntă cu probleme de personal; desfiinţarea instanţelor cu volum redus de activitate; </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construirea unor sedii noi pentru instanţe şi alocarea unor spaţii corespunzătoare care să permită desfăşurarea activităţii în condiţii optime;</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gestionarea bugetelor instanţelor de către Înalta Curte de Casaţie şi Justiţie sau Consiliul Superior al Magistraturii;</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apărarea eficientă a judecătorilor de orice imixtiune de natură politică sau economică de către Consiliul Superior al Magistraturii şi celelalte instituţii ale statului;</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îmbunătăţirea sistemului ECRIS şi pregătirea celor care îl utilizează prin programe de formare şi testare;</w:t>
      </w:r>
    </w:p>
    <w:p w:rsidR="00EE6420" w:rsidRPr="002152E4" w:rsidRDefault="00EE6420" w:rsidP="00C72B60">
      <w:pPr>
        <w:pStyle w:val="ListParagraph"/>
        <w:numPr>
          <w:ilvl w:val="0"/>
          <w:numId w:val="13"/>
        </w:numPr>
        <w:jc w:val="both"/>
        <w:rPr>
          <w:rFonts w:ascii="Calibri" w:hAnsi="Calibri"/>
          <w:lang w:val="ro-RO"/>
        </w:rPr>
      </w:pPr>
      <w:r w:rsidRPr="002152E4">
        <w:rPr>
          <w:rFonts w:ascii="Calibri" w:hAnsi="Calibri"/>
          <w:lang w:val="ro-RO"/>
        </w:rPr>
        <w:t xml:space="preserve">degrevarea judecătorilor şi grefierilor de atribuţiile care nu implică o activitate judiciară specializată. </w:t>
      </w:r>
    </w:p>
    <w:p w:rsidR="00DF2D99" w:rsidRPr="002152E4" w:rsidRDefault="00DF2D99" w:rsidP="00DF2D99">
      <w:pPr>
        <w:ind w:firstLine="720"/>
        <w:jc w:val="both"/>
        <w:rPr>
          <w:lang w:val="ro-RO"/>
        </w:rPr>
      </w:pPr>
      <w:r w:rsidRPr="002152E4">
        <w:rPr>
          <w:lang w:val="ro-RO"/>
        </w:rPr>
        <w:t>Potrivit datelor comunicate de parchetele de pe lângă curţile de apel principalele vulnerabilităţi identificate, cu care se confruntă sistemul judiciar, sunt în esenţă următoarele: instabilitatea şi incoerenţa legislativă, practica neunitară, schemele reduse de personal atât în ceea ce priveşte numărul de procurori,  cât şi cel al personalului auxiliar de specialitate, fluctuaţia mare a personalului, volumul ridicat de activitate, neocuparea completă a schemelor de personal, specializare insuficientă pe diferite domenii de activitate, eficienţa redusă a poliţiei judiciare, existenţa unei proceduri complexe de evaluare profesională a magistraţilor, intensificarea atacurilor lansate în spaţiul public la adresa magistraţilor, aspect de natură a conduce la scăderea încrederii în sistemul judiciar, resurse materiale şi financiare insuficiente.</w:t>
      </w:r>
    </w:p>
    <w:p w:rsidR="00BA4ADF" w:rsidRDefault="00DF2D99" w:rsidP="00571D29">
      <w:pPr>
        <w:ind w:firstLine="720"/>
        <w:jc w:val="both"/>
        <w:rPr>
          <w:lang w:val="ro-RO"/>
        </w:rPr>
      </w:pPr>
      <w:r w:rsidRPr="002152E4">
        <w:rPr>
          <w:lang w:val="ro-RO"/>
        </w:rPr>
        <w:tab/>
        <w:t>Pentru îmbunătăţirea activităţii au fost formulate propuneri ce constau în necesitatea adoptării unei legislaţii stabile, coerente şi previzibile, drept de iniţiativă legislativă pentru Consiliul Superior al Magistraturii, ocuparea posturilor vacante de procuror şi personal auxiliar de specialitate, majorarea schemelor de personal, asigurarea stabilităţii personalului prin modificări legislative, redistribuirea posturilor în raport de volumul de activitate, eficientizarea formelor de pregătire profesională, subordonarea directă procurorului a poliţiei judiciare, simplificarea procedurii de evaluare profesională a magistraţilor, identificarea unor forme mai eficiente de reacţie a Consiliului Superior al Magistraturii la atacurile cu potenţial de afectare a independenţei justiţiei şi/sau a sistemului judiciar, alocarea de fonduri suplimentare pentru moderniza</w:t>
      </w:r>
      <w:r w:rsidR="00571D29" w:rsidRPr="002152E4">
        <w:rPr>
          <w:lang w:val="ro-RO"/>
        </w:rPr>
        <w:t>rea infrastructurii parchetelor.</w:t>
      </w:r>
    </w:p>
    <w:p w:rsidR="004777EA" w:rsidRPr="002152E4" w:rsidRDefault="004777EA" w:rsidP="00571D29">
      <w:pPr>
        <w:ind w:firstLine="720"/>
        <w:jc w:val="both"/>
        <w:rPr>
          <w:lang w:val="ro-RO"/>
        </w:rPr>
      </w:pPr>
    </w:p>
    <w:p w:rsidR="00BA4ADF" w:rsidRPr="002152E4" w:rsidRDefault="00BA4ADF" w:rsidP="00967C2C">
      <w:pPr>
        <w:rPr>
          <w:lang w:val="ro-RO"/>
        </w:rPr>
      </w:pPr>
    </w:p>
    <w:p w:rsidR="00BA4ADF" w:rsidRPr="002152E4" w:rsidRDefault="00BA4ADF" w:rsidP="00967C2C">
      <w:pPr>
        <w:rPr>
          <w:lang w:val="ro-RO"/>
        </w:rPr>
      </w:pPr>
    </w:p>
    <w:p w:rsidR="007442AA" w:rsidRPr="002152E4" w:rsidRDefault="007442AA" w:rsidP="00967C2C">
      <w:pPr>
        <w:rPr>
          <w:lang w:val="ro-RO"/>
        </w:rPr>
      </w:pPr>
    </w:p>
    <w:p w:rsidR="00613FA7" w:rsidRPr="002152E4" w:rsidRDefault="00613FA7" w:rsidP="00D04B80">
      <w:pPr>
        <w:pStyle w:val="Heading4"/>
      </w:pPr>
      <w:bookmarkStart w:id="195" w:name="_Toc475363438"/>
      <w:r w:rsidRPr="002152E4">
        <w:lastRenderedPageBreak/>
        <w:t>Anexa 1</w:t>
      </w:r>
      <w:bookmarkEnd w:id="166"/>
      <w:bookmarkEnd w:id="167"/>
      <w:bookmarkEnd w:id="195"/>
      <w:r w:rsidRPr="002152E4">
        <w:t xml:space="preserve"> </w:t>
      </w:r>
    </w:p>
    <w:tbl>
      <w:tblPr>
        <w:tblW w:w="9784" w:type="dxa"/>
        <w:jc w:val="center"/>
        <w:tblLook w:val="0000" w:firstRow="0" w:lastRow="0" w:firstColumn="0" w:lastColumn="0" w:noHBand="0" w:noVBand="0"/>
      </w:tblPr>
      <w:tblGrid>
        <w:gridCol w:w="4576"/>
        <w:gridCol w:w="940"/>
        <w:gridCol w:w="1364"/>
        <w:gridCol w:w="1400"/>
        <w:gridCol w:w="1504"/>
      </w:tblGrid>
      <w:tr w:rsidR="00D048EE" w:rsidRPr="00631BB4" w:rsidTr="00D048EE">
        <w:trPr>
          <w:trHeight w:val="176"/>
          <w:jc w:val="center"/>
        </w:trPr>
        <w:tc>
          <w:tcPr>
            <w:tcW w:w="9784" w:type="dxa"/>
            <w:gridSpan w:val="5"/>
            <w:tcBorders>
              <w:top w:val="single" w:sz="4" w:space="0" w:color="auto"/>
              <w:left w:val="single" w:sz="4" w:space="0" w:color="auto"/>
              <w:bottom w:val="single" w:sz="4" w:space="0" w:color="auto"/>
              <w:right w:val="single" w:sz="4" w:space="0" w:color="auto"/>
            </w:tcBorders>
            <w:shd w:val="clear" w:color="auto" w:fill="99CCFF"/>
            <w:vAlign w:val="center"/>
          </w:tcPr>
          <w:p w:rsidR="00D048EE" w:rsidRPr="002152E4" w:rsidRDefault="00D048EE" w:rsidP="008B44C6">
            <w:pPr>
              <w:jc w:val="center"/>
              <w:rPr>
                <w:rFonts w:ascii="Cambria" w:hAnsi="Cambria"/>
                <w:b/>
                <w:bCs/>
                <w:lang w:val="ro-RO"/>
              </w:rPr>
            </w:pPr>
            <w:r w:rsidRPr="002152E4">
              <w:rPr>
                <w:rFonts w:ascii="Cambria" w:hAnsi="Cambria"/>
                <w:b/>
                <w:bCs/>
                <w:lang w:val="ro-RO"/>
              </w:rPr>
              <w:t>Volumul şi încărcătura la Înalta Curte de Casaţie şi Justiţie în anul 2016</w:t>
            </w:r>
          </w:p>
        </w:tc>
      </w:tr>
      <w:tr w:rsidR="00D048EE" w:rsidRPr="002152E4" w:rsidTr="00D048EE">
        <w:trPr>
          <w:trHeight w:val="60"/>
          <w:jc w:val="center"/>
        </w:trPr>
        <w:tc>
          <w:tcPr>
            <w:tcW w:w="4576" w:type="dxa"/>
            <w:vMerge w:val="restart"/>
            <w:tcBorders>
              <w:top w:val="single" w:sz="4" w:space="0" w:color="auto"/>
              <w:left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b/>
                <w:bCs/>
                <w:sz w:val="22"/>
                <w:szCs w:val="22"/>
                <w:lang w:val="ro-RO"/>
              </w:rPr>
            </w:pPr>
          </w:p>
        </w:tc>
        <w:tc>
          <w:tcPr>
            <w:tcW w:w="3704" w:type="dxa"/>
            <w:gridSpan w:val="3"/>
            <w:tcBorders>
              <w:top w:val="single" w:sz="4" w:space="0" w:color="auto"/>
              <w:left w:val="nil"/>
              <w:bottom w:val="single" w:sz="4" w:space="0" w:color="auto"/>
              <w:right w:val="single" w:sz="4" w:space="0" w:color="auto"/>
            </w:tcBorders>
            <w:shd w:val="clear" w:color="auto" w:fill="99CCFF"/>
            <w:vAlign w:val="bottom"/>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Media - cauze pe judecător</w:t>
            </w:r>
          </w:p>
        </w:tc>
        <w:tc>
          <w:tcPr>
            <w:tcW w:w="1504" w:type="dxa"/>
            <w:tcBorders>
              <w:top w:val="single" w:sz="4" w:space="0" w:color="auto"/>
              <w:left w:val="nil"/>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1120</w:t>
            </w:r>
          </w:p>
        </w:tc>
      </w:tr>
      <w:tr w:rsidR="00D048EE" w:rsidRPr="002152E4" w:rsidTr="00D048EE">
        <w:trPr>
          <w:trHeight w:val="60"/>
          <w:jc w:val="center"/>
        </w:trPr>
        <w:tc>
          <w:tcPr>
            <w:tcW w:w="4576" w:type="dxa"/>
            <w:vMerge/>
            <w:tcBorders>
              <w:left w:val="single" w:sz="4" w:space="0" w:color="auto"/>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b/>
                <w:bCs/>
                <w:sz w:val="22"/>
                <w:szCs w:val="22"/>
                <w:lang w:val="ro-RO"/>
              </w:rPr>
            </w:pPr>
          </w:p>
        </w:tc>
        <w:tc>
          <w:tcPr>
            <w:tcW w:w="3704" w:type="dxa"/>
            <w:gridSpan w:val="3"/>
            <w:tcBorders>
              <w:top w:val="single" w:sz="4" w:space="0" w:color="auto"/>
              <w:left w:val="nil"/>
              <w:bottom w:val="single" w:sz="4" w:space="0" w:color="auto"/>
              <w:right w:val="single" w:sz="4" w:space="0" w:color="auto"/>
            </w:tcBorders>
            <w:shd w:val="clear" w:color="auto" w:fill="99CCFF"/>
            <w:vAlign w:val="bottom"/>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Media - cauze pe schemă</w:t>
            </w:r>
          </w:p>
        </w:tc>
        <w:tc>
          <w:tcPr>
            <w:tcW w:w="1504" w:type="dxa"/>
            <w:tcBorders>
              <w:top w:val="single" w:sz="4" w:space="0" w:color="auto"/>
              <w:left w:val="nil"/>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852</w:t>
            </w:r>
          </w:p>
        </w:tc>
      </w:tr>
      <w:tr w:rsidR="00D048EE" w:rsidRPr="002152E4" w:rsidTr="00D048EE">
        <w:trPr>
          <w:trHeight w:val="577"/>
          <w:jc w:val="center"/>
        </w:trPr>
        <w:tc>
          <w:tcPr>
            <w:tcW w:w="4576"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Instanţa</w:t>
            </w:r>
          </w:p>
        </w:tc>
        <w:tc>
          <w:tcPr>
            <w:tcW w:w="94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Volum</w:t>
            </w:r>
          </w:p>
        </w:tc>
        <w:tc>
          <w:tcPr>
            <w:tcW w:w="1364"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Cauze soluţionate</w:t>
            </w:r>
          </w:p>
        </w:tc>
        <w:tc>
          <w:tcPr>
            <w:tcW w:w="140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Încărcătura pe schemă</w:t>
            </w:r>
          </w:p>
        </w:tc>
        <w:tc>
          <w:tcPr>
            <w:tcW w:w="1504"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Încărcătura pe judecător</w:t>
            </w:r>
          </w:p>
        </w:tc>
      </w:tr>
      <w:tr w:rsidR="00D048EE" w:rsidRPr="002152E4" w:rsidTr="00D048EE">
        <w:trPr>
          <w:trHeight w:val="345"/>
          <w:jc w:val="center"/>
        </w:trPr>
        <w:tc>
          <w:tcPr>
            <w:tcW w:w="4576"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both"/>
              <w:rPr>
                <w:rFonts w:ascii="Cambria" w:hAnsi="Cambria"/>
                <w:bCs/>
                <w:sz w:val="22"/>
                <w:szCs w:val="22"/>
                <w:lang w:val="ro-RO"/>
              </w:rPr>
            </w:pPr>
            <w:r w:rsidRPr="002152E4">
              <w:rPr>
                <w:rFonts w:ascii="Cambria" w:hAnsi="Cambria"/>
                <w:bCs/>
                <w:sz w:val="22"/>
                <w:szCs w:val="22"/>
                <w:lang w:val="ro-RO"/>
              </w:rPr>
              <w:t>Înalta Curte de Casaţie şi Justiţie</w:t>
            </w:r>
          </w:p>
        </w:tc>
        <w:tc>
          <w:tcPr>
            <w:tcW w:w="940" w:type="dxa"/>
            <w:tcBorders>
              <w:top w:val="nil"/>
              <w:left w:val="nil"/>
              <w:bottom w:val="single" w:sz="4" w:space="0" w:color="auto"/>
              <w:right w:val="single" w:sz="4" w:space="0" w:color="auto"/>
            </w:tcBorders>
            <w:shd w:val="clear" w:color="auto" w:fill="auto"/>
            <w:noWrap/>
            <w:vAlign w:val="center"/>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34443</w:t>
            </w:r>
          </w:p>
        </w:tc>
        <w:tc>
          <w:tcPr>
            <w:tcW w:w="1364" w:type="dxa"/>
            <w:tcBorders>
              <w:top w:val="nil"/>
              <w:left w:val="nil"/>
              <w:bottom w:val="single" w:sz="4" w:space="0" w:color="auto"/>
              <w:right w:val="single" w:sz="4" w:space="0" w:color="auto"/>
            </w:tcBorders>
            <w:shd w:val="clear" w:color="auto" w:fill="auto"/>
            <w:noWrap/>
            <w:vAlign w:val="center"/>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19264</w:t>
            </w:r>
          </w:p>
        </w:tc>
        <w:tc>
          <w:tcPr>
            <w:tcW w:w="1400" w:type="dxa"/>
            <w:tcBorders>
              <w:top w:val="nil"/>
              <w:left w:val="nil"/>
              <w:bottom w:val="single" w:sz="4" w:space="0" w:color="auto"/>
              <w:right w:val="single" w:sz="4" w:space="0" w:color="auto"/>
            </w:tcBorders>
            <w:shd w:val="clear" w:color="auto" w:fill="auto"/>
            <w:noWrap/>
            <w:vAlign w:val="center"/>
          </w:tcPr>
          <w:p w:rsidR="00D048EE" w:rsidRPr="002152E4" w:rsidRDefault="00D048EE" w:rsidP="00D048EE">
            <w:pPr>
              <w:jc w:val="center"/>
              <w:rPr>
                <w:rFonts w:ascii="Cambria" w:hAnsi="Cambria"/>
                <w:b/>
                <w:sz w:val="22"/>
                <w:szCs w:val="22"/>
                <w:lang w:val="ro-RO"/>
              </w:rPr>
            </w:pPr>
            <w:r w:rsidRPr="002152E4">
              <w:rPr>
                <w:rFonts w:ascii="Cambria" w:hAnsi="Cambria"/>
                <w:b/>
                <w:sz w:val="22"/>
                <w:szCs w:val="22"/>
                <w:lang w:val="ro-RO"/>
              </w:rPr>
              <w:t>852</w:t>
            </w:r>
          </w:p>
        </w:tc>
        <w:tc>
          <w:tcPr>
            <w:tcW w:w="1504" w:type="dxa"/>
            <w:tcBorders>
              <w:top w:val="nil"/>
              <w:left w:val="nil"/>
              <w:bottom w:val="single" w:sz="4" w:space="0" w:color="auto"/>
              <w:right w:val="single" w:sz="4" w:space="0" w:color="auto"/>
            </w:tcBorders>
            <w:shd w:val="clear" w:color="auto" w:fill="auto"/>
            <w:noWrap/>
            <w:vAlign w:val="center"/>
          </w:tcPr>
          <w:p w:rsidR="00D048EE" w:rsidRPr="002152E4" w:rsidRDefault="00D048EE" w:rsidP="00D048EE">
            <w:pPr>
              <w:jc w:val="center"/>
              <w:rPr>
                <w:rFonts w:ascii="Cambria" w:hAnsi="Cambria"/>
                <w:b/>
                <w:sz w:val="22"/>
                <w:szCs w:val="22"/>
                <w:lang w:val="ro-RO"/>
              </w:rPr>
            </w:pPr>
            <w:r w:rsidRPr="002152E4">
              <w:rPr>
                <w:rFonts w:ascii="Cambria" w:hAnsi="Cambria"/>
                <w:b/>
                <w:sz w:val="22"/>
                <w:szCs w:val="22"/>
                <w:lang w:val="ro-RO"/>
              </w:rPr>
              <w:t>1120</w:t>
            </w:r>
          </w:p>
        </w:tc>
      </w:tr>
    </w:tbl>
    <w:p w:rsidR="00D048EE" w:rsidRPr="002152E4" w:rsidRDefault="00D048EE" w:rsidP="00D048EE">
      <w:pPr>
        <w:rPr>
          <w:lang w:val="ro-RO"/>
        </w:rPr>
      </w:pPr>
    </w:p>
    <w:tbl>
      <w:tblPr>
        <w:tblW w:w="10128" w:type="dxa"/>
        <w:jc w:val="center"/>
        <w:tblLook w:val="0000" w:firstRow="0" w:lastRow="0" w:firstColumn="0" w:lastColumn="0" w:noHBand="0" w:noVBand="0"/>
      </w:tblPr>
      <w:tblGrid>
        <w:gridCol w:w="1023"/>
        <w:gridCol w:w="3675"/>
        <w:gridCol w:w="1069"/>
        <w:gridCol w:w="1364"/>
        <w:gridCol w:w="1400"/>
        <w:gridCol w:w="1597"/>
      </w:tblGrid>
      <w:tr w:rsidR="00D048EE" w:rsidRPr="00631BB4" w:rsidTr="00D048EE">
        <w:trPr>
          <w:trHeight w:val="197"/>
          <w:jc w:val="center"/>
        </w:trPr>
        <w:tc>
          <w:tcPr>
            <w:tcW w:w="10128" w:type="dxa"/>
            <w:gridSpan w:val="6"/>
            <w:tcBorders>
              <w:top w:val="single" w:sz="4" w:space="0" w:color="auto"/>
              <w:left w:val="single" w:sz="4" w:space="0" w:color="auto"/>
              <w:bottom w:val="single" w:sz="4" w:space="0" w:color="auto"/>
              <w:right w:val="single" w:sz="4" w:space="0" w:color="auto"/>
            </w:tcBorders>
            <w:shd w:val="clear" w:color="auto" w:fill="99CCFF"/>
            <w:vAlign w:val="center"/>
          </w:tcPr>
          <w:p w:rsidR="00D048EE" w:rsidRPr="002152E4" w:rsidRDefault="00D048EE" w:rsidP="008B44C6">
            <w:pPr>
              <w:jc w:val="center"/>
              <w:rPr>
                <w:rFonts w:ascii="Cambria" w:hAnsi="Cambria" w:cs="Arial"/>
                <w:b/>
                <w:bCs/>
                <w:sz w:val="22"/>
                <w:szCs w:val="22"/>
                <w:lang w:val="ro-RO" w:eastAsia="ro-RO"/>
              </w:rPr>
            </w:pPr>
            <w:r w:rsidRPr="002152E4">
              <w:rPr>
                <w:rFonts w:ascii="Cambria" w:hAnsi="Cambria"/>
                <w:b/>
                <w:bCs/>
                <w:lang w:val="ro-RO"/>
              </w:rPr>
              <w:t>Volumul şi încărcătura la curţile de apel în anul 2016</w:t>
            </w:r>
          </w:p>
        </w:tc>
      </w:tr>
      <w:tr w:rsidR="00D048EE" w:rsidRPr="002152E4" w:rsidTr="00D048EE">
        <w:trPr>
          <w:trHeight w:val="197"/>
          <w:jc w:val="center"/>
        </w:trPr>
        <w:tc>
          <w:tcPr>
            <w:tcW w:w="4698" w:type="dxa"/>
            <w:gridSpan w:val="2"/>
            <w:vMerge w:val="restart"/>
            <w:tcBorders>
              <w:top w:val="nil"/>
              <w:left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cs="Arial"/>
                <w:b/>
                <w:bCs/>
                <w:sz w:val="22"/>
                <w:szCs w:val="22"/>
                <w:lang w:val="ro-RO" w:eastAsia="ro-RO"/>
              </w:rPr>
            </w:pPr>
          </w:p>
        </w:tc>
        <w:tc>
          <w:tcPr>
            <w:tcW w:w="3833" w:type="dxa"/>
            <w:gridSpan w:val="3"/>
            <w:tcBorders>
              <w:top w:val="nil"/>
              <w:left w:val="nil"/>
              <w:bottom w:val="single" w:sz="4" w:space="0" w:color="auto"/>
              <w:right w:val="single" w:sz="4" w:space="0" w:color="auto"/>
            </w:tcBorders>
            <w:shd w:val="clear" w:color="auto" w:fill="99CCFF"/>
            <w:vAlign w:val="bottom"/>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Media - cauze pe judecător</w:t>
            </w:r>
          </w:p>
        </w:tc>
        <w:tc>
          <w:tcPr>
            <w:tcW w:w="1597" w:type="dxa"/>
            <w:tcBorders>
              <w:top w:val="nil"/>
              <w:left w:val="nil"/>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563</w:t>
            </w:r>
          </w:p>
        </w:tc>
      </w:tr>
      <w:tr w:rsidR="00D048EE" w:rsidRPr="002152E4" w:rsidTr="00D048EE">
        <w:trPr>
          <w:trHeight w:val="60"/>
          <w:jc w:val="center"/>
        </w:trPr>
        <w:tc>
          <w:tcPr>
            <w:tcW w:w="4698" w:type="dxa"/>
            <w:gridSpan w:val="2"/>
            <w:vMerge/>
            <w:tcBorders>
              <w:left w:val="single" w:sz="4" w:space="0" w:color="auto"/>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cs="Arial"/>
                <w:b/>
                <w:bCs/>
                <w:sz w:val="22"/>
                <w:szCs w:val="22"/>
                <w:lang w:val="ro-RO" w:eastAsia="ro-RO"/>
              </w:rPr>
            </w:pPr>
          </w:p>
        </w:tc>
        <w:tc>
          <w:tcPr>
            <w:tcW w:w="3833" w:type="dxa"/>
            <w:gridSpan w:val="3"/>
            <w:tcBorders>
              <w:top w:val="nil"/>
              <w:left w:val="nil"/>
              <w:bottom w:val="single" w:sz="4" w:space="0" w:color="auto"/>
              <w:right w:val="single" w:sz="4" w:space="0" w:color="auto"/>
            </w:tcBorders>
            <w:shd w:val="clear" w:color="auto" w:fill="99CCFF"/>
            <w:vAlign w:val="bottom"/>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Media - cauze pe schemă</w:t>
            </w:r>
          </w:p>
        </w:tc>
        <w:tc>
          <w:tcPr>
            <w:tcW w:w="1597" w:type="dxa"/>
            <w:tcBorders>
              <w:top w:val="nil"/>
              <w:left w:val="nil"/>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465</w:t>
            </w:r>
          </w:p>
        </w:tc>
      </w:tr>
      <w:tr w:rsidR="00D048EE" w:rsidRPr="002152E4" w:rsidTr="00D048EE">
        <w:trPr>
          <w:trHeight w:val="855"/>
          <w:jc w:val="center"/>
        </w:trPr>
        <w:tc>
          <w:tcPr>
            <w:tcW w:w="966"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ORDINE</w:t>
            </w:r>
          </w:p>
        </w:tc>
        <w:tc>
          <w:tcPr>
            <w:tcW w:w="373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DENUMIRE CURTE DE APEL</w:t>
            </w:r>
          </w:p>
        </w:tc>
        <w:tc>
          <w:tcPr>
            <w:tcW w:w="1069"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Volum</w:t>
            </w:r>
          </w:p>
        </w:tc>
        <w:tc>
          <w:tcPr>
            <w:tcW w:w="1364"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Cauze soluţionate</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Încărcătura pe schemă</w:t>
            </w:r>
          </w:p>
        </w:tc>
        <w:tc>
          <w:tcPr>
            <w:tcW w:w="159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Încărcătura pe judecător</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ALBA IULIA</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10271</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7942</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460</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536</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BACAU</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9155</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6714</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534</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684</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BRASOV</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7461</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5723</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380</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445</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BUCURESTI</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57483</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38137</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535</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635</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CLUJ</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13556</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11357</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474</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583</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CONSTANTA</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9009</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6408</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453</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558</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CRAIOVA</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19098</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15846</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405</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454</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GALATI</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9420</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7075</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427</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511</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IASI</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8419</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6502</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394</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510</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ORADEA</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8976</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6965</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538</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684</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PITESTI</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11269</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8716</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554</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789</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PLOIESTI</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11572</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9182</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421</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529</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SUCEAVA</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7946</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6399</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368</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433</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TARGU MURES</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5190</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4123</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331</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401</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w:t>
            </w:r>
          </w:p>
        </w:tc>
        <w:tc>
          <w:tcPr>
            <w:tcW w:w="3732"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de Apel TIMISOARA</w:t>
            </w:r>
          </w:p>
        </w:tc>
        <w:tc>
          <w:tcPr>
            <w:tcW w:w="1069" w:type="dxa"/>
            <w:tcBorders>
              <w:top w:val="nil"/>
              <w:left w:val="nil"/>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14973</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13091</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551</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673</w:t>
            </w:r>
          </w:p>
        </w:tc>
      </w:tr>
      <w:tr w:rsidR="00D048EE" w:rsidRPr="002152E4" w:rsidTr="00D048EE">
        <w:trPr>
          <w:trHeight w:val="285"/>
          <w:jc w:val="center"/>
        </w:trPr>
        <w:tc>
          <w:tcPr>
            <w:tcW w:w="966"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w:t>
            </w:r>
          </w:p>
        </w:tc>
        <w:tc>
          <w:tcPr>
            <w:tcW w:w="3732" w:type="dxa"/>
            <w:tcBorders>
              <w:top w:val="nil"/>
              <w:left w:val="nil"/>
              <w:bottom w:val="nil"/>
              <w:right w:val="single" w:sz="4" w:space="0" w:color="000000"/>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Curtea Militara de Apel BUCURESTI</w:t>
            </w:r>
          </w:p>
        </w:tc>
        <w:tc>
          <w:tcPr>
            <w:tcW w:w="1069" w:type="dxa"/>
            <w:tcBorders>
              <w:top w:val="nil"/>
              <w:left w:val="nil"/>
              <w:bottom w:val="nil"/>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171</w:t>
            </w:r>
          </w:p>
        </w:tc>
        <w:tc>
          <w:tcPr>
            <w:tcW w:w="1364"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135</w:t>
            </w:r>
          </w:p>
        </w:tc>
        <w:tc>
          <w:tcPr>
            <w:tcW w:w="1400" w:type="dxa"/>
            <w:tcBorders>
              <w:top w:val="nil"/>
              <w:left w:val="single" w:sz="4" w:space="0" w:color="000000"/>
              <w:bottom w:val="single" w:sz="4" w:space="0" w:color="000000"/>
              <w:right w:val="single" w:sz="4" w:space="0" w:color="000000"/>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39</w:t>
            </w:r>
          </w:p>
        </w:tc>
        <w:tc>
          <w:tcPr>
            <w:tcW w:w="1597" w:type="dxa"/>
            <w:tcBorders>
              <w:top w:val="nil"/>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46</w:t>
            </w:r>
          </w:p>
        </w:tc>
      </w:tr>
      <w:tr w:rsidR="00D048EE" w:rsidRPr="002152E4" w:rsidTr="00D048EE">
        <w:trPr>
          <w:trHeight w:val="315"/>
          <w:jc w:val="center"/>
        </w:trPr>
        <w:tc>
          <w:tcPr>
            <w:tcW w:w="966" w:type="dxa"/>
            <w:tcBorders>
              <w:top w:val="nil"/>
              <w:left w:val="nil"/>
              <w:bottom w:val="nil"/>
              <w:right w:val="nil"/>
            </w:tcBorders>
            <w:shd w:val="clear" w:color="auto" w:fill="auto"/>
            <w:noWrap/>
            <w:vAlign w:val="bottom"/>
          </w:tcPr>
          <w:p w:rsidR="00D048EE" w:rsidRPr="002152E4" w:rsidRDefault="00D048EE" w:rsidP="00D048EE">
            <w:pPr>
              <w:jc w:val="center"/>
              <w:rPr>
                <w:rFonts w:ascii="Cambria" w:hAnsi="Cambria" w:cs="Arial"/>
                <w:b/>
                <w:bCs/>
                <w:lang w:val="ro-RO" w:eastAsia="ro-RO"/>
              </w:rPr>
            </w:pPr>
          </w:p>
        </w:tc>
        <w:tc>
          <w:tcPr>
            <w:tcW w:w="3732" w:type="dxa"/>
            <w:tcBorders>
              <w:top w:val="single" w:sz="4" w:space="0" w:color="auto"/>
              <w:left w:val="single" w:sz="4" w:space="0" w:color="auto"/>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Total</w:t>
            </w:r>
          </w:p>
        </w:tc>
        <w:tc>
          <w:tcPr>
            <w:tcW w:w="1069" w:type="dxa"/>
            <w:tcBorders>
              <w:top w:val="single" w:sz="4" w:space="0" w:color="auto"/>
              <w:left w:val="nil"/>
              <w:bottom w:val="single" w:sz="4" w:space="0" w:color="auto"/>
              <w:right w:val="single" w:sz="4" w:space="0" w:color="auto"/>
            </w:tcBorders>
            <w:shd w:val="clear" w:color="auto" w:fill="99CCFF"/>
            <w:noWrap/>
            <w:vAlign w:val="bottom"/>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203969</w:t>
            </w:r>
          </w:p>
        </w:tc>
        <w:tc>
          <w:tcPr>
            <w:tcW w:w="1364" w:type="dxa"/>
            <w:tcBorders>
              <w:top w:val="nil"/>
              <w:left w:val="single" w:sz="4" w:space="0" w:color="auto"/>
              <w:bottom w:val="single" w:sz="4" w:space="0" w:color="auto"/>
              <w:right w:val="single" w:sz="4" w:space="0" w:color="auto"/>
            </w:tcBorders>
            <w:shd w:val="clear" w:color="auto" w:fill="99CCFF"/>
            <w:noWrap/>
            <w:vAlign w:val="bottom"/>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154315</w:t>
            </w:r>
          </w:p>
        </w:tc>
        <w:tc>
          <w:tcPr>
            <w:tcW w:w="1400" w:type="dxa"/>
            <w:tcBorders>
              <w:top w:val="nil"/>
              <w:left w:val="single" w:sz="4" w:space="0" w:color="000000"/>
              <w:bottom w:val="single" w:sz="4" w:space="0" w:color="000000"/>
              <w:right w:val="single" w:sz="4" w:space="0" w:color="000000"/>
            </w:tcBorders>
            <w:shd w:val="clear" w:color="auto" w:fill="99CCFF"/>
            <w:vAlign w:val="center"/>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465</w:t>
            </w:r>
          </w:p>
        </w:tc>
        <w:tc>
          <w:tcPr>
            <w:tcW w:w="1597" w:type="dxa"/>
            <w:tcBorders>
              <w:top w:val="nil"/>
              <w:left w:val="single" w:sz="4" w:space="0" w:color="auto"/>
              <w:bottom w:val="single" w:sz="4" w:space="0" w:color="auto"/>
              <w:right w:val="single" w:sz="4" w:space="0" w:color="auto"/>
            </w:tcBorders>
            <w:shd w:val="clear" w:color="auto" w:fill="99CCFF"/>
            <w:noWrap/>
            <w:vAlign w:val="bottom"/>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563</w:t>
            </w:r>
          </w:p>
        </w:tc>
      </w:tr>
    </w:tbl>
    <w:p w:rsidR="00D048EE" w:rsidRPr="002152E4" w:rsidRDefault="00D048EE" w:rsidP="00D048EE">
      <w:pPr>
        <w:shd w:val="clear" w:color="auto" w:fill="FFFFFF"/>
        <w:spacing w:line="360" w:lineRule="auto"/>
        <w:jc w:val="both"/>
        <w:rPr>
          <w:lang w:val="ro-RO"/>
        </w:rPr>
      </w:pPr>
    </w:p>
    <w:tbl>
      <w:tblPr>
        <w:tblW w:w="10082" w:type="dxa"/>
        <w:jc w:val="center"/>
        <w:tblLook w:val="0000" w:firstRow="0" w:lastRow="0" w:firstColumn="0" w:lastColumn="0" w:noHBand="0" w:noVBand="0"/>
      </w:tblPr>
      <w:tblGrid>
        <w:gridCol w:w="1023"/>
        <w:gridCol w:w="3717"/>
        <w:gridCol w:w="1080"/>
        <w:gridCol w:w="1364"/>
        <w:gridCol w:w="1400"/>
        <w:gridCol w:w="1498"/>
      </w:tblGrid>
      <w:tr w:rsidR="00D048EE" w:rsidRPr="00631BB4" w:rsidTr="00D048EE">
        <w:trPr>
          <w:trHeight w:val="360"/>
          <w:jc w:val="center"/>
        </w:trPr>
        <w:tc>
          <w:tcPr>
            <w:tcW w:w="10082" w:type="dxa"/>
            <w:gridSpan w:val="6"/>
            <w:tcBorders>
              <w:top w:val="single" w:sz="4" w:space="0" w:color="auto"/>
              <w:left w:val="single" w:sz="4" w:space="0" w:color="auto"/>
              <w:bottom w:val="single" w:sz="4" w:space="0" w:color="auto"/>
              <w:right w:val="single" w:sz="4" w:space="0" w:color="auto"/>
            </w:tcBorders>
            <w:shd w:val="clear" w:color="auto" w:fill="99CCFF"/>
            <w:noWrap/>
            <w:vAlign w:val="bottom"/>
          </w:tcPr>
          <w:p w:rsidR="00D048EE" w:rsidRPr="002152E4" w:rsidRDefault="00D048EE" w:rsidP="008B44C6">
            <w:pPr>
              <w:jc w:val="center"/>
              <w:rPr>
                <w:rFonts w:ascii="Cambria" w:hAnsi="Cambria" w:cs="Arial"/>
                <w:b/>
                <w:bCs/>
                <w:sz w:val="28"/>
                <w:szCs w:val="28"/>
                <w:lang w:val="ro-RO" w:eastAsia="ro-RO"/>
              </w:rPr>
            </w:pPr>
            <w:r w:rsidRPr="002152E4">
              <w:rPr>
                <w:rFonts w:ascii="Cambria" w:hAnsi="Cambria"/>
                <w:b/>
                <w:bCs/>
                <w:lang w:val="ro-RO"/>
              </w:rPr>
              <w:t>Volumul şi încărcătura la tribunale în anul 2016</w:t>
            </w:r>
          </w:p>
        </w:tc>
      </w:tr>
      <w:tr w:rsidR="00D048EE" w:rsidRPr="002152E4" w:rsidTr="00D048EE">
        <w:trPr>
          <w:trHeight w:val="255"/>
          <w:jc w:val="center"/>
        </w:trPr>
        <w:tc>
          <w:tcPr>
            <w:tcW w:w="4740" w:type="dxa"/>
            <w:gridSpan w:val="2"/>
            <w:vMerge w:val="restart"/>
            <w:tcBorders>
              <w:top w:val="single" w:sz="4" w:space="0" w:color="auto"/>
              <w:left w:val="single" w:sz="4" w:space="0" w:color="auto"/>
              <w:bottom w:val="single" w:sz="4" w:space="0" w:color="auto"/>
              <w:right w:val="single" w:sz="4" w:space="0" w:color="auto"/>
            </w:tcBorders>
            <w:shd w:val="clear" w:color="auto" w:fill="99CCFF"/>
            <w:noWrap/>
            <w:vAlign w:val="bottom"/>
          </w:tcPr>
          <w:p w:rsidR="00D048EE" w:rsidRPr="002152E4" w:rsidRDefault="00D048EE" w:rsidP="00D048EE">
            <w:pPr>
              <w:rPr>
                <w:rFonts w:ascii="Arial" w:hAnsi="Arial" w:cs="Arial"/>
                <w:sz w:val="20"/>
                <w:szCs w:val="20"/>
                <w:lang w:val="ro-RO" w:eastAsia="ro-RO"/>
              </w:rPr>
            </w:pPr>
          </w:p>
        </w:tc>
        <w:tc>
          <w:tcPr>
            <w:tcW w:w="3844" w:type="dxa"/>
            <w:gridSpan w:val="3"/>
            <w:tcBorders>
              <w:top w:val="single" w:sz="4" w:space="0" w:color="auto"/>
              <w:left w:val="single" w:sz="4" w:space="0" w:color="auto"/>
              <w:bottom w:val="single" w:sz="4" w:space="0" w:color="auto"/>
              <w:right w:val="single" w:sz="4" w:space="0" w:color="auto"/>
            </w:tcBorders>
            <w:shd w:val="clear" w:color="auto" w:fill="99CCFF"/>
            <w:noWrap/>
            <w:vAlign w:val="bottom"/>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Media - cauze pe judecător</w:t>
            </w:r>
          </w:p>
        </w:tc>
        <w:tc>
          <w:tcPr>
            <w:tcW w:w="1498" w:type="dxa"/>
            <w:tcBorders>
              <w:top w:val="single" w:sz="4" w:space="0" w:color="auto"/>
              <w:left w:val="single" w:sz="4" w:space="0" w:color="auto"/>
              <w:bottom w:val="single" w:sz="4" w:space="0" w:color="auto"/>
              <w:right w:val="single" w:sz="4" w:space="0" w:color="auto"/>
            </w:tcBorders>
            <w:shd w:val="clear" w:color="auto" w:fill="99CCFF"/>
            <w:noWrap/>
            <w:vAlign w:val="bottom"/>
          </w:tcPr>
          <w:p w:rsidR="00D048EE" w:rsidRPr="002152E4" w:rsidRDefault="00D048EE" w:rsidP="00D048EE">
            <w:pPr>
              <w:jc w:val="center"/>
              <w:rPr>
                <w:rFonts w:ascii="Arial" w:hAnsi="Arial" w:cs="Arial"/>
                <w:b/>
                <w:sz w:val="22"/>
                <w:szCs w:val="22"/>
                <w:lang w:val="ro-RO" w:eastAsia="ro-RO"/>
              </w:rPr>
            </w:pPr>
            <w:r w:rsidRPr="002152E4">
              <w:rPr>
                <w:rFonts w:ascii="Arial" w:hAnsi="Arial" w:cs="Arial"/>
                <w:b/>
                <w:sz w:val="22"/>
                <w:szCs w:val="22"/>
                <w:lang w:val="ro-RO" w:eastAsia="ro-RO"/>
              </w:rPr>
              <w:t>724</w:t>
            </w:r>
          </w:p>
        </w:tc>
      </w:tr>
      <w:tr w:rsidR="00D048EE" w:rsidRPr="002152E4" w:rsidTr="00D048EE">
        <w:trPr>
          <w:trHeight w:val="255"/>
          <w:jc w:val="center"/>
        </w:trPr>
        <w:tc>
          <w:tcPr>
            <w:tcW w:w="4740" w:type="dxa"/>
            <w:gridSpan w:val="2"/>
            <w:vMerge/>
            <w:tcBorders>
              <w:left w:val="single" w:sz="4" w:space="0" w:color="auto"/>
              <w:bottom w:val="single" w:sz="4" w:space="0" w:color="auto"/>
              <w:right w:val="single" w:sz="4" w:space="0" w:color="auto"/>
            </w:tcBorders>
            <w:shd w:val="clear" w:color="auto" w:fill="99CCFF"/>
            <w:noWrap/>
            <w:vAlign w:val="bottom"/>
          </w:tcPr>
          <w:p w:rsidR="00D048EE" w:rsidRPr="002152E4" w:rsidRDefault="00D048EE" w:rsidP="00D048EE">
            <w:pPr>
              <w:rPr>
                <w:rFonts w:ascii="Arial" w:hAnsi="Arial" w:cs="Arial"/>
                <w:sz w:val="20"/>
                <w:szCs w:val="20"/>
                <w:lang w:val="ro-RO" w:eastAsia="ro-RO"/>
              </w:rPr>
            </w:pPr>
          </w:p>
        </w:tc>
        <w:tc>
          <w:tcPr>
            <w:tcW w:w="3844" w:type="dxa"/>
            <w:gridSpan w:val="3"/>
            <w:tcBorders>
              <w:top w:val="single" w:sz="4" w:space="0" w:color="auto"/>
              <w:left w:val="single" w:sz="4" w:space="0" w:color="auto"/>
              <w:bottom w:val="single" w:sz="4" w:space="0" w:color="auto"/>
              <w:right w:val="single" w:sz="4" w:space="0" w:color="auto"/>
            </w:tcBorders>
            <w:shd w:val="clear" w:color="auto" w:fill="99CCFF"/>
            <w:noWrap/>
            <w:vAlign w:val="bottom"/>
          </w:tcPr>
          <w:p w:rsidR="00D048EE" w:rsidRPr="002152E4" w:rsidRDefault="00D048EE" w:rsidP="00D048EE">
            <w:pPr>
              <w:jc w:val="center"/>
              <w:rPr>
                <w:rFonts w:ascii="Cambria" w:hAnsi="Cambria"/>
                <w:b/>
                <w:bCs/>
                <w:sz w:val="22"/>
                <w:szCs w:val="22"/>
                <w:lang w:val="ro-RO"/>
              </w:rPr>
            </w:pPr>
            <w:r w:rsidRPr="002152E4">
              <w:rPr>
                <w:rFonts w:ascii="Cambria" w:hAnsi="Cambria"/>
                <w:b/>
                <w:bCs/>
                <w:sz w:val="22"/>
                <w:szCs w:val="22"/>
                <w:lang w:val="ro-RO"/>
              </w:rPr>
              <w:t>Media - cauze pe schemă</w:t>
            </w:r>
          </w:p>
        </w:tc>
        <w:tc>
          <w:tcPr>
            <w:tcW w:w="1498" w:type="dxa"/>
            <w:tcBorders>
              <w:top w:val="single" w:sz="4" w:space="0" w:color="auto"/>
              <w:left w:val="single" w:sz="4" w:space="0" w:color="auto"/>
              <w:bottom w:val="single" w:sz="4" w:space="0" w:color="auto"/>
              <w:right w:val="single" w:sz="4" w:space="0" w:color="auto"/>
            </w:tcBorders>
            <w:shd w:val="clear" w:color="auto" w:fill="99CCFF"/>
            <w:noWrap/>
            <w:vAlign w:val="bottom"/>
          </w:tcPr>
          <w:p w:rsidR="00D048EE" w:rsidRPr="002152E4" w:rsidRDefault="00D048EE" w:rsidP="00D048EE">
            <w:pPr>
              <w:jc w:val="center"/>
              <w:rPr>
                <w:rFonts w:ascii="Arial" w:hAnsi="Arial" w:cs="Arial"/>
                <w:b/>
                <w:sz w:val="22"/>
                <w:szCs w:val="22"/>
                <w:lang w:val="ro-RO" w:eastAsia="ro-RO"/>
              </w:rPr>
            </w:pPr>
            <w:r w:rsidRPr="002152E4">
              <w:rPr>
                <w:rFonts w:ascii="Arial" w:hAnsi="Arial" w:cs="Arial"/>
                <w:b/>
                <w:sz w:val="22"/>
                <w:szCs w:val="22"/>
                <w:lang w:val="ro-RO" w:eastAsia="ro-RO"/>
              </w:rPr>
              <w:t>600</w:t>
            </w:r>
          </w:p>
        </w:tc>
      </w:tr>
      <w:tr w:rsidR="00D048EE" w:rsidRPr="002152E4" w:rsidTr="00D048EE">
        <w:trPr>
          <w:trHeight w:val="79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ORDINE</w:t>
            </w:r>
          </w:p>
        </w:tc>
        <w:tc>
          <w:tcPr>
            <w:tcW w:w="3717"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DENUMIRE TRIBUNAL</w:t>
            </w:r>
          </w:p>
        </w:tc>
        <w:tc>
          <w:tcPr>
            <w:tcW w:w="108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Volum</w:t>
            </w:r>
          </w:p>
        </w:tc>
        <w:tc>
          <w:tcPr>
            <w:tcW w:w="1364"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Cauze soluţionate</w:t>
            </w:r>
          </w:p>
        </w:tc>
        <w:tc>
          <w:tcPr>
            <w:tcW w:w="140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Încărcătura pe schemă</w:t>
            </w:r>
          </w:p>
        </w:tc>
        <w:tc>
          <w:tcPr>
            <w:tcW w:w="1498"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Încărcătura pe judecător</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ALBA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13860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9297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605</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680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ARAD</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14609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12678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540</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598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ARGES</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19152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12723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716</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BACAU</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17952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11033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664</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BIHOR</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22094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14561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710</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1005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BISTRITA NASSUD</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7325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4783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451</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522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BOTOSANI</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11545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8010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588</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707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BRAILA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9229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6561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551</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BRASOV</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20454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12120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672</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730</w:t>
            </w:r>
          </w:p>
        </w:tc>
      </w:tr>
      <w:tr w:rsidR="00D048EE" w:rsidRPr="002152E4" w:rsidTr="00D048E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w:t>
            </w:r>
          </w:p>
        </w:tc>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BUCURESTI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144462</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88930</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774</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978</w:t>
            </w:r>
          </w:p>
        </w:tc>
      </w:tr>
      <w:tr w:rsidR="00D048EE" w:rsidRPr="002152E4" w:rsidTr="00D048E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w:t>
            </w:r>
          </w:p>
        </w:tc>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BUZAU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10830</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7508</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501</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654</w:t>
            </w:r>
          </w:p>
        </w:tc>
      </w:tr>
      <w:tr w:rsidR="00D048EE" w:rsidRPr="002152E4" w:rsidTr="00D048E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lastRenderedPageBreak/>
              <w:t>12</w:t>
            </w:r>
          </w:p>
        </w:tc>
        <w:tc>
          <w:tcPr>
            <w:tcW w:w="3717"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CALARASI</w:t>
            </w:r>
          </w:p>
        </w:tc>
        <w:tc>
          <w:tcPr>
            <w:tcW w:w="108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5066</w:t>
            </w:r>
          </w:p>
        </w:tc>
        <w:tc>
          <w:tcPr>
            <w:tcW w:w="1364"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3989</w:t>
            </w:r>
          </w:p>
        </w:tc>
        <w:tc>
          <w:tcPr>
            <w:tcW w:w="140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368</w:t>
            </w:r>
          </w:p>
        </w:tc>
        <w:tc>
          <w:tcPr>
            <w:tcW w:w="1498"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409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CARAS SEVERIN</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12248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7520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630</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CLUJ</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17977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12245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635</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758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Comercial ARGES</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3072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1901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496</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Comercial CLUJ</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6256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3662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724</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Comercial MURES</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4547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2320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610</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CONSTANTA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28176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18388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643</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759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19</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COVASNA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4429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3117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397</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20</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DAMBOVITA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14277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10532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546</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599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21</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DOLJ</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30098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20364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547</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600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GALATI</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17117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10794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611</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712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GIURGIU</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10524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5931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723</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1120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GORJ</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17803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12521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486</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590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25</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HARGHITA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5557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3523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444</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HUNEDOARA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14660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10183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574</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683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27</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IALOMITA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5682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4464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421</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483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28</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IASI</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27573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17756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646</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720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ILFOV</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17233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8311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840</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1509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30</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MARAMURES</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11023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7130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504</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577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MEHEDINTI</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11927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9096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385</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427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32</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Militar CLUJ-NAPOCA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33</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Militar IASI</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46</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w:t>
            </w:r>
          </w:p>
        </w:tc>
      </w:tr>
      <w:tr w:rsidR="00D048EE" w:rsidRPr="002152E4" w:rsidTr="00D048EE">
        <w:trPr>
          <w:trHeight w:val="28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34</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Militar Teritorial BUCURESTI</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259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35</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Militar TIMISOARA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42</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MURES</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10250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6584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597</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618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NEAMT</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12563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7879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521</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OLT</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10334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8076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517</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595</w:t>
            </w:r>
          </w:p>
        </w:tc>
      </w:tr>
      <w:tr w:rsidR="00D048EE" w:rsidRPr="002152E4" w:rsidTr="00D048EE">
        <w:trPr>
          <w:trHeight w:val="28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39</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pentru minori si familie BRASOV</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1446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1191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318</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323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40</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PRAHOVA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26233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15061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657</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1078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41</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SALAJ</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5545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3905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471</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42</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SATU MARE</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8946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6306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459</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528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43</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SIBIU</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12899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8216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542</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602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SUCEAVA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16985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12227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537</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TELEORMAN</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7502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5752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487</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575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46</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TIMIS</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25633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16852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667</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TULCEA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5864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4455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474</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513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48</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VALCEA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14000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8885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547</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686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VASLUI</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7335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5588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437</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550</w:t>
            </w:r>
          </w:p>
        </w:tc>
      </w:tr>
      <w:tr w:rsidR="00D048EE" w:rsidRPr="002152E4" w:rsidTr="00D048E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50</w:t>
            </w:r>
          </w:p>
        </w:tc>
        <w:tc>
          <w:tcPr>
            <w:tcW w:w="3717"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Tribunalul VRANCEA</w:t>
            </w:r>
          </w:p>
        </w:tc>
        <w:tc>
          <w:tcPr>
            <w:tcW w:w="108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10913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6921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563</w:t>
            </w:r>
          </w:p>
        </w:tc>
        <w:tc>
          <w:tcPr>
            <w:tcW w:w="1498"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630</w:t>
            </w:r>
          </w:p>
        </w:tc>
      </w:tr>
      <w:tr w:rsidR="00D048EE" w:rsidRPr="002152E4" w:rsidTr="00D048EE">
        <w:trPr>
          <w:trHeight w:val="315"/>
          <w:jc w:val="center"/>
        </w:trPr>
        <w:tc>
          <w:tcPr>
            <w:tcW w:w="1023" w:type="dxa"/>
            <w:tcBorders>
              <w:top w:val="single" w:sz="4" w:space="0" w:color="auto"/>
              <w:right w:val="single" w:sz="4" w:space="0" w:color="auto"/>
            </w:tcBorders>
            <w:shd w:val="clear" w:color="auto" w:fill="auto"/>
            <w:noWrap/>
            <w:vAlign w:val="bottom"/>
          </w:tcPr>
          <w:p w:rsidR="00D048EE" w:rsidRPr="002152E4" w:rsidRDefault="00D048EE" w:rsidP="00D048EE">
            <w:pPr>
              <w:jc w:val="center"/>
              <w:rPr>
                <w:rFonts w:ascii="Cambria" w:hAnsi="Cambria" w:cs="Arial"/>
                <w:lang w:val="ro-RO" w:eastAsia="ro-RO"/>
              </w:rPr>
            </w:pPr>
            <w:r w:rsidRPr="002152E4">
              <w:rPr>
                <w:rFonts w:ascii="Cambria" w:hAnsi="Cambria" w:cs="Arial"/>
                <w:lang w:val="ro-RO" w:eastAsia="ro-RO"/>
              </w:rPr>
              <w:t> </w:t>
            </w:r>
          </w:p>
        </w:tc>
        <w:tc>
          <w:tcPr>
            <w:tcW w:w="3717" w:type="dxa"/>
            <w:tcBorders>
              <w:top w:val="single" w:sz="4" w:space="0" w:color="auto"/>
              <w:left w:val="single" w:sz="4" w:space="0" w:color="auto"/>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Total</w:t>
            </w:r>
          </w:p>
        </w:tc>
        <w:tc>
          <w:tcPr>
            <w:tcW w:w="1080" w:type="dxa"/>
            <w:tcBorders>
              <w:top w:val="nil"/>
              <w:left w:val="nil"/>
              <w:bottom w:val="single" w:sz="4" w:space="0" w:color="auto"/>
              <w:right w:val="single" w:sz="4" w:space="0" w:color="auto"/>
            </w:tcBorders>
            <w:shd w:val="clear" w:color="auto" w:fill="99CCFF"/>
            <w:noWrap/>
            <w:vAlign w:val="bottom"/>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733995</w:t>
            </w:r>
          </w:p>
        </w:tc>
        <w:tc>
          <w:tcPr>
            <w:tcW w:w="1364" w:type="dxa"/>
            <w:tcBorders>
              <w:top w:val="nil"/>
              <w:left w:val="nil"/>
              <w:bottom w:val="single" w:sz="4" w:space="0" w:color="auto"/>
              <w:right w:val="single" w:sz="4" w:space="0" w:color="auto"/>
            </w:tcBorders>
            <w:shd w:val="clear" w:color="auto" w:fill="99CCFF"/>
            <w:noWrap/>
            <w:vAlign w:val="bottom"/>
          </w:tcPr>
          <w:p w:rsidR="00D048EE" w:rsidRPr="002152E4" w:rsidRDefault="00D048EE" w:rsidP="00D048EE">
            <w:pPr>
              <w:jc w:val="center"/>
              <w:rPr>
                <w:rFonts w:ascii="Cambria" w:hAnsi="Cambria" w:cs="Arial"/>
                <w:lang w:val="ro-RO" w:eastAsia="ro-RO"/>
              </w:rPr>
            </w:pPr>
            <w:r w:rsidRPr="002152E4">
              <w:rPr>
                <w:rFonts w:ascii="Cambria" w:hAnsi="Cambria" w:cs="Arial"/>
                <w:lang w:val="ro-RO" w:eastAsia="ro-RO"/>
              </w:rPr>
              <w:t>480548</w:t>
            </w:r>
          </w:p>
        </w:tc>
        <w:tc>
          <w:tcPr>
            <w:tcW w:w="1400" w:type="dxa"/>
            <w:tcBorders>
              <w:top w:val="nil"/>
              <w:left w:val="nil"/>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600</w:t>
            </w:r>
          </w:p>
        </w:tc>
        <w:tc>
          <w:tcPr>
            <w:tcW w:w="1498" w:type="dxa"/>
            <w:tcBorders>
              <w:top w:val="nil"/>
              <w:left w:val="nil"/>
              <w:bottom w:val="single" w:sz="4" w:space="0" w:color="auto"/>
              <w:right w:val="single" w:sz="4" w:space="0" w:color="auto"/>
            </w:tcBorders>
            <w:shd w:val="clear" w:color="auto" w:fill="99CCFF"/>
            <w:noWrap/>
            <w:vAlign w:val="bottom"/>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724</w:t>
            </w:r>
          </w:p>
        </w:tc>
      </w:tr>
    </w:tbl>
    <w:p w:rsidR="00D048EE" w:rsidRPr="002152E4" w:rsidRDefault="00D048EE" w:rsidP="00D048EE">
      <w:pPr>
        <w:shd w:val="clear" w:color="auto" w:fill="FFFFFF"/>
        <w:spacing w:line="360" w:lineRule="auto"/>
        <w:jc w:val="both"/>
        <w:rPr>
          <w:lang w:val="ro-RO"/>
        </w:rPr>
      </w:pPr>
    </w:p>
    <w:p w:rsidR="002553BA" w:rsidRPr="002152E4" w:rsidRDefault="002553BA" w:rsidP="00D048EE">
      <w:pPr>
        <w:shd w:val="clear" w:color="auto" w:fill="FFFFFF"/>
        <w:spacing w:line="360" w:lineRule="auto"/>
        <w:jc w:val="both"/>
        <w:rPr>
          <w:lang w:val="ro-RO"/>
        </w:rPr>
      </w:pPr>
    </w:p>
    <w:p w:rsidR="00BA4ADF" w:rsidRPr="002152E4" w:rsidRDefault="00BA4ADF" w:rsidP="00D048EE">
      <w:pPr>
        <w:shd w:val="clear" w:color="auto" w:fill="FFFFFF"/>
        <w:spacing w:line="360" w:lineRule="auto"/>
        <w:jc w:val="both"/>
        <w:rPr>
          <w:lang w:val="ro-RO"/>
        </w:rPr>
      </w:pPr>
    </w:p>
    <w:p w:rsidR="002553BA" w:rsidRPr="002152E4" w:rsidRDefault="002553BA" w:rsidP="00D048EE">
      <w:pPr>
        <w:shd w:val="clear" w:color="auto" w:fill="FFFFFF"/>
        <w:spacing w:line="360" w:lineRule="auto"/>
        <w:jc w:val="both"/>
        <w:rPr>
          <w:lang w:val="ro-RO"/>
        </w:rPr>
      </w:pPr>
    </w:p>
    <w:tbl>
      <w:tblPr>
        <w:tblW w:w="10432" w:type="dxa"/>
        <w:jc w:val="center"/>
        <w:tblLook w:val="0000" w:firstRow="0" w:lastRow="0" w:firstColumn="0" w:lastColumn="0" w:noHBand="0" w:noVBand="0"/>
      </w:tblPr>
      <w:tblGrid>
        <w:gridCol w:w="1023"/>
        <w:gridCol w:w="3861"/>
        <w:gridCol w:w="1212"/>
        <w:gridCol w:w="1364"/>
        <w:gridCol w:w="1400"/>
        <w:gridCol w:w="1572"/>
      </w:tblGrid>
      <w:tr w:rsidR="00D048EE" w:rsidRPr="00631BB4" w:rsidTr="00D048EE">
        <w:trPr>
          <w:trHeight w:val="179"/>
          <w:jc w:val="center"/>
        </w:trPr>
        <w:tc>
          <w:tcPr>
            <w:tcW w:w="10432" w:type="dxa"/>
            <w:gridSpan w:val="6"/>
            <w:tcBorders>
              <w:top w:val="single" w:sz="4" w:space="0" w:color="auto"/>
              <w:left w:val="single" w:sz="4" w:space="0" w:color="auto"/>
              <w:bottom w:val="single" w:sz="4" w:space="0" w:color="auto"/>
              <w:right w:val="single" w:sz="4" w:space="0" w:color="auto"/>
            </w:tcBorders>
            <w:shd w:val="clear" w:color="auto" w:fill="99CCFF"/>
            <w:vAlign w:val="center"/>
          </w:tcPr>
          <w:p w:rsidR="00D048EE" w:rsidRPr="002152E4" w:rsidRDefault="00D048EE" w:rsidP="002553BA">
            <w:pPr>
              <w:jc w:val="center"/>
              <w:rPr>
                <w:rFonts w:ascii="Cambria" w:hAnsi="Cambria" w:cs="Arial"/>
                <w:b/>
                <w:bCs/>
                <w:sz w:val="22"/>
                <w:szCs w:val="22"/>
                <w:lang w:val="ro-RO" w:eastAsia="ro-RO"/>
              </w:rPr>
            </w:pPr>
            <w:r w:rsidRPr="002152E4">
              <w:rPr>
                <w:rFonts w:ascii="Cambria" w:hAnsi="Cambria"/>
                <w:b/>
                <w:bCs/>
                <w:lang w:val="ro-RO"/>
              </w:rPr>
              <w:lastRenderedPageBreak/>
              <w:t>Volumul şi încărcătura la judecătorii în anul 2016</w:t>
            </w:r>
          </w:p>
        </w:tc>
      </w:tr>
      <w:tr w:rsidR="00D048EE" w:rsidRPr="002152E4" w:rsidTr="00D048EE">
        <w:trPr>
          <w:trHeight w:val="179"/>
          <w:jc w:val="center"/>
        </w:trPr>
        <w:tc>
          <w:tcPr>
            <w:tcW w:w="4884" w:type="dxa"/>
            <w:gridSpan w:val="2"/>
            <w:vMerge w:val="restart"/>
            <w:tcBorders>
              <w:top w:val="nil"/>
              <w:left w:val="single" w:sz="4" w:space="0" w:color="auto"/>
              <w:right w:val="single" w:sz="4" w:space="0" w:color="auto"/>
            </w:tcBorders>
            <w:shd w:val="clear" w:color="auto" w:fill="99CCFF"/>
            <w:vAlign w:val="center"/>
          </w:tcPr>
          <w:p w:rsidR="00D048EE" w:rsidRPr="002152E4" w:rsidRDefault="00D048EE" w:rsidP="00D048EE">
            <w:pPr>
              <w:rPr>
                <w:rFonts w:ascii="Cambria" w:hAnsi="Cambria" w:cs="Arial"/>
                <w:b/>
                <w:bCs/>
                <w:sz w:val="22"/>
                <w:szCs w:val="22"/>
                <w:lang w:val="ro-RO" w:eastAsia="ro-RO"/>
              </w:rPr>
            </w:pPr>
          </w:p>
        </w:tc>
        <w:tc>
          <w:tcPr>
            <w:tcW w:w="3976" w:type="dxa"/>
            <w:gridSpan w:val="3"/>
            <w:tcBorders>
              <w:top w:val="nil"/>
              <w:left w:val="nil"/>
              <w:bottom w:val="single" w:sz="4" w:space="0" w:color="auto"/>
              <w:right w:val="single" w:sz="4" w:space="0" w:color="auto"/>
            </w:tcBorders>
            <w:shd w:val="clear" w:color="auto" w:fill="99CCFF"/>
            <w:vAlign w:val="bottom"/>
          </w:tcPr>
          <w:p w:rsidR="00D048EE" w:rsidRPr="002152E4" w:rsidRDefault="00D048EE" w:rsidP="00D048EE">
            <w:pPr>
              <w:jc w:val="center"/>
              <w:rPr>
                <w:rFonts w:ascii="Cambria" w:hAnsi="Cambria"/>
                <w:b/>
                <w:bCs/>
                <w:lang w:val="ro-RO"/>
              </w:rPr>
            </w:pPr>
            <w:r w:rsidRPr="002152E4">
              <w:rPr>
                <w:rFonts w:ascii="Cambria" w:hAnsi="Cambria"/>
                <w:b/>
                <w:bCs/>
                <w:lang w:val="ro-RO"/>
              </w:rPr>
              <w:t>Media - cauze pe judecător</w:t>
            </w:r>
          </w:p>
        </w:tc>
        <w:tc>
          <w:tcPr>
            <w:tcW w:w="1572" w:type="dxa"/>
            <w:tcBorders>
              <w:top w:val="nil"/>
              <w:left w:val="nil"/>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1083</w:t>
            </w:r>
          </w:p>
        </w:tc>
      </w:tr>
      <w:tr w:rsidR="00D048EE" w:rsidRPr="002152E4" w:rsidTr="00D048EE">
        <w:trPr>
          <w:trHeight w:val="105"/>
          <w:jc w:val="center"/>
        </w:trPr>
        <w:tc>
          <w:tcPr>
            <w:tcW w:w="4884" w:type="dxa"/>
            <w:gridSpan w:val="2"/>
            <w:vMerge/>
            <w:tcBorders>
              <w:left w:val="single" w:sz="4" w:space="0" w:color="auto"/>
              <w:bottom w:val="single" w:sz="4" w:space="0" w:color="auto"/>
              <w:right w:val="single" w:sz="4" w:space="0" w:color="auto"/>
            </w:tcBorders>
            <w:shd w:val="clear" w:color="auto" w:fill="99CCFF"/>
            <w:vAlign w:val="center"/>
          </w:tcPr>
          <w:p w:rsidR="00D048EE" w:rsidRPr="002152E4" w:rsidRDefault="00D048EE" w:rsidP="00D048EE">
            <w:pPr>
              <w:rPr>
                <w:rFonts w:ascii="Cambria" w:hAnsi="Cambria" w:cs="Arial"/>
                <w:b/>
                <w:bCs/>
                <w:sz w:val="22"/>
                <w:szCs w:val="22"/>
                <w:lang w:val="ro-RO" w:eastAsia="ro-RO"/>
              </w:rPr>
            </w:pPr>
          </w:p>
        </w:tc>
        <w:tc>
          <w:tcPr>
            <w:tcW w:w="3976" w:type="dxa"/>
            <w:gridSpan w:val="3"/>
            <w:tcBorders>
              <w:top w:val="nil"/>
              <w:left w:val="nil"/>
              <w:bottom w:val="single" w:sz="4" w:space="0" w:color="auto"/>
              <w:right w:val="single" w:sz="4" w:space="0" w:color="auto"/>
            </w:tcBorders>
            <w:shd w:val="clear" w:color="auto" w:fill="99CCFF"/>
            <w:vAlign w:val="bottom"/>
          </w:tcPr>
          <w:p w:rsidR="00D048EE" w:rsidRPr="002152E4" w:rsidRDefault="00D048EE" w:rsidP="00D048EE">
            <w:pPr>
              <w:jc w:val="center"/>
              <w:rPr>
                <w:rFonts w:ascii="Cambria" w:hAnsi="Cambria"/>
                <w:b/>
                <w:bCs/>
                <w:lang w:val="ro-RO"/>
              </w:rPr>
            </w:pPr>
            <w:r w:rsidRPr="002152E4">
              <w:rPr>
                <w:rFonts w:ascii="Cambria" w:hAnsi="Cambria"/>
                <w:b/>
                <w:bCs/>
                <w:lang w:val="ro-RO"/>
              </w:rPr>
              <w:t>Media - cauze pe schemă</w:t>
            </w:r>
          </w:p>
        </w:tc>
        <w:tc>
          <w:tcPr>
            <w:tcW w:w="1572" w:type="dxa"/>
            <w:tcBorders>
              <w:top w:val="nil"/>
              <w:left w:val="nil"/>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874</w:t>
            </w:r>
          </w:p>
        </w:tc>
      </w:tr>
      <w:tr w:rsidR="00D048EE" w:rsidRPr="002152E4" w:rsidTr="00D048EE">
        <w:trPr>
          <w:trHeight w:val="780"/>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ORDINE</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DENUMIRE JUDECATORIE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Volum</w:t>
            </w:r>
          </w:p>
        </w:tc>
        <w:tc>
          <w:tcPr>
            <w:tcW w:w="1364"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Cauze soluţionate</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Încărcătura pe schemă</w:t>
            </w:r>
          </w:p>
        </w:tc>
        <w:tc>
          <w:tcPr>
            <w:tcW w:w="157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b/>
                <w:bCs/>
                <w:sz w:val="22"/>
                <w:szCs w:val="22"/>
                <w:lang w:val="ro-RO" w:eastAsia="ro-RO"/>
              </w:rPr>
            </w:pPr>
            <w:r w:rsidRPr="002152E4">
              <w:rPr>
                <w:rFonts w:ascii="Cambria" w:hAnsi="Cambria" w:cs="Arial"/>
                <w:b/>
                <w:bCs/>
                <w:sz w:val="22"/>
                <w:szCs w:val="22"/>
                <w:lang w:val="ro-RO" w:eastAsia="ro-RO"/>
              </w:rPr>
              <w:t>Încărcătura pe judecător</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ADJUD</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5248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4155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1050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1590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AGNITA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1582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1292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396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AIUD</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7142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5524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1035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ALBA IULIA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12674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9714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792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ALESD</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4178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2692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1045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ALEXANDRIA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12242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8212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1113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1144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ARAD</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24964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21477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AVRIG</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2777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2148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751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BABADAG</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2120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1531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757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BACAU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31784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24061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935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1186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BAIA DE ARAMA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1253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BAIA MARE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20033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13111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1222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BAILESTI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5980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4506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748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997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BALCESTI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2603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1885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434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BALS</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3723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3181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465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BARLAD</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10276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8110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1028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1070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BECLEAN</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4582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2980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1146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1432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BEIUS</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4127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3379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688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BICAZ</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3118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2127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624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663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BISTRITA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17071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12817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854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1169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BLAJ</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2467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1862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504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BOLINTIN VALE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7362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5572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1227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1796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BOTOSANI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27912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21984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821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1188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BRAD</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3575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2748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1324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BRAILA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27809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21462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1247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BRASOV</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47323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35002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966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1220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BREZOI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3128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2231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626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BUFTEA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38409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29515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1325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2099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BUHUSI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3573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2563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BUZAU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24801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19492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729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1004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CALAFAT</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4136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3547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591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962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CALARASI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10983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9197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931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CAMPENI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3499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2531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1000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CAMPINA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11771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9859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CAMPULUNG</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9108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7006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1231</w:t>
            </w:r>
          </w:p>
        </w:tc>
      </w:tr>
      <w:tr w:rsidR="00D048EE" w:rsidRPr="002152E4" w:rsidTr="00D048EE">
        <w:trPr>
          <w:trHeight w:val="28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CAMPULUNG MOLDOVENESC</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3956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3111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682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CARACAL</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8234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7082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749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799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CARANSEBES</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7085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5471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886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CAREI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5416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4423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1105</w:t>
            </w:r>
          </w:p>
        </w:tc>
      </w:tr>
      <w:tr w:rsidR="00D048EE" w:rsidRPr="002152E4" w:rsidTr="00D048E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40</w:t>
            </w:r>
          </w:p>
        </w:tc>
        <w:tc>
          <w:tcPr>
            <w:tcW w:w="3861"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CHISINEU CRIS</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2611</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2252</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653</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900</w:t>
            </w:r>
          </w:p>
        </w:tc>
      </w:tr>
      <w:tr w:rsidR="00D048EE" w:rsidRPr="002152E4" w:rsidTr="006D1440">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41</w:t>
            </w:r>
          </w:p>
        </w:tc>
        <w:tc>
          <w:tcPr>
            <w:tcW w:w="3861"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CLUJ-NAPOCA</w:t>
            </w:r>
          </w:p>
        </w:tc>
        <w:tc>
          <w:tcPr>
            <w:tcW w:w="1212"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37918</w:t>
            </w:r>
          </w:p>
        </w:tc>
        <w:tc>
          <w:tcPr>
            <w:tcW w:w="1364"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28312</w:t>
            </w:r>
          </w:p>
        </w:tc>
        <w:tc>
          <w:tcPr>
            <w:tcW w:w="140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843</w:t>
            </w:r>
          </w:p>
        </w:tc>
        <w:tc>
          <w:tcPr>
            <w:tcW w:w="1572"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884</w:t>
            </w:r>
          </w:p>
        </w:tc>
      </w:tr>
      <w:tr w:rsidR="00D048EE" w:rsidRPr="002152E4" w:rsidTr="006D1440">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lastRenderedPageBreak/>
              <w:t>42</w:t>
            </w:r>
          </w:p>
        </w:tc>
        <w:tc>
          <w:tcPr>
            <w:tcW w:w="3861"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CONSTANTA</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56130</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40295</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985</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1139</w:t>
            </w:r>
          </w:p>
        </w:tc>
      </w:tr>
      <w:tr w:rsidR="00D048EE" w:rsidRPr="002152E4" w:rsidTr="006D1440">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43</w:t>
            </w:r>
          </w:p>
        </w:tc>
        <w:tc>
          <w:tcPr>
            <w:tcW w:w="3861"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CORABIA</w:t>
            </w:r>
          </w:p>
        </w:tc>
        <w:tc>
          <w:tcPr>
            <w:tcW w:w="1212"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3224</w:t>
            </w:r>
          </w:p>
        </w:tc>
        <w:tc>
          <w:tcPr>
            <w:tcW w:w="1364"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2615</w:t>
            </w:r>
          </w:p>
        </w:tc>
        <w:tc>
          <w:tcPr>
            <w:tcW w:w="140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806</w:t>
            </w:r>
          </w:p>
        </w:tc>
        <w:tc>
          <w:tcPr>
            <w:tcW w:w="1572"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827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CORNETU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21430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16234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1339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1488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COSTESTI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5393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3903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1254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CRAIOVA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56481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41689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1074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CURTEA DE ARGES</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6340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4447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932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Darabani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2816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1867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563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1006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DEJ</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5800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4723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829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1036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DETA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3251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2646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813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813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DEVA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13389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10825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705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DOROHOI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6965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5422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1142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DRAGASANI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5443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3884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812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DRAGOMIRESTI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1293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1051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323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539</w:t>
            </w:r>
          </w:p>
        </w:tc>
      </w:tr>
      <w:tr w:rsidR="00D048EE" w:rsidRPr="002152E4" w:rsidTr="00D048EE">
        <w:trPr>
          <w:trHeight w:val="28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DROBETA-TURNU SEVERIN</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22061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16979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817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FAGARAS</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9204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7733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1070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FAGET</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1368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1181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274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326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FALTICENI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5540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4299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759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FAUREI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3312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2373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829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1326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FETESTI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6805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4782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1512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FILIASI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2415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1885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604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833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FOCSANI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26039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19105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1142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GAESTI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9268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7977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1030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1188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GALATI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41658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29306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1096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1447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GHEORGHENI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3470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2312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1052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GHERLA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6593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5343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733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GIURGIU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31284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23579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1009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1497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GURA HONT</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1808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1573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GURA HUMORULUI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3825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2926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765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1034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HARLAU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3836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2738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767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HARSOVA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2141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1394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428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931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HATEG</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3044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2360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761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1127</w:t>
            </w:r>
          </w:p>
        </w:tc>
      </w:tr>
      <w:tr w:rsidR="00D048EE" w:rsidRPr="002152E4" w:rsidTr="00D048EE">
        <w:trPr>
          <w:trHeight w:val="330"/>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HOREZU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4972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3177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995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1344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HUEDIN</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2988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2341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747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786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HUNEDOARA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8072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7001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1048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HUSI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4602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3537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959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IASI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62865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45370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1031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1245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INEU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2666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2335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606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INSURATEI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2016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2016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504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531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INTORSURA BUZAULUI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JIBOU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3897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2421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1344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LEHLIU-GARA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3220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2512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644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LIESTI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2821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2210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705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1008</w:t>
            </w:r>
          </w:p>
        </w:tc>
      </w:tr>
      <w:tr w:rsidR="00D048EE" w:rsidRPr="002152E4" w:rsidTr="00D048E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w:t>
            </w:r>
          </w:p>
        </w:tc>
        <w:tc>
          <w:tcPr>
            <w:tcW w:w="3861"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LIPOVA</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3017</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2413</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754</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85</w:t>
            </w:r>
          </w:p>
        </w:tc>
        <w:tc>
          <w:tcPr>
            <w:tcW w:w="3861"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LUDUS</w:t>
            </w:r>
          </w:p>
        </w:tc>
        <w:tc>
          <w:tcPr>
            <w:tcW w:w="1212"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3477</w:t>
            </w:r>
          </w:p>
        </w:tc>
        <w:tc>
          <w:tcPr>
            <w:tcW w:w="1364"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2803</w:t>
            </w:r>
          </w:p>
        </w:tc>
        <w:tc>
          <w:tcPr>
            <w:tcW w:w="140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869</w:t>
            </w:r>
          </w:p>
        </w:tc>
        <w:tc>
          <w:tcPr>
            <w:tcW w:w="1572"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1087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LUGOJ</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5559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4390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713</w:t>
            </w:r>
          </w:p>
        </w:tc>
      </w:tr>
      <w:tr w:rsidR="00D048EE" w:rsidRPr="002152E4" w:rsidTr="00A9543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MACIN</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2605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1870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1303</w:t>
            </w:r>
          </w:p>
        </w:tc>
      </w:tr>
      <w:tr w:rsidR="00D048EE" w:rsidRPr="002152E4" w:rsidTr="00A9543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lastRenderedPageBreak/>
              <w:t>88</w:t>
            </w:r>
          </w:p>
        </w:tc>
        <w:tc>
          <w:tcPr>
            <w:tcW w:w="3861"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MANGALIA</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8148</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5703</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1019</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1101</w:t>
            </w:r>
          </w:p>
        </w:tc>
      </w:tr>
      <w:tr w:rsidR="00D048EE" w:rsidRPr="002152E4" w:rsidTr="00A9543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w:t>
            </w:r>
          </w:p>
        </w:tc>
        <w:tc>
          <w:tcPr>
            <w:tcW w:w="3861"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MARGHITA</w:t>
            </w:r>
          </w:p>
        </w:tc>
        <w:tc>
          <w:tcPr>
            <w:tcW w:w="1212"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4489</w:t>
            </w:r>
          </w:p>
        </w:tc>
        <w:tc>
          <w:tcPr>
            <w:tcW w:w="1364"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3446</w:t>
            </w:r>
          </w:p>
        </w:tc>
        <w:tc>
          <w:tcPr>
            <w:tcW w:w="140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748</w:t>
            </w:r>
          </w:p>
        </w:tc>
        <w:tc>
          <w:tcPr>
            <w:tcW w:w="1572"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935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MEDGIDIA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16754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13138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931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1362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MEDIAS</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6687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5609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MIERCUREA CIUC</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8430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6915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703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MIZIL</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3661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2676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642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MOINESTI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10208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7211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1021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1276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MOLDOVA-NOUA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1951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1397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488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MORENI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6293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5405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1049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1284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MOTRU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6863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5047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1144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1248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NASAUD</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6005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3726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1001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1430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NEGRESTI-OAS</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3388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2041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997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NOVACI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3625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2786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725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ODORHEIUL SECUIESC</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4263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3507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853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1152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OLTENITA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8681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6962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1240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1423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ONESTI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11911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8521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851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1241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ORADEA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30510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22850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951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ORASTIE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2956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2216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739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1479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ORAVITA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3060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2310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765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ORSOVA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1810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1500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787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PANCIU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3216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2333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643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1072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PASCANI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9664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7127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PATARLAGELE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4420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3458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737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1195</w:t>
            </w:r>
          </w:p>
        </w:tc>
      </w:tr>
      <w:tr w:rsidR="00D048EE" w:rsidRPr="002152E4" w:rsidTr="00D048EE">
        <w:trPr>
          <w:trHeight w:val="330"/>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PETROSANI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17032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13971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1521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PIATRA-NEAMT</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22744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14190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1137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1395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PITESTI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37438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24996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936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1361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PLOIESTI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45452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31963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967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1333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PODU TURCULUI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2028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1367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507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POGOANELE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2610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2224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932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PUCIOASA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3760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3085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RACARI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6370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5130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1080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RADAUTI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9520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7272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793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RADUCANENI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1627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1237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325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RAMNICU SARAT</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6323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4916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1054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1375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RAMNICU VALCEA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20687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15432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REGHIN</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5714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4564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714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853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RESITA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9439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6408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858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1210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ROMAN</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10769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7603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1110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ROSIORI DE VEDE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6483</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5085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810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1013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RUPEA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3699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2932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1370</w:t>
            </w:r>
          </w:p>
        </w:tc>
      </w:tr>
      <w:tr w:rsidR="00D048EE" w:rsidRPr="002152E4" w:rsidTr="00D048E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128</w:t>
            </w:r>
          </w:p>
        </w:tc>
        <w:tc>
          <w:tcPr>
            <w:tcW w:w="3861"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SALISTE</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1788</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1396</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448</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459</w:t>
            </w:r>
          </w:p>
        </w:tc>
      </w:tr>
      <w:tr w:rsidR="00D048EE" w:rsidRPr="002152E4" w:rsidTr="00D048E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129</w:t>
            </w:r>
          </w:p>
        </w:tc>
        <w:tc>
          <w:tcPr>
            <w:tcW w:w="3861"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SALONTA</w:t>
            </w:r>
          </w:p>
        </w:tc>
        <w:tc>
          <w:tcPr>
            <w:tcW w:w="1212"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3407</w:t>
            </w:r>
          </w:p>
        </w:tc>
        <w:tc>
          <w:tcPr>
            <w:tcW w:w="1364"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2402</w:t>
            </w:r>
          </w:p>
        </w:tc>
        <w:tc>
          <w:tcPr>
            <w:tcW w:w="140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852</w:t>
            </w:r>
          </w:p>
        </w:tc>
        <w:tc>
          <w:tcPr>
            <w:tcW w:w="1572"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SANNICOLAUL MARE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4234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3100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1059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1114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SATU MARE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16539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13081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752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SAVENI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4204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2592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1911</w:t>
            </w:r>
          </w:p>
        </w:tc>
      </w:tr>
      <w:tr w:rsidR="00D048EE" w:rsidRPr="002152E4" w:rsidTr="00A9543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SEBES</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3899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3000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1083</w:t>
            </w:r>
          </w:p>
        </w:tc>
      </w:tr>
      <w:tr w:rsidR="00D048EE" w:rsidRPr="002152E4" w:rsidTr="00A9543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lastRenderedPageBreak/>
              <w:t>134</w:t>
            </w:r>
          </w:p>
        </w:tc>
        <w:tc>
          <w:tcPr>
            <w:tcW w:w="3861"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SECTORUL 1 BUCURESTI</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69873</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55435</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873</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1136</w:t>
            </w:r>
          </w:p>
        </w:tc>
      </w:tr>
      <w:tr w:rsidR="00D048EE" w:rsidRPr="002152E4" w:rsidTr="00A9543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135</w:t>
            </w:r>
          </w:p>
        </w:tc>
        <w:tc>
          <w:tcPr>
            <w:tcW w:w="3861"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SECTORUL 2 BUCURESTI</w:t>
            </w:r>
          </w:p>
        </w:tc>
        <w:tc>
          <w:tcPr>
            <w:tcW w:w="1212"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55318</w:t>
            </w:r>
          </w:p>
        </w:tc>
        <w:tc>
          <w:tcPr>
            <w:tcW w:w="1364"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41618</w:t>
            </w:r>
          </w:p>
        </w:tc>
        <w:tc>
          <w:tcPr>
            <w:tcW w:w="140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1106</w:t>
            </w:r>
          </w:p>
        </w:tc>
        <w:tc>
          <w:tcPr>
            <w:tcW w:w="1572"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1363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SECTORUL 3 BUCURESTI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56414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40465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855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1140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SECTORUL 4 BUCURESTI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45956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37127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836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1235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SECTORUL 5 BUCURESTI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40577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31554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1014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1173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SECTORUL 6 BUCURESTI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36750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29297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1114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1332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SEGARCEA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3649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2553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936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SFANTU GHEORGHE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8707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6913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SIBIU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21710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15537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982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SIGHETU MARMATIEI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5462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3650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910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1401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SIGHISOARA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4668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3578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SIMLEUL SILVANIEI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3465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2323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1050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SINAIA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3005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2338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601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791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SLATINA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18946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14001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890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SLOBOZIA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11086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8022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999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STREHAIA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3379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2709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563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638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SUCEAVA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16367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10554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779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1017</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TARGOVISTE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16915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12838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769</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TARGU BUJOR</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2991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2350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598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TARGU JIU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28027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22457</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801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TARGU LAPUS</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1752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1366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438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626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TARGU MURES</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23470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16552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838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1062</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TARGU NEAMT</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5462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3778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780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748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TARGU SECUIESC</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4601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3762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1150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1150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TARGU-CARBUNESTI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8405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6599</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1274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TARNAVENI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3164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2415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791</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879</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TECUCI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8426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6755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843</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958</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TIMISOARA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47238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35414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875</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966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162</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TOPLITA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3262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2563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652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1125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163</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TOPOLOVENI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4909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4005</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982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1023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TULCEA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14110</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10063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1008</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1501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TURDA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11208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8710</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966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TURNU MAGURELE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4716</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3822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590</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761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167</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URZICENI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6619</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4776</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1034</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168</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VALENII DE MUNTE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6902</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4924</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986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1211</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169</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VANJU MARE</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6625</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5231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1123</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170</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VASLUI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12651</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9488</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904</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1100</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171</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VATRA DORNEI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3448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2621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862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958</w:t>
            </w:r>
          </w:p>
        </w:tc>
      </w:tr>
      <w:tr w:rsidR="00D048EE" w:rsidRPr="002152E4" w:rsidTr="00D048E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172</w:t>
            </w:r>
          </w:p>
        </w:tc>
        <w:tc>
          <w:tcPr>
            <w:tcW w:w="3861"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VIDELE</w:t>
            </w: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6656</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4579</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740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1256</w:t>
            </w:r>
          </w:p>
        </w:tc>
      </w:tr>
      <w:tr w:rsidR="00D048EE" w:rsidRPr="002152E4" w:rsidTr="00D048E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173</w:t>
            </w:r>
          </w:p>
        </w:tc>
        <w:tc>
          <w:tcPr>
            <w:tcW w:w="3861"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VISEU DE SUS</w:t>
            </w:r>
          </w:p>
        </w:tc>
        <w:tc>
          <w:tcPr>
            <w:tcW w:w="1212"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3706</w:t>
            </w:r>
          </w:p>
        </w:tc>
        <w:tc>
          <w:tcPr>
            <w:tcW w:w="1364"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2905</w:t>
            </w:r>
          </w:p>
        </w:tc>
        <w:tc>
          <w:tcPr>
            <w:tcW w:w="1400" w:type="dxa"/>
            <w:tcBorders>
              <w:top w:val="single" w:sz="4" w:space="0" w:color="auto"/>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927</w:t>
            </w:r>
          </w:p>
        </w:tc>
        <w:tc>
          <w:tcPr>
            <w:tcW w:w="1572" w:type="dxa"/>
            <w:tcBorders>
              <w:top w:val="single" w:sz="4" w:space="0" w:color="auto"/>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975</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174</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ZALAU</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7227</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5811</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602</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716</w:t>
            </w:r>
          </w:p>
        </w:tc>
      </w:tr>
      <w:tr w:rsidR="00D048EE" w:rsidRPr="002152E4" w:rsidTr="00D048EE">
        <w:trPr>
          <w:trHeight w:val="315"/>
          <w:jc w:val="center"/>
        </w:trPr>
        <w:tc>
          <w:tcPr>
            <w:tcW w:w="1023" w:type="dxa"/>
            <w:tcBorders>
              <w:top w:val="nil"/>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175</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ZARNESTI</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5678</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4073</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946</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1113</w:t>
            </w:r>
          </w:p>
        </w:tc>
      </w:tr>
      <w:tr w:rsidR="00D048EE" w:rsidRPr="002152E4" w:rsidTr="00D048EE">
        <w:trPr>
          <w:trHeight w:val="315"/>
          <w:jc w:val="cent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176</w:t>
            </w:r>
          </w:p>
        </w:tc>
        <w:tc>
          <w:tcPr>
            <w:tcW w:w="3861"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rPr>
                <w:rFonts w:ascii="Cambria" w:hAnsi="Cambria" w:cs="Arial"/>
                <w:sz w:val="22"/>
                <w:szCs w:val="22"/>
                <w:lang w:val="ro-RO" w:eastAsia="ro-RO"/>
              </w:rPr>
            </w:pPr>
            <w:r w:rsidRPr="002152E4">
              <w:rPr>
                <w:rFonts w:ascii="Cambria" w:hAnsi="Cambria" w:cs="Arial"/>
                <w:sz w:val="22"/>
                <w:szCs w:val="22"/>
                <w:lang w:val="ro-RO" w:eastAsia="ro-RO"/>
              </w:rPr>
              <w:t>Judecatoria ZIMNICEA</w:t>
            </w:r>
          </w:p>
        </w:tc>
        <w:tc>
          <w:tcPr>
            <w:tcW w:w="1212"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3344</w:t>
            </w:r>
          </w:p>
        </w:tc>
        <w:tc>
          <w:tcPr>
            <w:tcW w:w="1364"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2522</w:t>
            </w:r>
          </w:p>
        </w:tc>
        <w:tc>
          <w:tcPr>
            <w:tcW w:w="1400" w:type="dxa"/>
            <w:tcBorders>
              <w:top w:val="nil"/>
              <w:left w:val="nil"/>
              <w:bottom w:val="single" w:sz="4" w:space="0" w:color="auto"/>
              <w:right w:val="single" w:sz="4" w:space="0" w:color="auto"/>
            </w:tcBorders>
            <w:shd w:val="clear" w:color="auto" w:fill="auto"/>
            <w:vAlign w:val="center"/>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557</w:t>
            </w:r>
          </w:p>
        </w:tc>
        <w:tc>
          <w:tcPr>
            <w:tcW w:w="1572" w:type="dxa"/>
            <w:tcBorders>
              <w:top w:val="nil"/>
              <w:left w:val="nil"/>
              <w:bottom w:val="single" w:sz="4" w:space="0" w:color="auto"/>
              <w:right w:val="single" w:sz="4" w:space="0" w:color="auto"/>
            </w:tcBorders>
            <w:shd w:val="clear" w:color="auto" w:fill="auto"/>
            <w:vAlign w:val="bottom"/>
          </w:tcPr>
          <w:p w:rsidR="00D048EE" w:rsidRPr="002152E4" w:rsidRDefault="00D048EE" w:rsidP="00D048EE">
            <w:pPr>
              <w:jc w:val="center"/>
              <w:rPr>
                <w:rFonts w:ascii="Cambria" w:hAnsi="Cambria" w:cs="Arial"/>
                <w:sz w:val="22"/>
                <w:szCs w:val="22"/>
                <w:lang w:val="ro-RO" w:eastAsia="ro-RO"/>
              </w:rPr>
            </w:pPr>
            <w:r w:rsidRPr="002152E4">
              <w:rPr>
                <w:rFonts w:ascii="Cambria" w:hAnsi="Cambria" w:cs="Arial"/>
                <w:sz w:val="22"/>
                <w:szCs w:val="22"/>
                <w:lang w:val="ro-RO" w:eastAsia="ro-RO"/>
              </w:rPr>
              <w:t>557</w:t>
            </w:r>
          </w:p>
        </w:tc>
      </w:tr>
      <w:tr w:rsidR="00D048EE" w:rsidRPr="002152E4" w:rsidTr="00D048EE">
        <w:trPr>
          <w:trHeight w:val="315"/>
          <w:jc w:val="center"/>
        </w:trPr>
        <w:tc>
          <w:tcPr>
            <w:tcW w:w="1023" w:type="dxa"/>
            <w:tcBorders>
              <w:top w:val="single" w:sz="4" w:space="0" w:color="auto"/>
              <w:right w:val="single" w:sz="4" w:space="0" w:color="auto"/>
            </w:tcBorders>
            <w:shd w:val="clear" w:color="auto" w:fill="auto"/>
            <w:noWrap/>
            <w:vAlign w:val="bottom"/>
          </w:tcPr>
          <w:p w:rsidR="00D048EE" w:rsidRPr="002152E4" w:rsidRDefault="00D048EE" w:rsidP="00D048EE">
            <w:pPr>
              <w:jc w:val="center"/>
              <w:rPr>
                <w:rFonts w:ascii="Cambria" w:hAnsi="Cambria" w:cs="Arial"/>
                <w:lang w:val="ro-RO" w:eastAsia="ro-RO"/>
              </w:rPr>
            </w:pPr>
            <w:r w:rsidRPr="002152E4">
              <w:rPr>
                <w:rFonts w:ascii="Cambria" w:hAnsi="Cambria" w:cs="Arial"/>
                <w:lang w:val="ro-RO" w:eastAsia="ro-RO"/>
              </w:rPr>
              <w:t> </w:t>
            </w:r>
          </w:p>
        </w:tc>
        <w:tc>
          <w:tcPr>
            <w:tcW w:w="3861" w:type="dxa"/>
            <w:tcBorders>
              <w:top w:val="single" w:sz="4" w:space="0" w:color="auto"/>
              <w:left w:val="single" w:sz="4" w:space="0" w:color="auto"/>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Total</w:t>
            </w:r>
          </w:p>
        </w:tc>
        <w:tc>
          <w:tcPr>
            <w:tcW w:w="1212" w:type="dxa"/>
            <w:tcBorders>
              <w:top w:val="nil"/>
              <w:left w:val="nil"/>
              <w:bottom w:val="single" w:sz="4" w:space="0" w:color="auto"/>
              <w:right w:val="single" w:sz="4" w:space="0" w:color="auto"/>
            </w:tcBorders>
            <w:shd w:val="clear" w:color="auto" w:fill="99CCFF"/>
            <w:noWrap/>
            <w:vAlign w:val="bottom"/>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2023472</w:t>
            </w:r>
          </w:p>
        </w:tc>
        <w:tc>
          <w:tcPr>
            <w:tcW w:w="1364" w:type="dxa"/>
            <w:tcBorders>
              <w:top w:val="nil"/>
              <w:left w:val="nil"/>
              <w:bottom w:val="single" w:sz="4" w:space="0" w:color="auto"/>
              <w:right w:val="single" w:sz="4" w:space="0" w:color="auto"/>
            </w:tcBorders>
            <w:shd w:val="clear" w:color="auto" w:fill="99CCFF"/>
            <w:noWrap/>
            <w:vAlign w:val="bottom"/>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1523519</w:t>
            </w:r>
          </w:p>
        </w:tc>
        <w:tc>
          <w:tcPr>
            <w:tcW w:w="1400" w:type="dxa"/>
            <w:tcBorders>
              <w:top w:val="nil"/>
              <w:left w:val="nil"/>
              <w:bottom w:val="single" w:sz="4" w:space="0" w:color="auto"/>
              <w:right w:val="single" w:sz="4" w:space="0" w:color="auto"/>
            </w:tcBorders>
            <w:shd w:val="clear" w:color="auto" w:fill="99CCFF"/>
            <w:vAlign w:val="center"/>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874</w:t>
            </w:r>
          </w:p>
        </w:tc>
        <w:tc>
          <w:tcPr>
            <w:tcW w:w="1572" w:type="dxa"/>
            <w:tcBorders>
              <w:top w:val="nil"/>
              <w:left w:val="nil"/>
              <w:bottom w:val="single" w:sz="4" w:space="0" w:color="auto"/>
              <w:right w:val="single" w:sz="4" w:space="0" w:color="auto"/>
            </w:tcBorders>
            <w:shd w:val="clear" w:color="auto" w:fill="99CCFF"/>
            <w:noWrap/>
            <w:vAlign w:val="bottom"/>
          </w:tcPr>
          <w:p w:rsidR="00D048EE" w:rsidRPr="002152E4" w:rsidRDefault="00D048EE" w:rsidP="00D048EE">
            <w:pPr>
              <w:jc w:val="center"/>
              <w:rPr>
                <w:rFonts w:ascii="Cambria" w:hAnsi="Cambria" w:cs="Arial"/>
                <w:b/>
                <w:bCs/>
                <w:lang w:val="ro-RO" w:eastAsia="ro-RO"/>
              </w:rPr>
            </w:pPr>
            <w:r w:rsidRPr="002152E4">
              <w:rPr>
                <w:rFonts w:ascii="Cambria" w:hAnsi="Cambria" w:cs="Arial"/>
                <w:b/>
                <w:bCs/>
                <w:lang w:val="ro-RO" w:eastAsia="ro-RO"/>
              </w:rPr>
              <w:t>1083</w:t>
            </w:r>
          </w:p>
        </w:tc>
      </w:tr>
    </w:tbl>
    <w:p w:rsidR="00D048EE" w:rsidRPr="002152E4" w:rsidRDefault="00D048EE" w:rsidP="00D048EE">
      <w:pPr>
        <w:shd w:val="clear" w:color="auto" w:fill="FFFFFF"/>
        <w:spacing w:line="360" w:lineRule="auto"/>
        <w:jc w:val="both"/>
        <w:rPr>
          <w:lang w:val="ro-RO"/>
        </w:rPr>
      </w:pPr>
    </w:p>
    <w:p w:rsidR="00D048EE" w:rsidRPr="002152E4" w:rsidRDefault="00D048EE" w:rsidP="00D048EE">
      <w:pPr>
        <w:shd w:val="clear" w:color="auto" w:fill="FFFFFF"/>
        <w:spacing w:line="360" w:lineRule="auto"/>
        <w:jc w:val="both"/>
        <w:rPr>
          <w:lang w:val="ro-RO"/>
        </w:rPr>
      </w:pPr>
    </w:p>
    <w:p w:rsidR="00613FA7" w:rsidRPr="002152E4" w:rsidRDefault="00613FA7" w:rsidP="00D04B80">
      <w:pPr>
        <w:pStyle w:val="Heading4"/>
      </w:pPr>
      <w:bookmarkStart w:id="196" w:name="_Toc475363439"/>
      <w:r w:rsidRPr="002152E4">
        <w:lastRenderedPageBreak/>
        <w:t>Anexa 2</w:t>
      </w:r>
      <w:bookmarkEnd w:id="196"/>
      <w:r w:rsidRPr="002152E4">
        <w:t xml:space="preserve">  </w:t>
      </w:r>
    </w:p>
    <w:tbl>
      <w:tblPr>
        <w:tblW w:w="9939" w:type="dxa"/>
        <w:tblInd w:w="93" w:type="dxa"/>
        <w:tblLook w:val="0000" w:firstRow="0" w:lastRow="0" w:firstColumn="0" w:lastColumn="0" w:noHBand="0" w:noVBand="0"/>
      </w:tblPr>
      <w:tblGrid>
        <w:gridCol w:w="960"/>
        <w:gridCol w:w="3015"/>
        <w:gridCol w:w="2340"/>
        <w:gridCol w:w="1260"/>
        <w:gridCol w:w="1284"/>
        <w:gridCol w:w="1080"/>
      </w:tblGrid>
      <w:tr w:rsidR="007442AA" w:rsidRPr="00631BB4" w:rsidTr="007442AA">
        <w:trPr>
          <w:trHeight w:val="300"/>
        </w:trPr>
        <w:tc>
          <w:tcPr>
            <w:tcW w:w="960" w:type="dxa"/>
            <w:tcBorders>
              <w:top w:val="single" w:sz="12" w:space="0" w:color="auto"/>
              <w:left w:val="single" w:sz="12" w:space="0" w:color="auto"/>
              <w:bottom w:val="nil"/>
              <w:right w:val="nil"/>
            </w:tcBorders>
            <w:shd w:val="clear" w:color="auto" w:fill="E0E0E0"/>
            <w:noWrap/>
            <w:vAlign w:val="bottom"/>
          </w:tcPr>
          <w:p w:rsidR="007442AA" w:rsidRPr="002152E4" w:rsidRDefault="007442AA" w:rsidP="007442AA">
            <w:pPr>
              <w:jc w:val="center"/>
              <w:rPr>
                <w:lang w:val="ro-RO"/>
              </w:rPr>
            </w:pPr>
            <w:r w:rsidRPr="002152E4">
              <w:rPr>
                <w:lang w:val="ro-RO"/>
              </w:rPr>
              <w:tab/>
            </w:r>
          </w:p>
        </w:tc>
        <w:tc>
          <w:tcPr>
            <w:tcW w:w="7899" w:type="dxa"/>
            <w:gridSpan w:val="4"/>
            <w:tcBorders>
              <w:top w:val="single" w:sz="12" w:space="0" w:color="auto"/>
              <w:left w:val="nil"/>
              <w:bottom w:val="nil"/>
              <w:right w:val="nil"/>
            </w:tcBorders>
            <w:shd w:val="clear" w:color="auto" w:fill="E0E0E0"/>
            <w:noWrap/>
            <w:vAlign w:val="bottom"/>
          </w:tcPr>
          <w:p w:rsidR="007442AA" w:rsidRPr="002152E4" w:rsidRDefault="007442AA" w:rsidP="007442AA">
            <w:pPr>
              <w:jc w:val="center"/>
              <w:rPr>
                <w:b/>
                <w:bCs/>
                <w:lang w:val="ro-RO"/>
              </w:rPr>
            </w:pPr>
            <w:r w:rsidRPr="002152E4">
              <w:rPr>
                <w:b/>
                <w:bCs/>
                <w:lang w:val="ro-RO"/>
              </w:rPr>
              <w:t>Activitatea parchetelor de pe lângă judecătorii în anul 2016</w:t>
            </w:r>
          </w:p>
        </w:tc>
        <w:tc>
          <w:tcPr>
            <w:tcW w:w="1080" w:type="dxa"/>
            <w:tcBorders>
              <w:top w:val="single" w:sz="12" w:space="0" w:color="auto"/>
              <w:left w:val="nil"/>
              <w:bottom w:val="nil"/>
              <w:right w:val="single" w:sz="12" w:space="0" w:color="auto"/>
            </w:tcBorders>
            <w:shd w:val="clear" w:color="auto" w:fill="E0E0E0"/>
            <w:noWrap/>
            <w:vAlign w:val="bottom"/>
          </w:tcPr>
          <w:p w:rsidR="007442AA" w:rsidRPr="002152E4" w:rsidRDefault="007442AA" w:rsidP="007442AA">
            <w:pPr>
              <w:rPr>
                <w:lang w:val="ro-RO"/>
              </w:rPr>
            </w:pPr>
          </w:p>
        </w:tc>
      </w:tr>
      <w:tr w:rsidR="007442AA" w:rsidRPr="00631BB4" w:rsidTr="007442AA">
        <w:trPr>
          <w:trHeight w:val="300"/>
        </w:trPr>
        <w:tc>
          <w:tcPr>
            <w:tcW w:w="9939" w:type="dxa"/>
            <w:gridSpan w:val="6"/>
            <w:tcBorders>
              <w:top w:val="nil"/>
              <w:left w:val="single" w:sz="12" w:space="0" w:color="auto"/>
              <w:bottom w:val="single" w:sz="12" w:space="0" w:color="auto"/>
              <w:right w:val="single" w:sz="12" w:space="0" w:color="auto"/>
            </w:tcBorders>
            <w:shd w:val="clear" w:color="auto" w:fill="E0E0E0"/>
            <w:noWrap/>
            <w:vAlign w:val="bottom"/>
          </w:tcPr>
          <w:p w:rsidR="007442AA" w:rsidRPr="002152E4" w:rsidRDefault="007442AA" w:rsidP="007442AA">
            <w:pPr>
              <w:rPr>
                <w:lang w:val="ro-RO"/>
              </w:rPr>
            </w:pPr>
          </w:p>
        </w:tc>
      </w:tr>
      <w:tr w:rsidR="007442AA" w:rsidRPr="002152E4" w:rsidTr="007442AA">
        <w:trPr>
          <w:trHeight w:val="300"/>
        </w:trPr>
        <w:tc>
          <w:tcPr>
            <w:tcW w:w="960" w:type="dxa"/>
            <w:tcBorders>
              <w:top w:val="single" w:sz="12" w:space="0" w:color="auto"/>
              <w:left w:val="single" w:sz="12" w:space="0" w:color="auto"/>
              <w:bottom w:val="nil"/>
              <w:right w:val="nil"/>
            </w:tcBorders>
            <w:shd w:val="clear" w:color="auto" w:fill="E0E0E0"/>
            <w:noWrap/>
            <w:vAlign w:val="bottom"/>
          </w:tcPr>
          <w:p w:rsidR="007442AA" w:rsidRPr="002152E4" w:rsidRDefault="007442AA" w:rsidP="007442AA">
            <w:pPr>
              <w:jc w:val="center"/>
              <w:rPr>
                <w:lang w:val="ro-RO"/>
              </w:rPr>
            </w:pPr>
          </w:p>
        </w:tc>
        <w:tc>
          <w:tcPr>
            <w:tcW w:w="3015" w:type="dxa"/>
            <w:tcBorders>
              <w:top w:val="single" w:sz="12" w:space="0" w:color="auto"/>
              <w:left w:val="nil"/>
              <w:bottom w:val="nil"/>
              <w:right w:val="nil"/>
            </w:tcBorders>
            <w:shd w:val="clear" w:color="auto" w:fill="E0E0E0"/>
            <w:noWrap/>
            <w:vAlign w:val="bottom"/>
          </w:tcPr>
          <w:p w:rsidR="007442AA" w:rsidRPr="002152E4" w:rsidRDefault="007442AA" w:rsidP="007442AA">
            <w:pPr>
              <w:rPr>
                <w:lang w:val="ro-RO"/>
              </w:rPr>
            </w:pPr>
          </w:p>
        </w:tc>
        <w:tc>
          <w:tcPr>
            <w:tcW w:w="3600" w:type="dxa"/>
            <w:gridSpan w:val="2"/>
            <w:tcBorders>
              <w:top w:val="single" w:sz="12" w:space="0" w:color="auto"/>
              <w:left w:val="nil"/>
              <w:bottom w:val="nil"/>
              <w:right w:val="nil"/>
            </w:tcBorders>
            <w:shd w:val="clear" w:color="auto" w:fill="E0E0E0"/>
            <w:noWrap/>
            <w:vAlign w:val="bottom"/>
          </w:tcPr>
          <w:p w:rsidR="007442AA" w:rsidRPr="002152E4" w:rsidRDefault="007442AA" w:rsidP="007442AA">
            <w:pPr>
              <w:rPr>
                <w:b/>
                <w:bCs/>
                <w:lang w:val="ro-RO"/>
              </w:rPr>
            </w:pPr>
            <w:r w:rsidRPr="002152E4">
              <w:rPr>
                <w:b/>
                <w:bCs/>
                <w:lang w:val="ro-RO"/>
              </w:rPr>
              <w:t>media naţională pe procuror</w:t>
            </w:r>
          </w:p>
        </w:tc>
        <w:tc>
          <w:tcPr>
            <w:tcW w:w="2364" w:type="dxa"/>
            <w:gridSpan w:val="2"/>
            <w:vMerge w:val="restart"/>
            <w:tcBorders>
              <w:top w:val="single" w:sz="12" w:space="0" w:color="auto"/>
              <w:left w:val="nil"/>
              <w:right w:val="single" w:sz="12" w:space="0" w:color="auto"/>
            </w:tcBorders>
            <w:shd w:val="clear" w:color="auto" w:fill="E0E0E0"/>
            <w:noWrap/>
            <w:vAlign w:val="bottom"/>
          </w:tcPr>
          <w:p w:rsidR="007442AA" w:rsidRPr="002152E4" w:rsidRDefault="007442AA" w:rsidP="007442AA">
            <w:pPr>
              <w:jc w:val="center"/>
              <w:rPr>
                <w:b/>
                <w:lang w:val="ro-RO"/>
              </w:rPr>
            </w:pPr>
            <w:r w:rsidRPr="002152E4">
              <w:rPr>
                <w:b/>
                <w:lang w:val="ro-RO"/>
              </w:rPr>
              <w:t>1480</w:t>
            </w:r>
          </w:p>
          <w:p w:rsidR="007442AA" w:rsidRPr="002152E4" w:rsidRDefault="007442AA" w:rsidP="007442AA">
            <w:pPr>
              <w:jc w:val="center"/>
              <w:rPr>
                <w:b/>
                <w:lang w:val="ro-RO"/>
              </w:rPr>
            </w:pPr>
          </w:p>
          <w:p w:rsidR="007442AA" w:rsidRPr="002152E4" w:rsidRDefault="007442AA" w:rsidP="007442AA">
            <w:pPr>
              <w:jc w:val="center"/>
              <w:rPr>
                <w:lang w:val="ro-RO"/>
              </w:rPr>
            </w:pPr>
            <w:r w:rsidRPr="002152E4">
              <w:rPr>
                <w:b/>
                <w:lang w:val="ro-RO"/>
              </w:rPr>
              <w:t>1218</w:t>
            </w:r>
          </w:p>
        </w:tc>
      </w:tr>
      <w:tr w:rsidR="007442AA" w:rsidRPr="002152E4" w:rsidTr="007442AA">
        <w:trPr>
          <w:trHeight w:val="300"/>
        </w:trPr>
        <w:tc>
          <w:tcPr>
            <w:tcW w:w="960" w:type="dxa"/>
            <w:tcBorders>
              <w:top w:val="nil"/>
              <w:left w:val="single" w:sz="12" w:space="0" w:color="auto"/>
              <w:bottom w:val="single" w:sz="12" w:space="0" w:color="auto"/>
              <w:right w:val="nil"/>
            </w:tcBorders>
            <w:shd w:val="clear" w:color="auto" w:fill="E0E0E0"/>
            <w:noWrap/>
            <w:vAlign w:val="bottom"/>
          </w:tcPr>
          <w:p w:rsidR="007442AA" w:rsidRPr="002152E4" w:rsidRDefault="007442AA" w:rsidP="007442AA">
            <w:pPr>
              <w:jc w:val="center"/>
              <w:rPr>
                <w:lang w:val="ro-RO"/>
              </w:rPr>
            </w:pPr>
          </w:p>
        </w:tc>
        <w:tc>
          <w:tcPr>
            <w:tcW w:w="3015" w:type="dxa"/>
            <w:tcBorders>
              <w:top w:val="nil"/>
              <w:left w:val="nil"/>
              <w:bottom w:val="single" w:sz="12" w:space="0" w:color="auto"/>
              <w:right w:val="nil"/>
            </w:tcBorders>
            <w:shd w:val="clear" w:color="auto" w:fill="E0E0E0"/>
            <w:noWrap/>
            <w:vAlign w:val="bottom"/>
          </w:tcPr>
          <w:p w:rsidR="007442AA" w:rsidRPr="002152E4" w:rsidRDefault="007442AA" w:rsidP="007442AA">
            <w:pPr>
              <w:rPr>
                <w:lang w:val="ro-RO"/>
              </w:rPr>
            </w:pPr>
          </w:p>
        </w:tc>
        <w:tc>
          <w:tcPr>
            <w:tcW w:w="3600" w:type="dxa"/>
            <w:gridSpan w:val="2"/>
            <w:tcBorders>
              <w:top w:val="nil"/>
              <w:left w:val="nil"/>
              <w:bottom w:val="single" w:sz="12" w:space="0" w:color="auto"/>
              <w:right w:val="nil"/>
            </w:tcBorders>
            <w:shd w:val="clear" w:color="auto" w:fill="E0E0E0"/>
            <w:noWrap/>
            <w:vAlign w:val="bottom"/>
          </w:tcPr>
          <w:p w:rsidR="007442AA" w:rsidRPr="002152E4" w:rsidRDefault="007442AA" w:rsidP="007442AA">
            <w:pPr>
              <w:rPr>
                <w:b/>
                <w:bCs/>
                <w:lang w:val="ro-RO"/>
              </w:rPr>
            </w:pPr>
            <w:r w:rsidRPr="002152E4">
              <w:rPr>
                <w:b/>
                <w:bCs/>
                <w:lang w:val="ro-RO"/>
              </w:rPr>
              <w:t xml:space="preserve">media naţională pe schemă </w:t>
            </w:r>
          </w:p>
        </w:tc>
        <w:tc>
          <w:tcPr>
            <w:tcW w:w="2364" w:type="dxa"/>
            <w:gridSpan w:val="2"/>
            <w:vMerge/>
            <w:tcBorders>
              <w:left w:val="nil"/>
              <w:bottom w:val="single" w:sz="12" w:space="0" w:color="auto"/>
              <w:right w:val="single" w:sz="12" w:space="0" w:color="auto"/>
            </w:tcBorders>
            <w:shd w:val="clear" w:color="auto" w:fill="FFFFFF"/>
            <w:noWrap/>
            <w:vAlign w:val="bottom"/>
          </w:tcPr>
          <w:p w:rsidR="007442AA" w:rsidRPr="002152E4" w:rsidRDefault="007442AA" w:rsidP="007442AA">
            <w:pPr>
              <w:rPr>
                <w:lang w:val="ro-RO"/>
              </w:rPr>
            </w:pPr>
          </w:p>
        </w:tc>
      </w:tr>
      <w:tr w:rsidR="007442AA" w:rsidRPr="002152E4" w:rsidTr="007442AA">
        <w:trPr>
          <w:trHeight w:val="630"/>
        </w:trPr>
        <w:tc>
          <w:tcPr>
            <w:tcW w:w="960"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7442AA" w:rsidRPr="002152E4" w:rsidRDefault="007442AA" w:rsidP="007442AA">
            <w:pPr>
              <w:jc w:val="center"/>
              <w:rPr>
                <w:b/>
                <w:lang w:val="ro-RO"/>
              </w:rPr>
            </w:pPr>
            <w:r w:rsidRPr="002152E4">
              <w:rPr>
                <w:b/>
                <w:lang w:val="ro-RO"/>
              </w:rPr>
              <w:t>Nr. crt.</w:t>
            </w:r>
          </w:p>
        </w:tc>
        <w:tc>
          <w:tcPr>
            <w:tcW w:w="3015" w:type="dxa"/>
            <w:tcBorders>
              <w:top w:val="single" w:sz="12" w:space="0" w:color="auto"/>
              <w:left w:val="nil"/>
              <w:bottom w:val="single" w:sz="12" w:space="0" w:color="auto"/>
              <w:right w:val="single" w:sz="4" w:space="0" w:color="auto"/>
            </w:tcBorders>
            <w:shd w:val="clear" w:color="auto" w:fill="auto"/>
            <w:noWrap/>
            <w:vAlign w:val="center"/>
          </w:tcPr>
          <w:p w:rsidR="007442AA" w:rsidRPr="002152E4" w:rsidRDefault="007442AA" w:rsidP="007442AA">
            <w:pPr>
              <w:jc w:val="center"/>
              <w:rPr>
                <w:b/>
                <w:lang w:val="ro-RO"/>
              </w:rPr>
            </w:pPr>
            <w:r w:rsidRPr="002152E4">
              <w:rPr>
                <w:b/>
                <w:lang w:val="ro-RO"/>
              </w:rPr>
              <w:t>Parchetul de pe lângă Judecătoria</w:t>
            </w:r>
          </w:p>
        </w:tc>
        <w:tc>
          <w:tcPr>
            <w:tcW w:w="2340"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de soluţionat (volum)</w:t>
            </w:r>
          </w:p>
        </w:tc>
        <w:tc>
          <w:tcPr>
            <w:tcW w:w="1260"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pe procuror</w:t>
            </w:r>
          </w:p>
        </w:tc>
        <w:tc>
          <w:tcPr>
            <w:tcW w:w="1284"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pe schema</w:t>
            </w:r>
          </w:p>
        </w:tc>
        <w:tc>
          <w:tcPr>
            <w:tcW w:w="1080" w:type="dxa"/>
            <w:tcBorders>
              <w:top w:val="single" w:sz="12" w:space="0" w:color="auto"/>
              <w:left w:val="nil"/>
              <w:bottom w:val="single" w:sz="12" w:space="0" w:color="auto"/>
              <w:right w:val="single" w:sz="12" w:space="0" w:color="auto"/>
            </w:tcBorders>
            <w:shd w:val="clear" w:color="auto" w:fill="auto"/>
            <w:vAlign w:val="center"/>
          </w:tcPr>
          <w:p w:rsidR="007442AA" w:rsidRPr="002152E4" w:rsidRDefault="007442AA" w:rsidP="007442AA">
            <w:pPr>
              <w:jc w:val="center"/>
              <w:rPr>
                <w:b/>
                <w:lang w:val="ro-RO"/>
              </w:rPr>
            </w:pPr>
            <w:r w:rsidRPr="002152E4">
              <w:rPr>
                <w:b/>
                <w:lang w:val="ro-RO"/>
              </w:rPr>
              <w:t>Posturi ocupate efectiv</w:t>
            </w:r>
          </w:p>
        </w:tc>
      </w:tr>
      <w:tr w:rsidR="007442AA" w:rsidRPr="002152E4" w:rsidTr="007442AA">
        <w:trPr>
          <w:trHeight w:val="300"/>
        </w:trPr>
        <w:tc>
          <w:tcPr>
            <w:tcW w:w="960"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w:t>
            </w:r>
          </w:p>
        </w:tc>
        <w:tc>
          <w:tcPr>
            <w:tcW w:w="3015" w:type="dxa"/>
            <w:tcBorders>
              <w:top w:val="single" w:sz="12" w:space="0" w:color="auto"/>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ADJUD</w:t>
            </w:r>
          </w:p>
        </w:tc>
        <w:tc>
          <w:tcPr>
            <w:tcW w:w="2340" w:type="dxa"/>
            <w:tcBorders>
              <w:top w:val="single" w:sz="12" w:space="0" w:color="auto"/>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1937</w:t>
            </w:r>
          </w:p>
        </w:tc>
        <w:tc>
          <w:tcPr>
            <w:tcW w:w="1260" w:type="dxa"/>
            <w:tcBorders>
              <w:top w:val="single" w:sz="12"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968.5</w:t>
            </w:r>
          </w:p>
        </w:tc>
        <w:tc>
          <w:tcPr>
            <w:tcW w:w="1284" w:type="dxa"/>
            <w:tcBorders>
              <w:top w:val="single" w:sz="12"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645.67</w:t>
            </w:r>
          </w:p>
        </w:tc>
        <w:tc>
          <w:tcPr>
            <w:tcW w:w="1080" w:type="dxa"/>
            <w:tcBorders>
              <w:top w:val="single" w:sz="12" w:space="0" w:color="auto"/>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AGNITA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1138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1138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379.33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AIUD</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3923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980.75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980.75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ALBA IULIA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10949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1368.63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1216.56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8</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ALESD</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1701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ALEXANDRIA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6687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835.88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835.88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8</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ARAD</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20784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1385.6</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1222.59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AVRIG</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1506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502</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502</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BABADAG</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2826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1413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942</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BACAU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20850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1603.85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1097.37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BAIA DE ARAMA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908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908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302.67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BAIA MARE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13633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1048.69</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973.79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BAILESTI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4643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1160.75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928.6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BALCESTI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2483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1241.5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827.67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BALS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2451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817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612.75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BARLAD</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18626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1693.27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1552.17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BECLEAN</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2381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2381</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793.67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BEIUS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2552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1276</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638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BICAZ</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1996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665.33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499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BISTRITA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9842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1230.25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1230.25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8</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BLAJ</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1401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BOLINTIN VALE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5581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1395.25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1395.25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BOTOSANI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14095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1566.11</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1174.58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BRAD</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1601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800.5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533.67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BRAILA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14616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2088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1124.31</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7</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BRASOV</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34560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1329.23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1280</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BREZOI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2358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786</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786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BUFTEA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21582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1438.8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1199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BUHUSI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1686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1686</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562</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BUZAU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15460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1189.23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1030.67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CALAFAT</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2274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1137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758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CALARASI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11978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1996.33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1330.89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CAMPENI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2180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726.67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726.67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CAMPINA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8505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1215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1063.13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7</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CAMPULUNG</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5523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1104.6</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920.5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CAMPULUNG  MOLDOVENESC</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3529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1764.5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882.25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CARACAL</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6743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1685.75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1123.83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BA4ADF">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CARANSEBES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5403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900.5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771.86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BA4AD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lastRenderedPageBreak/>
              <w:t>39</w:t>
            </w:r>
          </w:p>
        </w:tc>
        <w:tc>
          <w:tcPr>
            <w:tcW w:w="3015" w:type="dxa"/>
            <w:tcBorders>
              <w:top w:val="single" w:sz="4" w:space="0" w:color="auto"/>
              <w:left w:val="single" w:sz="4" w:space="0" w:color="auto"/>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CAREI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3222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1074</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805.5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BA4ADF">
        <w:trPr>
          <w:trHeight w:val="300"/>
        </w:trPr>
        <w:tc>
          <w:tcPr>
            <w:tcW w:w="960"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40</w:t>
            </w:r>
          </w:p>
        </w:tc>
        <w:tc>
          <w:tcPr>
            <w:tcW w:w="3015" w:type="dxa"/>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CHISINEU CRIS</w:t>
            </w:r>
          </w:p>
        </w:tc>
        <w:tc>
          <w:tcPr>
            <w:tcW w:w="2340" w:type="dxa"/>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1462</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487.33</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487.33</w:t>
            </w:r>
          </w:p>
        </w:tc>
        <w:tc>
          <w:tcPr>
            <w:tcW w:w="1080" w:type="dxa"/>
            <w:tcBorders>
              <w:top w:val="single" w:sz="4" w:space="0" w:color="auto"/>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CLUJ-NAPOCA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45618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1754.54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1689.56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CONSTANTA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68186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2841.08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2351.24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CORABIA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3325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1108.33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831.25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CORNETU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19381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1615.08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1490.85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COSTESTI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3577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1788.5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1192.33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CRAIOVA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33223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1582.05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1384.29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CURTEA DE ARGES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4978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1244.5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1244.5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DARABANI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1563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1563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521</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DEJ</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2280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760</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760</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DETA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2477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825.67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825.67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DEVA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7868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1124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874.22</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7</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DOROHOI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3629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1209.67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1209.67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DRAGASANI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2819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704.75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563.8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DRAGOMIRESTI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1342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447.33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447.33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DROBETA-TURNU SEVERIN</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9514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1057.11</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792.83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FAGARAS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3666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916.5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916.5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FAGET</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1236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412</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412</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FALTICENI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5673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1418.25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1134.6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FAUREI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3731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1865.5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1243.67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FETESTI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6618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1323.6</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1103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FILIASI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1835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611.67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458.75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FOCSANI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11058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1228.67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921.5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GAESTI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5694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1138.8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1138.8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GALATI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22829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1521.93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1087.1</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GHEORGHENI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2485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1242.5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828.33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GHERLA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4006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801.2</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801.2</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GIURGIU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13175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1463.89</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1197.73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GURA HONT</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985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492.5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328.33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GURA HUMORULUI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3347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1115.67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836.75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HARLAU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4623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1541</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924.6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HARSOVA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3180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1590</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1060</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HATEG</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2480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826.67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826.67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HOREZU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3289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822.25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548.17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HUEDIN</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3475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1158.33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1158.33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HUNEDOARA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6762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1352.4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845.25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HUSI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5894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1178.8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1178.8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IASI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56897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2370.71</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1961.97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INEU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1555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518.33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518.33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INSURATEI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2507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1253.5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835.67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INTORSURA BUZAULUI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571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285.5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190.33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JIBOU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2710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903.33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903.33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LEHLIU-GARA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5014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1671.33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1253.5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LIESTI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3219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1073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1073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LIPOVA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2240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2240</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746.67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LUDUS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2756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2756</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918.67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LUGOJ</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5291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1058.2</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881.83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w:t>
            </w:r>
          </w:p>
        </w:tc>
      </w:tr>
      <w:tr w:rsidR="007442AA" w:rsidRPr="002152E4" w:rsidTr="00BA4ADF">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MACIN</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1747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1747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582.33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w:t>
            </w:r>
          </w:p>
        </w:tc>
      </w:tr>
      <w:tr w:rsidR="007442AA" w:rsidRPr="002152E4" w:rsidTr="00BA4AD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lastRenderedPageBreak/>
              <w:t>88</w:t>
            </w:r>
          </w:p>
        </w:tc>
        <w:tc>
          <w:tcPr>
            <w:tcW w:w="3015" w:type="dxa"/>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MANGALIA</w:t>
            </w:r>
          </w:p>
        </w:tc>
        <w:tc>
          <w:tcPr>
            <w:tcW w:w="2340" w:type="dxa"/>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10649</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1774.83</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1774.83</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MARGHITA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2588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1294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647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MEDGIDIA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11939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1492.38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1326.56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8</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MEDIAS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4251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708.5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708.5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MIERCUREA CIUC</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5408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1802.67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1081.6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MIZIL</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2313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771</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771</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MOINESTI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4478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1119.5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639.71</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MOLDOVA-NOUA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1234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1234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411.33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MORENI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3251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1083.67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1083.67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MOTRU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4144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1036</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1036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NASAUD</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3548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1774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887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NEGRESTI-OAS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2107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1053.5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702.33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NOVACI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2382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794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794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ODORHEIUL SECUIESC</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2974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1487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743.5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OLTENITA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8717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1452.83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1245.29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ONESTI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6290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1048.33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898.57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ORADEA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17027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1064.19</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896.16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ORASTIE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2007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1003.5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669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ORAVITA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2463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1231.5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821</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ORSOVA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985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328.33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328.33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PANCIU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1563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1563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390.75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PASCANI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11964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1329.33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1196.4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PATARLAGELE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2233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558.25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558.25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PETROSANI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13581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1358.1</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1234.64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10</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PIATRA-NEAMT</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12866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1169.64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1072.17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PITESTI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24652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1540.75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1297.47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PLOIESTI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30528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1526.4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1327.3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20</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PODU TURCULUI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1457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728.5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485.67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POGOANELE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1764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588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588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PUCIOASA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3510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1170</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1170</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RACARI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5306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1326.5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1326.5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RADAUTI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10291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1715.17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1470.14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RADUCANENI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3301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1100.33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825.25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RAMNICU SARAT</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4320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1080</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864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RAMNICU VALCEA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15096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1161.23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1161.23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REGHIN</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5800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966.67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828.57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RESITA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7438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1239.67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929.75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ROMAN</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10376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1482.29</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1152.89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7</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ROSIORI DE VEDE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3590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598.33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512.86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RUPEA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1669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556.33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556.33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SALISTE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1249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416.33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416.33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SALONTA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2143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1071.5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714.33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SANNICOLAUL MARE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2935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1467.5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978.33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SATU MARE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11666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1666.57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897.38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7</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SAVENI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2907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1453.5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969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SEBES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3462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1154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1154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SECTORUL 1 - BUCURESTI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58622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1954.07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1628.39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30</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SECTORUL 2 - BUCURESTI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68744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2644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2148.25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26</w:t>
            </w:r>
          </w:p>
        </w:tc>
      </w:tr>
      <w:tr w:rsidR="007442AA" w:rsidRPr="002152E4" w:rsidTr="00BA4ADF">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SECTORUL 3 - BUCURESTI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68500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2362.07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2209.68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29</w:t>
            </w:r>
          </w:p>
        </w:tc>
      </w:tr>
      <w:tr w:rsidR="007442AA" w:rsidRPr="002152E4" w:rsidTr="00BA4AD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lastRenderedPageBreak/>
              <w:t>137</w:t>
            </w:r>
          </w:p>
        </w:tc>
        <w:tc>
          <w:tcPr>
            <w:tcW w:w="3015" w:type="dxa"/>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SECTORUL 4 - BUCURESTI</w:t>
            </w:r>
          </w:p>
        </w:tc>
        <w:tc>
          <w:tcPr>
            <w:tcW w:w="2340" w:type="dxa"/>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53738</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2239.08</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2066.85</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SECTORUL 5 - BUCURESTI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46327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1930.29</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1853.08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SECTORUL 6 - BUCURESTI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59428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2377.12</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2122.43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SEGARCEA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2413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1206.5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603.25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SFANTU GHEORGHE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4481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746.83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746.83</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SIBIU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17965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1796.5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1381.92</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10</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SIGHETU MARMATIEI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5152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1288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1030.4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SIGHISOARA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4937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987.4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987.4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SIMLEUL SILVANIEI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2763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921</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921</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SINAIA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1632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544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408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SLATINA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12894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1289.4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1074.5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10</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SLOBOZIA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7300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1042.86</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912.5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7</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STREHAIA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2400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2400</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600</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SUCEAVA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15374</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1921.75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1397.64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8</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TARGOVISTE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20216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2246.22</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1684.67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TARGU BUJOR</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4752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1584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1188</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TARGU JIU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12156</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935.08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868.29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TARGU LAPUS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1662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831</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554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TARGU MURES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21109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1507.79</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1319.31</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TARGU NEAMT</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4299</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2149.5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1074.75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TARGU SECUIESC</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2458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819.33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614.5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TARGU-CARBUNESTI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4410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882</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630</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TARNAVENI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2867</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955.67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955.67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TECUCI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8882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1268.86</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1268.86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7</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TIMISOARA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42548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1701.92</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1372.52</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25</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TOPLITA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1991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663.67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663.67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TOPOLOVENI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3120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1560</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1040</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TULCEA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11175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1396.88</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1117.5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8</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TURDA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7448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1064</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1064</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7</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TURNU MAGURELE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3488</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1162.67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872</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167</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URZICENI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6670</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952.86</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833.75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7</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168</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VALENII DE MUNTE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4703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1175.75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940.6</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169</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VANJU MARE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4095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2047.5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819</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170</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VASLUI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14905</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1863.13</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1656.11</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8</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171</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VATRA DORNEI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2601</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172</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VIDELE</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2363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1181.5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590.75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173</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VISEU DE SUS</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6902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3451</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2300.67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174</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ZALAU</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5452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908.67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908.67</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175</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ZARNESTI</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2942</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980.67</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735.5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3</w:t>
            </w:r>
          </w:p>
        </w:tc>
      </w:tr>
      <w:tr w:rsidR="007442AA" w:rsidRPr="002152E4" w:rsidTr="007442AA">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176</w:t>
            </w:r>
          </w:p>
        </w:tc>
        <w:tc>
          <w:tcPr>
            <w:tcW w:w="3015"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ZIMNICEA</w:t>
            </w:r>
          </w:p>
        </w:tc>
        <w:tc>
          <w:tcPr>
            <w:tcW w:w="234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2123</w:t>
            </w:r>
          </w:p>
        </w:tc>
        <w:tc>
          <w:tcPr>
            <w:tcW w:w="1260"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530.75</w:t>
            </w:r>
          </w:p>
        </w:tc>
        <w:tc>
          <w:tcPr>
            <w:tcW w:w="1284"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530.75</w:t>
            </w:r>
          </w:p>
        </w:tc>
        <w:tc>
          <w:tcPr>
            <w:tcW w:w="1080"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4</w:t>
            </w:r>
          </w:p>
        </w:tc>
      </w:tr>
      <w:tr w:rsidR="007442AA" w:rsidRPr="002152E4" w:rsidTr="007442AA">
        <w:trPr>
          <w:trHeight w:val="300"/>
        </w:trPr>
        <w:tc>
          <w:tcPr>
            <w:tcW w:w="960" w:type="dxa"/>
            <w:tcBorders>
              <w:top w:val="single" w:sz="4" w:space="0" w:color="auto"/>
              <w:left w:val="single" w:sz="12" w:space="0" w:color="auto"/>
              <w:bottom w:val="single" w:sz="12" w:space="0" w:color="auto"/>
              <w:right w:val="single" w:sz="4" w:space="0" w:color="auto"/>
            </w:tcBorders>
            <w:shd w:val="clear" w:color="auto" w:fill="E0E0E0"/>
            <w:noWrap/>
            <w:vAlign w:val="bottom"/>
          </w:tcPr>
          <w:p w:rsidR="007442AA" w:rsidRPr="002152E4" w:rsidRDefault="007442AA" w:rsidP="007442AA">
            <w:pPr>
              <w:jc w:val="center"/>
              <w:rPr>
                <w:b/>
                <w:lang w:val="ro-RO"/>
              </w:rPr>
            </w:pPr>
            <w:r w:rsidRPr="002152E4">
              <w:rPr>
                <w:b/>
                <w:lang w:val="ro-RO"/>
              </w:rPr>
              <w:t> </w:t>
            </w:r>
          </w:p>
        </w:tc>
        <w:tc>
          <w:tcPr>
            <w:tcW w:w="3015" w:type="dxa"/>
            <w:tcBorders>
              <w:top w:val="single" w:sz="4" w:space="0" w:color="auto"/>
              <w:left w:val="nil"/>
              <w:bottom w:val="single" w:sz="12" w:space="0" w:color="auto"/>
              <w:right w:val="single" w:sz="4" w:space="0" w:color="auto"/>
            </w:tcBorders>
            <w:shd w:val="clear" w:color="auto" w:fill="E0E0E0"/>
            <w:noWrap/>
            <w:vAlign w:val="bottom"/>
          </w:tcPr>
          <w:p w:rsidR="007442AA" w:rsidRPr="002152E4" w:rsidRDefault="007442AA" w:rsidP="007442AA">
            <w:pPr>
              <w:jc w:val="center"/>
              <w:rPr>
                <w:b/>
                <w:bCs/>
                <w:lang w:val="ro-RO"/>
              </w:rPr>
            </w:pPr>
            <w:r w:rsidRPr="002152E4">
              <w:rPr>
                <w:b/>
                <w:bCs/>
                <w:lang w:val="ro-RO"/>
              </w:rPr>
              <w:t>Total</w:t>
            </w:r>
          </w:p>
        </w:tc>
        <w:tc>
          <w:tcPr>
            <w:tcW w:w="2340" w:type="dxa"/>
            <w:tcBorders>
              <w:top w:val="single" w:sz="4" w:space="0" w:color="auto"/>
              <w:left w:val="nil"/>
              <w:bottom w:val="single" w:sz="12" w:space="0" w:color="auto"/>
              <w:right w:val="single" w:sz="4" w:space="0" w:color="auto"/>
            </w:tcBorders>
            <w:shd w:val="clear" w:color="auto" w:fill="E0E0E0"/>
            <w:noWrap/>
            <w:vAlign w:val="bottom"/>
          </w:tcPr>
          <w:p w:rsidR="007442AA" w:rsidRPr="002152E4" w:rsidRDefault="007442AA" w:rsidP="007442AA">
            <w:pPr>
              <w:jc w:val="center"/>
              <w:rPr>
                <w:lang w:val="ro-RO"/>
              </w:rPr>
            </w:pPr>
            <w:r w:rsidRPr="002152E4">
              <w:rPr>
                <w:b/>
                <w:bCs/>
                <w:lang w:val="ro-RO"/>
              </w:rPr>
              <w:t>1638332</w:t>
            </w:r>
          </w:p>
        </w:tc>
        <w:tc>
          <w:tcPr>
            <w:tcW w:w="1260" w:type="dxa"/>
            <w:tcBorders>
              <w:top w:val="single" w:sz="4" w:space="0" w:color="auto"/>
              <w:left w:val="nil"/>
              <w:bottom w:val="single" w:sz="12" w:space="0" w:color="auto"/>
              <w:right w:val="single" w:sz="4" w:space="0" w:color="auto"/>
            </w:tcBorders>
            <w:shd w:val="clear" w:color="auto" w:fill="E0E0E0"/>
            <w:noWrap/>
            <w:vAlign w:val="bottom"/>
          </w:tcPr>
          <w:p w:rsidR="007442AA" w:rsidRPr="002152E4" w:rsidRDefault="007442AA" w:rsidP="007442AA">
            <w:pPr>
              <w:jc w:val="center"/>
              <w:rPr>
                <w:b/>
                <w:lang w:val="ro-RO" w:eastAsia="ro-RO"/>
              </w:rPr>
            </w:pPr>
            <w:r w:rsidRPr="002152E4">
              <w:rPr>
                <w:b/>
                <w:lang w:val="ro-RO" w:eastAsia="ro-RO"/>
              </w:rPr>
              <w:t>Media 1480</w:t>
            </w:r>
          </w:p>
        </w:tc>
        <w:tc>
          <w:tcPr>
            <w:tcW w:w="1284" w:type="dxa"/>
            <w:tcBorders>
              <w:top w:val="single" w:sz="4" w:space="0" w:color="auto"/>
              <w:left w:val="nil"/>
              <w:bottom w:val="single" w:sz="12" w:space="0" w:color="auto"/>
              <w:right w:val="single" w:sz="4" w:space="0" w:color="auto"/>
            </w:tcBorders>
            <w:shd w:val="clear" w:color="auto" w:fill="E0E0E0"/>
            <w:noWrap/>
            <w:vAlign w:val="bottom"/>
          </w:tcPr>
          <w:p w:rsidR="007442AA" w:rsidRPr="002152E4" w:rsidRDefault="007442AA" w:rsidP="007442AA">
            <w:pPr>
              <w:rPr>
                <w:b/>
                <w:lang w:val="ro-RO" w:eastAsia="ro-RO"/>
              </w:rPr>
            </w:pPr>
            <w:r w:rsidRPr="002152E4">
              <w:rPr>
                <w:b/>
                <w:lang w:val="ro-RO" w:eastAsia="ro-RO"/>
              </w:rPr>
              <w:t>Media 1218</w:t>
            </w:r>
          </w:p>
        </w:tc>
        <w:tc>
          <w:tcPr>
            <w:tcW w:w="1080" w:type="dxa"/>
            <w:tcBorders>
              <w:top w:val="single" w:sz="4" w:space="0" w:color="auto"/>
              <w:left w:val="nil"/>
              <w:bottom w:val="single" w:sz="12" w:space="0" w:color="auto"/>
              <w:right w:val="single" w:sz="12" w:space="0" w:color="auto"/>
            </w:tcBorders>
            <w:shd w:val="clear" w:color="auto" w:fill="E0E0E0"/>
            <w:noWrap/>
            <w:vAlign w:val="bottom"/>
          </w:tcPr>
          <w:p w:rsidR="007442AA" w:rsidRPr="002152E4" w:rsidRDefault="007442AA" w:rsidP="007442AA">
            <w:pPr>
              <w:jc w:val="center"/>
              <w:rPr>
                <w:b/>
                <w:lang w:val="ro-RO" w:eastAsia="ro-RO"/>
              </w:rPr>
            </w:pPr>
            <w:r w:rsidRPr="002152E4">
              <w:rPr>
                <w:b/>
                <w:lang w:val="ro-RO" w:eastAsia="ro-RO"/>
              </w:rPr>
              <w:t>1107</w:t>
            </w:r>
          </w:p>
        </w:tc>
      </w:tr>
    </w:tbl>
    <w:p w:rsidR="007442AA" w:rsidRPr="002152E4" w:rsidRDefault="007442AA" w:rsidP="007442AA">
      <w:pPr>
        <w:tabs>
          <w:tab w:val="left" w:pos="1245"/>
        </w:tabs>
        <w:rPr>
          <w:lang w:val="ro-RO"/>
        </w:rPr>
      </w:pPr>
    </w:p>
    <w:p w:rsidR="007442AA" w:rsidRPr="002152E4" w:rsidRDefault="007442AA" w:rsidP="007442AA">
      <w:pPr>
        <w:rPr>
          <w:lang w:val="ro-RO"/>
        </w:rPr>
      </w:pPr>
      <w:r w:rsidRPr="002152E4">
        <w:rPr>
          <w:lang w:val="ro-RO"/>
        </w:rPr>
        <w:br w:type="page"/>
      </w:r>
    </w:p>
    <w:tbl>
      <w:tblPr>
        <w:tblW w:w="10044" w:type="dxa"/>
        <w:tblInd w:w="93" w:type="dxa"/>
        <w:tblLook w:val="0000" w:firstRow="0" w:lastRow="0" w:firstColumn="0" w:lastColumn="0" w:noHBand="0" w:noVBand="0"/>
      </w:tblPr>
      <w:tblGrid>
        <w:gridCol w:w="871"/>
        <w:gridCol w:w="1555"/>
        <w:gridCol w:w="829"/>
        <w:gridCol w:w="1350"/>
        <w:gridCol w:w="1253"/>
        <w:gridCol w:w="1511"/>
        <w:gridCol w:w="1556"/>
        <w:gridCol w:w="1119"/>
      </w:tblGrid>
      <w:tr w:rsidR="007442AA" w:rsidRPr="00631BB4" w:rsidTr="007442AA">
        <w:trPr>
          <w:trHeight w:val="288"/>
        </w:trPr>
        <w:tc>
          <w:tcPr>
            <w:tcW w:w="871" w:type="dxa"/>
            <w:tcBorders>
              <w:top w:val="single" w:sz="12" w:space="0" w:color="auto"/>
              <w:left w:val="single" w:sz="12" w:space="0" w:color="auto"/>
              <w:right w:val="nil"/>
            </w:tcBorders>
            <w:shd w:val="clear" w:color="auto" w:fill="E0E0E0"/>
            <w:noWrap/>
            <w:vAlign w:val="bottom"/>
          </w:tcPr>
          <w:p w:rsidR="007442AA" w:rsidRPr="002152E4" w:rsidRDefault="007442AA" w:rsidP="007442AA">
            <w:pPr>
              <w:jc w:val="center"/>
              <w:rPr>
                <w:lang w:val="ro-RO"/>
              </w:rPr>
            </w:pPr>
          </w:p>
        </w:tc>
        <w:tc>
          <w:tcPr>
            <w:tcW w:w="1555" w:type="dxa"/>
            <w:tcBorders>
              <w:top w:val="single" w:sz="12" w:space="0" w:color="auto"/>
              <w:left w:val="nil"/>
              <w:right w:val="nil"/>
            </w:tcBorders>
            <w:shd w:val="clear" w:color="auto" w:fill="E0E0E0"/>
          </w:tcPr>
          <w:p w:rsidR="007442AA" w:rsidRPr="002152E4" w:rsidRDefault="007442AA" w:rsidP="007442AA">
            <w:pPr>
              <w:jc w:val="center"/>
              <w:rPr>
                <w:b/>
                <w:bCs/>
                <w:lang w:val="ro-RO"/>
              </w:rPr>
            </w:pPr>
          </w:p>
        </w:tc>
        <w:tc>
          <w:tcPr>
            <w:tcW w:w="6499" w:type="dxa"/>
            <w:gridSpan w:val="5"/>
            <w:tcBorders>
              <w:top w:val="single" w:sz="12" w:space="0" w:color="auto"/>
              <w:left w:val="nil"/>
              <w:right w:val="nil"/>
            </w:tcBorders>
            <w:shd w:val="clear" w:color="auto" w:fill="E0E0E0"/>
            <w:noWrap/>
            <w:vAlign w:val="bottom"/>
          </w:tcPr>
          <w:p w:rsidR="007442AA" w:rsidRPr="002152E4" w:rsidRDefault="007442AA" w:rsidP="007442AA">
            <w:pPr>
              <w:jc w:val="center"/>
              <w:rPr>
                <w:b/>
                <w:bCs/>
                <w:lang w:val="ro-RO"/>
              </w:rPr>
            </w:pPr>
            <w:r w:rsidRPr="002152E4">
              <w:rPr>
                <w:b/>
                <w:bCs/>
                <w:lang w:val="ro-RO"/>
              </w:rPr>
              <w:t>Activitatea parchetelor de pe lângă tribunale în anul 2016</w:t>
            </w:r>
          </w:p>
        </w:tc>
        <w:tc>
          <w:tcPr>
            <w:tcW w:w="1119" w:type="dxa"/>
            <w:tcBorders>
              <w:top w:val="single" w:sz="12" w:space="0" w:color="auto"/>
              <w:left w:val="nil"/>
              <w:right w:val="single" w:sz="12" w:space="0" w:color="auto"/>
            </w:tcBorders>
            <w:shd w:val="clear" w:color="auto" w:fill="E0E0E0"/>
            <w:noWrap/>
            <w:vAlign w:val="bottom"/>
          </w:tcPr>
          <w:p w:rsidR="007442AA" w:rsidRPr="002152E4" w:rsidRDefault="007442AA" w:rsidP="007442AA">
            <w:pPr>
              <w:rPr>
                <w:lang w:val="ro-RO"/>
              </w:rPr>
            </w:pPr>
          </w:p>
        </w:tc>
      </w:tr>
      <w:tr w:rsidR="007442AA" w:rsidRPr="002152E4" w:rsidTr="007442AA">
        <w:trPr>
          <w:trHeight w:val="288"/>
        </w:trPr>
        <w:tc>
          <w:tcPr>
            <w:tcW w:w="871" w:type="dxa"/>
            <w:tcBorders>
              <w:top w:val="single" w:sz="12" w:space="0" w:color="auto"/>
              <w:left w:val="single" w:sz="12" w:space="0" w:color="auto"/>
              <w:bottom w:val="nil"/>
              <w:right w:val="nil"/>
            </w:tcBorders>
            <w:shd w:val="clear" w:color="auto" w:fill="E0E0E0"/>
            <w:noWrap/>
            <w:vAlign w:val="bottom"/>
          </w:tcPr>
          <w:p w:rsidR="007442AA" w:rsidRPr="002152E4" w:rsidRDefault="007442AA" w:rsidP="007442AA">
            <w:pPr>
              <w:jc w:val="center"/>
              <w:rPr>
                <w:lang w:val="ro-RO"/>
              </w:rPr>
            </w:pPr>
          </w:p>
        </w:tc>
        <w:tc>
          <w:tcPr>
            <w:tcW w:w="2384" w:type="dxa"/>
            <w:gridSpan w:val="2"/>
            <w:tcBorders>
              <w:top w:val="single" w:sz="12" w:space="0" w:color="auto"/>
              <w:left w:val="nil"/>
              <w:bottom w:val="nil"/>
              <w:right w:val="nil"/>
            </w:tcBorders>
            <w:shd w:val="clear" w:color="auto" w:fill="E0E0E0"/>
            <w:noWrap/>
            <w:vAlign w:val="bottom"/>
          </w:tcPr>
          <w:p w:rsidR="007442AA" w:rsidRPr="002152E4" w:rsidRDefault="007442AA" w:rsidP="007442AA">
            <w:pPr>
              <w:rPr>
                <w:lang w:val="ro-RO"/>
              </w:rPr>
            </w:pPr>
          </w:p>
        </w:tc>
        <w:tc>
          <w:tcPr>
            <w:tcW w:w="2603" w:type="dxa"/>
            <w:gridSpan w:val="2"/>
            <w:tcBorders>
              <w:top w:val="single" w:sz="12" w:space="0" w:color="auto"/>
              <w:left w:val="nil"/>
              <w:bottom w:val="nil"/>
              <w:right w:val="nil"/>
            </w:tcBorders>
            <w:shd w:val="clear" w:color="auto" w:fill="E0E0E0"/>
            <w:noWrap/>
            <w:vAlign w:val="bottom"/>
          </w:tcPr>
          <w:p w:rsidR="007442AA" w:rsidRPr="002152E4" w:rsidRDefault="007442AA" w:rsidP="007442AA">
            <w:pPr>
              <w:rPr>
                <w:b/>
                <w:bCs/>
                <w:lang w:val="ro-RO"/>
              </w:rPr>
            </w:pPr>
            <w:r w:rsidRPr="002152E4">
              <w:rPr>
                <w:b/>
                <w:bCs/>
                <w:lang w:val="ro-RO"/>
              </w:rPr>
              <w:t xml:space="preserve">media naţională pe procuror </w:t>
            </w:r>
          </w:p>
        </w:tc>
        <w:tc>
          <w:tcPr>
            <w:tcW w:w="1511" w:type="dxa"/>
            <w:tcBorders>
              <w:top w:val="single" w:sz="12" w:space="0" w:color="auto"/>
              <w:left w:val="nil"/>
              <w:right w:val="nil"/>
            </w:tcBorders>
            <w:shd w:val="clear" w:color="auto" w:fill="E0E0E0"/>
          </w:tcPr>
          <w:p w:rsidR="007442AA" w:rsidRPr="002152E4" w:rsidRDefault="007442AA" w:rsidP="007442AA">
            <w:pPr>
              <w:jc w:val="center"/>
              <w:rPr>
                <w:b/>
                <w:bCs/>
                <w:lang w:val="ro-RO"/>
              </w:rPr>
            </w:pPr>
            <w:r w:rsidRPr="002152E4">
              <w:rPr>
                <w:b/>
                <w:bCs/>
                <w:lang w:val="ro-RO"/>
              </w:rPr>
              <w:t>148/213*</w:t>
            </w:r>
          </w:p>
          <w:p w:rsidR="007442AA" w:rsidRPr="002152E4" w:rsidRDefault="007442AA" w:rsidP="007442AA">
            <w:pPr>
              <w:jc w:val="center"/>
              <w:rPr>
                <w:b/>
                <w:bCs/>
                <w:lang w:val="ro-RO"/>
              </w:rPr>
            </w:pPr>
          </w:p>
        </w:tc>
        <w:tc>
          <w:tcPr>
            <w:tcW w:w="2675" w:type="dxa"/>
            <w:gridSpan w:val="2"/>
            <w:vMerge w:val="restart"/>
            <w:tcBorders>
              <w:top w:val="single" w:sz="12" w:space="0" w:color="auto"/>
              <w:left w:val="nil"/>
              <w:right w:val="single" w:sz="12" w:space="0" w:color="auto"/>
            </w:tcBorders>
            <w:shd w:val="clear" w:color="auto" w:fill="E0E0E0"/>
            <w:noWrap/>
            <w:vAlign w:val="bottom"/>
          </w:tcPr>
          <w:p w:rsidR="007442AA" w:rsidRPr="002152E4" w:rsidRDefault="007442AA" w:rsidP="007442AA">
            <w:pPr>
              <w:jc w:val="center"/>
              <w:rPr>
                <w:b/>
                <w:bCs/>
                <w:lang w:val="ro-RO"/>
              </w:rPr>
            </w:pPr>
          </w:p>
          <w:p w:rsidR="007442AA" w:rsidRPr="002152E4" w:rsidRDefault="007442AA" w:rsidP="007442AA">
            <w:pPr>
              <w:jc w:val="center"/>
              <w:rPr>
                <w:b/>
                <w:bCs/>
                <w:lang w:val="ro-RO"/>
              </w:rPr>
            </w:pPr>
          </w:p>
        </w:tc>
      </w:tr>
      <w:tr w:rsidR="007442AA" w:rsidRPr="002152E4" w:rsidTr="007442AA">
        <w:trPr>
          <w:trHeight w:val="288"/>
        </w:trPr>
        <w:tc>
          <w:tcPr>
            <w:tcW w:w="871" w:type="dxa"/>
            <w:tcBorders>
              <w:top w:val="nil"/>
              <w:left w:val="single" w:sz="12" w:space="0" w:color="auto"/>
              <w:bottom w:val="single" w:sz="12" w:space="0" w:color="auto"/>
              <w:right w:val="nil"/>
            </w:tcBorders>
            <w:shd w:val="clear" w:color="auto" w:fill="E0E0E0"/>
            <w:noWrap/>
            <w:vAlign w:val="bottom"/>
          </w:tcPr>
          <w:p w:rsidR="007442AA" w:rsidRPr="002152E4" w:rsidRDefault="007442AA" w:rsidP="007442AA">
            <w:pPr>
              <w:jc w:val="center"/>
              <w:rPr>
                <w:lang w:val="ro-RO"/>
              </w:rPr>
            </w:pPr>
          </w:p>
        </w:tc>
        <w:tc>
          <w:tcPr>
            <w:tcW w:w="2384" w:type="dxa"/>
            <w:gridSpan w:val="2"/>
            <w:tcBorders>
              <w:top w:val="nil"/>
              <w:left w:val="nil"/>
              <w:bottom w:val="single" w:sz="12" w:space="0" w:color="auto"/>
              <w:right w:val="nil"/>
            </w:tcBorders>
            <w:shd w:val="clear" w:color="auto" w:fill="E0E0E0"/>
            <w:noWrap/>
            <w:vAlign w:val="bottom"/>
          </w:tcPr>
          <w:p w:rsidR="007442AA" w:rsidRPr="002152E4" w:rsidRDefault="007442AA" w:rsidP="007442AA">
            <w:pPr>
              <w:rPr>
                <w:lang w:val="ro-RO"/>
              </w:rPr>
            </w:pPr>
          </w:p>
        </w:tc>
        <w:tc>
          <w:tcPr>
            <w:tcW w:w="2603" w:type="dxa"/>
            <w:gridSpan w:val="2"/>
            <w:tcBorders>
              <w:top w:val="nil"/>
              <w:left w:val="nil"/>
              <w:bottom w:val="single" w:sz="12" w:space="0" w:color="auto"/>
              <w:right w:val="nil"/>
            </w:tcBorders>
            <w:shd w:val="clear" w:color="auto" w:fill="E0E0E0"/>
            <w:noWrap/>
            <w:vAlign w:val="bottom"/>
          </w:tcPr>
          <w:p w:rsidR="007442AA" w:rsidRPr="002152E4" w:rsidRDefault="007442AA" w:rsidP="007442AA">
            <w:pPr>
              <w:rPr>
                <w:b/>
                <w:bCs/>
                <w:lang w:val="ro-RO"/>
              </w:rPr>
            </w:pPr>
            <w:r w:rsidRPr="002152E4">
              <w:rPr>
                <w:b/>
                <w:bCs/>
                <w:lang w:val="ro-RO"/>
              </w:rPr>
              <w:t xml:space="preserve">media naţională pe schemă </w:t>
            </w:r>
          </w:p>
        </w:tc>
        <w:tc>
          <w:tcPr>
            <w:tcW w:w="1511" w:type="dxa"/>
            <w:tcBorders>
              <w:left w:val="nil"/>
              <w:bottom w:val="single" w:sz="12" w:space="0" w:color="auto"/>
              <w:right w:val="nil"/>
            </w:tcBorders>
          </w:tcPr>
          <w:p w:rsidR="007442AA" w:rsidRPr="002152E4" w:rsidRDefault="007442AA" w:rsidP="007442AA">
            <w:pPr>
              <w:jc w:val="center"/>
              <w:rPr>
                <w:lang w:val="ro-RO"/>
              </w:rPr>
            </w:pPr>
            <w:r w:rsidRPr="002152E4">
              <w:rPr>
                <w:b/>
                <w:bCs/>
                <w:lang w:val="ro-RO"/>
              </w:rPr>
              <w:t>121</w:t>
            </w:r>
          </w:p>
        </w:tc>
        <w:tc>
          <w:tcPr>
            <w:tcW w:w="2675" w:type="dxa"/>
            <w:gridSpan w:val="2"/>
            <w:vMerge/>
            <w:tcBorders>
              <w:left w:val="nil"/>
              <w:bottom w:val="single" w:sz="12" w:space="0" w:color="auto"/>
              <w:right w:val="single" w:sz="12" w:space="0" w:color="auto"/>
            </w:tcBorders>
            <w:shd w:val="clear" w:color="auto" w:fill="auto"/>
            <w:noWrap/>
            <w:vAlign w:val="bottom"/>
          </w:tcPr>
          <w:p w:rsidR="007442AA" w:rsidRPr="002152E4" w:rsidRDefault="007442AA" w:rsidP="007442AA">
            <w:pPr>
              <w:rPr>
                <w:lang w:val="ro-RO"/>
              </w:rPr>
            </w:pPr>
          </w:p>
        </w:tc>
      </w:tr>
      <w:tr w:rsidR="007442AA" w:rsidRPr="002152E4" w:rsidTr="007442AA">
        <w:trPr>
          <w:trHeight w:val="288"/>
        </w:trPr>
        <w:tc>
          <w:tcPr>
            <w:tcW w:w="871"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7442AA" w:rsidRPr="002152E4" w:rsidRDefault="007442AA" w:rsidP="007442AA">
            <w:pPr>
              <w:jc w:val="center"/>
              <w:rPr>
                <w:b/>
                <w:lang w:val="ro-RO"/>
              </w:rPr>
            </w:pPr>
            <w:r w:rsidRPr="002152E4">
              <w:rPr>
                <w:b/>
                <w:lang w:val="ro-RO"/>
              </w:rPr>
              <w:t>Nr crt</w:t>
            </w:r>
          </w:p>
        </w:tc>
        <w:tc>
          <w:tcPr>
            <w:tcW w:w="2384" w:type="dxa"/>
            <w:gridSpan w:val="2"/>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Parchetul de pe lângă Tribunalul</w:t>
            </w:r>
          </w:p>
        </w:tc>
        <w:tc>
          <w:tcPr>
            <w:tcW w:w="1350"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de soluţionat (volum)</w:t>
            </w:r>
          </w:p>
        </w:tc>
        <w:tc>
          <w:tcPr>
            <w:tcW w:w="1253"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pe procuror</w:t>
            </w:r>
          </w:p>
        </w:tc>
        <w:tc>
          <w:tcPr>
            <w:tcW w:w="1511" w:type="dxa"/>
            <w:tcBorders>
              <w:top w:val="single" w:sz="12" w:space="0" w:color="auto"/>
              <w:left w:val="nil"/>
              <w:bottom w:val="single" w:sz="12" w:space="0" w:color="auto"/>
              <w:right w:val="nil"/>
            </w:tcBorders>
            <w:vAlign w:val="center"/>
          </w:tcPr>
          <w:p w:rsidR="007442AA" w:rsidRPr="002152E4" w:rsidRDefault="007442AA" w:rsidP="007442AA">
            <w:pPr>
              <w:jc w:val="center"/>
              <w:rPr>
                <w:b/>
                <w:lang w:val="ro-RO"/>
              </w:rPr>
            </w:pPr>
            <w:r w:rsidRPr="002152E4">
              <w:rPr>
                <w:b/>
                <w:lang w:val="ro-RO"/>
              </w:rPr>
              <w:t>Dosare pe procuror in penal*</w:t>
            </w:r>
          </w:p>
        </w:tc>
        <w:tc>
          <w:tcPr>
            <w:tcW w:w="1556"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pe schema</w:t>
            </w:r>
          </w:p>
        </w:tc>
        <w:tc>
          <w:tcPr>
            <w:tcW w:w="1119" w:type="dxa"/>
            <w:tcBorders>
              <w:top w:val="single" w:sz="12" w:space="0" w:color="auto"/>
              <w:left w:val="nil"/>
              <w:bottom w:val="single" w:sz="12" w:space="0" w:color="auto"/>
              <w:right w:val="single" w:sz="12" w:space="0" w:color="auto"/>
            </w:tcBorders>
            <w:shd w:val="clear" w:color="auto" w:fill="auto"/>
            <w:vAlign w:val="center"/>
          </w:tcPr>
          <w:p w:rsidR="007442AA" w:rsidRPr="002152E4" w:rsidRDefault="007442AA" w:rsidP="007442AA">
            <w:pPr>
              <w:jc w:val="center"/>
              <w:rPr>
                <w:b/>
                <w:lang w:val="ro-RO"/>
              </w:rPr>
            </w:pPr>
            <w:r w:rsidRPr="002152E4">
              <w:rPr>
                <w:b/>
                <w:lang w:val="ro-RO"/>
              </w:rPr>
              <w:t>Posturi ocupate efectiv</w:t>
            </w:r>
          </w:p>
        </w:tc>
      </w:tr>
      <w:tr w:rsidR="007442AA" w:rsidRPr="002152E4" w:rsidTr="007442AA">
        <w:trPr>
          <w:trHeight w:val="288"/>
        </w:trPr>
        <w:tc>
          <w:tcPr>
            <w:tcW w:w="871"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w:t>
            </w:r>
          </w:p>
        </w:tc>
        <w:tc>
          <w:tcPr>
            <w:tcW w:w="2384" w:type="dxa"/>
            <w:gridSpan w:val="2"/>
            <w:tcBorders>
              <w:top w:val="single" w:sz="12" w:space="0" w:color="auto"/>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ALBA</w:t>
            </w:r>
          </w:p>
        </w:tc>
        <w:tc>
          <w:tcPr>
            <w:tcW w:w="1350" w:type="dxa"/>
            <w:tcBorders>
              <w:top w:val="single" w:sz="12" w:space="0" w:color="auto"/>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1400</w:t>
            </w:r>
          </w:p>
        </w:tc>
        <w:tc>
          <w:tcPr>
            <w:tcW w:w="1253" w:type="dxa"/>
            <w:tcBorders>
              <w:top w:val="single" w:sz="12"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140,00</w:t>
            </w:r>
          </w:p>
        </w:tc>
        <w:tc>
          <w:tcPr>
            <w:tcW w:w="1511" w:type="dxa"/>
            <w:tcBorders>
              <w:top w:val="single" w:sz="12" w:space="0" w:color="auto"/>
              <w:left w:val="nil"/>
              <w:bottom w:val="single" w:sz="4" w:space="0" w:color="auto"/>
              <w:right w:val="nil"/>
            </w:tcBorders>
            <w:vAlign w:val="center"/>
          </w:tcPr>
          <w:p w:rsidR="007442AA" w:rsidRPr="002152E4" w:rsidRDefault="007442AA" w:rsidP="007442AA">
            <w:pPr>
              <w:jc w:val="center"/>
              <w:rPr>
                <w:lang w:val="ro-RO"/>
              </w:rPr>
            </w:pPr>
            <w:r w:rsidRPr="002152E4">
              <w:rPr>
                <w:lang w:val="ro-RO"/>
              </w:rPr>
              <w:t>200,00</w:t>
            </w:r>
          </w:p>
        </w:tc>
        <w:tc>
          <w:tcPr>
            <w:tcW w:w="1556" w:type="dxa"/>
            <w:tcBorders>
              <w:top w:val="single" w:sz="12"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107,69</w:t>
            </w:r>
          </w:p>
        </w:tc>
        <w:tc>
          <w:tcPr>
            <w:tcW w:w="1119" w:type="dxa"/>
            <w:tcBorders>
              <w:top w:val="single" w:sz="12" w:space="0" w:color="auto"/>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10</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ARAD</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1313</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101,00</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119,36</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87,53</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ARGES</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1389</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92,60</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126,27</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81,71</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15</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BACAU</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1402</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116,83</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200,29</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93,47</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12</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BIHOR</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1828</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166,18</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228,50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130,57</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11</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BISTRITA NASAUD</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1091</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121,22</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181,83</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109,10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BOTOSANI</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987</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98,70</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109,67</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75,92</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10</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BRAILA</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2170</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197,27</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271,25</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155,00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11</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BRASOV</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1877</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110,41</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170,64</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104,28</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17</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BRAȘOV MINORI </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211</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105,50</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105,50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105,50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BUCURESTI</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12927</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226,79</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359,08</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190,10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57</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BUZAU</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1475</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122,92</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184,38</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113,46</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12</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CALARASI</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1171</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130,11</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146,38</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97,58</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CARAS SEVERIN</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637</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70,78</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79,63</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53,08</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CLUJ</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1959</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115,24</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195,90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115,24</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17</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16</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CONSTANTA</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4965</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292,06</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451,36</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215,87</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17</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17</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COVASNA</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730</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121,67</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146,00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73,00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18</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DAMBOVITA</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1370</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152,22</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228,33</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91,33</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19</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DOLJ</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1724</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95,78</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123,14</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86,20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18</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20</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GALATI</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1675</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167,50</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239,29</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88,16</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10</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21</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GIURGIU</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1119</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124,33</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186,50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111,90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22</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GORJ</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760</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54,29</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95,00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54,29</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14</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23</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HARGHITA</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748</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149,60</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124,67</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83,11</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24</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HUNEDOARA</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1687</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140,58</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241,00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120,50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12</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25</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IALOMITA</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1121</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186,83</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160,14</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101,91</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6</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26</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IASI</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3147</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174,83</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242,08</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143,05</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18</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27</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ILFOV</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2892</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361,50</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482,00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206,57</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8</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28</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MARAMURES</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983</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75,62</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122,88</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75,62</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29</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MEHEDINTI</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1359</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135,90</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226,50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104,54</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10</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30</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MURES</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2242</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203,82</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373,67</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186,83</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11</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31</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NEAMT</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1702</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113,47</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212,75</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113,47</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15</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32</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OLT</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913</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76,08</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152,17</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70,23</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12</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33</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PRAHOVA</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1523</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117,15</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253,83</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95,19</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34</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SALAJ</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508</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50,80</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84,67</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50,80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10</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35</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SATU MARE</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1238</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137,56</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176,86</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103,17</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9</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36</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SIBIU</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1365</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113,75</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151,67</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91,00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12</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37</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SUCEAVA</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1142</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103,82</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228,40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81,57</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11</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38</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TELEORMAN</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1138</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113,80</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113,80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87,54</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10</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39</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TIMIS</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1495</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106,79</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135,91</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78,68</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14</w:t>
            </w:r>
          </w:p>
        </w:tc>
      </w:tr>
      <w:tr w:rsidR="007442AA" w:rsidRPr="002152E4" w:rsidTr="007442AA">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40</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TULCEA</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3172</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453,14</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352,44</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317,20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7</w:t>
            </w:r>
          </w:p>
        </w:tc>
      </w:tr>
      <w:tr w:rsidR="007442AA" w:rsidRPr="002152E4" w:rsidTr="00BA4ADF">
        <w:trPr>
          <w:trHeight w:val="288"/>
        </w:trPr>
        <w:tc>
          <w:tcPr>
            <w:tcW w:w="871"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41</w:t>
            </w:r>
          </w:p>
        </w:tc>
        <w:tc>
          <w:tcPr>
            <w:tcW w:w="2384" w:type="dxa"/>
            <w:gridSpan w:val="2"/>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VALCEA</w:t>
            </w:r>
          </w:p>
        </w:tc>
        <w:tc>
          <w:tcPr>
            <w:tcW w:w="1350" w:type="dxa"/>
            <w:tcBorders>
              <w:top w:val="nil"/>
              <w:left w:val="nil"/>
              <w:bottom w:val="single" w:sz="4" w:space="0" w:color="auto"/>
              <w:right w:val="single" w:sz="4" w:space="0" w:color="auto"/>
            </w:tcBorders>
            <w:shd w:val="clear" w:color="auto" w:fill="auto"/>
            <w:vAlign w:val="center"/>
          </w:tcPr>
          <w:p w:rsidR="007442AA" w:rsidRPr="002152E4" w:rsidRDefault="007442AA" w:rsidP="007442AA">
            <w:pPr>
              <w:jc w:val="center"/>
              <w:rPr>
                <w:lang w:val="ro-RO"/>
              </w:rPr>
            </w:pPr>
            <w:r w:rsidRPr="002152E4">
              <w:rPr>
                <w:lang w:val="ro-RO"/>
              </w:rPr>
              <w:t>952</w:t>
            </w:r>
          </w:p>
        </w:tc>
        <w:tc>
          <w:tcPr>
            <w:tcW w:w="1253"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73,23</w:t>
            </w:r>
          </w:p>
        </w:tc>
        <w:tc>
          <w:tcPr>
            <w:tcW w:w="1511"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119,00</w:t>
            </w:r>
          </w:p>
        </w:tc>
        <w:tc>
          <w:tcPr>
            <w:tcW w:w="1556"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68,00</w:t>
            </w:r>
          </w:p>
        </w:tc>
        <w:tc>
          <w:tcPr>
            <w:tcW w:w="1119"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BA4ADF">
        <w:trPr>
          <w:trHeight w:val="288"/>
        </w:trPr>
        <w:tc>
          <w:tcPr>
            <w:tcW w:w="8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b/>
                <w:bCs/>
                <w:lang w:val="ro-RO"/>
              </w:rPr>
            </w:pPr>
            <w:r w:rsidRPr="002152E4">
              <w:rPr>
                <w:b/>
                <w:bCs/>
                <w:lang w:val="ro-RO"/>
              </w:rPr>
              <w:t> </w:t>
            </w:r>
            <w:r w:rsidRPr="002152E4">
              <w:rPr>
                <w:lang w:val="ro-RO"/>
              </w:rPr>
              <w:t>42</w:t>
            </w:r>
          </w:p>
        </w:tc>
        <w:tc>
          <w:tcPr>
            <w:tcW w:w="2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VASLUI</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1406</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140,60</w:t>
            </w:r>
          </w:p>
        </w:tc>
        <w:tc>
          <w:tcPr>
            <w:tcW w:w="1511" w:type="dxa"/>
            <w:tcBorders>
              <w:top w:val="single" w:sz="4" w:space="0" w:color="auto"/>
              <w:left w:val="single" w:sz="4" w:space="0" w:color="auto"/>
              <w:bottom w:val="single" w:sz="4" w:space="0" w:color="auto"/>
              <w:right w:val="single" w:sz="4" w:space="0" w:color="auto"/>
            </w:tcBorders>
            <w:vAlign w:val="center"/>
          </w:tcPr>
          <w:p w:rsidR="007442AA" w:rsidRPr="002152E4" w:rsidRDefault="007442AA" w:rsidP="007442AA">
            <w:pPr>
              <w:jc w:val="center"/>
              <w:rPr>
                <w:lang w:val="ro-RO"/>
              </w:rPr>
            </w:pPr>
            <w:r w:rsidRPr="002152E4">
              <w:rPr>
                <w:lang w:val="ro-RO"/>
              </w:rPr>
              <w:t>200,86</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117,17</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w:t>
            </w:r>
          </w:p>
        </w:tc>
      </w:tr>
      <w:tr w:rsidR="007442AA" w:rsidRPr="002152E4" w:rsidTr="00BA4ADF">
        <w:trPr>
          <w:trHeight w:val="288"/>
        </w:trPr>
        <w:tc>
          <w:tcPr>
            <w:tcW w:w="871" w:type="dxa"/>
            <w:tcBorders>
              <w:top w:val="single" w:sz="4" w:space="0" w:color="auto"/>
              <w:left w:val="single" w:sz="12" w:space="0" w:color="auto"/>
              <w:bottom w:val="single" w:sz="12"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bCs/>
                <w:lang w:val="ro-RO"/>
              </w:rPr>
              <w:lastRenderedPageBreak/>
              <w:t>43</w:t>
            </w:r>
          </w:p>
        </w:tc>
        <w:tc>
          <w:tcPr>
            <w:tcW w:w="2384" w:type="dxa"/>
            <w:gridSpan w:val="2"/>
            <w:tcBorders>
              <w:top w:val="single" w:sz="4" w:space="0" w:color="auto"/>
              <w:left w:val="nil"/>
              <w:bottom w:val="single" w:sz="12"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VRANCEA</w:t>
            </w:r>
          </w:p>
        </w:tc>
        <w:tc>
          <w:tcPr>
            <w:tcW w:w="1350" w:type="dxa"/>
            <w:tcBorders>
              <w:top w:val="single" w:sz="4" w:space="0" w:color="auto"/>
              <w:left w:val="nil"/>
              <w:bottom w:val="single" w:sz="12"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3450</w:t>
            </w:r>
          </w:p>
        </w:tc>
        <w:tc>
          <w:tcPr>
            <w:tcW w:w="1253" w:type="dxa"/>
            <w:tcBorders>
              <w:top w:val="single" w:sz="4" w:space="0" w:color="auto"/>
              <w:left w:val="nil"/>
              <w:bottom w:val="single" w:sz="12"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246,43</w:t>
            </w:r>
          </w:p>
        </w:tc>
        <w:tc>
          <w:tcPr>
            <w:tcW w:w="1511" w:type="dxa"/>
            <w:tcBorders>
              <w:top w:val="single" w:sz="4" w:space="0" w:color="auto"/>
              <w:left w:val="nil"/>
              <w:bottom w:val="single" w:sz="12" w:space="0" w:color="auto"/>
              <w:right w:val="nil"/>
            </w:tcBorders>
            <w:vAlign w:val="center"/>
          </w:tcPr>
          <w:p w:rsidR="007442AA" w:rsidRPr="002152E4" w:rsidRDefault="007442AA" w:rsidP="007442AA">
            <w:pPr>
              <w:jc w:val="center"/>
              <w:rPr>
                <w:lang w:val="ro-RO"/>
              </w:rPr>
            </w:pPr>
            <w:r w:rsidRPr="002152E4">
              <w:rPr>
                <w:lang w:val="ro-RO"/>
              </w:rPr>
              <w:t>345,00</w:t>
            </w:r>
          </w:p>
        </w:tc>
        <w:tc>
          <w:tcPr>
            <w:tcW w:w="1556" w:type="dxa"/>
            <w:tcBorders>
              <w:top w:val="single" w:sz="4" w:space="0" w:color="auto"/>
              <w:left w:val="nil"/>
              <w:bottom w:val="single" w:sz="12"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246,43</w:t>
            </w:r>
          </w:p>
        </w:tc>
        <w:tc>
          <w:tcPr>
            <w:tcW w:w="1119" w:type="dxa"/>
            <w:tcBorders>
              <w:top w:val="single" w:sz="4" w:space="0" w:color="auto"/>
              <w:left w:val="nil"/>
              <w:bottom w:val="single" w:sz="12"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14</w:t>
            </w:r>
          </w:p>
        </w:tc>
      </w:tr>
      <w:tr w:rsidR="007442AA" w:rsidRPr="002152E4" w:rsidTr="007442AA">
        <w:trPr>
          <w:trHeight w:val="288"/>
        </w:trPr>
        <w:tc>
          <w:tcPr>
            <w:tcW w:w="871" w:type="dxa"/>
            <w:tcBorders>
              <w:top w:val="single" w:sz="12" w:space="0" w:color="auto"/>
              <w:left w:val="single" w:sz="12" w:space="0" w:color="auto"/>
              <w:bottom w:val="single" w:sz="12" w:space="0" w:color="auto"/>
              <w:right w:val="nil"/>
            </w:tcBorders>
            <w:shd w:val="clear" w:color="auto" w:fill="E0E0E0"/>
            <w:noWrap/>
            <w:vAlign w:val="bottom"/>
          </w:tcPr>
          <w:p w:rsidR="007442AA" w:rsidRPr="002152E4" w:rsidRDefault="007442AA" w:rsidP="007442AA">
            <w:pPr>
              <w:jc w:val="center"/>
              <w:rPr>
                <w:lang w:val="ro-RO"/>
              </w:rPr>
            </w:pPr>
          </w:p>
        </w:tc>
        <w:tc>
          <w:tcPr>
            <w:tcW w:w="2384" w:type="dxa"/>
            <w:gridSpan w:val="2"/>
            <w:tcBorders>
              <w:top w:val="single" w:sz="12" w:space="0" w:color="auto"/>
              <w:left w:val="nil"/>
              <w:bottom w:val="single" w:sz="12" w:space="0" w:color="auto"/>
              <w:right w:val="nil"/>
            </w:tcBorders>
            <w:shd w:val="clear" w:color="auto" w:fill="E0E0E0"/>
            <w:noWrap/>
            <w:vAlign w:val="bottom"/>
          </w:tcPr>
          <w:p w:rsidR="007442AA" w:rsidRPr="002152E4" w:rsidRDefault="007442AA" w:rsidP="007442AA">
            <w:pPr>
              <w:jc w:val="center"/>
              <w:rPr>
                <w:b/>
                <w:bCs/>
                <w:lang w:val="ro-RO"/>
              </w:rPr>
            </w:pPr>
            <w:r w:rsidRPr="002152E4">
              <w:rPr>
                <w:b/>
                <w:bCs/>
                <w:lang w:val="ro-RO"/>
              </w:rPr>
              <w:t>Total</w:t>
            </w:r>
          </w:p>
        </w:tc>
        <w:tc>
          <w:tcPr>
            <w:tcW w:w="1350" w:type="dxa"/>
            <w:tcBorders>
              <w:top w:val="single" w:sz="12" w:space="0" w:color="auto"/>
              <w:left w:val="nil"/>
              <w:bottom w:val="single" w:sz="12" w:space="0" w:color="auto"/>
              <w:right w:val="nil"/>
            </w:tcBorders>
            <w:shd w:val="clear" w:color="auto" w:fill="E0E0E0"/>
            <w:noWrap/>
            <w:vAlign w:val="bottom"/>
          </w:tcPr>
          <w:p w:rsidR="007442AA" w:rsidRPr="002152E4" w:rsidRDefault="007442AA" w:rsidP="007442AA">
            <w:pPr>
              <w:jc w:val="center"/>
              <w:rPr>
                <w:lang w:val="ro-RO"/>
              </w:rPr>
            </w:pPr>
            <w:r w:rsidRPr="002152E4">
              <w:rPr>
                <w:lang w:val="ro-RO"/>
              </w:rPr>
              <w:t>78363</w:t>
            </w:r>
          </w:p>
          <w:p w:rsidR="007442AA" w:rsidRPr="002152E4" w:rsidRDefault="007442AA" w:rsidP="007442AA">
            <w:pPr>
              <w:jc w:val="center"/>
              <w:rPr>
                <w:lang w:val="ro-RO"/>
              </w:rPr>
            </w:pPr>
          </w:p>
        </w:tc>
        <w:tc>
          <w:tcPr>
            <w:tcW w:w="1253" w:type="dxa"/>
            <w:tcBorders>
              <w:top w:val="single" w:sz="12" w:space="0" w:color="auto"/>
              <w:left w:val="nil"/>
              <w:bottom w:val="single" w:sz="12" w:space="0" w:color="auto"/>
              <w:right w:val="nil"/>
            </w:tcBorders>
            <w:shd w:val="clear" w:color="auto" w:fill="E0E0E0"/>
            <w:noWrap/>
            <w:vAlign w:val="bottom"/>
          </w:tcPr>
          <w:p w:rsidR="007442AA" w:rsidRPr="002152E4" w:rsidRDefault="007442AA" w:rsidP="007442AA">
            <w:pPr>
              <w:jc w:val="center"/>
              <w:rPr>
                <w:b/>
                <w:lang w:val="ro-RO" w:eastAsia="ro-RO"/>
              </w:rPr>
            </w:pPr>
            <w:r w:rsidRPr="002152E4">
              <w:rPr>
                <w:b/>
                <w:lang w:val="ro-RO" w:eastAsia="ro-RO"/>
              </w:rPr>
              <w:t>Media 148</w:t>
            </w:r>
          </w:p>
        </w:tc>
        <w:tc>
          <w:tcPr>
            <w:tcW w:w="1511" w:type="dxa"/>
            <w:tcBorders>
              <w:top w:val="single" w:sz="12" w:space="0" w:color="auto"/>
              <w:left w:val="nil"/>
              <w:bottom w:val="single" w:sz="12" w:space="0" w:color="auto"/>
              <w:right w:val="nil"/>
            </w:tcBorders>
            <w:shd w:val="clear" w:color="auto" w:fill="E0E0E0"/>
          </w:tcPr>
          <w:p w:rsidR="007442AA" w:rsidRPr="002152E4" w:rsidRDefault="007442AA" w:rsidP="007442AA">
            <w:pPr>
              <w:jc w:val="center"/>
              <w:rPr>
                <w:b/>
                <w:lang w:val="ro-RO" w:eastAsia="ro-RO"/>
              </w:rPr>
            </w:pPr>
            <w:r w:rsidRPr="002152E4">
              <w:rPr>
                <w:b/>
                <w:lang w:val="ro-RO" w:eastAsia="ro-RO"/>
              </w:rPr>
              <w:t>Media 213*</w:t>
            </w:r>
          </w:p>
        </w:tc>
        <w:tc>
          <w:tcPr>
            <w:tcW w:w="1556" w:type="dxa"/>
            <w:tcBorders>
              <w:top w:val="single" w:sz="12" w:space="0" w:color="auto"/>
              <w:left w:val="nil"/>
              <w:bottom w:val="single" w:sz="12" w:space="0" w:color="auto"/>
              <w:right w:val="nil"/>
            </w:tcBorders>
            <w:shd w:val="clear" w:color="auto" w:fill="E0E0E0"/>
            <w:noWrap/>
            <w:vAlign w:val="bottom"/>
          </w:tcPr>
          <w:p w:rsidR="007442AA" w:rsidRPr="002152E4" w:rsidRDefault="007442AA" w:rsidP="007442AA">
            <w:pPr>
              <w:jc w:val="center"/>
              <w:rPr>
                <w:b/>
                <w:lang w:val="ro-RO" w:eastAsia="ro-RO"/>
              </w:rPr>
            </w:pPr>
            <w:r w:rsidRPr="002152E4">
              <w:rPr>
                <w:b/>
                <w:lang w:val="ro-RO" w:eastAsia="ro-RO"/>
              </w:rPr>
              <w:t>Media 121</w:t>
            </w:r>
          </w:p>
        </w:tc>
        <w:tc>
          <w:tcPr>
            <w:tcW w:w="1119" w:type="dxa"/>
            <w:tcBorders>
              <w:top w:val="single" w:sz="12" w:space="0" w:color="auto"/>
              <w:left w:val="nil"/>
              <w:bottom w:val="single" w:sz="12" w:space="0" w:color="auto"/>
              <w:right w:val="single" w:sz="12" w:space="0" w:color="auto"/>
            </w:tcBorders>
            <w:shd w:val="clear" w:color="auto" w:fill="E0E0E0"/>
            <w:noWrap/>
            <w:vAlign w:val="bottom"/>
          </w:tcPr>
          <w:p w:rsidR="007442AA" w:rsidRPr="002152E4" w:rsidRDefault="007442AA" w:rsidP="007442AA">
            <w:pPr>
              <w:rPr>
                <w:b/>
                <w:lang w:val="ro-RO" w:eastAsia="ro-RO"/>
              </w:rPr>
            </w:pPr>
            <w:r w:rsidRPr="002152E4">
              <w:rPr>
                <w:b/>
                <w:lang w:val="ro-RO" w:eastAsia="ro-RO"/>
              </w:rPr>
              <w:t xml:space="preserve">      530</w:t>
            </w:r>
          </w:p>
        </w:tc>
      </w:tr>
      <w:tr w:rsidR="007442AA" w:rsidRPr="002152E4" w:rsidTr="007442AA">
        <w:trPr>
          <w:trHeight w:val="288"/>
        </w:trPr>
        <w:tc>
          <w:tcPr>
            <w:tcW w:w="10044" w:type="dxa"/>
            <w:gridSpan w:val="8"/>
            <w:tcBorders>
              <w:top w:val="single" w:sz="12" w:space="0" w:color="auto"/>
              <w:left w:val="single" w:sz="12" w:space="0" w:color="auto"/>
              <w:bottom w:val="single" w:sz="12" w:space="0" w:color="auto"/>
              <w:right w:val="single" w:sz="12" w:space="0" w:color="auto"/>
            </w:tcBorders>
            <w:shd w:val="clear" w:color="auto" w:fill="E0E0E0"/>
            <w:noWrap/>
            <w:vAlign w:val="bottom"/>
          </w:tcPr>
          <w:p w:rsidR="007442AA" w:rsidRPr="002152E4" w:rsidRDefault="007442AA" w:rsidP="007442AA">
            <w:pPr>
              <w:rPr>
                <w:lang w:val="ro-RO"/>
              </w:rPr>
            </w:pPr>
            <w:r w:rsidRPr="002152E4">
              <w:rPr>
                <w:lang w:val="ro-RO"/>
              </w:rPr>
              <w:t xml:space="preserve">*daca se iau in calcul doar procurorii care au lucrat efectiv la </w:t>
            </w:r>
            <w:r w:rsidR="00BB56C0" w:rsidRPr="002152E4">
              <w:rPr>
                <w:lang w:val="ro-RO"/>
              </w:rPr>
              <w:t>soluţionarea</w:t>
            </w:r>
            <w:r w:rsidRPr="002152E4">
              <w:rPr>
                <w:lang w:val="ro-RO"/>
              </w:rPr>
              <w:t xml:space="preserve"> dosarelor penale</w:t>
            </w:r>
          </w:p>
        </w:tc>
      </w:tr>
    </w:tbl>
    <w:p w:rsidR="007442AA" w:rsidRPr="002152E4" w:rsidRDefault="007442AA" w:rsidP="007442AA">
      <w:pPr>
        <w:rPr>
          <w:lang w:val="ro-RO"/>
        </w:rPr>
      </w:pPr>
    </w:p>
    <w:tbl>
      <w:tblPr>
        <w:tblW w:w="10044" w:type="dxa"/>
        <w:tblInd w:w="93" w:type="dxa"/>
        <w:tblLook w:val="0000" w:firstRow="0" w:lastRow="0" w:firstColumn="0" w:lastColumn="0" w:noHBand="0" w:noVBand="0"/>
      </w:tblPr>
      <w:tblGrid>
        <w:gridCol w:w="902"/>
        <w:gridCol w:w="386"/>
        <w:gridCol w:w="903"/>
        <w:gridCol w:w="1678"/>
        <w:gridCol w:w="1235"/>
        <w:gridCol w:w="1401"/>
        <w:gridCol w:w="1272"/>
        <w:gridCol w:w="1272"/>
        <w:gridCol w:w="1026"/>
      </w:tblGrid>
      <w:tr w:rsidR="007442AA" w:rsidRPr="00631BB4" w:rsidTr="007442AA">
        <w:trPr>
          <w:trHeight w:val="315"/>
        </w:trPr>
        <w:tc>
          <w:tcPr>
            <w:tcW w:w="902" w:type="dxa"/>
            <w:tcBorders>
              <w:top w:val="single" w:sz="12" w:space="0" w:color="auto"/>
              <w:left w:val="single" w:sz="12" w:space="0" w:color="auto"/>
              <w:bottom w:val="nil"/>
              <w:right w:val="nil"/>
            </w:tcBorders>
            <w:shd w:val="clear" w:color="auto" w:fill="E0E0E0"/>
            <w:noWrap/>
            <w:vAlign w:val="bottom"/>
          </w:tcPr>
          <w:p w:rsidR="007442AA" w:rsidRPr="002152E4" w:rsidRDefault="007442AA" w:rsidP="007442AA">
            <w:pPr>
              <w:jc w:val="center"/>
              <w:rPr>
                <w:lang w:val="ro-RO"/>
              </w:rPr>
            </w:pPr>
          </w:p>
        </w:tc>
        <w:tc>
          <w:tcPr>
            <w:tcW w:w="1289" w:type="dxa"/>
            <w:gridSpan w:val="2"/>
            <w:tcBorders>
              <w:top w:val="single" w:sz="12" w:space="0" w:color="auto"/>
              <w:left w:val="nil"/>
              <w:bottom w:val="nil"/>
              <w:right w:val="nil"/>
            </w:tcBorders>
            <w:shd w:val="clear" w:color="auto" w:fill="E0E0E0"/>
          </w:tcPr>
          <w:p w:rsidR="007442AA" w:rsidRPr="002152E4" w:rsidRDefault="007442AA" w:rsidP="007442AA">
            <w:pPr>
              <w:jc w:val="center"/>
              <w:rPr>
                <w:b/>
                <w:bCs/>
                <w:lang w:val="ro-RO"/>
              </w:rPr>
            </w:pPr>
          </w:p>
        </w:tc>
        <w:tc>
          <w:tcPr>
            <w:tcW w:w="6858" w:type="dxa"/>
            <w:gridSpan w:val="5"/>
            <w:tcBorders>
              <w:top w:val="single" w:sz="12" w:space="0" w:color="auto"/>
              <w:left w:val="nil"/>
              <w:bottom w:val="nil"/>
              <w:right w:val="nil"/>
            </w:tcBorders>
            <w:shd w:val="clear" w:color="auto" w:fill="E0E0E0"/>
            <w:noWrap/>
            <w:vAlign w:val="bottom"/>
          </w:tcPr>
          <w:p w:rsidR="007442AA" w:rsidRPr="002152E4" w:rsidRDefault="007442AA" w:rsidP="007442AA">
            <w:pPr>
              <w:jc w:val="center"/>
              <w:rPr>
                <w:b/>
                <w:bCs/>
                <w:lang w:val="ro-RO"/>
              </w:rPr>
            </w:pPr>
            <w:r w:rsidRPr="002152E4">
              <w:rPr>
                <w:b/>
                <w:bCs/>
                <w:lang w:val="ro-RO"/>
              </w:rPr>
              <w:t>Activitatea parchetelor de pe lângă curţile de apel în anul 2016</w:t>
            </w:r>
          </w:p>
        </w:tc>
        <w:tc>
          <w:tcPr>
            <w:tcW w:w="995" w:type="dxa"/>
            <w:tcBorders>
              <w:top w:val="single" w:sz="12" w:space="0" w:color="auto"/>
              <w:left w:val="nil"/>
              <w:bottom w:val="nil"/>
              <w:right w:val="single" w:sz="12" w:space="0" w:color="auto"/>
            </w:tcBorders>
            <w:shd w:val="clear" w:color="auto" w:fill="E0E0E0"/>
            <w:noWrap/>
            <w:vAlign w:val="bottom"/>
          </w:tcPr>
          <w:p w:rsidR="007442AA" w:rsidRPr="002152E4" w:rsidRDefault="007442AA" w:rsidP="007442AA">
            <w:pPr>
              <w:rPr>
                <w:lang w:val="ro-RO"/>
              </w:rPr>
            </w:pPr>
          </w:p>
        </w:tc>
      </w:tr>
      <w:tr w:rsidR="007442AA" w:rsidRPr="00631BB4" w:rsidTr="007442AA">
        <w:trPr>
          <w:trHeight w:val="300"/>
        </w:trPr>
        <w:tc>
          <w:tcPr>
            <w:tcW w:w="1288" w:type="dxa"/>
            <w:gridSpan w:val="2"/>
            <w:tcBorders>
              <w:top w:val="nil"/>
              <w:left w:val="single" w:sz="12" w:space="0" w:color="auto"/>
              <w:bottom w:val="single" w:sz="12" w:space="0" w:color="auto"/>
              <w:right w:val="single" w:sz="12" w:space="0" w:color="auto"/>
            </w:tcBorders>
            <w:shd w:val="clear" w:color="auto" w:fill="E0E0E0"/>
          </w:tcPr>
          <w:p w:rsidR="007442AA" w:rsidRPr="002152E4" w:rsidRDefault="007442AA" w:rsidP="007442AA">
            <w:pPr>
              <w:rPr>
                <w:lang w:val="ro-RO"/>
              </w:rPr>
            </w:pPr>
          </w:p>
        </w:tc>
        <w:tc>
          <w:tcPr>
            <w:tcW w:w="8756" w:type="dxa"/>
            <w:gridSpan w:val="7"/>
            <w:tcBorders>
              <w:top w:val="nil"/>
              <w:left w:val="single" w:sz="12" w:space="0" w:color="auto"/>
              <w:bottom w:val="single" w:sz="12" w:space="0" w:color="auto"/>
              <w:right w:val="single" w:sz="12" w:space="0" w:color="auto"/>
            </w:tcBorders>
            <w:shd w:val="clear" w:color="auto" w:fill="E0E0E0"/>
            <w:noWrap/>
            <w:vAlign w:val="bottom"/>
          </w:tcPr>
          <w:p w:rsidR="007442AA" w:rsidRPr="002152E4" w:rsidRDefault="007442AA" w:rsidP="007442AA">
            <w:pPr>
              <w:rPr>
                <w:lang w:val="ro-RO"/>
              </w:rPr>
            </w:pPr>
          </w:p>
        </w:tc>
      </w:tr>
      <w:tr w:rsidR="007442AA" w:rsidRPr="002152E4" w:rsidTr="007442AA">
        <w:trPr>
          <w:trHeight w:val="315"/>
        </w:trPr>
        <w:tc>
          <w:tcPr>
            <w:tcW w:w="902" w:type="dxa"/>
            <w:tcBorders>
              <w:top w:val="single" w:sz="12" w:space="0" w:color="auto"/>
              <w:left w:val="single" w:sz="12" w:space="0" w:color="auto"/>
              <w:bottom w:val="nil"/>
              <w:right w:val="nil"/>
            </w:tcBorders>
            <w:shd w:val="clear" w:color="auto" w:fill="E0E0E0"/>
            <w:noWrap/>
            <w:vAlign w:val="bottom"/>
          </w:tcPr>
          <w:p w:rsidR="007442AA" w:rsidRPr="002152E4" w:rsidRDefault="007442AA" w:rsidP="007442AA">
            <w:pPr>
              <w:jc w:val="center"/>
              <w:rPr>
                <w:b/>
                <w:lang w:val="ro-RO"/>
              </w:rPr>
            </w:pPr>
          </w:p>
        </w:tc>
        <w:tc>
          <w:tcPr>
            <w:tcW w:w="2967" w:type="dxa"/>
            <w:gridSpan w:val="3"/>
            <w:tcBorders>
              <w:top w:val="single" w:sz="12" w:space="0" w:color="auto"/>
              <w:left w:val="nil"/>
              <w:bottom w:val="nil"/>
              <w:right w:val="nil"/>
            </w:tcBorders>
            <w:shd w:val="clear" w:color="auto" w:fill="E0E0E0"/>
            <w:noWrap/>
            <w:vAlign w:val="bottom"/>
          </w:tcPr>
          <w:p w:rsidR="007442AA" w:rsidRPr="002152E4" w:rsidRDefault="007442AA" w:rsidP="007442AA">
            <w:pPr>
              <w:rPr>
                <w:b/>
                <w:lang w:val="ro-RO"/>
              </w:rPr>
            </w:pPr>
          </w:p>
        </w:tc>
        <w:tc>
          <w:tcPr>
            <w:tcW w:w="2636" w:type="dxa"/>
            <w:gridSpan w:val="2"/>
            <w:tcBorders>
              <w:top w:val="single" w:sz="12" w:space="0" w:color="auto"/>
              <w:left w:val="nil"/>
              <w:bottom w:val="nil"/>
              <w:right w:val="nil"/>
            </w:tcBorders>
            <w:shd w:val="clear" w:color="auto" w:fill="E0E0E0"/>
            <w:noWrap/>
            <w:vAlign w:val="bottom"/>
          </w:tcPr>
          <w:p w:rsidR="007442AA" w:rsidRPr="002152E4" w:rsidRDefault="007442AA" w:rsidP="007442AA">
            <w:pPr>
              <w:rPr>
                <w:b/>
                <w:bCs/>
                <w:lang w:val="ro-RO"/>
              </w:rPr>
            </w:pPr>
            <w:r w:rsidRPr="002152E4">
              <w:rPr>
                <w:b/>
                <w:bCs/>
                <w:lang w:val="ro-RO"/>
              </w:rPr>
              <w:t>media naţională pe procuror  70/130*</w:t>
            </w:r>
          </w:p>
        </w:tc>
        <w:tc>
          <w:tcPr>
            <w:tcW w:w="1272" w:type="dxa"/>
            <w:tcBorders>
              <w:top w:val="single" w:sz="12" w:space="0" w:color="auto"/>
              <w:left w:val="nil"/>
              <w:right w:val="nil"/>
            </w:tcBorders>
            <w:shd w:val="clear" w:color="auto" w:fill="E0E0E0"/>
          </w:tcPr>
          <w:p w:rsidR="007442AA" w:rsidRPr="002152E4" w:rsidRDefault="007442AA" w:rsidP="007442AA">
            <w:pPr>
              <w:jc w:val="center"/>
              <w:rPr>
                <w:b/>
                <w:lang w:val="ro-RO"/>
              </w:rPr>
            </w:pPr>
          </w:p>
        </w:tc>
        <w:tc>
          <w:tcPr>
            <w:tcW w:w="2267" w:type="dxa"/>
            <w:gridSpan w:val="2"/>
            <w:vMerge w:val="restart"/>
            <w:tcBorders>
              <w:top w:val="single" w:sz="12" w:space="0" w:color="auto"/>
              <w:left w:val="nil"/>
              <w:right w:val="single" w:sz="12" w:space="0" w:color="auto"/>
            </w:tcBorders>
            <w:shd w:val="clear" w:color="auto" w:fill="E0E0E0"/>
            <w:noWrap/>
            <w:vAlign w:val="bottom"/>
          </w:tcPr>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p>
        </w:tc>
      </w:tr>
      <w:tr w:rsidR="007442AA" w:rsidRPr="002152E4" w:rsidTr="007442AA">
        <w:trPr>
          <w:trHeight w:val="315"/>
        </w:trPr>
        <w:tc>
          <w:tcPr>
            <w:tcW w:w="902" w:type="dxa"/>
            <w:tcBorders>
              <w:top w:val="nil"/>
              <w:left w:val="single" w:sz="12" w:space="0" w:color="auto"/>
              <w:bottom w:val="single" w:sz="12" w:space="0" w:color="auto"/>
              <w:right w:val="nil"/>
            </w:tcBorders>
            <w:shd w:val="clear" w:color="auto" w:fill="E0E0E0"/>
            <w:noWrap/>
            <w:vAlign w:val="bottom"/>
          </w:tcPr>
          <w:p w:rsidR="007442AA" w:rsidRPr="002152E4" w:rsidRDefault="007442AA" w:rsidP="007442AA">
            <w:pPr>
              <w:jc w:val="center"/>
              <w:rPr>
                <w:b/>
                <w:lang w:val="ro-RO"/>
              </w:rPr>
            </w:pPr>
          </w:p>
        </w:tc>
        <w:tc>
          <w:tcPr>
            <w:tcW w:w="2967" w:type="dxa"/>
            <w:gridSpan w:val="3"/>
            <w:tcBorders>
              <w:top w:val="nil"/>
              <w:left w:val="nil"/>
              <w:bottom w:val="single" w:sz="12" w:space="0" w:color="auto"/>
              <w:right w:val="nil"/>
            </w:tcBorders>
            <w:shd w:val="clear" w:color="auto" w:fill="E0E0E0"/>
            <w:noWrap/>
            <w:vAlign w:val="bottom"/>
          </w:tcPr>
          <w:p w:rsidR="007442AA" w:rsidRPr="002152E4" w:rsidRDefault="007442AA" w:rsidP="007442AA">
            <w:pPr>
              <w:rPr>
                <w:b/>
                <w:lang w:val="ro-RO"/>
              </w:rPr>
            </w:pPr>
          </w:p>
        </w:tc>
        <w:tc>
          <w:tcPr>
            <w:tcW w:w="2636" w:type="dxa"/>
            <w:gridSpan w:val="2"/>
            <w:tcBorders>
              <w:top w:val="nil"/>
              <w:left w:val="nil"/>
              <w:bottom w:val="single" w:sz="12" w:space="0" w:color="auto"/>
              <w:right w:val="nil"/>
            </w:tcBorders>
            <w:shd w:val="clear" w:color="auto" w:fill="E0E0E0"/>
            <w:noWrap/>
            <w:vAlign w:val="bottom"/>
          </w:tcPr>
          <w:p w:rsidR="007442AA" w:rsidRPr="002152E4" w:rsidRDefault="007442AA" w:rsidP="007442AA">
            <w:pPr>
              <w:rPr>
                <w:b/>
                <w:bCs/>
                <w:lang w:val="ro-RO"/>
              </w:rPr>
            </w:pPr>
            <w:r w:rsidRPr="002152E4">
              <w:rPr>
                <w:b/>
                <w:bCs/>
                <w:lang w:val="ro-RO"/>
              </w:rPr>
              <w:t>media naţională pe schema 65</w:t>
            </w:r>
          </w:p>
        </w:tc>
        <w:tc>
          <w:tcPr>
            <w:tcW w:w="1272" w:type="dxa"/>
            <w:tcBorders>
              <w:left w:val="nil"/>
              <w:bottom w:val="single" w:sz="12" w:space="0" w:color="auto"/>
              <w:right w:val="nil"/>
            </w:tcBorders>
          </w:tcPr>
          <w:p w:rsidR="007442AA" w:rsidRPr="002152E4" w:rsidRDefault="007442AA" w:rsidP="007442AA">
            <w:pPr>
              <w:rPr>
                <w:b/>
                <w:lang w:val="ro-RO"/>
              </w:rPr>
            </w:pPr>
          </w:p>
        </w:tc>
        <w:tc>
          <w:tcPr>
            <w:tcW w:w="2267" w:type="dxa"/>
            <w:gridSpan w:val="2"/>
            <w:vMerge/>
            <w:tcBorders>
              <w:left w:val="nil"/>
              <w:bottom w:val="single" w:sz="12" w:space="0" w:color="auto"/>
              <w:right w:val="single" w:sz="12" w:space="0" w:color="auto"/>
            </w:tcBorders>
            <w:shd w:val="clear" w:color="auto" w:fill="auto"/>
            <w:noWrap/>
            <w:vAlign w:val="bottom"/>
          </w:tcPr>
          <w:p w:rsidR="007442AA" w:rsidRPr="002152E4" w:rsidRDefault="007442AA" w:rsidP="007442AA">
            <w:pPr>
              <w:rPr>
                <w:b/>
                <w:lang w:val="ro-RO"/>
              </w:rPr>
            </w:pPr>
          </w:p>
        </w:tc>
      </w:tr>
      <w:tr w:rsidR="007442AA" w:rsidRPr="002152E4" w:rsidTr="007442AA">
        <w:trPr>
          <w:trHeight w:val="630"/>
        </w:trPr>
        <w:tc>
          <w:tcPr>
            <w:tcW w:w="902"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7442AA" w:rsidRPr="002152E4" w:rsidRDefault="007442AA" w:rsidP="007442AA">
            <w:pPr>
              <w:jc w:val="center"/>
              <w:rPr>
                <w:b/>
                <w:lang w:val="ro-RO"/>
              </w:rPr>
            </w:pPr>
            <w:r w:rsidRPr="002152E4">
              <w:rPr>
                <w:b/>
                <w:lang w:val="ro-RO"/>
              </w:rPr>
              <w:t>Nr crt</w:t>
            </w:r>
          </w:p>
        </w:tc>
        <w:tc>
          <w:tcPr>
            <w:tcW w:w="2967" w:type="dxa"/>
            <w:gridSpan w:val="3"/>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Parchetul de pe lângă Curtea de Apel</w:t>
            </w:r>
          </w:p>
        </w:tc>
        <w:tc>
          <w:tcPr>
            <w:tcW w:w="1235"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de soluţionat (volum)</w:t>
            </w:r>
          </w:p>
        </w:tc>
        <w:tc>
          <w:tcPr>
            <w:tcW w:w="1401"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pe procuror</w:t>
            </w:r>
          </w:p>
        </w:tc>
        <w:tc>
          <w:tcPr>
            <w:tcW w:w="1272" w:type="dxa"/>
            <w:tcBorders>
              <w:top w:val="single" w:sz="12" w:space="0" w:color="auto"/>
              <w:left w:val="nil"/>
              <w:bottom w:val="single" w:sz="12" w:space="0" w:color="auto"/>
              <w:right w:val="nil"/>
            </w:tcBorders>
            <w:vAlign w:val="center"/>
          </w:tcPr>
          <w:p w:rsidR="007442AA" w:rsidRPr="002152E4" w:rsidRDefault="007442AA" w:rsidP="007442AA">
            <w:pPr>
              <w:jc w:val="center"/>
              <w:rPr>
                <w:b/>
                <w:lang w:val="ro-RO"/>
              </w:rPr>
            </w:pPr>
            <w:r w:rsidRPr="002152E4">
              <w:rPr>
                <w:b/>
                <w:lang w:val="ro-RO"/>
              </w:rPr>
              <w:t>Dosare pe procuror in penal*</w:t>
            </w:r>
          </w:p>
        </w:tc>
        <w:tc>
          <w:tcPr>
            <w:tcW w:w="1272"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pe schemă</w:t>
            </w:r>
          </w:p>
        </w:tc>
        <w:tc>
          <w:tcPr>
            <w:tcW w:w="995" w:type="dxa"/>
            <w:tcBorders>
              <w:top w:val="single" w:sz="12" w:space="0" w:color="auto"/>
              <w:left w:val="nil"/>
              <w:bottom w:val="single" w:sz="12" w:space="0" w:color="auto"/>
              <w:right w:val="single" w:sz="12" w:space="0" w:color="auto"/>
            </w:tcBorders>
            <w:shd w:val="clear" w:color="auto" w:fill="auto"/>
            <w:vAlign w:val="bottom"/>
          </w:tcPr>
          <w:p w:rsidR="007442AA" w:rsidRPr="002152E4" w:rsidRDefault="007442AA" w:rsidP="007442AA">
            <w:pPr>
              <w:jc w:val="center"/>
              <w:rPr>
                <w:b/>
                <w:lang w:val="ro-RO"/>
              </w:rPr>
            </w:pPr>
            <w:r w:rsidRPr="002152E4">
              <w:rPr>
                <w:b/>
                <w:lang w:val="ro-RO"/>
              </w:rPr>
              <w:t>Posturi ocupate efectiv</w:t>
            </w:r>
          </w:p>
        </w:tc>
      </w:tr>
      <w:tr w:rsidR="007442AA" w:rsidRPr="002152E4" w:rsidTr="007442AA">
        <w:trPr>
          <w:trHeight w:val="315"/>
        </w:trPr>
        <w:tc>
          <w:tcPr>
            <w:tcW w:w="902"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w:t>
            </w:r>
          </w:p>
        </w:tc>
        <w:tc>
          <w:tcPr>
            <w:tcW w:w="2967" w:type="dxa"/>
            <w:gridSpan w:val="3"/>
            <w:tcBorders>
              <w:top w:val="single" w:sz="12" w:space="0" w:color="auto"/>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ALBA IULIA</w:t>
            </w:r>
          </w:p>
        </w:tc>
        <w:tc>
          <w:tcPr>
            <w:tcW w:w="1235" w:type="dxa"/>
            <w:tcBorders>
              <w:top w:val="single" w:sz="12"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1094</w:t>
            </w:r>
          </w:p>
        </w:tc>
        <w:tc>
          <w:tcPr>
            <w:tcW w:w="1401" w:type="dxa"/>
            <w:tcBorders>
              <w:top w:val="single" w:sz="12"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91,17</w:t>
            </w:r>
          </w:p>
        </w:tc>
        <w:tc>
          <w:tcPr>
            <w:tcW w:w="1272" w:type="dxa"/>
            <w:tcBorders>
              <w:top w:val="single" w:sz="12" w:space="0" w:color="auto"/>
              <w:left w:val="nil"/>
              <w:bottom w:val="single" w:sz="4" w:space="0" w:color="auto"/>
              <w:right w:val="nil"/>
            </w:tcBorders>
            <w:vAlign w:val="center"/>
          </w:tcPr>
          <w:p w:rsidR="007442AA" w:rsidRPr="002152E4" w:rsidRDefault="007442AA" w:rsidP="007442AA">
            <w:pPr>
              <w:jc w:val="center"/>
              <w:rPr>
                <w:lang w:val="ro-RO"/>
              </w:rPr>
            </w:pPr>
            <w:r w:rsidRPr="002152E4">
              <w:rPr>
                <w:lang w:val="ro-RO"/>
              </w:rPr>
              <w:t>136,75</w:t>
            </w:r>
          </w:p>
        </w:tc>
        <w:tc>
          <w:tcPr>
            <w:tcW w:w="1272" w:type="dxa"/>
            <w:tcBorders>
              <w:top w:val="single" w:sz="12"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78,14</w:t>
            </w:r>
          </w:p>
        </w:tc>
        <w:tc>
          <w:tcPr>
            <w:tcW w:w="995" w:type="dxa"/>
            <w:tcBorders>
              <w:top w:val="single" w:sz="12" w:space="0" w:color="auto"/>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12</w:t>
            </w:r>
          </w:p>
        </w:tc>
      </w:tr>
      <w:tr w:rsidR="007442AA" w:rsidRPr="002152E4" w:rsidTr="007442AA">
        <w:trPr>
          <w:trHeight w:val="315"/>
        </w:trPr>
        <w:tc>
          <w:tcPr>
            <w:tcW w:w="902"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w:t>
            </w:r>
          </w:p>
        </w:tc>
        <w:tc>
          <w:tcPr>
            <w:tcW w:w="2967" w:type="dxa"/>
            <w:gridSpan w:val="3"/>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BACAU</w:t>
            </w:r>
          </w:p>
        </w:tc>
        <w:tc>
          <w:tcPr>
            <w:tcW w:w="1235"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1058</w:t>
            </w:r>
          </w:p>
        </w:tc>
        <w:tc>
          <w:tcPr>
            <w:tcW w:w="1401"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75,57</w:t>
            </w:r>
          </w:p>
        </w:tc>
        <w:tc>
          <w:tcPr>
            <w:tcW w:w="1272"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211,60</w:t>
            </w:r>
          </w:p>
        </w:tc>
        <w:tc>
          <w:tcPr>
            <w:tcW w:w="1272"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75,57</w:t>
            </w:r>
          </w:p>
        </w:tc>
        <w:tc>
          <w:tcPr>
            <w:tcW w:w="995"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14</w:t>
            </w:r>
          </w:p>
        </w:tc>
      </w:tr>
      <w:tr w:rsidR="007442AA" w:rsidRPr="002152E4" w:rsidTr="007442AA">
        <w:trPr>
          <w:trHeight w:val="315"/>
        </w:trPr>
        <w:tc>
          <w:tcPr>
            <w:tcW w:w="902"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w:t>
            </w:r>
          </w:p>
        </w:tc>
        <w:tc>
          <w:tcPr>
            <w:tcW w:w="2967" w:type="dxa"/>
            <w:gridSpan w:val="3"/>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BRASOV</w:t>
            </w:r>
          </w:p>
        </w:tc>
        <w:tc>
          <w:tcPr>
            <w:tcW w:w="1235"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867</w:t>
            </w:r>
          </w:p>
        </w:tc>
        <w:tc>
          <w:tcPr>
            <w:tcW w:w="1401"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78,82</w:t>
            </w:r>
          </w:p>
        </w:tc>
        <w:tc>
          <w:tcPr>
            <w:tcW w:w="1272"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144,50</w:t>
            </w:r>
          </w:p>
        </w:tc>
        <w:tc>
          <w:tcPr>
            <w:tcW w:w="1272"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61,93</w:t>
            </w:r>
          </w:p>
        </w:tc>
        <w:tc>
          <w:tcPr>
            <w:tcW w:w="995"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11</w:t>
            </w:r>
          </w:p>
        </w:tc>
      </w:tr>
      <w:tr w:rsidR="007442AA" w:rsidRPr="002152E4" w:rsidTr="007442AA">
        <w:trPr>
          <w:trHeight w:val="315"/>
        </w:trPr>
        <w:tc>
          <w:tcPr>
            <w:tcW w:w="902"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w:t>
            </w:r>
          </w:p>
        </w:tc>
        <w:tc>
          <w:tcPr>
            <w:tcW w:w="2967" w:type="dxa"/>
            <w:gridSpan w:val="3"/>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BUCURESTI</w:t>
            </w:r>
          </w:p>
        </w:tc>
        <w:tc>
          <w:tcPr>
            <w:tcW w:w="1235"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2498</w:t>
            </w:r>
          </w:p>
        </w:tc>
        <w:tc>
          <w:tcPr>
            <w:tcW w:w="1401"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49,96</w:t>
            </w:r>
          </w:p>
        </w:tc>
        <w:tc>
          <w:tcPr>
            <w:tcW w:w="1272"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99,92</w:t>
            </w:r>
          </w:p>
        </w:tc>
        <w:tc>
          <w:tcPr>
            <w:tcW w:w="1272"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49,96</w:t>
            </w:r>
          </w:p>
        </w:tc>
        <w:tc>
          <w:tcPr>
            <w:tcW w:w="995"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50</w:t>
            </w:r>
          </w:p>
        </w:tc>
      </w:tr>
      <w:tr w:rsidR="007442AA" w:rsidRPr="002152E4" w:rsidTr="007442AA">
        <w:trPr>
          <w:trHeight w:val="315"/>
        </w:trPr>
        <w:tc>
          <w:tcPr>
            <w:tcW w:w="902"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5</w:t>
            </w:r>
          </w:p>
        </w:tc>
        <w:tc>
          <w:tcPr>
            <w:tcW w:w="2967" w:type="dxa"/>
            <w:gridSpan w:val="3"/>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CLUJ</w:t>
            </w:r>
          </w:p>
        </w:tc>
        <w:tc>
          <w:tcPr>
            <w:tcW w:w="1235"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390</w:t>
            </w:r>
          </w:p>
        </w:tc>
        <w:tc>
          <w:tcPr>
            <w:tcW w:w="1401"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27,86</w:t>
            </w:r>
          </w:p>
        </w:tc>
        <w:tc>
          <w:tcPr>
            <w:tcW w:w="1272"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65,00</w:t>
            </w:r>
          </w:p>
        </w:tc>
        <w:tc>
          <w:tcPr>
            <w:tcW w:w="1272"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24,38</w:t>
            </w:r>
          </w:p>
        </w:tc>
        <w:tc>
          <w:tcPr>
            <w:tcW w:w="995"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14</w:t>
            </w:r>
          </w:p>
        </w:tc>
      </w:tr>
      <w:tr w:rsidR="007442AA" w:rsidRPr="002152E4" w:rsidTr="007442AA">
        <w:trPr>
          <w:trHeight w:val="315"/>
        </w:trPr>
        <w:tc>
          <w:tcPr>
            <w:tcW w:w="902"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6</w:t>
            </w:r>
          </w:p>
        </w:tc>
        <w:tc>
          <w:tcPr>
            <w:tcW w:w="2967" w:type="dxa"/>
            <w:gridSpan w:val="3"/>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CONSTANTA</w:t>
            </w:r>
          </w:p>
        </w:tc>
        <w:tc>
          <w:tcPr>
            <w:tcW w:w="1235"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1747</w:t>
            </w:r>
          </w:p>
        </w:tc>
        <w:tc>
          <w:tcPr>
            <w:tcW w:w="1401"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124,79</w:t>
            </w:r>
          </w:p>
        </w:tc>
        <w:tc>
          <w:tcPr>
            <w:tcW w:w="1272"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194,11</w:t>
            </w:r>
          </w:p>
        </w:tc>
        <w:tc>
          <w:tcPr>
            <w:tcW w:w="1272"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109,19</w:t>
            </w:r>
          </w:p>
        </w:tc>
        <w:tc>
          <w:tcPr>
            <w:tcW w:w="995"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14</w:t>
            </w:r>
          </w:p>
        </w:tc>
      </w:tr>
      <w:tr w:rsidR="007442AA" w:rsidRPr="002152E4" w:rsidTr="007442AA">
        <w:trPr>
          <w:trHeight w:val="315"/>
        </w:trPr>
        <w:tc>
          <w:tcPr>
            <w:tcW w:w="902" w:type="dxa"/>
            <w:tcBorders>
              <w:top w:val="nil"/>
              <w:left w:val="single" w:sz="12"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7</w:t>
            </w:r>
          </w:p>
        </w:tc>
        <w:tc>
          <w:tcPr>
            <w:tcW w:w="2967" w:type="dxa"/>
            <w:gridSpan w:val="3"/>
            <w:tcBorders>
              <w:top w:val="nil"/>
              <w:left w:val="nil"/>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CRAIOVA</w:t>
            </w:r>
          </w:p>
        </w:tc>
        <w:tc>
          <w:tcPr>
            <w:tcW w:w="1235" w:type="dxa"/>
            <w:tcBorders>
              <w:top w:val="nil"/>
              <w:left w:val="nil"/>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1071</w:t>
            </w:r>
          </w:p>
        </w:tc>
        <w:tc>
          <w:tcPr>
            <w:tcW w:w="1401" w:type="dxa"/>
            <w:tcBorders>
              <w:top w:val="nil"/>
              <w:left w:val="nil"/>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66,94</w:t>
            </w:r>
          </w:p>
        </w:tc>
        <w:tc>
          <w:tcPr>
            <w:tcW w:w="1272" w:type="dxa"/>
            <w:tcBorders>
              <w:top w:val="nil"/>
              <w:left w:val="nil"/>
              <w:right w:val="nil"/>
            </w:tcBorders>
            <w:vAlign w:val="center"/>
          </w:tcPr>
          <w:p w:rsidR="007442AA" w:rsidRPr="002152E4" w:rsidRDefault="007442AA" w:rsidP="007442AA">
            <w:pPr>
              <w:jc w:val="center"/>
              <w:rPr>
                <w:lang w:val="ro-RO"/>
              </w:rPr>
            </w:pPr>
            <w:r w:rsidRPr="002152E4">
              <w:rPr>
                <w:lang w:val="ro-RO"/>
              </w:rPr>
              <w:t>107,10</w:t>
            </w:r>
          </w:p>
        </w:tc>
        <w:tc>
          <w:tcPr>
            <w:tcW w:w="1272" w:type="dxa"/>
            <w:tcBorders>
              <w:top w:val="nil"/>
              <w:left w:val="nil"/>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59,50</w:t>
            </w:r>
          </w:p>
        </w:tc>
        <w:tc>
          <w:tcPr>
            <w:tcW w:w="995" w:type="dxa"/>
            <w:tcBorders>
              <w:top w:val="nil"/>
              <w:left w:val="nil"/>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16</w:t>
            </w:r>
          </w:p>
        </w:tc>
      </w:tr>
      <w:tr w:rsidR="007442AA" w:rsidRPr="002152E4" w:rsidTr="007442AA">
        <w:trPr>
          <w:trHeight w:val="315"/>
        </w:trPr>
        <w:tc>
          <w:tcPr>
            <w:tcW w:w="90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8</w:t>
            </w:r>
          </w:p>
        </w:tc>
        <w:tc>
          <w:tcPr>
            <w:tcW w:w="2967" w:type="dxa"/>
            <w:gridSpan w:val="3"/>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GALATI</w:t>
            </w:r>
          </w:p>
        </w:tc>
        <w:tc>
          <w:tcPr>
            <w:tcW w:w="1235"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972</w:t>
            </w:r>
          </w:p>
        </w:tc>
        <w:tc>
          <w:tcPr>
            <w:tcW w:w="1401"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74,77</w:t>
            </w:r>
          </w:p>
        </w:tc>
        <w:tc>
          <w:tcPr>
            <w:tcW w:w="1272" w:type="dxa"/>
            <w:tcBorders>
              <w:top w:val="single" w:sz="4" w:space="0" w:color="auto"/>
              <w:left w:val="nil"/>
              <w:bottom w:val="single" w:sz="4" w:space="0" w:color="auto"/>
              <w:right w:val="nil"/>
            </w:tcBorders>
            <w:vAlign w:val="center"/>
          </w:tcPr>
          <w:p w:rsidR="007442AA" w:rsidRPr="002152E4" w:rsidRDefault="007442AA" w:rsidP="007442AA">
            <w:pPr>
              <w:jc w:val="center"/>
              <w:rPr>
                <w:lang w:val="ro-RO"/>
              </w:rPr>
            </w:pPr>
            <w:r w:rsidRPr="002152E4">
              <w:rPr>
                <w:lang w:val="ro-RO"/>
              </w:rPr>
              <w:t>138,86</w:t>
            </w:r>
          </w:p>
        </w:tc>
        <w:tc>
          <w:tcPr>
            <w:tcW w:w="1272"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60,75</w:t>
            </w:r>
          </w:p>
        </w:tc>
        <w:tc>
          <w:tcPr>
            <w:tcW w:w="995" w:type="dxa"/>
            <w:tcBorders>
              <w:top w:val="single" w:sz="4" w:space="0" w:color="auto"/>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315"/>
        </w:trPr>
        <w:tc>
          <w:tcPr>
            <w:tcW w:w="902"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9</w:t>
            </w:r>
          </w:p>
        </w:tc>
        <w:tc>
          <w:tcPr>
            <w:tcW w:w="2967" w:type="dxa"/>
            <w:gridSpan w:val="3"/>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IASI</w:t>
            </w:r>
          </w:p>
        </w:tc>
        <w:tc>
          <w:tcPr>
            <w:tcW w:w="1235"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1132</w:t>
            </w:r>
          </w:p>
        </w:tc>
        <w:tc>
          <w:tcPr>
            <w:tcW w:w="1401"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87,08</w:t>
            </w:r>
          </w:p>
        </w:tc>
        <w:tc>
          <w:tcPr>
            <w:tcW w:w="1272"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161,71</w:t>
            </w:r>
          </w:p>
        </w:tc>
        <w:tc>
          <w:tcPr>
            <w:tcW w:w="1272"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87,08</w:t>
            </w:r>
          </w:p>
        </w:tc>
        <w:tc>
          <w:tcPr>
            <w:tcW w:w="995"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315"/>
        </w:trPr>
        <w:tc>
          <w:tcPr>
            <w:tcW w:w="90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10</w:t>
            </w:r>
          </w:p>
        </w:tc>
        <w:tc>
          <w:tcPr>
            <w:tcW w:w="2967" w:type="dxa"/>
            <w:gridSpan w:val="3"/>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ORADEA</w:t>
            </w:r>
          </w:p>
        </w:tc>
        <w:tc>
          <w:tcPr>
            <w:tcW w:w="1235"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840</w:t>
            </w:r>
          </w:p>
        </w:tc>
        <w:tc>
          <w:tcPr>
            <w:tcW w:w="1401"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64,62</w:t>
            </w:r>
          </w:p>
        </w:tc>
        <w:tc>
          <w:tcPr>
            <w:tcW w:w="1272" w:type="dxa"/>
            <w:tcBorders>
              <w:top w:val="single" w:sz="4" w:space="0" w:color="auto"/>
              <w:left w:val="nil"/>
              <w:bottom w:val="single" w:sz="4" w:space="0" w:color="auto"/>
              <w:right w:val="nil"/>
            </w:tcBorders>
            <w:vAlign w:val="center"/>
          </w:tcPr>
          <w:p w:rsidR="007442AA" w:rsidRPr="002152E4" w:rsidRDefault="007442AA" w:rsidP="007442AA">
            <w:pPr>
              <w:jc w:val="center"/>
              <w:rPr>
                <w:lang w:val="ro-RO"/>
              </w:rPr>
            </w:pPr>
            <w:r w:rsidRPr="002152E4">
              <w:rPr>
                <w:lang w:val="ro-RO"/>
              </w:rPr>
              <w:t>120,00</w:t>
            </w:r>
          </w:p>
        </w:tc>
        <w:tc>
          <w:tcPr>
            <w:tcW w:w="1272"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64,62</w:t>
            </w:r>
          </w:p>
        </w:tc>
        <w:tc>
          <w:tcPr>
            <w:tcW w:w="995" w:type="dxa"/>
            <w:tcBorders>
              <w:top w:val="single" w:sz="4" w:space="0" w:color="auto"/>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315"/>
        </w:trPr>
        <w:tc>
          <w:tcPr>
            <w:tcW w:w="902"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11</w:t>
            </w:r>
          </w:p>
        </w:tc>
        <w:tc>
          <w:tcPr>
            <w:tcW w:w="2967" w:type="dxa"/>
            <w:gridSpan w:val="3"/>
            <w:tcBorders>
              <w:top w:val="nil"/>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PITESTI</w:t>
            </w:r>
          </w:p>
        </w:tc>
        <w:tc>
          <w:tcPr>
            <w:tcW w:w="1235"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838</w:t>
            </w:r>
          </w:p>
        </w:tc>
        <w:tc>
          <w:tcPr>
            <w:tcW w:w="1401"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76,18</w:t>
            </w:r>
          </w:p>
        </w:tc>
        <w:tc>
          <w:tcPr>
            <w:tcW w:w="1272"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139,67</w:t>
            </w:r>
          </w:p>
        </w:tc>
        <w:tc>
          <w:tcPr>
            <w:tcW w:w="1272"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64,46</w:t>
            </w:r>
          </w:p>
        </w:tc>
        <w:tc>
          <w:tcPr>
            <w:tcW w:w="995"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11</w:t>
            </w:r>
          </w:p>
        </w:tc>
      </w:tr>
      <w:tr w:rsidR="007442AA" w:rsidRPr="002152E4" w:rsidTr="007442AA">
        <w:trPr>
          <w:trHeight w:val="315"/>
        </w:trPr>
        <w:tc>
          <w:tcPr>
            <w:tcW w:w="90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12</w:t>
            </w:r>
          </w:p>
        </w:tc>
        <w:tc>
          <w:tcPr>
            <w:tcW w:w="2967" w:type="dxa"/>
            <w:gridSpan w:val="3"/>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PLOIESTI</w:t>
            </w:r>
          </w:p>
        </w:tc>
        <w:tc>
          <w:tcPr>
            <w:tcW w:w="1235"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1042</w:t>
            </w:r>
          </w:p>
        </w:tc>
        <w:tc>
          <w:tcPr>
            <w:tcW w:w="1401"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86,83</w:t>
            </w:r>
          </w:p>
        </w:tc>
        <w:tc>
          <w:tcPr>
            <w:tcW w:w="1272" w:type="dxa"/>
            <w:tcBorders>
              <w:top w:val="single" w:sz="4" w:space="0" w:color="auto"/>
              <w:left w:val="nil"/>
              <w:bottom w:val="single" w:sz="4" w:space="0" w:color="auto"/>
              <w:right w:val="nil"/>
            </w:tcBorders>
            <w:vAlign w:val="center"/>
          </w:tcPr>
          <w:p w:rsidR="007442AA" w:rsidRPr="002152E4" w:rsidRDefault="007442AA" w:rsidP="007442AA">
            <w:pPr>
              <w:jc w:val="center"/>
              <w:rPr>
                <w:lang w:val="ro-RO"/>
              </w:rPr>
            </w:pPr>
            <w:r w:rsidRPr="002152E4">
              <w:rPr>
                <w:lang w:val="ro-RO"/>
              </w:rPr>
              <w:t>130,25</w:t>
            </w:r>
          </w:p>
        </w:tc>
        <w:tc>
          <w:tcPr>
            <w:tcW w:w="1272"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69,47</w:t>
            </w:r>
          </w:p>
        </w:tc>
        <w:tc>
          <w:tcPr>
            <w:tcW w:w="995" w:type="dxa"/>
            <w:tcBorders>
              <w:top w:val="single" w:sz="4" w:space="0" w:color="auto"/>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12</w:t>
            </w:r>
          </w:p>
        </w:tc>
      </w:tr>
      <w:tr w:rsidR="007442AA" w:rsidRPr="002152E4" w:rsidTr="007442AA">
        <w:trPr>
          <w:trHeight w:val="315"/>
        </w:trPr>
        <w:tc>
          <w:tcPr>
            <w:tcW w:w="90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13</w:t>
            </w:r>
          </w:p>
        </w:tc>
        <w:tc>
          <w:tcPr>
            <w:tcW w:w="2967" w:type="dxa"/>
            <w:gridSpan w:val="3"/>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SUCEAVA</w:t>
            </w:r>
          </w:p>
        </w:tc>
        <w:tc>
          <w:tcPr>
            <w:tcW w:w="1235"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863</w:t>
            </w:r>
          </w:p>
        </w:tc>
        <w:tc>
          <w:tcPr>
            <w:tcW w:w="1401"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71,92</w:t>
            </w:r>
          </w:p>
        </w:tc>
        <w:tc>
          <w:tcPr>
            <w:tcW w:w="1272" w:type="dxa"/>
            <w:tcBorders>
              <w:top w:val="single" w:sz="4" w:space="0" w:color="auto"/>
              <w:left w:val="nil"/>
              <w:bottom w:val="single" w:sz="4" w:space="0" w:color="auto"/>
              <w:right w:val="nil"/>
            </w:tcBorders>
            <w:vAlign w:val="center"/>
          </w:tcPr>
          <w:p w:rsidR="007442AA" w:rsidRPr="002152E4" w:rsidRDefault="007442AA" w:rsidP="007442AA">
            <w:pPr>
              <w:jc w:val="center"/>
              <w:rPr>
                <w:lang w:val="ro-RO"/>
              </w:rPr>
            </w:pPr>
            <w:r w:rsidRPr="002152E4">
              <w:rPr>
                <w:lang w:val="ro-RO"/>
              </w:rPr>
              <w:t>123,29</w:t>
            </w:r>
          </w:p>
        </w:tc>
        <w:tc>
          <w:tcPr>
            <w:tcW w:w="1272"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66,38</w:t>
            </w:r>
          </w:p>
        </w:tc>
        <w:tc>
          <w:tcPr>
            <w:tcW w:w="995" w:type="dxa"/>
            <w:tcBorders>
              <w:top w:val="single" w:sz="4" w:space="0" w:color="auto"/>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12</w:t>
            </w:r>
          </w:p>
        </w:tc>
      </w:tr>
      <w:tr w:rsidR="007442AA" w:rsidRPr="002152E4" w:rsidTr="007442AA">
        <w:trPr>
          <w:trHeight w:val="315"/>
        </w:trPr>
        <w:tc>
          <w:tcPr>
            <w:tcW w:w="902" w:type="dxa"/>
            <w:tcBorders>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14</w:t>
            </w:r>
          </w:p>
        </w:tc>
        <w:tc>
          <w:tcPr>
            <w:tcW w:w="2967" w:type="dxa"/>
            <w:gridSpan w:val="3"/>
            <w:tcBorders>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TARGU-MURES</w:t>
            </w:r>
          </w:p>
        </w:tc>
        <w:tc>
          <w:tcPr>
            <w:tcW w:w="1235" w:type="dxa"/>
            <w:tcBorders>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657</w:t>
            </w:r>
          </w:p>
        </w:tc>
        <w:tc>
          <w:tcPr>
            <w:tcW w:w="1401" w:type="dxa"/>
            <w:tcBorders>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50,54</w:t>
            </w:r>
          </w:p>
        </w:tc>
        <w:tc>
          <w:tcPr>
            <w:tcW w:w="1272" w:type="dxa"/>
            <w:tcBorders>
              <w:left w:val="nil"/>
              <w:bottom w:val="single" w:sz="4" w:space="0" w:color="auto"/>
              <w:right w:val="nil"/>
            </w:tcBorders>
            <w:vAlign w:val="center"/>
          </w:tcPr>
          <w:p w:rsidR="007442AA" w:rsidRPr="002152E4" w:rsidRDefault="007442AA" w:rsidP="007442AA">
            <w:pPr>
              <w:jc w:val="center"/>
              <w:rPr>
                <w:lang w:val="ro-RO"/>
              </w:rPr>
            </w:pPr>
            <w:r w:rsidRPr="002152E4">
              <w:rPr>
                <w:lang w:val="ro-RO"/>
              </w:rPr>
              <w:t>82,13</w:t>
            </w:r>
          </w:p>
        </w:tc>
        <w:tc>
          <w:tcPr>
            <w:tcW w:w="1272" w:type="dxa"/>
            <w:tcBorders>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50,54</w:t>
            </w:r>
          </w:p>
        </w:tc>
        <w:tc>
          <w:tcPr>
            <w:tcW w:w="995" w:type="dxa"/>
            <w:tcBorders>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13</w:t>
            </w:r>
          </w:p>
        </w:tc>
      </w:tr>
      <w:tr w:rsidR="007442AA" w:rsidRPr="002152E4" w:rsidTr="007442AA">
        <w:trPr>
          <w:trHeight w:val="315"/>
        </w:trPr>
        <w:tc>
          <w:tcPr>
            <w:tcW w:w="90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15</w:t>
            </w:r>
          </w:p>
        </w:tc>
        <w:tc>
          <w:tcPr>
            <w:tcW w:w="2967" w:type="dxa"/>
            <w:gridSpan w:val="3"/>
            <w:tcBorders>
              <w:top w:val="single" w:sz="4" w:space="0" w:color="auto"/>
              <w:left w:val="nil"/>
              <w:bottom w:val="single" w:sz="4" w:space="0" w:color="auto"/>
              <w:right w:val="single" w:sz="4" w:space="0" w:color="auto"/>
            </w:tcBorders>
            <w:shd w:val="clear" w:color="auto" w:fill="auto"/>
            <w:vAlign w:val="center"/>
          </w:tcPr>
          <w:p w:rsidR="007442AA" w:rsidRPr="002152E4" w:rsidRDefault="007442AA" w:rsidP="007442AA">
            <w:pPr>
              <w:rPr>
                <w:lang w:val="ro-RO"/>
              </w:rPr>
            </w:pPr>
            <w:r w:rsidRPr="002152E4">
              <w:rPr>
                <w:lang w:val="ro-RO"/>
              </w:rPr>
              <w:t xml:space="preserve"> TIMISOARA</w:t>
            </w:r>
          </w:p>
        </w:tc>
        <w:tc>
          <w:tcPr>
            <w:tcW w:w="1235"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1291</w:t>
            </w:r>
          </w:p>
        </w:tc>
        <w:tc>
          <w:tcPr>
            <w:tcW w:w="1401"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86,07</w:t>
            </w:r>
          </w:p>
        </w:tc>
        <w:tc>
          <w:tcPr>
            <w:tcW w:w="1272" w:type="dxa"/>
            <w:tcBorders>
              <w:top w:val="single" w:sz="4" w:space="0" w:color="auto"/>
              <w:left w:val="nil"/>
              <w:bottom w:val="single" w:sz="4" w:space="0" w:color="auto"/>
              <w:right w:val="nil"/>
            </w:tcBorders>
            <w:vAlign w:val="center"/>
          </w:tcPr>
          <w:p w:rsidR="007442AA" w:rsidRPr="002152E4" w:rsidRDefault="007442AA" w:rsidP="007442AA">
            <w:pPr>
              <w:jc w:val="center"/>
              <w:rPr>
                <w:lang w:val="ro-RO"/>
              </w:rPr>
            </w:pPr>
            <w:r w:rsidRPr="002152E4">
              <w:rPr>
                <w:lang w:val="ro-RO"/>
              </w:rPr>
              <w:t>184,43</w:t>
            </w:r>
          </w:p>
        </w:tc>
        <w:tc>
          <w:tcPr>
            <w:tcW w:w="1272" w:type="dxa"/>
            <w:tcBorders>
              <w:top w:val="single" w:sz="4"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86,07</w:t>
            </w:r>
          </w:p>
        </w:tc>
        <w:tc>
          <w:tcPr>
            <w:tcW w:w="995" w:type="dxa"/>
            <w:tcBorders>
              <w:top w:val="single" w:sz="4" w:space="0" w:color="auto"/>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15</w:t>
            </w:r>
          </w:p>
        </w:tc>
      </w:tr>
      <w:tr w:rsidR="007442AA" w:rsidRPr="002152E4" w:rsidTr="007442AA">
        <w:trPr>
          <w:trHeight w:val="315"/>
        </w:trPr>
        <w:tc>
          <w:tcPr>
            <w:tcW w:w="902" w:type="dxa"/>
            <w:tcBorders>
              <w:top w:val="single" w:sz="4" w:space="0" w:color="auto"/>
              <w:left w:val="single" w:sz="12" w:space="0" w:color="auto"/>
              <w:bottom w:val="single" w:sz="4" w:space="0" w:color="auto"/>
              <w:right w:val="single" w:sz="4" w:space="0" w:color="auto"/>
            </w:tcBorders>
            <w:shd w:val="clear" w:color="auto" w:fill="E0E0E0"/>
            <w:noWrap/>
            <w:vAlign w:val="bottom"/>
          </w:tcPr>
          <w:p w:rsidR="007442AA" w:rsidRPr="002152E4" w:rsidRDefault="007442AA" w:rsidP="007442AA">
            <w:pPr>
              <w:jc w:val="center"/>
              <w:rPr>
                <w:b/>
                <w:bCs/>
                <w:lang w:val="ro-RO"/>
              </w:rPr>
            </w:pPr>
            <w:r w:rsidRPr="002152E4">
              <w:rPr>
                <w:b/>
                <w:bCs/>
                <w:lang w:val="ro-RO"/>
              </w:rPr>
              <w:t> </w:t>
            </w:r>
          </w:p>
        </w:tc>
        <w:tc>
          <w:tcPr>
            <w:tcW w:w="2967" w:type="dxa"/>
            <w:gridSpan w:val="3"/>
            <w:tcBorders>
              <w:top w:val="single" w:sz="4" w:space="0" w:color="auto"/>
              <w:left w:val="nil"/>
              <w:bottom w:val="single" w:sz="4" w:space="0" w:color="auto"/>
              <w:right w:val="single" w:sz="4" w:space="0" w:color="auto"/>
            </w:tcBorders>
            <w:shd w:val="clear" w:color="auto" w:fill="E0E0E0"/>
            <w:vAlign w:val="bottom"/>
          </w:tcPr>
          <w:p w:rsidR="007442AA" w:rsidRPr="002152E4" w:rsidRDefault="007442AA" w:rsidP="007442AA">
            <w:pPr>
              <w:jc w:val="center"/>
              <w:rPr>
                <w:b/>
                <w:lang w:val="ro-RO"/>
              </w:rPr>
            </w:pPr>
            <w:r w:rsidRPr="002152E4">
              <w:rPr>
                <w:b/>
                <w:lang w:val="ro-RO"/>
              </w:rPr>
              <w:t>Total</w:t>
            </w:r>
          </w:p>
        </w:tc>
        <w:tc>
          <w:tcPr>
            <w:tcW w:w="1235" w:type="dxa"/>
            <w:tcBorders>
              <w:top w:val="single" w:sz="4" w:space="0" w:color="auto"/>
              <w:left w:val="nil"/>
              <w:bottom w:val="single" w:sz="4" w:space="0" w:color="auto"/>
              <w:right w:val="single" w:sz="4" w:space="0" w:color="auto"/>
            </w:tcBorders>
            <w:shd w:val="clear" w:color="auto" w:fill="E0E0E0"/>
            <w:noWrap/>
            <w:vAlign w:val="bottom"/>
          </w:tcPr>
          <w:p w:rsidR="007442AA" w:rsidRPr="002152E4" w:rsidRDefault="007442AA" w:rsidP="007442AA">
            <w:pPr>
              <w:jc w:val="center"/>
              <w:rPr>
                <w:b/>
                <w:bCs/>
                <w:lang w:val="ro-RO"/>
              </w:rPr>
            </w:pPr>
            <w:r w:rsidRPr="002152E4">
              <w:rPr>
                <w:b/>
                <w:bCs/>
                <w:lang w:val="ro-RO"/>
              </w:rPr>
              <w:t>16711</w:t>
            </w:r>
          </w:p>
        </w:tc>
        <w:tc>
          <w:tcPr>
            <w:tcW w:w="1401" w:type="dxa"/>
            <w:tcBorders>
              <w:top w:val="single" w:sz="4" w:space="0" w:color="auto"/>
              <w:left w:val="nil"/>
              <w:bottom w:val="single" w:sz="4" w:space="0" w:color="auto"/>
              <w:right w:val="single" w:sz="4" w:space="0" w:color="auto"/>
            </w:tcBorders>
            <w:shd w:val="clear" w:color="auto" w:fill="E0E0E0"/>
            <w:noWrap/>
            <w:vAlign w:val="bottom"/>
          </w:tcPr>
          <w:p w:rsidR="007442AA" w:rsidRPr="002152E4" w:rsidRDefault="007442AA" w:rsidP="007442AA">
            <w:pPr>
              <w:jc w:val="center"/>
              <w:rPr>
                <w:b/>
                <w:lang w:val="ro-RO" w:eastAsia="ro-RO"/>
              </w:rPr>
            </w:pPr>
            <w:r w:rsidRPr="002152E4">
              <w:rPr>
                <w:b/>
                <w:lang w:val="ro-RO" w:eastAsia="ro-RO"/>
              </w:rPr>
              <w:t>Media 70</w:t>
            </w:r>
          </w:p>
        </w:tc>
        <w:tc>
          <w:tcPr>
            <w:tcW w:w="1272" w:type="dxa"/>
            <w:tcBorders>
              <w:top w:val="single" w:sz="4" w:space="0" w:color="auto"/>
              <w:left w:val="nil"/>
              <w:bottom w:val="single" w:sz="4" w:space="0" w:color="auto"/>
              <w:right w:val="nil"/>
            </w:tcBorders>
            <w:shd w:val="clear" w:color="auto" w:fill="E0E0E0"/>
          </w:tcPr>
          <w:p w:rsidR="007442AA" w:rsidRPr="002152E4" w:rsidRDefault="007442AA" w:rsidP="007442AA">
            <w:pPr>
              <w:jc w:val="center"/>
              <w:rPr>
                <w:b/>
                <w:lang w:val="ro-RO" w:eastAsia="ro-RO"/>
              </w:rPr>
            </w:pPr>
            <w:r w:rsidRPr="002152E4">
              <w:rPr>
                <w:b/>
                <w:lang w:val="ro-RO" w:eastAsia="ro-RO"/>
              </w:rPr>
              <w:t>Media 130*</w:t>
            </w:r>
          </w:p>
        </w:tc>
        <w:tc>
          <w:tcPr>
            <w:tcW w:w="1272" w:type="dxa"/>
            <w:tcBorders>
              <w:top w:val="single" w:sz="4" w:space="0" w:color="auto"/>
              <w:left w:val="nil"/>
              <w:bottom w:val="single" w:sz="4" w:space="0" w:color="auto"/>
              <w:right w:val="single" w:sz="4" w:space="0" w:color="auto"/>
            </w:tcBorders>
            <w:shd w:val="clear" w:color="auto" w:fill="E0E0E0"/>
            <w:noWrap/>
            <w:vAlign w:val="bottom"/>
          </w:tcPr>
          <w:p w:rsidR="007442AA" w:rsidRPr="002152E4" w:rsidRDefault="007442AA" w:rsidP="007442AA">
            <w:pPr>
              <w:jc w:val="center"/>
              <w:rPr>
                <w:b/>
                <w:lang w:val="ro-RO" w:eastAsia="ro-RO"/>
              </w:rPr>
            </w:pPr>
            <w:r w:rsidRPr="002152E4">
              <w:rPr>
                <w:b/>
                <w:lang w:val="ro-RO" w:eastAsia="ro-RO"/>
              </w:rPr>
              <w:t xml:space="preserve">Media 65 </w:t>
            </w:r>
          </w:p>
        </w:tc>
        <w:tc>
          <w:tcPr>
            <w:tcW w:w="995" w:type="dxa"/>
            <w:tcBorders>
              <w:top w:val="single" w:sz="4" w:space="0" w:color="auto"/>
              <w:left w:val="nil"/>
              <w:bottom w:val="single" w:sz="4" w:space="0" w:color="auto"/>
              <w:right w:val="single" w:sz="12" w:space="0" w:color="auto"/>
            </w:tcBorders>
            <w:shd w:val="clear" w:color="auto" w:fill="E0E0E0"/>
            <w:noWrap/>
            <w:vAlign w:val="bottom"/>
          </w:tcPr>
          <w:p w:rsidR="007442AA" w:rsidRPr="002152E4" w:rsidRDefault="007442AA" w:rsidP="007442AA">
            <w:pPr>
              <w:jc w:val="center"/>
              <w:rPr>
                <w:b/>
                <w:bCs/>
                <w:lang w:val="ro-RO"/>
              </w:rPr>
            </w:pPr>
            <w:r w:rsidRPr="002152E4">
              <w:rPr>
                <w:b/>
                <w:bCs/>
                <w:lang w:val="ro-RO"/>
              </w:rPr>
              <w:t>233</w:t>
            </w:r>
          </w:p>
        </w:tc>
      </w:tr>
      <w:tr w:rsidR="007442AA" w:rsidRPr="002152E4" w:rsidTr="007442AA">
        <w:trPr>
          <w:trHeight w:val="315"/>
        </w:trPr>
        <w:tc>
          <w:tcPr>
            <w:tcW w:w="10044" w:type="dxa"/>
            <w:gridSpan w:val="9"/>
            <w:tcBorders>
              <w:top w:val="single" w:sz="4" w:space="0" w:color="auto"/>
              <w:left w:val="single" w:sz="12" w:space="0" w:color="auto"/>
              <w:bottom w:val="single" w:sz="12" w:space="0" w:color="auto"/>
              <w:right w:val="single" w:sz="12" w:space="0" w:color="auto"/>
            </w:tcBorders>
            <w:shd w:val="clear" w:color="auto" w:fill="E0E0E0"/>
            <w:noWrap/>
            <w:vAlign w:val="bottom"/>
          </w:tcPr>
          <w:p w:rsidR="007442AA" w:rsidRPr="002152E4" w:rsidRDefault="007442AA" w:rsidP="007442AA">
            <w:pPr>
              <w:rPr>
                <w:lang w:val="ro-RO"/>
              </w:rPr>
            </w:pPr>
            <w:r w:rsidRPr="002152E4">
              <w:rPr>
                <w:lang w:val="ro-RO"/>
              </w:rPr>
              <w:t xml:space="preserve">*daca se iau in calcul doar procurorii care au lucrat efectiv la </w:t>
            </w:r>
            <w:r w:rsidR="00BB56C0" w:rsidRPr="002152E4">
              <w:rPr>
                <w:lang w:val="ro-RO"/>
              </w:rPr>
              <w:t>soluţionarea</w:t>
            </w:r>
            <w:r w:rsidRPr="002152E4">
              <w:rPr>
                <w:lang w:val="ro-RO"/>
              </w:rPr>
              <w:t xml:space="preserve"> dosarelor penale</w:t>
            </w:r>
          </w:p>
        </w:tc>
      </w:tr>
    </w:tbl>
    <w:p w:rsidR="007442AA" w:rsidRPr="002152E4" w:rsidRDefault="007442AA" w:rsidP="007442AA">
      <w:pPr>
        <w:rPr>
          <w:lang w:val="ro-RO"/>
        </w:rPr>
      </w:pPr>
    </w:p>
    <w:p w:rsidR="007442AA" w:rsidRPr="002152E4" w:rsidRDefault="007442AA" w:rsidP="007442AA">
      <w:pPr>
        <w:tabs>
          <w:tab w:val="left" w:pos="1245"/>
        </w:tabs>
        <w:rPr>
          <w:b/>
          <w:lang w:val="ro-RO"/>
        </w:rPr>
      </w:pPr>
    </w:p>
    <w:p w:rsidR="007442AA" w:rsidRPr="002152E4" w:rsidRDefault="007442AA" w:rsidP="007442AA">
      <w:pPr>
        <w:tabs>
          <w:tab w:val="left" w:pos="1245"/>
        </w:tabs>
        <w:rPr>
          <w:b/>
          <w:lang w:val="ro-RO"/>
        </w:rPr>
      </w:pPr>
    </w:p>
    <w:p w:rsidR="007442AA" w:rsidRPr="002152E4" w:rsidRDefault="007442AA" w:rsidP="007442AA">
      <w:pPr>
        <w:tabs>
          <w:tab w:val="left" w:pos="795"/>
          <w:tab w:val="left" w:pos="1095"/>
          <w:tab w:val="left" w:pos="5760"/>
        </w:tabs>
        <w:spacing w:before="120" w:line="360" w:lineRule="auto"/>
        <w:ind w:left="735"/>
        <w:jc w:val="both"/>
        <w:rPr>
          <w:lang w:val="ro-RO"/>
        </w:rPr>
      </w:pPr>
      <w:r w:rsidRPr="002152E4">
        <w:rPr>
          <w:lang w:val="ro-RO"/>
        </w:rPr>
        <w:br w:type="page"/>
      </w:r>
    </w:p>
    <w:tbl>
      <w:tblPr>
        <w:tblW w:w="10044" w:type="dxa"/>
        <w:tblInd w:w="93" w:type="dxa"/>
        <w:tblLook w:val="0000" w:firstRow="0" w:lastRow="0" w:firstColumn="0" w:lastColumn="0" w:noHBand="0" w:noVBand="0"/>
      </w:tblPr>
      <w:tblGrid>
        <w:gridCol w:w="902"/>
        <w:gridCol w:w="386"/>
        <w:gridCol w:w="903"/>
        <w:gridCol w:w="1678"/>
        <w:gridCol w:w="1235"/>
        <w:gridCol w:w="1401"/>
        <w:gridCol w:w="1272"/>
        <w:gridCol w:w="1272"/>
        <w:gridCol w:w="1026"/>
      </w:tblGrid>
      <w:tr w:rsidR="007442AA" w:rsidRPr="002152E4" w:rsidTr="007442AA">
        <w:trPr>
          <w:trHeight w:val="315"/>
        </w:trPr>
        <w:tc>
          <w:tcPr>
            <w:tcW w:w="902" w:type="dxa"/>
            <w:tcBorders>
              <w:top w:val="single" w:sz="12" w:space="0" w:color="auto"/>
              <w:left w:val="single" w:sz="12" w:space="0" w:color="auto"/>
              <w:bottom w:val="nil"/>
              <w:right w:val="nil"/>
            </w:tcBorders>
            <w:shd w:val="clear" w:color="auto" w:fill="E0E0E0"/>
            <w:noWrap/>
            <w:vAlign w:val="bottom"/>
          </w:tcPr>
          <w:p w:rsidR="007442AA" w:rsidRPr="002152E4" w:rsidRDefault="007442AA" w:rsidP="007442AA">
            <w:pPr>
              <w:jc w:val="center"/>
              <w:rPr>
                <w:lang w:val="ro-RO"/>
              </w:rPr>
            </w:pPr>
          </w:p>
        </w:tc>
        <w:tc>
          <w:tcPr>
            <w:tcW w:w="1289" w:type="dxa"/>
            <w:gridSpan w:val="2"/>
            <w:tcBorders>
              <w:top w:val="single" w:sz="12" w:space="0" w:color="auto"/>
              <w:left w:val="nil"/>
              <w:bottom w:val="nil"/>
              <w:right w:val="nil"/>
            </w:tcBorders>
            <w:shd w:val="clear" w:color="auto" w:fill="E0E0E0"/>
          </w:tcPr>
          <w:p w:rsidR="007442AA" w:rsidRPr="002152E4" w:rsidRDefault="007442AA" w:rsidP="007442AA">
            <w:pPr>
              <w:jc w:val="center"/>
              <w:rPr>
                <w:b/>
                <w:bCs/>
                <w:lang w:val="ro-RO"/>
              </w:rPr>
            </w:pPr>
          </w:p>
        </w:tc>
        <w:tc>
          <w:tcPr>
            <w:tcW w:w="6858" w:type="dxa"/>
            <w:gridSpan w:val="5"/>
            <w:tcBorders>
              <w:top w:val="single" w:sz="12" w:space="0" w:color="auto"/>
              <w:left w:val="nil"/>
              <w:bottom w:val="nil"/>
              <w:right w:val="nil"/>
            </w:tcBorders>
            <w:shd w:val="clear" w:color="auto" w:fill="E0E0E0"/>
            <w:noWrap/>
            <w:vAlign w:val="bottom"/>
          </w:tcPr>
          <w:p w:rsidR="007442AA" w:rsidRPr="002152E4" w:rsidRDefault="007442AA" w:rsidP="007442AA">
            <w:pPr>
              <w:jc w:val="center"/>
              <w:rPr>
                <w:b/>
                <w:bCs/>
                <w:lang w:val="ro-RO"/>
              </w:rPr>
            </w:pPr>
            <w:r w:rsidRPr="002152E4">
              <w:rPr>
                <w:b/>
                <w:bCs/>
                <w:lang w:val="ro-RO"/>
              </w:rPr>
              <w:t>Activitatea parchetelor PICCJ, DNA şi DIICOT în anul 2016</w:t>
            </w:r>
          </w:p>
        </w:tc>
        <w:tc>
          <w:tcPr>
            <w:tcW w:w="995" w:type="dxa"/>
            <w:tcBorders>
              <w:top w:val="single" w:sz="12" w:space="0" w:color="auto"/>
              <w:left w:val="nil"/>
              <w:bottom w:val="nil"/>
              <w:right w:val="single" w:sz="12" w:space="0" w:color="auto"/>
            </w:tcBorders>
            <w:shd w:val="clear" w:color="auto" w:fill="E0E0E0"/>
            <w:noWrap/>
            <w:vAlign w:val="bottom"/>
          </w:tcPr>
          <w:p w:rsidR="007442AA" w:rsidRPr="002152E4" w:rsidRDefault="007442AA" w:rsidP="007442AA">
            <w:pPr>
              <w:rPr>
                <w:lang w:val="ro-RO"/>
              </w:rPr>
            </w:pPr>
          </w:p>
        </w:tc>
      </w:tr>
      <w:tr w:rsidR="007442AA" w:rsidRPr="002152E4" w:rsidTr="007442AA">
        <w:trPr>
          <w:trHeight w:val="300"/>
        </w:trPr>
        <w:tc>
          <w:tcPr>
            <w:tcW w:w="1288" w:type="dxa"/>
            <w:gridSpan w:val="2"/>
            <w:tcBorders>
              <w:top w:val="nil"/>
              <w:left w:val="single" w:sz="12" w:space="0" w:color="auto"/>
              <w:bottom w:val="single" w:sz="12" w:space="0" w:color="auto"/>
              <w:right w:val="single" w:sz="12" w:space="0" w:color="auto"/>
            </w:tcBorders>
            <w:shd w:val="clear" w:color="auto" w:fill="E0E0E0"/>
          </w:tcPr>
          <w:p w:rsidR="007442AA" w:rsidRPr="002152E4" w:rsidRDefault="007442AA" w:rsidP="007442AA">
            <w:pPr>
              <w:rPr>
                <w:lang w:val="ro-RO"/>
              </w:rPr>
            </w:pPr>
          </w:p>
        </w:tc>
        <w:tc>
          <w:tcPr>
            <w:tcW w:w="8756" w:type="dxa"/>
            <w:gridSpan w:val="7"/>
            <w:tcBorders>
              <w:top w:val="nil"/>
              <w:left w:val="single" w:sz="12" w:space="0" w:color="auto"/>
              <w:bottom w:val="single" w:sz="12" w:space="0" w:color="auto"/>
              <w:right w:val="single" w:sz="12" w:space="0" w:color="auto"/>
            </w:tcBorders>
            <w:shd w:val="clear" w:color="auto" w:fill="E0E0E0"/>
            <w:noWrap/>
            <w:vAlign w:val="bottom"/>
          </w:tcPr>
          <w:p w:rsidR="007442AA" w:rsidRPr="002152E4" w:rsidRDefault="007442AA" w:rsidP="007442AA">
            <w:pPr>
              <w:rPr>
                <w:lang w:val="ro-RO"/>
              </w:rPr>
            </w:pPr>
          </w:p>
        </w:tc>
      </w:tr>
      <w:tr w:rsidR="007442AA" w:rsidRPr="002152E4" w:rsidTr="007442AA">
        <w:trPr>
          <w:trHeight w:val="315"/>
        </w:trPr>
        <w:tc>
          <w:tcPr>
            <w:tcW w:w="902" w:type="dxa"/>
            <w:tcBorders>
              <w:top w:val="single" w:sz="12" w:space="0" w:color="auto"/>
              <w:left w:val="single" w:sz="12" w:space="0" w:color="auto"/>
              <w:bottom w:val="nil"/>
              <w:right w:val="nil"/>
            </w:tcBorders>
            <w:shd w:val="clear" w:color="auto" w:fill="E0E0E0"/>
            <w:noWrap/>
            <w:vAlign w:val="bottom"/>
          </w:tcPr>
          <w:p w:rsidR="007442AA" w:rsidRPr="002152E4" w:rsidRDefault="007442AA" w:rsidP="007442AA">
            <w:pPr>
              <w:jc w:val="center"/>
              <w:rPr>
                <w:b/>
                <w:lang w:val="ro-RO"/>
              </w:rPr>
            </w:pPr>
          </w:p>
        </w:tc>
        <w:tc>
          <w:tcPr>
            <w:tcW w:w="2967" w:type="dxa"/>
            <w:gridSpan w:val="3"/>
            <w:tcBorders>
              <w:top w:val="single" w:sz="12" w:space="0" w:color="auto"/>
              <w:left w:val="nil"/>
              <w:bottom w:val="nil"/>
              <w:right w:val="nil"/>
            </w:tcBorders>
            <w:shd w:val="clear" w:color="auto" w:fill="E0E0E0"/>
            <w:noWrap/>
            <w:vAlign w:val="bottom"/>
          </w:tcPr>
          <w:p w:rsidR="007442AA" w:rsidRPr="002152E4" w:rsidRDefault="007442AA" w:rsidP="007442AA">
            <w:pPr>
              <w:rPr>
                <w:b/>
                <w:lang w:val="ro-RO"/>
              </w:rPr>
            </w:pPr>
          </w:p>
        </w:tc>
        <w:tc>
          <w:tcPr>
            <w:tcW w:w="2636" w:type="dxa"/>
            <w:gridSpan w:val="2"/>
            <w:tcBorders>
              <w:top w:val="single" w:sz="12" w:space="0" w:color="auto"/>
              <w:left w:val="nil"/>
              <w:bottom w:val="nil"/>
              <w:right w:val="nil"/>
            </w:tcBorders>
            <w:shd w:val="clear" w:color="auto" w:fill="E0E0E0"/>
            <w:noWrap/>
            <w:vAlign w:val="bottom"/>
          </w:tcPr>
          <w:p w:rsidR="007442AA" w:rsidRPr="002152E4" w:rsidRDefault="007442AA" w:rsidP="007442AA">
            <w:pPr>
              <w:rPr>
                <w:b/>
                <w:bCs/>
                <w:lang w:val="ro-RO"/>
              </w:rPr>
            </w:pPr>
          </w:p>
        </w:tc>
        <w:tc>
          <w:tcPr>
            <w:tcW w:w="1272" w:type="dxa"/>
            <w:tcBorders>
              <w:top w:val="single" w:sz="12" w:space="0" w:color="auto"/>
              <w:left w:val="nil"/>
              <w:right w:val="nil"/>
            </w:tcBorders>
            <w:shd w:val="clear" w:color="auto" w:fill="E0E0E0"/>
          </w:tcPr>
          <w:p w:rsidR="007442AA" w:rsidRPr="002152E4" w:rsidRDefault="007442AA" w:rsidP="007442AA">
            <w:pPr>
              <w:jc w:val="center"/>
              <w:rPr>
                <w:b/>
                <w:lang w:val="ro-RO"/>
              </w:rPr>
            </w:pPr>
          </w:p>
        </w:tc>
        <w:tc>
          <w:tcPr>
            <w:tcW w:w="2267" w:type="dxa"/>
            <w:gridSpan w:val="2"/>
            <w:vMerge w:val="restart"/>
            <w:tcBorders>
              <w:top w:val="single" w:sz="12" w:space="0" w:color="auto"/>
              <w:left w:val="nil"/>
              <w:right w:val="single" w:sz="12" w:space="0" w:color="auto"/>
            </w:tcBorders>
            <w:shd w:val="clear" w:color="auto" w:fill="E0E0E0"/>
            <w:noWrap/>
            <w:vAlign w:val="bottom"/>
          </w:tcPr>
          <w:p w:rsidR="007442AA" w:rsidRPr="002152E4" w:rsidRDefault="007442AA" w:rsidP="007442AA">
            <w:pPr>
              <w:jc w:val="center"/>
              <w:rPr>
                <w:b/>
                <w:lang w:val="ro-RO"/>
              </w:rPr>
            </w:pPr>
          </w:p>
          <w:p w:rsidR="007442AA" w:rsidRPr="002152E4" w:rsidRDefault="007442AA" w:rsidP="007442AA">
            <w:pPr>
              <w:jc w:val="center"/>
              <w:rPr>
                <w:b/>
                <w:lang w:val="ro-RO"/>
              </w:rPr>
            </w:pPr>
          </w:p>
          <w:p w:rsidR="007442AA" w:rsidRPr="002152E4" w:rsidRDefault="007442AA" w:rsidP="007442AA">
            <w:pPr>
              <w:jc w:val="center"/>
              <w:rPr>
                <w:b/>
                <w:lang w:val="ro-RO"/>
              </w:rPr>
            </w:pPr>
          </w:p>
        </w:tc>
      </w:tr>
      <w:tr w:rsidR="007442AA" w:rsidRPr="002152E4" w:rsidTr="007442AA">
        <w:trPr>
          <w:trHeight w:val="315"/>
        </w:trPr>
        <w:tc>
          <w:tcPr>
            <w:tcW w:w="902" w:type="dxa"/>
            <w:tcBorders>
              <w:top w:val="nil"/>
              <w:left w:val="single" w:sz="12" w:space="0" w:color="auto"/>
              <w:bottom w:val="single" w:sz="12" w:space="0" w:color="auto"/>
              <w:right w:val="nil"/>
            </w:tcBorders>
            <w:shd w:val="clear" w:color="auto" w:fill="E0E0E0"/>
            <w:noWrap/>
            <w:vAlign w:val="bottom"/>
          </w:tcPr>
          <w:p w:rsidR="007442AA" w:rsidRPr="002152E4" w:rsidRDefault="007442AA" w:rsidP="007442AA">
            <w:pPr>
              <w:jc w:val="center"/>
              <w:rPr>
                <w:b/>
                <w:lang w:val="ro-RO"/>
              </w:rPr>
            </w:pPr>
          </w:p>
        </w:tc>
        <w:tc>
          <w:tcPr>
            <w:tcW w:w="2967" w:type="dxa"/>
            <w:gridSpan w:val="3"/>
            <w:tcBorders>
              <w:top w:val="nil"/>
              <w:left w:val="nil"/>
              <w:bottom w:val="single" w:sz="12" w:space="0" w:color="auto"/>
              <w:right w:val="nil"/>
            </w:tcBorders>
            <w:shd w:val="clear" w:color="auto" w:fill="E0E0E0"/>
            <w:noWrap/>
            <w:vAlign w:val="bottom"/>
          </w:tcPr>
          <w:p w:rsidR="007442AA" w:rsidRPr="002152E4" w:rsidRDefault="007442AA" w:rsidP="007442AA">
            <w:pPr>
              <w:rPr>
                <w:b/>
                <w:lang w:val="ro-RO"/>
              </w:rPr>
            </w:pPr>
          </w:p>
        </w:tc>
        <w:tc>
          <w:tcPr>
            <w:tcW w:w="2636" w:type="dxa"/>
            <w:gridSpan w:val="2"/>
            <w:tcBorders>
              <w:top w:val="nil"/>
              <w:left w:val="nil"/>
              <w:bottom w:val="single" w:sz="12" w:space="0" w:color="auto"/>
              <w:right w:val="nil"/>
            </w:tcBorders>
            <w:shd w:val="clear" w:color="auto" w:fill="E0E0E0"/>
            <w:noWrap/>
            <w:vAlign w:val="bottom"/>
          </w:tcPr>
          <w:p w:rsidR="007442AA" w:rsidRPr="002152E4" w:rsidRDefault="007442AA" w:rsidP="007442AA">
            <w:pPr>
              <w:rPr>
                <w:b/>
                <w:bCs/>
                <w:lang w:val="ro-RO"/>
              </w:rPr>
            </w:pPr>
          </w:p>
        </w:tc>
        <w:tc>
          <w:tcPr>
            <w:tcW w:w="1272" w:type="dxa"/>
            <w:tcBorders>
              <w:left w:val="nil"/>
              <w:bottom w:val="single" w:sz="12" w:space="0" w:color="auto"/>
              <w:right w:val="nil"/>
            </w:tcBorders>
          </w:tcPr>
          <w:p w:rsidR="007442AA" w:rsidRPr="002152E4" w:rsidRDefault="007442AA" w:rsidP="007442AA">
            <w:pPr>
              <w:rPr>
                <w:b/>
                <w:lang w:val="ro-RO"/>
              </w:rPr>
            </w:pPr>
          </w:p>
        </w:tc>
        <w:tc>
          <w:tcPr>
            <w:tcW w:w="2267" w:type="dxa"/>
            <w:gridSpan w:val="2"/>
            <w:vMerge/>
            <w:tcBorders>
              <w:left w:val="nil"/>
              <w:bottom w:val="single" w:sz="12" w:space="0" w:color="auto"/>
              <w:right w:val="single" w:sz="12" w:space="0" w:color="auto"/>
            </w:tcBorders>
            <w:shd w:val="clear" w:color="auto" w:fill="auto"/>
            <w:noWrap/>
            <w:vAlign w:val="bottom"/>
          </w:tcPr>
          <w:p w:rsidR="007442AA" w:rsidRPr="002152E4" w:rsidRDefault="007442AA" w:rsidP="007442AA">
            <w:pPr>
              <w:rPr>
                <w:b/>
                <w:lang w:val="ro-RO"/>
              </w:rPr>
            </w:pPr>
          </w:p>
        </w:tc>
      </w:tr>
      <w:tr w:rsidR="007442AA" w:rsidRPr="002152E4" w:rsidTr="007442AA">
        <w:trPr>
          <w:trHeight w:val="630"/>
        </w:trPr>
        <w:tc>
          <w:tcPr>
            <w:tcW w:w="902"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7442AA" w:rsidRPr="002152E4" w:rsidRDefault="007442AA" w:rsidP="007442AA">
            <w:pPr>
              <w:jc w:val="center"/>
              <w:rPr>
                <w:b/>
                <w:lang w:val="ro-RO"/>
              </w:rPr>
            </w:pPr>
            <w:r w:rsidRPr="002152E4">
              <w:rPr>
                <w:b/>
                <w:lang w:val="ro-RO"/>
              </w:rPr>
              <w:t>Nr crt</w:t>
            </w:r>
          </w:p>
        </w:tc>
        <w:tc>
          <w:tcPr>
            <w:tcW w:w="2967" w:type="dxa"/>
            <w:gridSpan w:val="3"/>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 xml:space="preserve">Parchetul </w:t>
            </w:r>
          </w:p>
        </w:tc>
        <w:tc>
          <w:tcPr>
            <w:tcW w:w="1235"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de soluţionat (volum)</w:t>
            </w:r>
          </w:p>
        </w:tc>
        <w:tc>
          <w:tcPr>
            <w:tcW w:w="1401"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pe procuror</w:t>
            </w:r>
          </w:p>
        </w:tc>
        <w:tc>
          <w:tcPr>
            <w:tcW w:w="1272" w:type="dxa"/>
            <w:tcBorders>
              <w:top w:val="single" w:sz="12" w:space="0" w:color="auto"/>
              <w:left w:val="nil"/>
              <w:bottom w:val="single" w:sz="12" w:space="0" w:color="auto"/>
              <w:right w:val="nil"/>
            </w:tcBorders>
            <w:vAlign w:val="center"/>
          </w:tcPr>
          <w:p w:rsidR="007442AA" w:rsidRPr="002152E4" w:rsidRDefault="007442AA" w:rsidP="007442AA">
            <w:pPr>
              <w:jc w:val="center"/>
              <w:rPr>
                <w:b/>
                <w:lang w:val="ro-RO"/>
              </w:rPr>
            </w:pPr>
            <w:r w:rsidRPr="002152E4">
              <w:rPr>
                <w:b/>
                <w:lang w:val="ro-RO"/>
              </w:rPr>
              <w:t>Dosare pe procuror în penal*</w:t>
            </w:r>
          </w:p>
        </w:tc>
        <w:tc>
          <w:tcPr>
            <w:tcW w:w="1272" w:type="dxa"/>
            <w:tcBorders>
              <w:top w:val="single" w:sz="12" w:space="0" w:color="auto"/>
              <w:left w:val="nil"/>
              <w:bottom w:val="single" w:sz="12" w:space="0" w:color="auto"/>
              <w:right w:val="single" w:sz="4" w:space="0" w:color="auto"/>
            </w:tcBorders>
            <w:shd w:val="clear" w:color="auto" w:fill="auto"/>
            <w:vAlign w:val="center"/>
          </w:tcPr>
          <w:p w:rsidR="007442AA" w:rsidRPr="002152E4" w:rsidRDefault="007442AA" w:rsidP="007442AA">
            <w:pPr>
              <w:jc w:val="center"/>
              <w:rPr>
                <w:b/>
                <w:lang w:val="ro-RO"/>
              </w:rPr>
            </w:pPr>
            <w:r w:rsidRPr="002152E4">
              <w:rPr>
                <w:b/>
                <w:lang w:val="ro-RO"/>
              </w:rPr>
              <w:t>Dosare pe schemă</w:t>
            </w:r>
          </w:p>
        </w:tc>
        <w:tc>
          <w:tcPr>
            <w:tcW w:w="995" w:type="dxa"/>
            <w:tcBorders>
              <w:top w:val="single" w:sz="12" w:space="0" w:color="auto"/>
              <w:left w:val="nil"/>
              <w:bottom w:val="single" w:sz="12" w:space="0" w:color="auto"/>
              <w:right w:val="single" w:sz="12" w:space="0" w:color="auto"/>
            </w:tcBorders>
            <w:shd w:val="clear" w:color="auto" w:fill="auto"/>
            <w:vAlign w:val="bottom"/>
          </w:tcPr>
          <w:p w:rsidR="007442AA" w:rsidRPr="002152E4" w:rsidRDefault="007442AA" w:rsidP="007442AA">
            <w:pPr>
              <w:jc w:val="center"/>
              <w:rPr>
                <w:b/>
                <w:lang w:val="ro-RO"/>
              </w:rPr>
            </w:pPr>
            <w:r w:rsidRPr="002152E4">
              <w:rPr>
                <w:b/>
                <w:lang w:val="ro-RO"/>
              </w:rPr>
              <w:t>Posturi ocupate efectiv</w:t>
            </w:r>
          </w:p>
        </w:tc>
      </w:tr>
      <w:tr w:rsidR="007442AA" w:rsidRPr="002152E4" w:rsidTr="007442AA">
        <w:trPr>
          <w:trHeight w:val="315"/>
        </w:trPr>
        <w:tc>
          <w:tcPr>
            <w:tcW w:w="902"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1.</w:t>
            </w:r>
          </w:p>
        </w:tc>
        <w:tc>
          <w:tcPr>
            <w:tcW w:w="2967" w:type="dxa"/>
            <w:gridSpan w:val="3"/>
            <w:tcBorders>
              <w:top w:val="single" w:sz="12" w:space="0" w:color="auto"/>
              <w:left w:val="nil"/>
              <w:bottom w:val="single" w:sz="4" w:space="0" w:color="auto"/>
              <w:right w:val="single" w:sz="4" w:space="0" w:color="auto"/>
            </w:tcBorders>
            <w:shd w:val="clear" w:color="auto" w:fill="auto"/>
          </w:tcPr>
          <w:p w:rsidR="007442AA" w:rsidRPr="002152E4" w:rsidRDefault="007442AA" w:rsidP="007442AA">
            <w:pPr>
              <w:rPr>
                <w:b/>
                <w:bCs/>
                <w:lang w:val="ro-RO"/>
              </w:rPr>
            </w:pPr>
            <w:r w:rsidRPr="002152E4">
              <w:rPr>
                <w:b/>
                <w:bCs/>
                <w:lang w:val="ro-RO"/>
              </w:rPr>
              <w:t>P.I.C.C.J.</w:t>
            </w:r>
          </w:p>
        </w:tc>
        <w:tc>
          <w:tcPr>
            <w:tcW w:w="1235" w:type="dxa"/>
            <w:tcBorders>
              <w:top w:val="single" w:sz="12"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1180</w:t>
            </w:r>
          </w:p>
        </w:tc>
        <w:tc>
          <w:tcPr>
            <w:tcW w:w="1401" w:type="dxa"/>
            <w:tcBorders>
              <w:top w:val="single" w:sz="12"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9,67</w:t>
            </w:r>
          </w:p>
        </w:tc>
        <w:tc>
          <w:tcPr>
            <w:tcW w:w="1272" w:type="dxa"/>
            <w:tcBorders>
              <w:top w:val="single" w:sz="12" w:space="0" w:color="auto"/>
              <w:left w:val="nil"/>
              <w:bottom w:val="single" w:sz="4" w:space="0" w:color="auto"/>
              <w:right w:val="nil"/>
            </w:tcBorders>
            <w:vAlign w:val="center"/>
          </w:tcPr>
          <w:p w:rsidR="007442AA" w:rsidRPr="002152E4" w:rsidRDefault="007442AA" w:rsidP="007442AA">
            <w:pPr>
              <w:jc w:val="center"/>
              <w:rPr>
                <w:lang w:val="ro-RO"/>
              </w:rPr>
            </w:pPr>
            <w:r w:rsidRPr="002152E4">
              <w:rPr>
                <w:lang w:val="ro-RO"/>
              </w:rPr>
              <w:t>28,10</w:t>
            </w:r>
          </w:p>
        </w:tc>
        <w:tc>
          <w:tcPr>
            <w:tcW w:w="1272" w:type="dxa"/>
            <w:tcBorders>
              <w:top w:val="single" w:sz="12" w:space="0" w:color="auto"/>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8,31</w:t>
            </w:r>
          </w:p>
        </w:tc>
        <w:tc>
          <w:tcPr>
            <w:tcW w:w="995" w:type="dxa"/>
            <w:tcBorders>
              <w:top w:val="single" w:sz="12" w:space="0" w:color="auto"/>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122</w:t>
            </w:r>
          </w:p>
        </w:tc>
      </w:tr>
      <w:tr w:rsidR="007442AA" w:rsidRPr="002152E4" w:rsidTr="007442AA">
        <w:trPr>
          <w:trHeight w:val="315"/>
        </w:trPr>
        <w:tc>
          <w:tcPr>
            <w:tcW w:w="902"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2.</w:t>
            </w:r>
          </w:p>
        </w:tc>
        <w:tc>
          <w:tcPr>
            <w:tcW w:w="2967" w:type="dxa"/>
            <w:gridSpan w:val="3"/>
            <w:tcBorders>
              <w:top w:val="nil"/>
              <w:left w:val="nil"/>
              <w:bottom w:val="single" w:sz="4" w:space="0" w:color="auto"/>
              <w:right w:val="single" w:sz="4" w:space="0" w:color="auto"/>
            </w:tcBorders>
            <w:shd w:val="clear" w:color="auto" w:fill="auto"/>
          </w:tcPr>
          <w:p w:rsidR="007442AA" w:rsidRPr="002152E4" w:rsidRDefault="007442AA" w:rsidP="007442AA">
            <w:pPr>
              <w:rPr>
                <w:b/>
                <w:bCs/>
                <w:lang w:val="ro-RO"/>
              </w:rPr>
            </w:pPr>
            <w:r w:rsidRPr="002152E4">
              <w:rPr>
                <w:b/>
                <w:bCs/>
                <w:lang w:val="ro-RO"/>
              </w:rPr>
              <w:t>Parchete Militare</w:t>
            </w:r>
          </w:p>
        </w:tc>
        <w:tc>
          <w:tcPr>
            <w:tcW w:w="1235"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3970</w:t>
            </w:r>
          </w:p>
        </w:tc>
        <w:tc>
          <w:tcPr>
            <w:tcW w:w="1401"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67,29</w:t>
            </w:r>
          </w:p>
        </w:tc>
        <w:tc>
          <w:tcPr>
            <w:tcW w:w="1272"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99,25</w:t>
            </w:r>
          </w:p>
        </w:tc>
        <w:tc>
          <w:tcPr>
            <w:tcW w:w="1272"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42,69</w:t>
            </w:r>
          </w:p>
        </w:tc>
        <w:tc>
          <w:tcPr>
            <w:tcW w:w="995"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59</w:t>
            </w:r>
          </w:p>
        </w:tc>
      </w:tr>
      <w:tr w:rsidR="007442AA" w:rsidRPr="002152E4" w:rsidTr="007442AA">
        <w:trPr>
          <w:trHeight w:val="315"/>
        </w:trPr>
        <w:tc>
          <w:tcPr>
            <w:tcW w:w="902"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3.</w:t>
            </w:r>
          </w:p>
        </w:tc>
        <w:tc>
          <w:tcPr>
            <w:tcW w:w="2967" w:type="dxa"/>
            <w:gridSpan w:val="3"/>
            <w:tcBorders>
              <w:top w:val="nil"/>
              <w:left w:val="nil"/>
              <w:bottom w:val="single" w:sz="4" w:space="0" w:color="auto"/>
              <w:right w:val="single" w:sz="4" w:space="0" w:color="auto"/>
            </w:tcBorders>
            <w:shd w:val="clear" w:color="auto" w:fill="auto"/>
          </w:tcPr>
          <w:p w:rsidR="007442AA" w:rsidRPr="002152E4" w:rsidRDefault="007442AA" w:rsidP="007442AA">
            <w:pPr>
              <w:rPr>
                <w:b/>
                <w:bCs/>
                <w:lang w:val="ro-RO"/>
              </w:rPr>
            </w:pPr>
            <w:r w:rsidRPr="002152E4">
              <w:rPr>
                <w:b/>
                <w:bCs/>
                <w:lang w:val="ro-RO"/>
              </w:rPr>
              <w:t>D.N.A.</w:t>
            </w:r>
          </w:p>
        </w:tc>
        <w:tc>
          <w:tcPr>
            <w:tcW w:w="1235"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12353</w:t>
            </w:r>
          </w:p>
        </w:tc>
        <w:tc>
          <w:tcPr>
            <w:tcW w:w="1401"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69,79</w:t>
            </w:r>
          </w:p>
        </w:tc>
        <w:tc>
          <w:tcPr>
            <w:tcW w:w="1272"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102,94</w:t>
            </w:r>
          </w:p>
        </w:tc>
        <w:tc>
          <w:tcPr>
            <w:tcW w:w="1272"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63,35</w:t>
            </w:r>
          </w:p>
        </w:tc>
        <w:tc>
          <w:tcPr>
            <w:tcW w:w="995"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177</w:t>
            </w:r>
          </w:p>
        </w:tc>
      </w:tr>
      <w:tr w:rsidR="007442AA" w:rsidRPr="002152E4" w:rsidTr="007442AA">
        <w:trPr>
          <w:trHeight w:val="315"/>
        </w:trPr>
        <w:tc>
          <w:tcPr>
            <w:tcW w:w="902" w:type="dxa"/>
            <w:tcBorders>
              <w:top w:val="nil"/>
              <w:left w:val="single" w:sz="12" w:space="0" w:color="auto"/>
              <w:bottom w:val="single" w:sz="4" w:space="0" w:color="auto"/>
              <w:right w:val="single" w:sz="4" w:space="0" w:color="auto"/>
            </w:tcBorders>
            <w:shd w:val="clear" w:color="auto" w:fill="auto"/>
            <w:noWrap/>
            <w:vAlign w:val="bottom"/>
          </w:tcPr>
          <w:p w:rsidR="007442AA" w:rsidRPr="002152E4" w:rsidRDefault="007442AA" w:rsidP="007442AA">
            <w:pPr>
              <w:jc w:val="center"/>
              <w:rPr>
                <w:lang w:val="ro-RO"/>
              </w:rPr>
            </w:pPr>
            <w:r w:rsidRPr="002152E4">
              <w:rPr>
                <w:lang w:val="ro-RO"/>
              </w:rPr>
              <w:t>4.</w:t>
            </w:r>
          </w:p>
        </w:tc>
        <w:tc>
          <w:tcPr>
            <w:tcW w:w="2967" w:type="dxa"/>
            <w:gridSpan w:val="3"/>
            <w:tcBorders>
              <w:top w:val="nil"/>
              <w:left w:val="nil"/>
              <w:bottom w:val="single" w:sz="4" w:space="0" w:color="auto"/>
              <w:right w:val="single" w:sz="4" w:space="0" w:color="auto"/>
            </w:tcBorders>
            <w:shd w:val="clear" w:color="auto" w:fill="auto"/>
          </w:tcPr>
          <w:p w:rsidR="007442AA" w:rsidRPr="002152E4" w:rsidRDefault="007442AA" w:rsidP="007442AA">
            <w:pPr>
              <w:rPr>
                <w:b/>
                <w:bCs/>
                <w:lang w:val="ro-RO"/>
              </w:rPr>
            </w:pPr>
            <w:r w:rsidRPr="002152E4">
              <w:rPr>
                <w:b/>
                <w:bCs/>
                <w:lang w:val="ro-RO"/>
              </w:rPr>
              <w:t>D.I.I.C.O.T.</w:t>
            </w:r>
          </w:p>
        </w:tc>
        <w:tc>
          <w:tcPr>
            <w:tcW w:w="1235"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25657</w:t>
            </w:r>
          </w:p>
        </w:tc>
        <w:tc>
          <w:tcPr>
            <w:tcW w:w="1401"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99,06</w:t>
            </w:r>
          </w:p>
        </w:tc>
        <w:tc>
          <w:tcPr>
            <w:tcW w:w="1272" w:type="dxa"/>
            <w:tcBorders>
              <w:top w:val="nil"/>
              <w:left w:val="nil"/>
              <w:bottom w:val="single" w:sz="4" w:space="0" w:color="auto"/>
              <w:right w:val="nil"/>
            </w:tcBorders>
            <w:vAlign w:val="center"/>
          </w:tcPr>
          <w:p w:rsidR="007442AA" w:rsidRPr="002152E4" w:rsidRDefault="007442AA" w:rsidP="007442AA">
            <w:pPr>
              <w:jc w:val="center"/>
              <w:rPr>
                <w:lang w:val="ro-RO"/>
              </w:rPr>
            </w:pPr>
            <w:r w:rsidRPr="002152E4">
              <w:rPr>
                <w:lang w:val="ro-RO"/>
              </w:rPr>
              <w:t>106,90</w:t>
            </w:r>
          </w:p>
        </w:tc>
        <w:tc>
          <w:tcPr>
            <w:tcW w:w="1272" w:type="dxa"/>
            <w:tcBorders>
              <w:top w:val="nil"/>
              <w:left w:val="nil"/>
              <w:bottom w:val="single" w:sz="4" w:space="0" w:color="auto"/>
              <w:right w:val="single" w:sz="4" w:space="0" w:color="auto"/>
            </w:tcBorders>
            <w:shd w:val="clear" w:color="auto" w:fill="auto"/>
            <w:noWrap/>
            <w:vAlign w:val="center"/>
          </w:tcPr>
          <w:p w:rsidR="007442AA" w:rsidRPr="002152E4" w:rsidRDefault="007442AA" w:rsidP="007442AA">
            <w:pPr>
              <w:jc w:val="center"/>
              <w:rPr>
                <w:lang w:val="ro-RO"/>
              </w:rPr>
            </w:pPr>
            <w:r w:rsidRPr="002152E4">
              <w:rPr>
                <w:lang w:val="ro-RO"/>
              </w:rPr>
              <w:t>86,97</w:t>
            </w:r>
          </w:p>
        </w:tc>
        <w:tc>
          <w:tcPr>
            <w:tcW w:w="995" w:type="dxa"/>
            <w:tcBorders>
              <w:top w:val="nil"/>
              <w:left w:val="nil"/>
              <w:bottom w:val="single" w:sz="4" w:space="0" w:color="auto"/>
              <w:right w:val="single" w:sz="12" w:space="0" w:color="auto"/>
            </w:tcBorders>
            <w:shd w:val="clear" w:color="auto" w:fill="auto"/>
            <w:noWrap/>
            <w:vAlign w:val="center"/>
          </w:tcPr>
          <w:p w:rsidR="007442AA" w:rsidRPr="002152E4" w:rsidRDefault="007442AA" w:rsidP="007442AA">
            <w:pPr>
              <w:jc w:val="center"/>
              <w:rPr>
                <w:lang w:val="ro-RO"/>
              </w:rPr>
            </w:pPr>
            <w:r w:rsidRPr="002152E4">
              <w:rPr>
                <w:lang w:val="ro-RO"/>
              </w:rPr>
              <w:t>259</w:t>
            </w:r>
          </w:p>
        </w:tc>
      </w:tr>
      <w:tr w:rsidR="007442AA" w:rsidRPr="002152E4" w:rsidTr="007442AA">
        <w:trPr>
          <w:trHeight w:val="315"/>
        </w:trPr>
        <w:tc>
          <w:tcPr>
            <w:tcW w:w="10044" w:type="dxa"/>
            <w:gridSpan w:val="9"/>
            <w:tcBorders>
              <w:top w:val="single" w:sz="4" w:space="0" w:color="auto"/>
              <w:left w:val="single" w:sz="12" w:space="0" w:color="auto"/>
              <w:bottom w:val="single" w:sz="12" w:space="0" w:color="auto"/>
              <w:right w:val="single" w:sz="12" w:space="0" w:color="auto"/>
            </w:tcBorders>
            <w:shd w:val="clear" w:color="auto" w:fill="E0E0E0"/>
            <w:noWrap/>
            <w:vAlign w:val="bottom"/>
          </w:tcPr>
          <w:p w:rsidR="007442AA" w:rsidRPr="002152E4" w:rsidRDefault="007442AA" w:rsidP="007442AA">
            <w:pPr>
              <w:rPr>
                <w:lang w:val="ro-RO"/>
              </w:rPr>
            </w:pPr>
            <w:r w:rsidRPr="002152E4">
              <w:rPr>
                <w:lang w:val="ro-RO"/>
              </w:rPr>
              <w:t xml:space="preserve">*daca se iau in calcul doar procurorii care au lucrat efectiv la </w:t>
            </w:r>
            <w:r w:rsidR="00BB56C0" w:rsidRPr="002152E4">
              <w:rPr>
                <w:lang w:val="ro-RO"/>
              </w:rPr>
              <w:t>soluţionarea</w:t>
            </w:r>
            <w:r w:rsidRPr="002152E4">
              <w:rPr>
                <w:lang w:val="ro-RO"/>
              </w:rPr>
              <w:t xml:space="preserve"> dosarelor penale</w:t>
            </w:r>
          </w:p>
        </w:tc>
      </w:tr>
    </w:tbl>
    <w:p w:rsidR="007442AA" w:rsidRPr="002152E4" w:rsidRDefault="007442AA" w:rsidP="007442AA">
      <w:pPr>
        <w:tabs>
          <w:tab w:val="left" w:pos="795"/>
          <w:tab w:val="left" w:pos="1095"/>
          <w:tab w:val="left" w:pos="5760"/>
        </w:tabs>
        <w:spacing w:before="120" w:line="360" w:lineRule="auto"/>
        <w:ind w:left="735"/>
        <w:jc w:val="both"/>
        <w:rPr>
          <w:lang w:val="ro-RO"/>
        </w:rPr>
      </w:pPr>
    </w:p>
    <w:p w:rsidR="007442AA" w:rsidRPr="002152E4" w:rsidRDefault="007442AA" w:rsidP="007442AA">
      <w:pPr>
        <w:tabs>
          <w:tab w:val="left" w:pos="5760"/>
        </w:tabs>
        <w:spacing w:before="120" w:line="360" w:lineRule="auto"/>
        <w:jc w:val="both"/>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442AA" w:rsidRPr="002152E4" w:rsidRDefault="007442AA" w:rsidP="007442AA">
      <w:pPr>
        <w:tabs>
          <w:tab w:val="left" w:pos="5760"/>
        </w:tabs>
        <w:spacing w:before="120" w:line="360" w:lineRule="auto"/>
        <w:jc w:val="center"/>
        <w:rPr>
          <w:rFonts w:ascii="Cambria" w:hAnsi="Cambria"/>
          <w:lang w:val="ro-RO"/>
        </w:rPr>
      </w:pPr>
    </w:p>
    <w:p w:rsidR="00750D37" w:rsidRPr="002152E4" w:rsidRDefault="00750D37" w:rsidP="00750D37">
      <w:pPr>
        <w:tabs>
          <w:tab w:val="left" w:pos="1245"/>
        </w:tabs>
        <w:rPr>
          <w:rFonts w:ascii="Cambria" w:hAnsi="Cambria"/>
          <w:lang w:val="ro-RO"/>
        </w:rPr>
      </w:pPr>
    </w:p>
    <w:sectPr w:rsidR="00750D37" w:rsidRPr="002152E4" w:rsidSect="00C742FD">
      <w:footerReference w:type="default" r:id="rId123"/>
      <w:type w:val="continuous"/>
      <w:pgSz w:w="11906" w:h="16838" w:code="9"/>
      <w:pgMar w:top="567" w:right="567" w:bottom="567"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6BF" w:rsidRDefault="000F56BF" w:rsidP="008F70A7">
      <w:r>
        <w:separator/>
      </w:r>
    </w:p>
  </w:endnote>
  <w:endnote w:type="continuationSeparator" w:id="0">
    <w:p w:rsidR="000F56BF" w:rsidRDefault="000F56BF" w:rsidP="008F7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BB4" w:rsidRDefault="00631BB4" w:rsidP="005712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742FD">
      <w:rPr>
        <w:rStyle w:val="PageNumber"/>
        <w:noProof/>
      </w:rPr>
      <w:t>56</w:t>
    </w:r>
    <w:r>
      <w:rPr>
        <w:rStyle w:val="PageNumber"/>
      </w:rPr>
      <w:fldChar w:fldCharType="end"/>
    </w:r>
  </w:p>
  <w:p w:rsidR="00631BB4" w:rsidRDefault="00631B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6BF" w:rsidRDefault="000F56BF" w:rsidP="008F70A7">
      <w:r>
        <w:separator/>
      </w:r>
    </w:p>
  </w:footnote>
  <w:footnote w:type="continuationSeparator" w:id="0">
    <w:p w:rsidR="000F56BF" w:rsidRDefault="000F56BF" w:rsidP="008F70A7">
      <w:r>
        <w:continuationSeparator/>
      </w:r>
    </w:p>
  </w:footnote>
  <w:footnote w:id="1">
    <w:p w:rsidR="00631BB4" w:rsidRDefault="00631BB4" w:rsidP="00EE6420">
      <w:pPr>
        <w:pStyle w:val="FootnoteText"/>
        <w:jc w:val="both"/>
        <w:rPr>
          <w:sz w:val="16"/>
          <w:szCs w:val="16"/>
          <w:lang w:val="ro-RO"/>
        </w:rPr>
      </w:pPr>
      <w:r>
        <w:rPr>
          <w:rStyle w:val="FootnoteReference"/>
        </w:rPr>
        <w:footnoteRef/>
      </w:r>
      <w:r>
        <w:t xml:space="preserve"> </w:t>
      </w:r>
      <w:r>
        <w:rPr>
          <w:sz w:val="16"/>
          <w:szCs w:val="16"/>
          <w:lang w:val="ro-RO"/>
        </w:rPr>
        <w:t>Situaţia are în vedere decretele de eliberare din funcţia de judecător publicate în Monitorul Oficial al României până la finele anului 2015, precum şi eliberările din funcţie dispuse cu o dată ulterioară celei de 01.01.2016.</w:t>
      </w:r>
    </w:p>
    <w:p w:rsidR="00631BB4" w:rsidRDefault="00631BB4" w:rsidP="00EE6420">
      <w:pPr>
        <w:pStyle w:val="FootnoteText"/>
        <w:rPr>
          <w:lang w:val="ro-RO"/>
        </w:rPr>
      </w:pPr>
    </w:p>
  </w:footnote>
  <w:footnote w:id="2">
    <w:p w:rsidR="00631BB4" w:rsidRPr="007830A3" w:rsidRDefault="00631BB4" w:rsidP="00EE6420">
      <w:pPr>
        <w:pStyle w:val="FootnoteText"/>
        <w:jc w:val="both"/>
        <w:rPr>
          <w:rFonts w:ascii="Calibri" w:hAnsi="Calibri"/>
          <w:color w:val="FF0000"/>
          <w:sz w:val="18"/>
          <w:szCs w:val="18"/>
          <w:lang w:val="ro-RO"/>
        </w:rPr>
      </w:pPr>
      <w:r>
        <w:rPr>
          <w:rStyle w:val="FootnoteReference"/>
        </w:rPr>
        <w:footnoteRef/>
      </w:r>
      <w:r w:rsidRPr="00EB648F">
        <w:rPr>
          <w:lang w:val="fr-FR"/>
        </w:rPr>
        <w:t xml:space="preserve"> </w:t>
      </w:r>
      <w:r w:rsidRPr="007830A3">
        <w:rPr>
          <w:rFonts w:ascii="Calibri" w:hAnsi="Calibri"/>
          <w:sz w:val="18"/>
          <w:szCs w:val="18"/>
          <w:lang w:val="ro-RO"/>
        </w:rPr>
        <w:t>Un post de judecător se află temporar în schemele instanţelor, fiind alocat din fondul de rezervă unei judecătorii. Acest post urmează să fi reinclus de drept în fondul de rezervă la momentul primei vacantări la instanţa în cauză.</w:t>
      </w:r>
    </w:p>
  </w:footnote>
  <w:footnote w:id="3">
    <w:p w:rsidR="00631BB4" w:rsidRPr="007830A3" w:rsidRDefault="00631BB4" w:rsidP="00EE6420">
      <w:pPr>
        <w:pStyle w:val="FootnoteText"/>
        <w:jc w:val="both"/>
        <w:rPr>
          <w:rFonts w:ascii="Calibri" w:hAnsi="Calibri"/>
          <w:sz w:val="18"/>
          <w:szCs w:val="18"/>
          <w:lang w:val="ro-RO"/>
        </w:rPr>
      </w:pPr>
      <w:r w:rsidRPr="007830A3">
        <w:rPr>
          <w:rStyle w:val="FootnoteReference"/>
          <w:rFonts w:ascii="Calibri" w:hAnsi="Calibri"/>
          <w:sz w:val="18"/>
          <w:szCs w:val="18"/>
        </w:rPr>
        <w:footnoteRef/>
      </w:r>
      <w:r w:rsidRPr="007830A3">
        <w:rPr>
          <w:rFonts w:ascii="Calibri" w:hAnsi="Calibri"/>
          <w:sz w:val="18"/>
          <w:szCs w:val="18"/>
          <w:lang w:val="ro-RO"/>
        </w:rPr>
        <w:t xml:space="preserve"> Situaţia include toate eliberările din funcţia de judecător/numirile în funcţia de judecător rezultate din decrete publicate până la data de 31 decembrie 2016, inclusiv acelea care stabilesc o data a eliberării din funcţie ulterioară celei de 01.01.2017</w:t>
      </w:r>
    </w:p>
  </w:footnote>
  <w:footnote w:id="4">
    <w:p w:rsidR="00583E06" w:rsidRPr="00583E06" w:rsidRDefault="00583E06">
      <w:pPr>
        <w:pStyle w:val="FootnoteText"/>
        <w:rPr>
          <w:lang w:val="fr-FR"/>
        </w:rPr>
      </w:pPr>
      <w:r>
        <w:rPr>
          <w:rStyle w:val="FootnoteReference"/>
        </w:rPr>
        <w:footnoteRef/>
      </w:r>
      <w:r w:rsidRPr="00583E06">
        <w:rPr>
          <w:lang w:val="fr-FR"/>
        </w:rPr>
        <w:t xml:space="preserve"> În urma concursului, au fost ocupate, la începutul anului 2017, 4 locuri de magistrat asistent.</w:t>
      </w:r>
    </w:p>
  </w:footnote>
  <w:footnote w:id="5">
    <w:p w:rsidR="00631BB4" w:rsidRDefault="00631BB4" w:rsidP="00EE6420">
      <w:pPr>
        <w:pStyle w:val="FootnoteText"/>
        <w:rPr>
          <w:lang w:val="it-IT"/>
        </w:rPr>
      </w:pPr>
      <w:r>
        <w:rPr>
          <w:rStyle w:val="FootnoteReference"/>
        </w:rPr>
        <w:footnoteRef/>
      </w:r>
      <w:r>
        <w:rPr>
          <w:lang w:val="it-IT"/>
        </w:rPr>
        <w:t xml:space="preserve"> </w:t>
      </w:r>
      <w:r>
        <w:rPr>
          <w:lang w:val="ro-RO"/>
        </w:rPr>
        <w:t>Cifră menționată în Raportul privind starea justiției pentru anul 2015.</w:t>
      </w:r>
    </w:p>
  </w:footnote>
  <w:footnote w:id="6">
    <w:p w:rsidR="00631BB4" w:rsidRPr="007830A3" w:rsidRDefault="00631BB4">
      <w:pPr>
        <w:pStyle w:val="FootnoteText"/>
        <w:rPr>
          <w:rFonts w:ascii="Calibri" w:hAnsi="Calibri"/>
          <w:sz w:val="18"/>
          <w:szCs w:val="18"/>
          <w:lang w:val="ro-RO"/>
        </w:rPr>
      </w:pPr>
      <w:r w:rsidRPr="007830A3">
        <w:rPr>
          <w:rStyle w:val="FootnoteReference"/>
          <w:rFonts w:ascii="Calibri" w:hAnsi="Calibri"/>
          <w:sz w:val="18"/>
          <w:szCs w:val="18"/>
        </w:rPr>
        <w:footnoteRef/>
      </w:r>
      <w:r w:rsidRPr="007830A3">
        <w:rPr>
          <w:rFonts w:ascii="Calibri" w:hAnsi="Calibri"/>
          <w:sz w:val="18"/>
          <w:szCs w:val="18"/>
          <w:lang w:val="it-IT"/>
        </w:rPr>
        <w:t xml:space="preserve"> </w:t>
      </w:r>
      <w:r w:rsidRPr="007830A3">
        <w:rPr>
          <w:rFonts w:ascii="Calibri" w:hAnsi="Calibri"/>
          <w:sz w:val="18"/>
          <w:szCs w:val="18"/>
          <w:lang w:val="ro-RO"/>
        </w:rPr>
        <w:t>Cu menţiunea că o parte din aceste hotărâri au fost atacate şi nesoluţionate în calea de atac până la sfârşitul anului de referinţă</w:t>
      </w:r>
    </w:p>
  </w:footnote>
  <w:footnote w:id="7">
    <w:p w:rsidR="00631BB4" w:rsidRPr="002F65DD" w:rsidRDefault="00631BB4" w:rsidP="00B63FCC">
      <w:pPr>
        <w:pStyle w:val="FootnoteText"/>
        <w:jc w:val="both"/>
        <w:rPr>
          <w:lang w:val="it-IT"/>
        </w:rPr>
      </w:pPr>
      <w:r w:rsidRPr="00820E0C">
        <w:rPr>
          <w:rStyle w:val="FootnoteReference"/>
          <w:rFonts w:cs="Arial"/>
          <w:sz w:val="18"/>
          <w:szCs w:val="18"/>
        </w:rPr>
        <w:footnoteRef/>
      </w:r>
      <w:r w:rsidRPr="002F65DD">
        <w:rPr>
          <w:rFonts w:cs="Arial"/>
          <w:sz w:val="18"/>
          <w:szCs w:val="18"/>
          <w:lang w:val="it-IT"/>
        </w:rPr>
        <w:t xml:space="preserve"> altele decât ICCJ şi cele militare.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B7"/>
      </v:shape>
    </w:pict>
  </w:numPicBullet>
  <w:numPicBullet w:numPicBulletId="1">
    <w:pict>
      <v:shape id="_x0000_i1029" type="#_x0000_t75" style="width:11.25pt;height:11.25pt" o:bullet="t">
        <v:imagedata r:id="rId2" o:title="BD14578_"/>
      </v:shape>
    </w:pict>
  </w:numPicBullet>
  <w:abstractNum w:abstractNumId="0">
    <w:nsid w:val="099D73FE"/>
    <w:multiLevelType w:val="multilevel"/>
    <w:tmpl w:val="F176F8FA"/>
    <w:lvl w:ilvl="0">
      <w:start w:val="1"/>
      <w:numFmt w:val="upperRoman"/>
      <w:lvlText w:val="Capitolul %1"/>
      <w:lvlJc w:val="left"/>
      <w:pPr>
        <w:ind w:left="1636" w:hanging="360"/>
      </w:pPr>
      <w:rPr>
        <w:rFonts w:ascii="Calibri" w:hAnsi="Calibri" w:hint="default"/>
        <w:b/>
        <w:i w:val="0"/>
        <w:color w:val="auto"/>
        <w:sz w:val="22"/>
        <w:szCs w:val="22"/>
      </w:rPr>
    </w:lvl>
    <w:lvl w:ilvl="1">
      <w:start w:val="1"/>
      <w:numFmt w:val="decimal"/>
      <w:lvlText w:val="%1.%2"/>
      <w:lvlJc w:val="left"/>
      <w:pPr>
        <w:ind w:left="720" w:hanging="360"/>
      </w:pPr>
      <w:rPr>
        <w:rFonts w:ascii="Calibri" w:hAnsi="Calibri" w:hint="default"/>
        <w:b/>
        <w:i w:val="0"/>
        <w:color w:val="auto"/>
        <w:sz w:val="24"/>
      </w:rPr>
    </w:lvl>
    <w:lvl w:ilvl="2">
      <w:start w:val="1"/>
      <w:numFmt w:val="decimal"/>
      <w:lvlText w:val="%1.%2.%3"/>
      <w:lvlJc w:val="left"/>
      <w:pPr>
        <w:ind w:left="108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40" w:hanging="360"/>
      </w:pPr>
      <w:rPr>
        <w:rFonts w:ascii="Calibri" w:hAnsi="Calibri" w:hint="default"/>
        <w:b/>
        <w:i/>
        <w:sz w:val="24"/>
      </w:rPr>
    </w:lvl>
    <w:lvl w:ilvl="4">
      <w:start w:val="1"/>
      <w:numFmt w:val="decimal"/>
      <w:pStyle w:val="Heading5"/>
      <w:lvlText w:val="%1.%2.%3.%4.%5"/>
      <w:lvlJc w:val="left"/>
      <w:pPr>
        <w:ind w:left="1800" w:hanging="360"/>
      </w:pPr>
      <w:rPr>
        <w:rFonts w:ascii="Calibri" w:hAnsi="Calibri" w:hint="default"/>
        <w:b/>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E545991"/>
    <w:multiLevelType w:val="hybridMultilevel"/>
    <w:tmpl w:val="88BC09AE"/>
    <w:lvl w:ilvl="0" w:tplc="8AE61B9C">
      <w:start w:val="2"/>
      <w:numFmt w:val="bullet"/>
      <w:lvlText w:val="-"/>
      <w:lvlJc w:val="left"/>
      <w:pPr>
        <w:ind w:left="1080" w:hanging="360"/>
      </w:pPr>
      <w:rPr>
        <w:rFonts w:ascii="Calibri" w:eastAsia="Times New Roman" w:hAnsi="Calibri"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2">
    <w:nsid w:val="19F21F27"/>
    <w:multiLevelType w:val="hybridMultilevel"/>
    <w:tmpl w:val="CC08D23A"/>
    <w:lvl w:ilvl="0" w:tplc="4784F168">
      <w:start w:val="1"/>
      <w:numFmt w:val="decimal"/>
      <w:lvlText w:val="%1."/>
      <w:lvlJc w:val="left"/>
      <w:pPr>
        <w:ind w:left="1077" w:hanging="360"/>
      </w:pPr>
      <w:rPr>
        <w:rFonts w:ascii="Calibri" w:hAnsi="Calibri" w:hint="default"/>
        <w:b/>
        <w:i/>
        <w:color w:val="00000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nsid w:val="1A2400CD"/>
    <w:multiLevelType w:val="hybridMultilevel"/>
    <w:tmpl w:val="1E68E118"/>
    <w:lvl w:ilvl="0" w:tplc="9C782224">
      <w:start w:val="1"/>
      <w:numFmt w:val="bullet"/>
      <w:lvlText w:val="-"/>
      <w:lvlJc w:val="left"/>
      <w:pPr>
        <w:ind w:left="1069" w:hanging="360"/>
      </w:pPr>
      <w:rPr>
        <w:rFonts w:ascii="Calibri" w:eastAsia="Times New Roman" w:hAnsi="Calibri"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1BC9243F"/>
    <w:multiLevelType w:val="hybridMultilevel"/>
    <w:tmpl w:val="964EB4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AC0326"/>
    <w:multiLevelType w:val="hybridMultilevel"/>
    <w:tmpl w:val="3CE220A6"/>
    <w:lvl w:ilvl="0" w:tplc="CC407314">
      <w:numFmt w:val="bullet"/>
      <w:lvlText w:val="-"/>
      <w:lvlJc w:val="left"/>
      <w:pPr>
        <w:ind w:left="1260" w:hanging="360"/>
      </w:pPr>
      <w:rPr>
        <w:rFonts w:ascii="Garamond" w:eastAsia="Times New Roman" w:hAnsi="Garamond"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1F844FD1"/>
    <w:multiLevelType w:val="hybridMultilevel"/>
    <w:tmpl w:val="9DDA2954"/>
    <w:lvl w:ilvl="0" w:tplc="01580E92">
      <w:numFmt w:val="bullet"/>
      <w:lvlText w:val="-"/>
      <w:lvlJc w:val="left"/>
      <w:pPr>
        <w:tabs>
          <w:tab w:val="num" w:pos="1068"/>
        </w:tabs>
        <w:ind w:left="1068" w:hanging="360"/>
      </w:pPr>
      <w:rPr>
        <w:rFonts w:ascii="Bookman Old Style" w:eastAsia="Times New Roman" w:hAnsi="Bookman Old Style" w:cs="Arial" w:hint="default"/>
        <w:b w:val="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nsid w:val="208A0F71"/>
    <w:multiLevelType w:val="hybridMultilevel"/>
    <w:tmpl w:val="FD5C6ABE"/>
    <w:lvl w:ilvl="0" w:tplc="8FC4E49C">
      <w:start w:val="21"/>
      <w:numFmt w:val="bullet"/>
      <w:lvlText w:val="-"/>
      <w:lvlJc w:val="left"/>
      <w:pPr>
        <w:tabs>
          <w:tab w:val="num" w:pos="1068"/>
        </w:tabs>
        <w:ind w:left="1068" w:hanging="360"/>
      </w:pPr>
      <w:rPr>
        <w:rFonts w:ascii="Bookman Old Style" w:eastAsia="Times New Roman" w:hAnsi="Bookman Old Style"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8">
    <w:nsid w:val="24946844"/>
    <w:multiLevelType w:val="hybridMultilevel"/>
    <w:tmpl w:val="6A78F412"/>
    <w:lvl w:ilvl="0" w:tplc="A94EC0FE">
      <w:start w:val="1"/>
      <w:numFmt w:val="bullet"/>
      <w:lvlText w:val="-"/>
      <w:lvlJc w:val="left"/>
      <w:pPr>
        <w:tabs>
          <w:tab w:val="num" w:pos="1068"/>
        </w:tabs>
        <w:ind w:left="1068" w:hanging="360"/>
      </w:pPr>
      <w:rPr>
        <w:rFonts w:ascii="Bookman" w:hAnsi="Bookman" w:cs="Bookman" w:hint="default"/>
        <w:u w:color="0000FF"/>
      </w:rPr>
    </w:lvl>
    <w:lvl w:ilvl="1" w:tplc="04180003" w:tentative="1">
      <w:start w:val="1"/>
      <w:numFmt w:val="bullet"/>
      <w:lvlText w:val="o"/>
      <w:lvlJc w:val="left"/>
      <w:pPr>
        <w:tabs>
          <w:tab w:val="num" w:pos="-241"/>
        </w:tabs>
        <w:ind w:left="-241" w:hanging="360"/>
      </w:pPr>
      <w:rPr>
        <w:rFonts w:ascii="Courier New" w:hAnsi="Courier New" w:cs="Courier New" w:hint="default"/>
      </w:rPr>
    </w:lvl>
    <w:lvl w:ilvl="2" w:tplc="04180005" w:tentative="1">
      <w:start w:val="1"/>
      <w:numFmt w:val="bullet"/>
      <w:lvlText w:val=""/>
      <w:lvlJc w:val="left"/>
      <w:pPr>
        <w:tabs>
          <w:tab w:val="num" w:pos="479"/>
        </w:tabs>
        <w:ind w:left="479" w:hanging="360"/>
      </w:pPr>
      <w:rPr>
        <w:rFonts w:ascii="Wingdings" w:hAnsi="Wingdings" w:hint="default"/>
      </w:rPr>
    </w:lvl>
    <w:lvl w:ilvl="3" w:tplc="04180001" w:tentative="1">
      <w:start w:val="1"/>
      <w:numFmt w:val="bullet"/>
      <w:lvlText w:val=""/>
      <w:lvlJc w:val="left"/>
      <w:pPr>
        <w:tabs>
          <w:tab w:val="num" w:pos="1199"/>
        </w:tabs>
        <w:ind w:left="1199" w:hanging="360"/>
      </w:pPr>
      <w:rPr>
        <w:rFonts w:ascii="Symbol" w:hAnsi="Symbol" w:hint="default"/>
      </w:rPr>
    </w:lvl>
    <w:lvl w:ilvl="4" w:tplc="04180003" w:tentative="1">
      <w:start w:val="1"/>
      <w:numFmt w:val="bullet"/>
      <w:lvlText w:val="o"/>
      <w:lvlJc w:val="left"/>
      <w:pPr>
        <w:tabs>
          <w:tab w:val="num" w:pos="1919"/>
        </w:tabs>
        <w:ind w:left="1919" w:hanging="360"/>
      </w:pPr>
      <w:rPr>
        <w:rFonts w:ascii="Courier New" w:hAnsi="Courier New" w:cs="Courier New" w:hint="default"/>
      </w:rPr>
    </w:lvl>
    <w:lvl w:ilvl="5" w:tplc="04180005" w:tentative="1">
      <w:start w:val="1"/>
      <w:numFmt w:val="bullet"/>
      <w:lvlText w:val=""/>
      <w:lvlJc w:val="left"/>
      <w:pPr>
        <w:tabs>
          <w:tab w:val="num" w:pos="2639"/>
        </w:tabs>
        <w:ind w:left="2639" w:hanging="360"/>
      </w:pPr>
      <w:rPr>
        <w:rFonts w:ascii="Wingdings" w:hAnsi="Wingdings" w:hint="default"/>
      </w:rPr>
    </w:lvl>
    <w:lvl w:ilvl="6" w:tplc="04180001" w:tentative="1">
      <w:start w:val="1"/>
      <w:numFmt w:val="bullet"/>
      <w:lvlText w:val=""/>
      <w:lvlJc w:val="left"/>
      <w:pPr>
        <w:tabs>
          <w:tab w:val="num" w:pos="3359"/>
        </w:tabs>
        <w:ind w:left="3359" w:hanging="360"/>
      </w:pPr>
      <w:rPr>
        <w:rFonts w:ascii="Symbol" w:hAnsi="Symbol" w:hint="default"/>
      </w:rPr>
    </w:lvl>
    <w:lvl w:ilvl="7" w:tplc="04180003" w:tentative="1">
      <w:start w:val="1"/>
      <w:numFmt w:val="bullet"/>
      <w:lvlText w:val="o"/>
      <w:lvlJc w:val="left"/>
      <w:pPr>
        <w:tabs>
          <w:tab w:val="num" w:pos="4079"/>
        </w:tabs>
        <w:ind w:left="4079" w:hanging="360"/>
      </w:pPr>
      <w:rPr>
        <w:rFonts w:ascii="Courier New" w:hAnsi="Courier New" w:cs="Courier New" w:hint="default"/>
      </w:rPr>
    </w:lvl>
    <w:lvl w:ilvl="8" w:tplc="04180005" w:tentative="1">
      <w:start w:val="1"/>
      <w:numFmt w:val="bullet"/>
      <w:lvlText w:val=""/>
      <w:lvlJc w:val="left"/>
      <w:pPr>
        <w:tabs>
          <w:tab w:val="num" w:pos="4799"/>
        </w:tabs>
        <w:ind w:left="4799" w:hanging="360"/>
      </w:pPr>
      <w:rPr>
        <w:rFonts w:ascii="Wingdings" w:hAnsi="Wingdings" w:hint="default"/>
      </w:rPr>
    </w:lvl>
  </w:abstractNum>
  <w:abstractNum w:abstractNumId="9">
    <w:nsid w:val="2FF0534C"/>
    <w:multiLevelType w:val="hybridMultilevel"/>
    <w:tmpl w:val="1DE64AEE"/>
    <w:lvl w:ilvl="0" w:tplc="0882C012">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D75082"/>
    <w:multiLevelType w:val="hybridMultilevel"/>
    <w:tmpl w:val="22E2B45A"/>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ind w:left="824" w:hanging="360"/>
      </w:pPr>
      <w:rPr>
        <w:rFonts w:ascii="Courier New" w:hAnsi="Courier New" w:cs="Courier New" w:hint="default"/>
      </w:rPr>
    </w:lvl>
    <w:lvl w:ilvl="2" w:tplc="04180005">
      <w:start w:val="1"/>
      <w:numFmt w:val="bullet"/>
      <w:lvlText w:val=""/>
      <w:lvlJc w:val="left"/>
      <w:pPr>
        <w:ind w:left="1544" w:hanging="360"/>
      </w:pPr>
      <w:rPr>
        <w:rFonts w:ascii="Wingdings" w:hAnsi="Wingdings" w:hint="default"/>
      </w:rPr>
    </w:lvl>
    <w:lvl w:ilvl="3" w:tplc="04180001">
      <w:start w:val="1"/>
      <w:numFmt w:val="bullet"/>
      <w:lvlText w:val=""/>
      <w:lvlJc w:val="left"/>
      <w:pPr>
        <w:ind w:left="2264" w:hanging="360"/>
      </w:pPr>
      <w:rPr>
        <w:rFonts w:ascii="Symbol" w:hAnsi="Symbol" w:hint="default"/>
      </w:rPr>
    </w:lvl>
    <w:lvl w:ilvl="4" w:tplc="04180003">
      <w:start w:val="1"/>
      <w:numFmt w:val="bullet"/>
      <w:lvlText w:val="o"/>
      <w:lvlJc w:val="left"/>
      <w:pPr>
        <w:ind w:left="2984" w:hanging="360"/>
      </w:pPr>
      <w:rPr>
        <w:rFonts w:ascii="Courier New" w:hAnsi="Courier New" w:cs="Courier New" w:hint="default"/>
      </w:rPr>
    </w:lvl>
    <w:lvl w:ilvl="5" w:tplc="04180005">
      <w:start w:val="1"/>
      <w:numFmt w:val="bullet"/>
      <w:lvlText w:val=""/>
      <w:lvlJc w:val="left"/>
      <w:pPr>
        <w:ind w:left="3704" w:hanging="360"/>
      </w:pPr>
      <w:rPr>
        <w:rFonts w:ascii="Wingdings" w:hAnsi="Wingdings" w:hint="default"/>
      </w:rPr>
    </w:lvl>
    <w:lvl w:ilvl="6" w:tplc="04180001">
      <w:start w:val="1"/>
      <w:numFmt w:val="bullet"/>
      <w:lvlText w:val=""/>
      <w:lvlJc w:val="left"/>
      <w:pPr>
        <w:ind w:left="4424" w:hanging="360"/>
      </w:pPr>
      <w:rPr>
        <w:rFonts w:ascii="Symbol" w:hAnsi="Symbol" w:hint="default"/>
      </w:rPr>
    </w:lvl>
    <w:lvl w:ilvl="7" w:tplc="04180003">
      <w:start w:val="1"/>
      <w:numFmt w:val="bullet"/>
      <w:lvlText w:val="o"/>
      <w:lvlJc w:val="left"/>
      <w:pPr>
        <w:ind w:left="5144" w:hanging="360"/>
      </w:pPr>
      <w:rPr>
        <w:rFonts w:ascii="Courier New" w:hAnsi="Courier New" w:cs="Courier New" w:hint="default"/>
      </w:rPr>
    </w:lvl>
    <w:lvl w:ilvl="8" w:tplc="04180005">
      <w:start w:val="1"/>
      <w:numFmt w:val="bullet"/>
      <w:lvlText w:val=""/>
      <w:lvlJc w:val="left"/>
      <w:pPr>
        <w:ind w:left="5864" w:hanging="360"/>
      </w:pPr>
      <w:rPr>
        <w:rFonts w:ascii="Wingdings" w:hAnsi="Wingdings" w:hint="default"/>
      </w:rPr>
    </w:lvl>
  </w:abstractNum>
  <w:abstractNum w:abstractNumId="11">
    <w:nsid w:val="372D7419"/>
    <w:multiLevelType w:val="hybridMultilevel"/>
    <w:tmpl w:val="5CDE15C2"/>
    <w:lvl w:ilvl="0" w:tplc="A2762A36">
      <w:start w:val="1"/>
      <w:numFmt w:val="bullet"/>
      <w:lvlText w:val=""/>
      <w:lvlJc w:val="left"/>
      <w:pPr>
        <w:tabs>
          <w:tab w:val="num" w:pos="1429"/>
        </w:tabs>
        <w:ind w:left="1429" w:hanging="360"/>
      </w:pPr>
      <w:rPr>
        <w:rFonts w:ascii="Symbol" w:hAnsi="Symbol" w:hint="default"/>
        <w:color w:val="0000FF"/>
      </w:rPr>
    </w:lvl>
    <w:lvl w:ilvl="1" w:tplc="04180003" w:tentative="1">
      <w:start w:val="1"/>
      <w:numFmt w:val="bullet"/>
      <w:lvlText w:val="o"/>
      <w:lvlJc w:val="left"/>
      <w:pPr>
        <w:tabs>
          <w:tab w:val="num" w:pos="2149"/>
        </w:tabs>
        <w:ind w:left="2149" w:hanging="360"/>
      </w:pPr>
      <w:rPr>
        <w:rFonts w:ascii="Courier New" w:hAnsi="Courier New" w:cs="Courier New" w:hint="default"/>
      </w:rPr>
    </w:lvl>
    <w:lvl w:ilvl="2" w:tplc="04180005" w:tentative="1">
      <w:start w:val="1"/>
      <w:numFmt w:val="bullet"/>
      <w:lvlText w:val=""/>
      <w:lvlJc w:val="left"/>
      <w:pPr>
        <w:tabs>
          <w:tab w:val="num" w:pos="2869"/>
        </w:tabs>
        <w:ind w:left="2869" w:hanging="360"/>
      </w:pPr>
      <w:rPr>
        <w:rFonts w:ascii="Wingdings" w:hAnsi="Wingdings" w:hint="default"/>
      </w:rPr>
    </w:lvl>
    <w:lvl w:ilvl="3" w:tplc="04180001" w:tentative="1">
      <w:start w:val="1"/>
      <w:numFmt w:val="bullet"/>
      <w:lvlText w:val=""/>
      <w:lvlJc w:val="left"/>
      <w:pPr>
        <w:tabs>
          <w:tab w:val="num" w:pos="3589"/>
        </w:tabs>
        <w:ind w:left="3589" w:hanging="360"/>
      </w:pPr>
      <w:rPr>
        <w:rFonts w:ascii="Symbol" w:hAnsi="Symbol" w:hint="default"/>
      </w:rPr>
    </w:lvl>
    <w:lvl w:ilvl="4" w:tplc="04180003" w:tentative="1">
      <w:start w:val="1"/>
      <w:numFmt w:val="bullet"/>
      <w:lvlText w:val="o"/>
      <w:lvlJc w:val="left"/>
      <w:pPr>
        <w:tabs>
          <w:tab w:val="num" w:pos="4309"/>
        </w:tabs>
        <w:ind w:left="4309" w:hanging="360"/>
      </w:pPr>
      <w:rPr>
        <w:rFonts w:ascii="Courier New" w:hAnsi="Courier New" w:cs="Courier New" w:hint="default"/>
      </w:rPr>
    </w:lvl>
    <w:lvl w:ilvl="5" w:tplc="04180005" w:tentative="1">
      <w:start w:val="1"/>
      <w:numFmt w:val="bullet"/>
      <w:lvlText w:val=""/>
      <w:lvlJc w:val="left"/>
      <w:pPr>
        <w:tabs>
          <w:tab w:val="num" w:pos="5029"/>
        </w:tabs>
        <w:ind w:left="5029" w:hanging="360"/>
      </w:pPr>
      <w:rPr>
        <w:rFonts w:ascii="Wingdings" w:hAnsi="Wingdings" w:hint="default"/>
      </w:rPr>
    </w:lvl>
    <w:lvl w:ilvl="6" w:tplc="04180001" w:tentative="1">
      <w:start w:val="1"/>
      <w:numFmt w:val="bullet"/>
      <w:lvlText w:val=""/>
      <w:lvlJc w:val="left"/>
      <w:pPr>
        <w:tabs>
          <w:tab w:val="num" w:pos="5749"/>
        </w:tabs>
        <w:ind w:left="5749" w:hanging="360"/>
      </w:pPr>
      <w:rPr>
        <w:rFonts w:ascii="Symbol" w:hAnsi="Symbol" w:hint="default"/>
      </w:rPr>
    </w:lvl>
    <w:lvl w:ilvl="7" w:tplc="04180003" w:tentative="1">
      <w:start w:val="1"/>
      <w:numFmt w:val="bullet"/>
      <w:lvlText w:val="o"/>
      <w:lvlJc w:val="left"/>
      <w:pPr>
        <w:tabs>
          <w:tab w:val="num" w:pos="6469"/>
        </w:tabs>
        <w:ind w:left="6469" w:hanging="360"/>
      </w:pPr>
      <w:rPr>
        <w:rFonts w:ascii="Courier New" w:hAnsi="Courier New" w:cs="Courier New" w:hint="default"/>
      </w:rPr>
    </w:lvl>
    <w:lvl w:ilvl="8" w:tplc="04180005" w:tentative="1">
      <w:start w:val="1"/>
      <w:numFmt w:val="bullet"/>
      <w:lvlText w:val=""/>
      <w:lvlJc w:val="left"/>
      <w:pPr>
        <w:tabs>
          <w:tab w:val="num" w:pos="7189"/>
        </w:tabs>
        <w:ind w:left="7189" w:hanging="360"/>
      </w:pPr>
      <w:rPr>
        <w:rFonts w:ascii="Wingdings" w:hAnsi="Wingdings" w:hint="default"/>
      </w:rPr>
    </w:lvl>
  </w:abstractNum>
  <w:abstractNum w:abstractNumId="12">
    <w:nsid w:val="37ED2CBF"/>
    <w:multiLevelType w:val="hybridMultilevel"/>
    <w:tmpl w:val="9E581AE2"/>
    <w:lvl w:ilvl="0" w:tplc="49FA7DF8">
      <w:start w:val="1"/>
      <w:numFmt w:val="bullet"/>
      <w:lvlText w:val="-"/>
      <w:lvlJc w:val="left"/>
      <w:pPr>
        <w:tabs>
          <w:tab w:val="num" w:pos="720"/>
        </w:tabs>
        <w:ind w:left="720" w:hanging="360"/>
      </w:pPr>
      <w:rPr>
        <w:rFonts w:ascii="Garamond" w:eastAsia="Times New Roman" w:hAnsi="Garamond"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nsid w:val="3DBE5B33"/>
    <w:multiLevelType w:val="hybridMultilevel"/>
    <w:tmpl w:val="258CDA5A"/>
    <w:lvl w:ilvl="0" w:tplc="D87EE160">
      <w:start w:val="1"/>
      <w:numFmt w:val="bullet"/>
      <w:lvlText w:val=""/>
      <w:lvlJc w:val="left"/>
      <w:pPr>
        <w:tabs>
          <w:tab w:val="num" w:pos="360"/>
        </w:tabs>
        <w:ind w:left="360" w:hanging="360"/>
      </w:pPr>
      <w:rPr>
        <w:rFonts w:ascii="Symbol" w:hAnsi="Symbol" w:hint="default"/>
        <w:b/>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4">
    <w:nsid w:val="44CA4194"/>
    <w:multiLevelType w:val="hybridMultilevel"/>
    <w:tmpl w:val="2DD81024"/>
    <w:lvl w:ilvl="0" w:tplc="04090005">
      <w:numFmt w:val="bullet"/>
      <w:lvlText w:val="-"/>
      <w:lvlJc w:val="left"/>
      <w:pPr>
        <w:tabs>
          <w:tab w:val="num" w:pos="1776"/>
        </w:tabs>
        <w:ind w:left="1776" w:hanging="360"/>
      </w:pPr>
      <w:rPr>
        <w:rFonts w:ascii="Bookman Old Style" w:eastAsia="Times New Roman" w:hAnsi="Bookman Old Style" w:cs="Arial" w:hint="default"/>
        <w:b w:val="0"/>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5">
    <w:nsid w:val="488F5ED0"/>
    <w:multiLevelType w:val="hybridMultilevel"/>
    <w:tmpl w:val="EF74C720"/>
    <w:lvl w:ilvl="0" w:tplc="5E2AE08A">
      <w:start w:val="1"/>
      <w:numFmt w:val="bullet"/>
      <w:pStyle w:val="CazLinie"/>
      <w:lvlText w:val=""/>
      <w:lvlJc w:val="left"/>
      <w:pPr>
        <w:tabs>
          <w:tab w:val="num" w:pos="2160"/>
        </w:tabs>
        <w:ind w:left="2160" w:hanging="360"/>
      </w:pPr>
      <w:rPr>
        <w:rFonts w:ascii="Symbol" w:hAnsi="Symbol" w:hint="default"/>
      </w:rPr>
    </w:lvl>
    <w:lvl w:ilvl="1" w:tplc="04090019">
      <w:start w:val="1"/>
      <w:numFmt w:val="bullet"/>
      <w:lvlText w:val=""/>
      <w:lvlJc w:val="left"/>
      <w:pPr>
        <w:tabs>
          <w:tab w:val="num" w:pos="2160"/>
        </w:tabs>
        <w:ind w:left="2160" w:hanging="360"/>
      </w:pPr>
      <w:rPr>
        <w:rFonts w:ascii="Wingdings" w:hAnsi="Wingdings"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6">
    <w:nsid w:val="519E51B5"/>
    <w:multiLevelType w:val="hybridMultilevel"/>
    <w:tmpl w:val="55F64C3C"/>
    <w:lvl w:ilvl="0" w:tplc="D6FAC45A">
      <w:start w:val="4"/>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nsid w:val="53B74CEA"/>
    <w:multiLevelType w:val="hybridMultilevel"/>
    <w:tmpl w:val="CD804D3A"/>
    <w:lvl w:ilvl="0" w:tplc="192AA486">
      <w:start w:val="1"/>
      <w:numFmt w:val="bullet"/>
      <w:pStyle w:val="CazSteluta"/>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E70DFA"/>
    <w:multiLevelType w:val="hybridMultilevel"/>
    <w:tmpl w:val="CC08D23A"/>
    <w:lvl w:ilvl="0" w:tplc="4784F168">
      <w:start w:val="1"/>
      <w:numFmt w:val="decimal"/>
      <w:lvlText w:val="%1."/>
      <w:lvlJc w:val="left"/>
      <w:pPr>
        <w:ind w:left="1077" w:hanging="360"/>
      </w:pPr>
      <w:rPr>
        <w:rFonts w:ascii="Calibri" w:hAnsi="Calibri" w:hint="default"/>
        <w:b/>
        <w:i/>
        <w:color w:val="00000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nsid w:val="610843E3"/>
    <w:multiLevelType w:val="hybridMultilevel"/>
    <w:tmpl w:val="0F74454E"/>
    <w:lvl w:ilvl="0" w:tplc="7F0C703C">
      <w:start w:val="1"/>
      <w:numFmt w:val="upperLetter"/>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0">
    <w:nsid w:val="64321104"/>
    <w:multiLevelType w:val="hybridMultilevel"/>
    <w:tmpl w:val="21E6C01A"/>
    <w:lvl w:ilvl="0" w:tplc="DE1C516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78C6D638">
      <w:start w:val="4"/>
      <w:numFmt w:val="bullet"/>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47F1584"/>
    <w:multiLevelType w:val="hybridMultilevel"/>
    <w:tmpl w:val="A82AC3DE"/>
    <w:lvl w:ilvl="0" w:tplc="04180005">
      <w:start w:val="1"/>
      <w:numFmt w:val="bullet"/>
      <w:lvlText w:val=""/>
      <w:lvlJc w:val="left"/>
      <w:pPr>
        <w:tabs>
          <w:tab w:val="num" w:pos="643"/>
        </w:tabs>
        <w:ind w:left="643" w:hanging="360"/>
      </w:pPr>
      <w:rPr>
        <w:rFonts w:ascii="Wingdings" w:hAnsi="Wingdings" w:hint="default"/>
        <w:b/>
      </w:rPr>
    </w:lvl>
    <w:lvl w:ilvl="1" w:tplc="CBC4A218">
      <w:numFmt w:val="bullet"/>
      <w:lvlText w:val="-"/>
      <w:lvlJc w:val="left"/>
      <w:pPr>
        <w:tabs>
          <w:tab w:val="num" w:pos="1440"/>
        </w:tabs>
        <w:ind w:left="1440" w:hanging="360"/>
      </w:pPr>
      <w:rPr>
        <w:rFonts w:ascii="Arial" w:eastAsia="Times New Roman" w:hAnsi="Arial" w:cs="Aria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nsid w:val="663F4F21"/>
    <w:multiLevelType w:val="hybridMultilevel"/>
    <w:tmpl w:val="FD7C327A"/>
    <w:lvl w:ilvl="0" w:tplc="0418000B">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3">
    <w:nsid w:val="67003716"/>
    <w:multiLevelType w:val="hybridMultilevel"/>
    <w:tmpl w:val="945AB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F51D9E"/>
    <w:multiLevelType w:val="hybridMultilevel"/>
    <w:tmpl w:val="A88EF56E"/>
    <w:lvl w:ilvl="0" w:tplc="04180001">
      <w:start w:val="1"/>
      <w:numFmt w:val="bullet"/>
      <w:lvlText w:val=""/>
      <w:lvlJc w:val="left"/>
      <w:pPr>
        <w:tabs>
          <w:tab w:val="num" w:pos="720"/>
        </w:tabs>
        <w:ind w:left="720" w:hanging="360"/>
      </w:pPr>
      <w:rPr>
        <w:rFonts w:ascii="Symbol" w:hAnsi="Symbol" w:hint="default"/>
      </w:rPr>
    </w:lvl>
    <w:lvl w:ilvl="1" w:tplc="04180005">
      <w:start w:val="1"/>
      <w:numFmt w:val="bullet"/>
      <w:lvlText w:val=""/>
      <w:lvlJc w:val="left"/>
      <w:pPr>
        <w:tabs>
          <w:tab w:val="num" w:pos="1440"/>
        </w:tabs>
        <w:ind w:left="1440" w:hanging="360"/>
      </w:pPr>
      <w:rPr>
        <w:rFonts w:ascii="Wingdings" w:hAnsi="Wingdings" w:hint="default"/>
      </w:rPr>
    </w:lvl>
    <w:lvl w:ilvl="2" w:tplc="FDFA2816">
      <w:start w:val="1"/>
      <w:numFmt w:val="upperLetter"/>
      <w:lvlText w:val="%3."/>
      <w:lvlJc w:val="left"/>
      <w:pPr>
        <w:tabs>
          <w:tab w:val="num" w:pos="786"/>
        </w:tabs>
        <w:ind w:left="786" w:hanging="360"/>
      </w:pPr>
    </w:lvl>
    <w:lvl w:ilvl="3" w:tplc="EC90FA24">
      <w:start w:val="1"/>
      <w:numFmt w:val="bullet"/>
      <w:lvlText w:val="-"/>
      <w:lvlJc w:val="left"/>
      <w:pPr>
        <w:tabs>
          <w:tab w:val="num" w:pos="2880"/>
        </w:tabs>
        <w:ind w:left="2880" w:hanging="360"/>
      </w:pPr>
      <w:rPr>
        <w:rFonts w:ascii="Times New Roman" w:eastAsia="Times New Roman" w:hAnsi="Times New Roman" w:cs="Times New Roman" w:hint="default"/>
      </w:rPr>
    </w:lvl>
    <w:lvl w:ilvl="4" w:tplc="0B5055F6">
      <w:start w:val="2"/>
      <w:numFmt w:val="upperRoman"/>
      <w:lvlText w:val="%5."/>
      <w:lvlJc w:val="left"/>
      <w:pPr>
        <w:ind w:left="3960" w:hanging="720"/>
      </w:pPr>
      <w:rPr>
        <w:color w:val="auto"/>
      </w:r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5">
    <w:nsid w:val="74FC43BA"/>
    <w:multiLevelType w:val="hybridMultilevel"/>
    <w:tmpl w:val="AC8AD528"/>
    <w:lvl w:ilvl="0" w:tplc="403EDED8">
      <w:start w:val="46"/>
      <w:numFmt w:val="bullet"/>
      <w:lvlText w:val="-"/>
      <w:lvlJc w:val="left"/>
      <w:pPr>
        <w:ind w:left="99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6">
    <w:nsid w:val="79DD75CA"/>
    <w:multiLevelType w:val="hybridMultilevel"/>
    <w:tmpl w:val="361654D8"/>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7C5B7E18"/>
    <w:multiLevelType w:val="hybridMultilevel"/>
    <w:tmpl w:val="4678FBE4"/>
    <w:lvl w:ilvl="0" w:tplc="2398C370">
      <w:start w:val="1"/>
      <w:numFmt w:val="bullet"/>
      <w:lvlText w:val="-"/>
      <w:lvlJc w:val="left"/>
      <w:pPr>
        <w:tabs>
          <w:tab w:val="num" w:pos="1069"/>
        </w:tabs>
        <w:ind w:left="1069" w:hanging="360"/>
      </w:pPr>
      <w:rPr>
        <w:rFonts w:ascii="Bookman" w:hAnsi="Bookman" w:cs="Bookman" w:hint="default"/>
        <w:u w:color="0000FF"/>
      </w:rPr>
    </w:lvl>
    <w:lvl w:ilvl="1" w:tplc="04180003" w:tentative="1">
      <w:start w:val="1"/>
      <w:numFmt w:val="bullet"/>
      <w:lvlText w:val="o"/>
      <w:lvlJc w:val="left"/>
      <w:pPr>
        <w:tabs>
          <w:tab w:val="num" w:pos="-240"/>
        </w:tabs>
        <w:ind w:left="-240" w:hanging="360"/>
      </w:pPr>
      <w:rPr>
        <w:rFonts w:ascii="Courier New" w:hAnsi="Courier New" w:cs="Courier New" w:hint="default"/>
      </w:rPr>
    </w:lvl>
    <w:lvl w:ilvl="2" w:tplc="04180005" w:tentative="1">
      <w:start w:val="1"/>
      <w:numFmt w:val="bullet"/>
      <w:lvlText w:val=""/>
      <w:lvlJc w:val="left"/>
      <w:pPr>
        <w:tabs>
          <w:tab w:val="num" w:pos="480"/>
        </w:tabs>
        <w:ind w:left="480" w:hanging="360"/>
      </w:pPr>
      <w:rPr>
        <w:rFonts w:ascii="Wingdings" w:hAnsi="Wingdings" w:hint="default"/>
      </w:rPr>
    </w:lvl>
    <w:lvl w:ilvl="3" w:tplc="04180001" w:tentative="1">
      <w:start w:val="1"/>
      <w:numFmt w:val="bullet"/>
      <w:lvlText w:val=""/>
      <w:lvlJc w:val="left"/>
      <w:pPr>
        <w:tabs>
          <w:tab w:val="num" w:pos="1200"/>
        </w:tabs>
        <w:ind w:left="1200" w:hanging="360"/>
      </w:pPr>
      <w:rPr>
        <w:rFonts w:ascii="Symbol" w:hAnsi="Symbol" w:hint="default"/>
      </w:rPr>
    </w:lvl>
    <w:lvl w:ilvl="4" w:tplc="04180003" w:tentative="1">
      <w:start w:val="1"/>
      <w:numFmt w:val="bullet"/>
      <w:lvlText w:val="o"/>
      <w:lvlJc w:val="left"/>
      <w:pPr>
        <w:tabs>
          <w:tab w:val="num" w:pos="1920"/>
        </w:tabs>
        <w:ind w:left="1920" w:hanging="360"/>
      </w:pPr>
      <w:rPr>
        <w:rFonts w:ascii="Courier New" w:hAnsi="Courier New" w:cs="Courier New" w:hint="default"/>
      </w:rPr>
    </w:lvl>
    <w:lvl w:ilvl="5" w:tplc="04180005" w:tentative="1">
      <w:start w:val="1"/>
      <w:numFmt w:val="bullet"/>
      <w:lvlText w:val=""/>
      <w:lvlJc w:val="left"/>
      <w:pPr>
        <w:tabs>
          <w:tab w:val="num" w:pos="2640"/>
        </w:tabs>
        <w:ind w:left="2640" w:hanging="360"/>
      </w:pPr>
      <w:rPr>
        <w:rFonts w:ascii="Wingdings" w:hAnsi="Wingdings" w:hint="default"/>
      </w:rPr>
    </w:lvl>
    <w:lvl w:ilvl="6" w:tplc="04180001" w:tentative="1">
      <w:start w:val="1"/>
      <w:numFmt w:val="bullet"/>
      <w:lvlText w:val=""/>
      <w:lvlJc w:val="left"/>
      <w:pPr>
        <w:tabs>
          <w:tab w:val="num" w:pos="3360"/>
        </w:tabs>
        <w:ind w:left="3360" w:hanging="360"/>
      </w:pPr>
      <w:rPr>
        <w:rFonts w:ascii="Symbol" w:hAnsi="Symbol" w:hint="default"/>
      </w:rPr>
    </w:lvl>
    <w:lvl w:ilvl="7" w:tplc="04180003" w:tentative="1">
      <w:start w:val="1"/>
      <w:numFmt w:val="bullet"/>
      <w:lvlText w:val="o"/>
      <w:lvlJc w:val="left"/>
      <w:pPr>
        <w:tabs>
          <w:tab w:val="num" w:pos="4080"/>
        </w:tabs>
        <w:ind w:left="4080" w:hanging="360"/>
      </w:pPr>
      <w:rPr>
        <w:rFonts w:ascii="Courier New" w:hAnsi="Courier New" w:cs="Courier New" w:hint="default"/>
      </w:rPr>
    </w:lvl>
    <w:lvl w:ilvl="8" w:tplc="04180005" w:tentative="1">
      <w:start w:val="1"/>
      <w:numFmt w:val="bullet"/>
      <w:lvlText w:val=""/>
      <w:lvlJc w:val="left"/>
      <w:pPr>
        <w:tabs>
          <w:tab w:val="num" w:pos="4800"/>
        </w:tabs>
        <w:ind w:left="4800" w:hanging="360"/>
      </w:pPr>
      <w:rPr>
        <w:rFonts w:ascii="Wingdings" w:hAnsi="Wingdings" w:hint="default"/>
      </w:rPr>
    </w:lvl>
  </w:abstractNum>
  <w:num w:numId="1">
    <w:abstractNumId w:val="15"/>
  </w:num>
  <w:num w:numId="2">
    <w:abstractNumId w:val="17"/>
  </w:num>
  <w:num w:numId="3">
    <w:abstractNumId w:val="0"/>
  </w:num>
  <w:num w:numId="4">
    <w:abstractNumId w:val="7"/>
  </w:num>
  <w:num w:numId="5">
    <w:abstractNumId w:val="14"/>
  </w:num>
  <w:num w:numId="6">
    <w:abstractNumId w:val="6"/>
  </w:num>
  <w:num w:numId="7">
    <w:abstractNumId w:val="5"/>
  </w:num>
  <w:num w:numId="8">
    <w:abstractNumId w:val="11"/>
  </w:num>
  <w:num w:numId="9">
    <w:abstractNumId w:val="8"/>
  </w:num>
  <w:num w:numId="10">
    <w:abstractNumId w:val="27"/>
  </w:num>
  <w:num w:numId="11">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6"/>
  </w:num>
  <w:num w:numId="16">
    <w:abstractNumId w:val="25"/>
  </w:num>
  <w:num w:numId="17">
    <w:abstractNumId w:val="24"/>
    <w:lvlOverride w:ilvl="0"/>
    <w:lvlOverride w:ilvl="1"/>
    <w:lvlOverride w:ilvl="2">
      <w:startOverride w:val="1"/>
    </w:lvlOverride>
    <w:lvlOverride w:ilvl="3"/>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
  </w:num>
  <w:num w:numId="20">
    <w:abstractNumId w:val="18"/>
  </w:num>
  <w:num w:numId="21">
    <w:abstractNumId w:val="2"/>
  </w:num>
  <w:num w:numId="22">
    <w:abstractNumId w:val="23"/>
  </w:num>
  <w:num w:numId="23">
    <w:abstractNumId w:val="26"/>
  </w:num>
  <w:num w:numId="24">
    <w:abstractNumId w:val="21"/>
  </w:num>
  <w:num w:numId="25">
    <w:abstractNumId w:val="4"/>
  </w:num>
  <w:num w:numId="26">
    <w:abstractNumId w:val="9"/>
  </w:num>
  <w:num w:numId="27">
    <w:abstractNumId w:val="13"/>
  </w:num>
  <w:num w:numId="28">
    <w:abstractNumId w:val="3"/>
  </w:num>
  <w:num w:numId="29">
    <w:abstractNumId w:val="12"/>
  </w:num>
  <w:num w:numId="30">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7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2F"/>
    <w:rsid w:val="000000E6"/>
    <w:rsid w:val="00000156"/>
    <w:rsid w:val="00000B7A"/>
    <w:rsid w:val="000011ED"/>
    <w:rsid w:val="00001B12"/>
    <w:rsid w:val="00002D8A"/>
    <w:rsid w:val="0000321A"/>
    <w:rsid w:val="000032E2"/>
    <w:rsid w:val="000033BA"/>
    <w:rsid w:val="000034AE"/>
    <w:rsid w:val="00004ED9"/>
    <w:rsid w:val="00005D11"/>
    <w:rsid w:val="00006049"/>
    <w:rsid w:val="0000621B"/>
    <w:rsid w:val="000067F3"/>
    <w:rsid w:val="00006938"/>
    <w:rsid w:val="00006C34"/>
    <w:rsid w:val="00006E76"/>
    <w:rsid w:val="0000705C"/>
    <w:rsid w:val="00007F22"/>
    <w:rsid w:val="000104BB"/>
    <w:rsid w:val="0001095F"/>
    <w:rsid w:val="00010985"/>
    <w:rsid w:val="00012521"/>
    <w:rsid w:val="0001286C"/>
    <w:rsid w:val="00013CB8"/>
    <w:rsid w:val="000155C5"/>
    <w:rsid w:val="000156E5"/>
    <w:rsid w:val="0001571D"/>
    <w:rsid w:val="00015A0E"/>
    <w:rsid w:val="00017736"/>
    <w:rsid w:val="0002121D"/>
    <w:rsid w:val="00021355"/>
    <w:rsid w:val="000215A2"/>
    <w:rsid w:val="00022A19"/>
    <w:rsid w:val="00023ADD"/>
    <w:rsid w:val="00023B3E"/>
    <w:rsid w:val="00023BF7"/>
    <w:rsid w:val="00023D03"/>
    <w:rsid w:val="00023EEC"/>
    <w:rsid w:val="00024BA7"/>
    <w:rsid w:val="00024DC1"/>
    <w:rsid w:val="000255C2"/>
    <w:rsid w:val="000259D6"/>
    <w:rsid w:val="000263DA"/>
    <w:rsid w:val="0002650A"/>
    <w:rsid w:val="00027316"/>
    <w:rsid w:val="00031B39"/>
    <w:rsid w:val="0003207E"/>
    <w:rsid w:val="000321D2"/>
    <w:rsid w:val="00032CFB"/>
    <w:rsid w:val="000332FE"/>
    <w:rsid w:val="00034159"/>
    <w:rsid w:val="00035480"/>
    <w:rsid w:val="00035FB5"/>
    <w:rsid w:val="0003611B"/>
    <w:rsid w:val="0003644A"/>
    <w:rsid w:val="00037F29"/>
    <w:rsid w:val="0004033A"/>
    <w:rsid w:val="00040349"/>
    <w:rsid w:val="0004045D"/>
    <w:rsid w:val="00041360"/>
    <w:rsid w:val="000430DD"/>
    <w:rsid w:val="00043B94"/>
    <w:rsid w:val="00043D57"/>
    <w:rsid w:val="00043DA6"/>
    <w:rsid w:val="0004495C"/>
    <w:rsid w:val="0004542D"/>
    <w:rsid w:val="00045D3E"/>
    <w:rsid w:val="00046D2D"/>
    <w:rsid w:val="000476E4"/>
    <w:rsid w:val="00047A69"/>
    <w:rsid w:val="00047D29"/>
    <w:rsid w:val="00050813"/>
    <w:rsid w:val="000510D1"/>
    <w:rsid w:val="000511BC"/>
    <w:rsid w:val="00051B28"/>
    <w:rsid w:val="00051DB9"/>
    <w:rsid w:val="00052F2B"/>
    <w:rsid w:val="00052F37"/>
    <w:rsid w:val="000531C3"/>
    <w:rsid w:val="00053B4A"/>
    <w:rsid w:val="00057256"/>
    <w:rsid w:val="000601EC"/>
    <w:rsid w:val="00060C4F"/>
    <w:rsid w:val="0006144E"/>
    <w:rsid w:val="00061711"/>
    <w:rsid w:val="00062293"/>
    <w:rsid w:val="00062880"/>
    <w:rsid w:val="0006354D"/>
    <w:rsid w:val="0006386B"/>
    <w:rsid w:val="0006442D"/>
    <w:rsid w:val="000650C2"/>
    <w:rsid w:val="00065760"/>
    <w:rsid w:val="00065DCB"/>
    <w:rsid w:val="0006673E"/>
    <w:rsid w:val="0006793C"/>
    <w:rsid w:val="00070107"/>
    <w:rsid w:val="000704CE"/>
    <w:rsid w:val="000706D9"/>
    <w:rsid w:val="00070780"/>
    <w:rsid w:val="0007125F"/>
    <w:rsid w:val="000736CC"/>
    <w:rsid w:val="00074C82"/>
    <w:rsid w:val="00074DDF"/>
    <w:rsid w:val="00075EF0"/>
    <w:rsid w:val="00077B3C"/>
    <w:rsid w:val="000802D5"/>
    <w:rsid w:val="00080834"/>
    <w:rsid w:val="00081180"/>
    <w:rsid w:val="00081383"/>
    <w:rsid w:val="00081B40"/>
    <w:rsid w:val="00081C90"/>
    <w:rsid w:val="0008269B"/>
    <w:rsid w:val="00082A84"/>
    <w:rsid w:val="00084BE9"/>
    <w:rsid w:val="00084C09"/>
    <w:rsid w:val="0008521E"/>
    <w:rsid w:val="00091184"/>
    <w:rsid w:val="00091839"/>
    <w:rsid w:val="00092566"/>
    <w:rsid w:val="00094F94"/>
    <w:rsid w:val="0009512A"/>
    <w:rsid w:val="00095144"/>
    <w:rsid w:val="00095533"/>
    <w:rsid w:val="00095742"/>
    <w:rsid w:val="0009585A"/>
    <w:rsid w:val="00095C15"/>
    <w:rsid w:val="00096701"/>
    <w:rsid w:val="0009784D"/>
    <w:rsid w:val="000A0066"/>
    <w:rsid w:val="000A06C0"/>
    <w:rsid w:val="000A0EB2"/>
    <w:rsid w:val="000A27FA"/>
    <w:rsid w:val="000A4124"/>
    <w:rsid w:val="000A416F"/>
    <w:rsid w:val="000A461A"/>
    <w:rsid w:val="000A5DFD"/>
    <w:rsid w:val="000A69B7"/>
    <w:rsid w:val="000A6EDE"/>
    <w:rsid w:val="000A74D4"/>
    <w:rsid w:val="000B0ADF"/>
    <w:rsid w:val="000B1584"/>
    <w:rsid w:val="000B1DA7"/>
    <w:rsid w:val="000B1DAA"/>
    <w:rsid w:val="000B1F1A"/>
    <w:rsid w:val="000B2038"/>
    <w:rsid w:val="000B5722"/>
    <w:rsid w:val="000B5AA5"/>
    <w:rsid w:val="000B64CC"/>
    <w:rsid w:val="000B73D2"/>
    <w:rsid w:val="000B757A"/>
    <w:rsid w:val="000B7D9E"/>
    <w:rsid w:val="000C1A43"/>
    <w:rsid w:val="000C2C17"/>
    <w:rsid w:val="000C3939"/>
    <w:rsid w:val="000C3941"/>
    <w:rsid w:val="000C4B86"/>
    <w:rsid w:val="000C4C72"/>
    <w:rsid w:val="000C585A"/>
    <w:rsid w:val="000C6735"/>
    <w:rsid w:val="000D04C0"/>
    <w:rsid w:val="000D0E40"/>
    <w:rsid w:val="000D1902"/>
    <w:rsid w:val="000D21DB"/>
    <w:rsid w:val="000D24B6"/>
    <w:rsid w:val="000D2552"/>
    <w:rsid w:val="000D27F7"/>
    <w:rsid w:val="000D3D02"/>
    <w:rsid w:val="000D5F84"/>
    <w:rsid w:val="000D62AF"/>
    <w:rsid w:val="000D69E8"/>
    <w:rsid w:val="000D7256"/>
    <w:rsid w:val="000D74BC"/>
    <w:rsid w:val="000D7C1E"/>
    <w:rsid w:val="000E0FED"/>
    <w:rsid w:val="000E1AE4"/>
    <w:rsid w:val="000E286A"/>
    <w:rsid w:val="000E2FD2"/>
    <w:rsid w:val="000E3A61"/>
    <w:rsid w:val="000E3B3A"/>
    <w:rsid w:val="000E47B4"/>
    <w:rsid w:val="000E5D23"/>
    <w:rsid w:val="000E641D"/>
    <w:rsid w:val="000E6521"/>
    <w:rsid w:val="000E6E12"/>
    <w:rsid w:val="000E712D"/>
    <w:rsid w:val="000E74E4"/>
    <w:rsid w:val="000E7BEE"/>
    <w:rsid w:val="000F01EE"/>
    <w:rsid w:val="000F07DA"/>
    <w:rsid w:val="000F0C4B"/>
    <w:rsid w:val="000F1569"/>
    <w:rsid w:val="000F181A"/>
    <w:rsid w:val="000F2490"/>
    <w:rsid w:val="000F2FD2"/>
    <w:rsid w:val="000F56BF"/>
    <w:rsid w:val="000F5C42"/>
    <w:rsid w:val="000F652F"/>
    <w:rsid w:val="000F6AE5"/>
    <w:rsid w:val="000F7DD4"/>
    <w:rsid w:val="00100052"/>
    <w:rsid w:val="00103F5D"/>
    <w:rsid w:val="0010468B"/>
    <w:rsid w:val="001048A2"/>
    <w:rsid w:val="00104AE6"/>
    <w:rsid w:val="00106453"/>
    <w:rsid w:val="00106507"/>
    <w:rsid w:val="00106A7B"/>
    <w:rsid w:val="00107E0A"/>
    <w:rsid w:val="00107F8C"/>
    <w:rsid w:val="0011148F"/>
    <w:rsid w:val="00112C74"/>
    <w:rsid w:val="0011347F"/>
    <w:rsid w:val="00113980"/>
    <w:rsid w:val="001148DE"/>
    <w:rsid w:val="00114FD5"/>
    <w:rsid w:val="00115013"/>
    <w:rsid w:val="0011540E"/>
    <w:rsid w:val="00115477"/>
    <w:rsid w:val="00117536"/>
    <w:rsid w:val="00117C56"/>
    <w:rsid w:val="001202FF"/>
    <w:rsid w:val="00120344"/>
    <w:rsid w:val="001215CE"/>
    <w:rsid w:val="001231B4"/>
    <w:rsid w:val="00125C14"/>
    <w:rsid w:val="00125C25"/>
    <w:rsid w:val="0012615E"/>
    <w:rsid w:val="00127259"/>
    <w:rsid w:val="0012783E"/>
    <w:rsid w:val="00127B4A"/>
    <w:rsid w:val="00130A39"/>
    <w:rsid w:val="001312A8"/>
    <w:rsid w:val="00131A9F"/>
    <w:rsid w:val="00131AE7"/>
    <w:rsid w:val="00131C31"/>
    <w:rsid w:val="00131CE2"/>
    <w:rsid w:val="0013234E"/>
    <w:rsid w:val="0013250E"/>
    <w:rsid w:val="0013527F"/>
    <w:rsid w:val="001352E8"/>
    <w:rsid w:val="00135734"/>
    <w:rsid w:val="00137131"/>
    <w:rsid w:val="00137797"/>
    <w:rsid w:val="00137FDE"/>
    <w:rsid w:val="00140CF4"/>
    <w:rsid w:val="00140DF5"/>
    <w:rsid w:val="001418AE"/>
    <w:rsid w:val="00142024"/>
    <w:rsid w:val="0014339C"/>
    <w:rsid w:val="00143B97"/>
    <w:rsid w:val="001446B7"/>
    <w:rsid w:val="001447B1"/>
    <w:rsid w:val="00146340"/>
    <w:rsid w:val="00146508"/>
    <w:rsid w:val="00146864"/>
    <w:rsid w:val="001478F5"/>
    <w:rsid w:val="00147DED"/>
    <w:rsid w:val="001500AF"/>
    <w:rsid w:val="001508D3"/>
    <w:rsid w:val="00150E02"/>
    <w:rsid w:val="00151340"/>
    <w:rsid w:val="001517A0"/>
    <w:rsid w:val="0015296B"/>
    <w:rsid w:val="00152992"/>
    <w:rsid w:val="00153732"/>
    <w:rsid w:val="00153AFC"/>
    <w:rsid w:val="001559ED"/>
    <w:rsid w:val="00155F46"/>
    <w:rsid w:val="0015608D"/>
    <w:rsid w:val="00157A82"/>
    <w:rsid w:val="00157B31"/>
    <w:rsid w:val="00160355"/>
    <w:rsid w:val="0016069D"/>
    <w:rsid w:val="00160955"/>
    <w:rsid w:val="001614F9"/>
    <w:rsid w:val="00162CD5"/>
    <w:rsid w:val="001646FF"/>
    <w:rsid w:val="00164A86"/>
    <w:rsid w:val="0016684E"/>
    <w:rsid w:val="00167861"/>
    <w:rsid w:val="00167A0B"/>
    <w:rsid w:val="00170307"/>
    <w:rsid w:val="0017048A"/>
    <w:rsid w:val="00171444"/>
    <w:rsid w:val="00172372"/>
    <w:rsid w:val="00172622"/>
    <w:rsid w:val="0017272C"/>
    <w:rsid w:val="001727FC"/>
    <w:rsid w:val="0017475B"/>
    <w:rsid w:val="001748BE"/>
    <w:rsid w:val="00175511"/>
    <w:rsid w:val="0017659A"/>
    <w:rsid w:val="00177263"/>
    <w:rsid w:val="0018073F"/>
    <w:rsid w:val="0018095E"/>
    <w:rsid w:val="00180E34"/>
    <w:rsid w:val="00181994"/>
    <w:rsid w:val="00182D80"/>
    <w:rsid w:val="00183419"/>
    <w:rsid w:val="00183CA3"/>
    <w:rsid w:val="00183DBD"/>
    <w:rsid w:val="00183F99"/>
    <w:rsid w:val="00183FB2"/>
    <w:rsid w:val="001844AD"/>
    <w:rsid w:val="00184EFF"/>
    <w:rsid w:val="001850A6"/>
    <w:rsid w:val="0018589F"/>
    <w:rsid w:val="00190187"/>
    <w:rsid w:val="0019090E"/>
    <w:rsid w:val="001917E5"/>
    <w:rsid w:val="001919AB"/>
    <w:rsid w:val="00192A9A"/>
    <w:rsid w:val="00192EEE"/>
    <w:rsid w:val="001934DA"/>
    <w:rsid w:val="00193F2A"/>
    <w:rsid w:val="00193FFB"/>
    <w:rsid w:val="00195AEC"/>
    <w:rsid w:val="00195C71"/>
    <w:rsid w:val="001978EF"/>
    <w:rsid w:val="001A10A2"/>
    <w:rsid w:val="001A1CE1"/>
    <w:rsid w:val="001A2434"/>
    <w:rsid w:val="001A4642"/>
    <w:rsid w:val="001A4B3E"/>
    <w:rsid w:val="001A4E1A"/>
    <w:rsid w:val="001A6596"/>
    <w:rsid w:val="001A66BB"/>
    <w:rsid w:val="001A707B"/>
    <w:rsid w:val="001A7222"/>
    <w:rsid w:val="001A79B6"/>
    <w:rsid w:val="001B0B57"/>
    <w:rsid w:val="001B137C"/>
    <w:rsid w:val="001B13E1"/>
    <w:rsid w:val="001B1B01"/>
    <w:rsid w:val="001B1EE4"/>
    <w:rsid w:val="001B2741"/>
    <w:rsid w:val="001B4397"/>
    <w:rsid w:val="001B49E7"/>
    <w:rsid w:val="001B4EDC"/>
    <w:rsid w:val="001B5FEB"/>
    <w:rsid w:val="001B64FB"/>
    <w:rsid w:val="001B6AFD"/>
    <w:rsid w:val="001B6EC9"/>
    <w:rsid w:val="001C023E"/>
    <w:rsid w:val="001C061B"/>
    <w:rsid w:val="001C201F"/>
    <w:rsid w:val="001C2093"/>
    <w:rsid w:val="001C3739"/>
    <w:rsid w:val="001C3CF4"/>
    <w:rsid w:val="001C41F2"/>
    <w:rsid w:val="001C468B"/>
    <w:rsid w:val="001C47FC"/>
    <w:rsid w:val="001C4A59"/>
    <w:rsid w:val="001C57EE"/>
    <w:rsid w:val="001C5DD2"/>
    <w:rsid w:val="001C64E7"/>
    <w:rsid w:val="001C689B"/>
    <w:rsid w:val="001C7047"/>
    <w:rsid w:val="001C7E57"/>
    <w:rsid w:val="001D0D99"/>
    <w:rsid w:val="001D0EA9"/>
    <w:rsid w:val="001D127E"/>
    <w:rsid w:val="001D2EA4"/>
    <w:rsid w:val="001D3232"/>
    <w:rsid w:val="001D345D"/>
    <w:rsid w:val="001D36E8"/>
    <w:rsid w:val="001D52DB"/>
    <w:rsid w:val="001D5B02"/>
    <w:rsid w:val="001D7012"/>
    <w:rsid w:val="001D7DA4"/>
    <w:rsid w:val="001D7E7B"/>
    <w:rsid w:val="001E085B"/>
    <w:rsid w:val="001E1A3A"/>
    <w:rsid w:val="001E207D"/>
    <w:rsid w:val="001E276C"/>
    <w:rsid w:val="001E40E2"/>
    <w:rsid w:val="001E43E9"/>
    <w:rsid w:val="001E5A99"/>
    <w:rsid w:val="001E62DE"/>
    <w:rsid w:val="001E6BAB"/>
    <w:rsid w:val="001E76E2"/>
    <w:rsid w:val="001F13F1"/>
    <w:rsid w:val="001F15E7"/>
    <w:rsid w:val="001F1F20"/>
    <w:rsid w:val="001F25ED"/>
    <w:rsid w:val="001F2679"/>
    <w:rsid w:val="001F2E5E"/>
    <w:rsid w:val="001F3BB8"/>
    <w:rsid w:val="001F3F25"/>
    <w:rsid w:val="001F5A60"/>
    <w:rsid w:val="001F5F9D"/>
    <w:rsid w:val="001F64B7"/>
    <w:rsid w:val="001F6A32"/>
    <w:rsid w:val="001F7AAF"/>
    <w:rsid w:val="001F7EC7"/>
    <w:rsid w:val="00200507"/>
    <w:rsid w:val="00200816"/>
    <w:rsid w:val="00202C95"/>
    <w:rsid w:val="00205889"/>
    <w:rsid w:val="00206364"/>
    <w:rsid w:val="00206707"/>
    <w:rsid w:val="00207A2F"/>
    <w:rsid w:val="00207DC7"/>
    <w:rsid w:val="00211175"/>
    <w:rsid w:val="00211934"/>
    <w:rsid w:val="0021312B"/>
    <w:rsid w:val="0021347D"/>
    <w:rsid w:val="002152E4"/>
    <w:rsid w:val="00216CED"/>
    <w:rsid w:val="00216EF5"/>
    <w:rsid w:val="00217457"/>
    <w:rsid w:val="00217967"/>
    <w:rsid w:val="002206FF"/>
    <w:rsid w:val="0022136F"/>
    <w:rsid w:val="0022401C"/>
    <w:rsid w:val="002240ED"/>
    <w:rsid w:val="002249FC"/>
    <w:rsid w:val="00225917"/>
    <w:rsid w:val="00226976"/>
    <w:rsid w:val="00227BA8"/>
    <w:rsid w:val="0023007C"/>
    <w:rsid w:val="00230228"/>
    <w:rsid w:val="002305CB"/>
    <w:rsid w:val="00230629"/>
    <w:rsid w:val="002307D7"/>
    <w:rsid w:val="0023208D"/>
    <w:rsid w:val="00232B86"/>
    <w:rsid w:val="00233088"/>
    <w:rsid w:val="0023345F"/>
    <w:rsid w:val="00233742"/>
    <w:rsid w:val="00233A03"/>
    <w:rsid w:val="00234533"/>
    <w:rsid w:val="00236ABD"/>
    <w:rsid w:val="00237003"/>
    <w:rsid w:val="0023771E"/>
    <w:rsid w:val="00240466"/>
    <w:rsid w:val="00240E00"/>
    <w:rsid w:val="00240ED8"/>
    <w:rsid w:val="002417D9"/>
    <w:rsid w:val="0024189C"/>
    <w:rsid w:val="00241A03"/>
    <w:rsid w:val="00243305"/>
    <w:rsid w:val="002443EE"/>
    <w:rsid w:val="00244587"/>
    <w:rsid w:val="00247395"/>
    <w:rsid w:val="0025043E"/>
    <w:rsid w:val="00250A11"/>
    <w:rsid w:val="00250EF1"/>
    <w:rsid w:val="00250F0C"/>
    <w:rsid w:val="002510C6"/>
    <w:rsid w:val="00251C4F"/>
    <w:rsid w:val="00252A8C"/>
    <w:rsid w:val="002553BA"/>
    <w:rsid w:val="002603BF"/>
    <w:rsid w:val="002606BC"/>
    <w:rsid w:val="00260827"/>
    <w:rsid w:val="00260F5D"/>
    <w:rsid w:val="002638F9"/>
    <w:rsid w:val="00263B47"/>
    <w:rsid w:val="00263B6B"/>
    <w:rsid w:val="00263B85"/>
    <w:rsid w:val="0026420F"/>
    <w:rsid w:val="0026533B"/>
    <w:rsid w:val="0026622F"/>
    <w:rsid w:val="00266AC7"/>
    <w:rsid w:val="00266CD6"/>
    <w:rsid w:val="002701A1"/>
    <w:rsid w:val="002702B7"/>
    <w:rsid w:val="002710D8"/>
    <w:rsid w:val="00271B37"/>
    <w:rsid w:val="00271EAD"/>
    <w:rsid w:val="00272937"/>
    <w:rsid w:val="00274A4E"/>
    <w:rsid w:val="0027512A"/>
    <w:rsid w:val="00275488"/>
    <w:rsid w:val="00275F01"/>
    <w:rsid w:val="002817AF"/>
    <w:rsid w:val="0028262D"/>
    <w:rsid w:val="00283228"/>
    <w:rsid w:val="002834AD"/>
    <w:rsid w:val="00284D3A"/>
    <w:rsid w:val="00286E7A"/>
    <w:rsid w:val="00290281"/>
    <w:rsid w:val="00291CA2"/>
    <w:rsid w:val="00293ABB"/>
    <w:rsid w:val="00293D17"/>
    <w:rsid w:val="00294CCE"/>
    <w:rsid w:val="00295110"/>
    <w:rsid w:val="00295CB1"/>
    <w:rsid w:val="00296207"/>
    <w:rsid w:val="002972B9"/>
    <w:rsid w:val="00297667"/>
    <w:rsid w:val="002A1018"/>
    <w:rsid w:val="002A1413"/>
    <w:rsid w:val="002A2733"/>
    <w:rsid w:val="002A2A95"/>
    <w:rsid w:val="002A2B91"/>
    <w:rsid w:val="002A38F4"/>
    <w:rsid w:val="002A3909"/>
    <w:rsid w:val="002A5FEC"/>
    <w:rsid w:val="002A632C"/>
    <w:rsid w:val="002A657B"/>
    <w:rsid w:val="002A68D2"/>
    <w:rsid w:val="002A6A3E"/>
    <w:rsid w:val="002A6DB1"/>
    <w:rsid w:val="002A7EE7"/>
    <w:rsid w:val="002B0E3D"/>
    <w:rsid w:val="002B16D1"/>
    <w:rsid w:val="002B1814"/>
    <w:rsid w:val="002B1945"/>
    <w:rsid w:val="002B1A5B"/>
    <w:rsid w:val="002B264C"/>
    <w:rsid w:val="002B3C89"/>
    <w:rsid w:val="002B4FDB"/>
    <w:rsid w:val="002B52EF"/>
    <w:rsid w:val="002B539C"/>
    <w:rsid w:val="002B7350"/>
    <w:rsid w:val="002B77F3"/>
    <w:rsid w:val="002C07E2"/>
    <w:rsid w:val="002C0B1E"/>
    <w:rsid w:val="002C1443"/>
    <w:rsid w:val="002C3C15"/>
    <w:rsid w:val="002C3FB5"/>
    <w:rsid w:val="002C424E"/>
    <w:rsid w:val="002C4B04"/>
    <w:rsid w:val="002C5E50"/>
    <w:rsid w:val="002C5EEE"/>
    <w:rsid w:val="002C62B2"/>
    <w:rsid w:val="002C7BE8"/>
    <w:rsid w:val="002D0113"/>
    <w:rsid w:val="002D018F"/>
    <w:rsid w:val="002D0918"/>
    <w:rsid w:val="002D1309"/>
    <w:rsid w:val="002D23FB"/>
    <w:rsid w:val="002D3029"/>
    <w:rsid w:val="002D38BF"/>
    <w:rsid w:val="002D41CF"/>
    <w:rsid w:val="002D4351"/>
    <w:rsid w:val="002D4CDE"/>
    <w:rsid w:val="002D5D6E"/>
    <w:rsid w:val="002D63FD"/>
    <w:rsid w:val="002D6706"/>
    <w:rsid w:val="002D73A3"/>
    <w:rsid w:val="002D79DD"/>
    <w:rsid w:val="002D7A83"/>
    <w:rsid w:val="002D7D8C"/>
    <w:rsid w:val="002E0E86"/>
    <w:rsid w:val="002E1BDE"/>
    <w:rsid w:val="002E24F4"/>
    <w:rsid w:val="002E25DD"/>
    <w:rsid w:val="002E2E3D"/>
    <w:rsid w:val="002E2FAB"/>
    <w:rsid w:val="002E35B2"/>
    <w:rsid w:val="002E35FA"/>
    <w:rsid w:val="002E37A3"/>
    <w:rsid w:val="002E3D88"/>
    <w:rsid w:val="002E4018"/>
    <w:rsid w:val="002E4EB6"/>
    <w:rsid w:val="002E5A55"/>
    <w:rsid w:val="002E64E3"/>
    <w:rsid w:val="002E69E5"/>
    <w:rsid w:val="002E6F6D"/>
    <w:rsid w:val="002E7120"/>
    <w:rsid w:val="002E7222"/>
    <w:rsid w:val="002F010C"/>
    <w:rsid w:val="002F0499"/>
    <w:rsid w:val="002F05C4"/>
    <w:rsid w:val="002F079B"/>
    <w:rsid w:val="002F0DA8"/>
    <w:rsid w:val="002F1F5B"/>
    <w:rsid w:val="002F1F69"/>
    <w:rsid w:val="002F26BA"/>
    <w:rsid w:val="002F2975"/>
    <w:rsid w:val="002F2B2B"/>
    <w:rsid w:val="002F6AB7"/>
    <w:rsid w:val="002F7210"/>
    <w:rsid w:val="002F7798"/>
    <w:rsid w:val="00300396"/>
    <w:rsid w:val="00300E2D"/>
    <w:rsid w:val="00301CCA"/>
    <w:rsid w:val="00302986"/>
    <w:rsid w:val="003039C7"/>
    <w:rsid w:val="0030459A"/>
    <w:rsid w:val="00305826"/>
    <w:rsid w:val="003059FB"/>
    <w:rsid w:val="00305DEF"/>
    <w:rsid w:val="00305F6B"/>
    <w:rsid w:val="00306DE4"/>
    <w:rsid w:val="00310704"/>
    <w:rsid w:val="003108A2"/>
    <w:rsid w:val="003128C3"/>
    <w:rsid w:val="003135BF"/>
    <w:rsid w:val="0031361F"/>
    <w:rsid w:val="003147ED"/>
    <w:rsid w:val="00314D7B"/>
    <w:rsid w:val="00314F9F"/>
    <w:rsid w:val="0031582E"/>
    <w:rsid w:val="00315FDA"/>
    <w:rsid w:val="00316176"/>
    <w:rsid w:val="00317AEB"/>
    <w:rsid w:val="00320B92"/>
    <w:rsid w:val="00320B9F"/>
    <w:rsid w:val="00321054"/>
    <w:rsid w:val="00321251"/>
    <w:rsid w:val="00321CF2"/>
    <w:rsid w:val="00321D49"/>
    <w:rsid w:val="00323442"/>
    <w:rsid w:val="003234CF"/>
    <w:rsid w:val="00323BD2"/>
    <w:rsid w:val="00324018"/>
    <w:rsid w:val="0032443C"/>
    <w:rsid w:val="003245F4"/>
    <w:rsid w:val="003246E9"/>
    <w:rsid w:val="00324AD0"/>
    <w:rsid w:val="00325057"/>
    <w:rsid w:val="00325390"/>
    <w:rsid w:val="00326444"/>
    <w:rsid w:val="003268CA"/>
    <w:rsid w:val="00326CA0"/>
    <w:rsid w:val="00326F00"/>
    <w:rsid w:val="00326F84"/>
    <w:rsid w:val="0033013F"/>
    <w:rsid w:val="00330670"/>
    <w:rsid w:val="00331984"/>
    <w:rsid w:val="00331E52"/>
    <w:rsid w:val="003333F8"/>
    <w:rsid w:val="003335E5"/>
    <w:rsid w:val="00333FA0"/>
    <w:rsid w:val="00334E92"/>
    <w:rsid w:val="00335797"/>
    <w:rsid w:val="00335C57"/>
    <w:rsid w:val="00335F0A"/>
    <w:rsid w:val="003362E9"/>
    <w:rsid w:val="00337062"/>
    <w:rsid w:val="00337838"/>
    <w:rsid w:val="003407F2"/>
    <w:rsid w:val="00341112"/>
    <w:rsid w:val="003426CA"/>
    <w:rsid w:val="00343FA1"/>
    <w:rsid w:val="00344241"/>
    <w:rsid w:val="0034499A"/>
    <w:rsid w:val="00344AAA"/>
    <w:rsid w:val="00344B0B"/>
    <w:rsid w:val="003458A4"/>
    <w:rsid w:val="003458E5"/>
    <w:rsid w:val="003460DB"/>
    <w:rsid w:val="00346B79"/>
    <w:rsid w:val="00346D43"/>
    <w:rsid w:val="00346E7D"/>
    <w:rsid w:val="00347A0B"/>
    <w:rsid w:val="003508DD"/>
    <w:rsid w:val="003519BC"/>
    <w:rsid w:val="00351E0B"/>
    <w:rsid w:val="00352E1A"/>
    <w:rsid w:val="00355AA2"/>
    <w:rsid w:val="00355E43"/>
    <w:rsid w:val="00355F3B"/>
    <w:rsid w:val="0035671F"/>
    <w:rsid w:val="00356A32"/>
    <w:rsid w:val="00356F2A"/>
    <w:rsid w:val="00357936"/>
    <w:rsid w:val="0036112D"/>
    <w:rsid w:val="003613E4"/>
    <w:rsid w:val="0036141B"/>
    <w:rsid w:val="003636E0"/>
    <w:rsid w:val="00364496"/>
    <w:rsid w:val="003646E6"/>
    <w:rsid w:val="00365C43"/>
    <w:rsid w:val="003666A1"/>
    <w:rsid w:val="003666FE"/>
    <w:rsid w:val="00366911"/>
    <w:rsid w:val="00366A23"/>
    <w:rsid w:val="00367236"/>
    <w:rsid w:val="00370FBB"/>
    <w:rsid w:val="00371867"/>
    <w:rsid w:val="0037269D"/>
    <w:rsid w:val="00372D6B"/>
    <w:rsid w:val="00373AAD"/>
    <w:rsid w:val="003741A5"/>
    <w:rsid w:val="003751DC"/>
    <w:rsid w:val="003753BA"/>
    <w:rsid w:val="00375716"/>
    <w:rsid w:val="00375D10"/>
    <w:rsid w:val="0037772B"/>
    <w:rsid w:val="00381521"/>
    <w:rsid w:val="00382B44"/>
    <w:rsid w:val="00383B28"/>
    <w:rsid w:val="00384073"/>
    <w:rsid w:val="003845D0"/>
    <w:rsid w:val="00385180"/>
    <w:rsid w:val="003852BB"/>
    <w:rsid w:val="00385353"/>
    <w:rsid w:val="003856D5"/>
    <w:rsid w:val="00386C35"/>
    <w:rsid w:val="00386D65"/>
    <w:rsid w:val="00387146"/>
    <w:rsid w:val="0038765A"/>
    <w:rsid w:val="003901DA"/>
    <w:rsid w:val="00390E11"/>
    <w:rsid w:val="003920C2"/>
    <w:rsid w:val="00392843"/>
    <w:rsid w:val="003936D7"/>
    <w:rsid w:val="00393B26"/>
    <w:rsid w:val="00393B5D"/>
    <w:rsid w:val="00395EEE"/>
    <w:rsid w:val="00396527"/>
    <w:rsid w:val="003968AE"/>
    <w:rsid w:val="00396E88"/>
    <w:rsid w:val="00397D39"/>
    <w:rsid w:val="003A0CB7"/>
    <w:rsid w:val="003A17BE"/>
    <w:rsid w:val="003A19EC"/>
    <w:rsid w:val="003A22BE"/>
    <w:rsid w:val="003A27CB"/>
    <w:rsid w:val="003A3274"/>
    <w:rsid w:val="003A4B39"/>
    <w:rsid w:val="003A4EF3"/>
    <w:rsid w:val="003A5351"/>
    <w:rsid w:val="003A56AD"/>
    <w:rsid w:val="003A58F8"/>
    <w:rsid w:val="003A625F"/>
    <w:rsid w:val="003A676C"/>
    <w:rsid w:val="003A6C30"/>
    <w:rsid w:val="003A6FFD"/>
    <w:rsid w:val="003A7E0C"/>
    <w:rsid w:val="003B033A"/>
    <w:rsid w:val="003B06BD"/>
    <w:rsid w:val="003B10E5"/>
    <w:rsid w:val="003B197F"/>
    <w:rsid w:val="003B37BC"/>
    <w:rsid w:val="003B5A6C"/>
    <w:rsid w:val="003B65FF"/>
    <w:rsid w:val="003B77F5"/>
    <w:rsid w:val="003B79ED"/>
    <w:rsid w:val="003C17CA"/>
    <w:rsid w:val="003C1FAA"/>
    <w:rsid w:val="003C20E4"/>
    <w:rsid w:val="003C2367"/>
    <w:rsid w:val="003C2537"/>
    <w:rsid w:val="003C2C83"/>
    <w:rsid w:val="003C3439"/>
    <w:rsid w:val="003C4A08"/>
    <w:rsid w:val="003C4C1E"/>
    <w:rsid w:val="003C5599"/>
    <w:rsid w:val="003C56DE"/>
    <w:rsid w:val="003C5F0F"/>
    <w:rsid w:val="003C6021"/>
    <w:rsid w:val="003C63B8"/>
    <w:rsid w:val="003C6DB8"/>
    <w:rsid w:val="003C7B06"/>
    <w:rsid w:val="003D0620"/>
    <w:rsid w:val="003D0B9F"/>
    <w:rsid w:val="003D1C77"/>
    <w:rsid w:val="003D2A0D"/>
    <w:rsid w:val="003D3C76"/>
    <w:rsid w:val="003D47DA"/>
    <w:rsid w:val="003D4BB6"/>
    <w:rsid w:val="003D4D9A"/>
    <w:rsid w:val="003E0D09"/>
    <w:rsid w:val="003E11DA"/>
    <w:rsid w:val="003E17A9"/>
    <w:rsid w:val="003E2255"/>
    <w:rsid w:val="003E275F"/>
    <w:rsid w:val="003E2BA3"/>
    <w:rsid w:val="003E2F73"/>
    <w:rsid w:val="003E3E9F"/>
    <w:rsid w:val="003E464E"/>
    <w:rsid w:val="003E4738"/>
    <w:rsid w:val="003E4A07"/>
    <w:rsid w:val="003E5155"/>
    <w:rsid w:val="003E52A5"/>
    <w:rsid w:val="003E69E2"/>
    <w:rsid w:val="003E71C9"/>
    <w:rsid w:val="003E7994"/>
    <w:rsid w:val="003E7F89"/>
    <w:rsid w:val="003F105E"/>
    <w:rsid w:val="003F1D70"/>
    <w:rsid w:val="003F2119"/>
    <w:rsid w:val="003F44D1"/>
    <w:rsid w:val="003F4768"/>
    <w:rsid w:val="003F4BE1"/>
    <w:rsid w:val="004002F8"/>
    <w:rsid w:val="00400525"/>
    <w:rsid w:val="00400526"/>
    <w:rsid w:val="00400BEF"/>
    <w:rsid w:val="0040140B"/>
    <w:rsid w:val="0040151F"/>
    <w:rsid w:val="00401CD6"/>
    <w:rsid w:val="00402621"/>
    <w:rsid w:val="00402DDA"/>
    <w:rsid w:val="00402F55"/>
    <w:rsid w:val="0040411F"/>
    <w:rsid w:val="00405F77"/>
    <w:rsid w:val="0041189F"/>
    <w:rsid w:val="004123AF"/>
    <w:rsid w:val="004148E7"/>
    <w:rsid w:val="00417F41"/>
    <w:rsid w:val="004206BF"/>
    <w:rsid w:val="00420D17"/>
    <w:rsid w:val="0042252F"/>
    <w:rsid w:val="004239EE"/>
    <w:rsid w:val="0042604E"/>
    <w:rsid w:val="004267FE"/>
    <w:rsid w:val="0042694B"/>
    <w:rsid w:val="00426B9A"/>
    <w:rsid w:val="00427452"/>
    <w:rsid w:val="0042781E"/>
    <w:rsid w:val="00432E86"/>
    <w:rsid w:val="00433185"/>
    <w:rsid w:val="004332FA"/>
    <w:rsid w:val="0043341E"/>
    <w:rsid w:val="00433F83"/>
    <w:rsid w:val="0043452F"/>
    <w:rsid w:val="00435E8C"/>
    <w:rsid w:val="00436739"/>
    <w:rsid w:val="004378ED"/>
    <w:rsid w:val="0044089A"/>
    <w:rsid w:val="0044097B"/>
    <w:rsid w:val="00440C7E"/>
    <w:rsid w:val="00442B94"/>
    <w:rsid w:val="00442D7B"/>
    <w:rsid w:val="00443C5A"/>
    <w:rsid w:val="00443F23"/>
    <w:rsid w:val="0044469E"/>
    <w:rsid w:val="004453F6"/>
    <w:rsid w:val="00445AE3"/>
    <w:rsid w:val="00445C0B"/>
    <w:rsid w:val="00446A11"/>
    <w:rsid w:val="00447EF0"/>
    <w:rsid w:val="00450225"/>
    <w:rsid w:val="00450E31"/>
    <w:rsid w:val="0045119F"/>
    <w:rsid w:val="004514A1"/>
    <w:rsid w:val="00452394"/>
    <w:rsid w:val="0045261E"/>
    <w:rsid w:val="00453586"/>
    <w:rsid w:val="00453ABE"/>
    <w:rsid w:val="00454464"/>
    <w:rsid w:val="004549D9"/>
    <w:rsid w:val="00455103"/>
    <w:rsid w:val="004555AC"/>
    <w:rsid w:val="00455B72"/>
    <w:rsid w:val="004565DA"/>
    <w:rsid w:val="004609B2"/>
    <w:rsid w:val="00460DBC"/>
    <w:rsid w:val="00461B75"/>
    <w:rsid w:val="00461F68"/>
    <w:rsid w:val="004627C9"/>
    <w:rsid w:val="00462D20"/>
    <w:rsid w:val="00462E93"/>
    <w:rsid w:val="00463115"/>
    <w:rsid w:val="00463541"/>
    <w:rsid w:val="004635DC"/>
    <w:rsid w:val="0046507F"/>
    <w:rsid w:val="00465AEC"/>
    <w:rsid w:val="00466281"/>
    <w:rsid w:val="00470220"/>
    <w:rsid w:val="00471A85"/>
    <w:rsid w:val="00473037"/>
    <w:rsid w:val="004746FA"/>
    <w:rsid w:val="00475600"/>
    <w:rsid w:val="00475A3A"/>
    <w:rsid w:val="004760EB"/>
    <w:rsid w:val="0047621F"/>
    <w:rsid w:val="00476B38"/>
    <w:rsid w:val="004773DF"/>
    <w:rsid w:val="004774F4"/>
    <w:rsid w:val="004777EA"/>
    <w:rsid w:val="004806ED"/>
    <w:rsid w:val="004811DB"/>
    <w:rsid w:val="00481BB5"/>
    <w:rsid w:val="00482185"/>
    <w:rsid w:val="00482D24"/>
    <w:rsid w:val="00483D71"/>
    <w:rsid w:val="00484F04"/>
    <w:rsid w:val="004853F3"/>
    <w:rsid w:val="00485828"/>
    <w:rsid w:val="004864F8"/>
    <w:rsid w:val="0048661D"/>
    <w:rsid w:val="00486EA2"/>
    <w:rsid w:val="004871FB"/>
    <w:rsid w:val="0048756A"/>
    <w:rsid w:val="00487660"/>
    <w:rsid w:val="004903AC"/>
    <w:rsid w:val="004919FE"/>
    <w:rsid w:val="00491C6C"/>
    <w:rsid w:val="0049258B"/>
    <w:rsid w:val="004929D9"/>
    <w:rsid w:val="004940E2"/>
    <w:rsid w:val="00494B98"/>
    <w:rsid w:val="00494D5A"/>
    <w:rsid w:val="004950A8"/>
    <w:rsid w:val="004950C9"/>
    <w:rsid w:val="00496BA0"/>
    <w:rsid w:val="0049718C"/>
    <w:rsid w:val="004979AA"/>
    <w:rsid w:val="00497B21"/>
    <w:rsid w:val="004A0517"/>
    <w:rsid w:val="004A05D2"/>
    <w:rsid w:val="004A213D"/>
    <w:rsid w:val="004A2830"/>
    <w:rsid w:val="004A3E18"/>
    <w:rsid w:val="004A3EDD"/>
    <w:rsid w:val="004A41E6"/>
    <w:rsid w:val="004A550B"/>
    <w:rsid w:val="004A5C59"/>
    <w:rsid w:val="004A6E57"/>
    <w:rsid w:val="004A735E"/>
    <w:rsid w:val="004A7CD6"/>
    <w:rsid w:val="004B1138"/>
    <w:rsid w:val="004B256A"/>
    <w:rsid w:val="004B279C"/>
    <w:rsid w:val="004B286E"/>
    <w:rsid w:val="004B2E28"/>
    <w:rsid w:val="004B3909"/>
    <w:rsid w:val="004B4536"/>
    <w:rsid w:val="004B4753"/>
    <w:rsid w:val="004B4E1B"/>
    <w:rsid w:val="004B50C6"/>
    <w:rsid w:val="004B53B2"/>
    <w:rsid w:val="004B5542"/>
    <w:rsid w:val="004B55FF"/>
    <w:rsid w:val="004B59F1"/>
    <w:rsid w:val="004C09DE"/>
    <w:rsid w:val="004C1615"/>
    <w:rsid w:val="004C1C6D"/>
    <w:rsid w:val="004C1EEA"/>
    <w:rsid w:val="004C3FB9"/>
    <w:rsid w:val="004C412D"/>
    <w:rsid w:val="004C5D6F"/>
    <w:rsid w:val="004C5FAB"/>
    <w:rsid w:val="004C637F"/>
    <w:rsid w:val="004C64B5"/>
    <w:rsid w:val="004C6CBC"/>
    <w:rsid w:val="004C6D33"/>
    <w:rsid w:val="004C71F9"/>
    <w:rsid w:val="004C7678"/>
    <w:rsid w:val="004D0050"/>
    <w:rsid w:val="004D1599"/>
    <w:rsid w:val="004D1F7B"/>
    <w:rsid w:val="004D25E1"/>
    <w:rsid w:val="004D2914"/>
    <w:rsid w:val="004D33DF"/>
    <w:rsid w:val="004D5BDF"/>
    <w:rsid w:val="004D6B6B"/>
    <w:rsid w:val="004D6E24"/>
    <w:rsid w:val="004D70C7"/>
    <w:rsid w:val="004D79B2"/>
    <w:rsid w:val="004E0750"/>
    <w:rsid w:val="004E2C40"/>
    <w:rsid w:val="004E302C"/>
    <w:rsid w:val="004E3395"/>
    <w:rsid w:val="004E3772"/>
    <w:rsid w:val="004E3B59"/>
    <w:rsid w:val="004E472F"/>
    <w:rsid w:val="004E4E65"/>
    <w:rsid w:val="004E6AE8"/>
    <w:rsid w:val="004E6D2F"/>
    <w:rsid w:val="004F030F"/>
    <w:rsid w:val="004F0B73"/>
    <w:rsid w:val="004F0C78"/>
    <w:rsid w:val="004F0FBD"/>
    <w:rsid w:val="004F1553"/>
    <w:rsid w:val="004F1642"/>
    <w:rsid w:val="004F1AA9"/>
    <w:rsid w:val="004F1D81"/>
    <w:rsid w:val="004F5472"/>
    <w:rsid w:val="0050062D"/>
    <w:rsid w:val="00500814"/>
    <w:rsid w:val="00500933"/>
    <w:rsid w:val="00501185"/>
    <w:rsid w:val="00502EF3"/>
    <w:rsid w:val="005036AC"/>
    <w:rsid w:val="00503A47"/>
    <w:rsid w:val="005044AB"/>
    <w:rsid w:val="005061BD"/>
    <w:rsid w:val="00506964"/>
    <w:rsid w:val="005070D6"/>
    <w:rsid w:val="00507C95"/>
    <w:rsid w:val="00510C4D"/>
    <w:rsid w:val="005122E9"/>
    <w:rsid w:val="005135D2"/>
    <w:rsid w:val="00514023"/>
    <w:rsid w:val="00514024"/>
    <w:rsid w:val="005154EF"/>
    <w:rsid w:val="00515626"/>
    <w:rsid w:val="00516A59"/>
    <w:rsid w:val="00517A5B"/>
    <w:rsid w:val="0052015F"/>
    <w:rsid w:val="005207D4"/>
    <w:rsid w:val="00520C9B"/>
    <w:rsid w:val="0052243C"/>
    <w:rsid w:val="005226DA"/>
    <w:rsid w:val="0052275D"/>
    <w:rsid w:val="00523F1F"/>
    <w:rsid w:val="005247E9"/>
    <w:rsid w:val="00524D35"/>
    <w:rsid w:val="00525205"/>
    <w:rsid w:val="0052523D"/>
    <w:rsid w:val="00525A67"/>
    <w:rsid w:val="00525BA9"/>
    <w:rsid w:val="00525E02"/>
    <w:rsid w:val="005261E5"/>
    <w:rsid w:val="00526424"/>
    <w:rsid w:val="005275C6"/>
    <w:rsid w:val="00530134"/>
    <w:rsid w:val="00530550"/>
    <w:rsid w:val="00532AE7"/>
    <w:rsid w:val="005332B0"/>
    <w:rsid w:val="00534560"/>
    <w:rsid w:val="00535745"/>
    <w:rsid w:val="005358F2"/>
    <w:rsid w:val="00536DB4"/>
    <w:rsid w:val="00537113"/>
    <w:rsid w:val="0054134E"/>
    <w:rsid w:val="005420D5"/>
    <w:rsid w:val="00542F8D"/>
    <w:rsid w:val="005431F6"/>
    <w:rsid w:val="0054349D"/>
    <w:rsid w:val="005434AF"/>
    <w:rsid w:val="005435AA"/>
    <w:rsid w:val="00545E76"/>
    <w:rsid w:val="005463E2"/>
    <w:rsid w:val="00547463"/>
    <w:rsid w:val="005479B4"/>
    <w:rsid w:val="00547A00"/>
    <w:rsid w:val="00547D32"/>
    <w:rsid w:val="005509FF"/>
    <w:rsid w:val="005513AB"/>
    <w:rsid w:val="0055185D"/>
    <w:rsid w:val="00552F2E"/>
    <w:rsid w:val="00552FE4"/>
    <w:rsid w:val="00553329"/>
    <w:rsid w:val="0055385D"/>
    <w:rsid w:val="00553FC2"/>
    <w:rsid w:val="00554A11"/>
    <w:rsid w:val="00554DC9"/>
    <w:rsid w:val="0055599F"/>
    <w:rsid w:val="00556693"/>
    <w:rsid w:val="0055752D"/>
    <w:rsid w:val="005579BE"/>
    <w:rsid w:val="00557F53"/>
    <w:rsid w:val="005604C6"/>
    <w:rsid w:val="00560DED"/>
    <w:rsid w:val="00562B2E"/>
    <w:rsid w:val="005631F4"/>
    <w:rsid w:val="00563FEF"/>
    <w:rsid w:val="00564077"/>
    <w:rsid w:val="0056484C"/>
    <w:rsid w:val="00565D7A"/>
    <w:rsid w:val="0056638D"/>
    <w:rsid w:val="00566C5D"/>
    <w:rsid w:val="00566DF8"/>
    <w:rsid w:val="005676C7"/>
    <w:rsid w:val="00567A68"/>
    <w:rsid w:val="0057023F"/>
    <w:rsid w:val="00571227"/>
    <w:rsid w:val="00571A57"/>
    <w:rsid w:val="00571D29"/>
    <w:rsid w:val="005729A7"/>
    <w:rsid w:val="00572FBE"/>
    <w:rsid w:val="005730A5"/>
    <w:rsid w:val="00573758"/>
    <w:rsid w:val="00573C0E"/>
    <w:rsid w:val="00574EFA"/>
    <w:rsid w:val="005756F0"/>
    <w:rsid w:val="00575DD5"/>
    <w:rsid w:val="005760CF"/>
    <w:rsid w:val="005765A1"/>
    <w:rsid w:val="00577766"/>
    <w:rsid w:val="0058013E"/>
    <w:rsid w:val="00580DBC"/>
    <w:rsid w:val="00582734"/>
    <w:rsid w:val="00582B1C"/>
    <w:rsid w:val="00582E6A"/>
    <w:rsid w:val="005832F1"/>
    <w:rsid w:val="00583468"/>
    <w:rsid w:val="00583E06"/>
    <w:rsid w:val="0058483B"/>
    <w:rsid w:val="00584EC4"/>
    <w:rsid w:val="005854CE"/>
    <w:rsid w:val="00585D40"/>
    <w:rsid w:val="00585FA3"/>
    <w:rsid w:val="005868AA"/>
    <w:rsid w:val="00586E06"/>
    <w:rsid w:val="00590113"/>
    <w:rsid w:val="005904E2"/>
    <w:rsid w:val="005914CC"/>
    <w:rsid w:val="00591925"/>
    <w:rsid w:val="00591DB6"/>
    <w:rsid w:val="005923A6"/>
    <w:rsid w:val="0059265D"/>
    <w:rsid w:val="005927DA"/>
    <w:rsid w:val="00592D0C"/>
    <w:rsid w:val="00593A59"/>
    <w:rsid w:val="00593EA2"/>
    <w:rsid w:val="00594671"/>
    <w:rsid w:val="005951A8"/>
    <w:rsid w:val="005952DB"/>
    <w:rsid w:val="00595E94"/>
    <w:rsid w:val="0059654C"/>
    <w:rsid w:val="00597860"/>
    <w:rsid w:val="00597A4B"/>
    <w:rsid w:val="00597F16"/>
    <w:rsid w:val="00597F8F"/>
    <w:rsid w:val="005A0A59"/>
    <w:rsid w:val="005A1570"/>
    <w:rsid w:val="005A2015"/>
    <w:rsid w:val="005A2B84"/>
    <w:rsid w:val="005A30CE"/>
    <w:rsid w:val="005A3385"/>
    <w:rsid w:val="005A46B8"/>
    <w:rsid w:val="005A4F4E"/>
    <w:rsid w:val="005A4F77"/>
    <w:rsid w:val="005A57E3"/>
    <w:rsid w:val="005A58A4"/>
    <w:rsid w:val="005A5D38"/>
    <w:rsid w:val="005A6556"/>
    <w:rsid w:val="005A7743"/>
    <w:rsid w:val="005A7C58"/>
    <w:rsid w:val="005B00FE"/>
    <w:rsid w:val="005B023C"/>
    <w:rsid w:val="005B0822"/>
    <w:rsid w:val="005B0A65"/>
    <w:rsid w:val="005B0EB4"/>
    <w:rsid w:val="005B276B"/>
    <w:rsid w:val="005B294C"/>
    <w:rsid w:val="005B34EB"/>
    <w:rsid w:val="005B3D82"/>
    <w:rsid w:val="005B575A"/>
    <w:rsid w:val="005B5B45"/>
    <w:rsid w:val="005B5EDB"/>
    <w:rsid w:val="005B7192"/>
    <w:rsid w:val="005C0243"/>
    <w:rsid w:val="005C0FA1"/>
    <w:rsid w:val="005C1786"/>
    <w:rsid w:val="005C197E"/>
    <w:rsid w:val="005C1A37"/>
    <w:rsid w:val="005C1EAF"/>
    <w:rsid w:val="005C4517"/>
    <w:rsid w:val="005C487C"/>
    <w:rsid w:val="005C51E6"/>
    <w:rsid w:val="005C5655"/>
    <w:rsid w:val="005C5C71"/>
    <w:rsid w:val="005C5D14"/>
    <w:rsid w:val="005C6283"/>
    <w:rsid w:val="005C6474"/>
    <w:rsid w:val="005C7DE0"/>
    <w:rsid w:val="005D10E1"/>
    <w:rsid w:val="005D138D"/>
    <w:rsid w:val="005D307B"/>
    <w:rsid w:val="005D3D42"/>
    <w:rsid w:val="005D3D94"/>
    <w:rsid w:val="005D4040"/>
    <w:rsid w:val="005D4BCA"/>
    <w:rsid w:val="005D55FA"/>
    <w:rsid w:val="005D56B4"/>
    <w:rsid w:val="005D5878"/>
    <w:rsid w:val="005D6615"/>
    <w:rsid w:val="005D71AC"/>
    <w:rsid w:val="005D7F25"/>
    <w:rsid w:val="005E01AF"/>
    <w:rsid w:val="005E1087"/>
    <w:rsid w:val="005E1762"/>
    <w:rsid w:val="005E2A40"/>
    <w:rsid w:val="005E2C93"/>
    <w:rsid w:val="005E3FE1"/>
    <w:rsid w:val="005E4D32"/>
    <w:rsid w:val="005E6388"/>
    <w:rsid w:val="005E6444"/>
    <w:rsid w:val="005E6778"/>
    <w:rsid w:val="005E6CC9"/>
    <w:rsid w:val="005E766F"/>
    <w:rsid w:val="005F07E3"/>
    <w:rsid w:val="005F1717"/>
    <w:rsid w:val="005F1A9F"/>
    <w:rsid w:val="005F2290"/>
    <w:rsid w:val="005F2954"/>
    <w:rsid w:val="005F2C0E"/>
    <w:rsid w:val="005F2C4A"/>
    <w:rsid w:val="005F3F7D"/>
    <w:rsid w:val="005F408D"/>
    <w:rsid w:val="005F42E3"/>
    <w:rsid w:val="005F509A"/>
    <w:rsid w:val="005F5793"/>
    <w:rsid w:val="005F6F90"/>
    <w:rsid w:val="005F7215"/>
    <w:rsid w:val="005F7B15"/>
    <w:rsid w:val="005F7FC1"/>
    <w:rsid w:val="0060012C"/>
    <w:rsid w:val="00600291"/>
    <w:rsid w:val="00600465"/>
    <w:rsid w:val="006015D7"/>
    <w:rsid w:val="00601B15"/>
    <w:rsid w:val="00602BFE"/>
    <w:rsid w:val="006032AA"/>
    <w:rsid w:val="006036CD"/>
    <w:rsid w:val="00603C5F"/>
    <w:rsid w:val="00603D4D"/>
    <w:rsid w:val="00603E7D"/>
    <w:rsid w:val="006054C9"/>
    <w:rsid w:val="00606A01"/>
    <w:rsid w:val="00607522"/>
    <w:rsid w:val="006112B2"/>
    <w:rsid w:val="00611A7A"/>
    <w:rsid w:val="00613766"/>
    <w:rsid w:val="00613832"/>
    <w:rsid w:val="00613FA7"/>
    <w:rsid w:val="00613FF2"/>
    <w:rsid w:val="00615158"/>
    <w:rsid w:val="00615EBB"/>
    <w:rsid w:val="006163DC"/>
    <w:rsid w:val="00617DCA"/>
    <w:rsid w:val="0062009D"/>
    <w:rsid w:val="006208E9"/>
    <w:rsid w:val="00620CF9"/>
    <w:rsid w:val="00620DE8"/>
    <w:rsid w:val="00621DC3"/>
    <w:rsid w:val="00621ED5"/>
    <w:rsid w:val="006227FC"/>
    <w:rsid w:val="0062537B"/>
    <w:rsid w:val="006254BD"/>
    <w:rsid w:val="00625527"/>
    <w:rsid w:val="00625993"/>
    <w:rsid w:val="00626AED"/>
    <w:rsid w:val="006271AB"/>
    <w:rsid w:val="00627C5F"/>
    <w:rsid w:val="00627C65"/>
    <w:rsid w:val="00630D56"/>
    <w:rsid w:val="006314F9"/>
    <w:rsid w:val="00631BB4"/>
    <w:rsid w:val="00632B85"/>
    <w:rsid w:val="00633579"/>
    <w:rsid w:val="00633716"/>
    <w:rsid w:val="00633C5A"/>
    <w:rsid w:val="0063483C"/>
    <w:rsid w:val="006356D1"/>
    <w:rsid w:val="006361AD"/>
    <w:rsid w:val="00636A37"/>
    <w:rsid w:val="00636BBA"/>
    <w:rsid w:val="00637762"/>
    <w:rsid w:val="0064072F"/>
    <w:rsid w:val="00640C9F"/>
    <w:rsid w:val="00641112"/>
    <w:rsid w:val="00641AEB"/>
    <w:rsid w:val="00642176"/>
    <w:rsid w:val="00642C99"/>
    <w:rsid w:val="0064310D"/>
    <w:rsid w:val="00644142"/>
    <w:rsid w:val="00644B46"/>
    <w:rsid w:val="00645678"/>
    <w:rsid w:val="00645CC2"/>
    <w:rsid w:val="00645D2D"/>
    <w:rsid w:val="00645F52"/>
    <w:rsid w:val="006466E9"/>
    <w:rsid w:val="00647B26"/>
    <w:rsid w:val="00650083"/>
    <w:rsid w:val="00651C1B"/>
    <w:rsid w:val="00653210"/>
    <w:rsid w:val="00653273"/>
    <w:rsid w:val="00653562"/>
    <w:rsid w:val="00653A1B"/>
    <w:rsid w:val="006546BD"/>
    <w:rsid w:val="006563A0"/>
    <w:rsid w:val="00656592"/>
    <w:rsid w:val="0065756E"/>
    <w:rsid w:val="00661DF1"/>
    <w:rsid w:val="006624BE"/>
    <w:rsid w:val="00662CDE"/>
    <w:rsid w:val="00663A49"/>
    <w:rsid w:val="0066555F"/>
    <w:rsid w:val="0066587C"/>
    <w:rsid w:val="00665A36"/>
    <w:rsid w:val="00666908"/>
    <w:rsid w:val="00666D9F"/>
    <w:rsid w:val="00667B1C"/>
    <w:rsid w:val="00670169"/>
    <w:rsid w:val="00670608"/>
    <w:rsid w:val="00671163"/>
    <w:rsid w:val="0067127F"/>
    <w:rsid w:val="00671CF5"/>
    <w:rsid w:val="006727C4"/>
    <w:rsid w:val="00672A80"/>
    <w:rsid w:val="0067343A"/>
    <w:rsid w:val="00673D32"/>
    <w:rsid w:val="00674167"/>
    <w:rsid w:val="00674BAC"/>
    <w:rsid w:val="00674E81"/>
    <w:rsid w:val="00675937"/>
    <w:rsid w:val="00677588"/>
    <w:rsid w:val="0067786D"/>
    <w:rsid w:val="00680A5F"/>
    <w:rsid w:val="0068192E"/>
    <w:rsid w:val="00681A8A"/>
    <w:rsid w:val="00682AB5"/>
    <w:rsid w:val="0068371A"/>
    <w:rsid w:val="00683D78"/>
    <w:rsid w:val="00683DF4"/>
    <w:rsid w:val="006846A7"/>
    <w:rsid w:val="006846C5"/>
    <w:rsid w:val="006849C1"/>
    <w:rsid w:val="00684C76"/>
    <w:rsid w:val="00684EC0"/>
    <w:rsid w:val="00685035"/>
    <w:rsid w:val="00685C58"/>
    <w:rsid w:val="00685D1B"/>
    <w:rsid w:val="00686007"/>
    <w:rsid w:val="00686756"/>
    <w:rsid w:val="00686EF8"/>
    <w:rsid w:val="00686FA9"/>
    <w:rsid w:val="006904BC"/>
    <w:rsid w:val="006905BF"/>
    <w:rsid w:val="00690D9C"/>
    <w:rsid w:val="006922B2"/>
    <w:rsid w:val="00692547"/>
    <w:rsid w:val="00693AE2"/>
    <w:rsid w:val="00694FE4"/>
    <w:rsid w:val="00695BE8"/>
    <w:rsid w:val="00697493"/>
    <w:rsid w:val="006A0BE7"/>
    <w:rsid w:val="006A0F9E"/>
    <w:rsid w:val="006A1007"/>
    <w:rsid w:val="006A1EB1"/>
    <w:rsid w:val="006A406D"/>
    <w:rsid w:val="006A4553"/>
    <w:rsid w:val="006A4737"/>
    <w:rsid w:val="006A57EE"/>
    <w:rsid w:val="006A6C32"/>
    <w:rsid w:val="006B03F0"/>
    <w:rsid w:val="006B0563"/>
    <w:rsid w:val="006B0BD1"/>
    <w:rsid w:val="006B1315"/>
    <w:rsid w:val="006B332C"/>
    <w:rsid w:val="006B36E2"/>
    <w:rsid w:val="006B3924"/>
    <w:rsid w:val="006B47BA"/>
    <w:rsid w:val="006B51A6"/>
    <w:rsid w:val="006B553C"/>
    <w:rsid w:val="006B5F4F"/>
    <w:rsid w:val="006B61CD"/>
    <w:rsid w:val="006B6E1D"/>
    <w:rsid w:val="006B768A"/>
    <w:rsid w:val="006B7C7D"/>
    <w:rsid w:val="006C060F"/>
    <w:rsid w:val="006C18CC"/>
    <w:rsid w:val="006C2712"/>
    <w:rsid w:val="006C3B42"/>
    <w:rsid w:val="006C4F39"/>
    <w:rsid w:val="006C5C35"/>
    <w:rsid w:val="006C6683"/>
    <w:rsid w:val="006C6EF2"/>
    <w:rsid w:val="006C7B39"/>
    <w:rsid w:val="006D07F8"/>
    <w:rsid w:val="006D0844"/>
    <w:rsid w:val="006D1440"/>
    <w:rsid w:val="006D255C"/>
    <w:rsid w:val="006D25F8"/>
    <w:rsid w:val="006D27C7"/>
    <w:rsid w:val="006D2851"/>
    <w:rsid w:val="006D2C1B"/>
    <w:rsid w:val="006D307C"/>
    <w:rsid w:val="006D31E6"/>
    <w:rsid w:val="006D3822"/>
    <w:rsid w:val="006D3E00"/>
    <w:rsid w:val="006D3F18"/>
    <w:rsid w:val="006D4273"/>
    <w:rsid w:val="006D6369"/>
    <w:rsid w:val="006D679A"/>
    <w:rsid w:val="006D6FDE"/>
    <w:rsid w:val="006D7FAC"/>
    <w:rsid w:val="006E0E76"/>
    <w:rsid w:val="006E1881"/>
    <w:rsid w:val="006E1A32"/>
    <w:rsid w:val="006E2674"/>
    <w:rsid w:val="006E2C52"/>
    <w:rsid w:val="006E3A02"/>
    <w:rsid w:val="006E3F78"/>
    <w:rsid w:val="006E6798"/>
    <w:rsid w:val="006E67B7"/>
    <w:rsid w:val="006E6840"/>
    <w:rsid w:val="006E7450"/>
    <w:rsid w:val="006E75D8"/>
    <w:rsid w:val="006E7A30"/>
    <w:rsid w:val="006F00C2"/>
    <w:rsid w:val="006F0AEC"/>
    <w:rsid w:val="006F1206"/>
    <w:rsid w:val="006F16E2"/>
    <w:rsid w:val="006F177C"/>
    <w:rsid w:val="006F2CBE"/>
    <w:rsid w:val="006F3F16"/>
    <w:rsid w:val="006F4F8B"/>
    <w:rsid w:val="006F56E0"/>
    <w:rsid w:val="006F58B2"/>
    <w:rsid w:val="006F5B11"/>
    <w:rsid w:val="006F5CF0"/>
    <w:rsid w:val="006F6DBD"/>
    <w:rsid w:val="006F786F"/>
    <w:rsid w:val="006F7A5E"/>
    <w:rsid w:val="006F7E50"/>
    <w:rsid w:val="007000F5"/>
    <w:rsid w:val="00700AD5"/>
    <w:rsid w:val="00700B75"/>
    <w:rsid w:val="007014C9"/>
    <w:rsid w:val="00701A3F"/>
    <w:rsid w:val="007027DD"/>
    <w:rsid w:val="007028A5"/>
    <w:rsid w:val="00702DCD"/>
    <w:rsid w:val="00702F50"/>
    <w:rsid w:val="007035B1"/>
    <w:rsid w:val="007037CF"/>
    <w:rsid w:val="00703AB8"/>
    <w:rsid w:val="00703ADD"/>
    <w:rsid w:val="007041DF"/>
    <w:rsid w:val="007041EF"/>
    <w:rsid w:val="00704458"/>
    <w:rsid w:val="007047F0"/>
    <w:rsid w:val="0070493D"/>
    <w:rsid w:val="00705EE7"/>
    <w:rsid w:val="00706473"/>
    <w:rsid w:val="00707186"/>
    <w:rsid w:val="00707403"/>
    <w:rsid w:val="007105AF"/>
    <w:rsid w:val="00710697"/>
    <w:rsid w:val="0071090B"/>
    <w:rsid w:val="00710A4A"/>
    <w:rsid w:val="00710EA5"/>
    <w:rsid w:val="00711810"/>
    <w:rsid w:val="00711AD4"/>
    <w:rsid w:val="00711D1A"/>
    <w:rsid w:val="007127E7"/>
    <w:rsid w:val="0071282C"/>
    <w:rsid w:val="0071297D"/>
    <w:rsid w:val="007147D1"/>
    <w:rsid w:val="00716DFD"/>
    <w:rsid w:val="0071724F"/>
    <w:rsid w:val="007202F0"/>
    <w:rsid w:val="00720BF7"/>
    <w:rsid w:val="00720F17"/>
    <w:rsid w:val="00722FDB"/>
    <w:rsid w:val="00723CC1"/>
    <w:rsid w:val="00724925"/>
    <w:rsid w:val="00724AE8"/>
    <w:rsid w:val="00724DD1"/>
    <w:rsid w:val="007251F4"/>
    <w:rsid w:val="00725622"/>
    <w:rsid w:val="00730CD6"/>
    <w:rsid w:val="00731D6F"/>
    <w:rsid w:val="00731F46"/>
    <w:rsid w:val="0073331A"/>
    <w:rsid w:val="007336B9"/>
    <w:rsid w:val="0073385D"/>
    <w:rsid w:val="00734CEA"/>
    <w:rsid w:val="00734CEC"/>
    <w:rsid w:val="00736301"/>
    <w:rsid w:val="0073666F"/>
    <w:rsid w:val="00736904"/>
    <w:rsid w:val="00736AEF"/>
    <w:rsid w:val="00736C2F"/>
    <w:rsid w:val="0073710A"/>
    <w:rsid w:val="0074205A"/>
    <w:rsid w:val="0074290D"/>
    <w:rsid w:val="00742BD4"/>
    <w:rsid w:val="007435E6"/>
    <w:rsid w:val="007442AA"/>
    <w:rsid w:val="007448DD"/>
    <w:rsid w:val="00745410"/>
    <w:rsid w:val="00745B83"/>
    <w:rsid w:val="00745D41"/>
    <w:rsid w:val="00746217"/>
    <w:rsid w:val="007500FF"/>
    <w:rsid w:val="00750362"/>
    <w:rsid w:val="007505C3"/>
    <w:rsid w:val="00750D37"/>
    <w:rsid w:val="0075172D"/>
    <w:rsid w:val="007529FB"/>
    <w:rsid w:val="00752B7A"/>
    <w:rsid w:val="0075302E"/>
    <w:rsid w:val="00753263"/>
    <w:rsid w:val="007547DC"/>
    <w:rsid w:val="00754DB3"/>
    <w:rsid w:val="00755C94"/>
    <w:rsid w:val="00756238"/>
    <w:rsid w:val="00756ED9"/>
    <w:rsid w:val="0075735F"/>
    <w:rsid w:val="00760527"/>
    <w:rsid w:val="007616AC"/>
    <w:rsid w:val="00761D10"/>
    <w:rsid w:val="00761DEC"/>
    <w:rsid w:val="00762388"/>
    <w:rsid w:val="00762837"/>
    <w:rsid w:val="00762B3D"/>
    <w:rsid w:val="00763266"/>
    <w:rsid w:val="00763975"/>
    <w:rsid w:val="00764859"/>
    <w:rsid w:val="00764F21"/>
    <w:rsid w:val="00766168"/>
    <w:rsid w:val="00766198"/>
    <w:rsid w:val="00766602"/>
    <w:rsid w:val="00766F91"/>
    <w:rsid w:val="0077022A"/>
    <w:rsid w:val="00771A8E"/>
    <w:rsid w:val="00771C58"/>
    <w:rsid w:val="00771E8D"/>
    <w:rsid w:val="00774B84"/>
    <w:rsid w:val="00774DEA"/>
    <w:rsid w:val="007754D5"/>
    <w:rsid w:val="007756F2"/>
    <w:rsid w:val="007758BD"/>
    <w:rsid w:val="007760EF"/>
    <w:rsid w:val="00776B3B"/>
    <w:rsid w:val="00776EF7"/>
    <w:rsid w:val="007803F7"/>
    <w:rsid w:val="007830A3"/>
    <w:rsid w:val="007837E8"/>
    <w:rsid w:val="00784025"/>
    <w:rsid w:val="00784559"/>
    <w:rsid w:val="0078506E"/>
    <w:rsid w:val="007862B6"/>
    <w:rsid w:val="0078736A"/>
    <w:rsid w:val="0079030F"/>
    <w:rsid w:val="00790736"/>
    <w:rsid w:val="007909FE"/>
    <w:rsid w:val="00791BF6"/>
    <w:rsid w:val="007929E2"/>
    <w:rsid w:val="00793F49"/>
    <w:rsid w:val="00794F12"/>
    <w:rsid w:val="00795A41"/>
    <w:rsid w:val="007969C3"/>
    <w:rsid w:val="00796C58"/>
    <w:rsid w:val="007A0FD1"/>
    <w:rsid w:val="007A1235"/>
    <w:rsid w:val="007A2507"/>
    <w:rsid w:val="007A26E0"/>
    <w:rsid w:val="007A376E"/>
    <w:rsid w:val="007A3770"/>
    <w:rsid w:val="007A3F5C"/>
    <w:rsid w:val="007A62C1"/>
    <w:rsid w:val="007A64C0"/>
    <w:rsid w:val="007A6530"/>
    <w:rsid w:val="007B12CF"/>
    <w:rsid w:val="007B15D6"/>
    <w:rsid w:val="007B23EE"/>
    <w:rsid w:val="007B250B"/>
    <w:rsid w:val="007B2D46"/>
    <w:rsid w:val="007B40C6"/>
    <w:rsid w:val="007B4937"/>
    <w:rsid w:val="007B4D36"/>
    <w:rsid w:val="007B4FEB"/>
    <w:rsid w:val="007B584D"/>
    <w:rsid w:val="007B5AA1"/>
    <w:rsid w:val="007B5BA5"/>
    <w:rsid w:val="007B62B7"/>
    <w:rsid w:val="007B7628"/>
    <w:rsid w:val="007B775A"/>
    <w:rsid w:val="007B7AB1"/>
    <w:rsid w:val="007B7ED8"/>
    <w:rsid w:val="007C0107"/>
    <w:rsid w:val="007C043A"/>
    <w:rsid w:val="007C12C9"/>
    <w:rsid w:val="007C1F08"/>
    <w:rsid w:val="007C1FE5"/>
    <w:rsid w:val="007C3BC2"/>
    <w:rsid w:val="007C47E3"/>
    <w:rsid w:val="007C4AE5"/>
    <w:rsid w:val="007C56F3"/>
    <w:rsid w:val="007C7039"/>
    <w:rsid w:val="007C70CD"/>
    <w:rsid w:val="007C7497"/>
    <w:rsid w:val="007C7F35"/>
    <w:rsid w:val="007D04EB"/>
    <w:rsid w:val="007D0F7D"/>
    <w:rsid w:val="007D157B"/>
    <w:rsid w:val="007D16C3"/>
    <w:rsid w:val="007D286F"/>
    <w:rsid w:val="007D38DB"/>
    <w:rsid w:val="007D3D24"/>
    <w:rsid w:val="007D3EB0"/>
    <w:rsid w:val="007D7807"/>
    <w:rsid w:val="007E025E"/>
    <w:rsid w:val="007E0669"/>
    <w:rsid w:val="007E1BFB"/>
    <w:rsid w:val="007E1E85"/>
    <w:rsid w:val="007E1EAC"/>
    <w:rsid w:val="007E3FE3"/>
    <w:rsid w:val="007E507B"/>
    <w:rsid w:val="007E53A2"/>
    <w:rsid w:val="007E56D5"/>
    <w:rsid w:val="007E64E6"/>
    <w:rsid w:val="007E6A5B"/>
    <w:rsid w:val="007E721A"/>
    <w:rsid w:val="007E7E22"/>
    <w:rsid w:val="007F03F1"/>
    <w:rsid w:val="007F0868"/>
    <w:rsid w:val="007F151F"/>
    <w:rsid w:val="007F1908"/>
    <w:rsid w:val="007F209C"/>
    <w:rsid w:val="007F2132"/>
    <w:rsid w:val="007F410E"/>
    <w:rsid w:val="007F4441"/>
    <w:rsid w:val="007F44D5"/>
    <w:rsid w:val="007F5029"/>
    <w:rsid w:val="007F62EB"/>
    <w:rsid w:val="007F708A"/>
    <w:rsid w:val="007F70B6"/>
    <w:rsid w:val="007F76B3"/>
    <w:rsid w:val="0080028E"/>
    <w:rsid w:val="00800EED"/>
    <w:rsid w:val="008018B2"/>
    <w:rsid w:val="00802093"/>
    <w:rsid w:val="00802265"/>
    <w:rsid w:val="00802963"/>
    <w:rsid w:val="00803452"/>
    <w:rsid w:val="00803933"/>
    <w:rsid w:val="00803C01"/>
    <w:rsid w:val="00805313"/>
    <w:rsid w:val="008055A8"/>
    <w:rsid w:val="00805FEB"/>
    <w:rsid w:val="00806155"/>
    <w:rsid w:val="008069E3"/>
    <w:rsid w:val="00807602"/>
    <w:rsid w:val="0080788D"/>
    <w:rsid w:val="00812204"/>
    <w:rsid w:val="008129E1"/>
    <w:rsid w:val="00812AAA"/>
    <w:rsid w:val="00812E6E"/>
    <w:rsid w:val="008136AF"/>
    <w:rsid w:val="00813FFE"/>
    <w:rsid w:val="008148A4"/>
    <w:rsid w:val="00815125"/>
    <w:rsid w:val="00815B60"/>
    <w:rsid w:val="0081696D"/>
    <w:rsid w:val="00816987"/>
    <w:rsid w:val="00816E81"/>
    <w:rsid w:val="00816F0F"/>
    <w:rsid w:val="008175DD"/>
    <w:rsid w:val="00817C0D"/>
    <w:rsid w:val="00821569"/>
    <w:rsid w:val="00823C57"/>
    <w:rsid w:val="008240A8"/>
    <w:rsid w:val="00826765"/>
    <w:rsid w:val="00827DC8"/>
    <w:rsid w:val="008303E3"/>
    <w:rsid w:val="00830434"/>
    <w:rsid w:val="0083073D"/>
    <w:rsid w:val="00830F2F"/>
    <w:rsid w:val="00830F6E"/>
    <w:rsid w:val="0083145F"/>
    <w:rsid w:val="00831752"/>
    <w:rsid w:val="00831BD6"/>
    <w:rsid w:val="008320F7"/>
    <w:rsid w:val="0083341E"/>
    <w:rsid w:val="0083538F"/>
    <w:rsid w:val="00835A19"/>
    <w:rsid w:val="00835A6B"/>
    <w:rsid w:val="00835AE5"/>
    <w:rsid w:val="00837201"/>
    <w:rsid w:val="00837445"/>
    <w:rsid w:val="0083753E"/>
    <w:rsid w:val="00840003"/>
    <w:rsid w:val="008410C6"/>
    <w:rsid w:val="008411B9"/>
    <w:rsid w:val="00841977"/>
    <w:rsid w:val="0084351C"/>
    <w:rsid w:val="0084365B"/>
    <w:rsid w:val="00843BE0"/>
    <w:rsid w:val="0084465D"/>
    <w:rsid w:val="008448BE"/>
    <w:rsid w:val="00844AFD"/>
    <w:rsid w:val="00844BCC"/>
    <w:rsid w:val="00846912"/>
    <w:rsid w:val="00847824"/>
    <w:rsid w:val="00847F13"/>
    <w:rsid w:val="00850319"/>
    <w:rsid w:val="00850E77"/>
    <w:rsid w:val="008514CB"/>
    <w:rsid w:val="00853B10"/>
    <w:rsid w:val="00854274"/>
    <w:rsid w:val="0085430E"/>
    <w:rsid w:val="00854521"/>
    <w:rsid w:val="00854715"/>
    <w:rsid w:val="00854FE3"/>
    <w:rsid w:val="008577B2"/>
    <w:rsid w:val="0086053D"/>
    <w:rsid w:val="00860854"/>
    <w:rsid w:val="00860871"/>
    <w:rsid w:val="0086244B"/>
    <w:rsid w:val="00862BB4"/>
    <w:rsid w:val="00863552"/>
    <w:rsid w:val="008639C0"/>
    <w:rsid w:val="00863CE4"/>
    <w:rsid w:val="00863D5F"/>
    <w:rsid w:val="008643A8"/>
    <w:rsid w:val="00865460"/>
    <w:rsid w:val="00866453"/>
    <w:rsid w:val="00866EB5"/>
    <w:rsid w:val="00867734"/>
    <w:rsid w:val="00870335"/>
    <w:rsid w:val="008705CC"/>
    <w:rsid w:val="0087070F"/>
    <w:rsid w:val="00870FAA"/>
    <w:rsid w:val="008723F0"/>
    <w:rsid w:val="00872A57"/>
    <w:rsid w:val="0087355B"/>
    <w:rsid w:val="00875182"/>
    <w:rsid w:val="00875955"/>
    <w:rsid w:val="008759E0"/>
    <w:rsid w:val="00877480"/>
    <w:rsid w:val="00877AFC"/>
    <w:rsid w:val="00881C48"/>
    <w:rsid w:val="00882891"/>
    <w:rsid w:val="00882910"/>
    <w:rsid w:val="00882A68"/>
    <w:rsid w:val="008836B9"/>
    <w:rsid w:val="00883D28"/>
    <w:rsid w:val="0088468E"/>
    <w:rsid w:val="00884FE5"/>
    <w:rsid w:val="008857B8"/>
    <w:rsid w:val="008864A2"/>
    <w:rsid w:val="00890070"/>
    <w:rsid w:val="00890578"/>
    <w:rsid w:val="008905D0"/>
    <w:rsid w:val="0089097F"/>
    <w:rsid w:val="00890F0F"/>
    <w:rsid w:val="008910B1"/>
    <w:rsid w:val="0089249A"/>
    <w:rsid w:val="00892B84"/>
    <w:rsid w:val="00893E04"/>
    <w:rsid w:val="00894286"/>
    <w:rsid w:val="0089462A"/>
    <w:rsid w:val="00894D07"/>
    <w:rsid w:val="00895E56"/>
    <w:rsid w:val="0089651D"/>
    <w:rsid w:val="00896AA2"/>
    <w:rsid w:val="00896FA6"/>
    <w:rsid w:val="00897271"/>
    <w:rsid w:val="008A14B5"/>
    <w:rsid w:val="008A14C1"/>
    <w:rsid w:val="008A16F6"/>
    <w:rsid w:val="008A21D8"/>
    <w:rsid w:val="008A247A"/>
    <w:rsid w:val="008A272B"/>
    <w:rsid w:val="008A2DCC"/>
    <w:rsid w:val="008A30A6"/>
    <w:rsid w:val="008A30B3"/>
    <w:rsid w:val="008A34F7"/>
    <w:rsid w:val="008A3932"/>
    <w:rsid w:val="008A43F5"/>
    <w:rsid w:val="008A49C6"/>
    <w:rsid w:val="008A5BE7"/>
    <w:rsid w:val="008A5D09"/>
    <w:rsid w:val="008A6131"/>
    <w:rsid w:val="008A6F0B"/>
    <w:rsid w:val="008A7196"/>
    <w:rsid w:val="008A727F"/>
    <w:rsid w:val="008B25CA"/>
    <w:rsid w:val="008B2BEB"/>
    <w:rsid w:val="008B4283"/>
    <w:rsid w:val="008B44C6"/>
    <w:rsid w:val="008B4661"/>
    <w:rsid w:val="008B4AF3"/>
    <w:rsid w:val="008B4EAE"/>
    <w:rsid w:val="008B5879"/>
    <w:rsid w:val="008B6107"/>
    <w:rsid w:val="008B7005"/>
    <w:rsid w:val="008B7835"/>
    <w:rsid w:val="008C0044"/>
    <w:rsid w:val="008C039D"/>
    <w:rsid w:val="008C0986"/>
    <w:rsid w:val="008C18E8"/>
    <w:rsid w:val="008C3227"/>
    <w:rsid w:val="008C3438"/>
    <w:rsid w:val="008C46E6"/>
    <w:rsid w:val="008C5735"/>
    <w:rsid w:val="008C5B86"/>
    <w:rsid w:val="008C5EFF"/>
    <w:rsid w:val="008C606D"/>
    <w:rsid w:val="008C78FE"/>
    <w:rsid w:val="008C7982"/>
    <w:rsid w:val="008D0A0E"/>
    <w:rsid w:val="008D0BC7"/>
    <w:rsid w:val="008D0F07"/>
    <w:rsid w:val="008D1CCD"/>
    <w:rsid w:val="008D2431"/>
    <w:rsid w:val="008D3019"/>
    <w:rsid w:val="008D6943"/>
    <w:rsid w:val="008D6D31"/>
    <w:rsid w:val="008D7FD7"/>
    <w:rsid w:val="008E00B3"/>
    <w:rsid w:val="008E02C9"/>
    <w:rsid w:val="008E0801"/>
    <w:rsid w:val="008E1C97"/>
    <w:rsid w:val="008E1CCB"/>
    <w:rsid w:val="008E1D20"/>
    <w:rsid w:val="008E2565"/>
    <w:rsid w:val="008E290A"/>
    <w:rsid w:val="008E2A00"/>
    <w:rsid w:val="008E2A88"/>
    <w:rsid w:val="008E2E2E"/>
    <w:rsid w:val="008E2FF2"/>
    <w:rsid w:val="008E34AB"/>
    <w:rsid w:val="008E48D9"/>
    <w:rsid w:val="008E4A63"/>
    <w:rsid w:val="008E5148"/>
    <w:rsid w:val="008E5948"/>
    <w:rsid w:val="008E5BD4"/>
    <w:rsid w:val="008E5FA5"/>
    <w:rsid w:val="008E6958"/>
    <w:rsid w:val="008E7CE9"/>
    <w:rsid w:val="008F0FAF"/>
    <w:rsid w:val="008F12BA"/>
    <w:rsid w:val="008F1CDF"/>
    <w:rsid w:val="008F20C3"/>
    <w:rsid w:val="008F21B0"/>
    <w:rsid w:val="008F2EB4"/>
    <w:rsid w:val="008F4267"/>
    <w:rsid w:val="008F48E2"/>
    <w:rsid w:val="008F70A7"/>
    <w:rsid w:val="008F78EE"/>
    <w:rsid w:val="00900D2D"/>
    <w:rsid w:val="009013BE"/>
    <w:rsid w:val="00901C42"/>
    <w:rsid w:val="00902852"/>
    <w:rsid w:val="00904021"/>
    <w:rsid w:val="00904291"/>
    <w:rsid w:val="00904B13"/>
    <w:rsid w:val="00904B6E"/>
    <w:rsid w:val="0090698A"/>
    <w:rsid w:val="00906CB5"/>
    <w:rsid w:val="0091050D"/>
    <w:rsid w:val="00911417"/>
    <w:rsid w:val="009118A5"/>
    <w:rsid w:val="009139CC"/>
    <w:rsid w:val="00913A10"/>
    <w:rsid w:val="0091498D"/>
    <w:rsid w:val="00914A35"/>
    <w:rsid w:val="00914E74"/>
    <w:rsid w:val="009151B4"/>
    <w:rsid w:val="009154A5"/>
    <w:rsid w:val="00916126"/>
    <w:rsid w:val="00916249"/>
    <w:rsid w:val="0091752A"/>
    <w:rsid w:val="0092100F"/>
    <w:rsid w:val="00921667"/>
    <w:rsid w:val="0092224F"/>
    <w:rsid w:val="009230D2"/>
    <w:rsid w:val="009244A5"/>
    <w:rsid w:val="00924FE5"/>
    <w:rsid w:val="00926485"/>
    <w:rsid w:val="00926C4D"/>
    <w:rsid w:val="00927CF3"/>
    <w:rsid w:val="00927ECE"/>
    <w:rsid w:val="009301DC"/>
    <w:rsid w:val="00930A77"/>
    <w:rsid w:val="00931188"/>
    <w:rsid w:val="00931958"/>
    <w:rsid w:val="00931F51"/>
    <w:rsid w:val="009321A1"/>
    <w:rsid w:val="009331C9"/>
    <w:rsid w:val="009336CD"/>
    <w:rsid w:val="0093376E"/>
    <w:rsid w:val="00933A3A"/>
    <w:rsid w:val="00934623"/>
    <w:rsid w:val="00934917"/>
    <w:rsid w:val="00935313"/>
    <w:rsid w:val="0093593F"/>
    <w:rsid w:val="00935F9E"/>
    <w:rsid w:val="00940396"/>
    <w:rsid w:val="00940419"/>
    <w:rsid w:val="009407EC"/>
    <w:rsid w:val="00940AF3"/>
    <w:rsid w:val="00940F23"/>
    <w:rsid w:val="00941232"/>
    <w:rsid w:val="00941F62"/>
    <w:rsid w:val="009440AB"/>
    <w:rsid w:val="00944692"/>
    <w:rsid w:val="00944D82"/>
    <w:rsid w:val="009451F1"/>
    <w:rsid w:val="00945873"/>
    <w:rsid w:val="009458FD"/>
    <w:rsid w:val="0094680F"/>
    <w:rsid w:val="00946D0E"/>
    <w:rsid w:val="009478A7"/>
    <w:rsid w:val="00950573"/>
    <w:rsid w:val="00950D4E"/>
    <w:rsid w:val="0095165A"/>
    <w:rsid w:val="009539A8"/>
    <w:rsid w:val="00953E5C"/>
    <w:rsid w:val="00955362"/>
    <w:rsid w:val="009557D0"/>
    <w:rsid w:val="009566E5"/>
    <w:rsid w:val="00957964"/>
    <w:rsid w:val="009609BD"/>
    <w:rsid w:val="00960B42"/>
    <w:rsid w:val="00960B8F"/>
    <w:rsid w:val="009611C2"/>
    <w:rsid w:val="009620DE"/>
    <w:rsid w:val="0096243A"/>
    <w:rsid w:val="00962CFA"/>
    <w:rsid w:val="009635F3"/>
    <w:rsid w:val="00963D62"/>
    <w:rsid w:val="00964359"/>
    <w:rsid w:val="00964686"/>
    <w:rsid w:val="00964C47"/>
    <w:rsid w:val="00964D76"/>
    <w:rsid w:val="00965502"/>
    <w:rsid w:val="00965D80"/>
    <w:rsid w:val="00966C49"/>
    <w:rsid w:val="00966EEE"/>
    <w:rsid w:val="00967C2C"/>
    <w:rsid w:val="00970078"/>
    <w:rsid w:val="0097058F"/>
    <w:rsid w:val="00970D02"/>
    <w:rsid w:val="00970DBF"/>
    <w:rsid w:val="009721EB"/>
    <w:rsid w:val="00973360"/>
    <w:rsid w:val="00973826"/>
    <w:rsid w:val="00975304"/>
    <w:rsid w:val="00975CEA"/>
    <w:rsid w:val="00975D1C"/>
    <w:rsid w:val="00975E49"/>
    <w:rsid w:val="00975F84"/>
    <w:rsid w:val="00976636"/>
    <w:rsid w:val="00976835"/>
    <w:rsid w:val="00977213"/>
    <w:rsid w:val="009805D2"/>
    <w:rsid w:val="0098104F"/>
    <w:rsid w:val="0098175B"/>
    <w:rsid w:val="009830EB"/>
    <w:rsid w:val="00983E02"/>
    <w:rsid w:val="00984140"/>
    <w:rsid w:val="00984737"/>
    <w:rsid w:val="009847F9"/>
    <w:rsid w:val="009853EE"/>
    <w:rsid w:val="00985635"/>
    <w:rsid w:val="009902B1"/>
    <w:rsid w:val="00990F64"/>
    <w:rsid w:val="00991D30"/>
    <w:rsid w:val="009920FC"/>
    <w:rsid w:val="0099216E"/>
    <w:rsid w:val="00992CF8"/>
    <w:rsid w:val="00992DD8"/>
    <w:rsid w:val="00993781"/>
    <w:rsid w:val="00994E70"/>
    <w:rsid w:val="0099507E"/>
    <w:rsid w:val="009954F3"/>
    <w:rsid w:val="0099621E"/>
    <w:rsid w:val="00996C3E"/>
    <w:rsid w:val="0099732F"/>
    <w:rsid w:val="00997BA5"/>
    <w:rsid w:val="00997FC5"/>
    <w:rsid w:val="009A0176"/>
    <w:rsid w:val="009A0F0F"/>
    <w:rsid w:val="009A15A6"/>
    <w:rsid w:val="009A3571"/>
    <w:rsid w:val="009A4E97"/>
    <w:rsid w:val="009A695B"/>
    <w:rsid w:val="009A6975"/>
    <w:rsid w:val="009A6A70"/>
    <w:rsid w:val="009A6BD6"/>
    <w:rsid w:val="009A6CCB"/>
    <w:rsid w:val="009A6D33"/>
    <w:rsid w:val="009A7B6A"/>
    <w:rsid w:val="009B02F0"/>
    <w:rsid w:val="009B0C12"/>
    <w:rsid w:val="009B13BE"/>
    <w:rsid w:val="009B14CC"/>
    <w:rsid w:val="009B1D0B"/>
    <w:rsid w:val="009B1F0C"/>
    <w:rsid w:val="009B2D87"/>
    <w:rsid w:val="009B316B"/>
    <w:rsid w:val="009B35A0"/>
    <w:rsid w:val="009B389E"/>
    <w:rsid w:val="009B3C61"/>
    <w:rsid w:val="009B5A05"/>
    <w:rsid w:val="009B5C10"/>
    <w:rsid w:val="009B61DF"/>
    <w:rsid w:val="009B623E"/>
    <w:rsid w:val="009B6A3A"/>
    <w:rsid w:val="009B6F26"/>
    <w:rsid w:val="009C0818"/>
    <w:rsid w:val="009C1296"/>
    <w:rsid w:val="009C364A"/>
    <w:rsid w:val="009C39A5"/>
    <w:rsid w:val="009C4A68"/>
    <w:rsid w:val="009C50D7"/>
    <w:rsid w:val="009C5BDF"/>
    <w:rsid w:val="009C611D"/>
    <w:rsid w:val="009C68E8"/>
    <w:rsid w:val="009D04F4"/>
    <w:rsid w:val="009D16C7"/>
    <w:rsid w:val="009D376A"/>
    <w:rsid w:val="009D4756"/>
    <w:rsid w:val="009D4CF2"/>
    <w:rsid w:val="009D56FC"/>
    <w:rsid w:val="009D5F06"/>
    <w:rsid w:val="009D62B8"/>
    <w:rsid w:val="009D6C62"/>
    <w:rsid w:val="009D74C1"/>
    <w:rsid w:val="009D77EF"/>
    <w:rsid w:val="009E00EF"/>
    <w:rsid w:val="009E057F"/>
    <w:rsid w:val="009E0953"/>
    <w:rsid w:val="009E122A"/>
    <w:rsid w:val="009E1396"/>
    <w:rsid w:val="009E33F3"/>
    <w:rsid w:val="009E3690"/>
    <w:rsid w:val="009E3959"/>
    <w:rsid w:val="009E4954"/>
    <w:rsid w:val="009E5D4A"/>
    <w:rsid w:val="009E5F53"/>
    <w:rsid w:val="009E6112"/>
    <w:rsid w:val="009E6AA0"/>
    <w:rsid w:val="009E791A"/>
    <w:rsid w:val="009E7F0E"/>
    <w:rsid w:val="009F08B2"/>
    <w:rsid w:val="009F08C4"/>
    <w:rsid w:val="009F2D34"/>
    <w:rsid w:val="009F4A5B"/>
    <w:rsid w:val="009F50F2"/>
    <w:rsid w:val="009F5CBF"/>
    <w:rsid w:val="009F62E1"/>
    <w:rsid w:val="009F6C31"/>
    <w:rsid w:val="009F6D40"/>
    <w:rsid w:val="009F71B6"/>
    <w:rsid w:val="009F71D4"/>
    <w:rsid w:val="00A02BA6"/>
    <w:rsid w:val="00A031F1"/>
    <w:rsid w:val="00A03409"/>
    <w:rsid w:val="00A03711"/>
    <w:rsid w:val="00A04BA6"/>
    <w:rsid w:val="00A05045"/>
    <w:rsid w:val="00A051E2"/>
    <w:rsid w:val="00A057C7"/>
    <w:rsid w:val="00A060D7"/>
    <w:rsid w:val="00A0614C"/>
    <w:rsid w:val="00A06675"/>
    <w:rsid w:val="00A06B80"/>
    <w:rsid w:val="00A07351"/>
    <w:rsid w:val="00A10196"/>
    <w:rsid w:val="00A115FD"/>
    <w:rsid w:val="00A1190F"/>
    <w:rsid w:val="00A122C4"/>
    <w:rsid w:val="00A13801"/>
    <w:rsid w:val="00A13D6A"/>
    <w:rsid w:val="00A14143"/>
    <w:rsid w:val="00A147C3"/>
    <w:rsid w:val="00A14AB9"/>
    <w:rsid w:val="00A15991"/>
    <w:rsid w:val="00A15EDB"/>
    <w:rsid w:val="00A162CC"/>
    <w:rsid w:val="00A162EA"/>
    <w:rsid w:val="00A16FF0"/>
    <w:rsid w:val="00A17637"/>
    <w:rsid w:val="00A176C8"/>
    <w:rsid w:val="00A17A69"/>
    <w:rsid w:val="00A17DC5"/>
    <w:rsid w:val="00A202F1"/>
    <w:rsid w:val="00A20838"/>
    <w:rsid w:val="00A2140B"/>
    <w:rsid w:val="00A2354D"/>
    <w:rsid w:val="00A23CF8"/>
    <w:rsid w:val="00A25A28"/>
    <w:rsid w:val="00A25B99"/>
    <w:rsid w:val="00A25CAA"/>
    <w:rsid w:val="00A26540"/>
    <w:rsid w:val="00A2749A"/>
    <w:rsid w:val="00A27837"/>
    <w:rsid w:val="00A27D0B"/>
    <w:rsid w:val="00A30680"/>
    <w:rsid w:val="00A312FF"/>
    <w:rsid w:val="00A31695"/>
    <w:rsid w:val="00A31944"/>
    <w:rsid w:val="00A31A80"/>
    <w:rsid w:val="00A32003"/>
    <w:rsid w:val="00A32045"/>
    <w:rsid w:val="00A333AC"/>
    <w:rsid w:val="00A3397C"/>
    <w:rsid w:val="00A34297"/>
    <w:rsid w:val="00A35BBF"/>
    <w:rsid w:val="00A35FE2"/>
    <w:rsid w:val="00A36CD1"/>
    <w:rsid w:val="00A37218"/>
    <w:rsid w:val="00A409FB"/>
    <w:rsid w:val="00A4140B"/>
    <w:rsid w:val="00A41D54"/>
    <w:rsid w:val="00A42800"/>
    <w:rsid w:val="00A42A3F"/>
    <w:rsid w:val="00A4456E"/>
    <w:rsid w:val="00A449CE"/>
    <w:rsid w:val="00A44E56"/>
    <w:rsid w:val="00A44F1F"/>
    <w:rsid w:val="00A464DF"/>
    <w:rsid w:val="00A46DB4"/>
    <w:rsid w:val="00A50F49"/>
    <w:rsid w:val="00A51BF5"/>
    <w:rsid w:val="00A52055"/>
    <w:rsid w:val="00A520DF"/>
    <w:rsid w:val="00A52C3D"/>
    <w:rsid w:val="00A52CC6"/>
    <w:rsid w:val="00A530FB"/>
    <w:rsid w:val="00A53748"/>
    <w:rsid w:val="00A53C3A"/>
    <w:rsid w:val="00A541EC"/>
    <w:rsid w:val="00A542C1"/>
    <w:rsid w:val="00A54486"/>
    <w:rsid w:val="00A54C9E"/>
    <w:rsid w:val="00A56702"/>
    <w:rsid w:val="00A56A97"/>
    <w:rsid w:val="00A572D7"/>
    <w:rsid w:val="00A6077E"/>
    <w:rsid w:val="00A61DE7"/>
    <w:rsid w:val="00A62200"/>
    <w:rsid w:val="00A6278B"/>
    <w:rsid w:val="00A628A3"/>
    <w:rsid w:val="00A62F18"/>
    <w:rsid w:val="00A63335"/>
    <w:rsid w:val="00A63541"/>
    <w:rsid w:val="00A63A9F"/>
    <w:rsid w:val="00A641F5"/>
    <w:rsid w:val="00A646E1"/>
    <w:rsid w:val="00A64C21"/>
    <w:rsid w:val="00A64E57"/>
    <w:rsid w:val="00A654DD"/>
    <w:rsid w:val="00A65C18"/>
    <w:rsid w:val="00A6723D"/>
    <w:rsid w:val="00A67DE2"/>
    <w:rsid w:val="00A70DD4"/>
    <w:rsid w:val="00A71A90"/>
    <w:rsid w:val="00A71F02"/>
    <w:rsid w:val="00A72520"/>
    <w:rsid w:val="00A7284B"/>
    <w:rsid w:val="00A730F5"/>
    <w:rsid w:val="00A734F8"/>
    <w:rsid w:val="00A73A58"/>
    <w:rsid w:val="00A74F10"/>
    <w:rsid w:val="00A74F37"/>
    <w:rsid w:val="00A779EC"/>
    <w:rsid w:val="00A8014A"/>
    <w:rsid w:val="00A8028E"/>
    <w:rsid w:val="00A803C9"/>
    <w:rsid w:val="00A8067E"/>
    <w:rsid w:val="00A80C35"/>
    <w:rsid w:val="00A80D74"/>
    <w:rsid w:val="00A81EFB"/>
    <w:rsid w:val="00A82740"/>
    <w:rsid w:val="00A833BA"/>
    <w:rsid w:val="00A83B82"/>
    <w:rsid w:val="00A84046"/>
    <w:rsid w:val="00A84701"/>
    <w:rsid w:val="00A87063"/>
    <w:rsid w:val="00A87212"/>
    <w:rsid w:val="00A87E5C"/>
    <w:rsid w:val="00A90800"/>
    <w:rsid w:val="00A9086A"/>
    <w:rsid w:val="00A90E04"/>
    <w:rsid w:val="00A90EC0"/>
    <w:rsid w:val="00A9186B"/>
    <w:rsid w:val="00A91FB0"/>
    <w:rsid w:val="00A92758"/>
    <w:rsid w:val="00A930C6"/>
    <w:rsid w:val="00A95182"/>
    <w:rsid w:val="00A9543E"/>
    <w:rsid w:val="00A95AAD"/>
    <w:rsid w:val="00A9684C"/>
    <w:rsid w:val="00A9698A"/>
    <w:rsid w:val="00A96B1C"/>
    <w:rsid w:val="00A96F04"/>
    <w:rsid w:val="00A96FE6"/>
    <w:rsid w:val="00A971D0"/>
    <w:rsid w:val="00AA0082"/>
    <w:rsid w:val="00AA0102"/>
    <w:rsid w:val="00AA09A6"/>
    <w:rsid w:val="00AA0DA3"/>
    <w:rsid w:val="00AA2C2F"/>
    <w:rsid w:val="00AA3911"/>
    <w:rsid w:val="00AA392C"/>
    <w:rsid w:val="00AA3C7F"/>
    <w:rsid w:val="00AA4901"/>
    <w:rsid w:val="00AA4E78"/>
    <w:rsid w:val="00AA5004"/>
    <w:rsid w:val="00AA53D4"/>
    <w:rsid w:val="00AA63C6"/>
    <w:rsid w:val="00AA6AB9"/>
    <w:rsid w:val="00AA6FB3"/>
    <w:rsid w:val="00AA7B7E"/>
    <w:rsid w:val="00AB065C"/>
    <w:rsid w:val="00AB0B7D"/>
    <w:rsid w:val="00AB0C6B"/>
    <w:rsid w:val="00AB178C"/>
    <w:rsid w:val="00AB24E4"/>
    <w:rsid w:val="00AB253D"/>
    <w:rsid w:val="00AB4705"/>
    <w:rsid w:val="00AB4927"/>
    <w:rsid w:val="00AB538B"/>
    <w:rsid w:val="00AB5898"/>
    <w:rsid w:val="00AB5B13"/>
    <w:rsid w:val="00AB5C5B"/>
    <w:rsid w:val="00AB5D22"/>
    <w:rsid w:val="00AB7296"/>
    <w:rsid w:val="00AB75B9"/>
    <w:rsid w:val="00AB7F5D"/>
    <w:rsid w:val="00AB7FB8"/>
    <w:rsid w:val="00AC04F4"/>
    <w:rsid w:val="00AC05E3"/>
    <w:rsid w:val="00AC19BB"/>
    <w:rsid w:val="00AC1F5D"/>
    <w:rsid w:val="00AC25DA"/>
    <w:rsid w:val="00AC26AE"/>
    <w:rsid w:val="00AC2F6A"/>
    <w:rsid w:val="00AC398E"/>
    <w:rsid w:val="00AC39E4"/>
    <w:rsid w:val="00AC3C4C"/>
    <w:rsid w:val="00AC3F39"/>
    <w:rsid w:val="00AC4AA6"/>
    <w:rsid w:val="00AC4D44"/>
    <w:rsid w:val="00AC4EAC"/>
    <w:rsid w:val="00AC5BDC"/>
    <w:rsid w:val="00AC6672"/>
    <w:rsid w:val="00AC694D"/>
    <w:rsid w:val="00AC70F4"/>
    <w:rsid w:val="00AC749D"/>
    <w:rsid w:val="00AD0326"/>
    <w:rsid w:val="00AD04BF"/>
    <w:rsid w:val="00AD0CB1"/>
    <w:rsid w:val="00AD14F6"/>
    <w:rsid w:val="00AD1851"/>
    <w:rsid w:val="00AD1AB4"/>
    <w:rsid w:val="00AD3E59"/>
    <w:rsid w:val="00AD52F3"/>
    <w:rsid w:val="00AD71F1"/>
    <w:rsid w:val="00AD7915"/>
    <w:rsid w:val="00AE0108"/>
    <w:rsid w:val="00AE06F9"/>
    <w:rsid w:val="00AE124A"/>
    <w:rsid w:val="00AE1BF5"/>
    <w:rsid w:val="00AE24D3"/>
    <w:rsid w:val="00AE3E66"/>
    <w:rsid w:val="00AE52C9"/>
    <w:rsid w:val="00AE723B"/>
    <w:rsid w:val="00AE7268"/>
    <w:rsid w:val="00AE7773"/>
    <w:rsid w:val="00AE7A1A"/>
    <w:rsid w:val="00AF138C"/>
    <w:rsid w:val="00AF1B26"/>
    <w:rsid w:val="00AF1EF1"/>
    <w:rsid w:val="00AF2DA0"/>
    <w:rsid w:val="00AF3037"/>
    <w:rsid w:val="00AF3CCF"/>
    <w:rsid w:val="00AF44B5"/>
    <w:rsid w:val="00AF5747"/>
    <w:rsid w:val="00AF65CD"/>
    <w:rsid w:val="00AF6FFF"/>
    <w:rsid w:val="00AF77DF"/>
    <w:rsid w:val="00AF7942"/>
    <w:rsid w:val="00B00308"/>
    <w:rsid w:val="00B01118"/>
    <w:rsid w:val="00B011AB"/>
    <w:rsid w:val="00B01259"/>
    <w:rsid w:val="00B0268C"/>
    <w:rsid w:val="00B03A0D"/>
    <w:rsid w:val="00B04118"/>
    <w:rsid w:val="00B048B5"/>
    <w:rsid w:val="00B048EF"/>
    <w:rsid w:val="00B06E45"/>
    <w:rsid w:val="00B12573"/>
    <w:rsid w:val="00B1366D"/>
    <w:rsid w:val="00B14E07"/>
    <w:rsid w:val="00B14E73"/>
    <w:rsid w:val="00B152AC"/>
    <w:rsid w:val="00B15F95"/>
    <w:rsid w:val="00B1655E"/>
    <w:rsid w:val="00B1691D"/>
    <w:rsid w:val="00B16ADA"/>
    <w:rsid w:val="00B17663"/>
    <w:rsid w:val="00B17CC8"/>
    <w:rsid w:val="00B20383"/>
    <w:rsid w:val="00B20DDA"/>
    <w:rsid w:val="00B21F6F"/>
    <w:rsid w:val="00B222DA"/>
    <w:rsid w:val="00B23ADF"/>
    <w:rsid w:val="00B23E92"/>
    <w:rsid w:val="00B24185"/>
    <w:rsid w:val="00B25672"/>
    <w:rsid w:val="00B25A58"/>
    <w:rsid w:val="00B25EBC"/>
    <w:rsid w:val="00B26B9A"/>
    <w:rsid w:val="00B26F5B"/>
    <w:rsid w:val="00B270BE"/>
    <w:rsid w:val="00B27153"/>
    <w:rsid w:val="00B278E9"/>
    <w:rsid w:val="00B27F07"/>
    <w:rsid w:val="00B30EE2"/>
    <w:rsid w:val="00B310E6"/>
    <w:rsid w:val="00B31360"/>
    <w:rsid w:val="00B31906"/>
    <w:rsid w:val="00B3212B"/>
    <w:rsid w:val="00B33D90"/>
    <w:rsid w:val="00B34028"/>
    <w:rsid w:val="00B348DB"/>
    <w:rsid w:val="00B34CE3"/>
    <w:rsid w:val="00B34FB9"/>
    <w:rsid w:val="00B35164"/>
    <w:rsid w:val="00B35E1F"/>
    <w:rsid w:val="00B369D3"/>
    <w:rsid w:val="00B37864"/>
    <w:rsid w:val="00B37BCB"/>
    <w:rsid w:val="00B40717"/>
    <w:rsid w:val="00B42212"/>
    <w:rsid w:val="00B4231E"/>
    <w:rsid w:val="00B4238F"/>
    <w:rsid w:val="00B426A4"/>
    <w:rsid w:val="00B4419E"/>
    <w:rsid w:val="00B44CF5"/>
    <w:rsid w:val="00B468F4"/>
    <w:rsid w:val="00B4700E"/>
    <w:rsid w:val="00B50352"/>
    <w:rsid w:val="00B50935"/>
    <w:rsid w:val="00B50C5A"/>
    <w:rsid w:val="00B5144D"/>
    <w:rsid w:val="00B51719"/>
    <w:rsid w:val="00B518A6"/>
    <w:rsid w:val="00B52DBF"/>
    <w:rsid w:val="00B52E8A"/>
    <w:rsid w:val="00B55237"/>
    <w:rsid w:val="00B55F04"/>
    <w:rsid w:val="00B56C4C"/>
    <w:rsid w:val="00B5777C"/>
    <w:rsid w:val="00B60CC9"/>
    <w:rsid w:val="00B6204B"/>
    <w:rsid w:val="00B6380A"/>
    <w:rsid w:val="00B63FCC"/>
    <w:rsid w:val="00B64FD0"/>
    <w:rsid w:val="00B6520F"/>
    <w:rsid w:val="00B65F05"/>
    <w:rsid w:val="00B6695B"/>
    <w:rsid w:val="00B66DBC"/>
    <w:rsid w:val="00B67231"/>
    <w:rsid w:val="00B6754D"/>
    <w:rsid w:val="00B71B9E"/>
    <w:rsid w:val="00B72500"/>
    <w:rsid w:val="00B73552"/>
    <w:rsid w:val="00B740F9"/>
    <w:rsid w:val="00B74E1E"/>
    <w:rsid w:val="00B76AC0"/>
    <w:rsid w:val="00B77847"/>
    <w:rsid w:val="00B77E70"/>
    <w:rsid w:val="00B80B15"/>
    <w:rsid w:val="00B8185A"/>
    <w:rsid w:val="00B81FD9"/>
    <w:rsid w:val="00B82D26"/>
    <w:rsid w:val="00B83F40"/>
    <w:rsid w:val="00B845DE"/>
    <w:rsid w:val="00B84A2A"/>
    <w:rsid w:val="00B85084"/>
    <w:rsid w:val="00B875FB"/>
    <w:rsid w:val="00B87A3A"/>
    <w:rsid w:val="00B87DFF"/>
    <w:rsid w:val="00B90110"/>
    <w:rsid w:val="00B90E16"/>
    <w:rsid w:val="00B91564"/>
    <w:rsid w:val="00B922F9"/>
    <w:rsid w:val="00B926F3"/>
    <w:rsid w:val="00B92D17"/>
    <w:rsid w:val="00B937B6"/>
    <w:rsid w:val="00B93ECD"/>
    <w:rsid w:val="00B94EE0"/>
    <w:rsid w:val="00B950FE"/>
    <w:rsid w:val="00B95ACA"/>
    <w:rsid w:val="00B9647D"/>
    <w:rsid w:val="00B96A71"/>
    <w:rsid w:val="00B970EC"/>
    <w:rsid w:val="00B97191"/>
    <w:rsid w:val="00B97CB3"/>
    <w:rsid w:val="00B97F89"/>
    <w:rsid w:val="00BA0594"/>
    <w:rsid w:val="00BA1348"/>
    <w:rsid w:val="00BA2111"/>
    <w:rsid w:val="00BA2633"/>
    <w:rsid w:val="00BA3173"/>
    <w:rsid w:val="00BA34A6"/>
    <w:rsid w:val="00BA473B"/>
    <w:rsid w:val="00BA4ADF"/>
    <w:rsid w:val="00BA4E9A"/>
    <w:rsid w:val="00BA613F"/>
    <w:rsid w:val="00BA6EBA"/>
    <w:rsid w:val="00BB1B5D"/>
    <w:rsid w:val="00BB27C1"/>
    <w:rsid w:val="00BB2F94"/>
    <w:rsid w:val="00BB3041"/>
    <w:rsid w:val="00BB3804"/>
    <w:rsid w:val="00BB43E5"/>
    <w:rsid w:val="00BB47C3"/>
    <w:rsid w:val="00BB47DB"/>
    <w:rsid w:val="00BB4982"/>
    <w:rsid w:val="00BB4CFD"/>
    <w:rsid w:val="00BB56C0"/>
    <w:rsid w:val="00BB6BF3"/>
    <w:rsid w:val="00BB700E"/>
    <w:rsid w:val="00BB792B"/>
    <w:rsid w:val="00BB7EAE"/>
    <w:rsid w:val="00BC00E0"/>
    <w:rsid w:val="00BC0BE1"/>
    <w:rsid w:val="00BC0EE9"/>
    <w:rsid w:val="00BC0FDF"/>
    <w:rsid w:val="00BC13FF"/>
    <w:rsid w:val="00BC1471"/>
    <w:rsid w:val="00BC169B"/>
    <w:rsid w:val="00BC1FB0"/>
    <w:rsid w:val="00BC2054"/>
    <w:rsid w:val="00BC251E"/>
    <w:rsid w:val="00BC341D"/>
    <w:rsid w:val="00BC35AC"/>
    <w:rsid w:val="00BC3BF0"/>
    <w:rsid w:val="00BC4621"/>
    <w:rsid w:val="00BC4E1F"/>
    <w:rsid w:val="00BC5B89"/>
    <w:rsid w:val="00BC72BF"/>
    <w:rsid w:val="00BC7653"/>
    <w:rsid w:val="00BC7C53"/>
    <w:rsid w:val="00BD0B1F"/>
    <w:rsid w:val="00BD3DC4"/>
    <w:rsid w:val="00BD4526"/>
    <w:rsid w:val="00BD47A2"/>
    <w:rsid w:val="00BD5665"/>
    <w:rsid w:val="00BD60CB"/>
    <w:rsid w:val="00BD7949"/>
    <w:rsid w:val="00BD797D"/>
    <w:rsid w:val="00BD7D1A"/>
    <w:rsid w:val="00BE03B0"/>
    <w:rsid w:val="00BE0CFD"/>
    <w:rsid w:val="00BE0EE5"/>
    <w:rsid w:val="00BE1267"/>
    <w:rsid w:val="00BE15E1"/>
    <w:rsid w:val="00BE24DF"/>
    <w:rsid w:val="00BE2712"/>
    <w:rsid w:val="00BE3143"/>
    <w:rsid w:val="00BE373A"/>
    <w:rsid w:val="00BE4B1D"/>
    <w:rsid w:val="00BE5BCA"/>
    <w:rsid w:val="00BE5D36"/>
    <w:rsid w:val="00BE7402"/>
    <w:rsid w:val="00BF00B5"/>
    <w:rsid w:val="00BF025B"/>
    <w:rsid w:val="00BF08C7"/>
    <w:rsid w:val="00BF0FBB"/>
    <w:rsid w:val="00BF10D4"/>
    <w:rsid w:val="00BF2149"/>
    <w:rsid w:val="00BF2473"/>
    <w:rsid w:val="00BF2B2C"/>
    <w:rsid w:val="00BF30C0"/>
    <w:rsid w:val="00BF3605"/>
    <w:rsid w:val="00BF558F"/>
    <w:rsid w:val="00C000FA"/>
    <w:rsid w:val="00C00809"/>
    <w:rsid w:val="00C02111"/>
    <w:rsid w:val="00C02CBA"/>
    <w:rsid w:val="00C032CE"/>
    <w:rsid w:val="00C035DC"/>
    <w:rsid w:val="00C042A5"/>
    <w:rsid w:val="00C04372"/>
    <w:rsid w:val="00C05CE6"/>
    <w:rsid w:val="00C064C8"/>
    <w:rsid w:val="00C079AA"/>
    <w:rsid w:val="00C07D99"/>
    <w:rsid w:val="00C10534"/>
    <w:rsid w:val="00C113F5"/>
    <w:rsid w:val="00C117A4"/>
    <w:rsid w:val="00C11E3D"/>
    <w:rsid w:val="00C12282"/>
    <w:rsid w:val="00C12ADC"/>
    <w:rsid w:val="00C138FB"/>
    <w:rsid w:val="00C14893"/>
    <w:rsid w:val="00C15364"/>
    <w:rsid w:val="00C1544E"/>
    <w:rsid w:val="00C157E1"/>
    <w:rsid w:val="00C15C01"/>
    <w:rsid w:val="00C16BDE"/>
    <w:rsid w:val="00C16C8A"/>
    <w:rsid w:val="00C2079B"/>
    <w:rsid w:val="00C20D79"/>
    <w:rsid w:val="00C21E7B"/>
    <w:rsid w:val="00C221A8"/>
    <w:rsid w:val="00C22695"/>
    <w:rsid w:val="00C22D22"/>
    <w:rsid w:val="00C23484"/>
    <w:rsid w:val="00C2348C"/>
    <w:rsid w:val="00C23EB4"/>
    <w:rsid w:val="00C2466E"/>
    <w:rsid w:val="00C24B94"/>
    <w:rsid w:val="00C25C4E"/>
    <w:rsid w:val="00C261F2"/>
    <w:rsid w:val="00C27E03"/>
    <w:rsid w:val="00C302D2"/>
    <w:rsid w:val="00C30A0A"/>
    <w:rsid w:val="00C31091"/>
    <w:rsid w:val="00C3146F"/>
    <w:rsid w:val="00C31931"/>
    <w:rsid w:val="00C3226F"/>
    <w:rsid w:val="00C3297B"/>
    <w:rsid w:val="00C32AA6"/>
    <w:rsid w:val="00C33026"/>
    <w:rsid w:val="00C33831"/>
    <w:rsid w:val="00C34652"/>
    <w:rsid w:val="00C36094"/>
    <w:rsid w:val="00C36445"/>
    <w:rsid w:val="00C37582"/>
    <w:rsid w:val="00C4001A"/>
    <w:rsid w:val="00C400F6"/>
    <w:rsid w:val="00C406A8"/>
    <w:rsid w:val="00C40E8B"/>
    <w:rsid w:val="00C40FFE"/>
    <w:rsid w:val="00C41134"/>
    <w:rsid w:val="00C4178D"/>
    <w:rsid w:val="00C42446"/>
    <w:rsid w:val="00C425CC"/>
    <w:rsid w:val="00C42C21"/>
    <w:rsid w:val="00C42DA4"/>
    <w:rsid w:val="00C443D0"/>
    <w:rsid w:val="00C44917"/>
    <w:rsid w:val="00C44CEC"/>
    <w:rsid w:val="00C4599D"/>
    <w:rsid w:val="00C459C4"/>
    <w:rsid w:val="00C47337"/>
    <w:rsid w:val="00C4784A"/>
    <w:rsid w:val="00C47E62"/>
    <w:rsid w:val="00C503AC"/>
    <w:rsid w:val="00C50CDA"/>
    <w:rsid w:val="00C52478"/>
    <w:rsid w:val="00C52C38"/>
    <w:rsid w:val="00C534FF"/>
    <w:rsid w:val="00C54618"/>
    <w:rsid w:val="00C54E9C"/>
    <w:rsid w:val="00C5566A"/>
    <w:rsid w:val="00C5592D"/>
    <w:rsid w:val="00C5603E"/>
    <w:rsid w:val="00C565F8"/>
    <w:rsid w:val="00C56B30"/>
    <w:rsid w:val="00C56DD3"/>
    <w:rsid w:val="00C62ABD"/>
    <w:rsid w:val="00C62D20"/>
    <w:rsid w:val="00C62D47"/>
    <w:rsid w:val="00C6311F"/>
    <w:rsid w:val="00C63DCF"/>
    <w:rsid w:val="00C63FC5"/>
    <w:rsid w:val="00C64113"/>
    <w:rsid w:val="00C650AB"/>
    <w:rsid w:val="00C652A8"/>
    <w:rsid w:val="00C659E6"/>
    <w:rsid w:val="00C66058"/>
    <w:rsid w:val="00C67F04"/>
    <w:rsid w:val="00C70599"/>
    <w:rsid w:val="00C713D7"/>
    <w:rsid w:val="00C713E4"/>
    <w:rsid w:val="00C713E5"/>
    <w:rsid w:val="00C7193F"/>
    <w:rsid w:val="00C71A2C"/>
    <w:rsid w:val="00C72821"/>
    <w:rsid w:val="00C72B60"/>
    <w:rsid w:val="00C72F68"/>
    <w:rsid w:val="00C742F8"/>
    <w:rsid w:val="00C742FD"/>
    <w:rsid w:val="00C748E1"/>
    <w:rsid w:val="00C7490A"/>
    <w:rsid w:val="00C76664"/>
    <w:rsid w:val="00C76823"/>
    <w:rsid w:val="00C769AC"/>
    <w:rsid w:val="00C80D91"/>
    <w:rsid w:val="00C8160A"/>
    <w:rsid w:val="00C81A63"/>
    <w:rsid w:val="00C8403D"/>
    <w:rsid w:val="00C847D3"/>
    <w:rsid w:val="00C8550E"/>
    <w:rsid w:val="00C8581F"/>
    <w:rsid w:val="00C85E79"/>
    <w:rsid w:val="00C8675F"/>
    <w:rsid w:val="00C872F5"/>
    <w:rsid w:val="00C90B07"/>
    <w:rsid w:val="00C91637"/>
    <w:rsid w:val="00C9201B"/>
    <w:rsid w:val="00C935EA"/>
    <w:rsid w:val="00C94314"/>
    <w:rsid w:val="00C955E3"/>
    <w:rsid w:val="00C95FEF"/>
    <w:rsid w:val="00C96E57"/>
    <w:rsid w:val="00C97209"/>
    <w:rsid w:val="00C97C62"/>
    <w:rsid w:val="00CA0DE5"/>
    <w:rsid w:val="00CA1AB6"/>
    <w:rsid w:val="00CA1EEB"/>
    <w:rsid w:val="00CA2704"/>
    <w:rsid w:val="00CA3164"/>
    <w:rsid w:val="00CA448A"/>
    <w:rsid w:val="00CA5E52"/>
    <w:rsid w:val="00CA643E"/>
    <w:rsid w:val="00CA7478"/>
    <w:rsid w:val="00CB05F9"/>
    <w:rsid w:val="00CB119F"/>
    <w:rsid w:val="00CB1249"/>
    <w:rsid w:val="00CB1B58"/>
    <w:rsid w:val="00CB1F00"/>
    <w:rsid w:val="00CB2C02"/>
    <w:rsid w:val="00CB2D6B"/>
    <w:rsid w:val="00CB2D93"/>
    <w:rsid w:val="00CB4EE5"/>
    <w:rsid w:val="00CB574E"/>
    <w:rsid w:val="00CB5753"/>
    <w:rsid w:val="00CB6797"/>
    <w:rsid w:val="00CB7089"/>
    <w:rsid w:val="00CB70A2"/>
    <w:rsid w:val="00CC0139"/>
    <w:rsid w:val="00CC0AC9"/>
    <w:rsid w:val="00CC107C"/>
    <w:rsid w:val="00CC158E"/>
    <w:rsid w:val="00CC3847"/>
    <w:rsid w:val="00CC415D"/>
    <w:rsid w:val="00CC41A9"/>
    <w:rsid w:val="00CC4D1B"/>
    <w:rsid w:val="00CC561A"/>
    <w:rsid w:val="00CC6A8B"/>
    <w:rsid w:val="00CC7955"/>
    <w:rsid w:val="00CD0FE7"/>
    <w:rsid w:val="00CD338C"/>
    <w:rsid w:val="00CD3BB9"/>
    <w:rsid w:val="00CD3DEE"/>
    <w:rsid w:val="00CD404E"/>
    <w:rsid w:val="00CD5173"/>
    <w:rsid w:val="00CD5787"/>
    <w:rsid w:val="00CD6117"/>
    <w:rsid w:val="00CD6922"/>
    <w:rsid w:val="00CD6D17"/>
    <w:rsid w:val="00CD7C1F"/>
    <w:rsid w:val="00CE0079"/>
    <w:rsid w:val="00CE0B00"/>
    <w:rsid w:val="00CE1020"/>
    <w:rsid w:val="00CE1117"/>
    <w:rsid w:val="00CE19CD"/>
    <w:rsid w:val="00CE2389"/>
    <w:rsid w:val="00CE2D5E"/>
    <w:rsid w:val="00CE36EA"/>
    <w:rsid w:val="00CE53D5"/>
    <w:rsid w:val="00CE5DB8"/>
    <w:rsid w:val="00CE5E2F"/>
    <w:rsid w:val="00CE5F40"/>
    <w:rsid w:val="00CE6343"/>
    <w:rsid w:val="00CE64ED"/>
    <w:rsid w:val="00CE69DB"/>
    <w:rsid w:val="00CE7CA6"/>
    <w:rsid w:val="00CF089A"/>
    <w:rsid w:val="00CF0920"/>
    <w:rsid w:val="00CF0A37"/>
    <w:rsid w:val="00CF0C6B"/>
    <w:rsid w:val="00CF1173"/>
    <w:rsid w:val="00CF1DCB"/>
    <w:rsid w:val="00CF444E"/>
    <w:rsid w:val="00CF5906"/>
    <w:rsid w:val="00CF6CB6"/>
    <w:rsid w:val="00D0078F"/>
    <w:rsid w:val="00D010FD"/>
    <w:rsid w:val="00D02120"/>
    <w:rsid w:val="00D024F1"/>
    <w:rsid w:val="00D032C6"/>
    <w:rsid w:val="00D03CD6"/>
    <w:rsid w:val="00D03DD1"/>
    <w:rsid w:val="00D04095"/>
    <w:rsid w:val="00D04649"/>
    <w:rsid w:val="00D048EE"/>
    <w:rsid w:val="00D04B80"/>
    <w:rsid w:val="00D04EC2"/>
    <w:rsid w:val="00D0527A"/>
    <w:rsid w:val="00D05D03"/>
    <w:rsid w:val="00D06AA7"/>
    <w:rsid w:val="00D0797A"/>
    <w:rsid w:val="00D07D62"/>
    <w:rsid w:val="00D07DD6"/>
    <w:rsid w:val="00D07F2E"/>
    <w:rsid w:val="00D104E9"/>
    <w:rsid w:val="00D10BD0"/>
    <w:rsid w:val="00D10C20"/>
    <w:rsid w:val="00D10DBD"/>
    <w:rsid w:val="00D112FE"/>
    <w:rsid w:val="00D11ADC"/>
    <w:rsid w:val="00D12138"/>
    <w:rsid w:val="00D1319E"/>
    <w:rsid w:val="00D134F2"/>
    <w:rsid w:val="00D13785"/>
    <w:rsid w:val="00D13EB4"/>
    <w:rsid w:val="00D145FF"/>
    <w:rsid w:val="00D14BA8"/>
    <w:rsid w:val="00D158DC"/>
    <w:rsid w:val="00D16918"/>
    <w:rsid w:val="00D169C5"/>
    <w:rsid w:val="00D17316"/>
    <w:rsid w:val="00D179E0"/>
    <w:rsid w:val="00D200DB"/>
    <w:rsid w:val="00D20434"/>
    <w:rsid w:val="00D21218"/>
    <w:rsid w:val="00D21630"/>
    <w:rsid w:val="00D22A3B"/>
    <w:rsid w:val="00D22B41"/>
    <w:rsid w:val="00D24875"/>
    <w:rsid w:val="00D24B2C"/>
    <w:rsid w:val="00D25715"/>
    <w:rsid w:val="00D2625C"/>
    <w:rsid w:val="00D2687E"/>
    <w:rsid w:val="00D31A3A"/>
    <w:rsid w:val="00D322A0"/>
    <w:rsid w:val="00D336B9"/>
    <w:rsid w:val="00D33D5B"/>
    <w:rsid w:val="00D34716"/>
    <w:rsid w:val="00D34912"/>
    <w:rsid w:val="00D35978"/>
    <w:rsid w:val="00D373E7"/>
    <w:rsid w:val="00D401DA"/>
    <w:rsid w:val="00D40B32"/>
    <w:rsid w:val="00D41CA5"/>
    <w:rsid w:val="00D429DC"/>
    <w:rsid w:val="00D42C51"/>
    <w:rsid w:val="00D42D0D"/>
    <w:rsid w:val="00D42DEF"/>
    <w:rsid w:val="00D432D7"/>
    <w:rsid w:val="00D4369A"/>
    <w:rsid w:val="00D44CB7"/>
    <w:rsid w:val="00D452CF"/>
    <w:rsid w:val="00D4530F"/>
    <w:rsid w:val="00D458AF"/>
    <w:rsid w:val="00D50001"/>
    <w:rsid w:val="00D5052E"/>
    <w:rsid w:val="00D526C0"/>
    <w:rsid w:val="00D5288F"/>
    <w:rsid w:val="00D55292"/>
    <w:rsid w:val="00D55AD4"/>
    <w:rsid w:val="00D55C50"/>
    <w:rsid w:val="00D5657E"/>
    <w:rsid w:val="00D56860"/>
    <w:rsid w:val="00D57374"/>
    <w:rsid w:val="00D60B72"/>
    <w:rsid w:val="00D61B96"/>
    <w:rsid w:val="00D62FA3"/>
    <w:rsid w:val="00D64937"/>
    <w:rsid w:val="00D6545E"/>
    <w:rsid w:val="00D65F6A"/>
    <w:rsid w:val="00D67EE5"/>
    <w:rsid w:val="00D710D9"/>
    <w:rsid w:val="00D72253"/>
    <w:rsid w:val="00D72267"/>
    <w:rsid w:val="00D72F5E"/>
    <w:rsid w:val="00D7342E"/>
    <w:rsid w:val="00D7418F"/>
    <w:rsid w:val="00D74944"/>
    <w:rsid w:val="00D74E14"/>
    <w:rsid w:val="00D764CC"/>
    <w:rsid w:val="00D765A4"/>
    <w:rsid w:val="00D81305"/>
    <w:rsid w:val="00D813F4"/>
    <w:rsid w:val="00D817A8"/>
    <w:rsid w:val="00D81E5E"/>
    <w:rsid w:val="00D82021"/>
    <w:rsid w:val="00D82496"/>
    <w:rsid w:val="00D82949"/>
    <w:rsid w:val="00D82D41"/>
    <w:rsid w:val="00D82E30"/>
    <w:rsid w:val="00D83583"/>
    <w:rsid w:val="00D83B4F"/>
    <w:rsid w:val="00D83BE3"/>
    <w:rsid w:val="00D84889"/>
    <w:rsid w:val="00D85028"/>
    <w:rsid w:val="00D8516F"/>
    <w:rsid w:val="00D853F0"/>
    <w:rsid w:val="00D85BE2"/>
    <w:rsid w:val="00D86056"/>
    <w:rsid w:val="00D87213"/>
    <w:rsid w:val="00D87B34"/>
    <w:rsid w:val="00D87C31"/>
    <w:rsid w:val="00D87C65"/>
    <w:rsid w:val="00D902DE"/>
    <w:rsid w:val="00D923DE"/>
    <w:rsid w:val="00D92B58"/>
    <w:rsid w:val="00D92C3C"/>
    <w:rsid w:val="00D92D0A"/>
    <w:rsid w:val="00D92DFF"/>
    <w:rsid w:val="00D93D0C"/>
    <w:rsid w:val="00D93F60"/>
    <w:rsid w:val="00D93FBC"/>
    <w:rsid w:val="00D94200"/>
    <w:rsid w:val="00D94312"/>
    <w:rsid w:val="00D94F67"/>
    <w:rsid w:val="00D9523A"/>
    <w:rsid w:val="00D954AB"/>
    <w:rsid w:val="00D9563F"/>
    <w:rsid w:val="00D95991"/>
    <w:rsid w:val="00D96AE4"/>
    <w:rsid w:val="00D96E8A"/>
    <w:rsid w:val="00D97662"/>
    <w:rsid w:val="00D97D86"/>
    <w:rsid w:val="00DA0879"/>
    <w:rsid w:val="00DA1429"/>
    <w:rsid w:val="00DA19E1"/>
    <w:rsid w:val="00DA1FAD"/>
    <w:rsid w:val="00DA22F6"/>
    <w:rsid w:val="00DA2395"/>
    <w:rsid w:val="00DA2947"/>
    <w:rsid w:val="00DA2FBA"/>
    <w:rsid w:val="00DA31B8"/>
    <w:rsid w:val="00DA3D88"/>
    <w:rsid w:val="00DA4A62"/>
    <w:rsid w:val="00DA5AC2"/>
    <w:rsid w:val="00DA66FD"/>
    <w:rsid w:val="00DA6A0C"/>
    <w:rsid w:val="00DA6AA4"/>
    <w:rsid w:val="00DB0350"/>
    <w:rsid w:val="00DB0464"/>
    <w:rsid w:val="00DB16FC"/>
    <w:rsid w:val="00DB1734"/>
    <w:rsid w:val="00DB25E1"/>
    <w:rsid w:val="00DB2B00"/>
    <w:rsid w:val="00DB39EE"/>
    <w:rsid w:val="00DB3A68"/>
    <w:rsid w:val="00DB4BC0"/>
    <w:rsid w:val="00DB5730"/>
    <w:rsid w:val="00DB576E"/>
    <w:rsid w:val="00DB5F44"/>
    <w:rsid w:val="00DB687A"/>
    <w:rsid w:val="00DB6E14"/>
    <w:rsid w:val="00DB7F0D"/>
    <w:rsid w:val="00DC04E5"/>
    <w:rsid w:val="00DC052D"/>
    <w:rsid w:val="00DC11DF"/>
    <w:rsid w:val="00DC133E"/>
    <w:rsid w:val="00DC18C2"/>
    <w:rsid w:val="00DC1BCA"/>
    <w:rsid w:val="00DC1CB3"/>
    <w:rsid w:val="00DC2590"/>
    <w:rsid w:val="00DC269F"/>
    <w:rsid w:val="00DC358F"/>
    <w:rsid w:val="00DC42BF"/>
    <w:rsid w:val="00DC44FD"/>
    <w:rsid w:val="00DC4AD6"/>
    <w:rsid w:val="00DC4FB1"/>
    <w:rsid w:val="00DC6459"/>
    <w:rsid w:val="00DC70D9"/>
    <w:rsid w:val="00DD0948"/>
    <w:rsid w:val="00DD21D8"/>
    <w:rsid w:val="00DD3D58"/>
    <w:rsid w:val="00DD44E2"/>
    <w:rsid w:val="00DD524B"/>
    <w:rsid w:val="00DD5F1A"/>
    <w:rsid w:val="00DD6F1A"/>
    <w:rsid w:val="00DD7803"/>
    <w:rsid w:val="00DD795D"/>
    <w:rsid w:val="00DE0BAB"/>
    <w:rsid w:val="00DE184F"/>
    <w:rsid w:val="00DE1D7E"/>
    <w:rsid w:val="00DE2181"/>
    <w:rsid w:val="00DE2640"/>
    <w:rsid w:val="00DE273D"/>
    <w:rsid w:val="00DE3DC4"/>
    <w:rsid w:val="00DE4ADB"/>
    <w:rsid w:val="00DE5B0F"/>
    <w:rsid w:val="00DE5E62"/>
    <w:rsid w:val="00DE63FB"/>
    <w:rsid w:val="00DF0DA2"/>
    <w:rsid w:val="00DF2430"/>
    <w:rsid w:val="00DF269D"/>
    <w:rsid w:val="00DF2D99"/>
    <w:rsid w:val="00DF3CFE"/>
    <w:rsid w:val="00DF3E47"/>
    <w:rsid w:val="00DF48DF"/>
    <w:rsid w:val="00DF4B5F"/>
    <w:rsid w:val="00DF509E"/>
    <w:rsid w:val="00E0215C"/>
    <w:rsid w:val="00E02421"/>
    <w:rsid w:val="00E025D7"/>
    <w:rsid w:val="00E02F85"/>
    <w:rsid w:val="00E0391C"/>
    <w:rsid w:val="00E03EBA"/>
    <w:rsid w:val="00E046DD"/>
    <w:rsid w:val="00E04A74"/>
    <w:rsid w:val="00E04F05"/>
    <w:rsid w:val="00E05C97"/>
    <w:rsid w:val="00E05E5B"/>
    <w:rsid w:val="00E061B2"/>
    <w:rsid w:val="00E06C28"/>
    <w:rsid w:val="00E07F04"/>
    <w:rsid w:val="00E117CC"/>
    <w:rsid w:val="00E11AE6"/>
    <w:rsid w:val="00E12A2C"/>
    <w:rsid w:val="00E131D3"/>
    <w:rsid w:val="00E13CA6"/>
    <w:rsid w:val="00E14501"/>
    <w:rsid w:val="00E15167"/>
    <w:rsid w:val="00E1603D"/>
    <w:rsid w:val="00E163FD"/>
    <w:rsid w:val="00E16BDB"/>
    <w:rsid w:val="00E17F74"/>
    <w:rsid w:val="00E17FA1"/>
    <w:rsid w:val="00E20366"/>
    <w:rsid w:val="00E20488"/>
    <w:rsid w:val="00E21A6B"/>
    <w:rsid w:val="00E2245D"/>
    <w:rsid w:val="00E22624"/>
    <w:rsid w:val="00E23789"/>
    <w:rsid w:val="00E23D9B"/>
    <w:rsid w:val="00E23E7A"/>
    <w:rsid w:val="00E24257"/>
    <w:rsid w:val="00E24395"/>
    <w:rsid w:val="00E253E6"/>
    <w:rsid w:val="00E256EA"/>
    <w:rsid w:val="00E2597A"/>
    <w:rsid w:val="00E25A77"/>
    <w:rsid w:val="00E26C98"/>
    <w:rsid w:val="00E26FD5"/>
    <w:rsid w:val="00E3000E"/>
    <w:rsid w:val="00E3151B"/>
    <w:rsid w:val="00E327E1"/>
    <w:rsid w:val="00E32C5E"/>
    <w:rsid w:val="00E33D96"/>
    <w:rsid w:val="00E341B1"/>
    <w:rsid w:val="00E34273"/>
    <w:rsid w:val="00E345F4"/>
    <w:rsid w:val="00E34D80"/>
    <w:rsid w:val="00E352E3"/>
    <w:rsid w:val="00E366D5"/>
    <w:rsid w:val="00E367D4"/>
    <w:rsid w:val="00E373D0"/>
    <w:rsid w:val="00E379D0"/>
    <w:rsid w:val="00E37E71"/>
    <w:rsid w:val="00E40FF9"/>
    <w:rsid w:val="00E4149C"/>
    <w:rsid w:val="00E43432"/>
    <w:rsid w:val="00E43D1E"/>
    <w:rsid w:val="00E43FB4"/>
    <w:rsid w:val="00E46476"/>
    <w:rsid w:val="00E467D6"/>
    <w:rsid w:val="00E47F2D"/>
    <w:rsid w:val="00E5064A"/>
    <w:rsid w:val="00E5108D"/>
    <w:rsid w:val="00E51382"/>
    <w:rsid w:val="00E53CBF"/>
    <w:rsid w:val="00E540F1"/>
    <w:rsid w:val="00E56563"/>
    <w:rsid w:val="00E57D88"/>
    <w:rsid w:val="00E60241"/>
    <w:rsid w:val="00E61527"/>
    <w:rsid w:val="00E61ACC"/>
    <w:rsid w:val="00E62A29"/>
    <w:rsid w:val="00E630E2"/>
    <w:rsid w:val="00E634DE"/>
    <w:rsid w:val="00E63929"/>
    <w:rsid w:val="00E63946"/>
    <w:rsid w:val="00E63B2E"/>
    <w:rsid w:val="00E6448F"/>
    <w:rsid w:val="00E64FE6"/>
    <w:rsid w:val="00E651AB"/>
    <w:rsid w:val="00E664BC"/>
    <w:rsid w:val="00E66F1E"/>
    <w:rsid w:val="00E67E26"/>
    <w:rsid w:val="00E703AA"/>
    <w:rsid w:val="00E70501"/>
    <w:rsid w:val="00E70768"/>
    <w:rsid w:val="00E70A18"/>
    <w:rsid w:val="00E70E70"/>
    <w:rsid w:val="00E710BC"/>
    <w:rsid w:val="00E71309"/>
    <w:rsid w:val="00E7168C"/>
    <w:rsid w:val="00E72694"/>
    <w:rsid w:val="00E737D8"/>
    <w:rsid w:val="00E740FB"/>
    <w:rsid w:val="00E74987"/>
    <w:rsid w:val="00E74F4F"/>
    <w:rsid w:val="00E75013"/>
    <w:rsid w:val="00E75417"/>
    <w:rsid w:val="00E76637"/>
    <w:rsid w:val="00E76E9D"/>
    <w:rsid w:val="00E820BF"/>
    <w:rsid w:val="00E824B7"/>
    <w:rsid w:val="00E82DE3"/>
    <w:rsid w:val="00E831DE"/>
    <w:rsid w:val="00E8486C"/>
    <w:rsid w:val="00E848E1"/>
    <w:rsid w:val="00E8518B"/>
    <w:rsid w:val="00E86368"/>
    <w:rsid w:val="00E866E1"/>
    <w:rsid w:val="00E87F3C"/>
    <w:rsid w:val="00E87F67"/>
    <w:rsid w:val="00E90F25"/>
    <w:rsid w:val="00E9276D"/>
    <w:rsid w:val="00E92E23"/>
    <w:rsid w:val="00E9657F"/>
    <w:rsid w:val="00E96C85"/>
    <w:rsid w:val="00EA0345"/>
    <w:rsid w:val="00EA0AB9"/>
    <w:rsid w:val="00EA0E44"/>
    <w:rsid w:val="00EA117E"/>
    <w:rsid w:val="00EA1C49"/>
    <w:rsid w:val="00EA1C4E"/>
    <w:rsid w:val="00EA2845"/>
    <w:rsid w:val="00EA37FF"/>
    <w:rsid w:val="00EA38DA"/>
    <w:rsid w:val="00EA3C50"/>
    <w:rsid w:val="00EA43EC"/>
    <w:rsid w:val="00EA4426"/>
    <w:rsid w:val="00EA4530"/>
    <w:rsid w:val="00EA60E8"/>
    <w:rsid w:val="00EA698B"/>
    <w:rsid w:val="00EA7B09"/>
    <w:rsid w:val="00EB17D4"/>
    <w:rsid w:val="00EB1FCF"/>
    <w:rsid w:val="00EB2492"/>
    <w:rsid w:val="00EB4055"/>
    <w:rsid w:val="00EB445C"/>
    <w:rsid w:val="00EB4E9D"/>
    <w:rsid w:val="00EB52F4"/>
    <w:rsid w:val="00EB6483"/>
    <w:rsid w:val="00EB64A7"/>
    <w:rsid w:val="00EB709A"/>
    <w:rsid w:val="00EB7297"/>
    <w:rsid w:val="00EC0B3E"/>
    <w:rsid w:val="00EC25D6"/>
    <w:rsid w:val="00EC2B4D"/>
    <w:rsid w:val="00EC3B1C"/>
    <w:rsid w:val="00EC3BC3"/>
    <w:rsid w:val="00EC3C88"/>
    <w:rsid w:val="00EC4804"/>
    <w:rsid w:val="00EC577D"/>
    <w:rsid w:val="00EC601B"/>
    <w:rsid w:val="00EC6312"/>
    <w:rsid w:val="00EC6C63"/>
    <w:rsid w:val="00EC7834"/>
    <w:rsid w:val="00ED0D65"/>
    <w:rsid w:val="00ED1347"/>
    <w:rsid w:val="00ED25D0"/>
    <w:rsid w:val="00ED2989"/>
    <w:rsid w:val="00ED2A21"/>
    <w:rsid w:val="00ED33BE"/>
    <w:rsid w:val="00ED35EB"/>
    <w:rsid w:val="00ED3D54"/>
    <w:rsid w:val="00ED41AB"/>
    <w:rsid w:val="00ED4ED1"/>
    <w:rsid w:val="00ED4F65"/>
    <w:rsid w:val="00ED59AC"/>
    <w:rsid w:val="00ED6A9F"/>
    <w:rsid w:val="00ED6D46"/>
    <w:rsid w:val="00EE14DD"/>
    <w:rsid w:val="00EE178B"/>
    <w:rsid w:val="00EE1C62"/>
    <w:rsid w:val="00EE220C"/>
    <w:rsid w:val="00EE229F"/>
    <w:rsid w:val="00EE2B02"/>
    <w:rsid w:val="00EE30BC"/>
    <w:rsid w:val="00EE3317"/>
    <w:rsid w:val="00EE36B7"/>
    <w:rsid w:val="00EE3FC0"/>
    <w:rsid w:val="00EE484F"/>
    <w:rsid w:val="00EE5273"/>
    <w:rsid w:val="00EE6420"/>
    <w:rsid w:val="00EE6B0D"/>
    <w:rsid w:val="00EE6CE6"/>
    <w:rsid w:val="00EE7120"/>
    <w:rsid w:val="00EE737C"/>
    <w:rsid w:val="00EF14A2"/>
    <w:rsid w:val="00EF31D7"/>
    <w:rsid w:val="00EF3573"/>
    <w:rsid w:val="00EF363A"/>
    <w:rsid w:val="00EF425B"/>
    <w:rsid w:val="00EF58AC"/>
    <w:rsid w:val="00EF5A57"/>
    <w:rsid w:val="00EF6867"/>
    <w:rsid w:val="00EF701B"/>
    <w:rsid w:val="00EF7A3A"/>
    <w:rsid w:val="00EF7B66"/>
    <w:rsid w:val="00F000A2"/>
    <w:rsid w:val="00F002E4"/>
    <w:rsid w:val="00F01607"/>
    <w:rsid w:val="00F022C9"/>
    <w:rsid w:val="00F0240A"/>
    <w:rsid w:val="00F0242D"/>
    <w:rsid w:val="00F029EB"/>
    <w:rsid w:val="00F02A0C"/>
    <w:rsid w:val="00F030B9"/>
    <w:rsid w:val="00F03A03"/>
    <w:rsid w:val="00F03CFA"/>
    <w:rsid w:val="00F03D2D"/>
    <w:rsid w:val="00F07D80"/>
    <w:rsid w:val="00F101BA"/>
    <w:rsid w:val="00F10B4C"/>
    <w:rsid w:val="00F10CDD"/>
    <w:rsid w:val="00F118C1"/>
    <w:rsid w:val="00F127A9"/>
    <w:rsid w:val="00F146A2"/>
    <w:rsid w:val="00F15764"/>
    <w:rsid w:val="00F16276"/>
    <w:rsid w:val="00F16863"/>
    <w:rsid w:val="00F202EB"/>
    <w:rsid w:val="00F2052E"/>
    <w:rsid w:val="00F2088E"/>
    <w:rsid w:val="00F20D59"/>
    <w:rsid w:val="00F2237A"/>
    <w:rsid w:val="00F22B51"/>
    <w:rsid w:val="00F22C42"/>
    <w:rsid w:val="00F23150"/>
    <w:rsid w:val="00F236F0"/>
    <w:rsid w:val="00F24CF8"/>
    <w:rsid w:val="00F24F0A"/>
    <w:rsid w:val="00F25000"/>
    <w:rsid w:val="00F25298"/>
    <w:rsid w:val="00F25428"/>
    <w:rsid w:val="00F257E8"/>
    <w:rsid w:val="00F25913"/>
    <w:rsid w:val="00F25A66"/>
    <w:rsid w:val="00F268A6"/>
    <w:rsid w:val="00F30BF1"/>
    <w:rsid w:val="00F3148B"/>
    <w:rsid w:val="00F31BEA"/>
    <w:rsid w:val="00F32068"/>
    <w:rsid w:val="00F32661"/>
    <w:rsid w:val="00F32B43"/>
    <w:rsid w:val="00F33778"/>
    <w:rsid w:val="00F33A36"/>
    <w:rsid w:val="00F33D3F"/>
    <w:rsid w:val="00F34B21"/>
    <w:rsid w:val="00F3679C"/>
    <w:rsid w:val="00F369CA"/>
    <w:rsid w:val="00F36D7F"/>
    <w:rsid w:val="00F37539"/>
    <w:rsid w:val="00F4093B"/>
    <w:rsid w:val="00F40C3B"/>
    <w:rsid w:val="00F40FDC"/>
    <w:rsid w:val="00F41470"/>
    <w:rsid w:val="00F418A4"/>
    <w:rsid w:val="00F418BF"/>
    <w:rsid w:val="00F4288B"/>
    <w:rsid w:val="00F42F26"/>
    <w:rsid w:val="00F43DB4"/>
    <w:rsid w:val="00F4437E"/>
    <w:rsid w:val="00F44DB0"/>
    <w:rsid w:val="00F45769"/>
    <w:rsid w:val="00F46532"/>
    <w:rsid w:val="00F474F3"/>
    <w:rsid w:val="00F476E8"/>
    <w:rsid w:val="00F477DE"/>
    <w:rsid w:val="00F5048A"/>
    <w:rsid w:val="00F50939"/>
    <w:rsid w:val="00F50D79"/>
    <w:rsid w:val="00F51716"/>
    <w:rsid w:val="00F51A9F"/>
    <w:rsid w:val="00F53408"/>
    <w:rsid w:val="00F53D1E"/>
    <w:rsid w:val="00F54346"/>
    <w:rsid w:val="00F54D18"/>
    <w:rsid w:val="00F551C5"/>
    <w:rsid w:val="00F5553C"/>
    <w:rsid w:val="00F5615A"/>
    <w:rsid w:val="00F56A54"/>
    <w:rsid w:val="00F56B19"/>
    <w:rsid w:val="00F57158"/>
    <w:rsid w:val="00F5724F"/>
    <w:rsid w:val="00F57A11"/>
    <w:rsid w:val="00F60499"/>
    <w:rsid w:val="00F61FEA"/>
    <w:rsid w:val="00F6360D"/>
    <w:rsid w:val="00F63C10"/>
    <w:rsid w:val="00F63FB5"/>
    <w:rsid w:val="00F66721"/>
    <w:rsid w:val="00F66B56"/>
    <w:rsid w:val="00F6797B"/>
    <w:rsid w:val="00F71E2F"/>
    <w:rsid w:val="00F721E2"/>
    <w:rsid w:val="00F72E86"/>
    <w:rsid w:val="00F72EB0"/>
    <w:rsid w:val="00F73038"/>
    <w:rsid w:val="00F73DBB"/>
    <w:rsid w:val="00F74847"/>
    <w:rsid w:val="00F748BD"/>
    <w:rsid w:val="00F748C5"/>
    <w:rsid w:val="00F761AE"/>
    <w:rsid w:val="00F76CF1"/>
    <w:rsid w:val="00F77DF2"/>
    <w:rsid w:val="00F814FC"/>
    <w:rsid w:val="00F82542"/>
    <w:rsid w:val="00F8404C"/>
    <w:rsid w:val="00F84741"/>
    <w:rsid w:val="00F867AC"/>
    <w:rsid w:val="00F86B16"/>
    <w:rsid w:val="00F87447"/>
    <w:rsid w:val="00F87BF5"/>
    <w:rsid w:val="00F90BB5"/>
    <w:rsid w:val="00F90F50"/>
    <w:rsid w:val="00F91589"/>
    <w:rsid w:val="00F92752"/>
    <w:rsid w:val="00F9491E"/>
    <w:rsid w:val="00F94E59"/>
    <w:rsid w:val="00F9512D"/>
    <w:rsid w:val="00F96749"/>
    <w:rsid w:val="00F96F40"/>
    <w:rsid w:val="00F9728A"/>
    <w:rsid w:val="00F97E95"/>
    <w:rsid w:val="00FA05A1"/>
    <w:rsid w:val="00FA11CA"/>
    <w:rsid w:val="00FA2D69"/>
    <w:rsid w:val="00FA5485"/>
    <w:rsid w:val="00FA61F7"/>
    <w:rsid w:val="00FA7B3E"/>
    <w:rsid w:val="00FB0281"/>
    <w:rsid w:val="00FB03E2"/>
    <w:rsid w:val="00FB0901"/>
    <w:rsid w:val="00FB1A9F"/>
    <w:rsid w:val="00FB1AB0"/>
    <w:rsid w:val="00FB2037"/>
    <w:rsid w:val="00FB2C44"/>
    <w:rsid w:val="00FB2D38"/>
    <w:rsid w:val="00FB4DFF"/>
    <w:rsid w:val="00FB4E66"/>
    <w:rsid w:val="00FB50EC"/>
    <w:rsid w:val="00FB69CB"/>
    <w:rsid w:val="00FB6EFC"/>
    <w:rsid w:val="00FB7F4D"/>
    <w:rsid w:val="00FC04EE"/>
    <w:rsid w:val="00FC0B60"/>
    <w:rsid w:val="00FC1A36"/>
    <w:rsid w:val="00FC300E"/>
    <w:rsid w:val="00FC37D3"/>
    <w:rsid w:val="00FC43E9"/>
    <w:rsid w:val="00FC449B"/>
    <w:rsid w:val="00FC524B"/>
    <w:rsid w:val="00FC5B74"/>
    <w:rsid w:val="00FC608E"/>
    <w:rsid w:val="00FC7BC0"/>
    <w:rsid w:val="00FD000E"/>
    <w:rsid w:val="00FD08C4"/>
    <w:rsid w:val="00FD145D"/>
    <w:rsid w:val="00FD14E5"/>
    <w:rsid w:val="00FD15C2"/>
    <w:rsid w:val="00FD167E"/>
    <w:rsid w:val="00FD24DF"/>
    <w:rsid w:val="00FD2A58"/>
    <w:rsid w:val="00FD3844"/>
    <w:rsid w:val="00FD5971"/>
    <w:rsid w:val="00FD6700"/>
    <w:rsid w:val="00FD73F4"/>
    <w:rsid w:val="00FE05E5"/>
    <w:rsid w:val="00FE0625"/>
    <w:rsid w:val="00FE09EE"/>
    <w:rsid w:val="00FE0C7C"/>
    <w:rsid w:val="00FE0E04"/>
    <w:rsid w:val="00FE0EB9"/>
    <w:rsid w:val="00FE1301"/>
    <w:rsid w:val="00FE19A0"/>
    <w:rsid w:val="00FE1EC4"/>
    <w:rsid w:val="00FE2794"/>
    <w:rsid w:val="00FE338D"/>
    <w:rsid w:val="00FE40E6"/>
    <w:rsid w:val="00FE4358"/>
    <w:rsid w:val="00FE48AA"/>
    <w:rsid w:val="00FE4A6C"/>
    <w:rsid w:val="00FE5377"/>
    <w:rsid w:val="00FF08F1"/>
    <w:rsid w:val="00FF1759"/>
    <w:rsid w:val="00FF21C6"/>
    <w:rsid w:val="00FF2893"/>
    <w:rsid w:val="00FF450A"/>
    <w:rsid w:val="00FF4C44"/>
    <w:rsid w:val="00FF6036"/>
    <w:rsid w:val="00FF6E5F"/>
    <w:rsid w:val="00FF7281"/>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C13C988-AA7E-451E-995D-544DE4FA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3E4"/>
    <w:rPr>
      <w:rFonts w:ascii="Calibri" w:hAnsi="Calibri"/>
      <w:sz w:val="24"/>
      <w:szCs w:val="24"/>
    </w:rPr>
  </w:style>
  <w:style w:type="paragraph" w:styleId="Heading1">
    <w:name w:val="heading 1"/>
    <w:basedOn w:val="Normal"/>
    <w:next w:val="Normal"/>
    <w:link w:val="Heading1Char"/>
    <w:autoRedefine/>
    <w:qFormat/>
    <w:rsid w:val="001A66BB"/>
    <w:pPr>
      <w:keepNext/>
      <w:tabs>
        <w:tab w:val="left" w:pos="1843"/>
      </w:tabs>
      <w:spacing w:before="240" w:after="240" w:line="276" w:lineRule="auto"/>
      <w:jc w:val="center"/>
      <w:outlineLvl w:val="0"/>
    </w:pPr>
    <w:rPr>
      <w:rFonts w:cs="Calibri"/>
      <w:b/>
      <w:bCs/>
      <w:kern w:val="32"/>
      <w:sz w:val="28"/>
      <w:szCs w:val="28"/>
      <w:lang w:val="ro-RO"/>
    </w:rPr>
  </w:style>
  <w:style w:type="paragraph" w:styleId="Heading2">
    <w:name w:val="heading 2"/>
    <w:basedOn w:val="Normal"/>
    <w:next w:val="Normal"/>
    <w:link w:val="Heading2Char"/>
    <w:autoRedefine/>
    <w:qFormat/>
    <w:rsid w:val="003B033A"/>
    <w:pPr>
      <w:keepNext/>
      <w:tabs>
        <w:tab w:val="left" w:pos="567"/>
      </w:tabs>
      <w:spacing w:before="240" w:after="120" w:line="360" w:lineRule="auto"/>
      <w:jc w:val="both"/>
      <w:outlineLvl w:val="1"/>
    </w:pPr>
    <w:rPr>
      <w:rFonts w:cs="Arial"/>
      <w:b/>
      <w:bCs/>
      <w:szCs w:val="28"/>
      <w:lang w:val="ro-RO"/>
    </w:rPr>
  </w:style>
  <w:style w:type="paragraph" w:styleId="Heading3">
    <w:name w:val="heading 3"/>
    <w:basedOn w:val="Normal"/>
    <w:next w:val="Normal"/>
    <w:link w:val="Heading3Char"/>
    <w:autoRedefine/>
    <w:qFormat/>
    <w:rsid w:val="00AE723B"/>
    <w:pPr>
      <w:keepNext/>
      <w:tabs>
        <w:tab w:val="left" w:pos="993"/>
      </w:tabs>
      <w:spacing w:before="120" w:after="60" w:line="276" w:lineRule="auto"/>
      <w:ind w:left="1080" w:hanging="360"/>
      <w:jc w:val="both"/>
      <w:outlineLvl w:val="2"/>
    </w:pPr>
    <w:rPr>
      <w:rFonts w:cs="Calibri"/>
      <w:b/>
      <w:bCs/>
      <w:lang w:val="ro-RO"/>
    </w:rPr>
  </w:style>
  <w:style w:type="paragraph" w:styleId="Heading4">
    <w:name w:val="heading 4"/>
    <w:basedOn w:val="Normal"/>
    <w:next w:val="Normal"/>
    <w:link w:val="Heading4Char"/>
    <w:autoRedefine/>
    <w:qFormat/>
    <w:rsid w:val="00D04B80"/>
    <w:pPr>
      <w:keepNext/>
      <w:spacing w:before="60" w:after="60" w:line="360" w:lineRule="auto"/>
      <w:ind w:left="1080"/>
      <w:outlineLvl w:val="3"/>
    </w:pPr>
    <w:rPr>
      <w:rFonts w:cs="Arial"/>
      <w:b/>
      <w:bCs/>
      <w:i/>
      <w:lang w:val="ro-RO"/>
    </w:rPr>
  </w:style>
  <w:style w:type="paragraph" w:styleId="Heading5">
    <w:name w:val="heading 5"/>
    <w:basedOn w:val="Normal"/>
    <w:next w:val="Normal"/>
    <w:link w:val="Heading5Char"/>
    <w:qFormat/>
    <w:rsid w:val="00720BF7"/>
    <w:pPr>
      <w:numPr>
        <w:ilvl w:val="4"/>
        <w:numId w:val="3"/>
      </w:numPr>
      <w:spacing w:before="240" w:after="60"/>
      <w:outlineLvl w:val="4"/>
    </w:pPr>
    <w:rPr>
      <w:b/>
      <w:bCs/>
      <w:i/>
      <w:iCs/>
      <w:sz w:val="26"/>
      <w:szCs w:val="26"/>
    </w:rPr>
  </w:style>
  <w:style w:type="paragraph" w:styleId="Heading6">
    <w:name w:val="heading 6"/>
    <w:basedOn w:val="Normal"/>
    <w:next w:val="Normal"/>
    <w:qFormat/>
    <w:rsid w:val="00DF2430"/>
    <w:pPr>
      <w:spacing w:before="240" w:after="60"/>
      <w:outlineLvl w:val="5"/>
    </w:pPr>
    <w:rPr>
      <w:rFonts w:ascii="Times New Roman" w:hAnsi="Times New Roman"/>
      <w:b/>
      <w:bCs/>
      <w:sz w:val="22"/>
      <w:szCs w:val="22"/>
    </w:rPr>
  </w:style>
  <w:style w:type="paragraph" w:styleId="Heading7">
    <w:name w:val="heading 7"/>
    <w:basedOn w:val="Normal"/>
    <w:next w:val="Normal"/>
    <w:qFormat/>
    <w:rsid w:val="00C5566A"/>
    <w:pPr>
      <w:tabs>
        <w:tab w:val="num" w:pos="5040"/>
      </w:tabs>
      <w:spacing w:before="240" w:after="60"/>
      <w:ind w:left="5040" w:hanging="720"/>
      <w:outlineLvl w:val="6"/>
    </w:pPr>
  </w:style>
  <w:style w:type="paragraph" w:styleId="Heading8">
    <w:name w:val="heading 8"/>
    <w:basedOn w:val="Normal"/>
    <w:next w:val="Normal"/>
    <w:qFormat/>
    <w:rsid w:val="00C5566A"/>
    <w:pPr>
      <w:tabs>
        <w:tab w:val="num" w:pos="5760"/>
      </w:tabs>
      <w:spacing w:before="240" w:after="60"/>
      <w:ind w:left="5760" w:hanging="720"/>
      <w:outlineLvl w:val="7"/>
    </w:pPr>
    <w:rPr>
      <w:i/>
      <w:iCs/>
    </w:rPr>
  </w:style>
  <w:style w:type="paragraph" w:styleId="Heading9">
    <w:name w:val="heading 9"/>
    <w:basedOn w:val="Normal"/>
    <w:next w:val="Normal"/>
    <w:qFormat/>
    <w:rsid w:val="00C5566A"/>
    <w:pPr>
      <w:tabs>
        <w:tab w:val="num" w:pos="6480"/>
      </w:tabs>
      <w:spacing w:before="240" w:after="60"/>
      <w:ind w:left="6480" w:hanging="72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66BB"/>
    <w:rPr>
      <w:rFonts w:ascii="Calibri" w:hAnsi="Calibri" w:cs="Calibri"/>
      <w:b/>
      <w:bCs/>
      <w:kern w:val="32"/>
      <w:sz w:val="28"/>
      <w:szCs w:val="28"/>
      <w:lang w:val="ro-RO"/>
    </w:rPr>
  </w:style>
  <w:style w:type="character" w:customStyle="1" w:styleId="Heading2Char">
    <w:name w:val="Heading 2 Char"/>
    <w:link w:val="Heading2"/>
    <w:rsid w:val="003B033A"/>
    <w:rPr>
      <w:rFonts w:ascii="Calibri" w:hAnsi="Calibri" w:cs="Arial"/>
      <w:b/>
      <w:bCs/>
      <w:sz w:val="24"/>
      <w:szCs w:val="28"/>
      <w:lang w:val="ro-RO" w:eastAsia="en-US" w:bidi="ar-SA"/>
    </w:rPr>
  </w:style>
  <w:style w:type="character" w:customStyle="1" w:styleId="Heading3Char">
    <w:name w:val="Heading 3 Char"/>
    <w:link w:val="Heading3"/>
    <w:rsid w:val="00AE723B"/>
    <w:rPr>
      <w:rFonts w:ascii="Calibri" w:hAnsi="Calibri" w:cs="Calibri"/>
      <w:b/>
      <w:bCs/>
      <w:sz w:val="24"/>
      <w:szCs w:val="24"/>
      <w:lang w:val="ro-RO" w:eastAsia="en-US" w:bidi="ar-SA"/>
    </w:rPr>
  </w:style>
  <w:style w:type="character" w:customStyle="1" w:styleId="Heading4Char">
    <w:name w:val="Heading 4 Char"/>
    <w:link w:val="Heading4"/>
    <w:rsid w:val="00D04B80"/>
    <w:rPr>
      <w:rFonts w:ascii="Calibri" w:hAnsi="Calibri" w:cs="Arial"/>
      <w:b/>
      <w:bCs/>
      <w:i/>
      <w:sz w:val="24"/>
      <w:szCs w:val="24"/>
      <w:lang w:val="ro-RO" w:eastAsia="en-US" w:bidi="ar-SA"/>
    </w:rPr>
  </w:style>
  <w:style w:type="character" w:customStyle="1" w:styleId="Heading5Char">
    <w:name w:val="Heading 5 Char"/>
    <w:link w:val="Heading5"/>
    <w:rsid w:val="00720BF7"/>
    <w:rPr>
      <w:rFonts w:ascii="Calibri" w:hAnsi="Calibri"/>
      <w:b/>
      <w:bCs/>
      <w:i/>
      <w:iCs/>
      <w:sz w:val="26"/>
      <w:szCs w:val="26"/>
    </w:rPr>
  </w:style>
  <w:style w:type="paragraph" w:styleId="DocumentMap">
    <w:name w:val="Document Map"/>
    <w:basedOn w:val="Normal"/>
    <w:semiHidden/>
    <w:rsid w:val="00975F84"/>
    <w:pPr>
      <w:shd w:val="clear" w:color="auto" w:fill="000080"/>
    </w:pPr>
    <w:rPr>
      <w:rFonts w:ascii="Tahoma" w:hAnsi="Tahoma" w:cs="Tahoma"/>
      <w:sz w:val="20"/>
      <w:szCs w:val="20"/>
    </w:rPr>
  </w:style>
  <w:style w:type="paragraph" w:customStyle="1" w:styleId="AddParagraf">
    <w:name w:val="AddParagraf"/>
    <w:basedOn w:val="Normal"/>
    <w:link w:val="AddParagrafCaracter"/>
    <w:qFormat/>
    <w:rsid w:val="007251F4"/>
    <w:pPr>
      <w:numPr>
        <w:ilvl w:val="1"/>
      </w:numPr>
      <w:spacing w:after="180"/>
      <w:ind w:right="48" w:firstLine="709"/>
      <w:jc w:val="both"/>
    </w:pPr>
    <w:rPr>
      <w:rFonts w:cs="Arial"/>
      <w:lang w:val="ro-RO"/>
    </w:rPr>
  </w:style>
  <w:style w:type="character" w:customStyle="1" w:styleId="AddParagrafCaracter">
    <w:name w:val="AddParagraf Caracter"/>
    <w:link w:val="AddParagraf"/>
    <w:qFormat/>
    <w:locked/>
    <w:rsid w:val="007251F4"/>
    <w:rPr>
      <w:rFonts w:ascii="Calibri" w:hAnsi="Calibri" w:cs="Arial"/>
      <w:sz w:val="24"/>
      <w:szCs w:val="24"/>
      <w:lang w:val="ro-RO"/>
    </w:rPr>
  </w:style>
  <w:style w:type="paragraph" w:customStyle="1" w:styleId="CazLinie">
    <w:name w:val="Caz_Linie"/>
    <w:basedOn w:val="Normal"/>
    <w:rsid w:val="007251F4"/>
    <w:pPr>
      <w:numPr>
        <w:numId w:val="1"/>
      </w:numPr>
    </w:pPr>
  </w:style>
  <w:style w:type="paragraph" w:customStyle="1" w:styleId="CazCerc">
    <w:name w:val="CazCerc"/>
    <w:basedOn w:val="Normal"/>
    <w:autoRedefine/>
    <w:qFormat/>
    <w:rsid w:val="007251F4"/>
    <w:pPr>
      <w:spacing w:after="120"/>
      <w:ind w:left="1418" w:hanging="284"/>
      <w:jc w:val="both"/>
    </w:pPr>
    <w:rPr>
      <w:rFonts w:ascii="Arial" w:hAnsi="Arial" w:cs="Arial"/>
      <w:lang w:val="ro-RO"/>
    </w:rPr>
  </w:style>
  <w:style w:type="paragraph" w:customStyle="1" w:styleId="CazPunct">
    <w:name w:val="CazPunct"/>
    <w:basedOn w:val="Normal"/>
    <w:autoRedefine/>
    <w:qFormat/>
    <w:rsid w:val="007251F4"/>
    <w:pPr>
      <w:spacing w:after="120"/>
      <w:ind w:left="1135" w:hanging="284"/>
      <w:jc w:val="both"/>
    </w:pPr>
    <w:rPr>
      <w:rFonts w:ascii="Arial" w:hAnsi="Arial" w:cs="Arial"/>
      <w:lang w:val="ro-RO"/>
    </w:rPr>
  </w:style>
  <w:style w:type="paragraph" w:customStyle="1" w:styleId="CazSteluta">
    <w:name w:val="CazSteluta"/>
    <w:basedOn w:val="Normal"/>
    <w:qFormat/>
    <w:rsid w:val="007251F4"/>
    <w:pPr>
      <w:numPr>
        <w:numId w:val="2"/>
      </w:numPr>
      <w:spacing w:before="120" w:after="60" w:line="360" w:lineRule="auto"/>
    </w:pPr>
    <w:rPr>
      <w:b/>
      <w:lang w:val="ro-RO"/>
    </w:rPr>
  </w:style>
  <w:style w:type="paragraph" w:styleId="TOC1">
    <w:name w:val="toc 1"/>
    <w:basedOn w:val="Normal"/>
    <w:next w:val="Normal"/>
    <w:autoRedefine/>
    <w:uiPriority w:val="39"/>
    <w:rsid w:val="00A202F1"/>
    <w:pPr>
      <w:tabs>
        <w:tab w:val="right" w:leader="dot" w:pos="9911"/>
      </w:tabs>
      <w:spacing w:before="240" w:after="120"/>
    </w:pPr>
    <w:rPr>
      <w:rFonts w:asciiTheme="minorHAnsi" w:hAnsiTheme="minorHAnsi"/>
      <w:b/>
      <w:bCs/>
      <w:noProof/>
      <w:lang w:val="ro-RO" w:eastAsia="ro-RO"/>
    </w:rPr>
  </w:style>
  <w:style w:type="paragraph" w:styleId="TOC2">
    <w:name w:val="toc 2"/>
    <w:basedOn w:val="Normal"/>
    <w:autoRedefine/>
    <w:uiPriority w:val="39"/>
    <w:rsid w:val="00C713E4"/>
    <w:pPr>
      <w:spacing w:before="120"/>
      <w:ind w:left="240"/>
    </w:pPr>
    <w:rPr>
      <w:rFonts w:ascii="Times New Roman" w:hAnsi="Times New Roman"/>
      <w:i/>
      <w:iCs/>
      <w:sz w:val="20"/>
      <w:szCs w:val="20"/>
    </w:rPr>
  </w:style>
  <w:style w:type="paragraph" w:styleId="TOC3">
    <w:name w:val="toc 3"/>
    <w:basedOn w:val="Normal"/>
    <w:next w:val="Normal"/>
    <w:autoRedefine/>
    <w:uiPriority w:val="39"/>
    <w:rsid w:val="00720BF7"/>
    <w:pPr>
      <w:ind w:left="480"/>
    </w:pPr>
    <w:rPr>
      <w:rFonts w:ascii="Times New Roman" w:hAnsi="Times New Roman"/>
      <w:sz w:val="20"/>
      <w:szCs w:val="20"/>
    </w:rPr>
  </w:style>
  <w:style w:type="paragraph" w:styleId="TOC4">
    <w:name w:val="toc 4"/>
    <w:basedOn w:val="Normal"/>
    <w:next w:val="Normal"/>
    <w:autoRedefine/>
    <w:uiPriority w:val="39"/>
    <w:rsid w:val="007251F4"/>
    <w:pPr>
      <w:ind w:left="720"/>
    </w:pPr>
    <w:rPr>
      <w:rFonts w:ascii="Times New Roman" w:hAnsi="Times New Roman"/>
      <w:sz w:val="20"/>
      <w:szCs w:val="20"/>
    </w:rPr>
  </w:style>
  <w:style w:type="paragraph" w:styleId="TOCHeading">
    <w:name w:val="TOC Heading"/>
    <w:basedOn w:val="Heading1"/>
    <w:next w:val="Normal"/>
    <w:uiPriority w:val="39"/>
    <w:qFormat/>
    <w:rsid w:val="00F97E95"/>
    <w:pPr>
      <w:keepLines/>
      <w:spacing w:before="480" w:after="0"/>
      <w:jc w:val="left"/>
      <w:outlineLvl w:val="9"/>
    </w:pPr>
    <w:rPr>
      <w:rFonts w:ascii="Cambria" w:eastAsia="MS Gothic" w:hAnsi="Cambria" w:cs="Times New Roman"/>
      <w:color w:val="365F91"/>
      <w:kern w:val="0"/>
      <w:lang w:eastAsia="ja-JP"/>
    </w:rPr>
  </w:style>
  <w:style w:type="character" w:styleId="Hyperlink">
    <w:name w:val="Hyperlink"/>
    <w:uiPriority w:val="99"/>
    <w:unhideWhenUsed/>
    <w:rsid w:val="00F97E95"/>
    <w:rPr>
      <w:color w:val="0000FF"/>
      <w:u w:val="single"/>
    </w:rPr>
  </w:style>
  <w:style w:type="paragraph" w:styleId="Title">
    <w:name w:val="Title"/>
    <w:basedOn w:val="Normal"/>
    <w:next w:val="Normal"/>
    <w:link w:val="TitleChar"/>
    <w:autoRedefine/>
    <w:qFormat/>
    <w:rsid w:val="00C713E4"/>
    <w:pPr>
      <w:spacing w:before="240" w:after="360"/>
      <w:outlineLvl w:val="0"/>
    </w:pPr>
    <w:rPr>
      <w:b/>
      <w:bCs/>
      <w:kern w:val="28"/>
      <w:sz w:val="28"/>
      <w:szCs w:val="32"/>
    </w:rPr>
  </w:style>
  <w:style w:type="character" w:customStyle="1" w:styleId="TitleChar">
    <w:name w:val="Title Char"/>
    <w:link w:val="Title"/>
    <w:rsid w:val="00C713E4"/>
    <w:rPr>
      <w:rFonts w:ascii="Calibri" w:eastAsia="Times New Roman" w:hAnsi="Calibri" w:cs="Times New Roman"/>
      <w:b/>
      <w:bCs/>
      <w:kern w:val="28"/>
      <w:sz w:val="28"/>
      <w:szCs w:val="32"/>
    </w:rPr>
  </w:style>
  <w:style w:type="paragraph" w:styleId="ListParagraph">
    <w:name w:val="List Paragraph"/>
    <w:basedOn w:val="Normal"/>
    <w:uiPriority w:val="34"/>
    <w:qFormat/>
    <w:rsid w:val="008F70A7"/>
    <w:pPr>
      <w:ind w:left="720"/>
      <w:contextualSpacing/>
    </w:pPr>
    <w:rPr>
      <w:rFonts w:ascii="Times New Roman" w:eastAsia="Calibri" w:hAnsi="Times New Roman"/>
    </w:rPr>
  </w:style>
  <w:style w:type="paragraph" w:styleId="NormalWeb">
    <w:name w:val="Normal (Web)"/>
    <w:basedOn w:val="Normal"/>
    <w:rsid w:val="008F70A7"/>
    <w:pPr>
      <w:spacing w:before="100" w:beforeAutospacing="1" w:after="100" w:afterAutospacing="1"/>
    </w:pPr>
    <w:rPr>
      <w:rFonts w:ascii="Times New Roman" w:hAnsi="Times New Roman"/>
    </w:rPr>
  </w:style>
  <w:style w:type="character" w:customStyle="1" w:styleId="rvts7">
    <w:name w:val="rvts7"/>
    <w:rsid w:val="008F70A7"/>
  </w:style>
  <w:style w:type="character" w:styleId="Strong">
    <w:name w:val="Strong"/>
    <w:qFormat/>
    <w:rsid w:val="008F70A7"/>
    <w:rPr>
      <w:b/>
      <w:bCs/>
    </w:rPr>
  </w:style>
  <w:style w:type="paragraph" w:styleId="HTMLPreformatted">
    <w:name w:val="HTML Preformatted"/>
    <w:basedOn w:val="Normal"/>
    <w:link w:val="HTMLPreformattedChar"/>
    <w:rsid w:val="008F7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o-RO" w:eastAsia="ro-RO"/>
    </w:rPr>
  </w:style>
  <w:style w:type="character" w:customStyle="1" w:styleId="HTMLPreformattedChar">
    <w:name w:val="HTML Preformatted Char"/>
    <w:link w:val="HTMLPreformatted"/>
    <w:rsid w:val="008F70A7"/>
    <w:rPr>
      <w:rFonts w:ascii="Courier New" w:hAnsi="Courier New" w:cs="Courier New"/>
      <w:color w:val="000000"/>
    </w:rPr>
  </w:style>
  <w:style w:type="character" w:customStyle="1" w:styleId="rvts18">
    <w:name w:val="rvts18"/>
    <w:rsid w:val="008F70A7"/>
  </w:style>
  <w:style w:type="character" w:customStyle="1" w:styleId="rvts5">
    <w:name w:val="rvts5"/>
    <w:rsid w:val="008F70A7"/>
  </w:style>
  <w:style w:type="character" w:customStyle="1" w:styleId="rvts14">
    <w:name w:val="rvts14"/>
    <w:rsid w:val="008F70A7"/>
  </w:style>
  <w:style w:type="paragraph" w:styleId="FootnoteText">
    <w:name w:val="footnote text"/>
    <w:aliases w:val="Fußnotentext Char,Fußnotentext Char Caracter"/>
    <w:basedOn w:val="Normal"/>
    <w:link w:val="FootnoteTextChar"/>
    <w:rsid w:val="008F70A7"/>
    <w:rPr>
      <w:rFonts w:ascii="Times New Roman" w:hAnsi="Times New Roman"/>
      <w:sz w:val="20"/>
      <w:szCs w:val="20"/>
    </w:rPr>
  </w:style>
  <w:style w:type="character" w:customStyle="1" w:styleId="FootnoteTextChar">
    <w:name w:val="Footnote Text Char"/>
    <w:aliases w:val="Fußnotentext Char Char,Fußnotentext Char Caracter Char"/>
    <w:link w:val="FootnoteText"/>
    <w:rsid w:val="008F70A7"/>
    <w:rPr>
      <w:lang w:val="en-US" w:eastAsia="en-US"/>
    </w:rPr>
  </w:style>
  <w:style w:type="paragraph" w:customStyle="1" w:styleId="rvps1">
    <w:name w:val="rvps1"/>
    <w:basedOn w:val="Normal"/>
    <w:rsid w:val="008F70A7"/>
    <w:pPr>
      <w:jc w:val="center"/>
    </w:pPr>
    <w:rPr>
      <w:rFonts w:ascii="Times New Roman" w:hAnsi="Times New Roman"/>
    </w:rPr>
  </w:style>
  <w:style w:type="paragraph" w:styleId="Header">
    <w:name w:val="header"/>
    <w:basedOn w:val="Normal"/>
    <w:link w:val="HeaderChar"/>
    <w:rsid w:val="008F70A7"/>
    <w:pPr>
      <w:tabs>
        <w:tab w:val="center" w:pos="4320"/>
        <w:tab w:val="right" w:pos="8640"/>
      </w:tabs>
    </w:pPr>
    <w:rPr>
      <w:rFonts w:ascii="Arial" w:hAnsi="Arial"/>
      <w:sz w:val="28"/>
      <w:szCs w:val="20"/>
    </w:rPr>
  </w:style>
  <w:style w:type="character" w:customStyle="1" w:styleId="HeaderChar">
    <w:name w:val="Header Char"/>
    <w:link w:val="Header"/>
    <w:rsid w:val="008F70A7"/>
    <w:rPr>
      <w:rFonts w:ascii="Arial" w:hAnsi="Arial"/>
      <w:sz w:val="28"/>
      <w:lang w:val="en-US" w:eastAsia="en-US"/>
    </w:rPr>
  </w:style>
  <w:style w:type="character" w:customStyle="1" w:styleId="rvts10">
    <w:name w:val="rvts10"/>
    <w:rsid w:val="008F70A7"/>
  </w:style>
  <w:style w:type="character" w:customStyle="1" w:styleId="rvts11">
    <w:name w:val="rvts11"/>
    <w:rsid w:val="008F70A7"/>
  </w:style>
  <w:style w:type="character" w:customStyle="1" w:styleId="rvts8">
    <w:name w:val="rvts8"/>
    <w:rsid w:val="008F70A7"/>
  </w:style>
  <w:style w:type="character" w:customStyle="1" w:styleId="rvts17">
    <w:name w:val="rvts17"/>
    <w:rsid w:val="008F70A7"/>
  </w:style>
  <w:style w:type="character" w:styleId="Emphasis">
    <w:name w:val="Emphasis"/>
    <w:qFormat/>
    <w:rsid w:val="008F70A7"/>
    <w:rPr>
      <w:i/>
      <w:iCs/>
    </w:rPr>
  </w:style>
  <w:style w:type="paragraph" w:customStyle="1" w:styleId="Default">
    <w:name w:val="Default"/>
    <w:rsid w:val="008F70A7"/>
    <w:pPr>
      <w:autoSpaceDE w:val="0"/>
      <w:autoSpaceDN w:val="0"/>
      <w:adjustRightInd w:val="0"/>
    </w:pPr>
    <w:rPr>
      <w:color w:val="000000"/>
      <w:sz w:val="24"/>
      <w:szCs w:val="24"/>
      <w:lang w:val="ro-RO" w:eastAsia="ro-RO"/>
    </w:rPr>
  </w:style>
  <w:style w:type="character" w:styleId="FootnoteReference">
    <w:name w:val="footnote reference"/>
    <w:rsid w:val="008F70A7"/>
    <w:rPr>
      <w:vertAlign w:val="superscript"/>
    </w:rPr>
  </w:style>
  <w:style w:type="character" w:customStyle="1" w:styleId="st">
    <w:name w:val="st"/>
    <w:rsid w:val="008F70A7"/>
  </w:style>
  <w:style w:type="character" w:customStyle="1" w:styleId="rvts6">
    <w:name w:val="rvts6"/>
    <w:rsid w:val="008F70A7"/>
  </w:style>
  <w:style w:type="paragraph" w:styleId="Footer">
    <w:name w:val="footer"/>
    <w:basedOn w:val="Normal"/>
    <w:link w:val="FooterChar"/>
    <w:rsid w:val="00BB700E"/>
    <w:pPr>
      <w:tabs>
        <w:tab w:val="center" w:pos="4536"/>
        <w:tab w:val="right" w:pos="9072"/>
      </w:tabs>
    </w:pPr>
  </w:style>
  <w:style w:type="character" w:customStyle="1" w:styleId="FooterChar">
    <w:name w:val="Footer Char"/>
    <w:link w:val="Footer"/>
    <w:uiPriority w:val="99"/>
    <w:rsid w:val="00BB700E"/>
    <w:rPr>
      <w:rFonts w:ascii="Calibri" w:hAnsi="Calibri"/>
      <w:sz w:val="24"/>
      <w:szCs w:val="24"/>
      <w:lang w:val="en-US" w:eastAsia="en-US"/>
    </w:rPr>
  </w:style>
  <w:style w:type="paragraph" w:customStyle="1" w:styleId="StyleJustified">
    <w:name w:val="Style Justified"/>
    <w:basedOn w:val="Normal"/>
    <w:rsid w:val="00B845DE"/>
    <w:pPr>
      <w:spacing w:after="120"/>
      <w:jc w:val="both"/>
    </w:pPr>
    <w:rPr>
      <w:rFonts w:ascii="Arial" w:hAnsi="Arial"/>
      <w:sz w:val="22"/>
      <w:szCs w:val="20"/>
      <w:lang w:val="en-GB" w:eastAsia="de-DE"/>
    </w:rPr>
  </w:style>
  <w:style w:type="character" w:customStyle="1" w:styleId="longtext">
    <w:name w:val="long_text"/>
    <w:rsid w:val="00B845DE"/>
  </w:style>
  <w:style w:type="character" w:customStyle="1" w:styleId="hps">
    <w:name w:val="hps"/>
    <w:rsid w:val="00B845DE"/>
  </w:style>
  <w:style w:type="character" w:customStyle="1" w:styleId="rvts3">
    <w:name w:val="rvts3"/>
    <w:rsid w:val="00DB1734"/>
    <w:rPr>
      <w:b/>
      <w:bCs/>
      <w:color w:val="191919"/>
    </w:rPr>
  </w:style>
  <w:style w:type="paragraph" w:customStyle="1" w:styleId="CaracterCaracterCharChar">
    <w:name w:val="Caracter Caracter Char Char"/>
    <w:basedOn w:val="Normal"/>
    <w:rsid w:val="00D010FD"/>
    <w:rPr>
      <w:rFonts w:ascii="Arial" w:hAnsi="Arial"/>
      <w:sz w:val="28"/>
      <w:szCs w:val="20"/>
      <w:lang w:val="pl-PL" w:eastAsia="pl-PL"/>
    </w:rPr>
  </w:style>
  <w:style w:type="character" w:customStyle="1" w:styleId="rvts12">
    <w:name w:val="rvts12"/>
    <w:rsid w:val="007F708A"/>
  </w:style>
  <w:style w:type="paragraph" w:styleId="NoSpacing">
    <w:name w:val="No Spacing"/>
    <w:link w:val="NoSpacingChar"/>
    <w:uiPriority w:val="1"/>
    <w:qFormat/>
    <w:rsid w:val="005154EF"/>
    <w:rPr>
      <w:rFonts w:ascii="Calibri" w:eastAsia="MS Mincho" w:hAnsi="Calibri" w:cs="Arial"/>
      <w:sz w:val="22"/>
      <w:szCs w:val="22"/>
      <w:lang w:eastAsia="ja-JP"/>
    </w:rPr>
  </w:style>
  <w:style w:type="character" w:customStyle="1" w:styleId="NoSpacingChar">
    <w:name w:val="No Spacing Char"/>
    <w:link w:val="NoSpacing"/>
    <w:uiPriority w:val="1"/>
    <w:rsid w:val="005154EF"/>
    <w:rPr>
      <w:rFonts w:ascii="Calibri" w:eastAsia="MS Mincho" w:hAnsi="Calibri" w:cs="Arial"/>
      <w:sz w:val="22"/>
      <w:szCs w:val="22"/>
      <w:lang w:val="en-US" w:eastAsia="ja-JP"/>
    </w:rPr>
  </w:style>
  <w:style w:type="paragraph" w:styleId="BalloonText">
    <w:name w:val="Balloon Text"/>
    <w:basedOn w:val="Normal"/>
    <w:link w:val="BalloonTextChar"/>
    <w:rsid w:val="005154EF"/>
    <w:rPr>
      <w:rFonts w:ascii="Tahoma" w:hAnsi="Tahoma" w:cs="Tahoma"/>
      <w:sz w:val="16"/>
      <w:szCs w:val="16"/>
    </w:rPr>
  </w:style>
  <w:style w:type="character" w:customStyle="1" w:styleId="BalloonTextChar">
    <w:name w:val="Balloon Text Char"/>
    <w:link w:val="BalloonText"/>
    <w:rsid w:val="005154EF"/>
    <w:rPr>
      <w:rFonts w:ascii="Tahoma" w:hAnsi="Tahoma" w:cs="Tahoma"/>
      <w:sz w:val="16"/>
      <w:szCs w:val="16"/>
      <w:lang w:val="en-US" w:eastAsia="en-US"/>
    </w:rPr>
  </w:style>
  <w:style w:type="character" w:customStyle="1" w:styleId="rvts13">
    <w:name w:val="rvts13"/>
    <w:rsid w:val="00F814FC"/>
  </w:style>
  <w:style w:type="character" w:customStyle="1" w:styleId="rvts20">
    <w:name w:val="rvts20"/>
    <w:rsid w:val="00F814FC"/>
    <w:rPr>
      <w:rFonts w:ascii="Times New Roman" w:hAnsi="Times New Roman" w:cs="Times New Roman" w:hint="default"/>
      <w:i/>
      <w:iCs/>
      <w:color w:val="008000"/>
      <w:sz w:val="24"/>
      <w:szCs w:val="24"/>
    </w:rPr>
  </w:style>
  <w:style w:type="character" w:customStyle="1" w:styleId="rvts15">
    <w:name w:val="rvts15"/>
    <w:rsid w:val="00F33D3F"/>
  </w:style>
  <w:style w:type="character" w:customStyle="1" w:styleId="AddParagrafChar">
    <w:name w:val="AddParagraf Char"/>
    <w:locked/>
    <w:rsid w:val="007C1FE5"/>
    <w:rPr>
      <w:rFonts w:ascii="Garamond" w:eastAsia="Batang" w:hAnsi="Garamond"/>
      <w:bCs/>
      <w:kern w:val="28"/>
      <w:sz w:val="24"/>
      <w:szCs w:val="24"/>
    </w:rPr>
  </w:style>
  <w:style w:type="character" w:styleId="PageNumber">
    <w:name w:val="page number"/>
    <w:basedOn w:val="DefaultParagraphFont"/>
    <w:rsid w:val="00A9684C"/>
  </w:style>
  <w:style w:type="paragraph" w:customStyle="1" w:styleId="Raport1">
    <w:name w:val="Raport 1"/>
    <w:basedOn w:val="Heading1"/>
    <w:rsid w:val="000802D5"/>
    <w:pPr>
      <w:tabs>
        <w:tab w:val="clear" w:pos="1843"/>
      </w:tabs>
      <w:spacing w:after="60" w:line="240" w:lineRule="auto"/>
      <w:jc w:val="left"/>
    </w:pPr>
    <w:rPr>
      <w:rFonts w:ascii="Garamond" w:hAnsi="Garamond" w:cs="Times New Roman"/>
      <w:lang w:eastAsia="ro-RO"/>
    </w:rPr>
  </w:style>
  <w:style w:type="paragraph" w:customStyle="1" w:styleId="Raport2">
    <w:name w:val="Raport 2"/>
    <w:basedOn w:val="Heading2"/>
    <w:link w:val="Raport2Caracter"/>
    <w:rsid w:val="000802D5"/>
    <w:pPr>
      <w:tabs>
        <w:tab w:val="clear" w:pos="567"/>
      </w:tabs>
      <w:spacing w:after="60" w:line="240" w:lineRule="auto"/>
      <w:ind w:firstLine="720"/>
      <w:jc w:val="left"/>
    </w:pPr>
    <w:rPr>
      <w:rFonts w:ascii="Garamond" w:hAnsi="Garamond"/>
      <w:bCs w:val="0"/>
      <w:i/>
      <w:iCs/>
      <w:lang w:eastAsia="ro-RO"/>
    </w:rPr>
  </w:style>
  <w:style w:type="character" w:customStyle="1" w:styleId="Raport2Caracter">
    <w:name w:val="Raport 2 Caracter"/>
    <w:link w:val="Raport2"/>
    <w:rsid w:val="000802D5"/>
    <w:rPr>
      <w:rFonts w:ascii="Garamond" w:hAnsi="Garamond"/>
      <w:b/>
      <w:bCs/>
      <w:i/>
      <w:iCs/>
      <w:sz w:val="24"/>
      <w:szCs w:val="24"/>
      <w:lang w:val="ro-RO" w:eastAsia="ro-RO" w:bidi="ar-SA"/>
    </w:rPr>
  </w:style>
  <w:style w:type="paragraph" w:styleId="TOC5">
    <w:name w:val="toc 5"/>
    <w:basedOn w:val="Normal"/>
    <w:next w:val="Normal"/>
    <w:autoRedefine/>
    <w:semiHidden/>
    <w:rsid w:val="00884FE5"/>
    <w:pPr>
      <w:ind w:left="960"/>
    </w:pPr>
    <w:rPr>
      <w:rFonts w:ascii="Times New Roman" w:hAnsi="Times New Roman"/>
      <w:sz w:val="20"/>
      <w:szCs w:val="20"/>
    </w:rPr>
  </w:style>
  <w:style w:type="paragraph" w:styleId="TOC6">
    <w:name w:val="toc 6"/>
    <w:basedOn w:val="Normal"/>
    <w:next w:val="Normal"/>
    <w:autoRedefine/>
    <w:semiHidden/>
    <w:rsid w:val="00884FE5"/>
    <w:pPr>
      <w:ind w:left="1200"/>
    </w:pPr>
    <w:rPr>
      <w:rFonts w:ascii="Times New Roman" w:hAnsi="Times New Roman"/>
      <w:sz w:val="20"/>
      <w:szCs w:val="20"/>
    </w:rPr>
  </w:style>
  <w:style w:type="paragraph" w:styleId="TOC7">
    <w:name w:val="toc 7"/>
    <w:basedOn w:val="Normal"/>
    <w:next w:val="Normal"/>
    <w:autoRedefine/>
    <w:semiHidden/>
    <w:rsid w:val="00884FE5"/>
    <w:pPr>
      <w:ind w:left="1440"/>
    </w:pPr>
    <w:rPr>
      <w:rFonts w:ascii="Times New Roman" w:hAnsi="Times New Roman"/>
      <w:sz w:val="20"/>
      <w:szCs w:val="20"/>
    </w:rPr>
  </w:style>
  <w:style w:type="paragraph" w:styleId="TOC8">
    <w:name w:val="toc 8"/>
    <w:basedOn w:val="Normal"/>
    <w:next w:val="Normal"/>
    <w:autoRedefine/>
    <w:semiHidden/>
    <w:rsid w:val="00884FE5"/>
    <w:pPr>
      <w:ind w:left="1680"/>
    </w:pPr>
    <w:rPr>
      <w:rFonts w:ascii="Times New Roman" w:hAnsi="Times New Roman"/>
      <w:sz w:val="20"/>
      <w:szCs w:val="20"/>
    </w:rPr>
  </w:style>
  <w:style w:type="paragraph" w:styleId="TOC9">
    <w:name w:val="toc 9"/>
    <w:basedOn w:val="Normal"/>
    <w:next w:val="Normal"/>
    <w:autoRedefine/>
    <w:semiHidden/>
    <w:rsid w:val="00884FE5"/>
    <w:pPr>
      <w:ind w:left="1920"/>
    </w:pPr>
    <w:rPr>
      <w:rFonts w:ascii="Times New Roman" w:hAnsi="Times New Roman"/>
      <w:sz w:val="20"/>
      <w:szCs w:val="20"/>
    </w:rPr>
  </w:style>
  <w:style w:type="table" w:styleId="TableGrid">
    <w:name w:val="Table Grid"/>
    <w:basedOn w:val="TableNormal"/>
    <w:rsid w:val="00DF2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rsid w:val="00DF2430"/>
    <w:pPr>
      <w:spacing w:before="100" w:beforeAutospacing="1" w:after="100" w:afterAutospacing="1"/>
    </w:pPr>
    <w:rPr>
      <w:rFonts w:ascii="Times New Roman" w:hAnsi="Times New Roman"/>
      <w:lang w:val="ro-RO" w:eastAsia="ro-RO"/>
    </w:rPr>
  </w:style>
  <w:style w:type="paragraph" w:customStyle="1" w:styleId="CharChar2">
    <w:name w:val="Char Char2"/>
    <w:basedOn w:val="Normal"/>
    <w:rsid w:val="00DF2430"/>
    <w:rPr>
      <w:rFonts w:ascii="Times New Roman" w:hAnsi="Times New Roman"/>
      <w:sz w:val="20"/>
      <w:szCs w:val="20"/>
      <w:lang w:val="pl-PL" w:eastAsia="pl-PL"/>
    </w:rPr>
  </w:style>
  <w:style w:type="paragraph" w:customStyle="1" w:styleId="CaracterCaracter2CharCharCaracterCaracterCharChar">
    <w:name w:val="Caracter Caracter2 Char Char Caracter Caracter Char Char"/>
    <w:basedOn w:val="Normal"/>
    <w:rsid w:val="00DF2430"/>
    <w:rPr>
      <w:rFonts w:ascii="Times New Roman" w:hAnsi="Times New Roman"/>
      <w:lang w:val="pl-PL" w:eastAsia="pl-PL"/>
    </w:rPr>
  </w:style>
  <w:style w:type="paragraph" w:customStyle="1" w:styleId="CaracterCaracterCharChar0">
    <w:name w:val="Caracter Caracter Char Char"/>
    <w:basedOn w:val="Normal"/>
    <w:rsid w:val="00DF2430"/>
    <w:rPr>
      <w:rFonts w:ascii="Times New Roman" w:hAnsi="Times New Roman"/>
      <w:lang w:val="pl-PL" w:eastAsia="pl-PL"/>
    </w:rPr>
  </w:style>
  <w:style w:type="paragraph" w:customStyle="1" w:styleId="Norml1al">
    <w:name w:val="Normál 1_alá"/>
    <w:basedOn w:val="Normal"/>
    <w:rsid w:val="00DF2430"/>
    <w:pPr>
      <w:tabs>
        <w:tab w:val="num" w:pos="993"/>
        <w:tab w:val="num" w:pos="2160"/>
      </w:tabs>
      <w:spacing w:before="80" w:after="80" w:line="280" w:lineRule="atLeast"/>
      <w:ind w:left="993" w:hanging="357"/>
      <w:jc w:val="both"/>
    </w:pPr>
    <w:rPr>
      <w:rFonts w:ascii="Arial" w:hAnsi="Arial" w:cs="Arial"/>
      <w:sz w:val="20"/>
      <w:szCs w:val="20"/>
      <w:lang w:val="en-GB" w:eastAsia="hu-HU"/>
    </w:rPr>
  </w:style>
  <w:style w:type="paragraph" w:customStyle="1" w:styleId="Standard">
    <w:name w:val="Standard"/>
    <w:rsid w:val="00DF2430"/>
    <w:pPr>
      <w:widowControl w:val="0"/>
      <w:autoSpaceDE w:val="0"/>
      <w:autoSpaceDN w:val="0"/>
      <w:adjustRightInd w:val="0"/>
    </w:pPr>
    <w:rPr>
      <w:rFonts w:ascii="Arial" w:hAnsi="Arial" w:cs="Arial"/>
      <w:sz w:val="24"/>
      <w:szCs w:val="24"/>
      <w:lang w:val="ro-RO" w:eastAsia="ro-RO"/>
    </w:rPr>
  </w:style>
  <w:style w:type="character" w:customStyle="1" w:styleId="style3">
    <w:name w:val="style3"/>
    <w:basedOn w:val="DefaultParagraphFont"/>
    <w:rsid w:val="00DF2430"/>
  </w:style>
  <w:style w:type="character" w:customStyle="1" w:styleId="meniutext">
    <w:name w:val="meniu_text"/>
    <w:basedOn w:val="DefaultParagraphFont"/>
    <w:rsid w:val="00DF2430"/>
  </w:style>
  <w:style w:type="paragraph" w:customStyle="1" w:styleId="CharChar3">
    <w:name w:val="Char Char3"/>
    <w:basedOn w:val="Normal"/>
    <w:rsid w:val="00DF2430"/>
    <w:rPr>
      <w:rFonts w:ascii="Times New Roman" w:hAnsi="Times New Roman"/>
      <w:lang w:val="pl-PL" w:eastAsia="pl-PL"/>
    </w:rPr>
  </w:style>
  <w:style w:type="paragraph" w:customStyle="1" w:styleId="CharChar2CaracterCharChar">
    <w:name w:val="Char Char2 Caracter Char Char"/>
    <w:basedOn w:val="Normal"/>
    <w:rsid w:val="00DF2430"/>
    <w:rPr>
      <w:rFonts w:ascii="Times New Roman" w:hAnsi="Times New Roman"/>
      <w:lang w:val="pl-PL" w:eastAsia="pl-PL"/>
    </w:rPr>
  </w:style>
  <w:style w:type="paragraph" w:customStyle="1" w:styleId="CharChar2CaracterCharChar0">
    <w:name w:val="Char Char2 Caracter Char Char"/>
    <w:basedOn w:val="Normal"/>
    <w:rsid w:val="00DF2430"/>
    <w:rPr>
      <w:rFonts w:ascii="Times New Roman" w:hAnsi="Times New Roman"/>
      <w:lang w:val="pl-PL" w:eastAsia="pl-PL"/>
    </w:rPr>
  </w:style>
  <w:style w:type="paragraph" w:customStyle="1" w:styleId="CharChar">
    <w:name w:val="Char Char"/>
    <w:basedOn w:val="Normal"/>
    <w:rsid w:val="00DF2430"/>
    <w:rPr>
      <w:rFonts w:ascii="Times New Roman" w:hAnsi="Times New Roman"/>
      <w:sz w:val="20"/>
      <w:szCs w:val="20"/>
      <w:lang w:val="pl-PL" w:eastAsia="pl-PL"/>
    </w:rPr>
  </w:style>
  <w:style w:type="paragraph" w:customStyle="1" w:styleId="CaracterCharChar">
    <w:name w:val="Caracter Char Char"/>
    <w:basedOn w:val="Normal"/>
    <w:rsid w:val="00DF2430"/>
    <w:rPr>
      <w:rFonts w:ascii="Times New Roman" w:hAnsi="Times New Roman"/>
      <w:lang w:val="pl-PL" w:eastAsia="pl-PL"/>
    </w:rPr>
  </w:style>
  <w:style w:type="paragraph" w:styleId="BodyText">
    <w:name w:val="Body Text"/>
    <w:basedOn w:val="Normal"/>
    <w:rsid w:val="00DF2430"/>
    <w:pPr>
      <w:jc w:val="center"/>
    </w:pPr>
    <w:rPr>
      <w:rFonts w:ascii="Times New Roman" w:hAnsi="Times New Roman"/>
      <w:b/>
      <w:sz w:val="28"/>
      <w:szCs w:val="20"/>
      <w:lang w:val="ro-RO"/>
    </w:rPr>
  </w:style>
  <w:style w:type="paragraph" w:customStyle="1" w:styleId="CharCaracterCaracter">
    <w:name w:val="Char Caracter Caracter"/>
    <w:basedOn w:val="Normal"/>
    <w:rsid w:val="00DF2430"/>
    <w:rPr>
      <w:rFonts w:ascii="Times New Roman" w:hAnsi="Times New Roman"/>
      <w:lang w:val="pl-PL" w:eastAsia="pl-PL"/>
    </w:rPr>
  </w:style>
  <w:style w:type="paragraph" w:customStyle="1" w:styleId="Corptext5">
    <w:name w:val="Corp text 5"/>
    <w:basedOn w:val="BodyText"/>
    <w:autoRedefine/>
    <w:rsid w:val="00DF2430"/>
    <w:pPr>
      <w:widowControl w:val="0"/>
      <w:shd w:val="clear" w:color="auto" w:fill="FFFFFF"/>
      <w:tabs>
        <w:tab w:val="left" w:pos="0"/>
      </w:tabs>
      <w:autoSpaceDE w:val="0"/>
      <w:autoSpaceDN w:val="0"/>
      <w:adjustRightInd w:val="0"/>
      <w:ind w:firstLine="720"/>
      <w:jc w:val="both"/>
    </w:pPr>
    <w:rPr>
      <w:rFonts w:ascii="Bookman Old Style" w:hAnsi="Bookman Old Style"/>
      <w:b w:val="0"/>
      <w:sz w:val="24"/>
      <w:szCs w:val="24"/>
      <w:lang w:eastAsia="ro-RO"/>
    </w:rPr>
  </w:style>
  <w:style w:type="paragraph" w:customStyle="1" w:styleId="CharChar1">
    <w:name w:val="Char Char1"/>
    <w:basedOn w:val="Normal"/>
    <w:rsid w:val="00DF2430"/>
    <w:rPr>
      <w:rFonts w:ascii="Times New Roman" w:hAnsi="Times New Roman"/>
      <w:sz w:val="20"/>
      <w:szCs w:val="20"/>
      <w:lang w:val="pl-PL" w:eastAsia="pl-PL"/>
    </w:rPr>
  </w:style>
  <w:style w:type="character" w:customStyle="1" w:styleId="rvts9">
    <w:name w:val="rvts9"/>
    <w:basedOn w:val="DefaultParagraphFont"/>
    <w:rsid w:val="00DF2430"/>
  </w:style>
  <w:style w:type="character" w:customStyle="1" w:styleId="titludespetatitlu">
    <w:name w:val="titlu de speta titlu"/>
    <w:basedOn w:val="DefaultParagraphFont"/>
    <w:rsid w:val="00DF2430"/>
  </w:style>
  <w:style w:type="character" w:customStyle="1" w:styleId="rvts4">
    <w:name w:val="rvts4"/>
    <w:basedOn w:val="DefaultParagraphFont"/>
    <w:rsid w:val="00DF2430"/>
  </w:style>
  <w:style w:type="paragraph" w:customStyle="1" w:styleId="rvps2">
    <w:name w:val="rvps2"/>
    <w:basedOn w:val="Normal"/>
    <w:rsid w:val="00DF2430"/>
    <w:pPr>
      <w:spacing w:before="100" w:beforeAutospacing="1" w:after="100" w:afterAutospacing="1"/>
    </w:pPr>
    <w:rPr>
      <w:rFonts w:ascii="Times New Roman" w:hAnsi="Times New Roman"/>
    </w:rPr>
  </w:style>
  <w:style w:type="paragraph" w:styleId="BodyTextIndent">
    <w:name w:val="Body Text Indent"/>
    <w:basedOn w:val="Normal"/>
    <w:rsid w:val="00DF2430"/>
    <w:pPr>
      <w:spacing w:after="120"/>
      <w:ind w:left="283"/>
    </w:pPr>
    <w:rPr>
      <w:rFonts w:ascii="Times New Roman" w:hAnsi="Times New Roman"/>
    </w:rPr>
  </w:style>
  <w:style w:type="paragraph" w:styleId="BodyText2">
    <w:name w:val="Body Text 2"/>
    <w:basedOn w:val="Normal"/>
    <w:rsid w:val="00DF2430"/>
    <w:pPr>
      <w:spacing w:after="120" w:line="480" w:lineRule="auto"/>
    </w:pPr>
    <w:rPr>
      <w:rFonts w:ascii="Times New Roman" w:hAnsi="Times New Roman"/>
      <w:lang w:val="ro-RO" w:eastAsia="ro-RO"/>
    </w:rPr>
  </w:style>
  <w:style w:type="paragraph" w:styleId="BodyTextIndent2">
    <w:name w:val="Body Text Indent 2"/>
    <w:basedOn w:val="Normal"/>
    <w:rsid w:val="00DF2430"/>
    <w:pPr>
      <w:spacing w:after="120" w:line="480" w:lineRule="auto"/>
      <w:ind w:left="283"/>
    </w:pPr>
    <w:rPr>
      <w:rFonts w:ascii="Times New Roman" w:hAnsi="Times New Roman"/>
    </w:rPr>
  </w:style>
  <w:style w:type="paragraph" w:customStyle="1" w:styleId="Caracter">
    <w:name w:val="Caracter"/>
    <w:basedOn w:val="Normal"/>
    <w:rsid w:val="00DF2430"/>
    <w:rPr>
      <w:rFonts w:ascii="Times New Roman" w:hAnsi="Times New Roman"/>
      <w:lang w:val="pl-PL" w:eastAsia="pl-PL"/>
    </w:rPr>
  </w:style>
  <w:style w:type="paragraph" w:customStyle="1" w:styleId="Char">
    <w:name w:val="Char"/>
    <w:basedOn w:val="Normal"/>
    <w:rsid w:val="00DF2430"/>
    <w:rPr>
      <w:rFonts w:ascii="Times New Roman" w:hAnsi="Times New Roman"/>
      <w:lang w:val="pl-PL" w:eastAsia="pl-PL"/>
    </w:rPr>
  </w:style>
  <w:style w:type="paragraph" w:styleId="BodyTextIndent3">
    <w:name w:val="Body Text Indent 3"/>
    <w:basedOn w:val="Normal"/>
    <w:rsid w:val="00DF2430"/>
    <w:pPr>
      <w:spacing w:after="120"/>
      <w:ind w:left="283"/>
    </w:pPr>
    <w:rPr>
      <w:rFonts w:ascii="Times New Roman" w:hAnsi="Times New Roman"/>
      <w:sz w:val="16"/>
      <w:szCs w:val="16"/>
    </w:rPr>
  </w:style>
  <w:style w:type="paragraph" w:styleId="BodyText3">
    <w:name w:val="Body Text 3"/>
    <w:basedOn w:val="Normal"/>
    <w:rsid w:val="00DF2430"/>
    <w:pPr>
      <w:spacing w:after="120"/>
    </w:pPr>
    <w:rPr>
      <w:rFonts w:ascii="Times New Roman" w:hAnsi="Times New Roman"/>
      <w:sz w:val="16"/>
      <w:szCs w:val="16"/>
    </w:rPr>
  </w:style>
  <w:style w:type="paragraph" w:customStyle="1" w:styleId="Char0">
    <w:name w:val="Char"/>
    <w:basedOn w:val="Normal"/>
    <w:rsid w:val="00DF2430"/>
    <w:rPr>
      <w:rFonts w:ascii="Times New Roman" w:hAnsi="Times New Roman"/>
      <w:lang w:val="pl-PL" w:eastAsia="pl-PL"/>
    </w:rPr>
  </w:style>
  <w:style w:type="character" w:customStyle="1" w:styleId="FontStyle18">
    <w:name w:val="Font Style18"/>
    <w:rsid w:val="00DF2430"/>
    <w:rPr>
      <w:rFonts w:ascii="Times New Roman" w:hAnsi="Times New Roman" w:cs="Times New Roman"/>
      <w:sz w:val="24"/>
      <w:szCs w:val="24"/>
    </w:rPr>
  </w:style>
  <w:style w:type="paragraph" w:customStyle="1" w:styleId="Style8">
    <w:name w:val="Style8"/>
    <w:basedOn w:val="Normal"/>
    <w:rsid w:val="00DF2430"/>
    <w:pPr>
      <w:widowControl w:val="0"/>
      <w:autoSpaceDE w:val="0"/>
      <w:autoSpaceDN w:val="0"/>
      <w:adjustRightInd w:val="0"/>
      <w:spacing w:line="324" w:lineRule="exact"/>
      <w:ind w:firstLine="1440"/>
      <w:jc w:val="both"/>
    </w:pPr>
    <w:rPr>
      <w:rFonts w:ascii="Times New Roman" w:hAnsi="Times New Roman"/>
    </w:rPr>
  </w:style>
  <w:style w:type="paragraph" w:customStyle="1" w:styleId="Style20">
    <w:name w:val="Style20"/>
    <w:basedOn w:val="Normal"/>
    <w:rsid w:val="00DF2430"/>
    <w:pPr>
      <w:widowControl w:val="0"/>
      <w:autoSpaceDE w:val="0"/>
      <w:autoSpaceDN w:val="0"/>
      <w:adjustRightInd w:val="0"/>
      <w:spacing w:line="259" w:lineRule="exact"/>
      <w:ind w:firstLine="701"/>
      <w:jc w:val="both"/>
    </w:pPr>
    <w:rPr>
      <w:rFonts w:ascii="Trebuchet MS" w:hAnsi="Trebuchet MS" w:cs="Trebuchet MS"/>
    </w:rPr>
  </w:style>
  <w:style w:type="character" w:customStyle="1" w:styleId="FontStyle50">
    <w:name w:val="Font Style50"/>
    <w:rsid w:val="00DF2430"/>
    <w:rPr>
      <w:rFonts w:ascii="Times New Roman" w:hAnsi="Times New Roman" w:cs="Times New Roman"/>
      <w:sz w:val="20"/>
      <w:szCs w:val="20"/>
    </w:rPr>
  </w:style>
  <w:style w:type="character" w:customStyle="1" w:styleId="spelle">
    <w:name w:val="spelle"/>
    <w:basedOn w:val="DefaultParagraphFont"/>
    <w:rsid w:val="00DF2430"/>
  </w:style>
  <w:style w:type="character" w:customStyle="1" w:styleId="normal--char">
    <w:name w:val="normal--char"/>
    <w:basedOn w:val="DefaultParagraphFont"/>
    <w:rsid w:val="00DF2430"/>
  </w:style>
  <w:style w:type="paragraph" w:customStyle="1" w:styleId="Normal1">
    <w:name w:val="Normal1"/>
    <w:basedOn w:val="Normal"/>
    <w:rsid w:val="00DF2430"/>
    <w:pPr>
      <w:spacing w:before="100" w:beforeAutospacing="1" w:after="100" w:afterAutospacing="1"/>
    </w:pPr>
    <w:rPr>
      <w:rFonts w:ascii="Times New Roman" w:hAnsi="Times New Roman"/>
      <w:lang w:val="ro-RO"/>
    </w:rPr>
  </w:style>
  <w:style w:type="paragraph" w:customStyle="1" w:styleId="CharChar2CaracterCaracter">
    <w:name w:val="Char Char2 Caracter Caracter"/>
    <w:basedOn w:val="Normal"/>
    <w:rsid w:val="00DF2430"/>
    <w:rPr>
      <w:rFonts w:ascii="Times New Roman" w:hAnsi="Times New Roman"/>
      <w:sz w:val="20"/>
      <w:szCs w:val="20"/>
      <w:lang w:val="pl-PL" w:eastAsia="pl-PL"/>
    </w:rPr>
  </w:style>
  <w:style w:type="paragraph" w:customStyle="1" w:styleId="Style1">
    <w:name w:val="Style 1"/>
    <w:rsid w:val="00DF2430"/>
    <w:pPr>
      <w:widowControl w:val="0"/>
      <w:autoSpaceDE w:val="0"/>
      <w:autoSpaceDN w:val="0"/>
      <w:adjustRightInd w:val="0"/>
    </w:pPr>
    <w:rPr>
      <w:rFonts w:eastAsia="SimSun"/>
      <w:lang w:val="ro-RO" w:eastAsia="zh-CN"/>
    </w:rPr>
  </w:style>
  <w:style w:type="character" w:customStyle="1" w:styleId="rvts189">
    <w:name w:val="rvts189"/>
    <w:basedOn w:val="DefaultParagraphFont"/>
    <w:rsid w:val="00DF2430"/>
  </w:style>
  <w:style w:type="character" w:customStyle="1" w:styleId="rvts190">
    <w:name w:val="rvts190"/>
    <w:basedOn w:val="DefaultParagraphFont"/>
    <w:rsid w:val="00DF2430"/>
  </w:style>
  <w:style w:type="character" w:customStyle="1" w:styleId="noticetext">
    <w:name w:val="noticetext"/>
    <w:basedOn w:val="DefaultParagraphFont"/>
    <w:rsid w:val="00DF2430"/>
  </w:style>
  <w:style w:type="paragraph" w:customStyle="1" w:styleId="Style2">
    <w:name w:val="Style2"/>
    <w:basedOn w:val="Normal"/>
    <w:rsid w:val="00DF2430"/>
    <w:pPr>
      <w:widowControl w:val="0"/>
      <w:autoSpaceDE w:val="0"/>
      <w:autoSpaceDN w:val="0"/>
      <w:adjustRightInd w:val="0"/>
    </w:pPr>
    <w:rPr>
      <w:rFonts w:ascii="Times New Roman" w:hAnsi="Times New Roman"/>
      <w:lang w:val="ro-RO" w:eastAsia="ro-RO"/>
    </w:rPr>
  </w:style>
  <w:style w:type="paragraph" w:customStyle="1" w:styleId="CharCharCaracterCaracter1CharChar">
    <w:name w:val="Char Char Caracter Caracter1 Char Char"/>
    <w:basedOn w:val="Normal"/>
    <w:rsid w:val="00DF2430"/>
    <w:rPr>
      <w:rFonts w:ascii="Arial" w:hAnsi="Arial"/>
      <w:sz w:val="28"/>
      <w:szCs w:val="20"/>
      <w:lang w:val="pl-PL" w:eastAsia="pl-PL"/>
    </w:rPr>
  </w:style>
  <w:style w:type="paragraph" w:customStyle="1" w:styleId="CaracterCaracterCharCharCaracterCaracterCharCharCaracterCaracterCharCharCaracterCaracterCharChar1CaracterCaracterCharCharCaracterCaracter">
    <w:name w:val="Caracter Caracter Char Char Caracter Caracter Char Char Caracter Caracter Char Char Caracter Caracter Char Char1 Caracter Caracter Char Char Caracter Caracter"/>
    <w:basedOn w:val="Normal"/>
    <w:rsid w:val="00DF2430"/>
    <w:rPr>
      <w:rFonts w:ascii="Times New Roman" w:hAnsi="Times New Roman"/>
      <w:lang w:val="pl-PL" w:eastAsia="pl-PL"/>
    </w:rPr>
  </w:style>
  <w:style w:type="paragraph" w:customStyle="1" w:styleId="CharChar1CaracterCaracterCharChar">
    <w:name w:val="Char Char1 Caracter Caracter Char Char"/>
    <w:basedOn w:val="Normal"/>
    <w:rsid w:val="00DF2430"/>
    <w:rPr>
      <w:rFonts w:ascii="Times New Roman" w:hAnsi="Times New Roman"/>
      <w:lang w:val="pl-PL" w:eastAsia="pl-PL"/>
    </w:rPr>
  </w:style>
  <w:style w:type="paragraph" w:customStyle="1" w:styleId="Style14">
    <w:name w:val="Style14"/>
    <w:basedOn w:val="Normal"/>
    <w:rsid w:val="00DF2430"/>
    <w:pPr>
      <w:widowControl w:val="0"/>
      <w:autoSpaceDE w:val="0"/>
      <w:autoSpaceDN w:val="0"/>
      <w:adjustRightInd w:val="0"/>
      <w:spacing w:line="250" w:lineRule="exact"/>
      <w:ind w:firstLine="701"/>
      <w:jc w:val="both"/>
    </w:pPr>
    <w:rPr>
      <w:rFonts w:ascii="Trebuchet MS" w:hAnsi="Trebuchet MS" w:cs="Trebuchet MS"/>
    </w:rPr>
  </w:style>
  <w:style w:type="paragraph" w:customStyle="1" w:styleId="CaracterCaracterCharCharCaracterCaracterCharCharCaracterCaracterCharChar">
    <w:name w:val="Caracter Caracter Char Char Caracter Caracter Char Char Caracter Caracter Char Char"/>
    <w:basedOn w:val="Normal"/>
    <w:rsid w:val="00DF2430"/>
    <w:rPr>
      <w:rFonts w:ascii="Times New Roman" w:hAnsi="Times New Roman"/>
      <w:lang w:val="pl-PL" w:eastAsia="pl-PL"/>
    </w:rPr>
  </w:style>
  <w:style w:type="paragraph" w:customStyle="1" w:styleId="Style12">
    <w:name w:val="Style12"/>
    <w:basedOn w:val="Normal"/>
    <w:rsid w:val="00DF2430"/>
    <w:pPr>
      <w:widowControl w:val="0"/>
      <w:autoSpaceDE w:val="0"/>
      <w:autoSpaceDN w:val="0"/>
      <w:adjustRightInd w:val="0"/>
      <w:jc w:val="both"/>
    </w:pPr>
    <w:rPr>
      <w:rFonts w:ascii="Arial" w:hAnsi="Arial"/>
    </w:rPr>
  </w:style>
  <w:style w:type="character" w:customStyle="1" w:styleId="FontStyle22">
    <w:name w:val="Font Style22"/>
    <w:rsid w:val="00DF2430"/>
    <w:rPr>
      <w:rFonts w:ascii="Arial" w:hAnsi="Arial" w:cs="Arial"/>
      <w:spacing w:val="-10"/>
      <w:sz w:val="24"/>
      <w:szCs w:val="24"/>
    </w:rPr>
  </w:style>
  <w:style w:type="paragraph" w:customStyle="1" w:styleId="Style10">
    <w:name w:val="Style10"/>
    <w:basedOn w:val="Normal"/>
    <w:rsid w:val="00DF2430"/>
    <w:pPr>
      <w:widowControl w:val="0"/>
      <w:autoSpaceDE w:val="0"/>
      <w:autoSpaceDN w:val="0"/>
      <w:adjustRightInd w:val="0"/>
      <w:spacing w:line="310" w:lineRule="exact"/>
      <w:ind w:firstLine="1085"/>
      <w:jc w:val="both"/>
    </w:pPr>
    <w:rPr>
      <w:rFonts w:ascii="Arial" w:hAnsi="Arial"/>
    </w:rPr>
  </w:style>
  <w:style w:type="paragraph" w:styleId="Caption">
    <w:name w:val="caption"/>
    <w:basedOn w:val="Normal"/>
    <w:next w:val="Normal"/>
    <w:qFormat/>
    <w:rsid w:val="00DF2430"/>
    <w:rPr>
      <w:b/>
      <w:bCs/>
      <w:sz w:val="20"/>
      <w:szCs w:val="20"/>
    </w:rPr>
  </w:style>
  <w:style w:type="paragraph" w:customStyle="1" w:styleId="T">
    <w:name w:val="T"/>
    <w:basedOn w:val="Normal"/>
    <w:rsid w:val="00A80C35"/>
    <w:pPr>
      <w:spacing w:before="120" w:line="360" w:lineRule="auto"/>
      <w:ind w:firstLine="684"/>
      <w:jc w:val="both"/>
    </w:pPr>
    <w:rPr>
      <w:rFonts w:cs="Arial"/>
      <w:lang w:val="ro-RO"/>
    </w:rPr>
  </w:style>
  <w:style w:type="character" w:customStyle="1" w:styleId="CaracterCaracter13">
    <w:name w:val="Caracter Caracter13"/>
    <w:rsid w:val="00C5566A"/>
    <w:rPr>
      <w:rFonts w:ascii="Calibri" w:hAnsi="Calibri" w:cs="Calibri"/>
      <w:b/>
      <w:bCs/>
      <w:kern w:val="32"/>
      <w:sz w:val="28"/>
      <w:szCs w:val="28"/>
      <w:lang w:val="ro-RO"/>
    </w:rPr>
  </w:style>
  <w:style w:type="character" w:customStyle="1" w:styleId="CaracterCaracter12">
    <w:name w:val="Caracter Caracter12"/>
    <w:rsid w:val="00C5566A"/>
    <w:rPr>
      <w:rFonts w:ascii="Calibri" w:hAnsi="Calibri"/>
      <w:b/>
      <w:sz w:val="24"/>
      <w:szCs w:val="24"/>
      <w:lang w:val="ro-RO"/>
    </w:rPr>
  </w:style>
  <w:style w:type="character" w:customStyle="1" w:styleId="CaracterCaracter11">
    <w:name w:val="Caracter Caracter11"/>
    <w:rsid w:val="00C5566A"/>
    <w:rPr>
      <w:rFonts w:ascii="Calibri" w:hAnsi="Calibri" w:cs="Calibri"/>
      <w:b/>
      <w:bCs/>
      <w:i/>
      <w:sz w:val="24"/>
      <w:szCs w:val="24"/>
      <w:lang w:val="ro-RO"/>
    </w:rPr>
  </w:style>
  <w:style w:type="character" w:customStyle="1" w:styleId="CaracterCaracter10">
    <w:name w:val="Caracter Caracter10"/>
    <w:rsid w:val="00C5566A"/>
    <w:rPr>
      <w:rFonts w:ascii="Calibri" w:hAnsi="Calibri" w:cs="Arial"/>
      <w:bCs/>
      <w:i/>
      <w:sz w:val="24"/>
      <w:szCs w:val="24"/>
      <w:u w:val="single"/>
    </w:rPr>
  </w:style>
  <w:style w:type="paragraph" w:customStyle="1" w:styleId="AddParagrafBoldItalic">
    <w:name w:val="AddParagrafBoldItalic"/>
    <w:basedOn w:val="Normal"/>
    <w:autoRedefine/>
    <w:uiPriority w:val="99"/>
    <w:rsid w:val="001978EF"/>
    <w:pPr>
      <w:keepNext/>
      <w:spacing w:before="240"/>
      <w:ind w:firstLine="567"/>
    </w:pPr>
    <w:rPr>
      <w:b/>
      <w:lang w:val="ro-RO"/>
    </w:rPr>
  </w:style>
  <w:style w:type="character" w:customStyle="1" w:styleId="apple-converted-space">
    <w:name w:val="apple-converted-space"/>
    <w:rsid w:val="00FE0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5797">
      <w:bodyDiv w:val="1"/>
      <w:marLeft w:val="0"/>
      <w:marRight w:val="0"/>
      <w:marTop w:val="0"/>
      <w:marBottom w:val="0"/>
      <w:divBdr>
        <w:top w:val="none" w:sz="0" w:space="0" w:color="auto"/>
        <w:left w:val="none" w:sz="0" w:space="0" w:color="auto"/>
        <w:bottom w:val="none" w:sz="0" w:space="0" w:color="auto"/>
        <w:right w:val="none" w:sz="0" w:space="0" w:color="auto"/>
      </w:divBdr>
    </w:div>
    <w:div w:id="36466537">
      <w:bodyDiv w:val="1"/>
      <w:marLeft w:val="0"/>
      <w:marRight w:val="0"/>
      <w:marTop w:val="0"/>
      <w:marBottom w:val="0"/>
      <w:divBdr>
        <w:top w:val="none" w:sz="0" w:space="0" w:color="auto"/>
        <w:left w:val="none" w:sz="0" w:space="0" w:color="auto"/>
        <w:bottom w:val="none" w:sz="0" w:space="0" w:color="auto"/>
        <w:right w:val="none" w:sz="0" w:space="0" w:color="auto"/>
      </w:divBdr>
    </w:div>
    <w:div w:id="89857237">
      <w:bodyDiv w:val="1"/>
      <w:marLeft w:val="0"/>
      <w:marRight w:val="0"/>
      <w:marTop w:val="0"/>
      <w:marBottom w:val="0"/>
      <w:divBdr>
        <w:top w:val="none" w:sz="0" w:space="0" w:color="auto"/>
        <w:left w:val="none" w:sz="0" w:space="0" w:color="auto"/>
        <w:bottom w:val="none" w:sz="0" w:space="0" w:color="auto"/>
        <w:right w:val="none" w:sz="0" w:space="0" w:color="auto"/>
      </w:divBdr>
    </w:div>
    <w:div w:id="95558287">
      <w:bodyDiv w:val="1"/>
      <w:marLeft w:val="0"/>
      <w:marRight w:val="0"/>
      <w:marTop w:val="0"/>
      <w:marBottom w:val="0"/>
      <w:divBdr>
        <w:top w:val="none" w:sz="0" w:space="0" w:color="auto"/>
        <w:left w:val="none" w:sz="0" w:space="0" w:color="auto"/>
        <w:bottom w:val="none" w:sz="0" w:space="0" w:color="auto"/>
        <w:right w:val="none" w:sz="0" w:space="0" w:color="auto"/>
      </w:divBdr>
    </w:div>
    <w:div w:id="107238249">
      <w:bodyDiv w:val="1"/>
      <w:marLeft w:val="0"/>
      <w:marRight w:val="0"/>
      <w:marTop w:val="0"/>
      <w:marBottom w:val="0"/>
      <w:divBdr>
        <w:top w:val="none" w:sz="0" w:space="0" w:color="auto"/>
        <w:left w:val="none" w:sz="0" w:space="0" w:color="auto"/>
        <w:bottom w:val="none" w:sz="0" w:space="0" w:color="auto"/>
        <w:right w:val="none" w:sz="0" w:space="0" w:color="auto"/>
      </w:divBdr>
    </w:div>
    <w:div w:id="119301407">
      <w:bodyDiv w:val="1"/>
      <w:marLeft w:val="0"/>
      <w:marRight w:val="0"/>
      <w:marTop w:val="0"/>
      <w:marBottom w:val="0"/>
      <w:divBdr>
        <w:top w:val="none" w:sz="0" w:space="0" w:color="auto"/>
        <w:left w:val="none" w:sz="0" w:space="0" w:color="auto"/>
        <w:bottom w:val="none" w:sz="0" w:space="0" w:color="auto"/>
        <w:right w:val="none" w:sz="0" w:space="0" w:color="auto"/>
      </w:divBdr>
    </w:div>
    <w:div w:id="142434375">
      <w:bodyDiv w:val="1"/>
      <w:marLeft w:val="0"/>
      <w:marRight w:val="0"/>
      <w:marTop w:val="0"/>
      <w:marBottom w:val="0"/>
      <w:divBdr>
        <w:top w:val="none" w:sz="0" w:space="0" w:color="auto"/>
        <w:left w:val="none" w:sz="0" w:space="0" w:color="auto"/>
        <w:bottom w:val="none" w:sz="0" w:space="0" w:color="auto"/>
        <w:right w:val="none" w:sz="0" w:space="0" w:color="auto"/>
      </w:divBdr>
    </w:div>
    <w:div w:id="218170017">
      <w:bodyDiv w:val="1"/>
      <w:marLeft w:val="0"/>
      <w:marRight w:val="0"/>
      <w:marTop w:val="0"/>
      <w:marBottom w:val="0"/>
      <w:divBdr>
        <w:top w:val="none" w:sz="0" w:space="0" w:color="auto"/>
        <w:left w:val="none" w:sz="0" w:space="0" w:color="auto"/>
        <w:bottom w:val="none" w:sz="0" w:space="0" w:color="auto"/>
        <w:right w:val="none" w:sz="0" w:space="0" w:color="auto"/>
      </w:divBdr>
    </w:div>
    <w:div w:id="310133386">
      <w:bodyDiv w:val="1"/>
      <w:marLeft w:val="0"/>
      <w:marRight w:val="0"/>
      <w:marTop w:val="0"/>
      <w:marBottom w:val="0"/>
      <w:divBdr>
        <w:top w:val="none" w:sz="0" w:space="0" w:color="auto"/>
        <w:left w:val="none" w:sz="0" w:space="0" w:color="auto"/>
        <w:bottom w:val="none" w:sz="0" w:space="0" w:color="auto"/>
        <w:right w:val="none" w:sz="0" w:space="0" w:color="auto"/>
      </w:divBdr>
    </w:div>
    <w:div w:id="315842669">
      <w:bodyDiv w:val="1"/>
      <w:marLeft w:val="0"/>
      <w:marRight w:val="0"/>
      <w:marTop w:val="0"/>
      <w:marBottom w:val="0"/>
      <w:divBdr>
        <w:top w:val="none" w:sz="0" w:space="0" w:color="auto"/>
        <w:left w:val="none" w:sz="0" w:space="0" w:color="auto"/>
        <w:bottom w:val="none" w:sz="0" w:space="0" w:color="auto"/>
        <w:right w:val="none" w:sz="0" w:space="0" w:color="auto"/>
      </w:divBdr>
    </w:div>
    <w:div w:id="317999578">
      <w:bodyDiv w:val="1"/>
      <w:marLeft w:val="0"/>
      <w:marRight w:val="0"/>
      <w:marTop w:val="0"/>
      <w:marBottom w:val="0"/>
      <w:divBdr>
        <w:top w:val="none" w:sz="0" w:space="0" w:color="auto"/>
        <w:left w:val="none" w:sz="0" w:space="0" w:color="auto"/>
        <w:bottom w:val="none" w:sz="0" w:space="0" w:color="auto"/>
        <w:right w:val="none" w:sz="0" w:space="0" w:color="auto"/>
      </w:divBdr>
    </w:div>
    <w:div w:id="320819978">
      <w:bodyDiv w:val="1"/>
      <w:marLeft w:val="0"/>
      <w:marRight w:val="0"/>
      <w:marTop w:val="0"/>
      <w:marBottom w:val="0"/>
      <w:divBdr>
        <w:top w:val="none" w:sz="0" w:space="0" w:color="auto"/>
        <w:left w:val="none" w:sz="0" w:space="0" w:color="auto"/>
        <w:bottom w:val="none" w:sz="0" w:space="0" w:color="auto"/>
        <w:right w:val="none" w:sz="0" w:space="0" w:color="auto"/>
      </w:divBdr>
      <w:divsChild>
        <w:div w:id="486635535">
          <w:marLeft w:val="0"/>
          <w:marRight w:val="0"/>
          <w:marTop w:val="0"/>
          <w:marBottom w:val="0"/>
          <w:divBdr>
            <w:top w:val="none" w:sz="0" w:space="0" w:color="auto"/>
            <w:left w:val="none" w:sz="0" w:space="0" w:color="auto"/>
            <w:bottom w:val="none" w:sz="0" w:space="0" w:color="auto"/>
            <w:right w:val="none" w:sz="0" w:space="0" w:color="auto"/>
          </w:divBdr>
          <w:divsChild>
            <w:div w:id="11722628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20937064">
      <w:bodyDiv w:val="1"/>
      <w:marLeft w:val="0"/>
      <w:marRight w:val="0"/>
      <w:marTop w:val="0"/>
      <w:marBottom w:val="0"/>
      <w:divBdr>
        <w:top w:val="none" w:sz="0" w:space="0" w:color="auto"/>
        <w:left w:val="none" w:sz="0" w:space="0" w:color="auto"/>
        <w:bottom w:val="none" w:sz="0" w:space="0" w:color="auto"/>
        <w:right w:val="none" w:sz="0" w:space="0" w:color="auto"/>
      </w:divBdr>
    </w:div>
    <w:div w:id="324355525">
      <w:bodyDiv w:val="1"/>
      <w:marLeft w:val="0"/>
      <w:marRight w:val="0"/>
      <w:marTop w:val="0"/>
      <w:marBottom w:val="0"/>
      <w:divBdr>
        <w:top w:val="none" w:sz="0" w:space="0" w:color="auto"/>
        <w:left w:val="none" w:sz="0" w:space="0" w:color="auto"/>
        <w:bottom w:val="none" w:sz="0" w:space="0" w:color="auto"/>
        <w:right w:val="none" w:sz="0" w:space="0" w:color="auto"/>
      </w:divBdr>
    </w:div>
    <w:div w:id="330987120">
      <w:bodyDiv w:val="1"/>
      <w:marLeft w:val="0"/>
      <w:marRight w:val="0"/>
      <w:marTop w:val="0"/>
      <w:marBottom w:val="0"/>
      <w:divBdr>
        <w:top w:val="none" w:sz="0" w:space="0" w:color="auto"/>
        <w:left w:val="none" w:sz="0" w:space="0" w:color="auto"/>
        <w:bottom w:val="none" w:sz="0" w:space="0" w:color="auto"/>
        <w:right w:val="none" w:sz="0" w:space="0" w:color="auto"/>
      </w:divBdr>
    </w:div>
    <w:div w:id="354844386">
      <w:bodyDiv w:val="1"/>
      <w:marLeft w:val="0"/>
      <w:marRight w:val="0"/>
      <w:marTop w:val="0"/>
      <w:marBottom w:val="0"/>
      <w:divBdr>
        <w:top w:val="none" w:sz="0" w:space="0" w:color="auto"/>
        <w:left w:val="none" w:sz="0" w:space="0" w:color="auto"/>
        <w:bottom w:val="none" w:sz="0" w:space="0" w:color="auto"/>
        <w:right w:val="none" w:sz="0" w:space="0" w:color="auto"/>
      </w:divBdr>
    </w:div>
    <w:div w:id="365067088">
      <w:bodyDiv w:val="1"/>
      <w:marLeft w:val="0"/>
      <w:marRight w:val="0"/>
      <w:marTop w:val="0"/>
      <w:marBottom w:val="0"/>
      <w:divBdr>
        <w:top w:val="none" w:sz="0" w:space="0" w:color="auto"/>
        <w:left w:val="none" w:sz="0" w:space="0" w:color="auto"/>
        <w:bottom w:val="none" w:sz="0" w:space="0" w:color="auto"/>
        <w:right w:val="none" w:sz="0" w:space="0" w:color="auto"/>
      </w:divBdr>
    </w:div>
    <w:div w:id="393235800">
      <w:bodyDiv w:val="1"/>
      <w:marLeft w:val="0"/>
      <w:marRight w:val="0"/>
      <w:marTop w:val="0"/>
      <w:marBottom w:val="0"/>
      <w:divBdr>
        <w:top w:val="none" w:sz="0" w:space="0" w:color="auto"/>
        <w:left w:val="none" w:sz="0" w:space="0" w:color="auto"/>
        <w:bottom w:val="none" w:sz="0" w:space="0" w:color="auto"/>
        <w:right w:val="none" w:sz="0" w:space="0" w:color="auto"/>
      </w:divBdr>
    </w:div>
    <w:div w:id="440154326">
      <w:bodyDiv w:val="1"/>
      <w:marLeft w:val="0"/>
      <w:marRight w:val="0"/>
      <w:marTop w:val="0"/>
      <w:marBottom w:val="0"/>
      <w:divBdr>
        <w:top w:val="none" w:sz="0" w:space="0" w:color="auto"/>
        <w:left w:val="none" w:sz="0" w:space="0" w:color="auto"/>
        <w:bottom w:val="none" w:sz="0" w:space="0" w:color="auto"/>
        <w:right w:val="none" w:sz="0" w:space="0" w:color="auto"/>
      </w:divBdr>
    </w:div>
    <w:div w:id="467816683">
      <w:bodyDiv w:val="1"/>
      <w:marLeft w:val="0"/>
      <w:marRight w:val="0"/>
      <w:marTop w:val="0"/>
      <w:marBottom w:val="0"/>
      <w:divBdr>
        <w:top w:val="none" w:sz="0" w:space="0" w:color="auto"/>
        <w:left w:val="none" w:sz="0" w:space="0" w:color="auto"/>
        <w:bottom w:val="none" w:sz="0" w:space="0" w:color="auto"/>
        <w:right w:val="none" w:sz="0" w:space="0" w:color="auto"/>
      </w:divBdr>
    </w:div>
    <w:div w:id="477263966">
      <w:bodyDiv w:val="1"/>
      <w:marLeft w:val="0"/>
      <w:marRight w:val="0"/>
      <w:marTop w:val="0"/>
      <w:marBottom w:val="0"/>
      <w:divBdr>
        <w:top w:val="none" w:sz="0" w:space="0" w:color="auto"/>
        <w:left w:val="none" w:sz="0" w:space="0" w:color="auto"/>
        <w:bottom w:val="none" w:sz="0" w:space="0" w:color="auto"/>
        <w:right w:val="none" w:sz="0" w:space="0" w:color="auto"/>
      </w:divBdr>
    </w:div>
    <w:div w:id="549342484">
      <w:bodyDiv w:val="1"/>
      <w:marLeft w:val="0"/>
      <w:marRight w:val="0"/>
      <w:marTop w:val="0"/>
      <w:marBottom w:val="0"/>
      <w:divBdr>
        <w:top w:val="none" w:sz="0" w:space="0" w:color="auto"/>
        <w:left w:val="none" w:sz="0" w:space="0" w:color="auto"/>
        <w:bottom w:val="none" w:sz="0" w:space="0" w:color="auto"/>
        <w:right w:val="none" w:sz="0" w:space="0" w:color="auto"/>
      </w:divBdr>
    </w:div>
    <w:div w:id="551356609">
      <w:bodyDiv w:val="1"/>
      <w:marLeft w:val="0"/>
      <w:marRight w:val="0"/>
      <w:marTop w:val="0"/>
      <w:marBottom w:val="0"/>
      <w:divBdr>
        <w:top w:val="none" w:sz="0" w:space="0" w:color="auto"/>
        <w:left w:val="none" w:sz="0" w:space="0" w:color="auto"/>
        <w:bottom w:val="none" w:sz="0" w:space="0" w:color="auto"/>
        <w:right w:val="none" w:sz="0" w:space="0" w:color="auto"/>
      </w:divBdr>
    </w:div>
    <w:div w:id="568543743">
      <w:bodyDiv w:val="1"/>
      <w:marLeft w:val="0"/>
      <w:marRight w:val="0"/>
      <w:marTop w:val="0"/>
      <w:marBottom w:val="0"/>
      <w:divBdr>
        <w:top w:val="none" w:sz="0" w:space="0" w:color="auto"/>
        <w:left w:val="none" w:sz="0" w:space="0" w:color="auto"/>
        <w:bottom w:val="none" w:sz="0" w:space="0" w:color="auto"/>
        <w:right w:val="none" w:sz="0" w:space="0" w:color="auto"/>
      </w:divBdr>
    </w:div>
    <w:div w:id="625114773">
      <w:bodyDiv w:val="1"/>
      <w:marLeft w:val="0"/>
      <w:marRight w:val="0"/>
      <w:marTop w:val="0"/>
      <w:marBottom w:val="0"/>
      <w:divBdr>
        <w:top w:val="none" w:sz="0" w:space="0" w:color="auto"/>
        <w:left w:val="none" w:sz="0" w:space="0" w:color="auto"/>
        <w:bottom w:val="none" w:sz="0" w:space="0" w:color="auto"/>
        <w:right w:val="none" w:sz="0" w:space="0" w:color="auto"/>
      </w:divBdr>
    </w:div>
    <w:div w:id="627004960">
      <w:bodyDiv w:val="1"/>
      <w:marLeft w:val="0"/>
      <w:marRight w:val="0"/>
      <w:marTop w:val="0"/>
      <w:marBottom w:val="0"/>
      <w:divBdr>
        <w:top w:val="none" w:sz="0" w:space="0" w:color="auto"/>
        <w:left w:val="none" w:sz="0" w:space="0" w:color="auto"/>
        <w:bottom w:val="none" w:sz="0" w:space="0" w:color="auto"/>
        <w:right w:val="none" w:sz="0" w:space="0" w:color="auto"/>
      </w:divBdr>
    </w:div>
    <w:div w:id="656542959">
      <w:bodyDiv w:val="1"/>
      <w:marLeft w:val="0"/>
      <w:marRight w:val="0"/>
      <w:marTop w:val="0"/>
      <w:marBottom w:val="0"/>
      <w:divBdr>
        <w:top w:val="none" w:sz="0" w:space="0" w:color="auto"/>
        <w:left w:val="none" w:sz="0" w:space="0" w:color="auto"/>
        <w:bottom w:val="none" w:sz="0" w:space="0" w:color="auto"/>
        <w:right w:val="none" w:sz="0" w:space="0" w:color="auto"/>
      </w:divBdr>
    </w:div>
    <w:div w:id="697780056">
      <w:bodyDiv w:val="1"/>
      <w:marLeft w:val="0"/>
      <w:marRight w:val="0"/>
      <w:marTop w:val="0"/>
      <w:marBottom w:val="0"/>
      <w:divBdr>
        <w:top w:val="none" w:sz="0" w:space="0" w:color="auto"/>
        <w:left w:val="none" w:sz="0" w:space="0" w:color="auto"/>
        <w:bottom w:val="none" w:sz="0" w:space="0" w:color="auto"/>
        <w:right w:val="none" w:sz="0" w:space="0" w:color="auto"/>
      </w:divBdr>
    </w:div>
    <w:div w:id="710425808">
      <w:bodyDiv w:val="1"/>
      <w:marLeft w:val="0"/>
      <w:marRight w:val="0"/>
      <w:marTop w:val="0"/>
      <w:marBottom w:val="0"/>
      <w:divBdr>
        <w:top w:val="none" w:sz="0" w:space="0" w:color="auto"/>
        <w:left w:val="none" w:sz="0" w:space="0" w:color="auto"/>
        <w:bottom w:val="none" w:sz="0" w:space="0" w:color="auto"/>
        <w:right w:val="none" w:sz="0" w:space="0" w:color="auto"/>
      </w:divBdr>
    </w:div>
    <w:div w:id="766266833">
      <w:bodyDiv w:val="1"/>
      <w:marLeft w:val="0"/>
      <w:marRight w:val="0"/>
      <w:marTop w:val="0"/>
      <w:marBottom w:val="0"/>
      <w:divBdr>
        <w:top w:val="none" w:sz="0" w:space="0" w:color="auto"/>
        <w:left w:val="none" w:sz="0" w:space="0" w:color="auto"/>
        <w:bottom w:val="none" w:sz="0" w:space="0" w:color="auto"/>
        <w:right w:val="none" w:sz="0" w:space="0" w:color="auto"/>
      </w:divBdr>
    </w:div>
    <w:div w:id="782965355">
      <w:bodyDiv w:val="1"/>
      <w:marLeft w:val="0"/>
      <w:marRight w:val="0"/>
      <w:marTop w:val="0"/>
      <w:marBottom w:val="0"/>
      <w:divBdr>
        <w:top w:val="none" w:sz="0" w:space="0" w:color="auto"/>
        <w:left w:val="none" w:sz="0" w:space="0" w:color="auto"/>
        <w:bottom w:val="none" w:sz="0" w:space="0" w:color="auto"/>
        <w:right w:val="none" w:sz="0" w:space="0" w:color="auto"/>
      </w:divBdr>
    </w:div>
    <w:div w:id="804935871">
      <w:bodyDiv w:val="1"/>
      <w:marLeft w:val="0"/>
      <w:marRight w:val="0"/>
      <w:marTop w:val="0"/>
      <w:marBottom w:val="0"/>
      <w:divBdr>
        <w:top w:val="none" w:sz="0" w:space="0" w:color="auto"/>
        <w:left w:val="none" w:sz="0" w:space="0" w:color="auto"/>
        <w:bottom w:val="none" w:sz="0" w:space="0" w:color="auto"/>
        <w:right w:val="none" w:sz="0" w:space="0" w:color="auto"/>
      </w:divBdr>
    </w:div>
    <w:div w:id="846411073">
      <w:bodyDiv w:val="1"/>
      <w:marLeft w:val="0"/>
      <w:marRight w:val="0"/>
      <w:marTop w:val="0"/>
      <w:marBottom w:val="0"/>
      <w:divBdr>
        <w:top w:val="none" w:sz="0" w:space="0" w:color="auto"/>
        <w:left w:val="none" w:sz="0" w:space="0" w:color="auto"/>
        <w:bottom w:val="none" w:sz="0" w:space="0" w:color="auto"/>
        <w:right w:val="none" w:sz="0" w:space="0" w:color="auto"/>
      </w:divBdr>
    </w:div>
    <w:div w:id="855577977">
      <w:bodyDiv w:val="1"/>
      <w:marLeft w:val="0"/>
      <w:marRight w:val="0"/>
      <w:marTop w:val="0"/>
      <w:marBottom w:val="0"/>
      <w:divBdr>
        <w:top w:val="none" w:sz="0" w:space="0" w:color="auto"/>
        <w:left w:val="none" w:sz="0" w:space="0" w:color="auto"/>
        <w:bottom w:val="none" w:sz="0" w:space="0" w:color="auto"/>
        <w:right w:val="none" w:sz="0" w:space="0" w:color="auto"/>
      </w:divBdr>
    </w:div>
    <w:div w:id="870607098">
      <w:bodyDiv w:val="1"/>
      <w:marLeft w:val="0"/>
      <w:marRight w:val="0"/>
      <w:marTop w:val="0"/>
      <w:marBottom w:val="0"/>
      <w:divBdr>
        <w:top w:val="none" w:sz="0" w:space="0" w:color="auto"/>
        <w:left w:val="none" w:sz="0" w:space="0" w:color="auto"/>
        <w:bottom w:val="none" w:sz="0" w:space="0" w:color="auto"/>
        <w:right w:val="none" w:sz="0" w:space="0" w:color="auto"/>
      </w:divBdr>
    </w:div>
    <w:div w:id="878861851">
      <w:bodyDiv w:val="1"/>
      <w:marLeft w:val="0"/>
      <w:marRight w:val="0"/>
      <w:marTop w:val="0"/>
      <w:marBottom w:val="0"/>
      <w:divBdr>
        <w:top w:val="none" w:sz="0" w:space="0" w:color="auto"/>
        <w:left w:val="none" w:sz="0" w:space="0" w:color="auto"/>
        <w:bottom w:val="none" w:sz="0" w:space="0" w:color="auto"/>
        <w:right w:val="none" w:sz="0" w:space="0" w:color="auto"/>
      </w:divBdr>
    </w:div>
    <w:div w:id="886068965">
      <w:bodyDiv w:val="1"/>
      <w:marLeft w:val="0"/>
      <w:marRight w:val="0"/>
      <w:marTop w:val="0"/>
      <w:marBottom w:val="0"/>
      <w:divBdr>
        <w:top w:val="none" w:sz="0" w:space="0" w:color="auto"/>
        <w:left w:val="none" w:sz="0" w:space="0" w:color="auto"/>
        <w:bottom w:val="none" w:sz="0" w:space="0" w:color="auto"/>
        <w:right w:val="none" w:sz="0" w:space="0" w:color="auto"/>
      </w:divBdr>
    </w:div>
    <w:div w:id="971441806">
      <w:bodyDiv w:val="1"/>
      <w:marLeft w:val="0"/>
      <w:marRight w:val="0"/>
      <w:marTop w:val="0"/>
      <w:marBottom w:val="0"/>
      <w:divBdr>
        <w:top w:val="none" w:sz="0" w:space="0" w:color="auto"/>
        <w:left w:val="none" w:sz="0" w:space="0" w:color="auto"/>
        <w:bottom w:val="none" w:sz="0" w:space="0" w:color="auto"/>
        <w:right w:val="none" w:sz="0" w:space="0" w:color="auto"/>
      </w:divBdr>
    </w:div>
    <w:div w:id="977026593">
      <w:bodyDiv w:val="1"/>
      <w:marLeft w:val="0"/>
      <w:marRight w:val="0"/>
      <w:marTop w:val="0"/>
      <w:marBottom w:val="0"/>
      <w:divBdr>
        <w:top w:val="none" w:sz="0" w:space="0" w:color="auto"/>
        <w:left w:val="none" w:sz="0" w:space="0" w:color="auto"/>
        <w:bottom w:val="none" w:sz="0" w:space="0" w:color="auto"/>
        <w:right w:val="none" w:sz="0" w:space="0" w:color="auto"/>
      </w:divBdr>
    </w:div>
    <w:div w:id="1028025942">
      <w:bodyDiv w:val="1"/>
      <w:marLeft w:val="0"/>
      <w:marRight w:val="0"/>
      <w:marTop w:val="0"/>
      <w:marBottom w:val="0"/>
      <w:divBdr>
        <w:top w:val="none" w:sz="0" w:space="0" w:color="auto"/>
        <w:left w:val="none" w:sz="0" w:space="0" w:color="auto"/>
        <w:bottom w:val="none" w:sz="0" w:space="0" w:color="auto"/>
        <w:right w:val="none" w:sz="0" w:space="0" w:color="auto"/>
      </w:divBdr>
    </w:div>
    <w:div w:id="1032800535">
      <w:bodyDiv w:val="1"/>
      <w:marLeft w:val="0"/>
      <w:marRight w:val="0"/>
      <w:marTop w:val="0"/>
      <w:marBottom w:val="0"/>
      <w:divBdr>
        <w:top w:val="none" w:sz="0" w:space="0" w:color="auto"/>
        <w:left w:val="none" w:sz="0" w:space="0" w:color="auto"/>
        <w:bottom w:val="none" w:sz="0" w:space="0" w:color="auto"/>
        <w:right w:val="none" w:sz="0" w:space="0" w:color="auto"/>
      </w:divBdr>
    </w:div>
    <w:div w:id="1057973341">
      <w:bodyDiv w:val="1"/>
      <w:marLeft w:val="0"/>
      <w:marRight w:val="0"/>
      <w:marTop w:val="0"/>
      <w:marBottom w:val="0"/>
      <w:divBdr>
        <w:top w:val="none" w:sz="0" w:space="0" w:color="auto"/>
        <w:left w:val="none" w:sz="0" w:space="0" w:color="auto"/>
        <w:bottom w:val="none" w:sz="0" w:space="0" w:color="auto"/>
        <w:right w:val="none" w:sz="0" w:space="0" w:color="auto"/>
      </w:divBdr>
    </w:div>
    <w:div w:id="1058406971">
      <w:bodyDiv w:val="1"/>
      <w:marLeft w:val="0"/>
      <w:marRight w:val="0"/>
      <w:marTop w:val="0"/>
      <w:marBottom w:val="0"/>
      <w:divBdr>
        <w:top w:val="none" w:sz="0" w:space="0" w:color="auto"/>
        <w:left w:val="none" w:sz="0" w:space="0" w:color="auto"/>
        <w:bottom w:val="none" w:sz="0" w:space="0" w:color="auto"/>
        <w:right w:val="none" w:sz="0" w:space="0" w:color="auto"/>
      </w:divBdr>
    </w:div>
    <w:div w:id="1071732207">
      <w:bodyDiv w:val="1"/>
      <w:marLeft w:val="0"/>
      <w:marRight w:val="0"/>
      <w:marTop w:val="0"/>
      <w:marBottom w:val="0"/>
      <w:divBdr>
        <w:top w:val="none" w:sz="0" w:space="0" w:color="auto"/>
        <w:left w:val="none" w:sz="0" w:space="0" w:color="auto"/>
        <w:bottom w:val="none" w:sz="0" w:space="0" w:color="auto"/>
        <w:right w:val="none" w:sz="0" w:space="0" w:color="auto"/>
      </w:divBdr>
    </w:div>
    <w:div w:id="1086729817">
      <w:bodyDiv w:val="1"/>
      <w:marLeft w:val="0"/>
      <w:marRight w:val="0"/>
      <w:marTop w:val="0"/>
      <w:marBottom w:val="0"/>
      <w:divBdr>
        <w:top w:val="none" w:sz="0" w:space="0" w:color="auto"/>
        <w:left w:val="none" w:sz="0" w:space="0" w:color="auto"/>
        <w:bottom w:val="none" w:sz="0" w:space="0" w:color="auto"/>
        <w:right w:val="none" w:sz="0" w:space="0" w:color="auto"/>
      </w:divBdr>
    </w:div>
    <w:div w:id="1087189449">
      <w:bodyDiv w:val="1"/>
      <w:marLeft w:val="0"/>
      <w:marRight w:val="0"/>
      <w:marTop w:val="0"/>
      <w:marBottom w:val="0"/>
      <w:divBdr>
        <w:top w:val="none" w:sz="0" w:space="0" w:color="auto"/>
        <w:left w:val="none" w:sz="0" w:space="0" w:color="auto"/>
        <w:bottom w:val="none" w:sz="0" w:space="0" w:color="auto"/>
        <w:right w:val="none" w:sz="0" w:space="0" w:color="auto"/>
      </w:divBdr>
    </w:div>
    <w:div w:id="1098911318">
      <w:bodyDiv w:val="1"/>
      <w:marLeft w:val="0"/>
      <w:marRight w:val="0"/>
      <w:marTop w:val="0"/>
      <w:marBottom w:val="0"/>
      <w:divBdr>
        <w:top w:val="none" w:sz="0" w:space="0" w:color="auto"/>
        <w:left w:val="none" w:sz="0" w:space="0" w:color="auto"/>
        <w:bottom w:val="none" w:sz="0" w:space="0" w:color="auto"/>
        <w:right w:val="none" w:sz="0" w:space="0" w:color="auto"/>
      </w:divBdr>
    </w:div>
    <w:div w:id="1109007131">
      <w:bodyDiv w:val="1"/>
      <w:marLeft w:val="0"/>
      <w:marRight w:val="0"/>
      <w:marTop w:val="0"/>
      <w:marBottom w:val="0"/>
      <w:divBdr>
        <w:top w:val="none" w:sz="0" w:space="0" w:color="auto"/>
        <w:left w:val="none" w:sz="0" w:space="0" w:color="auto"/>
        <w:bottom w:val="none" w:sz="0" w:space="0" w:color="auto"/>
        <w:right w:val="none" w:sz="0" w:space="0" w:color="auto"/>
      </w:divBdr>
    </w:div>
    <w:div w:id="1112479488">
      <w:bodyDiv w:val="1"/>
      <w:marLeft w:val="0"/>
      <w:marRight w:val="0"/>
      <w:marTop w:val="0"/>
      <w:marBottom w:val="0"/>
      <w:divBdr>
        <w:top w:val="none" w:sz="0" w:space="0" w:color="auto"/>
        <w:left w:val="none" w:sz="0" w:space="0" w:color="auto"/>
        <w:bottom w:val="none" w:sz="0" w:space="0" w:color="auto"/>
        <w:right w:val="none" w:sz="0" w:space="0" w:color="auto"/>
      </w:divBdr>
    </w:div>
    <w:div w:id="1113864840">
      <w:bodyDiv w:val="1"/>
      <w:marLeft w:val="0"/>
      <w:marRight w:val="0"/>
      <w:marTop w:val="0"/>
      <w:marBottom w:val="0"/>
      <w:divBdr>
        <w:top w:val="none" w:sz="0" w:space="0" w:color="auto"/>
        <w:left w:val="none" w:sz="0" w:space="0" w:color="auto"/>
        <w:bottom w:val="none" w:sz="0" w:space="0" w:color="auto"/>
        <w:right w:val="none" w:sz="0" w:space="0" w:color="auto"/>
      </w:divBdr>
    </w:div>
    <w:div w:id="1187137261">
      <w:bodyDiv w:val="1"/>
      <w:marLeft w:val="0"/>
      <w:marRight w:val="0"/>
      <w:marTop w:val="0"/>
      <w:marBottom w:val="0"/>
      <w:divBdr>
        <w:top w:val="none" w:sz="0" w:space="0" w:color="auto"/>
        <w:left w:val="none" w:sz="0" w:space="0" w:color="auto"/>
        <w:bottom w:val="none" w:sz="0" w:space="0" w:color="auto"/>
        <w:right w:val="none" w:sz="0" w:space="0" w:color="auto"/>
      </w:divBdr>
    </w:div>
    <w:div w:id="1291011441">
      <w:bodyDiv w:val="1"/>
      <w:marLeft w:val="0"/>
      <w:marRight w:val="0"/>
      <w:marTop w:val="0"/>
      <w:marBottom w:val="0"/>
      <w:divBdr>
        <w:top w:val="none" w:sz="0" w:space="0" w:color="auto"/>
        <w:left w:val="none" w:sz="0" w:space="0" w:color="auto"/>
        <w:bottom w:val="none" w:sz="0" w:space="0" w:color="auto"/>
        <w:right w:val="none" w:sz="0" w:space="0" w:color="auto"/>
      </w:divBdr>
    </w:div>
    <w:div w:id="1313873816">
      <w:bodyDiv w:val="1"/>
      <w:marLeft w:val="0"/>
      <w:marRight w:val="0"/>
      <w:marTop w:val="0"/>
      <w:marBottom w:val="0"/>
      <w:divBdr>
        <w:top w:val="none" w:sz="0" w:space="0" w:color="auto"/>
        <w:left w:val="none" w:sz="0" w:space="0" w:color="auto"/>
        <w:bottom w:val="none" w:sz="0" w:space="0" w:color="auto"/>
        <w:right w:val="none" w:sz="0" w:space="0" w:color="auto"/>
      </w:divBdr>
    </w:div>
    <w:div w:id="1384985304">
      <w:bodyDiv w:val="1"/>
      <w:marLeft w:val="0"/>
      <w:marRight w:val="0"/>
      <w:marTop w:val="0"/>
      <w:marBottom w:val="0"/>
      <w:divBdr>
        <w:top w:val="none" w:sz="0" w:space="0" w:color="auto"/>
        <w:left w:val="none" w:sz="0" w:space="0" w:color="auto"/>
        <w:bottom w:val="none" w:sz="0" w:space="0" w:color="auto"/>
        <w:right w:val="none" w:sz="0" w:space="0" w:color="auto"/>
      </w:divBdr>
    </w:div>
    <w:div w:id="1390225271">
      <w:bodyDiv w:val="1"/>
      <w:marLeft w:val="0"/>
      <w:marRight w:val="0"/>
      <w:marTop w:val="0"/>
      <w:marBottom w:val="0"/>
      <w:divBdr>
        <w:top w:val="none" w:sz="0" w:space="0" w:color="auto"/>
        <w:left w:val="none" w:sz="0" w:space="0" w:color="auto"/>
        <w:bottom w:val="none" w:sz="0" w:space="0" w:color="auto"/>
        <w:right w:val="none" w:sz="0" w:space="0" w:color="auto"/>
      </w:divBdr>
    </w:div>
    <w:div w:id="1405839123">
      <w:bodyDiv w:val="1"/>
      <w:marLeft w:val="0"/>
      <w:marRight w:val="0"/>
      <w:marTop w:val="0"/>
      <w:marBottom w:val="0"/>
      <w:divBdr>
        <w:top w:val="none" w:sz="0" w:space="0" w:color="auto"/>
        <w:left w:val="none" w:sz="0" w:space="0" w:color="auto"/>
        <w:bottom w:val="none" w:sz="0" w:space="0" w:color="auto"/>
        <w:right w:val="none" w:sz="0" w:space="0" w:color="auto"/>
      </w:divBdr>
    </w:div>
    <w:div w:id="1413698832">
      <w:bodyDiv w:val="1"/>
      <w:marLeft w:val="0"/>
      <w:marRight w:val="0"/>
      <w:marTop w:val="0"/>
      <w:marBottom w:val="0"/>
      <w:divBdr>
        <w:top w:val="none" w:sz="0" w:space="0" w:color="auto"/>
        <w:left w:val="none" w:sz="0" w:space="0" w:color="auto"/>
        <w:bottom w:val="none" w:sz="0" w:space="0" w:color="auto"/>
        <w:right w:val="none" w:sz="0" w:space="0" w:color="auto"/>
      </w:divBdr>
    </w:div>
    <w:div w:id="1416786554">
      <w:bodyDiv w:val="1"/>
      <w:marLeft w:val="0"/>
      <w:marRight w:val="0"/>
      <w:marTop w:val="0"/>
      <w:marBottom w:val="0"/>
      <w:divBdr>
        <w:top w:val="none" w:sz="0" w:space="0" w:color="auto"/>
        <w:left w:val="none" w:sz="0" w:space="0" w:color="auto"/>
        <w:bottom w:val="none" w:sz="0" w:space="0" w:color="auto"/>
        <w:right w:val="none" w:sz="0" w:space="0" w:color="auto"/>
      </w:divBdr>
    </w:div>
    <w:div w:id="1510870043">
      <w:bodyDiv w:val="1"/>
      <w:marLeft w:val="0"/>
      <w:marRight w:val="0"/>
      <w:marTop w:val="0"/>
      <w:marBottom w:val="0"/>
      <w:divBdr>
        <w:top w:val="none" w:sz="0" w:space="0" w:color="auto"/>
        <w:left w:val="none" w:sz="0" w:space="0" w:color="auto"/>
        <w:bottom w:val="none" w:sz="0" w:space="0" w:color="auto"/>
        <w:right w:val="none" w:sz="0" w:space="0" w:color="auto"/>
      </w:divBdr>
    </w:div>
    <w:div w:id="1561014558">
      <w:bodyDiv w:val="1"/>
      <w:marLeft w:val="0"/>
      <w:marRight w:val="0"/>
      <w:marTop w:val="0"/>
      <w:marBottom w:val="0"/>
      <w:divBdr>
        <w:top w:val="none" w:sz="0" w:space="0" w:color="auto"/>
        <w:left w:val="none" w:sz="0" w:space="0" w:color="auto"/>
        <w:bottom w:val="none" w:sz="0" w:space="0" w:color="auto"/>
        <w:right w:val="none" w:sz="0" w:space="0" w:color="auto"/>
      </w:divBdr>
    </w:div>
    <w:div w:id="1572738378">
      <w:bodyDiv w:val="1"/>
      <w:marLeft w:val="0"/>
      <w:marRight w:val="0"/>
      <w:marTop w:val="0"/>
      <w:marBottom w:val="0"/>
      <w:divBdr>
        <w:top w:val="none" w:sz="0" w:space="0" w:color="auto"/>
        <w:left w:val="none" w:sz="0" w:space="0" w:color="auto"/>
        <w:bottom w:val="none" w:sz="0" w:space="0" w:color="auto"/>
        <w:right w:val="none" w:sz="0" w:space="0" w:color="auto"/>
      </w:divBdr>
    </w:div>
    <w:div w:id="1620642829">
      <w:bodyDiv w:val="1"/>
      <w:marLeft w:val="0"/>
      <w:marRight w:val="0"/>
      <w:marTop w:val="0"/>
      <w:marBottom w:val="0"/>
      <w:divBdr>
        <w:top w:val="none" w:sz="0" w:space="0" w:color="auto"/>
        <w:left w:val="none" w:sz="0" w:space="0" w:color="auto"/>
        <w:bottom w:val="none" w:sz="0" w:space="0" w:color="auto"/>
        <w:right w:val="none" w:sz="0" w:space="0" w:color="auto"/>
      </w:divBdr>
    </w:div>
    <w:div w:id="1628781514">
      <w:bodyDiv w:val="1"/>
      <w:marLeft w:val="0"/>
      <w:marRight w:val="0"/>
      <w:marTop w:val="0"/>
      <w:marBottom w:val="0"/>
      <w:divBdr>
        <w:top w:val="none" w:sz="0" w:space="0" w:color="auto"/>
        <w:left w:val="none" w:sz="0" w:space="0" w:color="auto"/>
        <w:bottom w:val="none" w:sz="0" w:space="0" w:color="auto"/>
        <w:right w:val="none" w:sz="0" w:space="0" w:color="auto"/>
      </w:divBdr>
    </w:div>
    <w:div w:id="1690906549">
      <w:bodyDiv w:val="1"/>
      <w:marLeft w:val="0"/>
      <w:marRight w:val="0"/>
      <w:marTop w:val="0"/>
      <w:marBottom w:val="0"/>
      <w:divBdr>
        <w:top w:val="none" w:sz="0" w:space="0" w:color="auto"/>
        <w:left w:val="none" w:sz="0" w:space="0" w:color="auto"/>
        <w:bottom w:val="none" w:sz="0" w:space="0" w:color="auto"/>
        <w:right w:val="none" w:sz="0" w:space="0" w:color="auto"/>
      </w:divBdr>
    </w:div>
    <w:div w:id="1727948081">
      <w:bodyDiv w:val="1"/>
      <w:marLeft w:val="0"/>
      <w:marRight w:val="0"/>
      <w:marTop w:val="0"/>
      <w:marBottom w:val="0"/>
      <w:divBdr>
        <w:top w:val="none" w:sz="0" w:space="0" w:color="auto"/>
        <w:left w:val="none" w:sz="0" w:space="0" w:color="auto"/>
        <w:bottom w:val="none" w:sz="0" w:space="0" w:color="auto"/>
        <w:right w:val="none" w:sz="0" w:space="0" w:color="auto"/>
      </w:divBdr>
    </w:div>
    <w:div w:id="1759525105">
      <w:bodyDiv w:val="1"/>
      <w:marLeft w:val="0"/>
      <w:marRight w:val="0"/>
      <w:marTop w:val="0"/>
      <w:marBottom w:val="0"/>
      <w:divBdr>
        <w:top w:val="none" w:sz="0" w:space="0" w:color="auto"/>
        <w:left w:val="none" w:sz="0" w:space="0" w:color="auto"/>
        <w:bottom w:val="none" w:sz="0" w:space="0" w:color="auto"/>
        <w:right w:val="none" w:sz="0" w:space="0" w:color="auto"/>
      </w:divBdr>
    </w:div>
    <w:div w:id="1770080365">
      <w:bodyDiv w:val="1"/>
      <w:marLeft w:val="0"/>
      <w:marRight w:val="0"/>
      <w:marTop w:val="0"/>
      <w:marBottom w:val="0"/>
      <w:divBdr>
        <w:top w:val="none" w:sz="0" w:space="0" w:color="auto"/>
        <w:left w:val="none" w:sz="0" w:space="0" w:color="auto"/>
        <w:bottom w:val="none" w:sz="0" w:space="0" w:color="auto"/>
        <w:right w:val="none" w:sz="0" w:space="0" w:color="auto"/>
      </w:divBdr>
    </w:div>
    <w:div w:id="1773553373">
      <w:bodyDiv w:val="1"/>
      <w:marLeft w:val="0"/>
      <w:marRight w:val="0"/>
      <w:marTop w:val="0"/>
      <w:marBottom w:val="0"/>
      <w:divBdr>
        <w:top w:val="none" w:sz="0" w:space="0" w:color="auto"/>
        <w:left w:val="none" w:sz="0" w:space="0" w:color="auto"/>
        <w:bottom w:val="none" w:sz="0" w:space="0" w:color="auto"/>
        <w:right w:val="none" w:sz="0" w:space="0" w:color="auto"/>
      </w:divBdr>
    </w:div>
    <w:div w:id="1820921847">
      <w:bodyDiv w:val="1"/>
      <w:marLeft w:val="0"/>
      <w:marRight w:val="0"/>
      <w:marTop w:val="0"/>
      <w:marBottom w:val="0"/>
      <w:divBdr>
        <w:top w:val="none" w:sz="0" w:space="0" w:color="auto"/>
        <w:left w:val="none" w:sz="0" w:space="0" w:color="auto"/>
        <w:bottom w:val="none" w:sz="0" w:space="0" w:color="auto"/>
        <w:right w:val="none" w:sz="0" w:space="0" w:color="auto"/>
      </w:divBdr>
    </w:div>
    <w:div w:id="1823547590">
      <w:bodyDiv w:val="1"/>
      <w:marLeft w:val="0"/>
      <w:marRight w:val="0"/>
      <w:marTop w:val="0"/>
      <w:marBottom w:val="0"/>
      <w:divBdr>
        <w:top w:val="none" w:sz="0" w:space="0" w:color="auto"/>
        <w:left w:val="none" w:sz="0" w:space="0" w:color="auto"/>
        <w:bottom w:val="none" w:sz="0" w:space="0" w:color="auto"/>
        <w:right w:val="none" w:sz="0" w:space="0" w:color="auto"/>
      </w:divBdr>
    </w:div>
    <w:div w:id="1878618148">
      <w:bodyDiv w:val="1"/>
      <w:marLeft w:val="0"/>
      <w:marRight w:val="0"/>
      <w:marTop w:val="0"/>
      <w:marBottom w:val="0"/>
      <w:divBdr>
        <w:top w:val="none" w:sz="0" w:space="0" w:color="auto"/>
        <w:left w:val="none" w:sz="0" w:space="0" w:color="auto"/>
        <w:bottom w:val="none" w:sz="0" w:space="0" w:color="auto"/>
        <w:right w:val="none" w:sz="0" w:space="0" w:color="auto"/>
      </w:divBdr>
    </w:div>
    <w:div w:id="1891108432">
      <w:bodyDiv w:val="1"/>
      <w:marLeft w:val="0"/>
      <w:marRight w:val="0"/>
      <w:marTop w:val="0"/>
      <w:marBottom w:val="0"/>
      <w:divBdr>
        <w:top w:val="none" w:sz="0" w:space="0" w:color="auto"/>
        <w:left w:val="none" w:sz="0" w:space="0" w:color="auto"/>
        <w:bottom w:val="none" w:sz="0" w:space="0" w:color="auto"/>
        <w:right w:val="none" w:sz="0" w:space="0" w:color="auto"/>
      </w:divBdr>
    </w:div>
    <w:div w:id="1896432678">
      <w:bodyDiv w:val="1"/>
      <w:marLeft w:val="0"/>
      <w:marRight w:val="0"/>
      <w:marTop w:val="0"/>
      <w:marBottom w:val="0"/>
      <w:divBdr>
        <w:top w:val="none" w:sz="0" w:space="0" w:color="auto"/>
        <w:left w:val="none" w:sz="0" w:space="0" w:color="auto"/>
        <w:bottom w:val="none" w:sz="0" w:space="0" w:color="auto"/>
        <w:right w:val="none" w:sz="0" w:space="0" w:color="auto"/>
      </w:divBdr>
    </w:div>
    <w:div w:id="1916162926">
      <w:bodyDiv w:val="1"/>
      <w:marLeft w:val="0"/>
      <w:marRight w:val="0"/>
      <w:marTop w:val="0"/>
      <w:marBottom w:val="0"/>
      <w:divBdr>
        <w:top w:val="none" w:sz="0" w:space="0" w:color="auto"/>
        <w:left w:val="none" w:sz="0" w:space="0" w:color="auto"/>
        <w:bottom w:val="none" w:sz="0" w:space="0" w:color="auto"/>
        <w:right w:val="none" w:sz="0" w:space="0" w:color="auto"/>
      </w:divBdr>
    </w:div>
    <w:div w:id="1926569798">
      <w:bodyDiv w:val="1"/>
      <w:marLeft w:val="0"/>
      <w:marRight w:val="0"/>
      <w:marTop w:val="0"/>
      <w:marBottom w:val="0"/>
      <w:divBdr>
        <w:top w:val="none" w:sz="0" w:space="0" w:color="auto"/>
        <w:left w:val="none" w:sz="0" w:space="0" w:color="auto"/>
        <w:bottom w:val="none" w:sz="0" w:space="0" w:color="auto"/>
        <w:right w:val="none" w:sz="0" w:space="0" w:color="auto"/>
      </w:divBdr>
    </w:div>
    <w:div w:id="1929001191">
      <w:bodyDiv w:val="1"/>
      <w:marLeft w:val="0"/>
      <w:marRight w:val="0"/>
      <w:marTop w:val="0"/>
      <w:marBottom w:val="0"/>
      <w:divBdr>
        <w:top w:val="none" w:sz="0" w:space="0" w:color="auto"/>
        <w:left w:val="none" w:sz="0" w:space="0" w:color="auto"/>
        <w:bottom w:val="none" w:sz="0" w:space="0" w:color="auto"/>
        <w:right w:val="none" w:sz="0" w:space="0" w:color="auto"/>
      </w:divBdr>
    </w:div>
    <w:div w:id="1950579409">
      <w:bodyDiv w:val="1"/>
      <w:marLeft w:val="0"/>
      <w:marRight w:val="0"/>
      <w:marTop w:val="0"/>
      <w:marBottom w:val="0"/>
      <w:divBdr>
        <w:top w:val="none" w:sz="0" w:space="0" w:color="auto"/>
        <w:left w:val="none" w:sz="0" w:space="0" w:color="auto"/>
        <w:bottom w:val="none" w:sz="0" w:space="0" w:color="auto"/>
        <w:right w:val="none" w:sz="0" w:space="0" w:color="auto"/>
      </w:divBdr>
    </w:div>
    <w:div w:id="2077506223">
      <w:bodyDiv w:val="1"/>
      <w:marLeft w:val="0"/>
      <w:marRight w:val="0"/>
      <w:marTop w:val="0"/>
      <w:marBottom w:val="0"/>
      <w:divBdr>
        <w:top w:val="none" w:sz="0" w:space="0" w:color="auto"/>
        <w:left w:val="none" w:sz="0" w:space="0" w:color="auto"/>
        <w:bottom w:val="none" w:sz="0" w:space="0" w:color="auto"/>
        <w:right w:val="none" w:sz="0" w:space="0" w:color="auto"/>
      </w:divBdr>
    </w:div>
    <w:div w:id="2080129287">
      <w:bodyDiv w:val="1"/>
      <w:marLeft w:val="0"/>
      <w:marRight w:val="0"/>
      <w:marTop w:val="0"/>
      <w:marBottom w:val="0"/>
      <w:divBdr>
        <w:top w:val="none" w:sz="0" w:space="0" w:color="auto"/>
        <w:left w:val="none" w:sz="0" w:space="0" w:color="auto"/>
        <w:bottom w:val="none" w:sz="0" w:space="0" w:color="auto"/>
        <w:right w:val="none" w:sz="0" w:space="0" w:color="auto"/>
      </w:divBdr>
    </w:div>
    <w:div w:id="2106001855">
      <w:bodyDiv w:val="1"/>
      <w:marLeft w:val="0"/>
      <w:marRight w:val="0"/>
      <w:marTop w:val="0"/>
      <w:marBottom w:val="0"/>
      <w:divBdr>
        <w:top w:val="none" w:sz="0" w:space="0" w:color="auto"/>
        <w:left w:val="none" w:sz="0" w:space="0" w:color="auto"/>
        <w:bottom w:val="none" w:sz="0" w:space="0" w:color="auto"/>
        <w:right w:val="none" w:sz="0" w:space="0" w:color="auto"/>
      </w:divBdr>
    </w:div>
    <w:div w:id="2110739488">
      <w:bodyDiv w:val="1"/>
      <w:marLeft w:val="0"/>
      <w:marRight w:val="0"/>
      <w:marTop w:val="0"/>
      <w:marBottom w:val="0"/>
      <w:divBdr>
        <w:top w:val="none" w:sz="0" w:space="0" w:color="auto"/>
        <w:left w:val="none" w:sz="0" w:space="0" w:color="auto"/>
        <w:bottom w:val="none" w:sz="0" w:space="0" w:color="auto"/>
        <w:right w:val="none" w:sz="0" w:space="0" w:color="auto"/>
      </w:divBdr>
    </w:div>
    <w:div w:id="214731394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chart" Target="charts/chart37.xml"/><Relationship Id="rId21" Type="http://schemas.openxmlformats.org/officeDocument/2006/relationships/image" Target="media/image16.png"/><Relationship Id="rId42" Type="http://schemas.openxmlformats.org/officeDocument/2006/relationships/image" Target="media/image36.emf"/><Relationship Id="rId47" Type="http://schemas.openxmlformats.org/officeDocument/2006/relationships/image" Target="media/image41.emf"/><Relationship Id="rId63" Type="http://schemas.openxmlformats.org/officeDocument/2006/relationships/image" Target="media/image57.emf"/><Relationship Id="rId68" Type="http://schemas.openxmlformats.org/officeDocument/2006/relationships/image" Target="media/image62.png"/><Relationship Id="rId84" Type="http://schemas.openxmlformats.org/officeDocument/2006/relationships/chart" Target="charts/chart12.xml"/><Relationship Id="rId89" Type="http://schemas.openxmlformats.org/officeDocument/2006/relationships/chart" Target="charts/chart16.xml"/><Relationship Id="rId112" Type="http://schemas.openxmlformats.org/officeDocument/2006/relationships/chart" Target="charts/chart32.xml"/><Relationship Id="rId16" Type="http://schemas.openxmlformats.org/officeDocument/2006/relationships/image" Target="media/image11.png"/><Relationship Id="rId107" Type="http://schemas.openxmlformats.org/officeDocument/2006/relationships/chart" Target="charts/chart27.xml"/><Relationship Id="rId11" Type="http://schemas.openxmlformats.org/officeDocument/2006/relationships/image" Target="media/image6.png"/><Relationship Id="rId32" Type="http://schemas.openxmlformats.org/officeDocument/2006/relationships/image" Target="media/image27.emf"/><Relationship Id="rId37" Type="http://schemas.openxmlformats.org/officeDocument/2006/relationships/image" Target="media/image32.emf"/><Relationship Id="rId53" Type="http://schemas.openxmlformats.org/officeDocument/2006/relationships/image" Target="media/image47.emf"/><Relationship Id="rId58" Type="http://schemas.openxmlformats.org/officeDocument/2006/relationships/image" Target="media/image52.png"/><Relationship Id="rId74" Type="http://schemas.openxmlformats.org/officeDocument/2006/relationships/image" Target="media/image68.emf"/><Relationship Id="rId79" Type="http://schemas.openxmlformats.org/officeDocument/2006/relationships/chart" Target="charts/chart8.xml"/><Relationship Id="rId102" Type="http://schemas.openxmlformats.org/officeDocument/2006/relationships/image" Target="media/image76.png"/><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chart" Target="charts/chart20.xml"/><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7.emf"/><Relationship Id="rId48" Type="http://schemas.openxmlformats.org/officeDocument/2006/relationships/image" Target="media/image42.emf"/><Relationship Id="rId64" Type="http://schemas.openxmlformats.org/officeDocument/2006/relationships/image" Target="media/image58.emf"/><Relationship Id="rId69" Type="http://schemas.openxmlformats.org/officeDocument/2006/relationships/image" Target="media/image63.png"/><Relationship Id="rId113" Type="http://schemas.openxmlformats.org/officeDocument/2006/relationships/chart" Target="charts/chart33.xml"/><Relationship Id="rId118" Type="http://schemas.openxmlformats.org/officeDocument/2006/relationships/chart" Target="charts/chart38.xml"/><Relationship Id="rId80" Type="http://schemas.openxmlformats.org/officeDocument/2006/relationships/image" Target="media/image69.png"/><Relationship Id="rId85" Type="http://schemas.openxmlformats.org/officeDocument/2006/relationships/chart" Target="charts/chart13.xml"/><Relationship Id="rId12" Type="http://schemas.openxmlformats.org/officeDocument/2006/relationships/image" Target="media/image7.emf"/><Relationship Id="rId17" Type="http://schemas.openxmlformats.org/officeDocument/2006/relationships/image" Target="media/image12.png"/><Relationship Id="rId33" Type="http://schemas.openxmlformats.org/officeDocument/2006/relationships/image" Target="media/image28.emf"/><Relationship Id="rId38" Type="http://schemas.openxmlformats.org/officeDocument/2006/relationships/image" Target="media/image33.png"/><Relationship Id="rId59" Type="http://schemas.openxmlformats.org/officeDocument/2006/relationships/image" Target="media/image53.png"/><Relationship Id="rId103" Type="http://schemas.openxmlformats.org/officeDocument/2006/relationships/image" Target="media/image77.png"/><Relationship Id="rId108" Type="http://schemas.openxmlformats.org/officeDocument/2006/relationships/chart" Target="charts/chart28.xml"/><Relationship Id="rId124" Type="http://schemas.openxmlformats.org/officeDocument/2006/relationships/fontTable" Target="fontTable.xml"/><Relationship Id="rId54" Type="http://schemas.openxmlformats.org/officeDocument/2006/relationships/image" Target="media/image48.emf"/><Relationship Id="rId70" Type="http://schemas.openxmlformats.org/officeDocument/2006/relationships/image" Target="media/image64.png"/><Relationship Id="rId75" Type="http://schemas.openxmlformats.org/officeDocument/2006/relationships/chart" Target="charts/chart3.xml"/><Relationship Id="rId91" Type="http://schemas.openxmlformats.org/officeDocument/2006/relationships/chart" Target="charts/chart17.xml"/><Relationship Id="rId96"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8.png"/><Relationship Id="rId28" Type="http://schemas.openxmlformats.org/officeDocument/2006/relationships/image" Target="media/image23.emf"/><Relationship Id="rId49" Type="http://schemas.openxmlformats.org/officeDocument/2006/relationships/image" Target="media/image43.png"/><Relationship Id="rId114" Type="http://schemas.openxmlformats.org/officeDocument/2006/relationships/chart" Target="charts/chart34.xml"/><Relationship Id="rId119" Type="http://schemas.openxmlformats.org/officeDocument/2006/relationships/chart" Target="charts/chart39.xml"/><Relationship Id="rId44" Type="http://schemas.openxmlformats.org/officeDocument/2006/relationships/image" Target="media/image38.emf"/><Relationship Id="rId60" Type="http://schemas.openxmlformats.org/officeDocument/2006/relationships/image" Target="media/image54.png"/><Relationship Id="rId65" Type="http://schemas.openxmlformats.org/officeDocument/2006/relationships/image" Target="media/image59.emf"/><Relationship Id="rId81" Type="http://schemas.openxmlformats.org/officeDocument/2006/relationships/chart" Target="charts/chart9.xml"/><Relationship Id="rId86" Type="http://schemas.openxmlformats.org/officeDocument/2006/relationships/chart" Target="charts/chart14.xml"/><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chart" Target="charts/chart29.xml"/><Relationship Id="rId34" Type="http://schemas.openxmlformats.org/officeDocument/2006/relationships/image" Target="media/image29.png"/><Relationship Id="rId50" Type="http://schemas.openxmlformats.org/officeDocument/2006/relationships/image" Target="media/image44.png"/><Relationship Id="rId55" Type="http://schemas.openxmlformats.org/officeDocument/2006/relationships/image" Target="media/image49.emf"/><Relationship Id="rId76" Type="http://schemas.openxmlformats.org/officeDocument/2006/relationships/chart" Target="charts/chart4.xml"/><Relationship Id="rId97" Type="http://schemas.openxmlformats.org/officeDocument/2006/relationships/chart" Target="charts/chart22.xml"/><Relationship Id="rId104" Type="http://schemas.openxmlformats.org/officeDocument/2006/relationships/chart" Target="charts/chart24.xml"/><Relationship Id="rId120" Type="http://schemas.openxmlformats.org/officeDocument/2006/relationships/chart" Target="charts/chart40.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5.png"/><Relationship Id="rId92" Type="http://schemas.openxmlformats.org/officeDocument/2006/relationships/image" Target="media/image72.emf"/><Relationship Id="rId2" Type="http://schemas.openxmlformats.org/officeDocument/2006/relationships/numbering" Target="numbering.xml"/><Relationship Id="rId29" Type="http://schemas.openxmlformats.org/officeDocument/2006/relationships/image" Target="media/image24.emf"/><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39.emf"/><Relationship Id="rId66" Type="http://schemas.openxmlformats.org/officeDocument/2006/relationships/image" Target="media/image60.emf"/><Relationship Id="rId87" Type="http://schemas.openxmlformats.org/officeDocument/2006/relationships/image" Target="media/image70.png"/><Relationship Id="rId110" Type="http://schemas.openxmlformats.org/officeDocument/2006/relationships/chart" Target="charts/chart30.xml"/><Relationship Id="rId115" Type="http://schemas.openxmlformats.org/officeDocument/2006/relationships/chart" Target="charts/chart35.xml"/><Relationship Id="rId61" Type="http://schemas.openxmlformats.org/officeDocument/2006/relationships/image" Target="media/image55.png"/><Relationship Id="rId82" Type="http://schemas.openxmlformats.org/officeDocument/2006/relationships/chart" Target="charts/chart10.xml"/><Relationship Id="rId19" Type="http://schemas.openxmlformats.org/officeDocument/2006/relationships/image" Target="media/image14.png"/><Relationship Id="rId14" Type="http://schemas.openxmlformats.org/officeDocument/2006/relationships/image" Target="media/image9.emf"/><Relationship Id="rId30" Type="http://schemas.openxmlformats.org/officeDocument/2006/relationships/image" Target="media/image25.emf"/><Relationship Id="rId35" Type="http://schemas.openxmlformats.org/officeDocument/2006/relationships/image" Target="media/image30.png"/><Relationship Id="rId56" Type="http://schemas.openxmlformats.org/officeDocument/2006/relationships/chart" Target="charts/chart2.xml"/><Relationship Id="rId77" Type="http://schemas.openxmlformats.org/officeDocument/2006/relationships/chart" Target="charts/chart5.xml"/><Relationship Id="rId100" Type="http://schemas.openxmlformats.org/officeDocument/2006/relationships/image" Target="media/image74.png"/><Relationship Id="rId105" Type="http://schemas.openxmlformats.org/officeDocument/2006/relationships/chart" Target="charts/chart25.xml"/><Relationship Id="rId8" Type="http://schemas.openxmlformats.org/officeDocument/2006/relationships/image" Target="media/image3.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chart" Target="charts/chart18.xml"/><Relationship Id="rId98" Type="http://schemas.openxmlformats.org/officeDocument/2006/relationships/image" Target="media/image73.png"/><Relationship Id="rId121" Type="http://schemas.openxmlformats.org/officeDocument/2006/relationships/chart" Target="charts/chart41.xml"/><Relationship Id="rId3" Type="http://schemas.openxmlformats.org/officeDocument/2006/relationships/styles" Target="styles.xml"/><Relationship Id="rId25" Type="http://schemas.openxmlformats.org/officeDocument/2006/relationships/image" Target="media/image20.emf"/><Relationship Id="rId46" Type="http://schemas.openxmlformats.org/officeDocument/2006/relationships/image" Target="media/image40.emf"/><Relationship Id="rId67" Type="http://schemas.openxmlformats.org/officeDocument/2006/relationships/image" Target="media/image61.png"/><Relationship Id="rId116" Type="http://schemas.openxmlformats.org/officeDocument/2006/relationships/chart" Target="charts/chart36.xml"/><Relationship Id="rId20" Type="http://schemas.openxmlformats.org/officeDocument/2006/relationships/image" Target="media/image15.emf"/><Relationship Id="rId41" Type="http://schemas.openxmlformats.org/officeDocument/2006/relationships/chart" Target="charts/chart1.xml"/><Relationship Id="rId62" Type="http://schemas.openxmlformats.org/officeDocument/2006/relationships/image" Target="media/image56.emf"/><Relationship Id="rId83" Type="http://schemas.openxmlformats.org/officeDocument/2006/relationships/chart" Target="charts/chart11.xml"/><Relationship Id="rId88" Type="http://schemas.openxmlformats.org/officeDocument/2006/relationships/chart" Target="charts/chart15.xml"/><Relationship Id="rId111" Type="http://schemas.openxmlformats.org/officeDocument/2006/relationships/chart" Target="charts/chart31.xml"/><Relationship Id="rId15" Type="http://schemas.openxmlformats.org/officeDocument/2006/relationships/image" Target="media/image10.emf"/><Relationship Id="rId36" Type="http://schemas.openxmlformats.org/officeDocument/2006/relationships/image" Target="media/image31.emf"/><Relationship Id="rId57" Type="http://schemas.openxmlformats.org/officeDocument/2006/relationships/image" Target="media/image51.emf"/><Relationship Id="rId106" Type="http://schemas.openxmlformats.org/officeDocument/2006/relationships/chart" Target="charts/chart26.xml"/><Relationship Id="rId10" Type="http://schemas.openxmlformats.org/officeDocument/2006/relationships/image" Target="media/image5.png"/><Relationship Id="rId31" Type="http://schemas.openxmlformats.org/officeDocument/2006/relationships/image" Target="media/image26.emf"/><Relationship Id="rId52" Type="http://schemas.openxmlformats.org/officeDocument/2006/relationships/image" Target="media/image46.emf"/><Relationship Id="rId73" Type="http://schemas.openxmlformats.org/officeDocument/2006/relationships/image" Target="media/image67.emf"/><Relationship Id="rId78" Type="http://schemas.openxmlformats.org/officeDocument/2006/relationships/chart" Target="charts/chart7.xml"/><Relationship Id="rId94" Type="http://schemas.openxmlformats.org/officeDocument/2006/relationships/chart" Target="charts/chart19.xml"/><Relationship Id="rId99" Type="http://schemas.openxmlformats.org/officeDocument/2006/relationships/chart" Target="charts/chart23.xml"/><Relationship Id="rId101" Type="http://schemas.openxmlformats.org/officeDocument/2006/relationships/image" Target="media/image75.png"/><Relationship Id="rId122" Type="http://schemas.openxmlformats.org/officeDocument/2006/relationships/image" Target="media/image78.png"/><Relationship Id="rId4" Type="http://schemas.openxmlformats.org/officeDocument/2006/relationships/settings" Target="settings.xml"/><Relationship Id="rId9" Type="http://schemas.openxmlformats.org/officeDocument/2006/relationships/image" Target="media/image4.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1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1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cosmin.dumitru\Documents\Necesar%20Statistica\Rapoarte%20anuale\an%202015\Parchete%202015\SITUATIA%20STATISTICA%20PE%20ANUL%202015\Grafice%20parchete%202015.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cosmin.dumitru\Documents\Necesar%20Statistica\Rapoarte%20anuale\an%202015\Parchete%202015\SITUATIA%20STATISTICA%20PE%20ANUL%202015\Grafice%20parchete%202015.xlsx"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0110.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1111.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2112.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3113.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4114.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5115.xlsx"/><Relationship Id="rId1" Type="http://schemas.openxmlformats.org/officeDocument/2006/relationships/themeOverride" Target="../theme/themeOverride3.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6116.xlsx"/><Relationship Id="rId1" Type="http://schemas.openxmlformats.org/officeDocument/2006/relationships/themeOverride" Target="../theme/themeOverride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12.xlsx"/><Relationship Id="rId1" Type="http://schemas.openxmlformats.org/officeDocument/2006/relationships/image" Target="../media/image50.jpeg"/></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7117.xlsx"/><Relationship Id="rId1" Type="http://schemas.openxmlformats.org/officeDocument/2006/relationships/themeOverride" Target="../theme/themeOverride5.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8118.xlsx"/><Relationship Id="rId1" Type="http://schemas.openxmlformats.org/officeDocument/2006/relationships/themeOverride" Target="../theme/themeOverride6.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9119.xlsx"/><Relationship Id="rId1" Type="http://schemas.openxmlformats.org/officeDocument/2006/relationships/themeOverride" Target="../theme/themeOverride7.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0120.xlsx"/><Relationship Id="rId1" Type="http://schemas.openxmlformats.org/officeDocument/2006/relationships/themeOverride" Target="../theme/themeOverride8.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1121.xlsx"/><Relationship Id="rId1" Type="http://schemas.openxmlformats.org/officeDocument/2006/relationships/themeOverride" Target="../theme/themeOverride9.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2122.xlsx"/><Relationship Id="rId1" Type="http://schemas.openxmlformats.org/officeDocument/2006/relationships/themeOverride" Target="../theme/themeOverride10.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3123.xlsx"/><Relationship Id="rId1" Type="http://schemas.openxmlformats.org/officeDocument/2006/relationships/themeOverride" Target="../theme/themeOverride11.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4124.xlsx"/><Relationship Id="rId1" Type="http://schemas.openxmlformats.org/officeDocument/2006/relationships/themeOverride" Target="../theme/themeOverride12.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5125.xlsx"/><Relationship Id="rId1" Type="http://schemas.openxmlformats.org/officeDocument/2006/relationships/themeOverride" Target="../theme/themeOverride13.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6126.xlsx"/><Relationship Id="rId1" Type="http://schemas.openxmlformats.org/officeDocument/2006/relationships/themeOverride" Target="../theme/themeOverride14.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13.xlsx"/></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7127.xlsx"/><Relationship Id="rId1" Type="http://schemas.openxmlformats.org/officeDocument/2006/relationships/themeOverride" Target="../theme/themeOverride15.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8128.xlsx"/><Relationship Id="rId1" Type="http://schemas.openxmlformats.org/officeDocument/2006/relationships/themeOverride" Target="../theme/themeOverride16.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29129.xlsx"/><Relationship Id="rId1" Type="http://schemas.openxmlformats.org/officeDocument/2006/relationships/themeOverride" Target="../theme/themeOverride17.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0130.xlsx"/><Relationship Id="rId1" Type="http://schemas.openxmlformats.org/officeDocument/2006/relationships/themeOverride" Target="../theme/themeOverride18.xml"/></Relationships>
</file>

<file path=word/charts/_rels/chart34.xml.rels><?xml version="1.0" encoding="UTF-8" standalone="yes"?>
<Relationships xmlns="http://schemas.openxmlformats.org/package/2006/relationships"><Relationship Id="rId2" Type="http://schemas.openxmlformats.org/officeDocument/2006/relationships/oleObject" Target="file:///C:\Users\mihaela.tugulea\Documents\Note%20interne\2017\starea%20justitiei\Copy%20of%20tabele%20raport%20justitie%202016.xls" TargetMode="External"/><Relationship Id="rId1" Type="http://schemas.openxmlformats.org/officeDocument/2006/relationships/themeOverride" Target="../theme/themeOverride19.xml"/></Relationships>
</file>

<file path=word/charts/_rels/chart35.xml.rels><?xml version="1.0" encoding="UTF-8" standalone="yes"?>
<Relationships xmlns="http://schemas.openxmlformats.org/package/2006/relationships"><Relationship Id="rId2" Type="http://schemas.openxmlformats.org/officeDocument/2006/relationships/oleObject" Target="file:///C:\Users\mihaela.tugulea\Documents\Note%20interne\2017\starea%20justitiei\Copy%20of%20tabele%20raport%20justitie%202016.xls" TargetMode="External"/><Relationship Id="rId1" Type="http://schemas.openxmlformats.org/officeDocument/2006/relationships/themeOverride" Target="../theme/themeOverride20.xml"/></Relationships>
</file>

<file path=word/charts/_rels/chart36.xml.rels><?xml version="1.0" encoding="UTF-8" standalone="yes"?>
<Relationships xmlns="http://schemas.openxmlformats.org/package/2006/relationships"><Relationship Id="rId2" Type="http://schemas.openxmlformats.org/officeDocument/2006/relationships/oleObject" Target="file:///C:\Users\mihaela.tugulea\Documents\Note%20interne\2017\starea%20justitiei\Copy%20of%20tabele%20raport%20justitie%202016.xls" TargetMode="External"/><Relationship Id="rId1" Type="http://schemas.openxmlformats.org/officeDocument/2006/relationships/themeOverride" Target="../theme/themeOverride21.xml"/></Relationships>
</file>

<file path=word/charts/_rels/chart37.xml.rels><?xml version="1.0" encoding="UTF-8" standalone="yes"?>
<Relationships xmlns="http://schemas.openxmlformats.org/package/2006/relationships"><Relationship Id="rId2" Type="http://schemas.openxmlformats.org/officeDocument/2006/relationships/oleObject" Target="file:///C:\Users\mihaela.tugulea\Documents\Note%20interne\2017\starea%20justitiei\Copy%20of%20tabele%20raport%20justitie%202016.xls" TargetMode="External"/><Relationship Id="rId1" Type="http://schemas.openxmlformats.org/officeDocument/2006/relationships/themeOverride" Target="../theme/themeOverride22.xml"/></Relationships>
</file>

<file path=word/charts/_rels/chart38.xml.rels><?xml version="1.0" encoding="UTF-8" standalone="yes"?>
<Relationships xmlns="http://schemas.openxmlformats.org/package/2006/relationships"><Relationship Id="rId2" Type="http://schemas.openxmlformats.org/officeDocument/2006/relationships/oleObject" Target="file:///C:\Users\mihaela.tugulea\Documents\Note%20interne\2017\starea%20justitiei\Copy%20of%20tabele%20raport%20justitie%202016.xls" TargetMode="External"/><Relationship Id="rId1" Type="http://schemas.openxmlformats.org/officeDocument/2006/relationships/themeOverride" Target="../theme/themeOverride23.xml"/></Relationships>
</file>

<file path=word/charts/_rels/chart39.xml.rels><?xml version="1.0" encoding="UTF-8" standalone="yes"?>
<Relationships xmlns="http://schemas.openxmlformats.org/package/2006/relationships"><Relationship Id="rId2" Type="http://schemas.openxmlformats.org/officeDocument/2006/relationships/oleObject" Target="file:///C:\Users\mihaela.tugulea\Documents\Note%20interne\2017\starea%20justitiei\Copy%20of%20tabele%20raport%20justitie%202016.xls" TargetMode="External"/><Relationship Id="rId1" Type="http://schemas.openxmlformats.org/officeDocument/2006/relationships/themeOverride" Target="../theme/themeOverride24.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14.xlsx"/></Relationships>
</file>

<file path=word/charts/_rels/chart40.xml.rels><?xml version="1.0" encoding="UTF-8" standalone="yes"?>
<Relationships xmlns="http://schemas.openxmlformats.org/package/2006/relationships"><Relationship Id="rId2" Type="http://schemas.openxmlformats.org/officeDocument/2006/relationships/oleObject" Target="file:///C:\Users\mihaela.tugulea\Documents\Note%20interne\2017\starea%20justitiei\Copy%20of%20tabele%20raport%20justitie%202016.xls" TargetMode="External"/><Relationship Id="rId1" Type="http://schemas.openxmlformats.org/officeDocument/2006/relationships/themeOverride" Target="../theme/themeOverride25.xml"/></Relationships>
</file>

<file path=word/charts/_rels/chart41.xml.rels><?xml version="1.0" encoding="UTF-8" standalone="yes"?>
<Relationships xmlns="http://schemas.openxmlformats.org/package/2006/relationships"><Relationship Id="rId2" Type="http://schemas.openxmlformats.org/officeDocument/2006/relationships/oleObject" Target="file:///C:\Users\mihaela.tugulea\Documents\Note%20interne\2017\starea%20justitiei\Copy%20of%20tabele%20raport%20justitie%202016.xls" TargetMode="External"/><Relationship Id="rId1" Type="http://schemas.openxmlformats.org/officeDocument/2006/relationships/themeOverride" Target="../theme/themeOverride26.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51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1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1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1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0"/>
      <c:hPercent val="55"/>
      <c:rotY val="7"/>
      <c:depthPercent val="100"/>
      <c:rAngAx val="1"/>
    </c:view3D>
    <c:floor>
      <c:thickness val="0"/>
      <c:spPr>
        <a:solidFill>
          <a:srgbClr val="C0C0C0"/>
        </a:solidFill>
        <a:ln w="3175">
          <a:solidFill>
            <a:srgbClr val="000000"/>
          </a:solidFill>
          <a:prstDash val="solid"/>
        </a:ln>
      </c:spPr>
    </c:floor>
    <c:sideWall>
      <c:thickness val="0"/>
      <c:spPr>
        <a:solidFill>
          <a:srgbClr val="FFFFFF"/>
        </a:solidFill>
        <a:ln w="25400">
          <a:noFill/>
        </a:ln>
      </c:spPr>
    </c:sideWall>
    <c:backWall>
      <c:thickness val="0"/>
      <c:spPr>
        <a:solidFill>
          <a:srgbClr val="FFFFFF"/>
        </a:solidFill>
        <a:ln w="25400">
          <a:noFill/>
        </a:ln>
      </c:spPr>
    </c:backWall>
    <c:plotArea>
      <c:layout>
        <c:manualLayout>
          <c:layoutTarget val="inner"/>
          <c:xMode val="edge"/>
          <c:yMode val="edge"/>
          <c:x val="2.5773195876288659E-3"/>
          <c:y val="3.4567901234567905E-2"/>
          <c:w val="0.88273195876288657"/>
          <c:h val="0.80740740740740746"/>
        </c:manualLayout>
      </c:layout>
      <c:bar3DChart>
        <c:barDir val="col"/>
        <c:grouping val="clustered"/>
        <c:varyColors val="0"/>
        <c:ser>
          <c:idx val="4"/>
          <c:order val="0"/>
          <c:tx>
            <c:strRef>
              <c:f>Sheet1!$A$2</c:f>
              <c:strCache>
                <c:ptCount val="1"/>
                <c:pt idx="0">
                  <c:v>2012</c:v>
                </c:pt>
              </c:strCache>
            </c:strRef>
          </c:tx>
          <c:spPr>
            <a:solidFill>
              <a:srgbClr val="660066"/>
            </a:solidFill>
            <a:ln w="12668">
              <a:solidFill>
                <a:srgbClr val="000000"/>
              </a:solidFill>
              <a:prstDash val="solid"/>
            </a:ln>
          </c:spPr>
          <c:invertIfNegative val="0"/>
          <c:dLbls>
            <c:dLbl>
              <c:idx val="0"/>
              <c:layout>
                <c:manualLayout>
                  <c:x val="2.5611858011966027E-3"/>
                  <c:y val="-2.3170902032896845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6.4359351497672856E-3"/>
                  <c:y val="-3.1121966622376873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9.0218581644272988E-3"/>
                  <c:y val="-4.303706766168941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1.6762420354345053E-2"/>
                  <c:y val="-3.8959638796144835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2.2551331778226658E-3"/>
                  <c:y val="-5.5065561116714012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5"/>
              <c:layout>
                <c:manualLayout>
                  <c:x val="-2.2465297507914261E-3"/>
                  <c:y val="-3.9820481535538632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6">
                <a:noFill/>
              </a:ln>
            </c:spPr>
            <c:txPr>
              <a:bodyPr wrap="square" lIns="38100" tIns="19050" rIns="38100" bIns="19050" anchor="ctr">
                <a:spAutoFit/>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Sheet1!$B$2:$G$2</c:f>
              <c:numCache>
                <c:formatCode>General</c:formatCode>
                <c:ptCount val="6"/>
                <c:pt idx="0">
                  <c:v>0</c:v>
                </c:pt>
                <c:pt idx="1">
                  <c:v>7</c:v>
                </c:pt>
                <c:pt idx="2">
                  <c:v>6</c:v>
                </c:pt>
                <c:pt idx="3">
                  <c:v>8</c:v>
                </c:pt>
                <c:pt idx="4">
                  <c:v>11</c:v>
                </c:pt>
                <c:pt idx="5">
                  <c:v>10</c:v>
                </c:pt>
              </c:numCache>
            </c:numRef>
          </c:val>
        </c:ser>
        <c:ser>
          <c:idx val="2"/>
          <c:order val="1"/>
          <c:tx>
            <c:strRef>
              <c:f>Sheet1!$A$3</c:f>
              <c:strCache>
                <c:ptCount val="1"/>
                <c:pt idx="0">
                  <c:v>2013</c:v>
                </c:pt>
              </c:strCache>
            </c:strRef>
          </c:tx>
          <c:spPr>
            <a:solidFill>
              <a:srgbClr val="FFFFCC"/>
            </a:solidFill>
            <a:ln w="12668">
              <a:solidFill>
                <a:srgbClr val="000000"/>
              </a:solidFill>
              <a:prstDash val="solid"/>
            </a:ln>
          </c:spPr>
          <c:invertIfNegative val="0"/>
          <c:dLbls>
            <c:dLbl>
              <c:idx val="0"/>
              <c:layout>
                <c:manualLayout>
                  <c:x val="2.1661011857792151E-3"/>
                  <c:y val="-2.0701766230427743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3.4633644066248137E-3"/>
                  <c:y val="-1.877628761003125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6.0492874212848546E-3"/>
                  <c:y val="-3.3160524451812889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1.3789849611202609E-2"/>
                  <c:y val="-2.3714559214969511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1.4102192986251261E-2"/>
                  <c:y val="-4.5619595879870606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5"/>
              <c:layout>
                <c:manualLayout>
                  <c:x val="1.0244983571935373E-2"/>
                  <c:y val="-3.4882209930600372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6">
                <a:noFill/>
              </a:ln>
            </c:spPr>
            <c:txPr>
              <a:bodyPr wrap="square" lIns="38100" tIns="19050" rIns="38100" bIns="19050" anchor="ctr">
                <a:spAutoFit/>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Sheet1!$B$3:$G$3</c:f>
              <c:numCache>
                <c:formatCode>General</c:formatCode>
                <c:ptCount val="6"/>
                <c:pt idx="0">
                  <c:v>0</c:v>
                </c:pt>
                <c:pt idx="1">
                  <c:v>7</c:v>
                </c:pt>
                <c:pt idx="2">
                  <c:v>6</c:v>
                </c:pt>
                <c:pt idx="3">
                  <c:v>7</c:v>
                </c:pt>
                <c:pt idx="4">
                  <c:v>12</c:v>
                </c:pt>
                <c:pt idx="5">
                  <c:v>10</c:v>
                </c:pt>
              </c:numCache>
            </c:numRef>
          </c:val>
        </c:ser>
        <c:ser>
          <c:idx val="0"/>
          <c:order val="2"/>
          <c:tx>
            <c:strRef>
              <c:f>Sheet1!$A$4</c:f>
              <c:strCache>
                <c:ptCount val="1"/>
                <c:pt idx="0">
                  <c:v>2014</c:v>
                </c:pt>
              </c:strCache>
            </c:strRef>
          </c:tx>
          <c:spPr>
            <a:solidFill>
              <a:srgbClr val="9999FF"/>
            </a:solidFill>
            <a:ln w="12668">
              <a:solidFill>
                <a:srgbClr val="000000"/>
              </a:solidFill>
              <a:prstDash val="solid"/>
            </a:ln>
          </c:spPr>
          <c:invertIfNegative val="0"/>
          <c:dLbls>
            <c:dLbl>
              <c:idx val="0"/>
              <c:layout>
                <c:manualLayout>
                  <c:x val="1.7708500302656416E-3"/>
                  <c:y val="-1.2116330526305563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2.0865259241464318E-3"/>
                  <c:y val="-3.9389903562505491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2.0917968323455605E-3"/>
                  <c:y val="-2.2966795684615293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1.7260744377228576E-2"/>
                  <c:y val="-2.3714559214969511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1.3707108370834109E-2"/>
                  <c:y val="-3.7781610499430102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5"/>
              <c:layout>
                <c:manualLayout>
                  <c:x val="1.0834652262218802E-2"/>
                  <c:y val="-2.0384580673106556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6">
                <a:noFill/>
              </a:ln>
            </c:spPr>
            <c:txPr>
              <a:bodyPr wrap="square" lIns="38100" tIns="19050" rIns="38100" bIns="19050" anchor="ctr">
                <a:spAutoFit/>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Sheet1!$B$4:$G$4</c:f>
              <c:numCache>
                <c:formatCode>General</c:formatCode>
                <c:ptCount val="6"/>
                <c:pt idx="0">
                  <c:v>3</c:v>
                </c:pt>
                <c:pt idx="1">
                  <c:v>9</c:v>
                </c:pt>
                <c:pt idx="2">
                  <c:v>11</c:v>
                </c:pt>
                <c:pt idx="3">
                  <c:v>7</c:v>
                </c:pt>
                <c:pt idx="4">
                  <c:v>11</c:v>
                </c:pt>
                <c:pt idx="5">
                  <c:v>5</c:v>
                </c:pt>
              </c:numCache>
            </c:numRef>
          </c:val>
        </c:ser>
        <c:ser>
          <c:idx val="1"/>
          <c:order val="3"/>
          <c:tx>
            <c:strRef>
              <c:f>Sheet1!$A$5</c:f>
              <c:strCache>
                <c:ptCount val="1"/>
                <c:pt idx="0">
                  <c:v>2015</c:v>
                </c:pt>
              </c:strCache>
            </c:strRef>
          </c:tx>
          <c:spPr>
            <a:solidFill>
              <a:srgbClr val="993366"/>
            </a:solidFill>
            <a:ln w="12668">
              <a:solidFill>
                <a:srgbClr val="000000"/>
              </a:solidFill>
              <a:prstDash val="solid"/>
            </a:ln>
          </c:spPr>
          <c:invertIfNegative val="0"/>
          <c:dLbls>
            <c:dLbl>
              <c:idx val="0"/>
              <c:layout>
                <c:manualLayout>
                  <c:x val="2.6642586685665381E-3"/>
                  <c:y val="-1.9954315906746012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2.2306665490927913E-2"/>
                  <c:y val="-8.5825588428335708E-3"/>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8.1400111860003288E-3"/>
                  <c:y val="-3.9820481535538632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1.7624581263257166E-2"/>
                  <c:y val="-8.5825588428335708E-3"/>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1.171945747348857E-2"/>
                  <c:y val="-1.9954315906746012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5"/>
              <c:layout>
                <c:manualLayout>
                  <c:x val="7.8622480591725719E-3"/>
                  <c:y val="-1.5016044301807807E-2"/>
                </c:manualLayout>
              </c:layout>
              <c:spPr>
                <a:noFill/>
                <a:ln w="25336">
                  <a:noFill/>
                </a:ln>
              </c:spPr>
              <c:txPr>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6">
                <a:noFill/>
              </a:ln>
            </c:spPr>
            <c:txPr>
              <a:bodyPr wrap="square" lIns="38100" tIns="19050" rIns="38100" bIns="19050" anchor="ctr">
                <a:spAutoFit/>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Sheet1!$B$5:$G$5</c:f>
              <c:numCache>
                <c:formatCode>General</c:formatCode>
                <c:ptCount val="6"/>
                <c:pt idx="0">
                  <c:v>4</c:v>
                </c:pt>
                <c:pt idx="1">
                  <c:v>12</c:v>
                </c:pt>
                <c:pt idx="2">
                  <c:v>10</c:v>
                </c:pt>
                <c:pt idx="3">
                  <c:v>12</c:v>
                </c:pt>
                <c:pt idx="4">
                  <c:v>4</c:v>
                </c:pt>
                <c:pt idx="5">
                  <c:v>4</c:v>
                </c:pt>
              </c:numCache>
            </c:numRef>
          </c:val>
        </c:ser>
        <c:ser>
          <c:idx val="3"/>
          <c:order val="4"/>
          <c:tx>
            <c:strRef>
              <c:f>Sheet1!$A$6</c:f>
              <c:strCache>
                <c:ptCount val="1"/>
                <c:pt idx="0">
                  <c:v>2016</c:v>
                </c:pt>
              </c:strCache>
            </c:strRef>
          </c:tx>
          <c:spPr>
            <a:solidFill>
              <a:srgbClr val="CCFFFF"/>
            </a:solidFill>
            <a:ln w="12668">
              <a:solidFill>
                <a:srgbClr val="000000"/>
              </a:solidFill>
              <a:prstDash val="solid"/>
            </a:ln>
          </c:spPr>
          <c:invertIfNegative val="0"/>
          <c:dLbls>
            <c:spPr>
              <a:noFill/>
              <a:ln w="25336">
                <a:noFill/>
              </a:ln>
            </c:spPr>
            <c:txPr>
              <a:bodyPr wrap="square" lIns="38100" tIns="19050" rIns="38100" bIns="19050" anchor="ctr">
                <a:spAutoFit/>
              </a:bodyPr>
              <a:lstStyle/>
              <a:p>
                <a:pPr>
                  <a:defRPr sz="1147"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6"/>
                <c:pt idx="0">
                  <c:v>sub 5.000 cauze</c:v>
                </c:pt>
                <c:pt idx="1">
                  <c:v>5.000-10.00</c:v>
                </c:pt>
                <c:pt idx="2">
                  <c:v>10.000-15.000</c:v>
                </c:pt>
                <c:pt idx="3">
                  <c:v>15.000-20.000</c:v>
                </c:pt>
                <c:pt idx="4">
                  <c:v>20.000-30.000</c:v>
                </c:pt>
                <c:pt idx="5">
                  <c:v>peste 30.000</c:v>
                </c:pt>
              </c:strCache>
            </c:strRef>
          </c:cat>
          <c:val>
            <c:numRef>
              <c:f>Sheet1!$B$6:$G$6</c:f>
              <c:numCache>
                <c:formatCode>General</c:formatCode>
                <c:ptCount val="6"/>
                <c:pt idx="0">
                  <c:v>4</c:v>
                </c:pt>
                <c:pt idx="1">
                  <c:v>11</c:v>
                </c:pt>
                <c:pt idx="2">
                  <c:v>16</c:v>
                </c:pt>
                <c:pt idx="3">
                  <c:v>7</c:v>
                </c:pt>
                <c:pt idx="4">
                  <c:v>6</c:v>
                </c:pt>
                <c:pt idx="5">
                  <c:v>2</c:v>
                </c:pt>
              </c:numCache>
            </c:numRef>
          </c:val>
        </c:ser>
        <c:dLbls>
          <c:showLegendKey val="0"/>
          <c:showVal val="1"/>
          <c:showCatName val="0"/>
          <c:showSerName val="0"/>
          <c:showPercent val="0"/>
          <c:showBubbleSize val="0"/>
        </c:dLbls>
        <c:gapWidth val="150"/>
        <c:gapDepth val="0"/>
        <c:shape val="box"/>
        <c:axId val="764204144"/>
        <c:axId val="764204688"/>
        <c:axId val="0"/>
      </c:bar3DChart>
      <c:catAx>
        <c:axId val="764204144"/>
        <c:scaling>
          <c:orientation val="minMax"/>
        </c:scaling>
        <c:delete val="0"/>
        <c:axPos val="b"/>
        <c:numFmt formatCode="General" sourceLinked="1"/>
        <c:majorTickMark val="out"/>
        <c:minorTickMark val="none"/>
        <c:tickLblPos val="low"/>
        <c:spPr>
          <a:ln w="3167">
            <a:solidFill>
              <a:srgbClr val="000000"/>
            </a:solidFill>
            <a:prstDash val="solid"/>
          </a:ln>
        </c:spPr>
        <c:txPr>
          <a:bodyPr rot="0" vert="horz"/>
          <a:lstStyle/>
          <a:p>
            <a:pPr>
              <a:defRPr sz="923" b="1" i="0" u="none" strike="noStrike" baseline="0">
                <a:solidFill>
                  <a:srgbClr val="000000"/>
                </a:solidFill>
                <a:latin typeface="Arial"/>
                <a:ea typeface="Arial"/>
                <a:cs typeface="Arial"/>
              </a:defRPr>
            </a:pPr>
            <a:endParaRPr lang="en-US"/>
          </a:p>
        </c:txPr>
        <c:crossAx val="764204688"/>
        <c:crosses val="autoZero"/>
        <c:auto val="1"/>
        <c:lblAlgn val="ctr"/>
        <c:lblOffset val="100"/>
        <c:tickLblSkip val="1"/>
        <c:tickMarkSkip val="1"/>
        <c:noMultiLvlLbl val="0"/>
      </c:catAx>
      <c:valAx>
        <c:axId val="764204688"/>
        <c:scaling>
          <c:orientation val="minMax"/>
        </c:scaling>
        <c:delete val="1"/>
        <c:axPos val="l"/>
        <c:numFmt formatCode="General" sourceLinked="1"/>
        <c:majorTickMark val="out"/>
        <c:minorTickMark val="none"/>
        <c:tickLblPos val="nextTo"/>
        <c:crossAx val="764204144"/>
        <c:crosses val="autoZero"/>
        <c:crossBetween val="between"/>
      </c:valAx>
      <c:spPr>
        <a:noFill/>
        <a:ln w="25336">
          <a:noFill/>
        </a:ln>
      </c:spPr>
    </c:plotArea>
    <c:legend>
      <c:legendPos val="r"/>
      <c:layout>
        <c:manualLayout>
          <c:xMode val="edge"/>
          <c:yMode val="edge"/>
          <c:x val="0.884020618556701"/>
          <c:y val="5.6790123456790124E-2"/>
          <c:w val="9.4072164948453593E-2"/>
          <c:h val="0.33580246913580247"/>
        </c:manualLayout>
      </c:layout>
      <c:overlay val="0"/>
      <c:spPr>
        <a:noFill/>
        <a:ln w="3167">
          <a:solidFill>
            <a:srgbClr val="000000"/>
          </a:solidFill>
          <a:prstDash val="solid"/>
        </a:ln>
      </c:spPr>
      <c:txPr>
        <a:bodyPr/>
        <a:lstStyle/>
        <a:p>
          <a:pPr>
            <a:defRPr sz="1052"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6350" cap="flat" cmpd="sng" algn="ctr">
      <a:solidFill>
        <a:srgbClr val="000000"/>
      </a:solidFill>
      <a:prstDash val="solid"/>
      <a:miter lim="800000"/>
      <a:headEnd type="none" w="med" len="med"/>
      <a:tailEnd type="none" w="med" len="med"/>
    </a:ln>
  </c:spPr>
  <c:txPr>
    <a:bodyPr/>
    <a:lstStyle/>
    <a:p>
      <a:pPr>
        <a:defRPr sz="1147" b="1"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1.6447368421052634E-2"/>
          <c:y val="3.5971223021582732E-2"/>
          <c:w val="0.85361842105263175"/>
          <c:h val="0.73381294964028765"/>
        </c:manualLayout>
      </c:layout>
      <c:bar3DChart>
        <c:barDir val="col"/>
        <c:grouping val="clustered"/>
        <c:varyColors val="0"/>
        <c:ser>
          <c:idx val="3"/>
          <c:order val="0"/>
          <c:tx>
            <c:strRef>
              <c:f>Sheet1!$A$2</c:f>
              <c:strCache>
                <c:ptCount val="1"/>
                <c:pt idx="0">
                  <c:v>2016</c:v>
                </c:pt>
              </c:strCache>
            </c:strRef>
          </c:tx>
          <c:spPr>
            <a:solidFill>
              <a:srgbClr val="CCFFFF"/>
            </a:solidFill>
            <a:ln w="12670">
              <a:solidFill>
                <a:srgbClr val="000000"/>
              </a:solidFill>
              <a:prstDash val="solid"/>
            </a:ln>
          </c:spPr>
          <c:invertIfNegative val="0"/>
          <c:dLbls>
            <c:dLbl>
              <c:idx val="1"/>
              <c:layout>
                <c:manualLayout>
                  <c:x val="-1.0332184830813551E-4"/>
                  <c:y val="-1.5123113140456945E-2"/>
                </c:manualLayout>
              </c:layout>
              <c:spPr>
                <a:noFill/>
                <a:ln w="25339">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6.6539876483149296E-3"/>
                  <c:y val="-1.8555461185860378E-2"/>
                </c:manualLayout>
              </c:layout>
              <c:spPr>
                <a:noFill/>
                <a:ln w="25339">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9">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sub 1.000 dosare</c:v>
                </c:pt>
                <c:pt idx="1">
                  <c:v>între 1.000-3.000 dosare</c:v>
                </c:pt>
                <c:pt idx="2">
                  <c:v>peste 3.000 dosare</c:v>
                </c:pt>
              </c:strCache>
            </c:strRef>
          </c:cat>
          <c:val>
            <c:numRef>
              <c:f>Sheet1!$B$2:$D$2</c:f>
              <c:numCache>
                <c:formatCode>General</c:formatCode>
                <c:ptCount val="3"/>
                <c:pt idx="0">
                  <c:v>10</c:v>
                </c:pt>
                <c:pt idx="1">
                  <c:v>28</c:v>
                </c:pt>
                <c:pt idx="2">
                  <c:v>5</c:v>
                </c:pt>
              </c:numCache>
            </c:numRef>
          </c:val>
        </c:ser>
        <c:ser>
          <c:idx val="1"/>
          <c:order val="1"/>
          <c:tx>
            <c:strRef>
              <c:f>Sheet1!$A$3</c:f>
              <c:strCache>
                <c:ptCount val="1"/>
                <c:pt idx="0">
                  <c:v>2015</c:v>
                </c:pt>
              </c:strCache>
            </c:strRef>
          </c:tx>
          <c:spPr>
            <a:solidFill>
              <a:srgbClr val="993366"/>
            </a:solidFill>
            <a:ln w="12670">
              <a:solidFill>
                <a:srgbClr val="000000"/>
              </a:solidFill>
              <a:prstDash val="solid"/>
            </a:ln>
          </c:spPr>
          <c:invertIfNegative val="0"/>
          <c:dLbls>
            <c:dLbl>
              <c:idx val="1"/>
              <c:layout>
                <c:manualLayout>
                  <c:x val="3.7425376811373035E-3"/>
                  <c:y val="-1.2009567321284748E-2"/>
                </c:manualLayout>
              </c:layout>
              <c:spPr>
                <a:noFill/>
                <a:ln w="25339">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7.2103734935498043E-3"/>
                  <c:y val="-2.2152583488018629E-2"/>
                </c:manualLayout>
              </c:layout>
              <c:spPr>
                <a:noFill/>
                <a:ln w="25339">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9">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sub 1.000 dosare</c:v>
                </c:pt>
                <c:pt idx="1">
                  <c:v>între 1.000-3.000 dosare</c:v>
                </c:pt>
                <c:pt idx="2">
                  <c:v>peste 3.000 dosare</c:v>
                </c:pt>
              </c:strCache>
            </c:strRef>
          </c:cat>
          <c:val>
            <c:numRef>
              <c:f>Sheet1!$B$3:$D$3</c:f>
              <c:numCache>
                <c:formatCode>General</c:formatCode>
                <c:ptCount val="3"/>
                <c:pt idx="0">
                  <c:v>8</c:v>
                </c:pt>
                <c:pt idx="1">
                  <c:v>30</c:v>
                </c:pt>
                <c:pt idx="2">
                  <c:v>5</c:v>
                </c:pt>
              </c:numCache>
            </c:numRef>
          </c:val>
        </c:ser>
        <c:ser>
          <c:idx val="2"/>
          <c:order val="2"/>
          <c:tx>
            <c:strRef>
              <c:f>Sheet1!$A$4</c:f>
              <c:strCache>
                <c:ptCount val="1"/>
                <c:pt idx="0">
                  <c:v>2014</c:v>
                </c:pt>
              </c:strCache>
            </c:strRef>
          </c:tx>
          <c:spPr>
            <a:solidFill>
              <a:srgbClr val="FFFFCC"/>
            </a:solidFill>
            <a:ln w="12670">
              <a:solidFill>
                <a:srgbClr val="000000"/>
              </a:solidFill>
              <a:prstDash val="solid"/>
            </a:ln>
          </c:spPr>
          <c:invertIfNegative val="0"/>
          <c:dLbls>
            <c:spPr>
              <a:noFill/>
              <a:ln w="25339">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sub 1.000 dosare</c:v>
                </c:pt>
                <c:pt idx="1">
                  <c:v>între 1.000-3.000 dosare</c:v>
                </c:pt>
                <c:pt idx="2">
                  <c:v>peste 3.000 dosare</c:v>
                </c:pt>
              </c:strCache>
            </c:strRef>
          </c:cat>
          <c:val>
            <c:numRef>
              <c:f>Sheet1!$B$4:$D$4</c:f>
              <c:numCache>
                <c:formatCode>General</c:formatCode>
                <c:ptCount val="3"/>
                <c:pt idx="0">
                  <c:v>6</c:v>
                </c:pt>
                <c:pt idx="1">
                  <c:v>33</c:v>
                </c:pt>
                <c:pt idx="2">
                  <c:v>4</c:v>
                </c:pt>
              </c:numCache>
            </c:numRef>
          </c:val>
        </c:ser>
        <c:dLbls>
          <c:showLegendKey val="0"/>
          <c:showVal val="1"/>
          <c:showCatName val="0"/>
          <c:showSerName val="0"/>
          <c:showPercent val="0"/>
          <c:showBubbleSize val="0"/>
        </c:dLbls>
        <c:gapWidth val="150"/>
        <c:gapDepth val="0"/>
        <c:shape val="box"/>
        <c:axId val="764176576"/>
        <c:axId val="764177664"/>
        <c:axId val="0"/>
      </c:bar3DChart>
      <c:catAx>
        <c:axId val="764176576"/>
        <c:scaling>
          <c:orientation val="minMax"/>
        </c:scaling>
        <c:delete val="0"/>
        <c:axPos val="b"/>
        <c:numFmt formatCode="General" sourceLinked="1"/>
        <c:majorTickMark val="out"/>
        <c:minorTickMark val="none"/>
        <c:tickLblPos val="low"/>
        <c:spPr>
          <a:ln w="3167">
            <a:solidFill>
              <a:srgbClr val="000000"/>
            </a:solidFill>
            <a:prstDash val="solid"/>
          </a:ln>
        </c:spPr>
        <c:txPr>
          <a:bodyPr rot="0" vert="horz"/>
          <a:lstStyle/>
          <a:p>
            <a:pPr>
              <a:defRPr sz="973" b="1" i="0" u="none" strike="noStrike" baseline="0">
                <a:solidFill>
                  <a:srgbClr val="000000"/>
                </a:solidFill>
                <a:latin typeface="Arial"/>
                <a:ea typeface="Arial"/>
                <a:cs typeface="Arial"/>
              </a:defRPr>
            </a:pPr>
            <a:endParaRPr lang="en-US"/>
          </a:p>
        </c:txPr>
        <c:crossAx val="764177664"/>
        <c:crosses val="autoZero"/>
        <c:auto val="1"/>
        <c:lblAlgn val="ctr"/>
        <c:lblOffset val="100"/>
        <c:tickLblSkip val="1"/>
        <c:tickMarkSkip val="1"/>
        <c:noMultiLvlLbl val="0"/>
      </c:catAx>
      <c:valAx>
        <c:axId val="764177664"/>
        <c:scaling>
          <c:orientation val="minMax"/>
        </c:scaling>
        <c:delete val="1"/>
        <c:axPos val="l"/>
        <c:numFmt formatCode="General" sourceLinked="1"/>
        <c:majorTickMark val="out"/>
        <c:minorTickMark val="none"/>
        <c:tickLblPos val="nextTo"/>
        <c:crossAx val="764176576"/>
        <c:crosses val="autoZero"/>
        <c:crossBetween val="between"/>
      </c:valAx>
      <c:spPr>
        <a:noFill/>
        <a:ln w="25339">
          <a:noFill/>
        </a:ln>
      </c:spPr>
    </c:plotArea>
    <c:legend>
      <c:legendPos val="r"/>
      <c:layout>
        <c:manualLayout>
          <c:xMode val="edge"/>
          <c:yMode val="edge"/>
          <c:x val="0.89144736842105277"/>
          <c:y val="0.37050359712230213"/>
          <c:w val="0.10197368421052634"/>
          <c:h val="0.26258992805755393"/>
        </c:manualLayout>
      </c:layout>
      <c:overlay val="0"/>
      <c:spPr>
        <a:noFill/>
        <a:ln w="3167">
          <a:solidFill>
            <a:srgbClr val="000000"/>
          </a:solidFill>
          <a:prstDash val="solid"/>
        </a:ln>
      </c:spPr>
      <c:txPr>
        <a:bodyPr/>
        <a:lstStyle/>
        <a:p>
          <a:pPr>
            <a:defRPr sz="893"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973" b="1"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Dosare solutionate </a:t>
            </a:r>
            <a:r>
              <a:rPr lang="ro-RO"/>
              <a:t>la </a:t>
            </a:r>
            <a:r>
              <a:rPr lang="en-US"/>
              <a:t>PT</a:t>
            </a:r>
            <a:r>
              <a:rPr lang="ro-RO"/>
              <a:t> în</a:t>
            </a:r>
            <a:r>
              <a:rPr lang="en-US"/>
              <a:t> ultimii 5 ani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'2016'!$C$76</c:f>
              <c:strCache>
                <c:ptCount val="1"/>
                <c:pt idx="0">
                  <c:v>Anul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3333333333333333E-2"/>
                  <c:y val="3.240740740740740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0555555555555607E-2"/>
                  <c:y val="3.703703703703686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2222222222222324E-2"/>
                  <c:y val="4.629629629629629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3888888888888888E-2"/>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0555555555555555E-2"/>
                  <c:y val="5.555555555555555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'2016'!$D$76:$H$76</c:f>
              <c:numCache>
                <c:formatCode>General</c:formatCode>
                <c:ptCount val="5"/>
                <c:pt idx="0">
                  <c:v>2012</c:v>
                </c:pt>
                <c:pt idx="1">
                  <c:v>2013</c:v>
                </c:pt>
                <c:pt idx="2">
                  <c:v>2014</c:v>
                </c:pt>
                <c:pt idx="3">
                  <c:v>2015</c:v>
                </c:pt>
                <c:pt idx="4">
                  <c:v>2016</c:v>
                </c:pt>
              </c:numCache>
            </c:numRef>
          </c:val>
          <c:smooth val="0"/>
        </c:ser>
        <c:ser>
          <c:idx val="1"/>
          <c:order val="1"/>
          <c:tx>
            <c:strRef>
              <c:f>'2016'!$C$77</c:f>
              <c:strCache>
                <c:ptCount val="1"/>
                <c:pt idx="0">
                  <c:v>Dosare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6.9444444444444448E-2"/>
                  <c:y val="5.555555555555551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555555555555608E-2"/>
                  <c:y val="5.55555555555555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5"/>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8333333333333334E-2"/>
                  <c:y val="5.092592592592588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5000000000000001E-2"/>
                  <c:y val="3.703703703703699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'2016'!$D$77:$H$77</c:f>
              <c:numCache>
                <c:formatCode>General</c:formatCode>
                <c:ptCount val="5"/>
                <c:pt idx="0">
                  <c:v>34928</c:v>
                </c:pt>
                <c:pt idx="1">
                  <c:v>36549</c:v>
                </c:pt>
                <c:pt idx="2">
                  <c:v>39176</c:v>
                </c:pt>
                <c:pt idx="3">
                  <c:v>35836</c:v>
                </c:pt>
                <c:pt idx="4">
                  <c:v>32908</c:v>
                </c:pt>
              </c:numCache>
            </c:numRef>
          </c:val>
          <c:smooth val="0"/>
        </c:ser>
        <c:dLbls>
          <c:showLegendKey val="0"/>
          <c:showVal val="0"/>
          <c:showCatName val="0"/>
          <c:showSerName val="0"/>
          <c:showPercent val="0"/>
          <c:showBubbleSize val="0"/>
        </c:dLbls>
        <c:marker val="1"/>
        <c:smooth val="0"/>
        <c:axId val="764178752"/>
        <c:axId val="768573120"/>
      </c:lineChart>
      <c:catAx>
        <c:axId val="7641787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573120"/>
        <c:crosses val="autoZero"/>
        <c:auto val="1"/>
        <c:lblAlgn val="ctr"/>
        <c:lblOffset val="100"/>
        <c:noMultiLvlLbl val="0"/>
      </c:catAx>
      <c:valAx>
        <c:axId val="76857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17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Evolutie lucrari de solutionat si dosare de solutionat in ultimii 5 ani la Parchetele de pe langa Judecatorii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'2016'!$C$10</c:f>
              <c:strCache>
                <c:ptCount val="1"/>
                <c:pt idx="0">
                  <c:v>Anul</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'2016'!$D$10:$H$10</c:f>
              <c:numCache>
                <c:formatCode>General</c:formatCode>
                <c:ptCount val="5"/>
                <c:pt idx="0">
                  <c:v>2012</c:v>
                </c:pt>
                <c:pt idx="1">
                  <c:v>2013</c:v>
                </c:pt>
                <c:pt idx="2">
                  <c:v>2014</c:v>
                </c:pt>
                <c:pt idx="3">
                  <c:v>2015</c:v>
                </c:pt>
                <c:pt idx="4">
                  <c:v>2016</c:v>
                </c:pt>
              </c:numCache>
            </c:numRef>
          </c:val>
          <c:smooth val="0"/>
        </c:ser>
        <c:ser>
          <c:idx val="1"/>
          <c:order val="1"/>
          <c:tx>
            <c:strRef>
              <c:f>'2016'!$C$11</c:f>
              <c:strCache>
                <c:ptCount val="1"/>
                <c:pt idx="0">
                  <c:v>Lucrari</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'2016'!$D$11:$H$11</c:f>
              <c:numCache>
                <c:formatCode>General</c:formatCode>
                <c:ptCount val="5"/>
                <c:pt idx="0">
                  <c:v>2358485</c:v>
                </c:pt>
                <c:pt idx="1">
                  <c:v>2634066</c:v>
                </c:pt>
                <c:pt idx="2">
                  <c:v>2515534</c:v>
                </c:pt>
                <c:pt idx="3">
                  <c:v>2573247</c:v>
                </c:pt>
                <c:pt idx="4">
                  <c:v>2580170</c:v>
                </c:pt>
              </c:numCache>
            </c:numRef>
          </c:val>
          <c:smooth val="0"/>
        </c:ser>
        <c:ser>
          <c:idx val="2"/>
          <c:order val="2"/>
          <c:tx>
            <c:strRef>
              <c:f>'2016'!$C$12</c:f>
              <c:strCache>
                <c:ptCount val="1"/>
                <c:pt idx="0">
                  <c:v>Dosare</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'2016'!$D$12:$H$12</c:f>
              <c:numCache>
                <c:formatCode>General</c:formatCode>
                <c:ptCount val="5"/>
                <c:pt idx="0">
                  <c:v>1624523</c:v>
                </c:pt>
                <c:pt idx="1">
                  <c:v>1695105</c:v>
                </c:pt>
                <c:pt idx="2">
                  <c:v>1744937</c:v>
                </c:pt>
                <c:pt idx="3">
                  <c:v>1697937</c:v>
                </c:pt>
                <c:pt idx="4">
                  <c:v>1638332</c:v>
                </c:pt>
              </c:numCache>
            </c:numRef>
          </c:val>
          <c:smooth val="0"/>
        </c:ser>
        <c:dLbls>
          <c:showLegendKey val="0"/>
          <c:showVal val="0"/>
          <c:showCatName val="0"/>
          <c:showSerName val="0"/>
          <c:showPercent val="0"/>
          <c:showBubbleSize val="0"/>
        </c:dLbls>
        <c:smooth val="0"/>
        <c:axId val="768571488"/>
        <c:axId val="768575840"/>
      </c:lineChart>
      <c:catAx>
        <c:axId val="7685714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575840"/>
        <c:crosses val="autoZero"/>
        <c:auto val="1"/>
        <c:lblAlgn val="ctr"/>
        <c:lblOffset val="100"/>
        <c:noMultiLvlLbl val="0"/>
      </c:catAx>
      <c:valAx>
        <c:axId val="768575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571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6097560975607"/>
          <c:y val="2.4330900243309003E-3"/>
          <c:w val="0.66006097560975607"/>
          <c:h val="1"/>
        </c:manualLayout>
      </c:layout>
      <c:barChart>
        <c:barDir val="bar"/>
        <c:grouping val="clustered"/>
        <c:varyColors val="0"/>
        <c:ser>
          <c:idx val="6"/>
          <c:order val="0"/>
          <c:tx>
            <c:strRef>
              <c:f>Sheet1!$A$2</c:f>
              <c:strCache>
                <c:ptCount val="1"/>
                <c:pt idx="0">
                  <c:v>2016</c:v>
                </c:pt>
              </c:strCache>
            </c:strRef>
          </c:tx>
          <c:spPr>
            <a:solidFill>
              <a:srgbClr val="0066CC"/>
            </a:solidFill>
            <a:ln w="12687">
              <a:solidFill>
                <a:srgbClr val="000000"/>
              </a:solidFill>
              <a:prstDash val="solid"/>
            </a:ln>
          </c:spPr>
          <c:invertIfNegative val="0"/>
          <c:dLbls>
            <c:dLbl>
              <c:idx val="0"/>
              <c:layout>
                <c:manualLayout>
                  <c:x val="-4.1279869139035918E-3"/>
                  <c:y val="6.3424578392462516E-3"/>
                </c:manualLayout>
              </c:layout>
              <c:spPr>
                <a:noFill/>
                <a:ln w="25375">
                  <a:noFill/>
                </a:ln>
              </c:spPr>
              <c:txPr>
                <a:bodyPr/>
                <a:lstStyle/>
                <a:p>
                  <a:pPr>
                    <a:defRPr sz="84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4.9610336066927552E-3"/>
                  <c:y val="8.0806000623101504E-3"/>
                </c:manualLayout>
              </c:layout>
              <c:spPr>
                <a:noFill/>
                <a:ln w="25375">
                  <a:noFill/>
                </a:ln>
              </c:spPr>
              <c:txPr>
                <a:bodyPr/>
                <a:lstStyle/>
                <a:p>
                  <a:pPr>
                    <a:defRPr sz="84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4.3568192263189753E-3"/>
                  <c:y val="1.4684613246077172E-2"/>
                </c:manualLayout>
              </c:layout>
              <c:spPr>
                <a:noFill/>
                <a:ln w="25375">
                  <a:noFill/>
                </a:ln>
              </c:spPr>
              <c:txPr>
                <a:bodyPr/>
                <a:lstStyle/>
                <a:p>
                  <a:pPr>
                    <a:defRPr sz="84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1661554910295551E-3"/>
                  <c:y val="9.1231763081898176E-3"/>
                </c:manualLayout>
              </c:layout>
              <c:spPr>
                <a:noFill/>
                <a:ln w="25375">
                  <a:noFill/>
                </a:ln>
              </c:spPr>
              <c:txPr>
                <a:bodyPr/>
                <a:lstStyle/>
                <a:p>
                  <a:pPr>
                    <a:defRPr sz="84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4.9039085349132372E-3"/>
                  <c:y val="3.5617393703024636E-3"/>
                </c:manualLayout>
              </c:layout>
              <c:spPr>
                <a:noFill/>
                <a:ln w="25375">
                  <a:noFill/>
                </a:ln>
              </c:spPr>
              <c:txPr>
                <a:bodyPr/>
                <a:lstStyle/>
                <a:p>
                  <a:pPr>
                    <a:defRPr sz="84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1.1936524406965243E-3"/>
                  <c:y val="1.503224169069009E-2"/>
                </c:manualLayout>
              </c:layout>
              <c:spPr>
                <a:noFill/>
                <a:ln w="25375">
                  <a:noFill/>
                </a:ln>
              </c:spPr>
              <c:txPr>
                <a:bodyPr/>
                <a:lstStyle/>
                <a:p>
                  <a:pPr>
                    <a:defRPr sz="84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5.7041444400811048E-3"/>
                  <c:y val="1.1903894777133592E-2"/>
                </c:manualLayout>
              </c:layout>
              <c:spPr>
                <a:noFill/>
                <a:ln w="25375">
                  <a:noFill/>
                </a:ln>
              </c:spPr>
              <c:txPr>
                <a:bodyPr/>
                <a:lstStyle/>
                <a:p>
                  <a:pPr>
                    <a:defRPr sz="84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75">
                <a:noFill/>
              </a:ln>
            </c:spPr>
            <c:txPr>
              <a:bodyPr wrap="square" lIns="38100" tIns="19050" rIns="38100" bIns="19050" anchor="ctr">
                <a:spAutoFit/>
              </a:bodyPr>
              <a:lstStyle/>
              <a:p>
                <a:pPr>
                  <a:defRPr sz="84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sub 3.000</c:v>
                </c:pt>
                <c:pt idx="1">
                  <c:v>intre 3.001- 5.000</c:v>
                </c:pt>
                <c:pt idx="2">
                  <c:v>intre 5.001- 10.000</c:v>
                </c:pt>
                <c:pt idx="3">
                  <c:v>intre 10.001-15.000</c:v>
                </c:pt>
                <c:pt idx="4">
                  <c:v>intre 15.001-20.000</c:v>
                </c:pt>
                <c:pt idx="5">
                  <c:v>intre 20.001-30.000</c:v>
                </c:pt>
                <c:pt idx="6">
                  <c:v>peste 30.001</c:v>
                </c:pt>
              </c:strCache>
            </c:strRef>
          </c:cat>
          <c:val>
            <c:numRef>
              <c:f>Sheet1!$B$2:$H$2</c:f>
              <c:numCache>
                <c:formatCode>General</c:formatCode>
                <c:ptCount val="7"/>
                <c:pt idx="0">
                  <c:v>65</c:v>
                </c:pt>
                <c:pt idx="1">
                  <c:v>36</c:v>
                </c:pt>
                <c:pt idx="2">
                  <c:v>29</c:v>
                </c:pt>
                <c:pt idx="3">
                  <c:v>19</c:v>
                </c:pt>
                <c:pt idx="4">
                  <c:v>7</c:v>
                </c:pt>
                <c:pt idx="5">
                  <c:v>7</c:v>
                </c:pt>
                <c:pt idx="6">
                  <c:v>13</c:v>
                </c:pt>
              </c:numCache>
            </c:numRef>
          </c:val>
        </c:ser>
        <c:ser>
          <c:idx val="1"/>
          <c:order val="1"/>
          <c:tx>
            <c:strRef>
              <c:f>Sheet1!$A$3</c:f>
              <c:strCache>
                <c:ptCount val="1"/>
                <c:pt idx="0">
                  <c:v>2015</c:v>
                </c:pt>
              </c:strCache>
            </c:strRef>
          </c:tx>
          <c:spPr>
            <a:solidFill>
              <a:srgbClr val="993366"/>
            </a:solidFill>
            <a:ln w="12687">
              <a:solidFill>
                <a:srgbClr val="000000"/>
              </a:solidFill>
              <a:prstDash val="solid"/>
            </a:ln>
          </c:spPr>
          <c:invertIfNegative val="0"/>
          <c:dLbls>
            <c:dLbl>
              <c:idx val="0"/>
              <c:layout>
                <c:manualLayout>
                  <c:x val="-9.5968233539427406E-3"/>
                  <c:y val="7.7627034728006139E-3"/>
                </c:manualLayout>
              </c:layout>
              <c:spPr>
                <a:noFill/>
                <a:ln w="25375">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0525103978857309E-2"/>
                  <c:y val="-9.2677129068452491E-4"/>
                </c:manualLayout>
              </c:layout>
              <c:spPr>
                <a:noFill/>
                <a:ln w="25375">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1661554910294996E-3"/>
                  <c:y val="8.1106184442070184E-4"/>
                </c:manualLayout>
              </c:layout>
              <c:spPr>
                <a:noFill/>
                <a:ln w="25375">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7.2285346839835452E-3"/>
                  <c:y val="8.4579603620262289E-3"/>
                </c:manualLayout>
              </c:layout>
              <c:spPr>
                <a:noFill/>
                <a:ln w="25375">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75">
                <a:noFill/>
              </a:ln>
            </c:spPr>
            <c:txPr>
              <a:bodyPr wrap="square" lIns="38100" tIns="19050" rIns="38100" bIns="19050" anchor="ctr">
                <a:spAutoFit/>
              </a:bodyPr>
              <a:lstStyle/>
              <a:p>
                <a:pPr>
                  <a:defRPr sz="799"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sub 3.000</c:v>
                </c:pt>
                <c:pt idx="1">
                  <c:v>intre 3.001- 5.000</c:v>
                </c:pt>
                <c:pt idx="2">
                  <c:v>intre 5.001- 10.000</c:v>
                </c:pt>
                <c:pt idx="3">
                  <c:v>intre 10.001-15.000</c:v>
                </c:pt>
                <c:pt idx="4">
                  <c:v>intre 15.001-20.000</c:v>
                </c:pt>
                <c:pt idx="5">
                  <c:v>intre 20.001-30.000</c:v>
                </c:pt>
                <c:pt idx="6">
                  <c:v>peste 30.001</c:v>
                </c:pt>
              </c:strCache>
            </c:strRef>
          </c:cat>
          <c:val>
            <c:numRef>
              <c:f>Sheet1!$B$3:$H$3</c:f>
              <c:numCache>
                <c:formatCode>General</c:formatCode>
                <c:ptCount val="7"/>
                <c:pt idx="0">
                  <c:v>64</c:v>
                </c:pt>
                <c:pt idx="1">
                  <c:v>35</c:v>
                </c:pt>
                <c:pt idx="2">
                  <c:v>32</c:v>
                </c:pt>
                <c:pt idx="3">
                  <c:v>19</c:v>
                </c:pt>
                <c:pt idx="4">
                  <c:v>6</c:v>
                </c:pt>
                <c:pt idx="5">
                  <c:v>7</c:v>
                </c:pt>
                <c:pt idx="6">
                  <c:v>13</c:v>
                </c:pt>
              </c:numCache>
            </c:numRef>
          </c:val>
        </c:ser>
        <c:ser>
          <c:idx val="5"/>
          <c:order val="2"/>
          <c:tx>
            <c:strRef>
              <c:f>Sheet1!$A$4</c:f>
              <c:strCache>
                <c:ptCount val="1"/>
                <c:pt idx="0">
                  <c:v>2014</c:v>
                </c:pt>
              </c:strCache>
            </c:strRef>
          </c:tx>
          <c:spPr>
            <a:solidFill>
              <a:srgbClr val="FF8080"/>
            </a:solidFill>
            <a:ln w="12687">
              <a:solidFill>
                <a:srgbClr val="000000"/>
              </a:solidFill>
              <a:prstDash val="solid"/>
            </a:ln>
          </c:spPr>
          <c:invertIfNegative val="0"/>
          <c:dLbls>
            <c:dLbl>
              <c:idx val="0"/>
              <c:layout>
                <c:manualLayout>
                  <c:x val="1.7026328889448994E-3"/>
                  <c:y val="7.8786483072178504E-3"/>
                </c:manualLayout>
              </c:layout>
              <c:spPr>
                <a:noFill/>
                <a:ln w="25375">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5.056267538818271E-3"/>
                  <c:y val="-3.2439164805980747E-3"/>
                </c:manualLayout>
              </c:layout>
              <c:spPr>
                <a:noFill/>
                <a:ln w="25375">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4329007927522146E-3"/>
                  <c:y val="-3.9391733698238007E-3"/>
                </c:manualLayout>
              </c:layout>
              <c:spPr>
                <a:noFill/>
                <a:ln w="25375">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2.121873348831016E-3"/>
                  <c:y val="-1.1933700332042052E-2"/>
                </c:manualLayout>
              </c:layout>
              <c:spPr>
                <a:noFill/>
                <a:ln w="25375">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4.1797541961786644E-3"/>
                  <c:y val="-3.5915449252109585E-3"/>
                </c:manualLayout>
              </c:layout>
              <c:spPr>
                <a:noFill/>
                <a:ln w="25375">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75">
                <a:noFill/>
              </a:ln>
            </c:spPr>
            <c:txPr>
              <a:bodyPr wrap="square" lIns="38100" tIns="19050" rIns="38100" bIns="19050" anchor="ctr">
                <a:spAutoFit/>
              </a:bodyPr>
              <a:lstStyle/>
              <a:p>
                <a:pPr>
                  <a:defRPr sz="799"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sub 3.000</c:v>
                </c:pt>
                <c:pt idx="1">
                  <c:v>intre 3.001- 5.000</c:v>
                </c:pt>
                <c:pt idx="2">
                  <c:v>intre 5.001- 10.000</c:v>
                </c:pt>
                <c:pt idx="3">
                  <c:v>intre 10.001-15.000</c:v>
                </c:pt>
                <c:pt idx="4">
                  <c:v>intre 15.001-20.000</c:v>
                </c:pt>
                <c:pt idx="5">
                  <c:v>intre 20.001-30.000</c:v>
                </c:pt>
                <c:pt idx="6">
                  <c:v>peste 30.001</c:v>
                </c:pt>
              </c:strCache>
            </c:strRef>
          </c:cat>
          <c:val>
            <c:numRef>
              <c:f>Sheet1!$B$4:$H$4</c:f>
              <c:numCache>
                <c:formatCode>General</c:formatCode>
                <c:ptCount val="7"/>
                <c:pt idx="0">
                  <c:v>63</c:v>
                </c:pt>
                <c:pt idx="1">
                  <c:v>36</c:v>
                </c:pt>
                <c:pt idx="2">
                  <c:v>31</c:v>
                </c:pt>
                <c:pt idx="3">
                  <c:v>17</c:v>
                </c:pt>
                <c:pt idx="4">
                  <c:v>9</c:v>
                </c:pt>
                <c:pt idx="5">
                  <c:v>7</c:v>
                </c:pt>
                <c:pt idx="6">
                  <c:v>13</c:v>
                </c:pt>
              </c:numCache>
            </c:numRef>
          </c:val>
        </c:ser>
        <c:dLbls>
          <c:showLegendKey val="0"/>
          <c:showVal val="1"/>
          <c:showCatName val="0"/>
          <c:showSerName val="0"/>
          <c:showPercent val="0"/>
          <c:showBubbleSize val="0"/>
        </c:dLbls>
        <c:gapWidth val="150"/>
        <c:axId val="768576384"/>
        <c:axId val="768574752"/>
      </c:barChart>
      <c:catAx>
        <c:axId val="768576384"/>
        <c:scaling>
          <c:orientation val="minMax"/>
        </c:scaling>
        <c:delete val="0"/>
        <c:axPos val="l"/>
        <c:numFmt formatCode="General" sourceLinked="1"/>
        <c:majorTickMark val="out"/>
        <c:minorTickMark val="none"/>
        <c:tickLblPos val="nextTo"/>
        <c:spPr>
          <a:ln w="3172">
            <a:solidFill>
              <a:srgbClr val="000000"/>
            </a:solidFill>
            <a:prstDash val="solid"/>
          </a:ln>
        </c:spPr>
        <c:txPr>
          <a:bodyPr rot="0" vert="horz"/>
          <a:lstStyle/>
          <a:p>
            <a:pPr>
              <a:defRPr sz="1149" b="1" i="0" u="none" strike="noStrike" baseline="0">
                <a:solidFill>
                  <a:srgbClr val="000000"/>
                </a:solidFill>
                <a:latin typeface="Arial"/>
                <a:ea typeface="Arial"/>
                <a:cs typeface="Arial"/>
              </a:defRPr>
            </a:pPr>
            <a:endParaRPr lang="en-US"/>
          </a:p>
        </c:txPr>
        <c:crossAx val="768574752"/>
        <c:crosses val="autoZero"/>
        <c:auto val="1"/>
        <c:lblAlgn val="ctr"/>
        <c:lblOffset val="100"/>
        <c:tickLblSkip val="1"/>
        <c:tickMarkSkip val="1"/>
        <c:noMultiLvlLbl val="0"/>
      </c:catAx>
      <c:valAx>
        <c:axId val="768574752"/>
        <c:scaling>
          <c:orientation val="minMax"/>
        </c:scaling>
        <c:delete val="1"/>
        <c:axPos val="b"/>
        <c:numFmt formatCode="General" sourceLinked="1"/>
        <c:majorTickMark val="out"/>
        <c:minorTickMark val="none"/>
        <c:tickLblPos val="nextTo"/>
        <c:crossAx val="768576384"/>
        <c:crosses val="autoZero"/>
        <c:crossBetween val="between"/>
      </c:valAx>
      <c:spPr>
        <a:solidFill>
          <a:srgbClr val="C0C0C0"/>
        </a:solidFill>
        <a:ln w="12687">
          <a:solidFill>
            <a:srgbClr val="808080"/>
          </a:solidFill>
          <a:prstDash val="solid"/>
        </a:ln>
      </c:spPr>
    </c:plotArea>
    <c:legend>
      <c:legendPos val="r"/>
      <c:layout>
        <c:manualLayout>
          <c:xMode val="edge"/>
          <c:yMode val="edge"/>
          <c:x val="0.87195121951219501"/>
          <c:y val="0.40389294403892945"/>
          <c:w val="0.11128048780487804"/>
          <c:h val="0.19951338199513383"/>
        </c:manualLayout>
      </c:layout>
      <c:overlay val="0"/>
      <c:spPr>
        <a:noFill/>
        <a:ln w="3172">
          <a:solidFill>
            <a:srgbClr val="000000"/>
          </a:solidFill>
          <a:prstDash val="solid"/>
        </a:ln>
      </c:spPr>
      <c:txPr>
        <a:bodyPr/>
        <a:lstStyle/>
        <a:p>
          <a:pPr>
            <a:defRPr sz="1054"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1449" b="1" i="0" u="none" strike="noStrike" baseline="0">
          <a:solidFill>
            <a:srgbClr val="000000"/>
          </a:solidFill>
          <a:latin typeface="Arial"/>
          <a:ea typeface="Arial"/>
          <a:cs typeface="Arial"/>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0" i="0" u="none" strike="noStrike" baseline="0">
                <a:solidFill>
                  <a:srgbClr val="000000"/>
                </a:solidFill>
                <a:latin typeface="Arial"/>
                <a:ea typeface="Arial"/>
                <a:cs typeface="Arial"/>
              </a:defRPr>
            </a:pPr>
            <a:r>
              <a:rPr lang="en-US" sz="1200" b="1" i="0" u="none" strike="noStrike" baseline="0">
                <a:solidFill>
                  <a:srgbClr val="000000"/>
                </a:solidFill>
                <a:latin typeface="Arial"/>
                <a:cs typeface="Arial"/>
              </a:rPr>
              <a:t>Dosare solutionate la parchetele de pe langa judecatorii in perioada 2012-2016</a:t>
            </a:r>
          </a:p>
        </c:rich>
      </c:tx>
      <c:layout>
        <c:manualLayout>
          <c:xMode val="edge"/>
          <c:yMode val="edge"/>
          <c:x val="0.16151203925596255"/>
          <c:y val="2.0618769804033564E-2"/>
        </c:manualLayout>
      </c:layout>
      <c:overlay val="0"/>
      <c:spPr>
        <a:noFill/>
        <a:ln w="25400">
          <a:noFill/>
        </a:ln>
      </c:spPr>
    </c:title>
    <c:autoTitleDeleted val="0"/>
    <c:plotArea>
      <c:layout>
        <c:manualLayout>
          <c:layoutTarget val="inner"/>
          <c:xMode val="edge"/>
          <c:yMode val="edge"/>
          <c:x val="0.12322946175637392"/>
          <c:y val="0.24034334763948498"/>
          <c:w val="0.86827195467422091"/>
          <c:h val="0.54077253218884125"/>
        </c:manualLayout>
      </c:layout>
      <c:lineChart>
        <c:grouping val="standard"/>
        <c:varyColors val="0"/>
        <c:ser>
          <c:idx val="0"/>
          <c:order val="0"/>
          <c:tx>
            <c:strRef>
              <c:f>Foaie1!$A$184</c:f>
              <c:strCache>
                <c:ptCount val="1"/>
                <c:pt idx="0">
                  <c:v>Anul</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spPr>
              <a:noFill/>
              <a:ln w="25400">
                <a:noFill/>
              </a:ln>
            </c:spPr>
            <c:txPr>
              <a:bodyPr wrap="square" lIns="38100" tIns="19050" rIns="38100" bIns="19050" anchor="ctr">
                <a:spAutoFit/>
              </a:bodyPr>
              <a:lstStyle/>
              <a:p>
                <a:pPr>
                  <a:defRPr sz="11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Foaie1!$B$184:$F$184</c:f>
              <c:numCache>
                <c:formatCode>General</c:formatCode>
                <c:ptCount val="5"/>
                <c:pt idx="0">
                  <c:v>2012</c:v>
                </c:pt>
                <c:pt idx="1">
                  <c:v>2013</c:v>
                </c:pt>
                <c:pt idx="2">
                  <c:v>2014</c:v>
                </c:pt>
                <c:pt idx="3">
                  <c:v>2015</c:v>
                </c:pt>
                <c:pt idx="4">
                  <c:v>2016</c:v>
                </c:pt>
              </c:numCache>
            </c:numRef>
          </c:val>
          <c:smooth val="0"/>
        </c:ser>
        <c:ser>
          <c:idx val="1"/>
          <c:order val="1"/>
          <c:tx>
            <c:strRef>
              <c:f>Foaie1!$A$185</c:f>
              <c:strCache>
                <c:ptCount val="1"/>
                <c:pt idx="0">
                  <c:v>Volum dosare solutionate</c:v>
                </c:pt>
              </c:strCache>
            </c:strRef>
          </c:tx>
          <c:spPr>
            <a:ln w="25400">
              <a:solidFill>
                <a:srgbClr val="FF00FF"/>
              </a:solidFill>
              <a:prstDash val="solid"/>
            </a:ln>
          </c:spPr>
          <c:marker>
            <c:symbol val="square"/>
            <c:size val="5"/>
            <c:spPr>
              <a:solidFill>
                <a:srgbClr val="FF00FF"/>
              </a:solidFill>
              <a:ln>
                <a:solidFill>
                  <a:srgbClr val="FF00FF"/>
                </a:solidFill>
                <a:prstDash val="solid"/>
              </a:ln>
            </c:spPr>
          </c:marker>
          <c:dLbls>
            <c:dLbl>
              <c:idx val="3"/>
              <c:layout>
                <c:manualLayout>
                  <c:x val="-4.01879784247686E-4"/>
                  <c:y val="-2.6762485717698712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9.0258023181314685E-3"/>
                  <c:y val="-2.5508575320466142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11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Foaie1!$B$185:$F$185</c:f>
              <c:numCache>
                <c:formatCode>General</c:formatCode>
                <c:ptCount val="5"/>
                <c:pt idx="0">
                  <c:v>535950</c:v>
                </c:pt>
                <c:pt idx="1">
                  <c:v>576804</c:v>
                </c:pt>
                <c:pt idx="2">
                  <c:v>613291</c:v>
                </c:pt>
                <c:pt idx="3">
                  <c:v>584389</c:v>
                </c:pt>
                <c:pt idx="4">
                  <c:v>512767</c:v>
                </c:pt>
              </c:numCache>
            </c:numRef>
          </c:val>
          <c:smooth val="0"/>
        </c:ser>
        <c:dLbls>
          <c:showLegendKey val="0"/>
          <c:showVal val="0"/>
          <c:showCatName val="0"/>
          <c:showSerName val="0"/>
          <c:showPercent val="0"/>
          <c:showBubbleSize val="0"/>
        </c:dLbls>
        <c:marker val="1"/>
        <c:smooth val="0"/>
        <c:axId val="768576928"/>
        <c:axId val="768569856"/>
      </c:lineChart>
      <c:catAx>
        <c:axId val="7685769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 b="0" i="0" u="none" strike="noStrike" baseline="0">
                <a:solidFill>
                  <a:srgbClr val="000000"/>
                </a:solidFill>
                <a:latin typeface="Arial"/>
                <a:ea typeface="Arial"/>
                <a:cs typeface="Arial"/>
              </a:defRPr>
            </a:pPr>
            <a:endParaRPr lang="en-US"/>
          </a:p>
        </c:txPr>
        <c:crossAx val="768569856"/>
        <c:crosses val="autoZero"/>
        <c:auto val="1"/>
        <c:lblAlgn val="ctr"/>
        <c:lblOffset val="100"/>
        <c:tickLblSkip val="1"/>
        <c:tickMarkSkip val="1"/>
        <c:noMultiLvlLbl val="0"/>
      </c:catAx>
      <c:valAx>
        <c:axId val="76856985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a:ea typeface="Arial"/>
                <a:cs typeface="Arial"/>
              </a:defRPr>
            </a:pPr>
            <a:endParaRPr lang="en-US"/>
          </a:p>
        </c:txPr>
        <c:crossAx val="768576928"/>
        <c:crosses val="autoZero"/>
        <c:crossBetween val="between"/>
      </c:valAx>
      <c:spPr>
        <a:solidFill>
          <a:srgbClr val="C0C0C0"/>
        </a:solidFill>
        <a:ln w="12700">
          <a:solidFill>
            <a:srgbClr val="808080"/>
          </a:solidFill>
          <a:prstDash val="solid"/>
        </a:ln>
      </c:spPr>
    </c:plotArea>
    <c:legend>
      <c:legendPos val="b"/>
      <c:layout>
        <c:manualLayout>
          <c:xMode val="edge"/>
          <c:yMode val="edge"/>
          <c:x val="0.36260623229461753"/>
          <c:y val="0.82618025751072954"/>
          <c:w val="0.33711048158640228"/>
          <c:h val="0.11587982832618024"/>
        </c:manualLayout>
      </c:layout>
      <c:overlay val="0"/>
      <c:spPr>
        <a:solidFill>
          <a:srgbClr val="FFFFFF"/>
        </a:solidFill>
        <a:ln w="3175">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25" b="0" i="0" u="none" strike="noStrike" baseline="0">
          <a:solidFill>
            <a:srgbClr val="000000"/>
          </a:solidFill>
          <a:latin typeface="Arial"/>
          <a:ea typeface="Arial"/>
          <a:cs typeface="Aria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i="0" u="none" strike="noStrike" baseline="0">
                <a:solidFill>
                  <a:srgbClr val="000000"/>
                </a:solidFill>
                <a:latin typeface="Arial"/>
                <a:ea typeface="Arial"/>
                <a:cs typeface="Arial"/>
              </a:defRPr>
            </a:pPr>
            <a:r>
              <a:rPr lang="en-US" sz="1200" b="1" i="0" u="none" strike="noStrike" baseline="0">
                <a:solidFill>
                  <a:srgbClr val="000000"/>
                </a:solidFill>
                <a:latin typeface="Arial"/>
                <a:cs typeface="Arial"/>
              </a:rPr>
              <a:t>Media de dosare de solutionat la Parchetele de pe langa Tribunale</a:t>
            </a:r>
          </a:p>
        </c:rich>
      </c:tx>
      <c:layout>
        <c:manualLayout>
          <c:xMode val="edge"/>
          <c:yMode val="edge"/>
          <c:x val="0.13904743388557911"/>
          <c:y val="2.2058708178719039E-2"/>
        </c:manualLayout>
      </c:layout>
      <c:overlay val="0"/>
      <c:spPr>
        <a:noFill/>
        <a:ln w="25400">
          <a:noFill/>
        </a:ln>
      </c:spPr>
    </c:title>
    <c:autoTitleDeleted val="0"/>
    <c:plotArea>
      <c:layout>
        <c:manualLayout>
          <c:layoutTarget val="inner"/>
          <c:xMode val="edge"/>
          <c:yMode val="edge"/>
          <c:x val="8.6776859504132248E-2"/>
          <c:y val="0.25178147268408552"/>
          <c:w val="0.89531680440771355"/>
          <c:h val="0.51543942992874103"/>
        </c:manualLayout>
      </c:layout>
      <c:lineChart>
        <c:grouping val="standard"/>
        <c:varyColors val="0"/>
        <c:ser>
          <c:idx val="0"/>
          <c:order val="0"/>
          <c:tx>
            <c:strRef>
              <c:f>Foaie1!$A$241</c:f>
              <c:strCache>
                <c:ptCount val="1"/>
                <c:pt idx="0">
                  <c:v>Anul</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1.5473049312544541E-2"/>
                  <c:y val="-2.571394092979757E-2"/>
                </c:manualLayout>
              </c:layout>
              <c:tx>
                <c:rich>
                  <a:bodyPr/>
                  <a:lstStyle/>
                  <a:p>
                    <a:pPr>
                      <a:defRPr sz="1050" b="0" i="0" u="none" strike="noStrike" baseline="0">
                        <a:solidFill>
                          <a:srgbClr val="000000"/>
                        </a:solidFill>
                        <a:latin typeface="Arial"/>
                        <a:ea typeface="Arial"/>
                        <a:cs typeface="Arial"/>
                      </a:defRPr>
                    </a:pPr>
                    <a:r>
                      <a:rPr lang="en-US"/>
                      <a:t>2012</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Lst>
            </c:dLbl>
            <c:dLbl>
              <c:idx val="1"/>
              <c:layout>
                <c:manualLayout>
                  <c:x val="-9.3777267907736699E-3"/>
                  <c:y val="-2.2751681901831237E-2"/>
                </c:manualLayout>
              </c:layout>
              <c:tx>
                <c:rich>
                  <a:bodyPr/>
                  <a:lstStyle/>
                  <a:p>
                    <a:pPr>
                      <a:defRPr sz="1050" b="0" i="0" u="none" strike="noStrike" baseline="0">
                        <a:solidFill>
                          <a:srgbClr val="000000"/>
                        </a:solidFill>
                        <a:latin typeface="Arial"/>
                        <a:ea typeface="Arial"/>
                        <a:cs typeface="Arial"/>
                      </a:defRPr>
                    </a:pPr>
                    <a:r>
                      <a:rPr lang="en-US"/>
                      <a:t>2013</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Lst>
            </c:dLbl>
            <c:dLbl>
              <c:idx val="2"/>
              <c:layout>
                <c:manualLayout>
                  <c:x val="-1.7221324155672676E-2"/>
                  <c:y val="-3.2368238452952142E-2"/>
                </c:manualLayout>
              </c:layout>
              <c:tx>
                <c:rich>
                  <a:bodyPr/>
                  <a:lstStyle/>
                  <a:p>
                    <a:pPr>
                      <a:defRPr sz="1050" b="0" i="0" u="none" strike="noStrike" baseline="0">
                        <a:solidFill>
                          <a:srgbClr val="000000"/>
                        </a:solidFill>
                        <a:latin typeface="Arial"/>
                        <a:ea typeface="Arial"/>
                        <a:cs typeface="Arial"/>
                      </a:defRPr>
                    </a:pPr>
                    <a:r>
                      <a:rPr lang="en-US"/>
                      <a:t>2014</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Lst>
            </c:dLbl>
            <c:dLbl>
              <c:idx val="3"/>
              <c:layout>
                <c:manualLayout>
                  <c:x val="-5.1090716309467937E-3"/>
                  <c:y val="-2.2672941744350923E-2"/>
                </c:manualLayout>
              </c:layout>
              <c:tx>
                <c:rich>
                  <a:bodyPr/>
                  <a:lstStyle/>
                  <a:p>
                    <a:pPr>
                      <a:defRPr sz="1050" b="0" i="0" u="none" strike="noStrike" baseline="0">
                        <a:solidFill>
                          <a:srgbClr val="000000"/>
                        </a:solidFill>
                        <a:latin typeface="Arial"/>
                        <a:ea typeface="Arial"/>
                        <a:cs typeface="Arial"/>
                      </a:defRPr>
                    </a:pPr>
                    <a:r>
                      <a:rPr lang="en-US"/>
                      <a:t>2015</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Lst>
            </c:dLbl>
            <c:dLbl>
              <c:idx val="4"/>
              <c:layout>
                <c:manualLayout>
                  <c:x val="-6.329978620222141E-3"/>
                  <c:y val="-2.0485413461248377E-2"/>
                </c:manualLayout>
              </c:layout>
              <c:tx>
                <c:rich>
                  <a:bodyPr/>
                  <a:lstStyle/>
                  <a:p>
                    <a:pPr>
                      <a:defRPr sz="1050" b="0" i="0" u="none" strike="noStrike" baseline="0">
                        <a:solidFill>
                          <a:srgbClr val="000000"/>
                        </a:solidFill>
                        <a:latin typeface="Arial"/>
                        <a:ea typeface="Arial"/>
                        <a:cs typeface="Arial"/>
                      </a:defRPr>
                    </a:pPr>
                    <a:r>
                      <a:rPr lang="en-US"/>
                      <a:t>2016</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105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Foaie1!$B$241:$F$241</c:f>
              <c:numCache>
                <c:formatCode>General</c:formatCode>
                <c:ptCount val="5"/>
                <c:pt idx="0">
                  <c:v>1</c:v>
                </c:pt>
                <c:pt idx="1">
                  <c:v>1</c:v>
                </c:pt>
                <c:pt idx="2">
                  <c:v>1</c:v>
                </c:pt>
                <c:pt idx="3">
                  <c:v>1</c:v>
                </c:pt>
                <c:pt idx="4">
                  <c:v>1</c:v>
                </c:pt>
              </c:numCache>
            </c:numRef>
          </c:val>
          <c:smooth val="0"/>
        </c:ser>
        <c:ser>
          <c:idx val="1"/>
          <c:order val="1"/>
          <c:tx>
            <c:strRef>
              <c:f>Foaie1!$A$242</c:f>
              <c:strCache>
                <c:ptCount val="1"/>
                <c:pt idx="0">
                  <c:v>Media dosare de solutionat tribunale</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dLbls>
            <c:spPr>
              <a:noFill/>
              <a:ln w="25400">
                <a:noFill/>
              </a:ln>
            </c:spPr>
            <c:txPr>
              <a:bodyPr wrap="square" lIns="38100" tIns="19050" rIns="38100" bIns="19050" anchor="ctr">
                <a:spAutoFit/>
              </a:bodyPr>
              <a:lstStyle/>
              <a:p>
                <a:pPr>
                  <a:defRPr sz="105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Foaie1!$B$242:$F$242</c:f>
              <c:numCache>
                <c:formatCode>General</c:formatCode>
                <c:ptCount val="5"/>
                <c:pt idx="0">
                  <c:v>174</c:v>
                </c:pt>
                <c:pt idx="1">
                  <c:v>170</c:v>
                </c:pt>
                <c:pt idx="2">
                  <c:v>165</c:v>
                </c:pt>
                <c:pt idx="3">
                  <c:v>149</c:v>
                </c:pt>
                <c:pt idx="4">
                  <c:v>148</c:v>
                </c:pt>
              </c:numCache>
            </c:numRef>
          </c:val>
          <c:smooth val="0"/>
        </c:ser>
        <c:dLbls>
          <c:showLegendKey val="0"/>
          <c:showVal val="0"/>
          <c:showCatName val="0"/>
          <c:showSerName val="0"/>
          <c:showPercent val="0"/>
          <c:showBubbleSize val="0"/>
        </c:dLbls>
        <c:marker val="1"/>
        <c:smooth val="0"/>
        <c:axId val="768153008"/>
        <c:axId val="768157360"/>
      </c:lineChart>
      <c:catAx>
        <c:axId val="76815300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Arial"/>
                <a:ea typeface="Arial"/>
                <a:cs typeface="Arial"/>
              </a:defRPr>
            </a:pPr>
            <a:endParaRPr lang="en-US"/>
          </a:p>
        </c:txPr>
        <c:crossAx val="768157360"/>
        <c:crosses val="autoZero"/>
        <c:auto val="1"/>
        <c:lblAlgn val="ctr"/>
        <c:lblOffset val="100"/>
        <c:tickLblSkip val="1"/>
        <c:tickMarkSkip val="1"/>
        <c:noMultiLvlLbl val="0"/>
      </c:catAx>
      <c:valAx>
        <c:axId val="76815736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Arial"/>
                <a:ea typeface="Arial"/>
                <a:cs typeface="Arial"/>
              </a:defRPr>
            </a:pPr>
            <a:endParaRPr lang="en-US"/>
          </a:p>
        </c:txPr>
        <c:crossAx val="768153008"/>
        <c:crosses val="autoZero"/>
        <c:crossBetween val="between"/>
      </c:valAx>
      <c:spPr>
        <a:solidFill>
          <a:srgbClr val="C0C0C0"/>
        </a:solidFill>
        <a:ln w="12700">
          <a:solidFill>
            <a:srgbClr val="808080"/>
          </a:solidFill>
          <a:prstDash val="solid"/>
        </a:ln>
      </c:spPr>
    </c:plotArea>
    <c:legend>
      <c:legendPos val="b"/>
      <c:layout>
        <c:manualLayout>
          <c:xMode val="edge"/>
          <c:yMode val="edge"/>
          <c:x val="0.22314049586776863"/>
          <c:y val="0.89786223277909738"/>
          <c:w val="0.61707988980716266"/>
          <c:h val="9.2636579572446573E-2"/>
        </c:manualLayout>
      </c:layout>
      <c:overlay val="0"/>
      <c:spPr>
        <a:solidFill>
          <a:srgbClr val="FFFFFF"/>
        </a:solidFill>
        <a:ln w="3175">
          <a:solidFill>
            <a:srgbClr val="000000"/>
          </a:solidFill>
          <a:prstDash val="solid"/>
        </a:ln>
      </c:spPr>
      <c:txPr>
        <a:bodyPr/>
        <a:lstStyle/>
        <a:p>
          <a:pPr>
            <a:defRPr sz="88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50" b="0" i="0" u="none" strike="noStrike" baseline="0">
          <a:solidFill>
            <a:srgbClr val="000000"/>
          </a:solidFill>
          <a:latin typeface="Arial"/>
          <a:ea typeface="Arial"/>
          <a:cs typeface="Arial"/>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50" b="1" i="0" u="none" strike="noStrike" baseline="0">
                <a:solidFill>
                  <a:srgbClr val="000000"/>
                </a:solidFill>
                <a:latin typeface="Arial"/>
                <a:ea typeface="Arial"/>
                <a:cs typeface="Arial"/>
              </a:defRPr>
            </a:pPr>
            <a:r>
              <a:rPr lang="en-US"/>
              <a:t>Numar mediu de cauze pe procuror la parchetele de pe langa judecatorii</a:t>
            </a:r>
          </a:p>
        </c:rich>
      </c:tx>
      <c:layout>
        <c:manualLayout>
          <c:xMode val="edge"/>
          <c:yMode val="edge"/>
          <c:x val="0.10141984251968504"/>
          <c:y val="2.0325084364454446E-2"/>
        </c:manualLayout>
      </c:layout>
      <c:overlay val="0"/>
      <c:spPr>
        <a:noFill/>
        <a:ln w="25409">
          <a:noFill/>
        </a:ln>
      </c:spPr>
    </c:title>
    <c:autoTitleDeleted val="0"/>
    <c:plotArea>
      <c:layout>
        <c:manualLayout>
          <c:layoutTarget val="inner"/>
          <c:xMode val="edge"/>
          <c:yMode val="edge"/>
          <c:x val="9.4656488549618334E-2"/>
          <c:y val="0.2614942528735632"/>
          <c:w val="0.89160305343511448"/>
          <c:h val="0.55172413793103459"/>
        </c:manualLayout>
      </c:layout>
      <c:lineChart>
        <c:grouping val="standard"/>
        <c:varyColors val="0"/>
        <c:ser>
          <c:idx val="0"/>
          <c:order val="0"/>
          <c:tx>
            <c:strRef>
              <c:f>Foaie1!$A$269</c:f>
              <c:strCache>
                <c:ptCount val="1"/>
                <c:pt idx="0">
                  <c:v>Anul</c:v>
                </c:pt>
              </c:strCache>
            </c:strRef>
          </c:tx>
          <c:spPr>
            <a:ln w="12705">
              <a:solidFill>
                <a:srgbClr val="000080"/>
              </a:solidFill>
              <a:prstDash val="solid"/>
            </a:ln>
          </c:spPr>
          <c:marker>
            <c:symbol val="diamond"/>
            <c:size val="5"/>
            <c:spPr>
              <a:solidFill>
                <a:srgbClr val="000080"/>
              </a:solidFill>
              <a:ln>
                <a:solidFill>
                  <a:srgbClr val="000080"/>
                </a:solidFill>
                <a:prstDash val="solid"/>
              </a:ln>
            </c:spPr>
          </c:marker>
          <c:dLbls>
            <c:dLbl>
              <c:idx val="0"/>
              <c:tx>
                <c:rich>
                  <a:bodyPr/>
                  <a:lstStyle/>
                  <a:p>
                    <a:pPr>
                      <a:defRPr sz="950" b="0" i="0" u="none" strike="noStrike" baseline="0">
                        <a:solidFill>
                          <a:srgbClr val="000000"/>
                        </a:solidFill>
                        <a:latin typeface="Arial"/>
                        <a:ea typeface="Arial"/>
                        <a:cs typeface="Arial"/>
                      </a:defRPr>
                    </a:pPr>
                    <a:r>
                      <a:rPr lang="en-US"/>
                      <a:t>2012</a:t>
                    </a:r>
                  </a:p>
                </c:rich>
              </c:tx>
              <c:spPr>
                <a:noFill/>
                <a:ln w="25409">
                  <a:noFill/>
                </a:ln>
              </c:spPr>
              <c:showLegendKey val="0"/>
              <c:showVal val="0"/>
              <c:showCatName val="0"/>
              <c:showSerName val="0"/>
              <c:showPercent val="0"/>
              <c:showBubbleSize val="0"/>
              <c:extLst>
                <c:ext xmlns:c15="http://schemas.microsoft.com/office/drawing/2012/chart" uri="{CE6537A1-D6FC-4f65-9D91-7224C49458BB}"/>
              </c:extLst>
            </c:dLbl>
            <c:dLbl>
              <c:idx val="1"/>
              <c:tx>
                <c:rich>
                  <a:bodyPr/>
                  <a:lstStyle/>
                  <a:p>
                    <a:pPr>
                      <a:defRPr sz="950" b="0" i="0" u="none" strike="noStrike" baseline="0">
                        <a:solidFill>
                          <a:srgbClr val="000000"/>
                        </a:solidFill>
                        <a:latin typeface="Arial"/>
                        <a:ea typeface="Arial"/>
                        <a:cs typeface="Arial"/>
                      </a:defRPr>
                    </a:pPr>
                    <a:r>
                      <a:rPr lang="en-US"/>
                      <a:t>2013</a:t>
                    </a:r>
                  </a:p>
                </c:rich>
              </c:tx>
              <c:spPr>
                <a:noFill/>
                <a:ln w="25409">
                  <a:noFill/>
                </a:ln>
              </c:spPr>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sz="950" b="0" i="0" u="none" strike="noStrike" baseline="0">
                        <a:solidFill>
                          <a:srgbClr val="000000"/>
                        </a:solidFill>
                        <a:latin typeface="Arial"/>
                        <a:ea typeface="Arial"/>
                        <a:cs typeface="Arial"/>
                      </a:defRPr>
                    </a:pPr>
                    <a:r>
                      <a:rPr lang="en-US"/>
                      <a:t>2014</a:t>
                    </a:r>
                  </a:p>
                </c:rich>
              </c:tx>
              <c:spPr>
                <a:noFill/>
                <a:ln w="25409">
                  <a:noFill/>
                </a:ln>
              </c:spPr>
              <c:showLegendKey val="0"/>
              <c:showVal val="0"/>
              <c:showCatName val="0"/>
              <c:showSerName val="0"/>
              <c:showPercent val="0"/>
              <c:showBubbleSize val="0"/>
              <c:extLst>
                <c:ext xmlns:c15="http://schemas.microsoft.com/office/drawing/2012/chart" uri="{CE6537A1-D6FC-4f65-9D91-7224C49458BB}"/>
              </c:extLst>
            </c:dLbl>
            <c:dLbl>
              <c:idx val="3"/>
              <c:tx>
                <c:rich>
                  <a:bodyPr/>
                  <a:lstStyle/>
                  <a:p>
                    <a:pPr>
                      <a:defRPr sz="950" b="0" i="0" u="none" strike="noStrike" baseline="0">
                        <a:solidFill>
                          <a:srgbClr val="000000"/>
                        </a:solidFill>
                        <a:latin typeface="Arial"/>
                        <a:ea typeface="Arial"/>
                        <a:cs typeface="Arial"/>
                      </a:defRPr>
                    </a:pPr>
                    <a:r>
                      <a:rPr lang="en-US"/>
                      <a:t>2015</a:t>
                    </a:r>
                  </a:p>
                </c:rich>
              </c:tx>
              <c:spPr>
                <a:noFill/>
                <a:ln w="25409">
                  <a:noFill/>
                </a:ln>
              </c:spPr>
              <c:showLegendKey val="0"/>
              <c:showVal val="0"/>
              <c:showCatName val="0"/>
              <c:showSerName val="0"/>
              <c:showPercent val="0"/>
              <c:showBubbleSize val="0"/>
              <c:extLst>
                <c:ext xmlns:c15="http://schemas.microsoft.com/office/drawing/2012/chart" uri="{CE6537A1-D6FC-4f65-9D91-7224C49458BB}"/>
              </c:extLst>
            </c:dLbl>
            <c:dLbl>
              <c:idx val="4"/>
              <c:tx>
                <c:rich>
                  <a:bodyPr/>
                  <a:lstStyle/>
                  <a:p>
                    <a:pPr>
                      <a:defRPr sz="950" b="0" i="0" u="none" strike="noStrike" baseline="0">
                        <a:solidFill>
                          <a:srgbClr val="000000"/>
                        </a:solidFill>
                        <a:latin typeface="Arial"/>
                        <a:ea typeface="Arial"/>
                        <a:cs typeface="Arial"/>
                      </a:defRPr>
                    </a:pPr>
                    <a:r>
                      <a:rPr lang="en-US"/>
                      <a:t>2016</a:t>
                    </a:r>
                  </a:p>
                </c:rich>
              </c:tx>
              <c:spPr>
                <a:noFill/>
                <a:ln w="25409">
                  <a:noFill/>
                </a:ln>
              </c:spPr>
              <c:showLegendKey val="0"/>
              <c:showVal val="0"/>
              <c:showCatName val="0"/>
              <c:showSerName val="0"/>
              <c:showPercent val="0"/>
              <c:showBubbleSize val="0"/>
              <c:extLst>
                <c:ext xmlns:c15="http://schemas.microsoft.com/office/drawing/2012/chart" uri="{CE6537A1-D6FC-4f65-9D91-7224C49458BB}"/>
              </c:extLst>
            </c:dLbl>
            <c:spPr>
              <a:noFill/>
              <a:ln w="25409">
                <a:noFill/>
              </a:ln>
            </c:spPr>
            <c:txPr>
              <a:bodyPr wrap="square" lIns="38100" tIns="19050" rIns="38100" bIns="19050" anchor="ctr">
                <a:spAutoFit/>
              </a:bodyPr>
              <a:lstStyle/>
              <a:p>
                <a:pPr>
                  <a:defRPr sz="95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Foaie1!$B$269:$F$269</c:f>
              <c:numCache>
                <c:formatCode>General</c:formatCode>
                <c:ptCount val="5"/>
                <c:pt idx="0">
                  <c:v>1</c:v>
                </c:pt>
                <c:pt idx="1">
                  <c:v>2</c:v>
                </c:pt>
                <c:pt idx="2">
                  <c:v>3</c:v>
                </c:pt>
                <c:pt idx="3">
                  <c:v>4</c:v>
                </c:pt>
                <c:pt idx="4">
                  <c:v>5</c:v>
                </c:pt>
              </c:numCache>
            </c:numRef>
          </c:val>
          <c:smooth val="0"/>
        </c:ser>
        <c:ser>
          <c:idx val="1"/>
          <c:order val="1"/>
          <c:tx>
            <c:strRef>
              <c:f>Foaie1!$A$270</c:f>
              <c:strCache>
                <c:ptCount val="1"/>
                <c:pt idx="0">
                  <c:v>Media dosare de solutionat parchete judecatorii</c:v>
                </c:pt>
              </c:strCache>
            </c:strRef>
          </c:tx>
          <c:spPr>
            <a:ln w="12705">
              <a:solidFill>
                <a:srgbClr val="FF00FF"/>
              </a:solidFill>
              <a:prstDash val="solid"/>
            </a:ln>
          </c:spPr>
          <c:marker>
            <c:symbol val="square"/>
            <c:size val="5"/>
            <c:spPr>
              <a:solidFill>
                <a:srgbClr val="FF00FF"/>
              </a:solidFill>
              <a:ln>
                <a:solidFill>
                  <a:srgbClr val="FF00FF"/>
                </a:solidFill>
                <a:prstDash val="solid"/>
              </a:ln>
            </c:spPr>
          </c:marker>
          <c:dLbls>
            <c:spPr>
              <a:noFill/>
              <a:ln w="25409">
                <a:noFill/>
              </a:ln>
            </c:spPr>
            <c:txPr>
              <a:bodyPr wrap="square" lIns="38100" tIns="19050" rIns="38100" bIns="19050" anchor="ctr">
                <a:spAutoFit/>
              </a:bodyPr>
              <a:lstStyle/>
              <a:p>
                <a:pPr>
                  <a:defRPr sz="95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Foaie1!$B$270:$F$270</c:f>
              <c:numCache>
                <c:formatCode>General</c:formatCode>
                <c:ptCount val="5"/>
                <c:pt idx="0">
                  <c:v>1384</c:v>
                </c:pt>
                <c:pt idx="1">
                  <c:v>1451</c:v>
                </c:pt>
                <c:pt idx="2">
                  <c:v>1552</c:v>
                </c:pt>
                <c:pt idx="3">
                  <c:v>1500</c:v>
                </c:pt>
                <c:pt idx="4">
                  <c:v>1480</c:v>
                </c:pt>
              </c:numCache>
            </c:numRef>
          </c:val>
          <c:smooth val="0"/>
        </c:ser>
        <c:dLbls>
          <c:showLegendKey val="0"/>
          <c:showVal val="0"/>
          <c:showCatName val="0"/>
          <c:showSerName val="0"/>
          <c:showPercent val="0"/>
          <c:showBubbleSize val="0"/>
        </c:dLbls>
        <c:marker val="1"/>
        <c:smooth val="0"/>
        <c:axId val="768156272"/>
        <c:axId val="768153552"/>
      </c:lineChart>
      <c:catAx>
        <c:axId val="768156272"/>
        <c:scaling>
          <c:orientation val="minMax"/>
        </c:scaling>
        <c:delete val="0"/>
        <c:axPos val="b"/>
        <c:numFmt formatCode="General" sourceLinked="1"/>
        <c:majorTickMark val="out"/>
        <c:minorTickMark val="none"/>
        <c:tickLblPos val="nextTo"/>
        <c:spPr>
          <a:ln w="3176">
            <a:solidFill>
              <a:srgbClr val="000000"/>
            </a:solidFill>
            <a:prstDash val="solid"/>
          </a:ln>
        </c:spPr>
        <c:txPr>
          <a:bodyPr rot="0" vert="horz"/>
          <a:lstStyle/>
          <a:p>
            <a:pPr>
              <a:defRPr sz="100" b="0" i="0" u="none" strike="noStrike" baseline="0">
                <a:solidFill>
                  <a:srgbClr val="000000"/>
                </a:solidFill>
                <a:latin typeface="Arial"/>
                <a:ea typeface="Arial"/>
                <a:cs typeface="Arial"/>
              </a:defRPr>
            </a:pPr>
            <a:endParaRPr lang="en-US"/>
          </a:p>
        </c:txPr>
        <c:crossAx val="768153552"/>
        <c:crosses val="autoZero"/>
        <c:auto val="1"/>
        <c:lblAlgn val="ctr"/>
        <c:lblOffset val="100"/>
        <c:tickLblSkip val="1"/>
        <c:tickMarkSkip val="1"/>
        <c:noMultiLvlLbl val="0"/>
      </c:catAx>
      <c:valAx>
        <c:axId val="768153552"/>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950" b="0" i="0" u="none" strike="noStrike" baseline="0">
                <a:solidFill>
                  <a:srgbClr val="000000"/>
                </a:solidFill>
                <a:latin typeface="Arial"/>
                <a:ea typeface="Arial"/>
                <a:cs typeface="Arial"/>
              </a:defRPr>
            </a:pPr>
            <a:endParaRPr lang="en-US"/>
          </a:p>
        </c:txPr>
        <c:crossAx val="768156272"/>
        <c:crosses val="autoZero"/>
        <c:crossBetween val="between"/>
      </c:valAx>
      <c:spPr>
        <a:solidFill>
          <a:srgbClr val="C0C0C0"/>
        </a:solidFill>
        <a:ln w="12705">
          <a:solidFill>
            <a:srgbClr val="808080"/>
          </a:solidFill>
          <a:prstDash val="solid"/>
        </a:ln>
      </c:spPr>
    </c:plotArea>
    <c:legend>
      <c:legendPos val="b"/>
      <c:layout>
        <c:manualLayout>
          <c:xMode val="edge"/>
          <c:yMode val="edge"/>
          <c:x val="0.25190839694656486"/>
          <c:y val="0.89367816091954044"/>
          <c:w val="0.54656488549618321"/>
          <c:h val="9.7701149425287362E-2"/>
        </c:manualLayout>
      </c:layout>
      <c:overlay val="0"/>
      <c:spPr>
        <a:solidFill>
          <a:srgbClr val="FFFFFF"/>
        </a:solidFill>
        <a:ln w="3176">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6">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75" b="1" i="0" u="none" strike="noStrike" baseline="0">
                <a:solidFill>
                  <a:srgbClr val="000000"/>
                </a:solidFill>
                <a:latin typeface="Arial"/>
                <a:ea typeface="Arial"/>
                <a:cs typeface="Arial"/>
              </a:defRPr>
            </a:pPr>
            <a:r>
              <a:rPr lang="en-US"/>
              <a:t>Operativitate comparată la nivelul parchetelor</a:t>
            </a:r>
          </a:p>
        </c:rich>
      </c:tx>
      <c:layout>
        <c:manualLayout>
          <c:xMode val="edge"/>
          <c:yMode val="edge"/>
          <c:x val="0.26436781609195403"/>
          <c:y val="1.8867924528301886E-2"/>
        </c:manualLayout>
      </c:layout>
      <c:overlay val="0"/>
      <c:spPr>
        <a:noFill/>
        <a:ln w="25399">
          <a:noFill/>
        </a:ln>
      </c:spPr>
    </c:title>
    <c:autoTitleDeleted val="0"/>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724137931034482E-2"/>
          <c:y val="0.17735849056603772"/>
          <c:w val="0.81465517241379315"/>
          <c:h val="0.65283018867924525"/>
        </c:manualLayout>
      </c:layout>
      <c:bar3DChart>
        <c:barDir val="col"/>
        <c:grouping val="clustered"/>
        <c:varyColors val="0"/>
        <c:ser>
          <c:idx val="4"/>
          <c:order val="0"/>
          <c:tx>
            <c:strRef>
              <c:f>Sheet1!$A$2</c:f>
              <c:strCache>
                <c:ptCount val="1"/>
                <c:pt idx="0">
                  <c:v>P.I.C.C.J</c:v>
                </c:pt>
              </c:strCache>
            </c:strRef>
          </c:tx>
          <c:spPr>
            <a:solidFill>
              <a:srgbClr val="660066"/>
            </a:solidFill>
            <a:ln w="12700">
              <a:solidFill>
                <a:srgbClr val="000000"/>
              </a:solidFill>
              <a:prstDash val="solid"/>
            </a:ln>
          </c:spPr>
          <c:invertIfNegative val="0"/>
          <c:dLbls>
            <c:dLbl>
              <c:idx val="0"/>
              <c:layout>
                <c:manualLayout>
                  <c:x val="6.801718082956959E-3"/>
                  <c:y val="-2.6268613613397718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6.9526908942113552E-3"/>
                  <c:y val="-1.5599429661472874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9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Sheet1!$B$2:$C$2</c:f>
              <c:numCache>
                <c:formatCode>0%</c:formatCode>
                <c:ptCount val="2"/>
                <c:pt idx="0">
                  <c:v>0.69</c:v>
                </c:pt>
                <c:pt idx="1">
                  <c:v>0.42</c:v>
                </c:pt>
              </c:numCache>
            </c:numRef>
          </c:val>
        </c:ser>
        <c:ser>
          <c:idx val="0"/>
          <c:order val="1"/>
          <c:tx>
            <c:strRef>
              <c:f>Sheet1!$A$3</c:f>
              <c:strCache>
                <c:ptCount val="1"/>
                <c:pt idx="0">
                  <c:v>P.C.A.</c:v>
                </c:pt>
              </c:strCache>
            </c:strRef>
          </c:tx>
          <c:spPr>
            <a:solidFill>
              <a:srgbClr val="9999FF"/>
            </a:solidFill>
            <a:ln w="12700">
              <a:solidFill>
                <a:srgbClr val="000000"/>
              </a:solidFill>
              <a:prstDash val="solid"/>
            </a:ln>
          </c:spPr>
          <c:invertIfNegative val="0"/>
          <c:dLbls>
            <c:dLbl>
              <c:idx val="0"/>
              <c:layout>
                <c:manualLayout>
                  <c:x val="2.446236291857401E-2"/>
                  <c:y val="-1.569889100644728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2.3176738956683374E-2"/>
                  <c:y val="-3.9459662287598507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9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Sheet1!$B$3:$C$3</c:f>
              <c:numCache>
                <c:formatCode>0%</c:formatCode>
                <c:ptCount val="2"/>
                <c:pt idx="0">
                  <c:v>0.9</c:v>
                </c:pt>
                <c:pt idx="1">
                  <c:v>0.61</c:v>
                </c:pt>
              </c:numCache>
            </c:numRef>
          </c:val>
        </c:ser>
        <c:ser>
          <c:idx val="1"/>
          <c:order val="2"/>
          <c:tx>
            <c:strRef>
              <c:f>Sheet1!$A$4</c:f>
              <c:strCache>
                <c:ptCount val="1"/>
                <c:pt idx="0">
                  <c:v>P.T.</c:v>
                </c:pt>
              </c:strCache>
            </c:strRef>
          </c:tx>
          <c:spPr>
            <a:solidFill>
              <a:srgbClr val="993366"/>
            </a:solidFill>
            <a:ln w="12700">
              <a:solidFill>
                <a:srgbClr val="000000"/>
              </a:solidFill>
              <a:prstDash val="solid"/>
            </a:ln>
          </c:spPr>
          <c:invertIfNegative val="0"/>
          <c:dLbls>
            <c:dLbl>
              <c:idx val="0"/>
              <c:layout>
                <c:manualLayout>
                  <c:x val="3.6376066153459841E-2"/>
                  <c:y val="-1.9222131875430704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2.2159222872760176E-2"/>
                  <c:y val="-3.0693769284114381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9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Sheet1!$B$4:$C$4</c:f>
              <c:numCache>
                <c:formatCode>0%</c:formatCode>
                <c:ptCount val="2"/>
                <c:pt idx="0">
                  <c:v>0.83</c:v>
                </c:pt>
                <c:pt idx="1">
                  <c:v>0.42</c:v>
                </c:pt>
              </c:numCache>
            </c:numRef>
          </c:val>
        </c:ser>
        <c:ser>
          <c:idx val="2"/>
          <c:order val="3"/>
          <c:tx>
            <c:strRef>
              <c:f>Sheet1!$A$5</c:f>
              <c:strCache>
                <c:ptCount val="1"/>
                <c:pt idx="0">
                  <c:v>P.J.</c:v>
                </c:pt>
              </c:strCache>
            </c:strRef>
          </c:tx>
          <c:spPr>
            <a:solidFill>
              <a:srgbClr val="FFFFCC"/>
            </a:solidFill>
            <a:ln w="12700">
              <a:solidFill>
                <a:srgbClr val="000000"/>
              </a:solidFill>
              <a:prstDash val="solid"/>
            </a:ln>
          </c:spPr>
          <c:invertIfNegative val="0"/>
          <c:dLbls>
            <c:dLbl>
              <c:idx val="0"/>
              <c:layout>
                <c:manualLayout>
                  <c:x val="1.9553952368387251E-2"/>
                  <c:y val="-3.3315095351364676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683136196125079E-2"/>
                  <c:y val="-3.5151921946052211E-2"/>
                </c:manualLayout>
              </c:layout>
              <c:spPr>
                <a:noFill/>
                <a:ln w="25399">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9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operativitate pe lucrari</c:v>
                </c:pt>
                <c:pt idx="1">
                  <c:v>operativitate pe dosare </c:v>
                </c:pt>
              </c:strCache>
            </c:strRef>
          </c:cat>
          <c:val>
            <c:numRef>
              <c:f>Sheet1!$B$5:$C$5</c:f>
              <c:numCache>
                <c:formatCode>0%</c:formatCode>
                <c:ptCount val="2"/>
                <c:pt idx="0">
                  <c:v>0.55000000000000004</c:v>
                </c:pt>
                <c:pt idx="1">
                  <c:v>0.31</c:v>
                </c:pt>
              </c:numCache>
            </c:numRef>
          </c:val>
        </c:ser>
        <c:dLbls>
          <c:showLegendKey val="0"/>
          <c:showVal val="1"/>
          <c:showCatName val="0"/>
          <c:showSerName val="0"/>
          <c:showPercent val="0"/>
          <c:showBubbleSize val="0"/>
        </c:dLbls>
        <c:gapWidth val="150"/>
        <c:gapDepth val="0"/>
        <c:shape val="box"/>
        <c:axId val="768158448"/>
        <c:axId val="768151920"/>
        <c:axId val="0"/>
      </c:bar3DChart>
      <c:catAx>
        <c:axId val="76815844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768151920"/>
        <c:crosses val="autoZero"/>
        <c:auto val="1"/>
        <c:lblAlgn val="ctr"/>
        <c:lblOffset val="100"/>
        <c:tickLblSkip val="1"/>
        <c:tickMarkSkip val="1"/>
        <c:noMultiLvlLbl val="0"/>
      </c:catAx>
      <c:valAx>
        <c:axId val="768151920"/>
        <c:scaling>
          <c:orientation val="minMax"/>
        </c:scaling>
        <c:delete val="1"/>
        <c:axPos val="l"/>
        <c:numFmt formatCode="0%" sourceLinked="1"/>
        <c:majorTickMark val="out"/>
        <c:minorTickMark val="none"/>
        <c:tickLblPos val="nextTo"/>
        <c:crossAx val="768158448"/>
        <c:crosses val="autoZero"/>
        <c:crossBetween val="between"/>
      </c:valAx>
      <c:spPr>
        <a:noFill/>
        <a:ln w="25399">
          <a:noFill/>
        </a:ln>
      </c:spPr>
    </c:plotArea>
    <c:legend>
      <c:legendPos val="r"/>
      <c:layout>
        <c:manualLayout>
          <c:xMode val="edge"/>
          <c:yMode val="edge"/>
          <c:x val="0.88649425287356332"/>
          <c:y val="0.43018867924528298"/>
          <c:w val="0.10632183908045979"/>
          <c:h val="0.32075471698113206"/>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925" b="1" i="0" u="none" strike="noStrike" baseline="0">
          <a:solidFill>
            <a:srgbClr val="000000"/>
          </a:solidFill>
          <a:latin typeface="Arial"/>
          <a:ea typeface="Arial"/>
          <a:cs typeface="Arial"/>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7" b="1" i="0" u="none" strike="noStrike" baseline="0">
                <a:solidFill>
                  <a:srgbClr val="000000"/>
                </a:solidFill>
                <a:latin typeface="Times New Roman"/>
                <a:ea typeface="Times New Roman"/>
                <a:cs typeface="Times New Roman"/>
              </a:defRPr>
            </a:pPr>
            <a:r>
              <a:rPr lang="en-US"/>
              <a:t>Modalităţi de ocupare a posturilor de judecător 201</a:t>
            </a:r>
            <a:r>
              <a:rPr lang="ro-RO"/>
              <a:t>6</a:t>
            </a:r>
            <a:endParaRPr lang="en-US"/>
          </a:p>
        </c:rich>
      </c:tx>
      <c:layout>
        <c:manualLayout>
          <c:xMode val="edge"/>
          <c:yMode val="edge"/>
          <c:x val="0.20518430161203577"/>
          <c:y val="1.6909928941809104E-2"/>
        </c:manualLayout>
      </c:layout>
      <c:overlay val="0"/>
      <c:spPr>
        <a:noFill/>
        <a:ln w="25337">
          <a:noFill/>
        </a:ln>
      </c:spPr>
    </c:title>
    <c:autoTitleDeleted val="0"/>
    <c:view3D>
      <c:rotX val="3"/>
      <c:hPercent val="67"/>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6972833524014628"/>
          <c:y val="0.19444450925115841"/>
          <c:w val="0.60698689956331875"/>
          <c:h val="0.46464646464646464"/>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69">
              <a:solidFill>
                <a:srgbClr val="000000"/>
              </a:solidFill>
              <a:prstDash val="solid"/>
            </a:ln>
          </c:spPr>
          <c:invertIfNegative val="0"/>
          <c:dLbls>
            <c:dLbl>
              <c:idx val="0"/>
              <c:layout>
                <c:manualLayout>
                  <c:x val="-2.3206427659200335E-3"/>
                  <c:y val="5.1242433079703165E-3"/>
                </c:manualLayout>
              </c:layout>
              <c:tx>
                <c:rich>
                  <a:bodyPr/>
                  <a:lstStyle/>
                  <a:p>
                    <a:pPr>
                      <a:defRPr sz="848" b="1" i="0" u="none" strike="noStrike" baseline="0">
                        <a:solidFill>
                          <a:srgbClr val="000000"/>
                        </a:solidFill>
                        <a:latin typeface="Arial"/>
                        <a:ea typeface="Arial"/>
                        <a:cs typeface="Arial"/>
                      </a:defRPr>
                    </a:pPr>
                    <a:r>
                      <a:rPr lang="en-US"/>
                      <a:t>80</a:t>
                    </a:r>
                  </a:p>
                </c:rich>
              </c:tx>
              <c:spPr>
                <a:noFill/>
                <a:ln w="25337">
                  <a:noFill/>
                </a:ln>
              </c:spPr>
              <c:showLegendKey val="0"/>
              <c:showVal val="0"/>
              <c:showCatName val="0"/>
              <c:showSerName val="0"/>
              <c:showPercent val="0"/>
              <c:showBubbleSize val="0"/>
              <c:extLst>
                <c:ext xmlns:c15="http://schemas.microsoft.com/office/drawing/2012/chart" uri="{CE6537A1-D6FC-4f65-9D91-7224C49458BB}"/>
              </c:extLst>
            </c:dLbl>
            <c:spPr>
              <a:noFill/>
              <a:ln w="25337">
                <a:noFill/>
              </a:ln>
            </c:spPr>
            <c:txPr>
              <a:bodyPr wrap="square" lIns="38100" tIns="19050" rIns="38100" bIns="19050" anchor="ctr">
                <a:spAutoFit/>
              </a:bodyPr>
              <a:lstStyle/>
              <a:p>
                <a:pPr>
                  <a:defRPr sz="8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81</c:v>
                </c:pt>
              </c:numCache>
            </c:numRef>
          </c:val>
        </c:ser>
        <c:ser>
          <c:idx val="1"/>
          <c:order val="1"/>
          <c:tx>
            <c:strRef>
              <c:f>Sheet1!$A$3</c:f>
              <c:strCache>
                <c:ptCount val="1"/>
                <c:pt idx="0">
                  <c:v>judecători numiti în urma promovării concursului de admitere în magistratură</c:v>
                </c:pt>
              </c:strCache>
            </c:strRef>
          </c:tx>
          <c:spPr>
            <a:solidFill>
              <a:srgbClr val="993366"/>
            </a:solidFill>
            <a:ln w="12669">
              <a:solidFill>
                <a:srgbClr val="000000"/>
              </a:solidFill>
              <a:prstDash val="solid"/>
            </a:ln>
          </c:spPr>
          <c:invertIfNegative val="0"/>
          <c:dLbls>
            <c:dLbl>
              <c:idx val="0"/>
              <c:layout>
                <c:manualLayout>
                  <c:x val="3.3525030483047225E-2"/>
                  <c:y val="1.1430266502882425E-2"/>
                </c:manualLayout>
              </c:layout>
              <c:spPr>
                <a:noFill/>
                <a:ln w="25337">
                  <a:noFill/>
                </a:ln>
              </c:spPr>
              <c:txPr>
                <a:bodyPr/>
                <a:lstStyle/>
                <a:p>
                  <a:pPr>
                    <a:defRPr sz="8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7">
                <a:noFill/>
              </a:ln>
            </c:spPr>
            <c:txPr>
              <a:bodyPr wrap="square" lIns="38100" tIns="19050" rIns="38100" bIns="19050" anchor="ctr">
                <a:spAutoFit/>
              </a:bodyPr>
              <a:lstStyle/>
              <a:p>
                <a:pPr>
                  <a:defRPr sz="8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27</c:v>
                </c:pt>
              </c:numCache>
            </c:numRef>
          </c:val>
        </c:ser>
        <c:ser>
          <c:idx val="2"/>
          <c:order val="2"/>
          <c:tx>
            <c:strRef>
              <c:f>Sheet1!$A$4</c:f>
              <c:strCache>
                <c:ptCount val="1"/>
                <c:pt idx="0">
                  <c:v>procurori numiţi judecători după examenul de capacitate</c:v>
                </c:pt>
              </c:strCache>
            </c:strRef>
          </c:tx>
          <c:spPr>
            <a:solidFill>
              <a:srgbClr val="FFFFCC"/>
            </a:solidFill>
            <a:ln w="12669">
              <a:solidFill>
                <a:srgbClr val="000000"/>
              </a:solidFill>
              <a:prstDash val="solid"/>
            </a:ln>
          </c:spPr>
          <c:invertIfNegative val="0"/>
          <c:dLbls>
            <c:dLbl>
              <c:idx val="0"/>
              <c:layout>
                <c:manualLayout>
                  <c:x val="3.2804809655203354E-2"/>
                  <c:y val="-1.4239331194711808E-3"/>
                </c:manualLayout>
              </c:layout>
              <c:spPr>
                <a:noFill/>
                <a:ln w="25337">
                  <a:noFill/>
                </a:ln>
              </c:spPr>
              <c:txPr>
                <a:bodyPr/>
                <a:lstStyle/>
                <a:p>
                  <a:pPr>
                    <a:defRPr sz="8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7">
                <a:noFill/>
              </a:ln>
            </c:spPr>
            <c:txPr>
              <a:bodyPr wrap="square" lIns="38100" tIns="19050" rIns="38100" bIns="19050" anchor="ctr">
                <a:spAutoFit/>
              </a:bodyPr>
              <a:lstStyle/>
              <a:p>
                <a:pPr>
                  <a:defRPr sz="85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9</c:v>
                </c:pt>
              </c:numCache>
            </c:numRef>
          </c:val>
        </c:ser>
        <c:ser>
          <c:idx val="3"/>
          <c:order val="3"/>
          <c:tx>
            <c:strRef>
              <c:f>Sheet1!$A$5</c:f>
              <c:strCache>
                <c:ptCount val="1"/>
                <c:pt idx="0">
                  <c:v>procurori numiţi, la cerere, judecători  </c:v>
                </c:pt>
              </c:strCache>
            </c:strRef>
          </c:tx>
          <c:spPr>
            <a:solidFill>
              <a:srgbClr val="CCFFFF"/>
            </a:solidFill>
            <a:ln w="12669">
              <a:solidFill>
                <a:srgbClr val="000000"/>
              </a:solidFill>
              <a:prstDash val="solid"/>
            </a:ln>
          </c:spPr>
          <c:invertIfNegative val="0"/>
          <c:dLbls>
            <c:dLbl>
              <c:idx val="0"/>
              <c:layout>
                <c:manualLayout>
                  <c:x val="3.8095897653371069E-2"/>
                  <c:y val="-2.8854894821649379E-3"/>
                </c:manualLayout>
              </c:layout>
              <c:spPr>
                <a:noFill/>
                <a:ln w="25337">
                  <a:noFill/>
                </a:ln>
              </c:spPr>
              <c:txPr>
                <a:bodyPr/>
                <a:lstStyle/>
                <a:p>
                  <a:pPr>
                    <a:defRPr sz="9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7">
                <a:noFill/>
              </a:ln>
            </c:spPr>
            <c:txPr>
              <a:bodyPr wrap="square" lIns="38100" tIns="19050" rIns="38100" bIns="19050" anchor="ctr">
                <a:spAutoFit/>
              </a:bodyPr>
              <a:lstStyle/>
              <a:p>
                <a:pPr>
                  <a:defRPr sz="9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7</c:v>
                </c:pt>
              </c:numCache>
            </c:numRef>
          </c:val>
        </c:ser>
        <c:ser>
          <c:idx val="4"/>
          <c:order val="4"/>
          <c:tx>
            <c:strRef>
              <c:f>Sheet1!$A$6</c:f>
              <c:strCache>
                <c:ptCount val="1"/>
                <c:pt idx="0">
                  <c:v>reîncadrări în funcţie</c:v>
                </c:pt>
              </c:strCache>
            </c:strRef>
          </c:tx>
          <c:spPr>
            <a:solidFill>
              <a:srgbClr val="FF6600"/>
            </a:solidFill>
            <a:ln w="12669">
              <a:solidFill>
                <a:srgbClr val="000000"/>
              </a:solidFill>
              <a:prstDash val="solid"/>
            </a:ln>
          </c:spPr>
          <c:invertIfNegative val="0"/>
          <c:dLbls>
            <c:dLbl>
              <c:idx val="0"/>
              <c:layout>
                <c:manualLayout>
                  <c:x val="3.9963865086789174E-2"/>
                  <c:y val="1.6965019103251877E-2"/>
                </c:manualLayout>
              </c:layout>
              <c:spPr>
                <a:noFill/>
                <a:ln w="25337">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7">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General</c:formatCode>
                <c:ptCount val="1"/>
                <c:pt idx="0">
                  <c:v>1</c:v>
                </c:pt>
              </c:numCache>
            </c:numRef>
          </c:val>
        </c:ser>
        <c:dLbls>
          <c:showLegendKey val="0"/>
          <c:showVal val="0"/>
          <c:showCatName val="0"/>
          <c:showSerName val="0"/>
          <c:showPercent val="0"/>
          <c:showBubbleSize val="0"/>
        </c:dLbls>
        <c:gapWidth val="150"/>
        <c:gapDepth val="0"/>
        <c:shape val="box"/>
        <c:axId val="768154640"/>
        <c:axId val="768418176"/>
        <c:axId val="0"/>
      </c:bar3DChart>
      <c:catAx>
        <c:axId val="768154640"/>
        <c:scaling>
          <c:orientation val="minMax"/>
        </c:scaling>
        <c:delete val="0"/>
        <c:axPos val="b"/>
        <c:majorGridlines>
          <c:spPr>
            <a:ln w="3167">
              <a:solidFill>
                <a:srgbClr val="000000"/>
              </a:solidFill>
              <a:prstDash val="solid"/>
            </a:ln>
          </c:spPr>
        </c:majorGridlines>
        <c:numFmt formatCode="General" sourceLinked="1"/>
        <c:majorTickMark val="out"/>
        <c:minorTickMark val="none"/>
        <c:tickLblPos val="low"/>
        <c:spPr>
          <a:ln w="3167">
            <a:solidFill>
              <a:srgbClr val="000000"/>
            </a:solidFill>
            <a:prstDash val="solid"/>
          </a:ln>
        </c:spPr>
        <c:txPr>
          <a:bodyPr rot="0" vert="horz"/>
          <a:lstStyle/>
          <a:p>
            <a:pPr>
              <a:defRPr sz="1195" b="1" i="0" u="none" strike="noStrike" baseline="0">
                <a:solidFill>
                  <a:srgbClr val="000000"/>
                </a:solidFill>
                <a:latin typeface="Arial"/>
                <a:ea typeface="Arial"/>
                <a:cs typeface="Arial"/>
              </a:defRPr>
            </a:pPr>
            <a:endParaRPr lang="en-US"/>
          </a:p>
        </c:txPr>
        <c:crossAx val="768418176"/>
        <c:crosses val="autoZero"/>
        <c:auto val="1"/>
        <c:lblAlgn val="ctr"/>
        <c:lblOffset val="100"/>
        <c:tickLblSkip val="1"/>
        <c:tickMarkSkip val="1"/>
        <c:noMultiLvlLbl val="0"/>
      </c:catAx>
      <c:valAx>
        <c:axId val="768418176"/>
        <c:scaling>
          <c:orientation val="minMax"/>
          <c:max val="100"/>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850" b="1" i="0" u="none" strike="noStrike" baseline="0">
                <a:solidFill>
                  <a:srgbClr val="000000"/>
                </a:solidFill>
                <a:latin typeface="Arial"/>
                <a:ea typeface="Arial"/>
                <a:cs typeface="Arial"/>
              </a:defRPr>
            </a:pPr>
            <a:endParaRPr lang="en-US"/>
          </a:p>
        </c:txPr>
        <c:crossAx val="768154640"/>
        <c:crosses val="autoZero"/>
        <c:crossBetween val="between"/>
        <c:majorUnit val="10"/>
      </c:valAx>
      <c:spPr>
        <a:noFill/>
        <a:ln w="25399">
          <a:noFill/>
        </a:ln>
      </c:spPr>
    </c:plotArea>
    <c:legend>
      <c:legendPos val="b"/>
      <c:legendEntry>
        <c:idx val="4"/>
        <c:txPr>
          <a:bodyPr/>
          <a:lstStyle/>
          <a:p>
            <a:pPr>
              <a:defRPr sz="733" b="1" i="0" u="none" strike="noStrike" baseline="0">
                <a:solidFill>
                  <a:srgbClr val="000000"/>
                </a:solidFill>
                <a:latin typeface="Arial"/>
                <a:ea typeface="Arial"/>
                <a:cs typeface="Arial"/>
              </a:defRPr>
            </a:pPr>
            <a:endParaRPr lang="en-US"/>
          </a:p>
        </c:txPr>
      </c:legendEntry>
      <c:layout>
        <c:manualLayout>
          <c:xMode val="edge"/>
          <c:yMode val="edge"/>
          <c:x val="7.6444144131720834E-2"/>
          <c:y val="0.74494964044128631"/>
          <c:w val="0.92355585586827904"/>
          <c:h val="0.24242419392697867"/>
        </c:manualLayout>
      </c:layout>
      <c:overlay val="0"/>
      <c:spPr>
        <a:noFill/>
        <a:ln w="25337">
          <a:noFill/>
        </a:ln>
      </c:spPr>
      <c:txPr>
        <a:bodyPr/>
        <a:lstStyle/>
        <a:p>
          <a:pPr>
            <a:defRPr sz="733"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Arial"/>
          <a:ea typeface="Arial"/>
          <a:cs typeface="Arial"/>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4" b="1" i="0" u="none" strike="noStrike" baseline="0">
                <a:solidFill>
                  <a:srgbClr val="000000"/>
                </a:solidFill>
                <a:latin typeface="+mn-lt"/>
                <a:ea typeface="Times New Roman"/>
                <a:cs typeface="Times New Roman"/>
              </a:defRPr>
            </a:pPr>
            <a:r>
              <a:rPr lang="en-US" sz="1099" b="1" i="0" u="none" strike="noStrike" baseline="0">
                <a:solidFill>
                  <a:srgbClr val="000000"/>
                </a:solidFill>
                <a:latin typeface="+mn-lt"/>
                <a:cs typeface="Arial"/>
              </a:rPr>
              <a:t>Ocuparea prin concurs a funcţiilor de conducere urmare </a:t>
            </a:r>
            <a:r>
              <a:rPr lang="ro-RO" sz="1099" b="1" i="0" u="none" strike="noStrike" baseline="0">
                <a:solidFill>
                  <a:srgbClr val="000000"/>
                </a:solidFill>
                <a:latin typeface="+mn-lt"/>
                <a:cs typeface="Arial"/>
              </a:rPr>
              <a:t>a </a:t>
            </a:r>
            <a:r>
              <a:rPr lang="en-US" sz="1099" b="1" i="0" u="none" strike="noStrike" baseline="0">
                <a:solidFill>
                  <a:srgbClr val="000000"/>
                </a:solidFill>
                <a:latin typeface="+mn-lt"/>
                <a:cs typeface="Arial"/>
              </a:rPr>
              <a:t>concursurilor organizate la nivelul instanţelor judecătoreşti în anul 201</a:t>
            </a:r>
            <a:r>
              <a:rPr lang="ro-RO" sz="1099" b="1" i="0" u="none" strike="noStrike" baseline="0">
                <a:solidFill>
                  <a:srgbClr val="000000"/>
                </a:solidFill>
                <a:latin typeface="+mn-lt"/>
                <a:cs typeface="Arial"/>
              </a:rPr>
              <a:t>6</a:t>
            </a:r>
            <a:endParaRPr lang="en-US" sz="1100" b="1" i="0" u="none" strike="noStrike" baseline="0">
              <a:solidFill>
                <a:srgbClr val="000000"/>
              </a:solidFill>
              <a:latin typeface="+mn-lt"/>
              <a:cs typeface="Arial"/>
            </a:endParaRPr>
          </a:p>
          <a:p>
            <a:pPr>
              <a:defRPr sz="1094"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094"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094"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094"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094"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endParaRPr>
          </a:p>
        </c:rich>
      </c:tx>
      <c:layout>
        <c:manualLayout>
          <c:xMode val="edge"/>
          <c:yMode val="edge"/>
          <c:x val="0.12975391340470929"/>
          <c:y val="0"/>
        </c:manualLayout>
      </c:layout>
      <c:overlay val="0"/>
      <c:spPr>
        <a:noFill/>
        <a:ln w="25324">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9351230425055935E-2"/>
          <c:y val="0.23411371237458195"/>
          <c:w val="0.91946308724832215"/>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62">
              <a:solidFill>
                <a:srgbClr val="000000"/>
              </a:solidFill>
              <a:prstDash val="solid"/>
            </a:ln>
          </c:spPr>
          <c:invertIfNegative val="0"/>
          <c:dLbls>
            <c:dLbl>
              <c:idx val="0"/>
              <c:layout>
                <c:manualLayout>
                  <c:x val="4.2938504551996381E-2"/>
                  <c:y val="-5.0526160769826467E-2"/>
                </c:manualLayout>
              </c:layout>
              <c:spPr>
                <a:noFill/>
                <a:ln w="25324">
                  <a:noFill/>
                </a:ln>
              </c:spPr>
              <c:txPr>
                <a:bodyPr/>
                <a:lstStyle/>
                <a:p>
                  <a:pPr>
                    <a:defRPr sz="102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3.5444886988914459E-2"/>
                  <c:y val="-3.9134655688901315E-2"/>
                </c:manualLayout>
              </c:layout>
              <c:spPr>
                <a:noFill/>
                <a:ln w="25324">
                  <a:noFill/>
                </a:ln>
              </c:spPr>
              <c:txPr>
                <a:bodyPr/>
                <a:lstStyle/>
                <a:p>
                  <a:pPr>
                    <a:defRPr sz="102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99105145413870244"/>
                  <c:y val="0"/>
                </c:manualLayout>
              </c:layout>
              <c:spPr>
                <a:noFill/>
                <a:ln w="25324">
                  <a:noFill/>
                </a:ln>
              </c:spPr>
              <c:txPr>
                <a:bodyPr/>
                <a:lstStyle/>
                <a:p>
                  <a:pPr>
                    <a:defRPr sz="102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24">
                <a:noFill/>
              </a:ln>
            </c:spPr>
            <c:txPr>
              <a:bodyPr wrap="square" lIns="38100" tIns="19050" rIns="38100" bIns="19050" anchor="ctr">
                <a:spAutoFit/>
              </a:bodyPr>
              <a:lstStyle/>
              <a:p>
                <a:pPr>
                  <a:defRPr sz="102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2016</c:v>
                </c:pt>
                <c:pt idx="1">
                  <c:v>Concurs septembrie - decembrie 2016</c:v>
                </c:pt>
              </c:strCache>
            </c:strRef>
          </c:cat>
          <c:val>
            <c:numRef>
              <c:f>Sheet1!$B$2:$C$2</c:f>
              <c:numCache>
                <c:formatCode>General</c:formatCode>
                <c:ptCount val="2"/>
                <c:pt idx="0">
                  <c:v>101</c:v>
                </c:pt>
                <c:pt idx="1">
                  <c:v>112</c:v>
                </c:pt>
              </c:numCache>
            </c:numRef>
          </c:val>
        </c:ser>
        <c:ser>
          <c:idx val="1"/>
          <c:order val="1"/>
          <c:tx>
            <c:strRef>
              <c:f>Sheet1!$A$3</c:f>
              <c:strCache>
                <c:ptCount val="1"/>
                <c:pt idx="0">
                  <c:v>Posturi ocupate</c:v>
                </c:pt>
              </c:strCache>
            </c:strRef>
          </c:tx>
          <c:spPr>
            <a:solidFill>
              <a:srgbClr val="993366"/>
            </a:solidFill>
            <a:ln w="12662">
              <a:solidFill>
                <a:srgbClr val="000000"/>
              </a:solidFill>
              <a:prstDash val="solid"/>
            </a:ln>
          </c:spPr>
          <c:invertIfNegative val="0"/>
          <c:dLbls>
            <c:dLbl>
              <c:idx val="0"/>
              <c:layout>
                <c:manualLayout>
                  <c:x val="4.3866024606337817E-2"/>
                  <c:y val="-4.6129529779164291E-2"/>
                </c:manualLayout>
              </c:layout>
              <c:spPr>
                <a:noFill/>
                <a:ln w="25324">
                  <a:noFill/>
                </a:ln>
              </c:spPr>
              <c:txPr>
                <a:bodyPr/>
                <a:lstStyle/>
                <a:p>
                  <a:pPr>
                    <a:defRPr sz="102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4.9795225835202239E-2"/>
                  <c:y val="-4.9751995761707801E-2"/>
                </c:manualLayout>
              </c:layout>
              <c:spPr>
                <a:noFill/>
                <a:ln w="25324">
                  <a:noFill/>
                </a:ln>
              </c:spPr>
              <c:txPr>
                <a:bodyPr/>
                <a:lstStyle/>
                <a:p>
                  <a:pPr>
                    <a:defRPr sz="102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99105145413870244"/>
                  <c:y val="0"/>
                </c:manualLayout>
              </c:layout>
              <c:spPr>
                <a:noFill/>
                <a:ln w="25324">
                  <a:noFill/>
                </a:ln>
              </c:spPr>
              <c:txPr>
                <a:bodyPr/>
                <a:lstStyle/>
                <a:p>
                  <a:pPr>
                    <a:defRPr sz="102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24">
                <a:noFill/>
              </a:ln>
            </c:spPr>
            <c:txPr>
              <a:bodyPr wrap="square" lIns="38100" tIns="19050" rIns="38100" bIns="19050" anchor="ctr">
                <a:spAutoFit/>
              </a:bodyPr>
              <a:lstStyle/>
              <a:p>
                <a:pPr>
                  <a:defRPr sz="102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2016</c:v>
                </c:pt>
                <c:pt idx="1">
                  <c:v>Concurs septembrie - decembrie 2016</c:v>
                </c:pt>
              </c:strCache>
            </c:strRef>
          </c:cat>
          <c:val>
            <c:numRef>
              <c:f>Sheet1!$B$3:$C$3</c:f>
              <c:numCache>
                <c:formatCode>General</c:formatCode>
                <c:ptCount val="2"/>
                <c:pt idx="0">
                  <c:v>45</c:v>
                </c:pt>
                <c:pt idx="1">
                  <c:v>54</c:v>
                </c:pt>
              </c:numCache>
            </c:numRef>
          </c:val>
        </c:ser>
        <c:dLbls>
          <c:showLegendKey val="0"/>
          <c:showVal val="0"/>
          <c:showCatName val="0"/>
          <c:showSerName val="0"/>
          <c:showPercent val="0"/>
          <c:showBubbleSize val="0"/>
        </c:dLbls>
        <c:gapWidth val="150"/>
        <c:gapDepth val="0"/>
        <c:shape val="box"/>
        <c:axId val="768419808"/>
        <c:axId val="768419264"/>
        <c:axId val="0"/>
      </c:bar3DChart>
      <c:catAx>
        <c:axId val="768419808"/>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1024" b="1" i="0" u="none" strike="noStrike" baseline="0">
                <a:solidFill>
                  <a:srgbClr val="000000"/>
                </a:solidFill>
                <a:latin typeface="Times New Roman"/>
                <a:ea typeface="Times New Roman"/>
                <a:cs typeface="Times New Roman"/>
              </a:defRPr>
            </a:pPr>
            <a:endParaRPr lang="en-US"/>
          </a:p>
        </c:txPr>
        <c:crossAx val="768419264"/>
        <c:crosses val="autoZero"/>
        <c:auto val="1"/>
        <c:lblAlgn val="ctr"/>
        <c:lblOffset val="100"/>
        <c:tickLblSkip val="1"/>
        <c:tickMarkSkip val="1"/>
        <c:noMultiLvlLbl val="0"/>
      </c:catAx>
      <c:valAx>
        <c:axId val="768419264"/>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1024" b="1" i="0" u="none" strike="noStrike" baseline="0">
                <a:solidFill>
                  <a:srgbClr val="000000"/>
                </a:solidFill>
                <a:latin typeface="Times New Roman"/>
                <a:ea typeface="Times New Roman"/>
                <a:cs typeface="Times New Roman"/>
              </a:defRPr>
            </a:pPr>
            <a:endParaRPr lang="en-US"/>
          </a:p>
        </c:txPr>
        <c:crossAx val="768419808"/>
        <c:crosses val="autoZero"/>
        <c:crossBetween val="between"/>
      </c:valAx>
      <c:spPr>
        <a:noFill/>
        <a:ln w="25380">
          <a:noFill/>
        </a:ln>
      </c:spPr>
    </c:plotArea>
    <c:legend>
      <c:legendPos val="r"/>
      <c:layout>
        <c:manualLayout>
          <c:xMode val="edge"/>
          <c:yMode val="edge"/>
          <c:x val="0.20134231197718988"/>
          <c:y val="0.92307700448734231"/>
          <c:w val="0.45637592288374018"/>
          <c:h val="6.3545282646120804E-2"/>
        </c:manualLayout>
      </c:layout>
      <c:overlay val="0"/>
      <c:spPr>
        <a:noFill/>
        <a:ln w="3165">
          <a:solidFill>
            <a:srgbClr val="000000"/>
          </a:solidFill>
          <a:prstDash val="solid"/>
        </a:ln>
      </c:spPr>
      <c:txPr>
        <a:bodyPr/>
        <a:lstStyle/>
        <a:p>
          <a:pPr>
            <a:defRPr sz="732"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9"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708165997322627E-3"/>
          <c:y val="5.0938337801608571E-2"/>
          <c:w val="0.90093708165997333"/>
          <c:h val="0.79356568364611269"/>
        </c:manualLayout>
      </c:layout>
      <c:barChart>
        <c:barDir val="col"/>
        <c:grouping val="clustered"/>
        <c:varyColors val="0"/>
        <c:ser>
          <c:idx val="0"/>
          <c:order val="0"/>
          <c:tx>
            <c:strRef>
              <c:f>Sheet1!$A$2</c:f>
              <c:strCache>
                <c:ptCount val="1"/>
                <c:pt idx="0">
                  <c:v>2012</c:v>
                </c:pt>
              </c:strCache>
            </c:strRef>
          </c:tx>
          <c:spPr>
            <a:solidFill>
              <a:srgbClr val="9999FF"/>
            </a:solidFill>
            <a:ln w="12679">
              <a:solidFill>
                <a:srgbClr val="000000"/>
              </a:solidFill>
              <a:prstDash val="solid"/>
            </a:ln>
          </c:spPr>
          <c:invertIfNegative val="0"/>
          <c:dLbls>
            <c:dLbl>
              <c:idx val="0"/>
              <c:layout>
                <c:manualLayout>
                  <c:x val="-1.8666654461470672E-3"/>
                  <c:y val="-3.9127169093913367E-3"/>
                </c:manualLayout>
              </c:layout>
              <c:spPr>
                <a:noFill/>
                <a:ln w="25359">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8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5"/>
                <c:pt idx="0">
                  <c:v>sub 5.000 cauze</c:v>
                </c:pt>
                <c:pt idx="1">
                  <c:v>intre 5.000 - 30.000</c:v>
                </c:pt>
                <c:pt idx="2">
                  <c:v>intre 30.000- 50.000</c:v>
                </c:pt>
                <c:pt idx="3">
                  <c:v> intre 50.000- 100.000</c:v>
                </c:pt>
                <c:pt idx="4">
                  <c:v>peste 100.000</c:v>
                </c:pt>
              </c:strCache>
            </c:strRef>
          </c:cat>
          <c:val>
            <c:numRef>
              <c:f>Sheet1!$B$2:$G$2</c:f>
              <c:numCache>
                <c:formatCode>General</c:formatCode>
                <c:ptCount val="6"/>
                <c:pt idx="0">
                  <c:v>91</c:v>
                </c:pt>
                <c:pt idx="1">
                  <c:v>68</c:v>
                </c:pt>
                <c:pt idx="2">
                  <c:v>11</c:v>
                </c:pt>
                <c:pt idx="3">
                  <c:v>6</c:v>
                </c:pt>
                <c:pt idx="4">
                  <c:v>0</c:v>
                </c:pt>
              </c:numCache>
            </c:numRef>
          </c:val>
        </c:ser>
        <c:ser>
          <c:idx val="1"/>
          <c:order val="1"/>
          <c:tx>
            <c:strRef>
              <c:f>Sheet1!$A$3</c:f>
              <c:strCache>
                <c:ptCount val="1"/>
                <c:pt idx="0">
                  <c:v>2013</c:v>
                </c:pt>
              </c:strCache>
            </c:strRef>
          </c:tx>
          <c:spPr>
            <a:solidFill>
              <a:srgbClr val="993366"/>
            </a:solidFill>
            <a:ln w="12679">
              <a:solidFill>
                <a:srgbClr val="000000"/>
              </a:solidFill>
              <a:prstDash val="solid"/>
            </a:ln>
          </c:spPr>
          <c:invertIfNegative val="0"/>
          <c:dLbls>
            <c:dLbl>
              <c:idx val="0"/>
              <c:layout>
                <c:manualLayout>
                  <c:x val="-9.3680843001790748E-4"/>
                  <c:y val="6.4895169090431262E-3"/>
                </c:manualLayout>
              </c:layout>
              <c:spPr>
                <a:noFill/>
                <a:ln w="25359">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8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5"/>
                <c:pt idx="0">
                  <c:v>sub 5.000 cauze</c:v>
                </c:pt>
                <c:pt idx="1">
                  <c:v>intre 5.000 - 30.000</c:v>
                </c:pt>
                <c:pt idx="2">
                  <c:v>intre 30.000- 50.000</c:v>
                </c:pt>
                <c:pt idx="3">
                  <c:v> intre 50.000- 100.000</c:v>
                </c:pt>
                <c:pt idx="4">
                  <c:v>peste 100.000</c:v>
                </c:pt>
              </c:strCache>
            </c:strRef>
          </c:cat>
          <c:val>
            <c:numRef>
              <c:f>Sheet1!$B$3:$G$3</c:f>
              <c:numCache>
                <c:formatCode>General</c:formatCode>
                <c:ptCount val="6"/>
                <c:pt idx="0">
                  <c:v>94</c:v>
                </c:pt>
                <c:pt idx="1">
                  <c:v>65</c:v>
                </c:pt>
                <c:pt idx="2">
                  <c:v>10</c:v>
                </c:pt>
                <c:pt idx="3">
                  <c:v>7</c:v>
                </c:pt>
                <c:pt idx="4">
                  <c:v>0</c:v>
                </c:pt>
              </c:numCache>
            </c:numRef>
          </c:val>
        </c:ser>
        <c:ser>
          <c:idx val="2"/>
          <c:order val="2"/>
          <c:tx>
            <c:strRef>
              <c:f>Sheet1!$A$4</c:f>
              <c:strCache>
                <c:ptCount val="1"/>
                <c:pt idx="0">
                  <c:v>2014</c:v>
                </c:pt>
              </c:strCache>
            </c:strRef>
          </c:tx>
          <c:spPr>
            <a:solidFill>
              <a:srgbClr val="FFFFCC"/>
            </a:solidFill>
            <a:ln w="12679">
              <a:solidFill>
                <a:srgbClr val="000000"/>
              </a:solidFill>
              <a:prstDash val="solid"/>
            </a:ln>
          </c:spPr>
          <c:invertIfNegative val="0"/>
          <c:dLbls>
            <c:dLbl>
              <c:idx val="1"/>
              <c:layout>
                <c:manualLayout>
                  <c:x val="-6.5683926478118937E-4"/>
                  <c:y val="2.736058701943378E-3"/>
                </c:manualLayout>
              </c:layout>
              <c:spPr>
                <a:noFill/>
                <a:ln w="25359">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1.2823756692746935E-3"/>
                  <c:y val="2.6954011694346747E-4"/>
                </c:manualLayout>
              </c:layout>
              <c:spPr>
                <a:noFill/>
                <a:ln w="25359">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8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5"/>
                <c:pt idx="0">
                  <c:v>sub 5.000 cauze</c:v>
                </c:pt>
                <c:pt idx="1">
                  <c:v>intre 5.000 - 30.000</c:v>
                </c:pt>
                <c:pt idx="2">
                  <c:v>intre 30.000- 50.000</c:v>
                </c:pt>
                <c:pt idx="3">
                  <c:v> intre 50.000- 100.000</c:v>
                </c:pt>
                <c:pt idx="4">
                  <c:v>peste 100.000</c:v>
                </c:pt>
              </c:strCache>
            </c:strRef>
          </c:cat>
          <c:val>
            <c:numRef>
              <c:f>Sheet1!$B$4:$G$4</c:f>
              <c:numCache>
                <c:formatCode>General</c:formatCode>
                <c:ptCount val="6"/>
                <c:pt idx="0">
                  <c:v>76</c:v>
                </c:pt>
                <c:pt idx="1">
                  <c:v>79</c:v>
                </c:pt>
                <c:pt idx="2">
                  <c:v>11</c:v>
                </c:pt>
                <c:pt idx="3">
                  <c:v>8</c:v>
                </c:pt>
                <c:pt idx="4">
                  <c:v>2</c:v>
                </c:pt>
              </c:numCache>
            </c:numRef>
          </c:val>
        </c:ser>
        <c:ser>
          <c:idx val="5"/>
          <c:order val="3"/>
          <c:tx>
            <c:strRef>
              <c:f>Sheet1!$A$5</c:f>
              <c:strCache>
                <c:ptCount val="1"/>
                <c:pt idx="0">
                  <c:v>2015</c:v>
                </c:pt>
              </c:strCache>
            </c:strRef>
          </c:tx>
          <c:spPr>
            <a:solidFill>
              <a:srgbClr val="FF8080"/>
            </a:solidFill>
            <a:ln w="12679">
              <a:solidFill>
                <a:srgbClr val="000000"/>
              </a:solidFill>
              <a:prstDash val="solid"/>
            </a:ln>
          </c:spPr>
          <c:invertIfNegative val="0"/>
          <c:dLbls>
            <c:dLbl>
              <c:idx val="0"/>
              <c:layout>
                <c:manualLayout>
                  <c:x val="9.2273292645647653E-4"/>
                  <c:y val="1.5565350529464644E-3"/>
                </c:manualLayout>
              </c:layout>
              <c:spPr>
                <a:noFill/>
                <a:ln w="25359">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5.6277700940521869E-3"/>
                  <c:y val="1.1272955360555614E-3"/>
                </c:manualLayout>
              </c:layout>
              <c:spPr>
                <a:noFill/>
                <a:ln w="25359">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5232597748363608E-3"/>
                  <c:y val="2.6285402621015752E-3"/>
                </c:manualLayout>
              </c:layout>
              <c:spPr>
                <a:noFill/>
                <a:ln w="25359">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1.8038315716242259E-3"/>
                  <c:y val="-4.9854067414482062E-3"/>
                </c:manualLayout>
              </c:layout>
              <c:spPr>
                <a:noFill/>
                <a:ln w="25359">
                  <a:noFill/>
                </a:ln>
              </c:spPr>
              <c:txPr>
                <a:bodyPr/>
                <a:lstStyle/>
                <a:p>
                  <a:pPr>
                    <a:defRPr sz="899"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8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5"/>
                <c:pt idx="0">
                  <c:v>sub 5.000 cauze</c:v>
                </c:pt>
                <c:pt idx="1">
                  <c:v>intre 5.000 - 30.000</c:v>
                </c:pt>
                <c:pt idx="2">
                  <c:v>intre 30.000- 50.000</c:v>
                </c:pt>
                <c:pt idx="3">
                  <c:v> intre 50.000- 100.000</c:v>
                </c:pt>
                <c:pt idx="4">
                  <c:v>peste 100.000</c:v>
                </c:pt>
              </c:strCache>
            </c:strRef>
          </c:cat>
          <c:val>
            <c:numRef>
              <c:f>Sheet1!$B$5:$G$5</c:f>
              <c:numCache>
                <c:formatCode>General</c:formatCode>
                <c:ptCount val="6"/>
                <c:pt idx="0">
                  <c:v>90</c:v>
                </c:pt>
                <c:pt idx="1">
                  <c:v>69</c:v>
                </c:pt>
                <c:pt idx="2">
                  <c:v>11</c:v>
                </c:pt>
                <c:pt idx="3">
                  <c:v>5</c:v>
                </c:pt>
                <c:pt idx="4">
                  <c:v>1</c:v>
                </c:pt>
              </c:numCache>
            </c:numRef>
          </c:val>
        </c:ser>
        <c:ser>
          <c:idx val="3"/>
          <c:order val="4"/>
          <c:tx>
            <c:strRef>
              <c:f>Sheet1!$A$6</c:f>
              <c:strCache>
                <c:ptCount val="1"/>
                <c:pt idx="0">
                  <c:v>2016</c:v>
                </c:pt>
              </c:strCache>
            </c:strRef>
          </c:tx>
          <c:spPr>
            <a:solidFill>
              <a:srgbClr val="CCFFFF"/>
            </a:solidFill>
            <a:ln w="12679">
              <a:solidFill>
                <a:srgbClr val="000000"/>
              </a:solidFill>
              <a:prstDash val="solid"/>
            </a:ln>
          </c:spPr>
          <c:invertIfNegative val="0"/>
          <c:dLbls>
            <c:spPr>
              <a:noFill/>
              <a:ln w="25359">
                <a:noFill/>
              </a:ln>
            </c:spPr>
            <c:txPr>
              <a:bodyPr wrap="square" lIns="38100" tIns="19050" rIns="38100" bIns="19050" anchor="ctr">
                <a:spAutoFit/>
              </a:bodyPr>
              <a:lstStyle/>
              <a:p>
                <a:pPr>
                  <a:defRPr sz="8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5"/>
                <c:pt idx="0">
                  <c:v>sub 5.000 cauze</c:v>
                </c:pt>
                <c:pt idx="1">
                  <c:v>intre 5.000 - 30.000</c:v>
                </c:pt>
                <c:pt idx="2">
                  <c:v>intre 30.000- 50.000</c:v>
                </c:pt>
                <c:pt idx="3">
                  <c:v> intre 50.000- 100.000</c:v>
                </c:pt>
                <c:pt idx="4">
                  <c:v>peste 100.000</c:v>
                </c:pt>
              </c:strCache>
            </c:strRef>
          </c:cat>
          <c:val>
            <c:numRef>
              <c:f>Sheet1!$B$6:$G$6</c:f>
              <c:numCache>
                <c:formatCode>General</c:formatCode>
                <c:ptCount val="6"/>
                <c:pt idx="0">
                  <c:v>79</c:v>
                </c:pt>
                <c:pt idx="1">
                  <c:v>78</c:v>
                </c:pt>
                <c:pt idx="2">
                  <c:v>13</c:v>
                </c:pt>
                <c:pt idx="3">
                  <c:v>6</c:v>
                </c:pt>
                <c:pt idx="4">
                  <c:v>0</c:v>
                </c:pt>
              </c:numCache>
            </c:numRef>
          </c:val>
        </c:ser>
        <c:dLbls>
          <c:showLegendKey val="0"/>
          <c:showVal val="1"/>
          <c:showCatName val="0"/>
          <c:showSerName val="0"/>
          <c:showPercent val="0"/>
          <c:showBubbleSize val="0"/>
        </c:dLbls>
        <c:gapWidth val="150"/>
        <c:axId val="764205776"/>
        <c:axId val="764206320"/>
      </c:barChart>
      <c:catAx>
        <c:axId val="764205776"/>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899" b="1" i="0" u="none" strike="noStrike" baseline="0">
                <a:solidFill>
                  <a:srgbClr val="000000"/>
                </a:solidFill>
                <a:latin typeface="Arial"/>
                <a:ea typeface="Arial"/>
                <a:cs typeface="Arial"/>
              </a:defRPr>
            </a:pPr>
            <a:endParaRPr lang="en-US"/>
          </a:p>
        </c:txPr>
        <c:crossAx val="764206320"/>
        <c:crosses val="autoZero"/>
        <c:auto val="1"/>
        <c:lblAlgn val="ctr"/>
        <c:lblOffset val="100"/>
        <c:tickLblSkip val="1"/>
        <c:tickMarkSkip val="1"/>
        <c:noMultiLvlLbl val="0"/>
      </c:catAx>
      <c:valAx>
        <c:axId val="764206320"/>
        <c:scaling>
          <c:orientation val="minMax"/>
        </c:scaling>
        <c:delete val="1"/>
        <c:axPos val="l"/>
        <c:numFmt formatCode="General" sourceLinked="1"/>
        <c:majorTickMark val="out"/>
        <c:minorTickMark val="none"/>
        <c:tickLblPos val="nextTo"/>
        <c:crossAx val="764205776"/>
        <c:crosses val="autoZero"/>
        <c:crossBetween val="between"/>
      </c:valAx>
      <c:spPr>
        <a:blipFill dpi="0" rotWithShape="0">
          <a:blip xmlns:r="http://schemas.openxmlformats.org/officeDocument/2006/relationships" r:embed="rId1"/>
          <a:srcRect/>
          <a:tile tx="0" ty="0" sx="100000" sy="100000" flip="none" algn="tl"/>
        </a:blipFill>
        <a:ln w="12679">
          <a:solidFill>
            <a:srgbClr val="808080"/>
          </a:solidFill>
          <a:prstDash val="solid"/>
        </a:ln>
      </c:spPr>
    </c:plotArea>
    <c:legend>
      <c:legendPos val="r"/>
      <c:layout>
        <c:manualLayout>
          <c:xMode val="edge"/>
          <c:yMode val="edge"/>
          <c:x val="0.92637215528781791"/>
          <c:y val="5.8981233243967819E-2"/>
          <c:w val="7.3627844712182061E-2"/>
          <c:h val="0.31099195710455763"/>
        </c:manualLayout>
      </c:layout>
      <c:overlay val="0"/>
      <c:spPr>
        <a:noFill/>
        <a:ln w="3170">
          <a:solidFill>
            <a:srgbClr val="000000"/>
          </a:solidFill>
          <a:prstDash val="solid"/>
        </a:ln>
      </c:spPr>
      <c:txPr>
        <a:bodyPr/>
        <a:lstStyle/>
        <a:p>
          <a:pPr>
            <a:defRPr sz="824"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899" b="1" i="0" u="none" strike="noStrike" baseline="0">
          <a:solidFill>
            <a:srgbClr val="000000"/>
          </a:solidFill>
          <a:latin typeface="Arial"/>
          <a:ea typeface="Arial"/>
          <a:cs typeface="Arial"/>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Times New Roman"/>
                <a:ea typeface="Times New Roman"/>
                <a:cs typeface="Times New Roman"/>
              </a:defRPr>
            </a:pPr>
            <a:r>
              <a:rPr lang="ro-RO"/>
              <a:t>Gradul de ocupare a posturilor de judecător, ca urmare a concursului de promovare efectivă în funcţii de execuţie</a:t>
            </a:r>
          </a:p>
        </c:rich>
      </c:tx>
      <c:layout>
        <c:manualLayout>
          <c:xMode val="edge"/>
          <c:yMode val="edge"/>
          <c:x val="0.1088296211737948"/>
          <c:y val="1.968503937007874E-2"/>
        </c:manualLayout>
      </c:layout>
      <c:overlay val="0"/>
      <c:spPr>
        <a:noFill/>
        <a:ln w="25367">
          <a:noFill/>
        </a:ln>
      </c:spPr>
    </c:title>
    <c:autoTitleDeleted val="0"/>
    <c:plotArea>
      <c:layout>
        <c:manualLayout>
          <c:layoutTarget val="inner"/>
          <c:xMode val="edge"/>
          <c:yMode val="edge"/>
          <c:x val="8.4188911704312114E-2"/>
          <c:y val="0.3346456692913386"/>
          <c:w val="0.55030800821355241"/>
          <c:h val="0.48031496062992124"/>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84">
              <a:solidFill>
                <a:srgbClr val="000000"/>
              </a:solidFill>
              <a:prstDash val="solid"/>
            </a:ln>
          </c:spPr>
          <c:invertIfNegative val="0"/>
          <c:dLbls>
            <c:spPr>
              <a:noFill/>
              <a:ln w="25367">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Sheet1!$B$2:$C$2</c:f>
              <c:numCache>
                <c:formatCode>General</c:formatCode>
                <c:ptCount val="2"/>
                <c:pt idx="0">
                  <c:v>23</c:v>
                </c:pt>
                <c:pt idx="1">
                  <c:v>58</c:v>
                </c:pt>
              </c:numCache>
            </c:numRef>
          </c:val>
        </c:ser>
        <c:ser>
          <c:idx val="1"/>
          <c:order val="1"/>
          <c:tx>
            <c:strRef>
              <c:f>Sheet1!$A$3</c:f>
              <c:strCache>
                <c:ptCount val="1"/>
                <c:pt idx="0">
                  <c:v>posturi ocupate ca urmare a concursului</c:v>
                </c:pt>
              </c:strCache>
            </c:strRef>
          </c:tx>
          <c:spPr>
            <a:solidFill>
              <a:srgbClr val="00FFFF"/>
            </a:solidFill>
            <a:ln w="12684">
              <a:solidFill>
                <a:srgbClr val="000000"/>
              </a:solidFill>
              <a:prstDash val="solid"/>
            </a:ln>
          </c:spPr>
          <c:invertIfNegative val="0"/>
          <c:dLbls>
            <c:spPr>
              <a:noFill/>
              <a:ln w="25367">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Sheet1!$B$3:$C$3</c:f>
              <c:numCache>
                <c:formatCode>General</c:formatCode>
                <c:ptCount val="2"/>
                <c:pt idx="0">
                  <c:v>23</c:v>
                </c:pt>
                <c:pt idx="1">
                  <c:v>57</c:v>
                </c:pt>
              </c:numCache>
            </c:numRef>
          </c:val>
        </c:ser>
        <c:ser>
          <c:idx val="2"/>
          <c:order val="2"/>
          <c:tx>
            <c:strRef>
              <c:f>Sheet1!$A$4</c:f>
              <c:strCache>
                <c:ptCount val="1"/>
                <c:pt idx="0">
                  <c:v>posturi ocupate prin valorificare</c:v>
                </c:pt>
              </c:strCache>
            </c:strRef>
          </c:tx>
          <c:spPr>
            <a:solidFill>
              <a:srgbClr val="FFFFCC"/>
            </a:solidFill>
            <a:ln w="12684">
              <a:solidFill>
                <a:srgbClr val="000000"/>
              </a:solidFill>
              <a:prstDash val="solid"/>
            </a:ln>
          </c:spPr>
          <c:invertIfNegative val="0"/>
          <c:dLbls>
            <c:spPr>
              <a:noFill/>
              <a:ln w="25367">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Sheet1!$B$4:$C$4</c:f>
              <c:numCache>
                <c:formatCode>General</c:formatCode>
                <c:ptCount val="2"/>
                <c:pt idx="0">
                  <c:v>10</c:v>
                </c:pt>
                <c:pt idx="1">
                  <c:v>20</c:v>
                </c:pt>
              </c:numCache>
            </c:numRef>
          </c:val>
        </c:ser>
        <c:dLbls>
          <c:showLegendKey val="0"/>
          <c:showVal val="0"/>
          <c:showCatName val="0"/>
          <c:showSerName val="0"/>
          <c:showPercent val="0"/>
          <c:showBubbleSize val="0"/>
        </c:dLbls>
        <c:gapWidth val="150"/>
        <c:axId val="768415456"/>
        <c:axId val="768416000"/>
      </c:barChart>
      <c:catAx>
        <c:axId val="768415456"/>
        <c:scaling>
          <c:orientation val="minMax"/>
        </c:scaling>
        <c:delete val="0"/>
        <c:axPos val="b"/>
        <c:numFmt formatCode="General" sourceLinked="1"/>
        <c:majorTickMark val="out"/>
        <c:minorTickMark val="none"/>
        <c:tickLblPos val="nextTo"/>
        <c:spPr>
          <a:ln w="3171">
            <a:solidFill>
              <a:srgbClr val="000000"/>
            </a:solidFill>
            <a:prstDash val="solid"/>
          </a:ln>
        </c:spPr>
        <c:txPr>
          <a:bodyPr rot="0" vert="horz"/>
          <a:lstStyle/>
          <a:p>
            <a:pPr>
              <a:defRPr sz="1124" b="1" i="0" u="none" strike="noStrike" baseline="0">
                <a:solidFill>
                  <a:srgbClr val="000000"/>
                </a:solidFill>
                <a:latin typeface="Arial"/>
                <a:ea typeface="Arial"/>
                <a:cs typeface="Arial"/>
              </a:defRPr>
            </a:pPr>
            <a:endParaRPr lang="en-US"/>
          </a:p>
        </c:txPr>
        <c:crossAx val="768416000"/>
        <c:crosses val="autoZero"/>
        <c:auto val="1"/>
        <c:lblAlgn val="ctr"/>
        <c:lblOffset val="100"/>
        <c:tickLblSkip val="1"/>
        <c:tickMarkSkip val="1"/>
        <c:noMultiLvlLbl val="0"/>
      </c:catAx>
      <c:valAx>
        <c:axId val="768416000"/>
        <c:scaling>
          <c:orientation val="minMax"/>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1124" b="1" i="0" u="none" strike="noStrike" baseline="0">
                <a:solidFill>
                  <a:srgbClr val="000000"/>
                </a:solidFill>
                <a:latin typeface="Arial"/>
                <a:ea typeface="Arial"/>
                <a:cs typeface="Arial"/>
              </a:defRPr>
            </a:pPr>
            <a:endParaRPr lang="en-US"/>
          </a:p>
        </c:txPr>
        <c:crossAx val="768415456"/>
        <c:crosses val="autoZero"/>
        <c:crossBetween val="between"/>
      </c:valAx>
      <c:spPr>
        <a:solidFill>
          <a:srgbClr val="C0C0C0"/>
        </a:solidFill>
        <a:ln w="12684">
          <a:solidFill>
            <a:srgbClr val="808080"/>
          </a:solidFill>
          <a:prstDash val="solid"/>
        </a:ln>
      </c:spPr>
    </c:plotArea>
    <c:legend>
      <c:legendPos val="r"/>
      <c:layout>
        <c:manualLayout>
          <c:xMode val="edge"/>
          <c:yMode val="edge"/>
          <c:x val="0.65503076530590187"/>
          <c:y val="0.37401574803149612"/>
          <c:w val="0.33675556823930786"/>
          <c:h val="0.39370078740157471"/>
        </c:manualLayout>
      </c:layout>
      <c:overlay val="0"/>
      <c:spPr>
        <a:noFill/>
        <a:ln w="3171">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4" b="1" i="0" u="none" strike="noStrike" baseline="0">
          <a:solidFill>
            <a:srgbClr val="000000"/>
          </a:solidFill>
          <a:latin typeface="Arial"/>
          <a:ea typeface="Arial"/>
          <a:cs typeface="Arial"/>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1" b="1" i="0" u="none" strike="noStrike" baseline="0">
                <a:solidFill>
                  <a:srgbClr val="000000"/>
                </a:solidFill>
                <a:latin typeface="Times New Roman"/>
                <a:ea typeface="Times New Roman"/>
                <a:cs typeface="Times New Roman"/>
              </a:defRPr>
            </a:pPr>
            <a:r>
              <a:rPr lang="ro-RO"/>
              <a:t>Gradul</a:t>
            </a:r>
            <a:r>
              <a:rPr lang="ro-RO" baseline="0"/>
              <a:t> de ocupare a</a:t>
            </a:r>
            <a:r>
              <a:rPr lang="en-US"/>
              <a:t> posturilor de judecător ca urmare a concursului de promovare pe loc</a:t>
            </a:r>
          </a:p>
        </c:rich>
      </c:tx>
      <c:layout>
        <c:manualLayout>
          <c:xMode val="edge"/>
          <c:yMode val="edge"/>
          <c:x val="9.8012367098180522E-2"/>
          <c:y val="8.5313194023823952E-2"/>
        </c:manualLayout>
      </c:layout>
      <c:overlay val="0"/>
      <c:spPr>
        <a:noFill/>
        <a:ln w="25316">
          <a:noFill/>
        </a:ln>
      </c:spPr>
    </c:title>
    <c:autoTitleDeleted val="0"/>
    <c:plotArea>
      <c:layout>
        <c:manualLayout>
          <c:layoutTarget val="inner"/>
          <c:xMode val="edge"/>
          <c:yMode val="edge"/>
          <c:x val="0.10061601642710473"/>
          <c:y val="0.42125984251968501"/>
          <c:w val="0.53182751540041073"/>
          <c:h val="0.48818897637795278"/>
        </c:manualLayout>
      </c:layout>
      <c:barChart>
        <c:barDir val="col"/>
        <c:grouping val="clustered"/>
        <c:varyColors val="0"/>
        <c:ser>
          <c:idx val="0"/>
          <c:order val="0"/>
          <c:tx>
            <c:strRef>
              <c:f>Sheet1!$A$2</c:f>
              <c:strCache>
                <c:ptCount val="1"/>
                <c:pt idx="0">
                  <c:v>posturi scoase la concurs la curţi de apel</c:v>
                </c:pt>
              </c:strCache>
            </c:strRef>
          </c:tx>
          <c:spPr>
            <a:solidFill>
              <a:srgbClr val="FF00FF"/>
            </a:solidFill>
            <a:ln w="12658">
              <a:solidFill>
                <a:srgbClr val="000000"/>
              </a:solidFill>
              <a:prstDash val="solid"/>
            </a:ln>
          </c:spPr>
          <c:invertIfNegative val="0"/>
          <c:dLbls>
            <c:spPr>
              <a:noFill/>
              <a:ln w="25316">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General</c:formatCode>
                <c:ptCount val="1"/>
                <c:pt idx="0">
                  <c:v>50</c:v>
                </c:pt>
              </c:numCache>
            </c:numRef>
          </c:val>
        </c:ser>
        <c:ser>
          <c:idx val="1"/>
          <c:order val="1"/>
          <c:tx>
            <c:strRef>
              <c:f>Sheet1!$A$3</c:f>
              <c:strCache>
                <c:ptCount val="1"/>
                <c:pt idx="0">
                  <c:v>posturi ocupate la curţi de apel</c:v>
                </c:pt>
              </c:strCache>
            </c:strRef>
          </c:tx>
          <c:spPr>
            <a:solidFill>
              <a:srgbClr val="00FFFF"/>
            </a:solidFill>
            <a:ln w="12658">
              <a:solidFill>
                <a:srgbClr val="000000"/>
              </a:solidFill>
              <a:prstDash val="solid"/>
            </a:ln>
          </c:spPr>
          <c:invertIfNegative val="0"/>
          <c:dLbls>
            <c:spPr>
              <a:noFill/>
              <a:ln w="25316">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Sheet1!$B$3:$C$3</c:f>
              <c:numCache>
                <c:formatCode>General</c:formatCode>
                <c:ptCount val="1"/>
                <c:pt idx="0">
                  <c:v>52</c:v>
                </c:pt>
              </c:numCache>
            </c:numRef>
          </c:val>
        </c:ser>
        <c:ser>
          <c:idx val="2"/>
          <c:order val="2"/>
          <c:tx>
            <c:strRef>
              <c:f>Sheet1!$A$4</c:f>
              <c:strCache>
                <c:ptCount val="1"/>
                <c:pt idx="0">
                  <c:v>posturi scoase la concurs la tribunale</c:v>
                </c:pt>
              </c:strCache>
            </c:strRef>
          </c:tx>
          <c:spPr>
            <a:solidFill>
              <a:srgbClr val="FFFFCC"/>
            </a:solidFill>
            <a:ln w="12658">
              <a:solidFill>
                <a:srgbClr val="000000"/>
              </a:solidFill>
              <a:prstDash val="solid"/>
            </a:ln>
          </c:spPr>
          <c:invertIfNegative val="0"/>
          <c:dLbls>
            <c:spPr>
              <a:noFill/>
              <a:ln w="25316">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General</c:formatCode>
                <c:ptCount val="1"/>
                <c:pt idx="0">
                  <c:v>100</c:v>
                </c:pt>
              </c:numCache>
            </c:numRef>
          </c:val>
        </c:ser>
        <c:ser>
          <c:idx val="3"/>
          <c:order val="3"/>
          <c:tx>
            <c:strRef>
              <c:f>Sheet1!$A$5</c:f>
              <c:strCache>
                <c:ptCount val="1"/>
                <c:pt idx="0">
                  <c:v>posturi ocupate la tribunale</c:v>
                </c:pt>
              </c:strCache>
            </c:strRef>
          </c:tx>
          <c:spPr>
            <a:solidFill>
              <a:srgbClr val="CCFFFF"/>
            </a:solidFill>
            <a:ln w="12658">
              <a:solidFill>
                <a:srgbClr val="000000"/>
              </a:solidFill>
              <a:prstDash val="solid"/>
            </a:ln>
          </c:spPr>
          <c:invertIfNegative val="0"/>
          <c:dLbls>
            <c:spPr>
              <a:noFill/>
              <a:ln w="25316">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General</c:formatCode>
                <c:ptCount val="1"/>
                <c:pt idx="0">
                  <c:v>108</c:v>
                </c:pt>
              </c:numCache>
            </c:numRef>
          </c:val>
        </c:ser>
        <c:dLbls>
          <c:showLegendKey val="0"/>
          <c:showVal val="0"/>
          <c:showCatName val="0"/>
          <c:showSerName val="0"/>
          <c:showPercent val="0"/>
          <c:showBubbleSize val="0"/>
        </c:dLbls>
        <c:gapWidth val="150"/>
        <c:axId val="768420352"/>
        <c:axId val="768420896"/>
      </c:barChart>
      <c:catAx>
        <c:axId val="768420352"/>
        <c:scaling>
          <c:orientation val="minMax"/>
        </c:scaling>
        <c:delete val="0"/>
        <c:axPos val="b"/>
        <c:numFmt formatCode="General" sourceLinked="1"/>
        <c:majorTickMark val="out"/>
        <c:minorTickMark val="none"/>
        <c:tickLblPos val="nextTo"/>
        <c:spPr>
          <a:ln w="3165">
            <a:solidFill>
              <a:srgbClr val="000000"/>
            </a:solidFill>
            <a:prstDash val="solid"/>
          </a:ln>
        </c:spPr>
        <c:txPr>
          <a:bodyPr rot="0" vert="horz"/>
          <a:lstStyle/>
          <a:p>
            <a:pPr>
              <a:defRPr sz="999" b="1" i="0" u="none" strike="noStrike" baseline="0">
                <a:solidFill>
                  <a:srgbClr val="000000"/>
                </a:solidFill>
                <a:latin typeface="Arial"/>
                <a:ea typeface="Arial"/>
                <a:cs typeface="Arial"/>
              </a:defRPr>
            </a:pPr>
            <a:endParaRPr lang="en-US"/>
          </a:p>
        </c:txPr>
        <c:crossAx val="768420896"/>
        <c:crosses val="autoZero"/>
        <c:auto val="1"/>
        <c:lblAlgn val="ctr"/>
        <c:lblOffset val="100"/>
        <c:tickLblSkip val="1"/>
        <c:tickMarkSkip val="1"/>
        <c:noMultiLvlLbl val="0"/>
      </c:catAx>
      <c:valAx>
        <c:axId val="768420896"/>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1124" b="1" i="0" u="none" strike="noStrike" baseline="0">
                <a:solidFill>
                  <a:srgbClr val="000000"/>
                </a:solidFill>
                <a:latin typeface="Arial"/>
                <a:ea typeface="Arial"/>
                <a:cs typeface="Arial"/>
              </a:defRPr>
            </a:pPr>
            <a:endParaRPr lang="en-US"/>
          </a:p>
        </c:txPr>
        <c:crossAx val="768420352"/>
        <c:crosses val="autoZero"/>
        <c:crossBetween val="between"/>
      </c:valAx>
      <c:spPr>
        <a:solidFill>
          <a:srgbClr val="C0C0C0"/>
        </a:solidFill>
        <a:ln w="12658">
          <a:solidFill>
            <a:srgbClr val="808080"/>
          </a:solidFill>
          <a:prstDash val="solid"/>
        </a:ln>
      </c:spPr>
    </c:plotArea>
    <c:legend>
      <c:legendPos val="r"/>
      <c:layout>
        <c:manualLayout>
          <c:xMode val="edge"/>
          <c:yMode val="edge"/>
          <c:x val="0.6529774456159082"/>
          <c:y val="0.50393700787401585"/>
          <c:w val="0.33675563859602298"/>
          <c:h val="0.38188976377952766"/>
        </c:manualLayout>
      </c:layout>
      <c:overlay val="0"/>
      <c:spPr>
        <a:noFill/>
        <a:ln w="3165">
          <a:solidFill>
            <a:srgbClr val="000000"/>
          </a:solidFill>
          <a:prstDash val="solid"/>
        </a:ln>
      </c:spPr>
      <c:txPr>
        <a:bodyPr/>
        <a:lstStyle/>
        <a:p>
          <a:pPr>
            <a:defRPr sz="733"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4" b="1" i="0" u="none" strike="noStrike" baseline="0">
          <a:solidFill>
            <a:srgbClr val="000000"/>
          </a:solidFill>
          <a:latin typeface="Arial"/>
          <a:ea typeface="Arial"/>
          <a:cs typeface="Arial"/>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1" b="1" i="0" u="none" strike="noStrike" baseline="0">
                <a:solidFill>
                  <a:srgbClr val="000000"/>
                </a:solidFill>
                <a:latin typeface="Times New Roman"/>
                <a:ea typeface="Times New Roman"/>
                <a:cs typeface="Times New Roman"/>
              </a:defRPr>
            </a:pPr>
            <a:r>
              <a:rPr lang="ro-RO"/>
              <a:t>Gradul</a:t>
            </a:r>
            <a:r>
              <a:rPr lang="ro-RO" baseline="0"/>
              <a:t> de ocupare a</a:t>
            </a:r>
            <a:r>
              <a:rPr lang="en-US"/>
              <a:t> posturilor de judecător </a:t>
            </a:r>
            <a:endParaRPr lang="ro-RO"/>
          </a:p>
          <a:p>
            <a:pPr>
              <a:defRPr sz="1171" b="1" i="0" u="none" strike="noStrike" baseline="0">
                <a:solidFill>
                  <a:srgbClr val="000000"/>
                </a:solidFill>
                <a:latin typeface="Times New Roman"/>
                <a:ea typeface="Times New Roman"/>
                <a:cs typeface="Times New Roman"/>
              </a:defRPr>
            </a:pPr>
            <a:r>
              <a:rPr lang="ro-RO"/>
              <a:t>la 1 ianuarie 2017</a:t>
            </a:r>
            <a:endParaRPr lang="en-US">
              <a:solidFill>
                <a:srgbClr val="FF0000"/>
              </a:solidFill>
            </a:endParaRPr>
          </a:p>
        </c:rich>
      </c:tx>
      <c:layout>
        <c:manualLayout>
          <c:xMode val="edge"/>
          <c:yMode val="edge"/>
          <c:x val="0.21408560530239995"/>
          <c:y val="2.1217862896820892E-2"/>
        </c:manualLayout>
      </c:layout>
      <c:overlay val="0"/>
      <c:spPr>
        <a:noFill/>
        <a:ln w="25327">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39"/>
          <c:w val="0.67012088155001925"/>
          <c:h val="0.64655423819149038"/>
        </c:manualLayout>
      </c:layout>
      <c:bar3DChart>
        <c:barDir val="col"/>
        <c:grouping val="clustered"/>
        <c:varyColors val="0"/>
        <c:ser>
          <c:idx val="0"/>
          <c:order val="0"/>
          <c:tx>
            <c:strRef>
              <c:f>Sheet1!$A$2</c:f>
              <c:strCache>
                <c:ptCount val="1"/>
                <c:pt idx="0">
                  <c:v>ÎCCJ</c:v>
                </c:pt>
              </c:strCache>
            </c:strRef>
          </c:tx>
          <c:spPr>
            <a:solidFill>
              <a:srgbClr val="9999FF"/>
            </a:solidFill>
            <a:ln w="12664">
              <a:solidFill>
                <a:srgbClr val="000000"/>
              </a:solidFill>
              <a:prstDash val="solid"/>
            </a:ln>
          </c:spPr>
          <c:invertIfNegative val="0"/>
          <c:dLbls>
            <c:dLbl>
              <c:idx val="0"/>
              <c:layout>
                <c:manualLayout>
                  <c:x val="1.2490632025980514E-2"/>
                  <c:y val="-5.9976931949250328E-2"/>
                </c:manualLayout>
              </c:layout>
              <c:spPr>
                <a:noFill/>
                <a:ln w="25327">
                  <a:noFill/>
                </a:ln>
              </c:spPr>
              <c:txPr>
                <a:bodyPr/>
                <a:lstStyle/>
                <a:p>
                  <a:pPr>
                    <a:defRPr sz="9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27">
                <a:noFill/>
              </a:ln>
            </c:spPr>
            <c:txPr>
              <a:bodyPr wrap="square" lIns="38100" tIns="19050" rIns="38100" bIns="19050" anchor="ctr">
                <a:spAutoFit/>
              </a:bodyPr>
              <a:lstStyle/>
              <a:p>
                <a:pPr>
                  <a:defRPr sz="9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0.90159999999999996</c:v>
                </c:pt>
              </c:numCache>
            </c:numRef>
          </c:val>
        </c:ser>
        <c:ser>
          <c:idx val="1"/>
          <c:order val="1"/>
          <c:tx>
            <c:strRef>
              <c:f>Sheet1!$A$3</c:f>
              <c:strCache>
                <c:ptCount val="1"/>
                <c:pt idx="0">
                  <c:v>Curti de apel</c:v>
                </c:pt>
              </c:strCache>
            </c:strRef>
          </c:tx>
          <c:spPr>
            <a:solidFill>
              <a:srgbClr val="863A47"/>
            </a:solidFill>
            <a:ln w="12664">
              <a:solidFill>
                <a:srgbClr val="000000"/>
              </a:solidFill>
              <a:prstDash val="solid"/>
            </a:ln>
          </c:spPr>
          <c:invertIfNegative val="0"/>
          <c:dLbls>
            <c:dLbl>
              <c:idx val="0"/>
              <c:layout>
                <c:manualLayout>
                  <c:x val="2.7479390457157086E-2"/>
                  <c:y val="-5.536332179930796E-2"/>
                </c:manualLayout>
              </c:layout>
              <c:spPr>
                <a:noFill/>
                <a:ln w="25327">
                  <a:noFill/>
                </a:ln>
              </c:spPr>
              <c:txPr>
                <a:bodyPr/>
                <a:lstStyle/>
                <a:p>
                  <a:pPr>
                    <a:defRPr sz="9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27">
                <a:noFill/>
              </a:ln>
            </c:spPr>
            <c:txPr>
              <a:bodyPr wrap="square" lIns="38100" tIns="19050" rIns="38100" bIns="19050" anchor="ctr">
                <a:spAutoFit/>
              </a:bodyPr>
              <a:lstStyle/>
              <a:p>
                <a:pPr>
                  <a:defRPr sz="9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Sheet1!$B$3:$C$3</c:f>
              <c:numCache>
                <c:formatCode>0.00%</c:formatCode>
                <c:ptCount val="1"/>
                <c:pt idx="0">
                  <c:v>0.91949999999999998</c:v>
                </c:pt>
              </c:numCache>
            </c:numRef>
          </c:val>
        </c:ser>
        <c:ser>
          <c:idx val="2"/>
          <c:order val="2"/>
          <c:tx>
            <c:strRef>
              <c:f>Sheet1!$A$4</c:f>
              <c:strCache>
                <c:ptCount val="1"/>
                <c:pt idx="0">
                  <c:v>Tribunale</c:v>
                </c:pt>
              </c:strCache>
            </c:strRef>
          </c:tx>
          <c:spPr>
            <a:solidFill>
              <a:srgbClr val="FFFFCC"/>
            </a:solidFill>
            <a:ln w="12664">
              <a:solidFill>
                <a:srgbClr val="000000"/>
              </a:solidFill>
              <a:prstDash val="solid"/>
            </a:ln>
          </c:spPr>
          <c:invertIfNegative val="0"/>
          <c:dLbls>
            <c:dLbl>
              <c:idx val="0"/>
              <c:layout>
                <c:manualLayout>
                  <c:x val="2.4981264051961029E-2"/>
                  <c:y val="-4.1522491349480967E-2"/>
                </c:manualLayout>
              </c:layout>
              <c:spPr>
                <a:noFill/>
                <a:ln w="25327">
                  <a:noFill/>
                </a:ln>
              </c:spPr>
              <c:txPr>
                <a:bodyPr/>
                <a:lstStyle/>
                <a:p>
                  <a:pPr>
                    <a:defRPr sz="9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27">
                <a:noFill/>
              </a:ln>
            </c:spPr>
            <c:txPr>
              <a:bodyPr wrap="square" lIns="38100" tIns="19050" rIns="38100" bIns="19050" anchor="ctr">
                <a:spAutoFit/>
              </a:bodyPr>
              <a:lstStyle/>
              <a:p>
                <a:pPr>
                  <a:defRPr sz="9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0.90400000000000003</c:v>
                </c:pt>
              </c:numCache>
            </c:numRef>
          </c:val>
        </c:ser>
        <c:ser>
          <c:idx val="3"/>
          <c:order val="3"/>
          <c:tx>
            <c:strRef>
              <c:f>Sheet1!$A$5</c:f>
              <c:strCache>
                <c:ptCount val="1"/>
                <c:pt idx="0">
                  <c:v>Judecatorii</c:v>
                </c:pt>
              </c:strCache>
            </c:strRef>
          </c:tx>
          <c:spPr>
            <a:solidFill>
              <a:srgbClr val="CCFFFF"/>
            </a:solidFill>
            <a:ln w="12664">
              <a:solidFill>
                <a:srgbClr val="000000"/>
              </a:solidFill>
              <a:prstDash val="solid"/>
            </a:ln>
          </c:spPr>
          <c:invertIfNegative val="0"/>
          <c:dLbls>
            <c:dLbl>
              <c:idx val="0"/>
              <c:layout>
                <c:manualLayout>
                  <c:x val="3.4973769672745438E-2"/>
                  <c:y val="-4.1522491349480967E-2"/>
                </c:manualLayout>
              </c:layout>
              <c:tx>
                <c:rich>
                  <a:bodyPr/>
                  <a:lstStyle/>
                  <a:p>
                    <a:r>
                      <a:rPr lang="en-US" sz="999"/>
                      <a:t>[]</a:t>
                    </a:r>
                  </a:p>
                </c:rich>
              </c:tx>
              <c:showLegendKey val="0"/>
              <c:showVal val="0"/>
              <c:showCatName val="0"/>
              <c:showSerName val="0"/>
              <c:showPercent val="0"/>
              <c:showBubbleSize val="0"/>
              <c:extLst>
                <c:ext xmlns:c15="http://schemas.microsoft.com/office/drawing/2012/chart" uri="{CE6537A1-D6FC-4f65-9D91-7224C49458BB}"/>
              </c:extLst>
            </c:dLbl>
            <c:spPr>
              <a:noFill/>
              <a:ln w="25327">
                <a:noFill/>
              </a:ln>
            </c:spPr>
            <c:txPr>
              <a:bodyPr wrap="square" lIns="38100" tIns="19050" rIns="38100" bIns="19050" anchor="ctr">
                <a:spAutoFit/>
              </a:bodyPr>
              <a:lstStyle/>
              <a:p>
                <a:pPr>
                  <a:defRPr sz="10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0.85399999999999998</c:v>
                </c:pt>
              </c:numCache>
            </c:numRef>
          </c:val>
        </c:ser>
        <c:dLbls>
          <c:showLegendKey val="0"/>
          <c:showVal val="0"/>
          <c:showCatName val="0"/>
          <c:showSerName val="0"/>
          <c:showPercent val="0"/>
          <c:showBubbleSize val="0"/>
        </c:dLbls>
        <c:gapWidth val="150"/>
        <c:shape val="box"/>
        <c:axId val="769329664"/>
        <c:axId val="769328032"/>
        <c:axId val="0"/>
      </c:bar3DChart>
      <c:catAx>
        <c:axId val="769329664"/>
        <c:scaling>
          <c:orientation val="minMax"/>
        </c:scaling>
        <c:delete val="0"/>
        <c:axPos val="b"/>
        <c:numFmt formatCode="General" sourceLinked="1"/>
        <c:majorTickMark val="out"/>
        <c:minorTickMark val="none"/>
        <c:tickLblPos val="nextTo"/>
        <c:spPr>
          <a:ln w="3166">
            <a:solidFill>
              <a:srgbClr val="000000"/>
            </a:solidFill>
            <a:prstDash val="solid"/>
          </a:ln>
        </c:spPr>
        <c:txPr>
          <a:bodyPr rot="0" vert="horz"/>
          <a:lstStyle/>
          <a:p>
            <a:pPr>
              <a:defRPr sz="999" b="1" i="0" u="none" strike="noStrike" baseline="0">
                <a:solidFill>
                  <a:srgbClr val="000000"/>
                </a:solidFill>
                <a:latin typeface="Arial"/>
                <a:ea typeface="Arial"/>
                <a:cs typeface="Arial"/>
              </a:defRPr>
            </a:pPr>
            <a:endParaRPr lang="en-US"/>
          </a:p>
        </c:txPr>
        <c:crossAx val="769328032"/>
        <c:crosses val="autoZero"/>
        <c:auto val="1"/>
        <c:lblAlgn val="ctr"/>
        <c:lblOffset val="100"/>
        <c:noMultiLvlLbl val="0"/>
      </c:catAx>
      <c:valAx>
        <c:axId val="769328032"/>
        <c:scaling>
          <c:orientation val="minMax"/>
          <c:min val="0"/>
        </c:scaling>
        <c:delete val="0"/>
        <c:axPos val="l"/>
        <c:majorGridlines>
          <c:spPr>
            <a:ln w="3166">
              <a:solidFill>
                <a:srgbClr val="000000"/>
              </a:solidFill>
              <a:prstDash val="solid"/>
            </a:ln>
          </c:spPr>
        </c:majorGridlines>
        <c:numFmt formatCode="0.00%" sourceLinked="0"/>
        <c:majorTickMark val="in"/>
        <c:minorTickMark val="none"/>
        <c:tickLblPos val="nextTo"/>
        <c:spPr>
          <a:ln w="3166">
            <a:solidFill>
              <a:srgbClr val="000000"/>
            </a:solidFill>
            <a:prstDash val="solid"/>
          </a:ln>
        </c:spPr>
        <c:txPr>
          <a:bodyPr rot="0" vert="horz"/>
          <a:lstStyle/>
          <a:p>
            <a:pPr>
              <a:defRPr sz="1124" b="1" i="0" u="none" strike="noStrike" baseline="0">
                <a:solidFill>
                  <a:srgbClr val="000000"/>
                </a:solidFill>
                <a:latin typeface="Arial"/>
                <a:ea typeface="Arial"/>
                <a:cs typeface="Arial"/>
              </a:defRPr>
            </a:pPr>
            <a:endParaRPr lang="en-US"/>
          </a:p>
        </c:txPr>
        <c:crossAx val="769329664"/>
        <c:crosses val="autoZero"/>
        <c:crossBetween val="between"/>
      </c:valAx>
      <c:spPr>
        <a:noFill/>
        <a:ln w="25377">
          <a:noFill/>
        </a:ln>
      </c:spPr>
    </c:plotArea>
    <c:legend>
      <c:legendPos val="r"/>
      <c:layout>
        <c:manualLayout>
          <c:xMode val="edge"/>
          <c:yMode val="edge"/>
          <c:x val="0.82446129915230726"/>
          <c:y val="0.34046306171382756"/>
          <c:w val="0.15613763248966006"/>
          <c:h val="0.2739669609022215"/>
        </c:manualLayout>
      </c:layout>
      <c:overlay val="0"/>
      <c:spPr>
        <a:noFill/>
        <a:ln w="3166">
          <a:solidFill>
            <a:srgbClr val="000000"/>
          </a:solidFill>
          <a:prstDash val="solid"/>
        </a:ln>
      </c:spPr>
      <c:txPr>
        <a:bodyPr/>
        <a:lstStyle/>
        <a:p>
          <a:pPr>
            <a:defRPr sz="799"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4" b="1" i="0" u="none" strike="noStrike" baseline="0">
          <a:solidFill>
            <a:srgbClr val="000000"/>
          </a:solidFill>
          <a:latin typeface="Arial"/>
          <a:ea typeface="Arial"/>
          <a:cs typeface="Arial"/>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4"/>
    </mc:Choice>
    <mc:Fallback>
      <c:style val="24"/>
    </mc:Fallback>
  </mc:AlternateContent>
  <c:clrMapOvr bg1="lt1" tx1="dk1" bg2="lt2" tx2="dk2" accent1="accent1" accent2="accent2" accent3="accent3" accent4="accent4" accent5="accent5" accent6="accent6" hlink="hlink" folHlink="folHlink"/>
  <c:chart>
    <c:title>
      <c:overlay val="0"/>
      <c:spPr>
        <a:noFill/>
        <a:ln w="19767">
          <a:noFill/>
        </a:ln>
      </c:spPr>
    </c:title>
    <c:autoTitleDeleted val="0"/>
    <c:view3D>
      <c:rotX val="10"/>
      <c:rotY val="30"/>
      <c:depthPercent val="100"/>
      <c:rAngAx val="1"/>
    </c:view3D>
    <c:floor>
      <c:thickness val="0"/>
    </c:floor>
    <c:sideWall>
      <c:thickness val="0"/>
    </c:sideWall>
    <c:backWall>
      <c:thickness val="0"/>
    </c:backWall>
    <c:plotArea>
      <c:layout>
        <c:manualLayout>
          <c:layoutTarget val="inner"/>
          <c:xMode val="edge"/>
          <c:yMode val="edge"/>
          <c:x val="8.191126279863481E-2"/>
          <c:y val="0.18151815181518152"/>
          <c:w val="0.78156996587030714"/>
          <c:h val="0.65676567656765672"/>
        </c:manualLayout>
      </c:layout>
      <c:bar3DChart>
        <c:barDir val="col"/>
        <c:grouping val="clustered"/>
        <c:varyColors val="0"/>
        <c:ser>
          <c:idx val="0"/>
          <c:order val="0"/>
          <c:tx>
            <c:strRef>
              <c:f>Sheet1!$B$1</c:f>
              <c:strCache>
                <c:ptCount val="1"/>
                <c:pt idx="0">
                  <c:v>Numar de participari la actiuni de formare</c:v>
                </c:pt>
              </c:strCache>
            </c:strRef>
          </c:tx>
          <c:invertIfNegative val="0"/>
          <c:dPt>
            <c:idx val="0"/>
            <c:invertIfNegative val="0"/>
            <c:bubble3D val="0"/>
            <c:spPr>
              <a:solidFill>
                <a:srgbClr val="7030A0"/>
              </a:solidFill>
            </c:spPr>
          </c:dPt>
          <c:dPt>
            <c:idx val="1"/>
            <c:invertIfNegative val="0"/>
            <c:bubble3D val="0"/>
            <c:spPr>
              <a:solidFill>
                <a:srgbClr val="009900"/>
              </a:solidFill>
            </c:spPr>
          </c:dPt>
          <c:dPt>
            <c:idx val="2"/>
            <c:invertIfNegative val="0"/>
            <c:bubble3D val="0"/>
            <c:spPr>
              <a:solidFill>
                <a:srgbClr val="FF6600"/>
              </a:solidFill>
            </c:spPr>
          </c:dPt>
          <c:dPt>
            <c:idx val="3"/>
            <c:invertIfNegative val="0"/>
            <c:bubble3D val="0"/>
            <c:spPr>
              <a:solidFill>
                <a:srgbClr val="660066"/>
              </a:solidFill>
            </c:spPr>
          </c:dPt>
          <c:dPt>
            <c:idx val="4"/>
            <c:invertIfNegative val="0"/>
            <c:bubble3D val="0"/>
            <c:spPr>
              <a:solidFill>
                <a:schemeClr val="tx2">
                  <a:lumMod val="60000"/>
                  <a:lumOff val="40000"/>
                </a:schemeClr>
              </a:solidFill>
            </c:spPr>
          </c:dPt>
          <c:dPt>
            <c:idx val="5"/>
            <c:invertIfNegative val="0"/>
            <c:bubble3D val="0"/>
            <c:spPr>
              <a:solidFill>
                <a:srgbClr val="FF0000"/>
              </a:solidFill>
            </c:spPr>
          </c:dPt>
          <c:dPt>
            <c:idx val="6"/>
            <c:invertIfNegative val="0"/>
            <c:bubble3D val="0"/>
            <c:spPr>
              <a:solidFill>
                <a:srgbClr val="FF0066"/>
              </a:solidFill>
            </c:spPr>
          </c:dPt>
          <c:dPt>
            <c:idx val="7"/>
            <c:invertIfNegative val="0"/>
            <c:bubble3D val="0"/>
            <c:spPr>
              <a:solidFill>
                <a:srgbClr val="FFC000"/>
              </a:solidFill>
            </c:spPr>
          </c:dPt>
          <c:dLbls>
            <c:dLbl>
              <c:idx val="0"/>
              <c:layout>
                <c:manualLayout>
                  <c:x val="0"/>
                  <c:y val="0.14285714285714296"/>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8148148148147E-3"/>
                  <c:y val="0.2103174603174604"/>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48148148148147E-3"/>
                  <c:y val="0.26984126984126988"/>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3095234970628675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27380952380952389"/>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3148148148148147E-3"/>
                  <c:y val="0.30158698912635939"/>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3148148148148147E-3"/>
                  <c:y val="0.25793650793650796"/>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6.9444444444444441E-3"/>
                  <c:y val="0.18650793650793651"/>
                </c:manualLayout>
              </c:layout>
              <c:showLegendKey val="0"/>
              <c:showVal val="1"/>
              <c:showCatName val="0"/>
              <c:showSerName val="0"/>
              <c:showPercent val="0"/>
              <c:showBubbleSize val="0"/>
              <c:extLst>
                <c:ext xmlns:c15="http://schemas.microsoft.com/office/drawing/2012/chart" uri="{CE6537A1-D6FC-4f65-9D91-7224C49458BB}"/>
              </c:extLst>
            </c:dLbl>
            <c:spPr>
              <a:noFill/>
              <a:ln w="19767">
                <a:noFill/>
              </a:ln>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pt idx="0">
                  <c:v>2009</c:v>
                </c:pt>
                <c:pt idx="1">
                  <c:v>2010</c:v>
                </c:pt>
                <c:pt idx="2">
                  <c:v>2011</c:v>
                </c:pt>
                <c:pt idx="3">
                  <c:v>2012</c:v>
                </c:pt>
                <c:pt idx="4">
                  <c:v>2013</c:v>
                </c:pt>
                <c:pt idx="5">
                  <c:v>2014</c:v>
                </c:pt>
                <c:pt idx="6">
                  <c:v>2015</c:v>
                </c:pt>
                <c:pt idx="7">
                  <c:v>2016</c:v>
                </c:pt>
              </c:numCache>
            </c:numRef>
          </c:cat>
          <c:val>
            <c:numRef>
              <c:f>Sheet1!$B$2:$B$9</c:f>
              <c:numCache>
                <c:formatCode>General</c:formatCode>
                <c:ptCount val="8"/>
                <c:pt idx="0">
                  <c:v>1750</c:v>
                </c:pt>
                <c:pt idx="1">
                  <c:v>3522</c:v>
                </c:pt>
                <c:pt idx="2">
                  <c:v>4779</c:v>
                </c:pt>
                <c:pt idx="3">
                  <c:v>5988</c:v>
                </c:pt>
                <c:pt idx="4">
                  <c:v>6121</c:v>
                </c:pt>
                <c:pt idx="5">
                  <c:v>7274</c:v>
                </c:pt>
                <c:pt idx="6">
                  <c:v>6920</c:v>
                </c:pt>
                <c:pt idx="7">
                  <c:v>5228</c:v>
                </c:pt>
              </c:numCache>
            </c:numRef>
          </c:val>
        </c:ser>
        <c:dLbls>
          <c:showLegendKey val="0"/>
          <c:showVal val="0"/>
          <c:showCatName val="0"/>
          <c:showSerName val="0"/>
          <c:showPercent val="0"/>
          <c:showBubbleSize val="0"/>
        </c:dLbls>
        <c:gapWidth val="150"/>
        <c:shape val="box"/>
        <c:axId val="769328576"/>
        <c:axId val="769326400"/>
        <c:axId val="0"/>
      </c:bar3DChart>
      <c:catAx>
        <c:axId val="769328576"/>
        <c:scaling>
          <c:orientation val="minMax"/>
        </c:scaling>
        <c:delete val="0"/>
        <c:axPos val="b"/>
        <c:numFmt formatCode="General" sourceLinked="1"/>
        <c:majorTickMark val="out"/>
        <c:minorTickMark val="none"/>
        <c:tickLblPos val="nextTo"/>
        <c:crossAx val="769326400"/>
        <c:crosses val="autoZero"/>
        <c:auto val="1"/>
        <c:lblAlgn val="ctr"/>
        <c:lblOffset val="100"/>
        <c:noMultiLvlLbl val="0"/>
      </c:catAx>
      <c:valAx>
        <c:axId val="769326400"/>
        <c:scaling>
          <c:orientation val="minMax"/>
        </c:scaling>
        <c:delete val="0"/>
        <c:axPos val="l"/>
        <c:majorGridlines/>
        <c:numFmt formatCode="General" sourceLinked="1"/>
        <c:majorTickMark val="out"/>
        <c:minorTickMark val="none"/>
        <c:tickLblPos val="nextTo"/>
        <c:crossAx val="769328576"/>
        <c:crosses val="autoZero"/>
        <c:crossBetween val="between"/>
      </c:valAx>
      <c:spPr>
        <a:noFill/>
        <a:ln w="25863">
          <a:noFill/>
        </a:ln>
      </c:spPr>
    </c:plotArea>
    <c:legend>
      <c:legendPos val="r"/>
      <c:layout>
        <c:manualLayout>
          <c:xMode val="edge"/>
          <c:yMode val="edge"/>
          <c:x val="0.88961892247043362"/>
          <c:y val="0.25123152709359603"/>
          <c:w val="8.8042049934296984E-2"/>
          <c:h val="0.61330049261083752"/>
        </c:manualLayout>
      </c:layout>
      <c:overlay val="0"/>
      <c:spPr>
        <a:effectLst>
          <a:outerShdw blurRad="50800" dist="50800" dir="5400000" algn="ctr" rotWithShape="0">
            <a:srgbClr val="FF0000"/>
          </a:outerShdw>
        </a:effectLst>
      </c:spPr>
    </c:legend>
    <c:plotVisOnly val="1"/>
    <c:dispBlanksAs val="gap"/>
    <c:showDLblsOverMax val="0"/>
  </c:chart>
  <c:spPr>
    <a:effectLst>
      <a:outerShdw blurRad="50800" dist="50800" dir="5400000" algn="ctr" rotWithShape="0">
        <a:schemeClr val="bg1"/>
      </a:outerShdw>
    </a:effectLst>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1" b="1" i="0" u="none" strike="noStrike" baseline="0">
                <a:solidFill>
                  <a:sysClr val="windowText" lastClr="000000"/>
                </a:solidFill>
                <a:latin typeface="Times New Roman"/>
                <a:ea typeface="Times New Roman"/>
                <a:cs typeface="Times New Roman"/>
              </a:defRPr>
            </a:pPr>
            <a:r>
              <a:rPr lang="en-US" sz="895" b="1" i="0" u="none" strike="noStrike" baseline="0">
                <a:solidFill>
                  <a:sysClr val="windowText" lastClr="000000"/>
                </a:solidFill>
                <a:latin typeface="Times New Roman"/>
                <a:cs typeface="Times New Roman"/>
              </a:rPr>
              <a:t>GRADUL DE OCUPARE A POSTURILOR DE PROCUROR  LA DATA DE </a:t>
            </a:r>
          </a:p>
          <a:p>
            <a:pPr>
              <a:defRPr sz="801" b="1" i="0" u="none" strike="noStrike" baseline="0">
                <a:solidFill>
                  <a:sysClr val="windowText" lastClr="000000"/>
                </a:solidFill>
                <a:latin typeface="Times New Roman"/>
                <a:ea typeface="Times New Roman"/>
                <a:cs typeface="Times New Roman"/>
              </a:defRPr>
            </a:pPr>
            <a:r>
              <a:rPr lang="ro-RO" sz="895" b="1" i="0" u="none" strike="noStrike" baseline="0">
                <a:solidFill>
                  <a:sysClr val="windowText" lastClr="000000"/>
                </a:solidFill>
                <a:latin typeface="Times New Roman"/>
                <a:cs typeface="Times New Roman"/>
              </a:rPr>
              <a:t>1 ianuarie </a:t>
            </a:r>
            <a:r>
              <a:rPr lang="en-US" sz="895" b="1" i="0" u="none" strike="noStrike" baseline="0">
                <a:solidFill>
                  <a:sysClr val="windowText" lastClr="000000"/>
                </a:solidFill>
                <a:latin typeface="Times New Roman"/>
                <a:cs typeface="Times New Roman"/>
              </a:rPr>
              <a:t>201</a:t>
            </a:r>
            <a:r>
              <a:rPr lang="ro-RO" sz="895" b="1" i="0" u="none" strike="noStrike" baseline="0">
                <a:solidFill>
                  <a:sysClr val="windowText" lastClr="000000"/>
                </a:solidFill>
                <a:latin typeface="Times New Roman"/>
                <a:cs typeface="Times New Roman"/>
              </a:rPr>
              <a:t>6</a:t>
            </a:r>
            <a:endParaRPr lang="en-US" sz="896" b="1" i="0" u="none" strike="noStrike" baseline="0">
              <a:solidFill>
                <a:sysClr val="windowText" lastClr="000000"/>
              </a:solidFill>
              <a:latin typeface="Times New Roman"/>
              <a:cs typeface="Times New Roman"/>
            </a:endParaRPr>
          </a:p>
        </c:rich>
      </c:tx>
      <c:layout>
        <c:manualLayout>
          <c:xMode val="edge"/>
          <c:yMode val="edge"/>
          <c:x val="0.12897517439949638"/>
          <c:y val="0"/>
        </c:manualLayout>
      </c:layout>
      <c:overlay val="0"/>
      <c:spPr>
        <a:noFill/>
        <a:ln w="22745">
          <a:noFill/>
        </a:ln>
      </c:spPr>
    </c:title>
    <c:autoTitleDeleted val="0"/>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1631205673758866"/>
          <c:y val="0.1130952380952381"/>
          <c:w val="0.63120567375886527"/>
          <c:h val="0.79761904761904767"/>
        </c:manualLayout>
      </c:layout>
      <c:bar3DChart>
        <c:barDir val="col"/>
        <c:grouping val="clustered"/>
        <c:varyColors val="0"/>
        <c:ser>
          <c:idx val="0"/>
          <c:order val="0"/>
          <c:tx>
            <c:strRef>
              <c:f>Sheet1!$A$2</c:f>
              <c:strCache>
                <c:ptCount val="1"/>
                <c:pt idx="0">
                  <c:v>P.I.C.C.J (inclusiv Secţia PM)</c:v>
                </c:pt>
              </c:strCache>
            </c:strRef>
          </c:tx>
          <c:spPr>
            <a:solidFill>
              <a:srgbClr val="9999FF"/>
            </a:solidFill>
            <a:ln w="11373">
              <a:solidFill>
                <a:srgbClr val="000000"/>
              </a:solidFill>
              <a:prstDash val="solid"/>
            </a:ln>
          </c:spPr>
          <c:invertIfNegative val="0"/>
          <c:dLbls>
            <c:dLbl>
              <c:idx val="0"/>
              <c:layout>
                <c:manualLayout>
                  <c:x val="4.8901820318691313E-3"/>
                  <c:y val="-3.4594266035706922E-2"/>
                </c:manualLayout>
              </c:layout>
              <c:spPr>
                <a:noFill/>
                <a:ln w="22745">
                  <a:noFill/>
                </a:ln>
              </c:spPr>
              <c:txPr>
                <a:bodyPr/>
                <a:lstStyle/>
                <a:p>
                  <a:pPr>
                    <a:defRPr sz="89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45">
                <a:noFill/>
              </a:ln>
            </c:spPr>
            <c:txPr>
              <a:bodyPr wrap="square" lIns="38100" tIns="19050" rIns="38100" bIns="19050" anchor="ctr">
                <a:spAutoFit/>
              </a:bodyPr>
              <a:lstStyle/>
              <a:p>
                <a:pPr>
                  <a:defRPr sz="89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Sheet1!$B$2</c:f>
              <c:numCache>
                <c:formatCode>0%</c:formatCode>
                <c:ptCount val="1"/>
                <c:pt idx="0">
                  <c:v>0.88</c:v>
                </c:pt>
              </c:numCache>
            </c:numRef>
          </c:val>
        </c:ser>
        <c:ser>
          <c:idx val="1"/>
          <c:order val="1"/>
          <c:tx>
            <c:strRef>
              <c:f>Sheet1!$A$3</c:f>
              <c:strCache>
                <c:ptCount val="1"/>
                <c:pt idx="0">
                  <c:v>P.C.A. (inclusiv PMCMA)</c:v>
                </c:pt>
              </c:strCache>
            </c:strRef>
          </c:tx>
          <c:invertIfNegative val="0"/>
          <c:dLbls>
            <c:dLbl>
              <c:idx val="0"/>
              <c:layout>
                <c:manualLayout>
                  <c:x val="1.646090534979424E-2"/>
                  <c:y val="1.8462358053926273E-17"/>
                </c:manualLayout>
              </c:layout>
              <c:spPr>
                <a:noFill/>
                <a:ln w="22745">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4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Sheet1!$B$3</c:f>
              <c:numCache>
                <c:formatCode>0%</c:formatCode>
                <c:ptCount val="1"/>
                <c:pt idx="0">
                  <c:v>0.93</c:v>
                </c:pt>
              </c:numCache>
            </c:numRef>
          </c:val>
        </c:ser>
        <c:ser>
          <c:idx val="2"/>
          <c:order val="2"/>
          <c:tx>
            <c:strRef>
              <c:f>Sheet1!$A$4</c:f>
              <c:strCache>
                <c:ptCount val="1"/>
                <c:pt idx="0">
                  <c:v>P.T. (inclusiv PMTM)</c:v>
                </c:pt>
              </c:strCache>
            </c:strRef>
          </c:tx>
          <c:invertIfNegative val="0"/>
          <c:dLbls>
            <c:dLbl>
              <c:idx val="0"/>
              <c:layout>
                <c:manualLayout>
                  <c:x val="2.1164021164021076E-2"/>
                  <c:y val="1.2084592145015106E-2"/>
                </c:manualLayout>
              </c:layout>
              <c:spPr>
                <a:noFill/>
                <a:ln w="22745">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4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Sheet1!$B$4</c:f>
              <c:numCache>
                <c:formatCode>0%</c:formatCode>
                <c:ptCount val="1"/>
                <c:pt idx="0">
                  <c:v>0.86</c:v>
                </c:pt>
              </c:numCache>
            </c:numRef>
          </c:val>
        </c:ser>
        <c:ser>
          <c:idx val="3"/>
          <c:order val="3"/>
          <c:tx>
            <c:strRef>
              <c:f>Sheet1!$A$5</c:f>
              <c:strCache>
                <c:ptCount val="1"/>
                <c:pt idx="0">
                  <c:v>P.J.</c:v>
                </c:pt>
              </c:strCache>
            </c:strRef>
          </c:tx>
          <c:invertIfNegative val="0"/>
          <c:dLbls>
            <c:dLbl>
              <c:idx val="0"/>
              <c:layout>
                <c:manualLayout>
                  <c:x val="1.1757789535567314E-2"/>
                  <c:y val="4.0281973816717019E-3"/>
                </c:manualLayout>
              </c:layout>
              <c:spPr>
                <a:noFill/>
                <a:ln w="22745">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4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Sheet1!$B$5</c:f>
              <c:numCache>
                <c:formatCode>0%</c:formatCode>
                <c:ptCount val="1"/>
                <c:pt idx="0">
                  <c:v>0.87</c:v>
                </c:pt>
              </c:numCache>
            </c:numRef>
          </c:val>
        </c:ser>
        <c:dLbls>
          <c:showLegendKey val="0"/>
          <c:showVal val="0"/>
          <c:showCatName val="0"/>
          <c:showSerName val="0"/>
          <c:showPercent val="0"/>
          <c:showBubbleSize val="0"/>
        </c:dLbls>
        <c:gapWidth val="150"/>
        <c:gapDepth val="0"/>
        <c:shape val="box"/>
        <c:axId val="769329120"/>
        <c:axId val="769323136"/>
        <c:axId val="0"/>
      </c:bar3DChart>
      <c:catAx>
        <c:axId val="769329120"/>
        <c:scaling>
          <c:orientation val="minMax"/>
        </c:scaling>
        <c:delete val="1"/>
        <c:axPos val="b"/>
        <c:majorTickMark val="out"/>
        <c:minorTickMark val="none"/>
        <c:tickLblPos val="nextTo"/>
        <c:crossAx val="769323136"/>
        <c:crosses val="autoZero"/>
        <c:auto val="1"/>
        <c:lblAlgn val="ctr"/>
        <c:lblOffset val="100"/>
        <c:noMultiLvlLbl val="0"/>
      </c:catAx>
      <c:valAx>
        <c:axId val="769323136"/>
        <c:scaling>
          <c:orientation val="minMax"/>
          <c:min val="0"/>
        </c:scaling>
        <c:delete val="0"/>
        <c:axPos val="l"/>
        <c:majorGridlines>
          <c:spPr>
            <a:ln w="2843">
              <a:solidFill>
                <a:srgbClr val="000000"/>
              </a:solidFill>
              <a:prstDash val="solid"/>
            </a:ln>
          </c:spPr>
        </c:majorGridlines>
        <c:numFmt formatCode="0%" sourceLinked="1"/>
        <c:majorTickMark val="out"/>
        <c:minorTickMark val="none"/>
        <c:tickLblPos val="nextTo"/>
        <c:spPr>
          <a:ln w="2843">
            <a:solidFill>
              <a:srgbClr val="000000"/>
            </a:solidFill>
            <a:prstDash val="solid"/>
          </a:ln>
        </c:spPr>
        <c:txPr>
          <a:bodyPr rot="0" vert="horz"/>
          <a:lstStyle/>
          <a:p>
            <a:pPr>
              <a:defRPr sz="894" b="1" i="0" u="none" strike="noStrike" baseline="0">
                <a:solidFill>
                  <a:srgbClr val="000000"/>
                </a:solidFill>
                <a:latin typeface="Times New Roman"/>
                <a:ea typeface="Times New Roman"/>
                <a:cs typeface="Times New Roman"/>
              </a:defRPr>
            </a:pPr>
            <a:endParaRPr lang="en-US"/>
          </a:p>
        </c:txPr>
        <c:crossAx val="769329120"/>
        <c:crosses val="autoZero"/>
        <c:crossBetween val="between"/>
      </c:valAx>
      <c:spPr>
        <a:noFill/>
        <a:ln w="25379">
          <a:noFill/>
        </a:ln>
      </c:spPr>
    </c:plotArea>
    <c:legend>
      <c:legendPos val="r"/>
      <c:layout>
        <c:manualLayout>
          <c:xMode val="edge"/>
          <c:yMode val="edge"/>
          <c:x val="0.86987270155586993"/>
          <c:y val="0.46359223300970875"/>
          <c:w val="0.12305516265912304"/>
          <c:h val="0.43446601941747576"/>
        </c:manualLayout>
      </c:layout>
      <c:overlay val="0"/>
      <c:spPr>
        <a:noFill/>
        <a:ln w="2843">
          <a:solidFill>
            <a:srgbClr val="000000"/>
          </a:solidFill>
          <a:prstDash val="solid"/>
        </a:ln>
      </c:spPr>
      <c:txPr>
        <a:bodyPr/>
        <a:lstStyle/>
        <a:p>
          <a:pPr>
            <a:defRPr sz="824" b="1" i="0" u="none" strike="noStrike" baseline="0">
              <a:solidFill>
                <a:sysClr val="windowText" lastClr="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894"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5" b="1" i="0" u="none" strike="noStrike" baseline="0">
                <a:solidFill>
                  <a:sysClr val="windowText" lastClr="000000"/>
                </a:solidFill>
                <a:latin typeface="Times New Roman"/>
                <a:ea typeface="Times New Roman"/>
                <a:cs typeface="Times New Roman"/>
              </a:defRPr>
            </a:pPr>
            <a:r>
              <a:rPr lang="en-US">
                <a:solidFill>
                  <a:sysClr val="windowText" lastClr="000000"/>
                </a:solidFill>
              </a:rPr>
              <a:t>Modalităţi de ocupare a posturilor de procuror </a:t>
            </a:r>
            <a:endParaRPr lang="ro-RO">
              <a:solidFill>
                <a:sysClr val="windowText" lastClr="000000"/>
              </a:solidFill>
            </a:endParaRPr>
          </a:p>
          <a:p>
            <a:pPr>
              <a:defRPr sz="1195" b="1" i="0" u="none" strike="noStrike" baseline="0">
                <a:solidFill>
                  <a:sysClr val="windowText" lastClr="000000"/>
                </a:solidFill>
                <a:latin typeface="Times New Roman"/>
                <a:ea typeface="Times New Roman"/>
                <a:cs typeface="Times New Roman"/>
              </a:defRPr>
            </a:pPr>
            <a:r>
              <a:rPr lang="ro-RO">
                <a:solidFill>
                  <a:sysClr val="windowText" lastClr="000000"/>
                </a:solidFill>
              </a:rPr>
              <a:t>î</a:t>
            </a:r>
            <a:r>
              <a:rPr lang="en-US">
                <a:solidFill>
                  <a:sysClr val="windowText" lastClr="000000"/>
                </a:solidFill>
              </a:rPr>
              <a:t>n anul </a:t>
            </a:r>
            <a:r>
              <a:rPr lang="ro-RO">
                <a:solidFill>
                  <a:sysClr val="windowText" lastClr="000000"/>
                </a:solidFill>
              </a:rPr>
              <a:t>2016</a:t>
            </a:r>
            <a:endParaRPr lang="en-US">
              <a:solidFill>
                <a:sysClr val="windowText" lastClr="000000"/>
              </a:solidFill>
            </a:endParaRPr>
          </a:p>
        </c:rich>
      </c:tx>
      <c:layout>
        <c:manualLayout>
          <c:xMode val="edge"/>
          <c:yMode val="edge"/>
          <c:x val="0.11975074231694779"/>
          <c:y val="1.0349691137092712E-2"/>
        </c:manualLayout>
      </c:layout>
      <c:overlay val="0"/>
      <c:spPr>
        <a:noFill/>
        <a:ln w="25319">
          <a:noFill/>
        </a:ln>
      </c:spPr>
    </c:title>
    <c:autoTitleDeleted val="0"/>
    <c:view3D>
      <c:rotX val="3"/>
      <c:hPercent val="74"/>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6812227074235808"/>
          <c:y val="0.16161616161616163"/>
          <c:w val="0.68340611353711789"/>
          <c:h val="0.58333333333333337"/>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60">
              <a:solidFill>
                <a:srgbClr val="000000"/>
              </a:solidFill>
              <a:prstDash val="solid"/>
            </a:ln>
          </c:spPr>
          <c:invertIfNegative val="0"/>
          <c:dLbls>
            <c:dLbl>
              <c:idx val="0"/>
              <c:layout>
                <c:manualLayout>
                  <c:x val="3.7497930251214617E-2"/>
                  <c:y val="2.7304032137048795E-3"/>
                </c:manualLayout>
              </c:layout>
              <c:spPr>
                <a:noFill/>
                <a:ln w="25319">
                  <a:noFill/>
                </a:ln>
              </c:spPr>
              <c:txPr>
                <a:bodyPr/>
                <a:lstStyle/>
                <a:p>
                  <a:pPr>
                    <a:defRPr sz="9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19">
                <a:noFill/>
              </a:ln>
            </c:spPr>
            <c:txPr>
              <a:bodyPr wrap="square" lIns="38100" tIns="19050" rIns="38100" bIns="19050" anchor="ctr">
                <a:spAutoFit/>
              </a:bodyPr>
              <a:lstStyle/>
              <a:p>
                <a:pPr>
                  <a:defRPr sz="9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77</c:v>
                </c:pt>
              </c:numCache>
            </c:numRef>
          </c:val>
        </c:ser>
        <c:ser>
          <c:idx val="1"/>
          <c:order val="1"/>
          <c:tx>
            <c:strRef>
              <c:f>Sheet1!$A$3</c:f>
              <c:strCache>
                <c:ptCount val="1"/>
                <c:pt idx="0">
                  <c:v>procurori numiti în urma promovării concursului de admitere în magistratură</c:v>
                </c:pt>
              </c:strCache>
            </c:strRef>
          </c:tx>
          <c:spPr>
            <a:solidFill>
              <a:srgbClr val="993366"/>
            </a:solidFill>
            <a:ln w="12660">
              <a:solidFill>
                <a:srgbClr val="000000"/>
              </a:solidFill>
              <a:prstDash val="solid"/>
            </a:ln>
          </c:spPr>
          <c:invertIfNegative val="0"/>
          <c:dLbls>
            <c:dLbl>
              <c:idx val="0"/>
              <c:layout>
                <c:manualLayout>
                  <c:x val="7.9515481092621187E-2"/>
                  <c:y val="9.6967737966923151E-3"/>
                </c:manualLayout>
              </c:layout>
              <c:spPr>
                <a:noFill/>
                <a:ln w="25319">
                  <a:noFill/>
                </a:ln>
              </c:spPr>
              <c:txPr>
                <a:bodyPr/>
                <a:lstStyle/>
                <a:p>
                  <a:pPr>
                    <a:defRPr sz="9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19">
                <a:noFill/>
              </a:ln>
            </c:spPr>
            <c:txPr>
              <a:bodyPr wrap="square" lIns="38100" tIns="19050" rIns="38100" bIns="19050" anchor="ctr">
                <a:spAutoFit/>
              </a:bodyPr>
              <a:lstStyle/>
              <a:p>
                <a:pPr>
                  <a:defRPr sz="9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3</c:v>
                </c:pt>
              </c:numCache>
            </c:numRef>
          </c:val>
        </c:ser>
        <c:ser>
          <c:idx val="2"/>
          <c:order val="2"/>
          <c:tx>
            <c:strRef>
              <c:f>Sheet1!$A$4</c:f>
              <c:strCache>
                <c:ptCount val="1"/>
                <c:pt idx="0">
                  <c:v>judecători numiţi, la cerere, procurori</c:v>
                </c:pt>
              </c:strCache>
            </c:strRef>
          </c:tx>
          <c:spPr>
            <a:solidFill>
              <a:srgbClr val="FFFFCC"/>
            </a:solidFill>
            <a:ln w="12660">
              <a:solidFill>
                <a:srgbClr val="000000"/>
              </a:solidFill>
              <a:prstDash val="solid"/>
            </a:ln>
          </c:spPr>
          <c:invertIfNegative val="0"/>
          <c:dLbls>
            <c:dLbl>
              <c:idx val="0"/>
              <c:layout>
                <c:manualLayout>
                  <c:x val="7.6854452575528698E-2"/>
                  <c:y val="2.0622696457613943E-3"/>
                </c:manualLayout>
              </c:layout>
              <c:spPr>
                <a:noFill/>
                <a:ln w="25319">
                  <a:noFill/>
                </a:ln>
              </c:spPr>
              <c:txPr>
                <a:bodyPr/>
                <a:lstStyle/>
                <a:p>
                  <a:pPr>
                    <a:defRPr sz="9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19">
                <a:noFill/>
              </a:ln>
            </c:spPr>
            <c:txPr>
              <a:bodyPr wrap="square" lIns="38100" tIns="19050" rIns="38100" bIns="19050" anchor="ctr">
                <a:spAutoFit/>
              </a:bodyPr>
              <a:lstStyle/>
              <a:p>
                <a:pPr>
                  <a:defRPr sz="9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3</c:v>
                </c:pt>
              </c:numCache>
            </c:numRef>
          </c:val>
        </c:ser>
        <c:ser>
          <c:idx val="3"/>
          <c:order val="3"/>
          <c:tx>
            <c:strRef>
              <c:f>Sheet1!$A$5</c:f>
              <c:strCache>
                <c:ptCount val="1"/>
                <c:pt idx="0">
                  <c:v>reîncadrare în funcţie</c:v>
                </c:pt>
              </c:strCache>
            </c:strRef>
          </c:tx>
          <c:spPr>
            <a:solidFill>
              <a:srgbClr val="CCFFFF"/>
            </a:solidFill>
            <a:ln w="12660">
              <a:solidFill>
                <a:srgbClr val="000000"/>
              </a:solidFill>
              <a:prstDash val="solid"/>
            </a:ln>
          </c:spPr>
          <c:invertIfNegative val="0"/>
          <c:dLbls>
            <c:dLbl>
              <c:idx val="0"/>
              <c:layout>
                <c:manualLayout>
                  <c:x val="5.2159280866941105E-2"/>
                  <c:y val="-3.8624599824708117E-3"/>
                </c:manualLayout>
              </c:layout>
              <c:spPr>
                <a:noFill/>
                <a:ln w="25319">
                  <a:noFill/>
                </a:ln>
              </c:spPr>
              <c:txPr>
                <a:bodyPr/>
                <a:lstStyle/>
                <a:p>
                  <a:pPr>
                    <a:defRPr sz="94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19">
                <a:noFill/>
              </a:ln>
            </c:spPr>
            <c:txPr>
              <a:bodyPr wrap="square" lIns="38100" tIns="19050" rIns="38100" bIns="19050" anchor="ctr">
                <a:spAutoFit/>
              </a:bodyPr>
              <a:lstStyle/>
              <a:p>
                <a:pPr>
                  <a:defRPr sz="94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0</c:v>
                </c:pt>
              </c:numCache>
            </c:numRef>
          </c:val>
        </c:ser>
        <c:dLbls>
          <c:showLegendKey val="0"/>
          <c:showVal val="0"/>
          <c:showCatName val="0"/>
          <c:showSerName val="0"/>
          <c:showPercent val="0"/>
          <c:showBubbleSize val="0"/>
        </c:dLbls>
        <c:gapWidth val="150"/>
        <c:gapDepth val="0"/>
        <c:shape val="box"/>
        <c:axId val="769323680"/>
        <c:axId val="771332544"/>
        <c:axId val="0"/>
      </c:bar3DChart>
      <c:catAx>
        <c:axId val="769323680"/>
        <c:scaling>
          <c:orientation val="minMax"/>
        </c:scaling>
        <c:delete val="0"/>
        <c:axPos val="b"/>
        <c:majorGridlines>
          <c:spPr>
            <a:ln w="3165">
              <a:solidFill>
                <a:srgbClr val="000000"/>
              </a:solidFill>
              <a:prstDash val="solid"/>
            </a:ln>
          </c:spPr>
        </c:majorGridlines>
        <c:numFmt formatCode="General" sourceLinked="1"/>
        <c:majorTickMark val="out"/>
        <c:minorTickMark val="none"/>
        <c:tickLblPos val="low"/>
        <c:spPr>
          <a:ln w="3165">
            <a:solidFill>
              <a:srgbClr val="000000"/>
            </a:solidFill>
            <a:prstDash val="solid"/>
          </a:ln>
        </c:spPr>
        <c:txPr>
          <a:bodyPr rot="0" vert="horz"/>
          <a:lstStyle/>
          <a:p>
            <a:pPr>
              <a:defRPr sz="1468" b="1" i="0" u="none" strike="noStrike" baseline="0">
                <a:solidFill>
                  <a:srgbClr val="000000"/>
                </a:solidFill>
                <a:latin typeface="Arial"/>
                <a:ea typeface="Arial"/>
                <a:cs typeface="Arial"/>
              </a:defRPr>
            </a:pPr>
            <a:endParaRPr lang="en-US"/>
          </a:p>
        </c:txPr>
        <c:crossAx val="771332544"/>
        <c:crosses val="autoZero"/>
        <c:auto val="1"/>
        <c:lblAlgn val="ctr"/>
        <c:lblOffset val="100"/>
        <c:tickLblSkip val="1"/>
        <c:tickMarkSkip val="1"/>
        <c:noMultiLvlLbl val="0"/>
      </c:catAx>
      <c:valAx>
        <c:axId val="771332544"/>
        <c:scaling>
          <c:orientation val="minMax"/>
          <c:max val="100"/>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974" b="1" i="0" u="none" strike="noStrike" baseline="0">
                <a:solidFill>
                  <a:srgbClr val="000000"/>
                </a:solidFill>
                <a:latin typeface="Arial"/>
                <a:ea typeface="Arial"/>
                <a:cs typeface="Arial"/>
              </a:defRPr>
            </a:pPr>
            <a:endParaRPr lang="en-US"/>
          </a:p>
        </c:txPr>
        <c:crossAx val="769323680"/>
        <c:crosses val="autoZero"/>
        <c:crossBetween val="between"/>
        <c:majorUnit val="10"/>
      </c:valAx>
      <c:spPr>
        <a:noFill/>
        <a:ln w="25374">
          <a:noFill/>
        </a:ln>
      </c:spPr>
    </c:plotArea>
    <c:legend>
      <c:legendPos val="r"/>
      <c:layout>
        <c:manualLayout>
          <c:xMode val="edge"/>
          <c:yMode val="edge"/>
          <c:x val="1.7543859649122806E-2"/>
          <c:y val="0.80121703853955373"/>
          <c:w val="0.95964912280701764"/>
          <c:h val="0.1947261663286004"/>
        </c:manualLayout>
      </c:layout>
      <c:overlay val="0"/>
      <c:spPr>
        <a:noFill/>
        <a:ln w="25319">
          <a:noFill/>
        </a:ln>
      </c:spPr>
      <c:txPr>
        <a:bodyPr/>
        <a:lstStyle/>
        <a:p>
          <a:pPr>
            <a:defRPr sz="732"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94" b="1" i="0" u="none" strike="noStrike" baseline="0">
          <a:solidFill>
            <a:srgbClr val="000000"/>
          </a:solidFill>
          <a:latin typeface="Arial"/>
          <a:ea typeface="Arial"/>
          <a:cs typeface="Arial"/>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337" b="1" i="0" u="none" strike="noStrike" baseline="0">
                <a:solidFill>
                  <a:srgbClr val="000000"/>
                </a:solidFill>
                <a:latin typeface="Times New Roman"/>
                <a:ea typeface="Times New Roman"/>
                <a:cs typeface="Times New Roman"/>
              </a:defRPr>
            </a:pPr>
            <a:r>
              <a:rPr lang="en-US" sz="810" b="1" i="0" u="none" strike="noStrike" baseline="0">
                <a:solidFill>
                  <a:sysClr val="windowText" lastClr="000000"/>
                </a:solidFill>
                <a:latin typeface="Arial"/>
                <a:cs typeface="Arial"/>
              </a:rPr>
              <a:t>Ocuparea prin concurs a funcţiilor de conducere urmare concursurilor organizate la nivelul parchetelor în anul </a:t>
            </a:r>
            <a:r>
              <a:rPr lang="ro-RO" sz="810" b="1" i="0" u="none" strike="noStrike" baseline="0">
                <a:solidFill>
                  <a:sysClr val="windowText" lastClr="000000"/>
                </a:solidFill>
                <a:latin typeface="Arial"/>
                <a:cs typeface="Arial"/>
              </a:rPr>
              <a:t>2016</a:t>
            </a:r>
            <a:endParaRPr lang="en-US" sz="800" b="1" i="0" u="none" strike="noStrike" baseline="0">
              <a:solidFill>
                <a:sysClr val="windowText" lastClr="000000"/>
              </a:solidFill>
              <a:latin typeface="Calibri"/>
              <a:cs typeface="Arial"/>
            </a:endParaRPr>
          </a:p>
          <a:p>
            <a:pPr>
              <a:defRPr sz="337"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337"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337"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337"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337"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endParaRPr>
          </a:p>
        </c:rich>
      </c:tx>
      <c:layout>
        <c:manualLayout>
          <c:xMode val="edge"/>
          <c:yMode val="edge"/>
          <c:x val="0.11633101875563838"/>
          <c:y val="0"/>
        </c:manualLayout>
      </c:layout>
      <c:overlay val="0"/>
      <c:spPr>
        <a:noFill/>
        <a:ln w="20561">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6062639821029079E-2"/>
          <c:y val="0.22742474916387959"/>
          <c:w val="0.91946308724832215"/>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0280">
              <a:solidFill>
                <a:srgbClr val="000000"/>
              </a:solidFill>
              <a:prstDash val="solid"/>
            </a:ln>
          </c:spPr>
          <c:invertIfNegative val="0"/>
          <c:dLbls>
            <c:dLbl>
              <c:idx val="0"/>
              <c:layout>
                <c:manualLayout>
                  <c:x val="4.8290610176730364E-2"/>
                  <c:y val="-2.1772622124543117E-2"/>
                </c:manualLayout>
              </c:layout>
              <c:spPr>
                <a:noFill/>
                <a:ln w="20561">
                  <a:noFill/>
                </a:ln>
              </c:spPr>
              <c:txPr>
                <a:bodyPr/>
                <a:lstStyle/>
                <a:p>
                  <a:pPr>
                    <a:defRPr sz="832"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4.0796992613648442E-2"/>
                  <c:y val="-1.5162384014918207E-2"/>
                </c:manualLayout>
              </c:layout>
              <c:spPr>
                <a:noFill/>
                <a:ln w="20561">
                  <a:noFill/>
                </a:ln>
              </c:spPr>
              <c:txPr>
                <a:bodyPr/>
                <a:lstStyle/>
                <a:p>
                  <a:pPr>
                    <a:defRPr sz="832"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spPr>
                <a:noFill/>
                <a:ln w="20561">
                  <a:noFill/>
                </a:ln>
              </c:spPr>
              <c:txPr>
                <a:bodyPr/>
                <a:lstStyle/>
                <a:p>
                  <a:pPr>
                    <a:defRPr sz="832"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0561">
                <a:noFill/>
              </a:ln>
            </c:spPr>
            <c:txPr>
              <a:bodyPr wrap="square" lIns="38100" tIns="19050" rIns="38100" bIns="19050" anchor="ctr">
                <a:spAutoFit/>
              </a:bodyPr>
              <a:lstStyle/>
              <a:p>
                <a:pPr>
                  <a:defRPr sz="832"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2016</c:v>
                </c:pt>
                <c:pt idx="1">
                  <c:v>Concurs septembrie-decembrie 2016</c:v>
                </c:pt>
              </c:strCache>
            </c:strRef>
          </c:cat>
          <c:val>
            <c:numRef>
              <c:f>Sheet1!$B$2:$C$2</c:f>
              <c:numCache>
                <c:formatCode>General</c:formatCode>
                <c:ptCount val="2"/>
                <c:pt idx="0">
                  <c:v>130</c:v>
                </c:pt>
                <c:pt idx="1">
                  <c:v>115</c:v>
                </c:pt>
              </c:numCache>
            </c:numRef>
          </c:val>
        </c:ser>
        <c:ser>
          <c:idx val="1"/>
          <c:order val="1"/>
          <c:tx>
            <c:strRef>
              <c:f>Sheet1!$A$3</c:f>
              <c:strCache>
                <c:ptCount val="1"/>
                <c:pt idx="0">
                  <c:v>Posturi ocupate</c:v>
                </c:pt>
              </c:strCache>
            </c:strRef>
          </c:tx>
          <c:spPr>
            <a:solidFill>
              <a:srgbClr val="993366"/>
            </a:solidFill>
            <a:ln w="10280">
              <a:solidFill>
                <a:srgbClr val="000000"/>
              </a:solidFill>
              <a:prstDash val="solid"/>
            </a:ln>
          </c:spPr>
          <c:invertIfNegative val="0"/>
          <c:dLbls>
            <c:dLbl>
              <c:idx val="0"/>
              <c:layout>
                <c:manualLayout>
                  <c:x val="4.9218130231071855E-2"/>
                  <c:y val="-3.4814135098716448E-2"/>
                </c:manualLayout>
              </c:layout>
              <c:spPr>
                <a:noFill/>
                <a:ln w="20561">
                  <a:noFill/>
                </a:ln>
              </c:spPr>
              <c:txPr>
                <a:bodyPr/>
                <a:lstStyle/>
                <a:p>
                  <a:pPr>
                    <a:defRPr sz="832"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5.5147331459936333E-2"/>
                  <c:y val="-3.887666962368741E-2"/>
                </c:manualLayout>
              </c:layout>
              <c:spPr>
                <a:noFill/>
                <a:ln w="20561">
                  <a:noFill/>
                </a:ln>
              </c:spPr>
              <c:txPr>
                <a:bodyPr/>
                <a:lstStyle/>
                <a:p>
                  <a:pPr>
                    <a:defRPr sz="832"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spPr>
                <a:noFill/>
                <a:ln w="20561">
                  <a:noFill/>
                </a:ln>
              </c:spPr>
              <c:txPr>
                <a:bodyPr/>
                <a:lstStyle/>
                <a:p>
                  <a:pPr>
                    <a:defRPr sz="832"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0561">
                <a:noFill/>
              </a:ln>
            </c:spPr>
            <c:txPr>
              <a:bodyPr wrap="square" lIns="38100" tIns="19050" rIns="38100" bIns="19050" anchor="ctr">
                <a:spAutoFit/>
              </a:bodyPr>
              <a:lstStyle/>
              <a:p>
                <a:pPr>
                  <a:defRPr sz="832"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2016</c:v>
                </c:pt>
                <c:pt idx="1">
                  <c:v>Concurs septembrie-decembrie 2016</c:v>
                </c:pt>
              </c:strCache>
            </c:strRef>
          </c:cat>
          <c:val>
            <c:numRef>
              <c:f>Sheet1!$B$3:$C$3</c:f>
              <c:numCache>
                <c:formatCode>General</c:formatCode>
                <c:ptCount val="2"/>
                <c:pt idx="0">
                  <c:v>58</c:v>
                </c:pt>
                <c:pt idx="1">
                  <c:v>41</c:v>
                </c:pt>
              </c:numCache>
            </c:numRef>
          </c:val>
        </c:ser>
        <c:dLbls>
          <c:showLegendKey val="0"/>
          <c:showVal val="0"/>
          <c:showCatName val="0"/>
          <c:showSerName val="0"/>
          <c:showPercent val="0"/>
          <c:showBubbleSize val="0"/>
        </c:dLbls>
        <c:gapWidth val="150"/>
        <c:gapDepth val="0"/>
        <c:shape val="box"/>
        <c:axId val="771332000"/>
        <c:axId val="771333088"/>
        <c:axId val="0"/>
      </c:bar3DChart>
      <c:catAx>
        <c:axId val="771332000"/>
        <c:scaling>
          <c:orientation val="minMax"/>
        </c:scaling>
        <c:delete val="0"/>
        <c:axPos val="b"/>
        <c:numFmt formatCode="General" sourceLinked="1"/>
        <c:majorTickMark val="out"/>
        <c:minorTickMark val="none"/>
        <c:tickLblPos val="low"/>
        <c:spPr>
          <a:ln w="2570">
            <a:solidFill>
              <a:srgbClr val="000000"/>
            </a:solidFill>
            <a:prstDash val="solid"/>
          </a:ln>
        </c:spPr>
        <c:txPr>
          <a:bodyPr rot="0" vert="horz"/>
          <a:lstStyle/>
          <a:p>
            <a:pPr>
              <a:defRPr sz="832" b="1" i="0" u="none" strike="noStrike" baseline="0">
                <a:solidFill>
                  <a:srgbClr val="000000"/>
                </a:solidFill>
                <a:latin typeface="Times New Roman"/>
                <a:ea typeface="Times New Roman"/>
                <a:cs typeface="Times New Roman"/>
              </a:defRPr>
            </a:pPr>
            <a:endParaRPr lang="en-US"/>
          </a:p>
        </c:txPr>
        <c:crossAx val="771333088"/>
        <c:crosses val="autoZero"/>
        <c:auto val="1"/>
        <c:lblAlgn val="ctr"/>
        <c:lblOffset val="100"/>
        <c:tickLblSkip val="1"/>
        <c:tickMarkSkip val="1"/>
        <c:noMultiLvlLbl val="0"/>
      </c:catAx>
      <c:valAx>
        <c:axId val="771333088"/>
        <c:scaling>
          <c:orientation val="minMax"/>
        </c:scaling>
        <c:delete val="0"/>
        <c:axPos val="l"/>
        <c:majorGridlines>
          <c:spPr>
            <a:ln w="2570">
              <a:solidFill>
                <a:srgbClr val="000000"/>
              </a:solidFill>
              <a:prstDash val="solid"/>
            </a:ln>
          </c:spPr>
        </c:majorGridlines>
        <c:numFmt formatCode="General" sourceLinked="1"/>
        <c:majorTickMark val="out"/>
        <c:minorTickMark val="none"/>
        <c:tickLblPos val="nextTo"/>
        <c:spPr>
          <a:ln w="2570">
            <a:solidFill>
              <a:srgbClr val="000000"/>
            </a:solidFill>
            <a:prstDash val="solid"/>
          </a:ln>
        </c:spPr>
        <c:txPr>
          <a:bodyPr rot="0" vert="horz"/>
          <a:lstStyle/>
          <a:p>
            <a:pPr>
              <a:defRPr sz="832" b="1" i="0" u="none" strike="noStrike" baseline="0">
                <a:solidFill>
                  <a:srgbClr val="000000"/>
                </a:solidFill>
                <a:latin typeface="Times New Roman"/>
                <a:ea typeface="Times New Roman"/>
                <a:cs typeface="Times New Roman"/>
              </a:defRPr>
            </a:pPr>
            <a:endParaRPr lang="en-US"/>
          </a:p>
        </c:txPr>
        <c:crossAx val="771332000"/>
        <c:crosses val="autoZero"/>
        <c:crossBetween val="between"/>
      </c:valAx>
      <c:spPr>
        <a:noFill/>
        <a:ln w="20606">
          <a:noFill/>
        </a:ln>
      </c:spPr>
    </c:plotArea>
    <c:legend>
      <c:legendPos val="r"/>
      <c:layout>
        <c:manualLayout>
          <c:xMode val="edge"/>
          <c:yMode val="edge"/>
          <c:x val="0.24460431654676257"/>
          <c:y val="0.93548387096774177"/>
          <c:w val="0.45503597122302158"/>
          <c:h val="6.4516129032258063E-2"/>
        </c:manualLayout>
      </c:layout>
      <c:overlay val="0"/>
      <c:spPr>
        <a:noFill/>
        <a:ln w="2570">
          <a:solidFill>
            <a:srgbClr val="000000"/>
          </a:solidFill>
          <a:prstDash val="solid"/>
        </a:ln>
      </c:spPr>
      <c:txPr>
        <a:bodyPr/>
        <a:lstStyle/>
        <a:p>
          <a:pPr>
            <a:defRPr sz="595"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649"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2" b="1" i="0" u="none" strike="noStrike" kern="1200" baseline="0">
                <a:solidFill>
                  <a:schemeClr val="tx1">
                    <a:lumMod val="65000"/>
                    <a:lumOff val="35000"/>
                  </a:schemeClr>
                </a:solidFill>
                <a:latin typeface="+mn-lt"/>
                <a:ea typeface="+mn-ea"/>
                <a:cs typeface="+mn-cs"/>
              </a:defRPr>
            </a:pPr>
            <a:r>
              <a:rPr lang="ro-RO" sz="998" b="1" i="0" u="none" strike="noStrike" baseline="0">
                <a:solidFill>
                  <a:sysClr val="windowText" lastClr="000000"/>
                </a:solidFill>
                <a:effectLst/>
                <a:latin typeface="Arial" panose="020B0604020202020204" pitchFamily="34" charset="0"/>
                <a:cs typeface="Arial" panose="020B0604020202020204" pitchFamily="34" charset="0"/>
              </a:rPr>
              <a:t>Ocuparea funcțiilor de conducere pe </a:t>
            </a:r>
          </a:p>
          <a:p>
            <a:pPr>
              <a:defRPr sz="1592" b="1" i="0" u="none" strike="noStrike" kern="1200" baseline="0">
                <a:solidFill>
                  <a:schemeClr val="tx1">
                    <a:lumMod val="65000"/>
                    <a:lumOff val="35000"/>
                  </a:schemeClr>
                </a:solidFill>
                <a:latin typeface="+mn-lt"/>
                <a:ea typeface="+mn-ea"/>
                <a:cs typeface="+mn-cs"/>
              </a:defRPr>
            </a:pPr>
            <a:r>
              <a:rPr lang="ro-RO" sz="998" b="1" i="0" u="none" strike="noStrike" baseline="0">
                <a:solidFill>
                  <a:sysClr val="windowText" lastClr="000000"/>
                </a:solidFill>
                <a:effectLst/>
                <a:latin typeface="Arial" panose="020B0604020202020204" pitchFamily="34" charset="0"/>
                <a:cs typeface="Arial" panose="020B0604020202020204" pitchFamily="34" charset="0"/>
              </a:rPr>
              <a:t>grade de jurisdicție</a:t>
            </a:r>
            <a:r>
              <a:rPr lang="en-US" sz="998" b="1" i="0" u="none" strike="noStrike" baseline="0">
                <a:solidFill>
                  <a:sysClr val="windowText" lastClr="000000"/>
                </a:solidFill>
                <a:effectLst/>
                <a:latin typeface="Arial" panose="020B0604020202020204" pitchFamily="34" charset="0"/>
                <a:cs typeface="Arial" panose="020B0604020202020204" pitchFamily="34" charset="0"/>
              </a:rPr>
              <a:t> la concursul organizat </a:t>
            </a:r>
            <a:r>
              <a:rPr lang="ro-RO" sz="998" b="1" i="0" u="none" strike="noStrike" baseline="0">
                <a:solidFill>
                  <a:sysClr val="windowText" lastClr="000000"/>
                </a:solidFill>
                <a:effectLst/>
                <a:latin typeface="Arial" panose="020B0604020202020204" pitchFamily="34" charset="0"/>
                <a:cs typeface="Arial" panose="020B0604020202020204" pitchFamily="34" charset="0"/>
              </a:rPr>
              <a:t>în perioada 25.03-25.06.2016</a:t>
            </a:r>
            <a:endParaRPr lang="ro-RO"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3911035087631407"/>
          <c:y val="1.6368283807997451E-2"/>
        </c:manualLayout>
      </c:layout>
      <c:overlay val="0"/>
      <c:spPr>
        <a:noFill/>
        <a:ln w="25340">
          <a:noFill/>
        </a:ln>
      </c:spPr>
    </c:title>
    <c:autoTitleDeleted val="0"/>
    <c:plotArea>
      <c:layout/>
      <c:barChart>
        <c:barDir val="col"/>
        <c:grouping val="clustered"/>
        <c:varyColors val="0"/>
        <c:ser>
          <c:idx val="0"/>
          <c:order val="0"/>
          <c:tx>
            <c:strRef>
              <c:f>Sheet1!$B$1</c:f>
              <c:strCache>
                <c:ptCount val="1"/>
                <c:pt idx="0">
                  <c:v>Posturi anunțate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w="25340">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PJ </c:v>
                </c:pt>
                <c:pt idx="1">
                  <c:v>PT </c:v>
                </c:pt>
                <c:pt idx="2">
                  <c:v>PCA </c:v>
                </c:pt>
              </c:strCache>
            </c:strRef>
          </c:cat>
          <c:val>
            <c:numRef>
              <c:f>Sheet1!$B$2:$B$4</c:f>
              <c:numCache>
                <c:formatCode>General</c:formatCode>
                <c:ptCount val="3"/>
                <c:pt idx="0">
                  <c:v>99</c:v>
                </c:pt>
                <c:pt idx="1">
                  <c:v>22</c:v>
                </c:pt>
                <c:pt idx="2">
                  <c:v>9</c:v>
                </c:pt>
              </c:numCache>
            </c:numRef>
          </c:val>
        </c:ser>
        <c:ser>
          <c:idx val="2"/>
          <c:order val="1"/>
          <c:tx>
            <c:strRef>
              <c:f>Sheet1!$C$1</c:f>
              <c:strCache>
                <c:ptCount val="1"/>
                <c:pt idx="0">
                  <c:v>Posturi ocupate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w="25340">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PJ </c:v>
                </c:pt>
                <c:pt idx="1">
                  <c:v>PT </c:v>
                </c:pt>
                <c:pt idx="2">
                  <c:v>PCA </c:v>
                </c:pt>
              </c:strCache>
            </c:strRef>
          </c:cat>
          <c:val>
            <c:numRef>
              <c:f>Sheet1!$C$2:$C$4</c:f>
              <c:numCache>
                <c:formatCode>General</c:formatCode>
                <c:ptCount val="3"/>
                <c:pt idx="0">
                  <c:v>32</c:v>
                </c:pt>
                <c:pt idx="1">
                  <c:v>18</c:v>
                </c:pt>
                <c:pt idx="2">
                  <c:v>8</c:v>
                </c:pt>
              </c:numCache>
            </c:numRef>
          </c:val>
        </c:ser>
        <c:dLbls>
          <c:showLegendKey val="0"/>
          <c:showVal val="0"/>
          <c:showCatName val="0"/>
          <c:showSerName val="0"/>
          <c:showPercent val="0"/>
          <c:showBubbleSize val="0"/>
        </c:dLbls>
        <c:gapWidth val="100"/>
        <c:overlap val="-24"/>
        <c:axId val="771333632"/>
        <c:axId val="771327104"/>
      </c:barChart>
      <c:catAx>
        <c:axId val="771333632"/>
        <c:scaling>
          <c:orientation val="minMax"/>
        </c:scaling>
        <c:delete val="0"/>
        <c:axPos val="b"/>
        <c:numFmt formatCode="General" sourceLinked="1"/>
        <c:majorTickMark val="none"/>
        <c:minorTickMark val="none"/>
        <c:tickLblPos val="nextTo"/>
        <c:spPr>
          <a:noFill/>
          <a:ln w="12670"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771327104"/>
        <c:crosses val="autoZero"/>
        <c:auto val="1"/>
        <c:lblAlgn val="ctr"/>
        <c:lblOffset val="100"/>
        <c:noMultiLvlLbl val="0"/>
      </c:catAx>
      <c:valAx>
        <c:axId val="771327104"/>
        <c:scaling>
          <c:orientation val="minMax"/>
        </c:scaling>
        <c:delete val="0"/>
        <c:axPos val="l"/>
        <c:majorGridlines>
          <c:spPr>
            <a:ln w="9502" cap="flat" cmpd="sng" algn="ctr">
              <a:solidFill>
                <a:schemeClr val="tx1">
                  <a:lumMod val="15000"/>
                  <a:lumOff val="85000"/>
                </a:schemeClr>
              </a:solidFill>
              <a:round/>
            </a:ln>
            <a:effectLst/>
          </c:spPr>
        </c:majorGridlines>
        <c:numFmt formatCode="General" sourceLinked="1"/>
        <c:majorTickMark val="none"/>
        <c:minorTickMark val="none"/>
        <c:tickLblPos val="nextTo"/>
        <c:spPr>
          <a:ln w="9502">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771333632"/>
        <c:crosses val="autoZero"/>
        <c:crossBetween val="between"/>
      </c:valAx>
      <c:spPr>
        <a:noFill/>
        <a:ln w="25340">
          <a:noFill/>
        </a:ln>
      </c:spPr>
    </c:plotArea>
    <c:legend>
      <c:legendPos val="r"/>
      <c:layout>
        <c:manualLayout>
          <c:xMode val="edge"/>
          <c:yMode val="edge"/>
          <c:x val="0.30453257790368271"/>
          <c:y val="0.90640394088669962"/>
          <c:w val="0.39235127478753534"/>
          <c:h val="6.8965517241379309E-2"/>
        </c:manualLayout>
      </c:layout>
      <c:overlay val="0"/>
      <c:spPr>
        <a:noFill/>
        <a:ln w="25340">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0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2" b="1" i="0" u="none" strike="noStrike" kern="1200" baseline="0">
                <a:solidFill>
                  <a:schemeClr val="tx1">
                    <a:lumMod val="65000"/>
                    <a:lumOff val="35000"/>
                  </a:schemeClr>
                </a:solidFill>
                <a:latin typeface="+mn-lt"/>
                <a:ea typeface="+mn-ea"/>
                <a:cs typeface="+mn-cs"/>
              </a:defRPr>
            </a:pPr>
            <a:r>
              <a:rPr lang="ro-RO" sz="1596" b="1" i="0" u="none" strike="noStrike" baseline="0">
                <a:effectLst/>
              </a:rPr>
              <a:t>Ocuparea funcțiilor de conducere pe </a:t>
            </a:r>
          </a:p>
          <a:p>
            <a:pPr>
              <a:defRPr sz="1592" b="1" i="0" u="none" strike="noStrike" kern="1200" baseline="0">
                <a:solidFill>
                  <a:schemeClr val="tx1">
                    <a:lumMod val="65000"/>
                    <a:lumOff val="35000"/>
                  </a:schemeClr>
                </a:solidFill>
                <a:latin typeface="+mn-lt"/>
                <a:ea typeface="+mn-ea"/>
                <a:cs typeface="+mn-cs"/>
              </a:defRPr>
            </a:pPr>
            <a:r>
              <a:rPr lang="ro-RO" sz="1596" b="1" i="0" u="none" strike="noStrike" baseline="0">
                <a:effectLst/>
              </a:rPr>
              <a:t>grade de jurisdicție l</a:t>
            </a:r>
            <a:r>
              <a:rPr lang="en-US" sz="1596" b="1" i="0" u="none" strike="noStrike" baseline="0">
                <a:effectLst/>
              </a:rPr>
              <a:t>a concursul organizat </a:t>
            </a:r>
            <a:r>
              <a:rPr lang="ro-RO" sz="1596" b="1" i="0" u="none" strike="noStrike" baseline="0">
                <a:effectLst/>
              </a:rPr>
              <a:t>în perioada 09.09-09.12.2016 </a:t>
            </a:r>
            <a:endParaRPr lang="ro-RO"/>
          </a:p>
        </c:rich>
      </c:tx>
      <c:layout>
        <c:manualLayout>
          <c:xMode val="edge"/>
          <c:yMode val="edge"/>
          <c:x val="0.19668284098116801"/>
          <c:y val="3.2694766359531086E-2"/>
        </c:manualLayout>
      </c:layout>
      <c:overlay val="0"/>
      <c:spPr>
        <a:noFill/>
        <a:ln w="25340">
          <a:noFill/>
        </a:ln>
      </c:spPr>
    </c:title>
    <c:autoTitleDeleted val="0"/>
    <c:plotArea>
      <c:layout/>
      <c:barChart>
        <c:barDir val="col"/>
        <c:grouping val="clustered"/>
        <c:varyColors val="0"/>
        <c:ser>
          <c:idx val="0"/>
          <c:order val="0"/>
          <c:tx>
            <c:strRef>
              <c:f>Sheet1!$B$1</c:f>
              <c:strCache>
                <c:ptCount val="1"/>
                <c:pt idx="0">
                  <c:v>Posturi anunțate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w="25340">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PJ </c:v>
                </c:pt>
                <c:pt idx="1">
                  <c:v>PT </c:v>
                </c:pt>
                <c:pt idx="2">
                  <c:v>PCA </c:v>
                </c:pt>
              </c:strCache>
            </c:strRef>
          </c:cat>
          <c:val>
            <c:numRef>
              <c:f>Sheet1!$B$2:$B$4</c:f>
              <c:numCache>
                <c:formatCode>General</c:formatCode>
                <c:ptCount val="3"/>
                <c:pt idx="0">
                  <c:v>98</c:v>
                </c:pt>
                <c:pt idx="1">
                  <c:v>13</c:v>
                </c:pt>
                <c:pt idx="2">
                  <c:v>4</c:v>
                </c:pt>
              </c:numCache>
            </c:numRef>
          </c:val>
        </c:ser>
        <c:ser>
          <c:idx val="2"/>
          <c:order val="1"/>
          <c:tx>
            <c:strRef>
              <c:f>Sheet1!$C$1</c:f>
              <c:strCache>
                <c:ptCount val="1"/>
                <c:pt idx="0">
                  <c:v>Posturi ocupate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w="25340">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PJ </c:v>
                </c:pt>
                <c:pt idx="1">
                  <c:v>PT </c:v>
                </c:pt>
                <c:pt idx="2">
                  <c:v>PCA </c:v>
                </c:pt>
              </c:strCache>
            </c:strRef>
          </c:cat>
          <c:val>
            <c:numRef>
              <c:f>Sheet1!$C$2:$C$4</c:f>
              <c:numCache>
                <c:formatCode>General</c:formatCode>
                <c:ptCount val="3"/>
                <c:pt idx="0">
                  <c:v>26</c:v>
                </c:pt>
                <c:pt idx="1">
                  <c:v>11</c:v>
                </c:pt>
                <c:pt idx="2">
                  <c:v>4</c:v>
                </c:pt>
              </c:numCache>
            </c:numRef>
          </c:val>
        </c:ser>
        <c:dLbls>
          <c:showLegendKey val="0"/>
          <c:showVal val="0"/>
          <c:showCatName val="0"/>
          <c:showSerName val="0"/>
          <c:showPercent val="0"/>
          <c:showBubbleSize val="0"/>
        </c:dLbls>
        <c:gapWidth val="100"/>
        <c:overlap val="-24"/>
        <c:axId val="771331456"/>
        <c:axId val="771330368"/>
      </c:barChart>
      <c:catAx>
        <c:axId val="771331456"/>
        <c:scaling>
          <c:orientation val="minMax"/>
        </c:scaling>
        <c:delete val="0"/>
        <c:axPos val="b"/>
        <c:numFmt formatCode="General" sourceLinked="1"/>
        <c:majorTickMark val="none"/>
        <c:minorTickMark val="none"/>
        <c:tickLblPos val="nextTo"/>
        <c:spPr>
          <a:noFill/>
          <a:ln w="12670"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771330368"/>
        <c:crosses val="autoZero"/>
        <c:auto val="1"/>
        <c:lblAlgn val="ctr"/>
        <c:lblOffset val="100"/>
        <c:noMultiLvlLbl val="0"/>
      </c:catAx>
      <c:valAx>
        <c:axId val="771330368"/>
        <c:scaling>
          <c:orientation val="minMax"/>
        </c:scaling>
        <c:delete val="0"/>
        <c:axPos val="l"/>
        <c:majorGridlines>
          <c:spPr>
            <a:ln w="9502" cap="flat" cmpd="sng" algn="ctr">
              <a:solidFill>
                <a:schemeClr val="tx1">
                  <a:lumMod val="15000"/>
                  <a:lumOff val="85000"/>
                </a:schemeClr>
              </a:solidFill>
              <a:round/>
            </a:ln>
            <a:effectLst/>
          </c:spPr>
        </c:majorGridlines>
        <c:numFmt formatCode="General" sourceLinked="1"/>
        <c:majorTickMark val="none"/>
        <c:minorTickMark val="none"/>
        <c:tickLblPos val="nextTo"/>
        <c:spPr>
          <a:ln w="9502">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771331456"/>
        <c:crosses val="autoZero"/>
        <c:crossBetween val="between"/>
      </c:valAx>
      <c:spPr>
        <a:noFill/>
        <a:ln w="25340">
          <a:noFill/>
        </a:ln>
      </c:spPr>
    </c:plotArea>
    <c:legend>
      <c:legendPos val="r"/>
      <c:layout>
        <c:manualLayout>
          <c:xMode val="edge"/>
          <c:yMode val="edge"/>
          <c:x val="0.29886685552407927"/>
          <c:y val="0.91625615763546808"/>
          <c:w val="0.39235127478753534"/>
          <c:h val="6.8965517241379309E-2"/>
        </c:manualLayout>
      </c:layout>
      <c:overlay val="0"/>
      <c:spPr>
        <a:noFill/>
        <a:ln w="25340">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0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Times New Roman"/>
                <a:ea typeface="Times New Roman"/>
                <a:cs typeface="Times New Roman"/>
              </a:defRPr>
            </a:pPr>
            <a:r>
              <a:rPr lang="en-US"/>
              <a:t>Ocuparea posturilor de procuror, ca urmare a concursului de promovare efectivă în funcţii de execuţie</a:t>
            </a:r>
          </a:p>
        </c:rich>
      </c:tx>
      <c:layout>
        <c:manualLayout>
          <c:xMode val="edge"/>
          <c:yMode val="edge"/>
          <c:x val="0.11816359374831233"/>
          <c:y val="0.10554363775394218"/>
        </c:manualLayout>
      </c:layout>
      <c:overlay val="0"/>
      <c:spPr>
        <a:noFill/>
        <a:ln w="25345">
          <a:noFill/>
        </a:ln>
      </c:spPr>
    </c:title>
    <c:autoTitleDeleted val="0"/>
    <c:plotArea>
      <c:layout>
        <c:manualLayout>
          <c:layoutTarget val="inner"/>
          <c:xMode val="edge"/>
          <c:yMode val="edge"/>
          <c:x val="8.4188911704312114E-2"/>
          <c:y val="0.36065378191362446"/>
          <c:w val="0.62083523833714327"/>
          <c:h val="0.48186590312574562"/>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2">
              <a:solidFill>
                <a:srgbClr val="000000"/>
              </a:solidFill>
              <a:prstDash val="solid"/>
            </a:ln>
          </c:spPr>
          <c:invertIfNegative val="0"/>
          <c:dLbls>
            <c:spPr>
              <a:noFill/>
              <a:ln w="25345">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Sheet1!$B$2:$D$2</c:f>
              <c:numCache>
                <c:formatCode>General</c:formatCode>
                <c:ptCount val="2"/>
                <c:pt idx="0">
                  <c:v>43</c:v>
                </c:pt>
                <c:pt idx="1">
                  <c:v>8</c:v>
                </c:pt>
              </c:numCache>
            </c:numRef>
          </c:val>
        </c:ser>
        <c:ser>
          <c:idx val="1"/>
          <c:order val="1"/>
          <c:tx>
            <c:strRef>
              <c:f>Sheet1!$A$3</c:f>
              <c:strCache>
                <c:ptCount val="1"/>
                <c:pt idx="0">
                  <c:v>posturi ocupate ca urmare a concursului</c:v>
                </c:pt>
              </c:strCache>
            </c:strRef>
          </c:tx>
          <c:spPr>
            <a:solidFill>
              <a:srgbClr val="00FFFF"/>
            </a:solidFill>
            <a:ln w="12672">
              <a:solidFill>
                <a:srgbClr val="000000"/>
              </a:solidFill>
              <a:prstDash val="solid"/>
            </a:ln>
          </c:spPr>
          <c:invertIfNegative val="0"/>
          <c:dLbls>
            <c:spPr>
              <a:noFill/>
              <a:ln w="25345">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Sheet1!$B$3:$D$3</c:f>
              <c:numCache>
                <c:formatCode>General</c:formatCode>
                <c:ptCount val="2"/>
                <c:pt idx="0">
                  <c:v>41</c:v>
                </c:pt>
                <c:pt idx="1">
                  <c:v>8</c:v>
                </c:pt>
              </c:numCache>
            </c:numRef>
          </c:val>
        </c:ser>
        <c:ser>
          <c:idx val="2"/>
          <c:order val="2"/>
          <c:tx>
            <c:strRef>
              <c:f>Sheet1!$A$4</c:f>
              <c:strCache>
                <c:ptCount val="1"/>
                <c:pt idx="0">
                  <c:v>posturi ocupate prin valorificare</c:v>
                </c:pt>
              </c:strCache>
            </c:strRef>
          </c:tx>
          <c:spPr>
            <a:solidFill>
              <a:srgbClr val="FFFFCC"/>
            </a:solidFill>
            <a:ln w="12672">
              <a:solidFill>
                <a:srgbClr val="000000"/>
              </a:solidFill>
              <a:prstDash val="solid"/>
            </a:ln>
          </c:spPr>
          <c:invertIfNegative val="0"/>
          <c:dLbls>
            <c:spPr>
              <a:noFill/>
              <a:ln w="25345">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Sheet1!$B$4:$D$4</c:f>
              <c:numCache>
                <c:formatCode>General</c:formatCode>
                <c:ptCount val="2"/>
                <c:pt idx="0">
                  <c:v>18</c:v>
                </c:pt>
                <c:pt idx="1">
                  <c:v>4</c:v>
                </c:pt>
              </c:numCache>
            </c:numRef>
          </c:val>
        </c:ser>
        <c:dLbls>
          <c:showLegendKey val="0"/>
          <c:showVal val="0"/>
          <c:showCatName val="0"/>
          <c:showSerName val="0"/>
          <c:showPercent val="0"/>
          <c:showBubbleSize val="0"/>
        </c:dLbls>
        <c:gapWidth val="150"/>
        <c:axId val="771465872"/>
        <c:axId val="771466960"/>
      </c:barChart>
      <c:catAx>
        <c:axId val="77146587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771466960"/>
        <c:crosses val="autoZero"/>
        <c:auto val="1"/>
        <c:lblAlgn val="ctr"/>
        <c:lblOffset val="100"/>
        <c:tickLblSkip val="1"/>
        <c:tickMarkSkip val="1"/>
        <c:noMultiLvlLbl val="0"/>
      </c:catAx>
      <c:valAx>
        <c:axId val="771466960"/>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5" b="1" i="0" u="none" strike="noStrike" baseline="0">
                <a:solidFill>
                  <a:srgbClr val="000000"/>
                </a:solidFill>
                <a:latin typeface="Arial"/>
                <a:ea typeface="Arial"/>
                <a:cs typeface="Arial"/>
              </a:defRPr>
            </a:pPr>
            <a:endParaRPr lang="en-US"/>
          </a:p>
        </c:txPr>
        <c:crossAx val="771465872"/>
        <c:crosses val="autoZero"/>
        <c:crossBetween val="between"/>
      </c:valAx>
      <c:spPr>
        <a:solidFill>
          <a:srgbClr val="C0C0C0"/>
        </a:solidFill>
        <a:ln w="12672">
          <a:solidFill>
            <a:srgbClr val="808080"/>
          </a:solidFill>
          <a:prstDash val="solid"/>
        </a:ln>
      </c:spPr>
    </c:plotArea>
    <c:legend>
      <c:legendPos val="r"/>
      <c:layout>
        <c:manualLayout>
          <c:xMode val="edge"/>
          <c:yMode val="edge"/>
          <c:x val="0.73102310231023115"/>
          <c:y val="0.50316455696202533"/>
          <c:w val="0.2590759075907591"/>
          <c:h val="0.38291139240506328"/>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5" b="1"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75" b="1" i="0" u="none" strike="noStrike" baseline="0">
                <a:solidFill>
                  <a:srgbClr val="000000"/>
                </a:solidFill>
                <a:latin typeface="Garamond"/>
                <a:ea typeface="Garamond"/>
                <a:cs typeface="Garamond"/>
              </a:defRPr>
            </a:pPr>
            <a:r>
              <a:rPr lang="en-US"/>
              <a:t>Volumul de activitate la nivelul parchetelor în 2016 - lucrări de soluţionat</a:t>
            </a:r>
          </a:p>
        </c:rich>
      </c:tx>
      <c:layout>
        <c:manualLayout>
          <c:xMode val="edge"/>
          <c:yMode val="edge"/>
          <c:x val="8.0622347949080617E-2"/>
          <c:y val="0"/>
        </c:manualLayout>
      </c:layout>
      <c:overlay val="0"/>
      <c:spPr>
        <a:noFill/>
        <a:ln w="25391">
          <a:noFill/>
        </a:ln>
      </c:spPr>
    </c:title>
    <c:autoTitleDeleted val="0"/>
    <c:plotArea>
      <c:layout>
        <c:manualLayout>
          <c:layoutTarget val="inner"/>
          <c:xMode val="edge"/>
          <c:yMode val="edge"/>
          <c:x val="0.30551626591230552"/>
          <c:y val="0.31666666666666665"/>
          <c:w val="0.20792079207920794"/>
          <c:h val="0.61250000000000004"/>
        </c:manualLayout>
      </c:layout>
      <c:pieChart>
        <c:varyColors val="1"/>
        <c:ser>
          <c:idx val="0"/>
          <c:order val="0"/>
          <c:tx>
            <c:strRef>
              <c:f>Sheet1!$A$2</c:f>
              <c:strCache>
                <c:ptCount val="1"/>
                <c:pt idx="0">
                  <c:v>Volum de activitate</c:v>
                </c:pt>
              </c:strCache>
            </c:strRef>
          </c:tx>
          <c:spPr>
            <a:solidFill>
              <a:srgbClr val="9999FF"/>
            </a:solidFill>
            <a:ln w="12695">
              <a:solidFill>
                <a:srgbClr val="000000"/>
              </a:solidFill>
              <a:prstDash val="solid"/>
            </a:ln>
          </c:spPr>
          <c:explosion val="25"/>
          <c:dPt>
            <c:idx val="0"/>
            <c:bubble3D val="0"/>
          </c:dPt>
          <c:dPt>
            <c:idx val="1"/>
            <c:bubble3D val="0"/>
            <c:spPr>
              <a:solidFill>
                <a:srgbClr val="993366"/>
              </a:solidFill>
              <a:ln w="12695">
                <a:solidFill>
                  <a:srgbClr val="000000"/>
                </a:solidFill>
                <a:prstDash val="solid"/>
              </a:ln>
            </c:spPr>
          </c:dPt>
          <c:dPt>
            <c:idx val="2"/>
            <c:bubble3D val="0"/>
            <c:spPr>
              <a:solidFill>
                <a:srgbClr val="FFFFCC"/>
              </a:solidFill>
              <a:ln w="12695">
                <a:solidFill>
                  <a:srgbClr val="000000"/>
                </a:solidFill>
                <a:prstDash val="solid"/>
              </a:ln>
            </c:spPr>
          </c:dPt>
          <c:dPt>
            <c:idx val="3"/>
            <c:bubble3D val="0"/>
            <c:spPr>
              <a:solidFill>
                <a:srgbClr val="CCFFFF"/>
              </a:solidFill>
              <a:ln w="12695">
                <a:solidFill>
                  <a:srgbClr val="000000"/>
                </a:solidFill>
                <a:prstDash val="solid"/>
              </a:ln>
            </c:spPr>
          </c:dPt>
          <c:dLbls>
            <c:dLbl>
              <c:idx val="0"/>
              <c:layout>
                <c:manualLayout>
                  <c:x val="2.591751333880532E-2"/>
                  <c:y val="-2.7149595965858531E-2"/>
                </c:manualLayout>
              </c:layout>
              <c:numFmt formatCode="0.0%" sourceLinked="0"/>
              <c:spPr>
                <a:noFill/>
                <a:ln w="25391">
                  <a:noFill/>
                </a:ln>
              </c:spPr>
              <c:txPr>
                <a:bodyPr/>
                <a:lstStyle/>
                <a:p>
                  <a:pPr>
                    <a:defRPr sz="1200"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8.4040051323489573E-3"/>
                  <c:y val="-4.0030638394610074E-2"/>
                </c:manualLayout>
              </c:layout>
              <c:numFmt formatCode="0.0%" sourceLinked="0"/>
              <c:spPr>
                <a:noFill/>
                <a:ln w="25391">
                  <a:noFill/>
                </a:ln>
              </c:spPr>
              <c:txPr>
                <a:bodyPr/>
                <a:lstStyle/>
                <a:p>
                  <a:pPr>
                    <a:defRPr sz="1200"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1.5056437060045946E-2"/>
                  <c:y val="-3.3166708000082701E-2"/>
                </c:manualLayout>
              </c:layout>
              <c:numFmt formatCode="0.0%" sourceLinked="0"/>
              <c:spPr>
                <a:noFill/>
                <a:ln w="25391">
                  <a:noFill/>
                </a:ln>
              </c:spPr>
              <c:txPr>
                <a:bodyPr/>
                <a:lstStyle/>
                <a:p>
                  <a:pPr>
                    <a:defRPr sz="1200"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91">
                <a:noFill/>
              </a:ln>
            </c:spPr>
            <c:txPr>
              <a:bodyPr wrap="square" lIns="38100" tIns="19050" rIns="38100" bIns="19050" anchor="ctr">
                <a:spAutoFit/>
              </a:bodyPr>
              <a:lstStyle/>
              <a:p>
                <a:pPr>
                  <a:defRPr sz="1200" b="1"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4"/>
                <c:pt idx="0">
                  <c:v>P.J.</c:v>
                </c:pt>
                <c:pt idx="1">
                  <c:v>P.T.</c:v>
                </c:pt>
                <c:pt idx="2">
                  <c:v>P.C.A.</c:v>
                </c:pt>
                <c:pt idx="3">
                  <c:v>P.I.C.C.J</c:v>
                </c:pt>
              </c:strCache>
            </c:strRef>
          </c:cat>
          <c:val>
            <c:numRef>
              <c:f>Sheet1!$B$2:$E$2</c:f>
              <c:numCache>
                <c:formatCode>General</c:formatCode>
                <c:ptCount val="4"/>
                <c:pt idx="0">
                  <c:v>2580170</c:v>
                </c:pt>
                <c:pt idx="1">
                  <c:v>340779</c:v>
                </c:pt>
                <c:pt idx="2">
                  <c:v>154122</c:v>
                </c:pt>
                <c:pt idx="3" formatCode="#,##0">
                  <c:v>183219</c:v>
                </c:pt>
              </c:numCache>
            </c:numRef>
          </c:val>
        </c:ser>
        <c:dLbls>
          <c:showLegendKey val="0"/>
          <c:showVal val="0"/>
          <c:showCatName val="0"/>
          <c:showSerName val="0"/>
          <c:showPercent val="1"/>
          <c:showBubbleSize val="0"/>
          <c:showLeaderLines val="1"/>
        </c:dLbls>
        <c:firstSliceAng val="0"/>
      </c:pieChart>
      <c:spPr>
        <a:solidFill>
          <a:srgbClr val="C0C0C0"/>
        </a:solidFill>
        <a:ln w="12695">
          <a:solidFill>
            <a:srgbClr val="808080"/>
          </a:solidFill>
          <a:prstDash val="solid"/>
        </a:ln>
      </c:spPr>
    </c:plotArea>
    <c:legend>
      <c:legendPos val="r"/>
      <c:layout>
        <c:manualLayout>
          <c:xMode val="edge"/>
          <c:yMode val="edge"/>
          <c:x val="0.88118811881188108"/>
          <c:y val="0.4375"/>
          <c:w val="0.11173974540311174"/>
          <c:h val="0.37083333333333335"/>
        </c:manualLayout>
      </c:layout>
      <c:overlay val="0"/>
      <c:spPr>
        <a:noFill/>
        <a:ln w="3174">
          <a:solidFill>
            <a:srgbClr val="000000"/>
          </a:solidFill>
          <a:prstDash val="solid"/>
        </a:ln>
      </c:spPr>
      <c:txPr>
        <a:bodyPr/>
        <a:lstStyle/>
        <a:p>
          <a:pPr>
            <a:defRPr sz="780" b="1" i="0" u="none" strike="noStrike" baseline="0">
              <a:solidFill>
                <a:srgbClr val="000000"/>
              </a:solidFill>
              <a:latin typeface="Arial"/>
              <a:ea typeface="Arial"/>
              <a:cs typeface="Arial"/>
            </a:defRPr>
          </a:pPr>
          <a:endParaRPr lang="en-US"/>
        </a:p>
      </c:txPr>
    </c:legend>
    <c:plotVisOnly val="1"/>
    <c:dispBlanksAs val="zero"/>
    <c:showDLblsOverMax val="0"/>
  </c:chart>
  <c:spPr>
    <a:noFill/>
    <a:ln w="9525" cap="flat" cmpd="sng" algn="ctr">
      <a:solidFill>
        <a:srgbClr val="000000"/>
      </a:solidFill>
      <a:prstDash val="solid"/>
      <a:miter lim="800000"/>
      <a:headEnd type="none" w="med" len="med"/>
      <a:tailEnd type="none" w="med" len="med"/>
    </a:ln>
  </c:spPr>
  <c:txPr>
    <a:bodyPr/>
    <a:lstStyle/>
    <a:p>
      <a:pPr>
        <a:defRPr sz="850" b="1" i="0" u="none" strike="noStrike" baseline="0">
          <a:solidFill>
            <a:srgbClr val="000000"/>
          </a:solidFill>
          <a:latin typeface="Arial"/>
          <a:ea typeface="Arial"/>
          <a:cs typeface="Arial"/>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Times New Roman"/>
                <a:ea typeface="Times New Roman"/>
                <a:cs typeface="Times New Roman"/>
              </a:defRPr>
            </a:pPr>
            <a:r>
              <a:rPr lang="en-US"/>
              <a:t>Ocuparea posturilor de procuror, ca urmare a concursului de promovare </a:t>
            </a:r>
            <a:r>
              <a:rPr lang="ro-RO"/>
              <a:t>pe loc</a:t>
            </a:r>
            <a:endParaRPr lang="en-US"/>
          </a:p>
        </c:rich>
      </c:tx>
      <c:layout>
        <c:manualLayout>
          <c:xMode val="edge"/>
          <c:yMode val="edge"/>
          <c:x val="0.18536794011859628"/>
          <c:y val="9.0392047450761556E-2"/>
        </c:manualLayout>
      </c:layout>
      <c:overlay val="0"/>
      <c:spPr>
        <a:noFill/>
        <a:ln w="25345">
          <a:noFill/>
        </a:ln>
      </c:spPr>
    </c:title>
    <c:autoTitleDeleted val="0"/>
    <c:plotArea>
      <c:layout>
        <c:manualLayout>
          <c:layoutTarget val="inner"/>
          <c:xMode val="edge"/>
          <c:yMode val="edge"/>
          <c:x val="8.4188911704312114E-2"/>
          <c:y val="0.31519923645907905"/>
          <c:w val="0.72152802472271627"/>
          <c:h val="0.41141016463851116"/>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2">
              <a:solidFill>
                <a:srgbClr val="000000"/>
              </a:solidFill>
              <a:prstDash val="solid"/>
            </a:ln>
          </c:spPr>
          <c:invertIfNegative val="0"/>
          <c:dLbls>
            <c:spPr>
              <a:noFill/>
              <a:ln w="25345">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parchete de pe lângă tribunale</c:v>
                </c:pt>
                <c:pt idx="1">
                  <c:v>parchete de pe lângă curţi de apel</c:v>
                </c:pt>
                <c:pt idx="2">
                  <c:v>Parchetul de pe lângă Înalta Curte de Casaţie şi Justiţie</c:v>
                </c:pt>
              </c:strCache>
            </c:strRef>
          </c:cat>
          <c:val>
            <c:numRef>
              <c:f>Sheet1!$B$2:$E$2</c:f>
              <c:numCache>
                <c:formatCode>General</c:formatCode>
                <c:ptCount val="3"/>
                <c:pt idx="0">
                  <c:v>41</c:v>
                </c:pt>
                <c:pt idx="1">
                  <c:v>15</c:v>
                </c:pt>
                <c:pt idx="2">
                  <c:v>6</c:v>
                </c:pt>
              </c:numCache>
            </c:numRef>
          </c:val>
        </c:ser>
        <c:ser>
          <c:idx val="1"/>
          <c:order val="1"/>
          <c:tx>
            <c:strRef>
              <c:f>Sheet1!$A$3</c:f>
              <c:strCache>
                <c:ptCount val="1"/>
                <c:pt idx="0">
                  <c:v>posturi ocupate ca urmare a concursului</c:v>
                </c:pt>
              </c:strCache>
            </c:strRef>
          </c:tx>
          <c:spPr>
            <a:solidFill>
              <a:srgbClr val="00FFFF"/>
            </a:solidFill>
            <a:ln w="12672">
              <a:solidFill>
                <a:srgbClr val="000000"/>
              </a:solidFill>
              <a:prstDash val="solid"/>
            </a:ln>
          </c:spPr>
          <c:invertIfNegative val="0"/>
          <c:dLbls>
            <c:spPr>
              <a:noFill/>
              <a:ln w="25345">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parchete de pe lângă tribunale</c:v>
                </c:pt>
                <c:pt idx="1">
                  <c:v>parchete de pe lângă curţi de apel</c:v>
                </c:pt>
                <c:pt idx="2">
                  <c:v>Parchetul de pe lângă Înalta Curte de Casaţie şi Justiţie</c:v>
                </c:pt>
              </c:strCache>
            </c:strRef>
          </c:cat>
          <c:val>
            <c:numRef>
              <c:f>Sheet1!$B$3:$E$3</c:f>
              <c:numCache>
                <c:formatCode>General</c:formatCode>
                <c:ptCount val="3"/>
                <c:pt idx="0">
                  <c:v>41</c:v>
                </c:pt>
                <c:pt idx="1">
                  <c:v>15</c:v>
                </c:pt>
                <c:pt idx="2">
                  <c:v>6</c:v>
                </c:pt>
              </c:numCache>
            </c:numRef>
          </c:val>
        </c:ser>
        <c:dLbls>
          <c:showLegendKey val="0"/>
          <c:showVal val="0"/>
          <c:showCatName val="0"/>
          <c:showSerName val="0"/>
          <c:showPercent val="0"/>
          <c:showBubbleSize val="0"/>
        </c:dLbls>
        <c:gapWidth val="150"/>
        <c:axId val="771468592"/>
        <c:axId val="771470768"/>
      </c:barChart>
      <c:catAx>
        <c:axId val="77146859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771470768"/>
        <c:crosses val="autoZero"/>
        <c:auto val="1"/>
        <c:lblAlgn val="ctr"/>
        <c:lblOffset val="100"/>
        <c:tickLblSkip val="1"/>
        <c:tickMarkSkip val="1"/>
        <c:noMultiLvlLbl val="0"/>
      </c:catAx>
      <c:valAx>
        <c:axId val="771470768"/>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5" b="1" i="0" u="none" strike="noStrike" baseline="0">
                <a:solidFill>
                  <a:srgbClr val="000000"/>
                </a:solidFill>
                <a:latin typeface="Arial"/>
                <a:ea typeface="Arial"/>
                <a:cs typeface="Arial"/>
              </a:defRPr>
            </a:pPr>
            <a:endParaRPr lang="en-US"/>
          </a:p>
        </c:txPr>
        <c:crossAx val="771468592"/>
        <c:crosses val="autoZero"/>
        <c:crossBetween val="between"/>
      </c:valAx>
      <c:spPr>
        <a:solidFill>
          <a:srgbClr val="C0C0C0"/>
        </a:solidFill>
        <a:ln w="12672">
          <a:solidFill>
            <a:srgbClr val="808080"/>
          </a:solidFill>
          <a:prstDash val="solid"/>
        </a:ln>
      </c:spPr>
    </c:plotArea>
    <c:legend>
      <c:legendPos val="r"/>
      <c:layout>
        <c:manualLayout>
          <c:xMode val="edge"/>
          <c:yMode val="edge"/>
          <c:x val="0.80858085808580871"/>
          <c:y val="0.31645569620253167"/>
          <c:w val="0.16831683168316833"/>
          <c:h val="0.38291139240506328"/>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5" b="1" i="0" u="none" strike="noStrike" baseline="0">
          <a:solidFill>
            <a:srgbClr val="000000"/>
          </a:solidFill>
          <a:latin typeface="Arial"/>
          <a:ea typeface="Arial"/>
          <a:cs typeface="Arial"/>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6" b="0" i="0" u="none" strike="noStrike" kern="1200" spc="0" baseline="0">
                <a:solidFill>
                  <a:schemeClr val="tx1">
                    <a:lumMod val="65000"/>
                    <a:lumOff val="35000"/>
                  </a:schemeClr>
                </a:solidFill>
                <a:latin typeface="+mn-lt"/>
                <a:ea typeface="+mn-ea"/>
                <a:cs typeface="+mn-cs"/>
              </a:defRPr>
            </a:pPr>
            <a:r>
              <a:rPr lang="ro-RO" sz="999" b="1">
                <a:solidFill>
                  <a:sysClr val="windowText" lastClr="000000"/>
                </a:solidFill>
                <a:latin typeface="Arial" panose="020B0604020202020204" pitchFamily="34" charset="0"/>
                <a:cs typeface="Arial" panose="020B0604020202020204" pitchFamily="34" charset="0"/>
              </a:rPr>
              <a:t>Situația posturilor de</a:t>
            </a:r>
            <a:r>
              <a:rPr lang="ro-RO" sz="999" b="1" baseline="0">
                <a:solidFill>
                  <a:sysClr val="windowText" lastClr="000000"/>
                </a:solidFill>
                <a:latin typeface="Arial" panose="020B0604020202020204" pitchFamily="34" charset="0"/>
                <a:cs typeface="Arial" panose="020B0604020202020204" pitchFamily="34" charset="0"/>
              </a:rPr>
              <a:t> </a:t>
            </a:r>
            <a:r>
              <a:rPr lang="ro-RO" sz="999" b="1" i="0" u="none" strike="noStrike" baseline="0">
                <a:solidFill>
                  <a:sysClr val="windowText" lastClr="000000"/>
                </a:solidFill>
                <a:effectLst/>
                <a:latin typeface="Arial" panose="020B0604020202020204" pitchFamily="34" charset="0"/>
                <a:cs typeface="Arial" panose="020B0604020202020204" pitchFamily="34" charset="0"/>
              </a:rPr>
              <a:t>procuror de </a:t>
            </a:r>
            <a:r>
              <a:rPr lang="ro-RO" sz="999" b="1">
                <a:solidFill>
                  <a:sysClr val="windowText" lastClr="000000"/>
                </a:solidFill>
                <a:latin typeface="Arial" panose="020B0604020202020204" pitchFamily="34" charset="0"/>
                <a:cs typeface="Arial" panose="020B0604020202020204" pitchFamily="34" charset="0"/>
              </a:rPr>
              <a:t>execuție, </a:t>
            </a:r>
          </a:p>
          <a:p>
            <a:pPr>
              <a:defRPr sz="1396" b="0" i="0" u="none" strike="noStrike" kern="1200" spc="0" baseline="0">
                <a:solidFill>
                  <a:schemeClr val="tx1">
                    <a:lumMod val="65000"/>
                    <a:lumOff val="35000"/>
                  </a:schemeClr>
                </a:solidFill>
                <a:latin typeface="+mn-lt"/>
                <a:ea typeface="+mn-ea"/>
                <a:cs typeface="+mn-cs"/>
              </a:defRPr>
            </a:pPr>
            <a:r>
              <a:rPr lang="ro-RO" sz="999" b="1">
                <a:solidFill>
                  <a:sysClr val="windowText" lastClr="000000"/>
                </a:solidFill>
                <a:latin typeface="Arial" panose="020B0604020202020204" pitchFamily="34" charset="0"/>
                <a:cs typeface="Arial" panose="020B0604020202020204" pitchFamily="34" charset="0"/>
              </a:rPr>
              <a:t>ocupate și vacante</a:t>
            </a:r>
            <a:r>
              <a:rPr lang="en-US" sz="999" b="1">
                <a:solidFill>
                  <a:sysClr val="windowText" lastClr="000000"/>
                </a:solidFill>
                <a:latin typeface="Arial" panose="020B0604020202020204" pitchFamily="34" charset="0"/>
                <a:cs typeface="Arial" panose="020B0604020202020204" pitchFamily="34" charset="0"/>
              </a:rPr>
              <a:t> </a:t>
            </a:r>
            <a:r>
              <a:rPr lang="ro-RO" sz="999" b="1">
                <a:solidFill>
                  <a:sysClr val="windowText" lastClr="000000"/>
                </a:solidFill>
                <a:latin typeface="Arial" panose="020B0604020202020204" pitchFamily="34" charset="0"/>
                <a:cs typeface="Arial" panose="020B0604020202020204" pitchFamily="34" charset="0"/>
              </a:rPr>
              <a:t>la data de 01.01.2017</a:t>
            </a:r>
          </a:p>
        </c:rich>
      </c:tx>
      <c:overlay val="0"/>
      <c:spPr>
        <a:noFill/>
        <a:ln w="25365">
          <a:noFill/>
        </a:ln>
      </c:spPr>
    </c:title>
    <c:autoTitleDeleted val="0"/>
    <c:plotArea>
      <c:layout/>
      <c:barChart>
        <c:barDir val="bar"/>
        <c:grouping val="stacked"/>
        <c:varyColors val="0"/>
        <c:ser>
          <c:idx val="0"/>
          <c:order val="0"/>
          <c:tx>
            <c:strRef>
              <c:f>Sheet1!$B$1</c:f>
              <c:strCache>
                <c:ptCount val="1"/>
                <c:pt idx="0">
                  <c:v>ocupate</c:v>
                </c:pt>
              </c:strCache>
            </c:strRef>
          </c:tx>
          <c:spPr>
            <a:solidFill>
              <a:srgbClr val="4F81BD"/>
            </a:solidFill>
            <a:ln w="25365">
              <a:noFill/>
            </a:ln>
          </c:spPr>
          <c:invertIfNegative val="0"/>
          <c:dLbls>
            <c:spPr>
              <a:noFill/>
              <a:ln w="25365">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Sheet1!$A$3:$A$6</c:f>
              <c:strCache>
                <c:ptCount val="4"/>
                <c:pt idx="0">
                  <c:v>PICCJ </c:v>
                </c:pt>
                <c:pt idx="1">
                  <c:v>PCA </c:v>
                </c:pt>
                <c:pt idx="2">
                  <c:v>PT </c:v>
                </c:pt>
                <c:pt idx="3">
                  <c:v>PJ </c:v>
                </c:pt>
              </c:strCache>
            </c:strRef>
          </c:cat>
          <c:val>
            <c:numRef>
              <c:f>Sheet1!$B$3:$B$6</c:f>
              <c:numCache>
                <c:formatCode>General</c:formatCode>
                <c:ptCount val="4"/>
                <c:pt idx="0">
                  <c:v>460</c:v>
                </c:pt>
                <c:pt idx="1">
                  <c:v>212</c:v>
                </c:pt>
                <c:pt idx="2">
                  <c:v>493</c:v>
                </c:pt>
                <c:pt idx="3">
                  <c:v>1031</c:v>
                </c:pt>
              </c:numCache>
            </c:numRef>
          </c:val>
        </c:ser>
        <c:ser>
          <c:idx val="1"/>
          <c:order val="1"/>
          <c:tx>
            <c:strRef>
              <c:f>Sheet1!$C$1</c:f>
              <c:strCache>
                <c:ptCount val="1"/>
                <c:pt idx="0">
                  <c:v>vacante</c:v>
                </c:pt>
              </c:strCache>
            </c:strRef>
          </c:tx>
          <c:spPr>
            <a:solidFill>
              <a:srgbClr val="C0504D"/>
            </a:solidFill>
            <a:ln w="25365">
              <a:noFill/>
            </a:ln>
          </c:spPr>
          <c:invertIfNegative val="0"/>
          <c:dLbls>
            <c:dLbl>
              <c:idx val="0"/>
              <c:layout>
                <c:manualLayout>
                  <c:x val="3.0092592592592591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2587E-3"/>
                  <c:y val="-7.275048233154282E-17"/>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3.2407407407407406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5.3240740740740741E-2"/>
                  <c:y val="0"/>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w="25365">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Sheet1!$A$3:$A$6</c:f>
              <c:strCache>
                <c:ptCount val="4"/>
                <c:pt idx="0">
                  <c:v>PICCJ </c:v>
                </c:pt>
                <c:pt idx="1">
                  <c:v>PCA </c:v>
                </c:pt>
                <c:pt idx="2">
                  <c:v>PT </c:v>
                </c:pt>
                <c:pt idx="3">
                  <c:v>PJ </c:v>
                </c:pt>
              </c:strCache>
            </c:strRef>
          </c:cat>
          <c:val>
            <c:numRef>
              <c:f>Sheet1!$C$3:$C$6</c:f>
              <c:numCache>
                <c:formatCode>General</c:formatCode>
                <c:ptCount val="4"/>
                <c:pt idx="0">
                  <c:v>55</c:v>
                </c:pt>
                <c:pt idx="1">
                  <c:v>4</c:v>
                </c:pt>
                <c:pt idx="2">
                  <c:v>55</c:v>
                </c:pt>
                <c:pt idx="3">
                  <c:v>120</c:v>
                </c:pt>
              </c:numCache>
            </c:numRef>
          </c:val>
        </c:ser>
        <c:dLbls>
          <c:showLegendKey val="0"/>
          <c:showVal val="0"/>
          <c:showCatName val="0"/>
          <c:showSerName val="0"/>
          <c:showPercent val="0"/>
          <c:showBubbleSize val="0"/>
        </c:dLbls>
        <c:gapWidth val="182"/>
        <c:overlap val="100"/>
        <c:axId val="771472400"/>
        <c:axId val="771466416"/>
      </c:barChart>
      <c:catAx>
        <c:axId val="771472400"/>
        <c:scaling>
          <c:orientation val="minMax"/>
        </c:scaling>
        <c:delete val="0"/>
        <c:axPos val="l"/>
        <c:numFmt formatCode="General" sourceLinked="1"/>
        <c:majorTickMark val="none"/>
        <c:minorTickMark val="none"/>
        <c:tickLblPos val="nextTo"/>
        <c:spPr>
          <a:noFill/>
          <a:ln w="9512"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771466416"/>
        <c:crosses val="autoZero"/>
        <c:auto val="1"/>
        <c:lblAlgn val="ctr"/>
        <c:lblOffset val="100"/>
        <c:noMultiLvlLbl val="0"/>
      </c:catAx>
      <c:valAx>
        <c:axId val="771466416"/>
        <c:scaling>
          <c:orientation val="minMax"/>
        </c:scaling>
        <c:delete val="0"/>
        <c:axPos val="b"/>
        <c:majorGridlines>
          <c:spPr>
            <a:ln w="9512" cap="flat" cmpd="sng" algn="ctr">
              <a:solidFill>
                <a:schemeClr val="tx1">
                  <a:lumMod val="15000"/>
                  <a:lumOff val="85000"/>
                </a:schemeClr>
              </a:solidFill>
              <a:round/>
            </a:ln>
            <a:effectLst/>
          </c:spPr>
        </c:majorGridlines>
        <c:numFmt formatCode="General" sourceLinked="1"/>
        <c:majorTickMark val="none"/>
        <c:minorTickMark val="none"/>
        <c:tickLblPos val="nextTo"/>
        <c:spPr>
          <a:ln w="9512">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771472400"/>
        <c:crosses val="autoZero"/>
        <c:crossBetween val="between"/>
      </c:valAx>
      <c:spPr>
        <a:noFill/>
        <a:ln w="25365">
          <a:noFill/>
        </a:ln>
      </c:spPr>
    </c:plotArea>
    <c:legend>
      <c:legendPos val="r"/>
      <c:layout>
        <c:manualLayout>
          <c:xMode val="edge"/>
          <c:yMode val="edge"/>
          <c:x val="0.39093484419263452"/>
          <c:y val="0.89516129032258052"/>
          <c:w val="0.22237960339943341"/>
          <c:h val="7.5268817204301078E-2"/>
        </c:manualLayout>
      </c:layout>
      <c:overlay val="0"/>
      <c:spPr>
        <a:noFill/>
        <a:ln w="25365">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6" b="0" i="0" u="none" strike="noStrike" kern="1200" spc="0" baseline="0">
                <a:solidFill>
                  <a:schemeClr val="tx1">
                    <a:lumMod val="65000"/>
                    <a:lumOff val="35000"/>
                  </a:schemeClr>
                </a:solidFill>
                <a:latin typeface="+mn-lt"/>
                <a:ea typeface="+mn-ea"/>
                <a:cs typeface="+mn-cs"/>
              </a:defRPr>
            </a:pPr>
            <a:r>
              <a:rPr lang="ro-RO" sz="998" b="1">
                <a:solidFill>
                  <a:sysClr val="windowText" lastClr="000000"/>
                </a:solidFill>
                <a:latin typeface="Arial" panose="020B0604020202020204" pitchFamily="34" charset="0"/>
                <a:cs typeface="Arial" panose="020B0604020202020204" pitchFamily="34" charset="0"/>
              </a:rPr>
              <a:t>Situația posturilor de procuror</a:t>
            </a:r>
            <a:r>
              <a:rPr lang="ro-RO" sz="998" b="1" baseline="0">
                <a:solidFill>
                  <a:sysClr val="windowText" lastClr="000000"/>
                </a:solidFill>
                <a:latin typeface="Arial" panose="020B0604020202020204" pitchFamily="34" charset="0"/>
                <a:cs typeface="Arial" panose="020B0604020202020204" pitchFamily="34" charset="0"/>
              </a:rPr>
              <a:t> </a:t>
            </a:r>
            <a:r>
              <a:rPr lang="ro-RO" sz="998" b="1">
                <a:solidFill>
                  <a:sysClr val="windowText" lastClr="000000"/>
                </a:solidFill>
                <a:latin typeface="Arial" panose="020B0604020202020204" pitchFamily="34" charset="0"/>
                <a:cs typeface="Arial" panose="020B0604020202020204" pitchFamily="34" charset="0"/>
              </a:rPr>
              <a:t>de</a:t>
            </a:r>
            <a:r>
              <a:rPr lang="ro-RO" sz="998" b="1" baseline="0">
                <a:solidFill>
                  <a:sysClr val="windowText" lastClr="000000"/>
                </a:solidFill>
                <a:latin typeface="Arial" panose="020B0604020202020204" pitchFamily="34" charset="0"/>
                <a:cs typeface="Arial" panose="020B0604020202020204" pitchFamily="34" charset="0"/>
              </a:rPr>
              <a:t> </a:t>
            </a:r>
            <a:r>
              <a:rPr lang="ro-RO" sz="998" b="1">
                <a:solidFill>
                  <a:sysClr val="windowText" lastClr="000000"/>
                </a:solidFill>
                <a:latin typeface="Arial" panose="020B0604020202020204" pitchFamily="34" charset="0"/>
                <a:cs typeface="Arial" panose="020B0604020202020204" pitchFamily="34" charset="0"/>
              </a:rPr>
              <a:t>conducere, </a:t>
            </a:r>
          </a:p>
          <a:p>
            <a:pPr>
              <a:defRPr sz="1396" b="0" i="0" u="none" strike="noStrike" kern="1200" spc="0" baseline="0">
                <a:solidFill>
                  <a:schemeClr val="tx1">
                    <a:lumMod val="65000"/>
                    <a:lumOff val="35000"/>
                  </a:schemeClr>
                </a:solidFill>
                <a:latin typeface="+mn-lt"/>
                <a:ea typeface="+mn-ea"/>
                <a:cs typeface="+mn-cs"/>
              </a:defRPr>
            </a:pPr>
            <a:r>
              <a:rPr lang="ro-RO" sz="998" b="1">
                <a:solidFill>
                  <a:sysClr val="windowText" lastClr="000000"/>
                </a:solidFill>
                <a:latin typeface="Arial" panose="020B0604020202020204" pitchFamily="34" charset="0"/>
                <a:cs typeface="Arial" panose="020B0604020202020204" pitchFamily="34" charset="0"/>
              </a:rPr>
              <a:t>ocupate și vacante la data de 01.01.2017</a:t>
            </a:r>
          </a:p>
        </c:rich>
      </c:tx>
      <c:overlay val="0"/>
      <c:spPr>
        <a:noFill/>
        <a:ln w="25355">
          <a:noFill/>
        </a:ln>
      </c:spPr>
    </c:title>
    <c:autoTitleDeleted val="0"/>
    <c:plotArea>
      <c:layout/>
      <c:barChart>
        <c:barDir val="bar"/>
        <c:grouping val="stacked"/>
        <c:varyColors val="0"/>
        <c:ser>
          <c:idx val="0"/>
          <c:order val="0"/>
          <c:tx>
            <c:strRef>
              <c:f>Sheet1!$B$1</c:f>
              <c:strCache>
                <c:ptCount val="1"/>
                <c:pt idx="0">
                  <c:v>ocupate</c:v>
                </c:pt>
              </c:strCache>
            </c:strRef>
          </c:tx>
          <c:spPr>
            <a:solidFill>
              <a:srgbClr val="4F81BD"/>
            </a:solidFill>
            <a:ln w="25355">
              <a:noFill/>
            </a:ln>
          </c:spPr>
          <c:invertIfNegative val="0"/>
          <c:dLbls>
            <c:spPr>
              <a:noFill/>
              <a:ln w="2535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Sheet1!$A$3:$A$6</c:f>
              <c:strCache>
                <c:ptCount val="4"/>
                <c:pt idx="0">
                  <c:v>PICCJ </c:v>
                </c:pt>
                <c:pt idx="1">
                  <c:v>PCA </c:v>
                </c:pt>
                <c:pt idx="2">
                  <c:v>PT </c:v>
                </c:pt>
                <c:pt idx="3">
                  <c:v>PJ </c:v>
                </c:pt>
              </c:strCache>
            </c:strRef>
          </c:cat>
          <c:val>
            <c:numRef>
              <c:f>Sheet1!$B$3:$B$6</c:f>
              <c:numCache>
                <c:formatCode>General</c:formatCode>
                <c:ptCount val="4"/>
                <c:pt idx="0">
                  <c:v>76</c:v>
                </c:pt>
                <c:pt idx="1">
                  <c:v>57</c:v>
                </c:pt>
                <c:pt idx="2">
                  <c:v>148</c:v>
                </c:pt>
                <c:pt idx="3">
                  <c:v>145</c:v>
                </c:pt>
              </c:numCache>
            </c:numRef>
          </c:val>
        </c:ser>
        <c:ser>
          <c:idx val="1"/>
          <c:order val="1"/>
          <c:tx>
            <c:strRef>
              <c:f>Sheet1!$C$1</c:f>
              <c:strCache>
                <c:ptCount val="1"/>
                <c:pt idx="0">
                  <c:v>vacante</c:v>
                </c:pt>
              </c:strCache>
            </c:strRef>
          </c:tx>
          <c:spPr>
            <a:solidFill>
              <a:srgbClr val="C0504D"/>
            </a:solidFill>
            <a:ln w="25355">
              <a:noFill/>
            </a:ln>
          </c:spPr>
          <c:invertIfNegative val="0"/>
          <c:dLbls>
            <c:dLbl>
              <c:idx val="0"/>
              <c:layout>
                <c:manualLayout>
                  <c:x val="3.0092592592592591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2587E-3"/>
                  <c:y val="-7.275048233154282E-17"/>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3.2407407407407406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5.3240740740740741E-2"/>
                  <c:y val="0"/>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w="25355">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Sheet1!$A$3:$A$6</c:f>
              <c:strCache>
                <c:ptCount val="4"/>
                <c:pt idx="0">
                  <c:v>PICCJ </c:v>
                </c:pt>
                <c:pt idx="1">
                  <c:v>PCA </c:v>
                </c:pt>
                <c:pt idx="2">
                  <c:v>PT </c:v>
                </c:pt>
                <c:pt idx="3">
                  <c:v>PJ </c:v>
                </c:pt>
              </c:strCache>
            </c:strRef>
          </c:cat>
          <c:val>
            <c:numRef>
              <c:f>Sheet1!$C$3:$C$6</c:f>
              <c:numCache>
                <c:formatCode>General</c:formatCode>
                <c:ptCount val="4"/>
                <c:pt idx="0">
                  <c:v>61</c:v>
                </c:pt>
                <c:pt idx="1">
                  <c:v>18</c:v>
                </c:pt>
                <c:pt idx="2">
                  <c:v>44</c:v>
                </c:pt>
                <c:pt idx="3">
                  <c:v>78</c:v>
                </c:pt>
              </c:numCache>
            </c:numRef>
          </c:val>
        </c:ser>
        <c:dLbls>
          <c:showLegendKey val="0"/>
          <c:showVal val="0"/>
          <c:showCatName val="0"/>
          <c:showSerName val="0"/>
          <c:showPercent val="0"/>
          <c:showBubbleSize val="0"/>
        </c:dLbls>
        <c:gapWidth val="182"/>
        <c:overlap val="100"/>
        <c:axId val="771471856"/>
        <c:axId val="771006240"/>
      </c:barChart>
      <c:catAx>
        <c:axId val="771471856"/>
        <c:scaling>
          <c:orientation val="minMax"/>
        </c:scaling>
        <c:delete val="0"/>
        <c:axPos val="l"/>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771006240"/>
        <c:crosses val="autoZero"/>
        <c:auto val="1"/>
        <c:lblAlgn val="ctr"/>
        <c:lblOffset val="100"/>
        <c:noMultiLvlLbl val="0"/>
      </c:catAx>
      <c:valAx>
        <c:axId val="771006240"/>
        <c:scaling>
          <c:orientation val="minMax"/>
        </c:scaling>
        <c:delete val="0"/>
        <c:axPos val="b"/>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ln w="9508">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771471856"/>
        <c:crosses val="autoZero"/>
        <c:crossBetween val="between"/>
      </c:valAx>
      <c:spPr>
        <a:noFill/>
        <a:ln w="25355">
          <a:noFill/>
        </a:ln>
      </c:spPr>
    </c:plotArea>
    <c:legend>
      <c:legendPos val="r"/>
      <c:layout>
        <c:manualLayout>
          <c:xMode val="edge"/>
          <c:yMode val="edge"/>
          <c:x val="0.39235127478753534"/>
          <c:y val="0.90487804878048794"/>
          <c:w val="0.22237960339943341"/>
          <c:h val="6.8292682926829273E-2"/>
        </c:manualLayout>
      </c:layout>
      <c:overlay val="0"/>
      <c:spPr>
        <a:noFill/>
        <a:ln w="25355">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601" b="1" i="0" u="none" strike="noStrike" baseline="0">
                <a:solidFill>
                  <a:srgbClr val="00B050"/>
                </a:solidFill>
                <a:latin typeface="Times New Roman"/>
                <a:ea typeface="Times New Roman"/>
                <a:cs typeface="Times New Roman"/>
              </a:defRPr>
            </a:pPr>
            <a:r>
              <a:rPr lang="en-US" sz="1038" b="1" i="0" u="none" strike="noStrike" baseline="0">
                <a:solidFill>
                  <a:sysClr val="windowText" lastClr="000000"/>
                </a:solidFill>
                <a:latin typeface="Times New Roman"/>
                <a:cs typeface="Times New Roman"/>
              </a:rPr>
              <a:t>Gradul de ocupare a posturilor de procuror  la data de </a:t>
            </a:r>
          </a:p>
          <a:p>
            <a:pPr>
              <a:defRPr sz="601" b="1" i="0" u="none" strike="noStrike" baseline="0">
                <a:solidFill>
                  <a:srgbClr val="00B050"/>
                </a:solidFill>
                <a:latin typeface="Times New Roman"/>
                <a:ea typeface="Times New Roman"/>
                <a:cs typeface="Times New Roman"/>
              </a:defRPr>
            </a:pPr>
            <a:r>
              <a:rPr lang="ro-RO" sz="1038" b="1" i="0" u="none" strike="noStrike" baseline="0">
                <a:solidFill>
                  <a:sysClr val="windowText" lastClr="000000"/>
                </a:solidFill>
                <a:latin typeface="Times New Roman"/>
                <a:cs typeface="Times New Roman"/>
              </a:rPr>
              <a:t>1 ianuarie 2017</a:t>
            </a:r>
            <a:endParaRPr lang="en-US" sz="1200" b="1" i="0" u="none" strike="noStrike" baseline="0">
              <a:solidFill>
                <a:sysClr val="windowText" lastClr="000000"/>
              </a:solidFill>
              <a:latin typeface="Times New Roman"/>
              <a:cs typeface="Times New Roman"/>
            </a:endParaRPr>
          </a:p>
        </c:rich>
      </c:tx>
      <c:layout>
        <c:manualLayout>
          <c:xMode val="edge"/>
          <c:yMode val="edge"/>
          <c:x val="0.12897503659869691"/>
          <c:y val="7.8202155456021834E-3"/>
        </c:manualLayout>
      </c:layout>
      <c:overlay val="0"/>
      <c:spPr>
        <a:noFill/>
        <a:ln w="19695">
          <a:noFill/>
        </a:ln>
      </c:spPr>
    </c:title>
    <c:autoTitleDeleted val="0"/>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1631205673758866"/>
          <c:y val="0.1130952380952381"/>
          <c:w val="0.63120567375886527"/>
          <c:h val="0.79761904761904767"/>
        </c:manualLayout>
      </c:layout>
      <c:bar3DChart>
        <c:barDir val="col"/>
        <c:grouping val="clustered"/>
        <c:varyColors val="0"/>
        <c:ser>
          <c:idx val="0"/>
          <c:order val="0"/>
          <c:tx>
            <c:strRef>
              <c:f>Sheet1!$A$2</c:f>
              <c:strCache>
                <c:ptCount val="1"/>
                <c:pt idx="0">
                  <c:v>P.I.C.C.J (inclusiv Secţia PM)</c:v>
                </c:pt>
              </c:strCache>
            </c:strRef>
          </c:tx>
          <c:spPr>
            <a:solidFill>
              <a:srgbClr val="9999FF"/>
            </a:solidFill>
            <a:ln w="9847">
              <a:solidFill>
                <a:srgbClr val="000000"/>
              </a:solidFill>
              <a:prstDash val="solid"/>
            </a:ln>
          </c:spPr>
          <c:invertIfNegative val="0"/>
          <c:dLbls>
            <c:dLbl>
              <c:idx val="0"/>
              <c:layout>
                <c:manualLayout>
                  <c:x val="4.8901820318691313E-3"/>
                  <c:y val="-3.4594266035706922E-2"/>
                </c:manualLayout>
              </c:layout>
              <c:spPr>
                <a:noFill/>
                <a:ln w="19695">
                  <a:noFill/>
                </a:ln>
              </c:spPr>
              <c:txPr>
                <a:bodyPr/>
                <a:lstStyle/>
                <a:p>
                  <a:pPr>
                    <a:defRPr sz="77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19695">
                <a:noFill/>
              </a:ln>
            </c:spPr>
            <c:txPr>
              <a:bodyPr wrap="square" lIns="38100" tIns="19050" rIns="38100" bIns="19050" anchor="ctr">
                <a:spAutoFit/>
              </a:bodyPr>
              <a:lstStyle/>
              <a:p>
                <a:pPr>
                  <a:defRPr sz="774"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Sheet1!$B$2</c:f>
              <c:numCache>
                <c:formatCode>0%</c:formatCode>
                <c:ptCount val="1"/>
                <c:pt idx="0">
                  <c:v>0.83</c:v>
                </c:pt>
              </c:numCache>
            </c:numRef>
          </c:val>
        </c:ser>
        <c:ser>
          <c:idx val="1"/>
          <c:order val="1"/>
          <c:tx>
            <c:strRef>
              <c:f>Sheet1!$A$3</c:f>
              <c:strCache>
                <c:ptCount val="1"/>
                <c:pt idx="0">
                  <c:v>P.C.A. (inclusiv PMCMA)</c:v>
                </c:pt>
              </c:strCache>
            </c:strRef>
          </c:tx>
          <c:invertIfNegative val="0"/>
          <c:dLbls>
            <c:dLbl>
              <c:idx val="0"/>
              <c:layout>
                <c:manualLayout>
                  <c:x val="1.646090534979424E-2"/>
                  <c:y val="1.8462358053926273E-17"/>
                </c:manualLayout>
              </c:layout>
              <c:spPr>
                <a:noFill/>
                <a:ln w="19695">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1969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Sheet1!$B$3</c:f>
              <c:numCache>
                <c:formatCode>0%</c:formatCode>
                <c:ptCount val="1"/>
                <c:pt idx="0">
                  <c:v>0.95</c:v>
                </c:pt>
              </c:numCache>
            </c:numRef>
          </c:val>
        </c:ser>
        <c:ser>
          <c:idx val="2"/>
          <c:order val="2"/>
          <c:tx>
            <c:strRef>
              <c:f>Sheet1!$A$4</c:f>
              <c:strCache>
                <c:ptCount val="1"/>
                <c:pt idx="0">
                  <c:v>P.T. (inclusiv PMTM)</c:v>
                </c:pt>
              </c:strCache>
            </c:strRef>
          </c:tx>
          <c:invertIfNegative val="0"/>
          <c:dLbls>
            <c:dLbl>
              <c:idx val="0"/>
              <c:layout>
                <c:manualLayout>
                  <c:x val="2.1164021164021076E-2"/>
                  <c:y val="1.2084592145015106E-2"/>
                </c:manualLayout>
              </c:layout>
              <c:spPr>
                <a:noFill/>
                <a:ln w="19695">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1969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Sheet1!$B$4</c:f>
              <c:numCache>
                <c:formatCode>0%</c:formatCode>
                <c:ptCount val="1"/>
                <c:pt idx="0">
                  <c:v>0.88</c:v>
                </c:pt>
              </c:numCache>
            </c:numRef>
          </c:val>
        </c:ser>
        <c:ser>
          <c:idx val="3"/>
          <c:order val="3"/>
          <c:tx>
            <c:strRef>
              <c:f>Sheet1!$A$5</c:f>
              <c:strCache>
                <c:ptCount val="1"/>
                <c:pt idx="0">
                  <c:v>P.J.</c:v>
                </c:pt>
              </c:strCache>
            </c:strRef>
          </c:tx>
          <c:invertIfNegative val="0"/>
          <c:dLbls>
            <c:dLbl>
              <c:idx val="0"/>
              <c:layout>
                <c:manualLayout>
                  <c:x val="1.1757789535567314E-2"/>
                  <c:y val="4.0281973816717019E-3"/>
                </c:manualLayout>
              </c:layout>
              <c:spPr>
                <a:noFill/>
                <a:ln w="19695">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1969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Sheet1!$B$5</c:f>
              <c:numCache>
                <c:formatCode>0%</c:formatCode>
                <c:ptCount val="1"/>
                <c:pt idx="0">
                  <c:v>0.86</c:v>
                </c:pt>
              </c:numCache>
            </c:numRef>
          </c:val>
        </c:ser>
        <c:dLbls>
          <c:showLegendKey val="0"/>
          <c:showVal val="0"/>
          <c:showCatName val="0"/>
          <c:showSerName val="0"/>
          <c:showPercent val="0"/>
          <c:showBubbleSize val="0"/>
        </c:dLbls>
        <c:gapWidth val="150"/>
        <c:gapDepth val="0"/>
        <c:shape val="box"/>
        <c:axId val="770998080"/>
        <c:axId val="771008416"/>
        <c:axId val="0"/>
      </c:bar3DChart>
      <c:catAx>
        <c:axId val="770998080"/>
        <c:scaling>
          <c:orientation val="minMax"/>
        </c:scaling>
        <c:delete val="1"/>
        <c:axPos val="b"/>
        <c:majorTickMark val="out"/>
        <c:minorTickMark val="none"/>
        <c:tickLblPos val="nextTo"/>
        <c:crossAx val="771008416"/>
        <c:crosses val="autoZero"/>
        <c:auto val="1"/>
        <c:lblAlgn val="ctr"/>
        <c:lblOffset val="100"/>
        <c:noMultiLvlLbl val="0"/>
      </c:catAx>
      <c:valAx>
        <c:axId val="771008416"/>
        <c:scaling>
          <c:orientation val="minMax"/>
          <c:min val="0"/>
        </c:scaling>
        <c:delete val="0"/>
        <c:axPos val="l"/>
        <c:majorGridlines>
          <c:spPr>
            <a:ln w="2461">
              <a:solidFill>
                <a:srgbClr val="000000"/>
              </a:solidFill>
              <a:prstDash val="solid"/>
            </a:ln>
          </c:spPr>
        </c:majorGridlines>
        <c:numFmt formatCode="0%" sourceLinked="1"/>
        <c:majorTickMark val="out"/>
        <c:minorTickMark val="none"/>
        <c:tickLblPos val="nextTo"/>
        <c:spPr>
          <a:ln w="2461">
            <a:solidFill>
              <a:srgbClr val="000000"/>
            </a:solidFill>
            <a:prstDash val="solid"/>
          </a:ln>
        </c:spPr>
        <c:txPr>
          <a:bodyPr rot="0" vert="horz"/>
          <a:lstStyle/>
          <a:p>
            <a:pPr>
              <a:defRPr sz="774" b="1" i="0" u="none" strike="noStrike" baseline="0">
                <a:solidFill>
                  <a:srgbClr val="000000"/>
                </a:solidFill>
                <a:latin typeface="Times New Roman"/>
                <a:ea typeface="Times New Roman"/>
                <a:cs typeface="Times New Roman"/>
              </a:defRPr>
            </a:pPr>
            <a:endParaRPr lang="en-US"/>
          </a:p>
        </c:txPr>
        <c:crossAx val="770998080"/>
        <c:crosses val="autoZero"/>
        <c:crossBetween val="between"/>
      </c:valAx>
      <c:spPr>
        <a:noFill/>
        <a:ln w="21976">
          <a:noFill/>
        </a:ln>
      </c:spPr>
    </c:plotArea>
    <c:legend>
      <c:legendPos val="r"/>
      <c:layout>
        <c:manualLayout>
          <c:xMode val="edge"/>
          <c:yMode val="edge"/>
          <c:x val="0.86956521739130443"/>
          <c:y val="0.46601941747572817"/>
          <c:w val="0.12342215988779805"/>
          <c:h val="0.43446601941747576"/>
        </c:manualLayout>
      </c:layout>
      <c:overlay val="0"/>
      <c:spPr>
        <a:noFill/>
        <a:ln w="2461">
          <a:solidFill>
            <a:srgbClr val="000000"/>
          </a:solidFill>
          <a:prstDash val="solid"/>
        </a:ln>
      </c:spPr>
      <c:txPr>
        <a:bodyPr/>
        <a:lstStyle/>
        <a:p>
          <a:pPr>
            <a:defRPr sz="714" b="1" i="0" u="none" strike="noStrike" baseline="0">
              <a:solidFill>
                <a:sysClr val="windowText" lastClr="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74"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Arial"/>
                <a:ea typeface="Arial"/>
                <a:cs typeface="Arial"/>
              </a:defRPr>
            </a:pPr>
            <a:r>
              <a:rPr lang="en-US"/>
              <a:t>Dinamica bugetului curtilor de apel 2014-2016 (euro)</a:t>
            </a:r>
          </a:p>
        </c:rich>
      </c:tx>
      <c:layout>
        <c:manualLayout>
          <c:xMode val="edge"/>
          <c:yMode val="edge"/>
          <c:x val="0.17081869214746731"/>
          <c:y val="3.6764705882352942E-2"/>
        </c:manualLayout>
      </c:layout>
      <c:overlay val="0"/>
      <c:spPr>
        <a:noFill/>
        <a:ln w="25400">
          <a:noFill/>
        </a:ln>
      </c:spPr>
    </c:title>
    <c:autoTitleDeleted val="0"/>
    <c:plotArea>
      <c:layout>
        <c:manualLayout>
          <c:layoutTarget val="inner"/>
          <c:xMode val="edge"/>
          <c:yMode val="edge"/>
          <c:x val="0.21352331718760181"/>
          <c:y val="0.23897058823529413"/>
          <c:w val="0.50177979539086426"/>
          <c:h val="0.59926470588235292"/>
        </c:manualLayout>
      </c:layout>
      <c:lineChart>
        <c:grouping val="standard"/>
        <c:varyColors val="0"/>
        <c:ser>
          <c:idx val="0"/>
          <c:order val="0"/>
          <c:tx>
            <c:strRef>
              <c:f>'tabele instante 2014'!$B$25</c:f>
              <c:strCache>
                <c:ptCount val="1"/>
                <c:pt idx="0">
                  <c:v>Buget curti de apel</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2014'!$A$26:$A$28</c:f>
              <c:numCache>
                <c:formatCode>General</c:formatCode>
                <c:ptCount val="3"/>
                <c:pt idx="0">
                  <c:v>2014</c:v>
                </c:pt>
                <c:pt idx="1">
                  <c:v>2015</c:v>
                </c:pt>
                <c:pt idx="2">
                  <c:v>2016</c:v>
                </c:pt>
              </c:numCache>
            </c:numRef>
          </c:cat>
          <c:val>
            <c:numRef>
              <c:f>'tabele instante 2014'!$B$26:$B$28</c:f>
              <c:numCache>
                <c:formatCode>_-* #,##0\ _l_e_i_-;\-* #,##0\ _l_e_i_-;_-* "-"??\ _l_e_i_-;_-@_-</c:formatCode>
                <c:ptCount val="3"/>
                <c:pt idx="0">
                  <c:v>524585617.97752804</c:v>
                </c:pt>
                <c:pt idx="1">
                  <c:v>462681756.75675672</c:v>
                </c:pt>
                <c:pt idx="2">
                  <c:v>388287111.1111111</c:v>
                </c:pt>
              </c:numCache>
            </c:numRef>
          </c:val>
          <c:smooth val="0"/>
        </c:ser>
        <c:dLbls>
          <c:showLegendKey val="0"/>
          <c:showVal val="0"/>
          <c:showCatName val="0"/>
          <c:showSerName val="0"/>
          <c:showPercent val="0"/>
          <c:showBubbleSize val="0"/>
        </c:dLbls>
        <c:marker val="1"/>
        <c:smooth val="0"/>
        <c:axId val="771000800"/>
        <c:axId val="770994816"/>
      </c:lineChart>
      <c:catAx>
        <c:axId val="7710008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770994816"/>
        <c:crosses val="autoZero"/>
        <c:auto val="1"/>
        <c:lblAlgn val="ctr"/>
        <c:lblOffset val="100"/>
        <c:tickLblSkip val="1"/>
        <c:tickMarkSkip val="1"/>
        <c:noMultiLvlLbl val="0"/>
      </c:catAx>
      <c:valAx>
        <c:axId val="770994816"/>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771000800"/>
        <c:crosses val="autoZero"/>
        <c:crossBetween val="between"/>
      </c:valAx>
      <c:spPr>
        <a:solidFill>
          <a:srgbClr val="C0C0C0"/>
        </a:solidFill>
        <a:ln w="12700">
          <a:solidFill>
            <a:srgbClr val="808080"/>
          </a:solidFill>
          <a:prstDash val="solid"/>
        </a:ln>
      </c:spPr>
    </c:plotArea>
    <c:legend>
      <c:legendPos val="r"/>
      <c:layout>
        <c:manualLayout>
          <c:xMode val="edge"/>
          <c:yMode val="edge"/>
          <c:x val="0.73487600526802477"/>
          <c:y val="0.5"/>
          <c:w val="0.25088986652469147"/>
          <c:h val="7.7205882352941124E-2"/>
        </c:manualLayout>
      </c:layout>
      <c:overlay val="0"/>
      <c:spPr>
        <a:solidFill>
          <a:srgbClr val="FFFFFF"/>
        </a:solidFill>
        <a:ln w="3175">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Arial"/>
                <a:ea typeface="Arial"/>
                <a:cs typeface="Arial"/>
              </a:defRPr>
            </a:pPr>
            <a:r>
              <a:rPr lang="en-US"/>
              <a:t>Dinamica cheltuielilor de personal 2014-2016 (euro)</a:t>
            </a:r>
          </a:p>
        </c:rich>
      </c:tx>
      <c:layout>
        <c:manualLayout>
          <c:xMode val="edge"/>
          <c:yMode val="edge"/>
          <c:x val="0.17844522968197879"/>
          <c:y val="3.5842293906810034E-2"/>
        </c:manualLayout>
      </c:layout>
      <c:overlay val="0"/>
      <c:spPr>
        <a:noFill/>
        <a:ln w="25400">
          <a:noFill/>
        </a:ln>
      </c:spPr>
    </c:title>
    <c:autoTitleDeleted val="0"/>
    <c:plotArea>
      <c:layout>
        <c:manualLayout>
          <c:layoutTarget val="inner"/>
          <c:xMode val="edge"/>
          <c:yMode val="edge"/>
          <c:x val="0.21201413427561838"/>
          <c:y val="0.23297572586149565"/>
          <c:w val="0.4717314487632509"/>
          <c:h val="0.60932112917621939"/>
        </c:manualLayout>
      </c:layout>
      <c:lineChart>
        <c:grouping val="standard"/>
        <c:varyColors val="0"/>
        <c:ser>
          <c:idx val="0"/>
          <c:order val="0"/>
          <c:tx>
            <c:strRef>
              <c:f>'tabele instante 2014'!$B$48</c:f>
              <c:strCache>
                <c:ptCount val="1"/>
                <c:pt idx="0">
                  <c:v>Cheltuieli de personal</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2014'!$A$49:$A$51</c:f>
              <c:numCache>
                <c:formatCode>General</c:formatCode>
                <c:ptCount val="3"/>
                <c:pt idx="0">
                  <c:v>2014</c:v>
                </c:pt>
                <c:pt idx="1">
                  <c:v>2015</c:v>
                </c:pt>
                <c:pt idx="2">
                  <c:v>2016</c:v>
                </c:pt>
              </c:numCache>
            </c:numRef>
          </c:cat>
          <c:val>
            <c:numRef>
              <c:f>'tabele instante 2014'!$B$49:$B$51</c:f>
              <c:numCache>
                <c:formatCode>_-* #,##0\ _l_e_i_-;\-* #,##0\ _l_e_i_-;_-* "-"??\ _l_e_i_-;_-@_-</c:formatCode>
                <c:ptCount val="3"/>
                <c:pt idx="0">
                  <c:v>462942022.47191012</c:v>
                </c:pt>
                <c:pt idx="1">
                  <c:v>401506306.30630624</c:v>
                </c:pt>
                <c:pt idx="2">
                  <c:v>320029555.55555558</c:v>
                </c:pt>
              </c:numCache>
            </c:numRef>
          </c:val>
          <c:smooth val="0"/>
        </c:ser>
        <c:dLbls>
          <c:showLegendKey val="0"/>
          <c:showVal val="0"/>
          <c:showCatName val="0"/>
          <c:showSerName val="0"/>
          <c:showPercent val="0"/>
          <c:showBubbleSize val="0"/>
        </c:dLbls>
        <c:marker val="1"/>
        <c:smooth val="0"/>
        <c:axId val="771002432"/>
        <c:axId val="770995360"/>
      </c:lineChart>
      <c:catAx>
        <c:axId val="77100243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770995360"/>
        <c:crosses val="autoZero"/>
        <c:auto val="1"/>
        <c:lblAlgn val="ctr"/>
        <c:lblOffset val="100"/>
        <c:tickLblSkip val="1"/>
        <c:tickMarkSkip val="1"/>
        <c:noMultiLvlLbl val="0"/>
      </c:catAx>
      <c:valAx>
        <c:axId val="770995360"/>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771002432"/>
        <c:crosses val="autoZero"/>
        <c:crossBetween val="between"/>
      </c:valAx>
      <c:spPr>
        <a:solidFill>
          <a:srgbClr val="C0C0C0"/>
        </a:solidFill>
        <a:ln w="12700">
          <a:solidFill>
            <a:srgbClr val="808080"/>
          </a:solidFill>
          <a:prstDash val="solid"/>
        </a:ln>
      </c:spPr>
    </c:plotArea>
    <c:legend>
      <c:legendPos val="r"/>
      <c:layout>
        <c:manualLayout>
          <c:xMode val="edge"/>
          <c:yMode val="edge"/>
          <c:x val="0.70318021201413428"/>
          <c:y val="0.50179399618058496"/>
          <c:w val="0.28268551236749118"/>
          <c:h val="7.5269193501349974E-2"/>
        </c:manualLayout>
      </c:layout>
      <c:overlay val="0"/>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25" b="0" i="0" u="none" strike="noStrike" baseline="0">
          <a:solidFill>
            <a:srgbClr val="000000"/>
          </a:solidFill>
          <a:latin typeface="Arial"/>
          <a:ea typeface="Arial"/>
          <a:cs typeface="Arial"/>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75" b="1" i="0" u="none" strike="noStrike" baseline="0">
                <a:solidFill>
                  <a:srgbClr val="000000"/>
                </a:solidFill>
                <a:latin typeface="Arial"/>
                <a:ea typeface="Arial"/>
                <a:cs typeface="Arial"/>
              </a:defRPr>
            </a:pPr>
            <a:r>
              <a:rPr lang="en-US"/>
              <a:t>Dinamica cheltuielilor cu bunuri si servicii 2014-2016 (euro)</a:t>
            </a:r>
          </a:p>
        </c:rich>
      </c:tx>
      <c:layout>
        <c:manualLayout>
          <c:xMode val="edge"/>
          <c:yMode val="edge"/>
          <c:x val="0.12296583180267023"/>
          <c:y val="3.7593984962406013E-2"/>
        </c:manualLayout>
      </c:layout>
      <c:overlay val="0"/>
      <c:spPr>
        <a:noFill/>
        <a:ln w="25400">
          <a:noFill/>
        </a:ln>
      </c:spPr>
    </c:title>
    <c:autoTitleDeleted val="0"/>
    <c:plotArea>
      <c:layout>
        <c:manualLayout>
          <c:layoutTarget val="inner"/>
          <c:xMode val="edge"/>
          <c:yMode val="edge"/>
          <c:x val="0.20434014425942326"/>
          <c:y val="0.22556390977443608"/>
          <c:w val="0.52802939932523529"/>
          <c:h val="0.60902255639097747"/>
        </c:manualLayout>
      </c:layout>
      <c:lineChart>
        <c:grouping val="standard"/>
        <c:varyColors val="0"/>
        <c:ser>
          <c:idx val="0"/>
          <c:order val="0"/>
          <c:tx>
            <c:strRef>
              <c:f>'tabele instante 2014'!$B$66</c:f>
              <c:strCache>
                <c:ptCount val="1"/>
                <c:pt idx="0">
                  <c:v>Bunuri si servicii</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2014'!$A$67:$A$69</c:f>
              <c:numCache>
                <c:formatCode>General</c:formatCode>
                <c:ptCount val="3"/>
                <c:pt idx="0">
                  <c:v>2014</c:v>
                </c:pt>
                <c:pt idx="1">
                  <c:v>2015</c:v>
                </c:pt>
                <c:pt idx="2">
                  <c:v>2016</c:v>
                </c:pt>
              </c:numCache>
            </c:numRef>
          </c:cat>
          <c:val>
            <c:numRef>
              <c:f>'tabele instante 2014'!$B$67:$B$69</c:f>
              <c:numCache>
                <c:formatCode>_-* #,##0\ _l_e_i_-;\-* #,##0\ _l_e_i_-;_-* "-"??\ _l_e_i_-;_-@_-</c:formatCode>
                <c:ptCount val="3"/>
                <c:pt idx="0">
                  <c:v>38535505.61797753</c:v>
                </c:pt>
                <c:pt idx="1">
                  <c:v>38865090.090090089</c:v>
                </c:pt>
                <c:pt idx="2">
                  <c:v>40222444.444444448</c:v>
                </c:pt>
              </c:numCache>
            </c:numRef>
          </c:val>
          <c:smooth val="0"/>
        </c:ser>
        <c:dLbls>
          <c:showLegendKey val="0"/>
          <c:showVal val="0"/>
          <c:showCatName val="0"/>
          <c:showSerName val="0"/>
          <c:showPercent val="0"/>
          <c:showBubbleSize val="0"/>
        </c:dLbls>
        <c:marker val="1"/>
        <c:smooth val="0"/>
        <c:axId val="770997536"/>
        <c:axId val="771002976"/>
      </c:lineChart>
      <c:catAx>
        <c:axId val="77099753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771002976"/>
        <c:crosses val="autoZero"/>
        <c:auto val="1"/>
        <c:lblAlgn val="ctr"/>
        <c:lblOffset val="100"/>
        <c:tickLblSkip val="1"/>
        <c:tickMarkSkip val="1"/>
        <c:noMultiLvlLbl val="0"/>
      </c:catAx>
      <c:valAx>
        <c:axId val="771002976"/>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770997536"/>
        <c:crosses val="autoZero"/>
        <c:crossBetween val="between"/>
      </c:valAx>
      <c:spPr>
        <a:solidFill>
          <a:srgbClr val="C0C0C0"/>
        </a:solidFill>
        <a:ln w="12700">
          <a:solidFill>
            <a:srgbClr val="808080"/>
          </a:solidFill>
          <a:prstDash val="solid"/>
        </a:ln>
      </c:spPr>
    </c:plotArea>
    <c:legend>
      <c:legendPos val="r"/>
      <c:layout>
        <c:manualLayout>
          <c:xMode val="edge"/>
          <c:yMode val="edge"/>
          <c:x val="0.75226096737907766"/>
          <c:y val="0.4924812030075188"/>
          <c:w val="0.23327324590755272"/>
          <c:h val="7.8947368421052599E-2"/>
        </c:manualLayout>
      </c:layout>
      <c:overlay val="0"/>
      <c:spPr>
        <a:solidFill>
          <a:srgbClr val="FFFFFF"/>
        </a:solidFill>
        <a:ln w="3175">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25" b="1" i="0" u="none" strike="noStrike" baseline="0">
                <a:solidFill>
                  <a:srgbClr val="000000"/>
                </a:solidFill>
                <a:latin typeface="Arial"/>
                <a:ea typeface="Arial"/>
                <a:cs typeface="Arial"/>
              </a:defRPr>
            </a:pPr>
            <a:r>
              <a:rPr lang="en-US"/>
              <a:t>Dinamica cheltuielilor de investitii 2014-2016 (euro)</a:t>
            </a:r>
          </a:p>
        </c:rich>
      </c:tx>
      <c:layout>
        <c:manualLayout>
          <c:xMode val="edge"/>
          <c:yMode val="edge"/>
          <c:x val="0.15849056603773584"/>
          <c:y val="3.7313432835820892E-2"/>
        </c:manualLayout>
      </c:layout>
      <c:overlay val="0"/>
      <c:spPr>
        <a:noFill/>
        <a:ln w="25400">
          <a:noFill/>
        </a:ln>
      </c:spPr>
    </c:title>
    <c:autoTitleDeleted val="0"/>
    <c:plotArea>
      <c:layout>
        <c:manualLayout>
          <c:layoutTarget val="inner"/>
          <c:xMode val="edge"/>
          <c:yMode val="edge"/>
          <c:x val="0.17735849056603772"/>
          <c:y val="0.22014965483189794"/>
          <c:w val="0.53018867924528301"/>
          <c:h val="0.62686681375862463"/>
        </c:manualLayout>
      </c:layout>
      <c:lineChart>
        <c:grouping val="standard"/>
        <c:varyColors val="0"/>
        <c:ser>
          <c:idx val="0"/>
          <c:order val="0"/>
          <c:tx>
            <c:strRef>
              <c:f>'tabele instante 2014'!$B$85</c:f>
              <c:strCache>
                <c:ptCount val="1"/>
                <c:pt idx="0">
                  <c:v>Cheltuieli de investitii</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2014'!$A$86:$A$88</c:f>
              <c:numCache>
                <c:formatCode>General</c:formatCode>
                <c:ptCount val="3"/>
                <c:pt idx="0">
                  <c:v>2014</c:v>
                </c:pt>
                <c:pt idx="1">
                  <c:v>2015</c:v>
                </c:pt>
                <c:pt idx="2">
                  <c:v>2016</c:v>
                </c:pt>
              </c:numCache>
            </c:numRef>
          </c:cat>
          <c:val>
            <c:numRef>
              <c:f>'tabele instante 2014'!$B$86:$B$88</c:f>
              <c:numCache>
                <c:formatCode>_-* #,##0\ _l_e_i_-;\-* #,##0\ _l_e_i_-;_-* "-"??\ _l_e_i_-;_-@_-</c:formatCode>
                <c:ptCount val="3"/>
                <c:pt idx="0">
                  <c:v>6550561.7977528088</c:v>
                </c:pt>
                <c:pt idx="1">
                  <c:v>7945495.4954954945</c:v>
                </c:pt>
                <c:pt idx="2">
                  <c:v>5847333.333333333</c:v>
                </c:pt>
              </c:numCache>
            </c:numRef>
          </c:val>
          <c:smooth val="0"/>
        </c:ser>
        <c:dLbls>
          <c:showLegendKey val="0"/>
          <c:showVal val="0"/>
          <c:showCatName val="0"/>
          <c:showSerName val="0"/>
          <c:showPercent val="0"/>
          <c:showBubbleSize val="0"/>
        </c:dLbls>
        <c:marker val="1"/>
        <c:smooth val="0"/>
        <c:axId val="771008960"/>
        <c:axId val="771007872"/>
      </c:lineChart>
      <c:catAx>
        <c:axId val="77100896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771007872"/>
        <c:crosses val="autoZero"/>
        <c:auto val="1"/>
        <c:lblAlgn val="ctr"/>
        <c:lblOffset val="100"/>
        <c:tickLblSkip val="1"/>
        <c:tickMarkSkip val="1"/>
        <c:noMultiLvlLbl val="0"/>
      </c:catAx>
      <c:valAx>
        <c:axId val="771007872"/>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771008960"/>
        <c:crosses val="autoZero"/>
        <c:crossBetween val="between"/>
      </c:valAx>
      <c:spPr>
        <a:solidFill>
          <a:srgbClr val="C0C0C0"/>
        </a:solidFill>
        <a:ln w="12700">
          <a:solidFill>
            <a:srgbClr val="808080"/>
          </a:solidFill>
          <a:prstDash val="solid"/>
        </a:ln>
      </c:spPr>
    </c:plotArea>
    <c:legend>
      <c:legendPos val="r"/>
      <c:layout>
        <c:manualLayout>
          <c:xMode val="edge"/>
          <c:yMode val="edge"/>
          <c:x val="0.72830188679245278"/>
          <c:y val="0.4962694402005719"/>
          <c:w val="0.25660377358490571"/>
          <c:h val="0.13930348258706468"/>
        </c:manualLayout>
      </c:layout>
      <c:overlay val="0"/>
      <c:spPr>
        <a:solidFill>
          <a:srgbClr val="FFFFFF"/>
        </a:solidFill>
        <a:ln w="3175">
          <a:solidFill>
            <a:srgbClr val="000000"/>
          </a:solidFill>
          <a:prstDash val="solid"/>
        </a:ln>
      </c:spPr>
      <c:txPr>
        <a:bodyPr/>
        <a:lstStyle/>
        <a:p>
          <a:pPr>
            <a:defRPr sz="78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25" b="1" i="0" u="none" strike="noStrike" baseline="0">
                <a:solidFill>
                  <a:srgbClr val="000000"/>
                </a:solidFill>
                <a:latin typeface="Arial"/>
                <a:ea typeface="Arial"/>
                <a:cs typeface="Arial"/>
              </a:defRPr>
            </a:pPr>
            <a:r>
              <a:rPr lang="en-US"/>
              <a:t>Dinamica bugetului parchetelor 201</a:t>
            </a:r>
            <a:r>
              <a:rPr lang="ro-RO"/>
              <a:t>4</a:t>
            </a:r>
            <a:r>
              <a:rPr lang="en-US"/>
              <a:t>-201</a:t>
            </a:r>
            <a:r>
              <a:rPr lang="ro-RO"/>
              <a:t>6</a:t>
            </a:r>
            <a:r>
              <a:rPr lang="en-US"/>
              <a:t> (euro)</a:t>
            </a:r>
          </a:p>
        </c:rich>
      </c:tx>
      <c:layout>
        <c:manualLayout>
          <c:xMode val="edge"/>
          <c:yMode val="edge"/>
          <c:x val="0.19069791857413171"/>
          <c:y val="3.9647577092511016E-2"/>
        </c:manualLayout>
      </c:layout>
      <c:overlay val="0"/>
      <c:spPr>
        <a:noFill/>
        <a:ln w="25400">
          <a:noFill/>
        </a:ln>
      </c:spPr>
    </c:title>
    <c:autoTitleDeleted val="0"/>
    <c:plotArea>
      <c:layout>
        <c:manualLayout>
          <c:layoutTarget val="inner"/>
          <c:xMode val="edge"/>
          <c:yMode val="edge"/>
          <c:x val="0.24651190783056395"/>
          <c:y val="0.24229074889867841"/>
          <c:w val="0.41627954246859383"/>
          <c:h val="0.5770925110132159"/>
        </c:manualLayout>
      </c:layout>
      <c:lineChart>
        <c:grouping val="standard"/>
        <c:varyColors val="0"/>
        <c:ser>
          <c:idx val="0"/>
          <c:order val="0"/>
          <c:tx>
            <c:strRef>
              <c:f>'tabele instante 2016'!$R$28</c:f>
              <c:strCache>
                <c:ptCount val="1"/>
                <c:pt idx="0">
                  <c:v>Buget alocat parchetelor (euro)</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2016'!$Q$29:$Q$31</c:f>
              <c:numCache>
                <c:formatCode>General</c:formatCode>
                <c:ptCount val="3"/>
                <c:pt idx="0">
                  <c:v>2014</c:v>
                </c:pt>
                <c:pt idx="1">
                  <c:v>2015</c:v>
                </c:pt>
                <c:pt idx="2">
                  <c:v>2016</c:v>
                </c:pt>
              </c:numCache>
            </c:numRef>
          </c:cat>
          <c:val>
            <c:numRef>
              <c:f>'tabele instante 2016'!$R$29:$R$31</c:f>
              <c:numCache>
                <c:formatCode>_-* #,##0\ _l_e_i_-;\-* #,##0\ _l_e_i_-;_-* "-"??\ _l_e_i_-;_-@_-</c:formatCode>
                <c:ptCount val="3"/>
                <c:pt idx="0">
                  <c:v>239641797.75280899</c:v>
                </c:pt>
                <c:pt idx="1">
                  <c:v>232497297.29729727</c:v>
                </c:pt>
                <c:pt idx="2">
                  <c:v>196539111.1111111</c:v>
                </c:pt>
              </c:numCache>
            </c:numRef>
          </c:val>
          <c:smooth val="0"/>
        </c:ser>
        <c:dLbls>
          <c:showLegendKey val="0"/>
          <c:showVal val="0"/>
          <c:showCatName val="0"/>
          <c:showSerName val="0"/>
          <c:showPercent val="0"/>
          <c:showBubbleSize val="0"/>
        </c:dLbls>
        <c:marker val="1"/>
        <c:smooth val="0"/>
        <c:axId val="771004064"/>
        <c:axId val="771005152"/>
      </c:lineChart>
      <c:catAx>
        <c:axId val="7710040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771005152"/>
        <c:crosses val="autoZero"/>
        <c:auto val="1"/>
        <c:lblAlgn val="ctr"/>
        <c:lblOffset val="100"/>
        <c:tickLblSkip val="1"/>
        <c:tickMarkSkip val="1"/>
        <c:noMultiLvlLbl val="0"/>
      </c:catAx>
      <c:valAx>
        <c:axId val="771005152"/>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771004064"/>
        <c:crosses val="autoZero"/>
        <c:crossBetween val="between"/>
      </c:valAx>
      <c:spPr>
        <a:solidFill>
          <a:srgbClr val="C0C0C0"/>
        </a:solidFill>
        <a:ln w="12700">
          <a:solidFill>
            <a:srgbClr val="808080"/>
          </a:solidFill>
          <a:prstDash val="solid"/>
        </a:ln>
      </c:spPr>
    </c:plotArea>
    <c:legend>
      <c:legendPos val="r"/>
      <c:layout>
        <c:manualLayout>
          <c:xMode val="edge"/>
          <c:yMode val="edge"/>
          <c:x val="0.68837282548983703"/>
          <c:y val="0.45814977973568283"/>
          <c:w val="0.29302349996948063"/>
          <c:h val="0.14977973568281944"/>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Arial"/>
                <a:ea typeface="Arial"/>
                <a:cs typeface="Arial"/>
              </a:defRPr>
            </a:pPr>
            <a:r>
              <a:rPr lang="en-US"/>
              <a:t>Dinamica cheltuielilor de personal 201</a:t>
            </a:r>
            <a:r>
              <a:rPr lang="ro-RO"/>
              <a:t>4</a:t>
            </a:r>
            <a:r>
              <a:rPr lang="en-US"/>
              <a:t>-201</a:t>
            </a:r>
            <a:r>
              <a:rPr lang="ro-RO"/>
              <a:t>6</a:t>
            </a:r>
            <a:r>
              <a:rPr lang="en-US"/>
              <a:t> (euro)</a:t>
            </a:r>
          </a:p>
        </c:rich>
      </c:tx>
      <c:layout>
        <c:manualLayout>
          <c:xMode val="edge"/>
          <c:yMode val="edge"/>
          <c:x val="0.16587677725118483"/>
          <c:y val="4.1284403669724773E-2"/>
        </c:manualLayout>
      </c:layout>
      <c:overlay val="0"/>
      <c:spPr>
        <a:noFill/>
        <a:ln w="25400">
          <a:noFill/>
        </a:ln>
      </c:spPr>
    </c:title>
    <c:autoTitleDeleted val="0"/>
    <c:plotArea>
      <c:layout>
        <c:manualLayout>
          <c:layoutTarget val="inner"/>
          <c:xMode val="edge"/>
          <c:yMode val="edge"/>
          <c:x val="0.25118483412322273"/>
          <c:y val="0.24770642201834864"/>
          <c:w val="0.37203791469194314"/>
          <c:h val="0.56422018348623848"/>
        </c:manualLayout>
      </c:layout>
      <c:lineChart>
        <c:grouping val="standard"/>
        <c:varyColors val="0"/>
        <c:ser>
          <c:idx val="0"/>
          <c:order val="0"/>
          <c:tx>
            <c:strRef>
              <c:f>'tabele instante 2016'!$R$47</c:f>
              <c:strCache>
                <c:ptCount val="1"/>
                <c:pt idx="0">
                  <c:v>Cheltuieli de personal</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2016'!$Q$48:$Q$50</c:f>
              <c:numCache>
                <c:formatCode>General</c:formatCode>
                <c:ptCount val="3"/>
                <c:pt idx="0">
                  <c:v>2014</c:v>
                </c:pt>
                <c:pt idx="1">
                  <c:v>2015</c:v>
                </c:pt>
                <c:pt idx="2">
                  <c:v>2016</c:v>
                </c:pt>
              </c:numCache>
            </c:numRef>
          </c:cat>
          <c:val>
            <c:numRef>
              <c:f>'tabele instante 2016'!$R$48:$R$50</c:f>
              <c:numCache>
                <c:formatCode>_-* #,##0\ _l_e_i_-;\-* #,##0\ _l_e_i_-;_-* "-"??\ _l_e_i_-;_-@_-</c:formatCode>
                <c:ptCount val="3"/>
                <c:pt idx="0">
                  <c:v>224402059.49656749</c:v>
                </c:pt>
                <c:pt idx="1">
                  <c:v>205641797.75280899</c:v>
                </c:pt>
                <c:pt idx="2">
                  <c:v>167709555.55555555</c:v>
                </c:pt>
              </c:numCache>
            </c:numRef>
          </c:val>
          <c:smooth val="0"/>
        </c:ser>
        <c:dLbls>
          <c:showLegendKey val="0"/>
          <c:showVal val="0"/>
          <c:showCatName val="0"/>
          <c:showSerName val="0"/>
          <c:showPercent val="0"/>
          <c:showBubbleSize val="0"/>
        </c:dLbls>
        <c:marker val="1"/>
        <c:smooth val="0"/>
        <c:axId val="771009504"/>
        <c:axId val="770994272"/>
      </c:lineChart>
      <c:catAx>
        <c:axId val="7710095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770994272"/>
        <c:crosses val="autoZero"/>
        <c:auto val="1"/>
        <c:lblAlgn val="ctr"/>
        <c:lblOffset val="100"/>
        <c:tickLblSkip val="1"/>
        <c:tickMarkSkip val="1"/>
        <c:noMultiLvlLbl val="0"/>
      </c:catAx>
      <c:valAx>
        <c:axId val="770994272"/>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771009504"/>
        <c:crosses val="autoZero"/>
        <c:crossBetween val="between"/>
      </c:valAx>
      <c:spPr>
        <a:solidFill>
          <a:srgbClr val="C0C0C0"/>
        </a:solidFill>
        <a:ln w="12700">
          <a:solidFill>
            <a:srgbClr val="808080"/>
          </a:solidFill>
          <a:prstDash val="solid"/>
        </a:ln>
      </c:spPr>
    </c:plotArea>
    <c:legend>
      <c:legendPos val="r"/>
      <c:layout>
        <c:manualLayout>
          <c:xMode val="edge"/>
          <c:yMode val="edge"/>
          <c:x val="0.64928909952606639"/>
          <c:y val="0.48623853211009177"/>
          <c:w val="0.33175355450236965"/>
          <c:h val="9.1743119266055106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49" b="1" i="0" u="none" strike="noStrike" baseline="0">
                <a:solidFill>
                  <a:srgbClr val="000000"/>
                </a:solidFill>
                <a:latin typeface="Garamond"/>
                <a:ea typeface="Garamond"/>
                <a:cs typeface="Garamond"/>
              </a:defRPr>
            </a:pPr>
            <a:r>
              <a:rPr lang="en-US"/>
              <a:t>Volum de activitate la nivelul parchetelor în 2016 - dosare penale de soluţionat</a:t>
            </a:r>
          </a:p>
        </c:rich>
      </c:tx>
      <c:layout>
        <c:manualLayout>
          <c:xMode val="edge"/>
          <c:yMode val="edge"/>
          <c:x val="0.12535211267605634"/>
          <c:y val="1.8656716417910446E-2"/>
        </c:manualLayout>
      </c:layout>
      <c:overlay val="0"/>
      <c:spPr>
        <a:noFill/>
        <a:ln w="25374">
          <a:noFill/>
        </a:ln>
      </c:spPr>
    </c:title>
    <c:autoTitleDeleted val="0"/>
    <c:plotArea>
      <c:layout>
        <c:manualLayout>
          <c:layoutTarget val="inner"/>
          <c:xMode val="edge"/>
          <c:yMode val="edge"/>
          <c:x val="0.16901408450704225"/>
          <c:y val="0.26865671641791039"/>
          <c:w val="0.25633802816901408"/>
          <c:h val="0.67910447761194015"/>
        </c:manualLayout>
      </c:layout>
      <c:pieChart>
        <c:varyColors val="1"/>
        <c:ser>
          <c:idx val="0"/>
          <c:order val="0"/>
          <c:tx>
            <c:strRef>
              <c:f>Sheet1!$A$2</c:f>
              <c:strCache>
                <c:ptCount val="1"/>
                <c:pt idx="0">
                  <c:v>Volum de dosare de solutionat</c:v>
                </c:pt>
              </c:strCache>
            </c:strRef>
          </c:tx>
          <c:spPr>
            <a:solidFill>
              <a:srgbClr val="9999FF"/>
            </a:solidFill>
            <a:ln w="12687">
              <a:solidFill>
                <a:srgbClr val="000000"/>
              </a:solidFill>
              <a:prstDash val="solid"/>
            </a:ln>
          </c:spPr>
          <c:explosion val="25"/>
          <c:dPt>
            <c:idx val="0"/>
            <c:bubble3D val="0"/>
          </c:dPt>
          <c:dPt>
            <c:idx val="1"/>
            <c:bubble3D val="0"/>
            <c:spPr>
              <a:solidFill>
                <a:srgbClr val="993366"/>
              </a:solidFill>
              <a:ln w="12687">
                <a:solidFill>
                  <a:srgbClr val="000000"/>
                </a:solidFill>
                <a:prstDash val="solid"/>
              </a:ln>
            </c:spPr>
          </c:dPt>
          <c:dPt>
            <c:idx val="2"/>
            <c:bubble3D val="0"/>
            <c:spPr>
              <a:solidFill>
                <a:srgbClr val="FFFFCC"/>
              </a:solidFill>
              <a:ln w="12687">
                <a:solidFill>
                  <a:srgbClr val="000000"/>
                </a:solidFill>
                <a:prstDash val="solid"/>
              </a:ln>
            </c:spPr>
          </c:dPt>
          <c:dPt>
            <c:idx val="3"/>
            <c:bubble3D val="0"/>
            <c:spPr>
              <a:solidFill>
                <a:srgbClr val="CCFFFF"/>
              </a:solidFill>
              <a:ln w="12687">
                <a:solidFill>
                  <a:srgbClr val="000000"/>
                </a:solidFill>
                <a:prstDash val="solid"/>
              </a:ln>
            </c:spPr>
          </c:dPt>
          <c:dLbls>
            <c:dLbl>
              <c:idx val="0"/>
              <c:layout>
                <c:manualLayout>
                  <c:x val="0.12104721714881778"/>
                  <c:y val="-0.1623422078832627"/>
                </c:manualLayout>
              </c:layout>
              <c:numFmt formatCode="0.0%" sourceLinked="0"/>
              <c:spPr>
                <a:noFill/>
                <a:ln w="25374">
                  <a:noFill/>
                </a:ln>
              </c:spPr>
              <c:txPr>
                <a:bodyPr/>
                <a:lstStyle/>
                <a:p>
                  <a:pPr>
                    <a:defRPr sz="1199"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1.9025545364774604E-2"/>
                  <c:y val="-3.8840417151326356E-2"/>
                </c:manualLayout>
              </c:layout>
              <c:numFmt formatCode="0.0%" sourceLinked="0"/>
              <c:spPr>
                <a:noFill/>
                <a:ln w="25374">
                  <a:noFill/>
                </a:ln>
              </c:spPr>
              <c:txPr>
                <a:bodyPr/>
                <a:lstStyle/>
                <a:p>
                  <a:pPr>
                    <a:defRPr sz="1199"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1.3669694552163214E-2"/>
                  <c:y val="-9.4905152045066665E-2"/>
                </c:manualLayout>
              </c:layout>
              <c:numFmt formatCode="0.0%" sourceLinked="0"/>
              <c:spPr>
                <a:noFill/>
                <a:ln w="25374">
                  <a:noFill/>
                </a:ln>
              </c:spPr>
              <c:txPr>
                <a:bodyPr/>
                <a:lstStyle/>
                <a:p>
                  <a:pPr>
                    <a:defRPr sz="1199"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6.6029028309980364E-2"/>
                  <c:y val="-5.3018947166175195E-2"/>
                </c:manualLayout>
              </c:layout>
              <c:numFmt formatCode="0.0%" sourceLinked="0"/>
              <c:spPr>
                <a:noFill/>
                <a:ln w="25374">
                  <a:noFill/>
                </a:ln>
              </c:spPr>
              <c:txPr>
                <a:bodyPr/>
                <a:lstStyle/>
                <a:p>
                  <a:pPr>
                    <a:defRPr sz="1199"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74">
                <a:noFill/>
              </a:ln>
            </c:spPr>
            <c:txPr>
              <a:bodyPr wrap="square" lIns="38100" tIns="19050" rIns="38100" bIns="19050" anchor="ctr">
                <a:spAutoFit/>
              </a:bodyPr>
              <a:lstStyle/>
              <a:p>
                <a:pPr>
                  <a:defRPr sz="1199" b="1"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4"/>
                <c:pt idx="0">
                  <c:v>Parchetele de pe lângă judecătorii</c:v>
                </c:pt>
                <c:pt idx="1">
                  <c:v>Parchetele de pe lângă tribunale</c:v>
                </c:pt>
                <c:pt idx="2">
                  <c:v>Parchetele de pe lângă curţile de apel</c:v>
                </c:pt>
                <c:pt idx="3">
                  <c:v>P.I.C.C.J</c:v>
                </c:pt>
              </c:strCache>
            </c:strRef>
          </c:cat>
          <c:val>
            <c:numRef>
              <c:f>Sheet1!$B$2:$E$2</c:f>
              <c:numCache>
                <c:formatCode>General</c:formatCode>
                <c:ptCount val="4"/>
                <c:pt idx="0">
                  <c:v>1638332</c:v>
                </c:pt>
                <c:pt idx="1">
                  <c:v>78363</c:v>
                </c:pt>
                <c:pt idx="2">
                  <c:v>16360</c:v>
                </c:pt>
                <c:pt idx="3" formatCode="#,##0">
                  <c:v>43160</c:v>
                </c:pt>
              </c:numCache>
            </c:numRef>
          </c:val>
        </c:ser>
        <c:dLbls>
          <c:showLegendKey val="0"/>
          <c:showVal val="0"/>
          <c:showCatName val="0"/>
          <c:showSerName val="0"/>
          <c:showPercent val="1"/>
          <c:showBubbleSize val="0"/>
          <c:showLeaderLines val="1"/>
        </c:dLbls>
        <c:firstSliceAng val="0"/>
      </c:pieChart>
      <c:spPr>
        <a:solidFill>
          <a:srgbClr val="C0C0C0"/>
        </a:solidFill>
        <a:ln w="12687">
          <a:solidFill>
            <a:srgbClr val="808080"/>
          </a:solidFill>
          <a:prstDash val="solid"/>
        </a:ln>
      </c:spPr>
    </c:plotArea>
    <c:legend>
      <c:legendPos val="r"/>
      <c:layout>
        <c:manualLayout>
          <c:xMode val="edge"/>
          <c:yMode val="edge"/>
          <c:x val="0.67042253521126771"/>
          <c:y val="0.25373134328358204"/>
          <c:w val="0.32816901408450705"/>
          <c:h val="0.55597014925373134"/>
        </c:manualLayout>
      </c:layout>
      <c:overlay val="0"/>
      <c:spPr>
        <a:noFill/>
        <a:ln w="3172">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zero"/>
    <c:showDLblsOverMax val="0"/>
  </c:chart>
  <c:spPr>
    <a:noFill/>
    <a:ln w="9525" cap="flat" cmpd="sng" algn="ctr">
      <a:solidFill>
        <a:srgbClr val="000000"/>
      </a:solidFill>
      <a:prstDash val="solid"/>
      <a:miter lim="800000"/>
      <a:headEnd type="none" w="med" len="med"/>
      <a:tailEnd type="none" w="med" len="med"/>
    </a:ln>
  </c:spPr>
  <c:txPr>
    <a:bodyPr/>
    <a:lstStyle/>
    <a:p>
      <a:pPr>
        <a:defRPr sz="949" b="1" i="0" u="none" strike="noStrike" baseline="0">
          <a:solidFill>
            <a:srgbClr val="000000"/>
          </a:solidFill>
          <a:latin typeface="Arial"/>
          <a:ea typeface="Arial"/>
          <a:cs typeface="Arial"/>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Arial"/>
                <a:ea typeface="Arial"/>
                <a:cs typeface="Arial"/>
              </a:defRPr>
            </a:pPr>
            <a:r>
              <a:rPr lang="en-US"/>
              <a:t>Dinamica cheltuielilor cu bunuri si servicii 201</a:t>
            </a:r>
            <a:r>
              <a:rPr lang="ro-RO"/>
              <a:t>4</a:t>
            </a:r>
            <a:r>
              <a:rPr lang="en-US"/>
              <a:t> -201</a:t>
            </a:r>
            <a:r>
              <a:rPr lang="ro-RO"/>
              <a:t>6</a:t>
            </a:r>
            <a:r>
              <a:rPr lang="en-US"/>
              <a:t> (euro)</a:t>
            </a:r>
          </a:p>
        </c:rich>
      </c:tx>
      <c:layout>
        <c:manualLayout>
          <c:xMode val="edge"/>
          <c:yMode val="edge"/>
          <c:x val="0.14460810045803096"/>
          <c:y val="4.4117647058823532E-2"/>
        </c:manualLayout>
      </c:layout>
      <c:overlay val="0"/>
      <c:spPr>
        <a:noFill/>
        <a:ln w="25400">
          <a:noFill/>
        </a:ln>
      </c:spPr>
    </c:title>
    <c:autoTitleDeleted val="0"/>
    <c:plotArea>
      <c:layout>
        <c:manualLayout>
          <c:layoutTarget val="inner"/>
          <c:xMode val="edge"/>
          <c:yMode val="edge"/>
          <c:x val="0.24509862586795791"/>
          <c:y val="0.33823691328179228"/>
          <c:w val="0.41421667771684884"/>
          <c:h val="0.46078651954331123"/>
        </c:manualLayout>
      </c:layout>
      <c:lineChart>
        <c:grouping val="standard"/>
        <c:varyColors val="0"/>
        <c:ser>
          <c:idx val="0"/>
          <c:order val="0"/>
          <c:tx>
            <c:strRef>
              <c:f>'tabele instante 2016'!$R$66</c:f>
              <c:strCache>
                <c:ptCount val="1"/>
                <c:pt idx="0">
                  <c:v>Bunuri si servicii </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2016'!$Q$67:$Q$69</c:f>
              <c:numCache>
                <c:formatCode>General</c:formatCode>
                <c:ptCount val="3"/>
                <c:pt idx="0">
                  <c:v>2014</c:v>
                </c:pt>
                <c:pt idx="1">
                  <c:v>2015</c:v>
                </c:pt>
                <c:pt idx="2">
                  <c:v>2016</c:v>
                </c:pt>
              </c:numCache>
            </c:numRef>
          </c:cat>
          <c:val>
            <c:numRef>
              <c:f>'tabele instante 2016'!$R$67:$R$69</c:f>
              <c:numCache>
                <c:formatCode>_-* #,##0\ _l_e_i_-;\-* #,##0\ _l_e_i_-;_-* "-"??\ _l_e_i_-;_-@_-</c:formatCode>
                <c:ptCount val="3"/>
                <c:pt idx="0">
                  <c:v>16121281.464530893</c:v>
                </c:pt>
                <c:pt idx="1">
                  <c:v>18170786.516853932</c:v>
                </c:pt>
                <c:pt idx="2">
                  <c:v>18396666.666666668</c:v>
                </c:pt>
              </c:numCache>
            </c:numRef>
          </c:val>
          <c:smooth val="0"/>
        </c:ser>
        <c:dLbls>
          <c:showLegendKey val="0"/>
          <c:showVal val="0"/>
          <c:showCatName val="0"/>
          <c:showSerName val="0"/>
          <c:showPercent val="0"/>
          <c:showBubbleSize val="0"/>
        </c:dLbls>
        <c:marker val="1"/>
        <c:smooth val="0"/>
        <c:axId val="767957824"/>
        <c:axId val="767956192"/>
      </c:lineChart>
      <c:catAx>
        <c:axId val="76795782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767956192"/>
        <c:crosses val="autoZero"/>
        <c:auto val="1"/>
        <c:lblAlgn val="ctr"/>
        <c:lblOffset val="100"/>
        <c:tickLblSkip val="1"/>
        <c:tickMarkSkip val="1"/>
        <c:noMultiLvlLbl val="0"/>
      </c:catAx>
      <c:valAx>
        <c:axId val="767956192"/>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767957824"/>
        <c:crosses val="autoZero"/>
        <c:crossBetween val="between"/>
      </c:valAx>
      <c:spPr>
        <a:solidFill>
          <a:srgbClr val="C0C0C0"/>
        </a:solidFill>
        <a:ln w="12700">
          <a:solidFill>
            <a:srgbClr val="808080"/>
          </a:solidFill>
          <a:prstDash val="solid"/>
        </a:ln>
      </c:spPr>
    </c:plotArea>
    <c:legend>
      <c:legendPos val="r"/>
      <c:layout>
        <c:manualLayout>
          <c:xMode val="edge"/>
          <c:yMode val="edge"/>
          <c:x val="0.68627605372857803"/>
          <c:y val="0.5196104163450157"/>
          <c:w val="0.29411841902115177"/>
          <c:h val="9.8039730327826646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Arial"/>
                <a:ea typeface="Arial"/>
                <a:cs typeface="Arial"/>
              </a:defRPr>
            </a:pPr>
            <a:r>
              <a:rPr lang="en-US"/>
              <a:t>Dinamica cheltuiellori de investitii 201</a:t>
            </a:r>
            <a:r>
              <a:rPr lang="ro-RO"/>
              <a:t>4</a:t>
            </a:r>
            <a:r>
              <a:rPr lang="en-US"/>
              <a:t>-201</a:t>
            </a:r>
            <a:r>
              <a:rPr lang="ro-RO"/>
              <a:t>6</a:t>
            </a:r>
            <a:r>
              <a:rPr lang="en-US"/>
              <a:t> (euro) </a:t>
            </a:r>
          </a:p>
        </c:rich>
      </c:tx>
      <c:layout>
        <c:manualLayout>
          <c:xMode val="edge"/>
          <c:yMode val="edge"/>
          <c:x val="0.16058419704836163"/>
          <c:y val="4.3269230769230768E-2"/>
        </c:manualLayout>
      </c:layout>
      <c:overlay val="0"/>
      <c:spPr>
        <a:noFill/>
        <a:ln w="25400">
          <a:noFill/>
        </a:ln>
      </c:spPr>
    </c:title>
    <c:autoTitleDeleted val="0"/>
    <c:plotArea>
      <c:layout>
        <c:manualLayout>
          <c:layoutTarget val="inner"/>
          <c:xMode val="edge"/>
          <c:yMode val="edge"/>
          <c:x val="0.22871100571920078"/>
          <c:y val="0.25961599406549085"/>
          <c:w val="0.39416152049479286"/>
          <c:h val="0.54327050610000871"/>
        </c:manualLayout>
      </c:layout>
      <c:lineChart>
        <c:grouping val="standard"/>
        <c:varyColors val="0"/>
        <c:ser>
          <c:idx val="0"/>
          <c:order val="0"/>
          <c:tx>
            <c:strRef>
              <c:f>'tabele instante 2016'!$R$82</c:f>
              <c:strCache>
                <c:ptCount val="1"/>
                <c:pt idx="0">
                  <c:v>Cheltuieli de investitii </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'tabele instante 2016'!$Q$83:$Q$85</c:f>
              <c:numCache>
                <c:formatCode>General</c:formatCode>
                <c:ptCount val="3"/>
                <c:pt idx="0">
                  <c:v>2014</c:v>
                </c:pt>
                <c:pt idx="1">
                  <c:v>2015</c:v>
                </c:pt>
                <c:pt idx="2">
                  <c:v>2016</c:v>
                </c:pt>
              </c:numCache>
            </c:numRef>
          </c:cat>
          <c:val>
            <c:numRef>
              <c:f>'tabele instante 2016'!$R$83:$R$85</c:f>
              <c:numCache>
                <c:formatCode>_-* #,##0\ _l_e_i_-;\-* #,##0\ _l_e_i_-;_-* "-"??\ _l_e_i_-;_-@_-</c:formatCode>
                <c:ptCount val="3"/>
                <c:pt idx="0">
                  <c:v>3255377.5743707092</c:v>
                </c:pt>
                <c:pt idx="1">
                  <c:v>6219550.561797753</c:v>
                </c:pt>
                <c:pt idx="2">
                  <c:v>6059777.777777778</c:v>
                </c:pt>
              </c:numCache>
            </c:numRef>
          </c:val>
          <c:smooth val="0"/>
        </c:ser>
        <c:dLbls>
          <c:showLegendKey val="0"/>
          <c:showVal val="0"/>
          <c:showCatName val="0"/>
          <c:showSerName val="0"/>
          <c:showPercent val="0"/>
          <c:showBubbleSize val="0"/>
        </c:dLbls>
        <c:marker val="1"/>
        <c:smooth val="0"/>
        <c:axId val="767958368"/>
        <c:axId val="767963264"/>
      </c:lineChart>
      <c:catAx>
        <c:axId val="76795836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767963264"/>
        <c:crosses val="autoZero"/>
        <c:auto val="1"/>
        <c:lblAlgn val="ctr"/>
        <c:lblOffset val="100"/>
        <c:tickLblSkip val="1"/>
        <c:tickMarkSkip val="1"/>
        <c:noMultiLvlLbl val="0"/>
      </c:catAx>
      <c:valAx>
        <c:axId val="767963264"/>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767958368"/>
        <c:crosses val="autoZero"/>
        <c:crossBetween val="between"/>
      </c:valAx>
      <c:spPr>
        <a:solidFill>
          <a:srgbClr val="C0C0C0"/>
        </a:solidFill>
        <a:ln w="12700">
          <a:solidFill>
            <a:srgbClr val="808080"/>
          </a:solidFill>
          <a:prstDash val="solid"/>
        </a:ln>
      </c:spPr>
    </c:plotArea>
    <c:legend>
      <c:legendPos val="r"/>
      <c:layout>
        <c:manualLayout>
          <c:xMode val="edge"/>
          <c:yMode val="edge"/>
          <c:x val="0.64963656915148382"/>
          <c:y val="0.45192408641227533"/>
          <c:w val="0.33090100963656921"/>
          <c:h val="0.16346204320613766"/>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1.9400352733686066E-2"/>
          <c:y val="5.1886792452830191E-2"/>
          <c:w val="0.96472663139329806"/>
          <c:h val="0.90566037735849059"/>
        </c:manualLayout>
      </c:layout>
      <c:barChart>
        <c:barDir val="col"/>
        <c:grouping val="clustered"/>
        <c:varyColors val="0"/>
        <c:dLbls>
          <c:showLegendKey val="0"/>
          <c:showVal val="0"/>
          <c:showCatName val="0"/>
          <c:showSerName val="0"/>
          <c:showPercent val="0"/>
          <c:showBubbleSize val="0"/>
        </c:dLbls>
        <c:gapWidth val="150"/>
        <c:axId val="351076992"/>
        <c:axId val="351077536"/>
      </c:barChart>
      <c:catAx>
        <c:axId val="351076992"/>
        <c:scaling>
          <c:orientation val="minMax"/>
        </c:scaling>
        <c:delete val="0"/>
        <c:axPos val="b"/>
        <c:majorTickMark val="cross"/>
        <c:minorTickMark val="none"/>
        <c:tickLblPos val="nextTo"/>
        <c:spPr>
          <a:ln w="3172">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n-US"/>
          </a:p>
        </c:txPr>
        <c:crossAx val="351077536"/>
        <c:crosses val="autoZero"/>
        <c:auto val="1"/>
        <c:lblAlgn val="ctr"/>
        <c:lblOffset val="100"/>
        <c:tickMarkSkip val="1"/>
        <c:noMultiLvlLbl val="0"/>
      </c:catAx>
      <c:valAx>
        <c:axId val="351077536"/>
        <c:scaling>
          <c:orientation val="minMax"/>
        </c:scaling>
        <c:delete val="0"/>
        <c:axPos val="l"/>
        <c:majorTickMark val="cross"/>
        <c:minorTickMark val="none"/>
        <c:tickLblPos val="nextTo"/>
        <c:spPr>
          <a:ln w="3172">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n-US"/>
          </a:p>
        </c:txPr>
        <c:crossAx val="351076992"/>
        <c:crosses val="autoZero"/>
        <c:crossBetween val="between"/>
      </c:valAx>
      <c:spPr>
        <a:noFill/>
        <a:ln w="25377">
          <a:noFill/>
        </a:ln>
      </c:spPr>
    </c:plotArea>
    <c:plotVisOnly val="1"/>
    <c:dispBlanksAs val="gap"/>
    <c:showDLblsOverMax val="0"/>
  </c:chart>
  <c:spPr>
    <a:noFill/>
    <a:ln>
      <a:noFill/>
    </a:ln>
  </c:spPr>
  <c:txPr>
    <a:bodyPr/>
    <a:lstStyle/>
    <a:p>
      <a:pPr>
        <a:defRPr sz="999"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Dosare de soluţionat în ultimii 5 ani </a:t>
            </a:r>
          </a:p>
        </c:rich>
      </c:tx>
      <c:layout>
        <c:manualLayout>
          <c:xMode val="edge"/>
          <c:yMode val="edge"/>
          <c:x val="0.25321098481366872"/>
          <c:y val="3.8194637435026504E-2"/>
        </c:manualLayout>
      </c:layout>
      <c:overlay val="0"/>
      <c:spPr>
        <a:noFill/>
        <a:ln w="25400">
          <a:noFill/>
        </a:ln>
      </c:spPr>
    </c:title>
    <c:autoTitleDeleted val="0"/>
    <c:plotArea>
      <c:layout>
        <c:manualLayout>
          <c:layoutTarget val="inner"/>
          <c:xMode val="edge"/>
          <c:yMode val="edge"/>
          <c:x val="0.12040144702669839"/>
          <c:y val="0.31452500995989846"/>
          <c:w val="0.62727667463292236"/>
          <c:h val="0.48843883899654816"/>
        </c:manualLayout>
      </c:layout>
      <c:lineChart>
        <c:grouping val="standard"/>
        <c:varyColors val="0"/>
        <c:ser>
          <c:idx val="0"/>
          <c:order val="0"/>
          <c:tx>
            <c:strRef>
              <c:f>Foaie1!$A$3</c:f>
              <c:strCache>
                <c:ptCount val="1"/>
                <c:pt idx="0">
                  <c:v>DIICOT</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6.6661526052960306E-4"/>
                  <c:y val="1.7346615239039177E-2"/>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3011830225045607E-2"/>
                  <c:y val="3.4261470545669179E-3"/>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1144984199230964E-2"/>
                  <c:y val="2.5043009020963021E-2"/>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3999142523537403E-3"/>
                  <c:y val="1.693424802345456E-2"/>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1.6208047388571848E-2"/>
                  <c:y val="-1.7960178047754876E-3"/>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9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Foaie1!$B$2:$F$2</c:f>
              <c:numCache>
                <c:formatCode>General</c:formatCode>
                <c:ptCount val="5"/>
                <c:pt idx="0">
                  <c:v>2012</c:v>
                </c:pt>
                <c:pt idx="1">
                  <c:v>2013</c:v>
                </c:pt>
                <c:pt idx="2">
                  <c:v>2014</c:v>
                </c:pt>
                <c:pt idx="3">
                  <c:v>2015</c:v>
                </c:pt>
                <c:pt idx="4">
                  <c:v>2016</c:v>
                </c:pt>
              </c:numCache>
            </c:numRef>
          </c:cat>
          <c:val>
            <c:numRef>
              <c:f>Foaie1!$B$3:$F$3</c:f>
              <c:numCache>
                <c:formatCode>General</c:formatCode>
                <c:ptCount val="5"/>
                <c:pt idx="0">
                  <c:v>16984</c:v>
                </c:pt>
                <c:pt idx="1">
                  <c:v>17655</c:v>
                </c:pt>
                <c:pt idx="2">
                  <c:v>18015</c:v>
                </c:pt>
                <c:pt idx="3">
                  <c:v>22025</c:v>
                </c:pt>
                <c:pt idx="4">
                  <c:v>25657</c:v>
                </c:pt>
              </c:numCache>
            </c:numRef>
          </c:val>
          <c:smooth val="0"/>
        </c:ser>
        <c:ser>
          <c:idx val="1"/>
          <c:order val="1"/>
          <c:tx>
            <c:strRef>
              <c:f>Foaie1!$A$4</c:f>
              <c:strCache>
                <c:ptCount val="1"/>
                <c:pt idx="0">
                  <c:v>DNA</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dLbls>
            <c:dLbl>
              <c:idx val="0"/>
              <c:layout>
                <c:manualLayout>
                  <c:x val="-1.96661202812329E-2"/>
                  <c:y val="-3.8856731600805369E-2"/>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8557121736435367E-2"/>
                  <c:y val="-3.9336928432360779E-2"/>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7448123191637754E-2"/>
                  <c:y val="-3.4914490625904987E-2"/>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1884219290319615E-2"/>
                  <c:y val="-3.737883037279377E-2"/>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0002669528863591E-2"/>
                  <c:y val="-5.2783908131966782E-2"/>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9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Foaie1!$B$2:$F$2</c:f>
              <c:numCache>
                <c:formatCode>General</c:formatCode>
                <c:ptCount val="5"/>
                <c:pt idx="0">
                  <c:v>2012</c:v>
                </c:pt>
                <c:pt idx="1">
                  <c:v>2013</c:v>
                </c:pt>
                <c:pt idx="2">
                  <c:v>2014</c:v>
                </c:pt>
                <c:pt idx="3">
                  <c:v>2015</c:v>
                </c:pt>
                <c:pt idx="4">
                  <c:v>2016</c:v>
                </c:pt>
              </c:numCache>
            </c:numRef>
          </c:cat>
          <c:val>
            <c:numRef>
              <c:f>Foaie1!$B$4:$F$4</c:f>
              <c:numCache>
                <c:formatCode>General</c:formatCode>
                <c:ptCount val="5"/>
                <c:pt idx="0">
                  <c:v>7406</c:v>
                </c:pt>
                <c:pt idx="1">
                  <c:v>7909</c:v>
                </c:pt>
                <c:pt idx="2">
                  <c:v>9111</c:v>
                </c:pt>
                <c:pt idx="3">
                  <c:v>10974</c:v>
                </c:pt>
                <c:pt idx="4">
                  <c:v>12353</c:v>
                </c:pt>
              </c:numCache>
            </c:numRef>
          </c:val>
          <c:smooth val="0"/>
        </c:ser>
        <c:ser>
          <c:idx val="2"/>
          <c:order val="2"/>
          <c:tx>
            <c:strRef>
              <c:f>Foaie1!$A$5</c:f>
              <c:strCache>
                <c:ptCount val="1"/>
                <c:pt idx="0">
                  <c:v>PICCJ</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dLbls>
            <c:dLbl>
              <c:idx val="0"/>
              <c:layout>
                <c:manualLayout>
                  <c:x val="-1.1818152432669852E-3"/>
                  <c:y val="5.5395746923566089E-3"/>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7.4665387136557699E-3"/>
                  <c:y val="3.5554317770232378E-3"/>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375126218404461E-2"/>
                  <c:y val="7.3821373027096251E-3"/>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1.2642066771336644E-2"/>
                  <c:y val="2.2162164562433914E-2"/>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1.7078359737928914E-2"/>
                  <c:y val="3.5627282800770543E-2"/>
                </c:manualLayout>
              </c:layout>
              <c:spPr>
                <a:noFill/>
                <a:ln w="25400">
                  <a:noFill/>
                </a:ln>
              </c:spPr>
              <c:txPr>
                <a:bodyPr/>
                <a:lstStyle/>
                <a:p>
                  <a:pPr>
                    <a:defRPr sz="9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9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Foaie1!$B$2:$F$2</c:f>
              <c:numCache>
                <c:formatCode>General</c:formatCode>
                <c:ptCount val="5"/>
                <c:pt idx="0">
                  <c:v>2012</c:v>
                </c:pt>
                <c:pt idx="1">
                  <c:v>2013</c:v>
                </c:pt>
                <c:pt idx="2">
                  <c:v>2014</c:v>
                </c:pt>
                <c:pt idx="3">
                  <c:v>2015</c:v>
                </c:pt>
                <c:pt idx="4">
                  <c:v>2016</c:v>
                </c:pt>
              </c:numCache>
            </c:numRef>
          </c:cat>
          <c:val>
            <c:numRef>
              <c:f>Foaie1!$B$5:$F$5</c:f>
              <c:numCache>
                <c:formatCode>General</c:formatCode>
                <c:ptCount val="5"/>
                <c:pt idx="0">
                  <c:v>1700</c:v>
                </c:pt>
                <c:pt idx="1">
                  <c:v>1510</c:v>
                </c:pt>
                <c:pt idx="2">
                  <c:v>1265</c:v>
                </c:pt>
                <c:pt idx="3">
                  <c:v>1130</c:v>
                </c:pt>
                <c:pt idx="4">
                  <c:v>1180</c:v>
                </c:pt>
              </c:numCache>
            </c:numRef>
          </c:val>
          <c:smooth val="0"/>
        </c:ser>
        <c:dLbls>
          <c:showLegendKey val="0"/>
          <c:showVal val="0"/>
          <c:showCatName val="0"/>
          <c:showSerName val="0"/>
          <c:showPercent val="0"/>
          <c:showBubbleSize val="0"/>
        </c:dLbls>
        <c:marker val="1"/>
        <c:smooth val="0"/>
        <c:axId val="351063008"/>
        <c:axId val="351062464"/>
      </c:lineChart>
      <c:catAx>
        <c:axId val="35106300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351062464"/>
        <c:crosses val="autoZero"/>
        <c:auto val="1"/>
        <c:lblAlgn val="ctr"/>
        <c:lblOffset val="100"/>
        <c:tickLblSkip val="1"/>
        <c:tickMarkSkip val="1"/>
        <c:noMultiLvlLbl val="0"/>
      </c:catAx>
      <c:valAx>
        <c:axId val="35106246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351063008"/>
        <c:crosses val="autoZero"/>
        <c:crossBetween val="between"/>
      </c:valAx>
      <c:spPr>
        <a:solidFill>
          <a:srgbClr val="C0C0C0"/>
        </a:solidFill>
        <a:ln w="12700">
          <a:solidFill>
            <a:srgbClr val="808080"/>
          </a:solidFill>
          <a:prstDash val="solid"/>
        </a:ln>
      </c:spPr>
    </c:plotArea>
    <c:legend>
      <c:legendPos val="r"/>
      <c:layout>
        <c:manualLayout>
          <c:xMode val="edge"/>
          <c:yMode val="edge"/>
          <c:x val="0.82497287777552564"/>
          <c:y val="0.24051912526345173"/>
          <c:w val="0.16053526270226448"/>
          <c:h val="0.68085413920730953"/>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a:ea typeface="Arial"/>
          <a:cs typeface="Arial"/>
        </a:defRPr>
      </a:pPr>
      <a:endParaRPr lang="en-US"/>
    </a:p>
  </c:txPr>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98" b="0" i="0" u="none" strike="noStrike" baseline="0">
                <a:solidFill>
                  <a:srgbClr val="000000"/>
                </a:solidFill>
                <a:latin typeface="Arial"/>
                <a:ea typeface="Arial"/>
                <a:cs typeface="Arial"/>
              </a:defRPr>
            </a:pPr>
            <a:r>
              <a:rPr lang="en-US" sz="1198" b="1" i="0" u="none" strike="noStrike" baseline="0">
                <a:solidFill>
                  <a:srgbClr val="000000"/>
                </a:solidFill>
                <a:latin typeface="Arial"/>
                <a:cs typeface="Arial"/>
              </a:rPr>
              <a:t>Volumul de activitate la parchetele de pe langa curtile de apel in perioada 2012-2016</a:t>
            </a:r>
          </a:p>
        </c:rich>
      </c:tx>
      <c:layout>
        <c:manualLayout>
          <c:xMode val="edge"/>
          <c:yMode val="edge"/>
          <c:x val="0.14065507219152279"/>
          <c:y val="2.1276808079598412E-2"/>
        </c:manualLayout>
      </c:layout>
      <c:overlay val="0"/>
      <c:spPr>
        <a:noFill/>
        <a:ln w="25350">
          <a:noFill/>
        </a:ln>
      </c:spPr>
    </c:title>
    <c:autoTitleDeleted val="0"/>
    <c:plotArea>
      <c:layout>
        <c:manualLayout>
          <c:layoutTarget val="inner"/>
          <c:xMode val="edge"/>
          <c:yMode val="edge"/>
          <c:x val="0.15799614643545279"/>
          <c:y val="0.2978723404255319"/>
          <c:w val="0.84200385356454721"/>
          <c:h val="0.38652482269503546"/>
        </c:manualLayout>
      </c:layout>
      <c:lineChart>
        <c:grouping val="standard"/>
        <c:varyColors val="0"/>
        <c:ser>
          <c:idx val="0"/>
          <c:order val="0"/>
          <c:tx>
            <c:strRef>
              <c:f>Foaie1!$A$32</c:f>
              <c:strCache>
                <c:ptCount val="1"/>
                <c:pt idx="0">
                  <c:v>Nr. Lucrari</c:v>
                </c:pt>
              </c:strCache>
            </c:strRef>
          </c:tx>
          <c:spPr>
            <a:ln w="12675">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7.9925388216330051E-3"/>
                  <c:y val="3.6191618325376554E-2"/>
                </c:manualLayout>
              </c:layout>
              <c:spPr>
                <a:noFill/>
                <a:ln w="25350">
                  <a:noFill/>
                </a:ln>
              </c:spPr>
              <c:txPr>
                <a:bodyPr/>
                <a:lstStyle/>
                <a:p>
                  <a:pPr>
                    <a:defRPr sz="998"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0232611594675578E-3"/>
                  <c:y val="1.7032100654448781E-2"/>
                </c:manualLayout>
              </c:layout>
              <c:spPr>
                <a:noFill/>
                <a:ln w="25350">
                  <a:noFill/>
                </a:ln>
              </c:spPr>
              <c:txPr>
                <a:bodyPr/>
                <a:lstStyle/>
                <a:p>
                  <a:pPr>
                    <a:defRPr sz="998"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8.5727003866670638E-3"/>
                  <c:y val="-6.8565198454996618E-2"/>
                </c:manualLayout>
              </c:layout>
              <c:spPr>
                <a:noFill/>
                <a:ln w="25350">
                  <a:noFill/>
                </a:ln>
              </c:spPr>
              <c:txPr>
                <a:bodyPr/>
                <a:lstStyle/>
                <a:p>
                  <a:pPr>
                    <a:defRPr sz="998"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9.1581369968370997E-3"/>
                  <c:y val="-6.5881811170983504E-2"/>
                </c:manualLayout>
              </c:layout>
              <c:spPr>
                <a:noFill/>
                <a:ln w="25350">
                  <a:noFill/>
                </a:ln>
              </c:spPr>
              <c:txPr>
                <a:bodyPr/>
                <a:lstStyle/>
                <a:p>
                  <a:pPr>
                    <a:defRPr sz="998"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2998775026607539E-3"/>
                  <c:y val="2.7324907940000937E-2"/>
                </c:manualLayout>
              </c:layout>
              <c:spPr>
                <a:noFill/>
                <a:ln w="25350">
                  <a:noFill/>
                </a:ln>
              </c:spPr>
              <c:txPr>
                <a:bodyPr/>
                <a:lstStyle/>
                <a:p>
                  <a:pPr>
                    <a:defRPr sz="998"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5350">
                <a:noFill/>
              </a:ln>
            </c:spPr>
            <c:txPr>
              <a:bodyPr wrap="square" lIns="38100" tIns="19050" rIns="38100" bIns="19050" anchor="ctr">
                <a:spAutoFit/>
              </a:bodyPr>
              <a:lstStyle/>
              <a:p>
                <a:pPr>
                  <a:defRPr sz="998"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Foaie1!$B$31:$F$31</c:f>
              <c:numCache>
                <c:formatCode>General</c:formatCode>
                <c:ptCount val="5"/>
                <c:pt idx="0">
                  <c:v>2012</c:v>
                </c:pt>
                <c:pt idx="1">
                  <c:v>2013</c:v>
                </c:pt>
                <c:pt idx="2">
                  <c:v>2014</c:v>
                </c:pt>
                <c:pt idx="3">
                  <c:v>2015</c:v>
                </c:pt>
                <c:pt idx="4">
                  <c:v>2016</c:v>
                </c:pt>
              </c:numCache>
            </c:numRef>
          </c:cat>
          <c:val>
            <c:numRef>
              <c:f>Foaie1!$B$32:$F$32</c:f>
              <c:numCache>
                <c:formatCode>General</c:formatCode>
                <c:ptCount val="5"/>
                <c:pt idx="0">
                  <c:v>190285</c:v>
                </c:pt>
                <c:pt idx="1">
                  <c:v>161864</c:v>
                </c:pt>
                <c:pt idx="2">
                  <c:v>139306</c:v>
                </c:pt>
                <c:pt idx="3">
                  <c:v>148293</c:v>
                </c:pt>
                <c:pt idx="4">
                  <c:v>154122</c:v>
                </c:pt>
              </c:numCache>
            </c:numRef>
          </c:val>
          <c:smooth val="0"/>
        </c:ser>
        <c:ser>
          <c:idx val="1"/>
          <c:order val="1"/>
          <c:tx>
            <c:strRef>
              <c:f>Foaie1!$A$33</c:f>
              <c:strCache>
                <c:ptCount val="1"/>
                <c:pt idx="0">
                  <c:v>Nr. Dosare</c:v>
                </c:pt>
              </c:strCache>
            </c:strRef>
          </c:tx>
          <c:spPr>
            <a:ln w="12675">
              <a:solidFill>
                <a:srgbClr val="FF00FF"/>
              </a:solidFill>
              <a:prstDash val="solid"/>
            </a:ln>
          </c:spPr>
          <c:marker>
            <c:symbol val="square"/>
            <c:size val="4"/>
            <c:spPr>
              <a:solidFill>
                <a:srgbClr val="FF00FF"/>
              </a:solidFill>
              <a:ln>
                <a:solidFill>
                  <a:srgbClr val="FF00FF"/>
                </a:solidFill>
                <a:prstDash val="solid"/>
              </a:ln>
            </c:spPr>
          </c:marker>
          <c:dLbls>
            <c:dLbl>
              <c:idx val="0"/>
              <c:layout>
                <c:manualLayout>
                  <c:x val="-7.9925388216329912E-3"/>
                  <c:y val="-3.668636476310666E-2"/>
                </c:manualLayout>
              </c:layout>
              <c:spPr>
                <a:noFill/>
                <a:ln w="25350">
                  <a:noFill/>
                </a:ln>
              </c:spPr>
              <c:txPr>
                <a:bodyPr/>
                <a:lstStyle/>
                <a:p>
                  <a:pPr>
                    <a:defRPr sz="998"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9097156861252073E-3"/>
                  <c:y val="-3.4848258769429506E-2"/>
                </c:manualLayout>
              </c:layout>
              <c:spPr>
                <a:noFill/>
                <a:ln w="25350">
                  <a:noFill/>
                </a:ln>
              </c:spPr>
              <c:txPr>
                <a:bodyPr/>
                <a:lstStyle/>
                <a:p>
                  <a:pPr>
                    <a:defRPr sz="998"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7536748242204135E-3"/>
                  <c:y val="-2.9561270400667247E-2"/>
                </c:manualLayout>
              </c:layout>
              <c:spPr>
                <a:noFill/>
                <a:ln w="25350">
                  <a:noFill/>
                </a:ln>
              </c:spPr>
              <c:txPr>
                <a:bodyPr/>
                <a:lstStyle/>
                <a:p>
                  <a:pPr>
                    <a:defRPr sz="998"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4511985095219316E-3"/>
                  <c:y val="-2.4654495870551067E-2"/>
                </c:manualLayout>
              </c:layout>
              <c:spPr>
                <a:noFill/>
                <a:ln w="25350">
                  <a:noFill/>
                </a:ln>
              </c:spPr>
              <c:txPr>
                <a:bodyPr/>
                <a:lstStyle/>
                <a:p>
                  <a:pPr>
                    <a:defRPr sz="998"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1.0720601487883188E-2"/>
                  <c:y val="-2.6069175150748955E-2"/>
                </c:manualLayout>
              </c:layout>
              <c:spPr>
                <a:noFill/>
                <a:ln w="25350">
                  <a:noFill/>
                </a:ln>
              </c:spPr>
              <c:txPr>
                <a:bodyPr/>
                <a:lstStyle/>
                <a:p>
                  <a:pPr>
                    <a:defRPr sz="998"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5350">
                <a:noFill/>
              </a:ln>
            </c:spPr>
            <c:txPr>
              <a:bodyPr wrap="square" lIns="38100" tIns="19050" rIns="38100" bIns="19050" anchor="ctr">
                <a:spAutoFit/>
              </a:bodyPr>
              <a:lstStyle/>
              <a:p>
                <a:pPr>
                  <a:defRPr sz="998"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Foaie1!$B$31:$F$31</c:f>
              <c:numCache>
                <c:formatCode>General</c:formatCode>
                <c:ptCount val="5"/>
                <c:pt idx="0">
                  <c:v>2012</c:v>
                </c:pt>
                <c:pt idx="1">
                  <c:v>2013</c:v>
                </c:pt>
                <c:pt idx="2">
                  <c:v>2014</c:v>
                </c:pt>
                <c:pt idx="3">
                  <c:v>2015</c:v>
                </c:pt>
                <c:pt idx="4">
                  <c:v>2016</c:v>
                </c:pt>
              </c:numCache>
            </c:numRef>
          </c:cat>
          <c:val>
            <c:numRef>
              <c:f>Foaie1!$B$33:$F$33</c:f>
              <c:numCache>
                <c:formatCode>General</c:formatCode>
                <c:ptCount val="5"/>
                <c:pt idx="0">
                  <c:v>16204</c:v>
                </c:pt>
                <c:pt idx="1">
                  <c:v>16368</c:v>
                </c:pt>
                <c:pt idx="2">
                  <c:v>16312</c:v>
                </c:pt>
                <c:pt idx="3">
                  <c:v>16711</c:v>
                </c:pt>
                <c:pt idx="4">
                  <c:v>16360</c:v>
                </c:pt>
              </c:numCache>
            </c:numRef>
          </c:val>
          <c:smooth val="0"/>
        </c:ser>
        <c:dLbls>
          <c:showLegendKey val="0"/>
          <c:showVal val="0"/>
          <c:showCatName val="0"/>
          <c:showSerName val="0"/>
          <c:showPercent val="0"/>
          <c:showBubbleSize val="0"/>
        </c:dLbls>
        <c:marker val="1"/>
        <c:smooth val="0"/>
        <c:axId val="351061920"/>
        <c:axId val="351064096"/>
      </c:lineChart>
      <c:catAx>
        <c:axId val="351061920"/>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1098" b="0" i="0" u="none" strike="noStrike" baseline="0">
                <a:solidFill>
                  <a:srgbClr val="000000"/>
                </a:solidFill>
                <a:latin typeface="Arial"/>
                <a:ea typeface="Arial"/>
                <a:cs typeface="Arial"/>
              </a:defRPr>
            </a:pPr>
            <a:endParaRPr lang="en-US"/>
          </a:p>
        </c:txPr>
        <c:crossAx val="351064096"/>
        <c:crosses val="autoZero"/>
        <c:auto val="1"/>
        <c:lblAlgn val="ctr"/>
        <c:lblOffset val="100"/>
        <c:tickLblSkip val="1"/>
        <c:tickMarkSkip val="1"/>
        <c:noMultiLvlLbl val="0"/>
      </c:catAx>
      <c:valAx>
        <c:axId val="351064096"/>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098" b="0" i="0" u="none" strike="noStrike" baseline="0">
                <a:solidFill>
                  <a:srgbClr val="000000"/>
                </a:solidFill>
                <a:latin typeface="Arial"/>
                <a:ea typeface="Arial"/>
                <a:cs typeface="Arial"/>
              </a:defRPr>
            </a:pPr>
            <a:endParaRPr lang="en-US"/>
          </a:p>
        </c:txPr>
        <c:crossAx val="351061920"/>
        <c:crosses val="autoZero"/>
        <c:crossBetween val="between"/>
      </c:valAx>
      <c:spPr>
        <a:solidFill>
          <a:srgbClr val="C0C0C0"/>
        </a:solidFill>
        <a:ln w="12675">
          <a:solidFill>
            <a:srgbClr val="808080"/>
          </a:solidFill>
          <a:prstDash val="solid"/>
        </a:ln>
      </c:spPr>
    </c:plotArea>
    <c:legend>
      <c:legendPos val="r"/>
      <c:layout>
        <c:manualLayout>
          <c:xMode val="edge"/>
          <c:yMode val="edge"/>
          <c:x val="0.34768740031897932"/>
          <c:y val="0.89602446483180431"/>
          <c:w val="0.41945773524720897"/>
          <c:h val="8.8685015290519864E-2"/>
        </c:manualLayout>
      </c:layout>
      <c:overlay val="0"/>
      <c:spPr>
        <a:solidFill>
          <a:srgbClr val="FFFFFF"/>
        </a:solidFill>
        <a:ln w="3169">
          <a:solidFill>
            <a:srgbClr val="000000"/>
          </a:solidFill>
          <a:prstDash val="solid"/>
        </a:ln>
      </c:spPr>
      <c:txPr>
        <a:bodyPr/>
        <a:lstStyle/>
        <a:p>
          <a:pPr>
            <a:defRPr sz="1008"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69">
      <a:solidFill>
        <a:srgbClr val="000000"/>
      </a:solidFill>
      <a:prstDash val="solid"/>
    </a:ln>
  </c:spPr>
  <c:txPr>
    <a:bodyPr/>
    <a:lstStyle/>
    <a:p>
      <a:pPr>
        <a:defRPr sz="1098"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1.5267175572519083E-2"/>
          <c:y val="3.2786885245901641E-2"/>
          <c:w val="0.85343511450381671"/>
          <c:h val="0.74098360655737705"/>
        </c:manualLayout>
      </c:layout>
      <c:bar3DChart>
        <c:barDir val="col"/>
        <c:grouping val="clustered"/>
        <c:varyColors val="0"/>
        <c:ser>
          <c:idx val="3"/>
          <c:order val="0"/>
          <c:tx>
            <c:strRef>
              <c:f>Sheet1!$A$2</c:f>
              <c:strCache>
                <c:ptCount val="1"/>
                <c:pt idx="0">
                  <c:v>2016</c:v>
                </c:pt>
              </c:strCache>
            </c:strRef>
          </c:tx>
          <c:spPr>
            <a:solidFill>
              <a:srgbClr val="CCFFFF"/>
            </a:solidFill>
            <a:ln w="12686">
              <a:solidFill>
                <a:srgbClr val="000000"/>
              </a:solidFill>
              <a:prstDash val="solid"/>
            </a:ln>
          </c:spPr>
          <c:invertIfNegative val="0"/>
          <c:dLbls>
            <c:dLbl>
              <c:idx val="0"/>
              <c:layout>
                <c:manualLayout>
                  <c:x val="6.207147524989659E-3"/>
                  <c:y val="-2.5217048996888147E-2"/>
                </c:manualLayout>
              </c:layout>
              <c:spPr>
                <a:noFill/>
                <a:ln w="25371">
                  <a:noFill/>
                </a:ln>
              </c:spPr>
              <c:txPr>
                <a:bodyPr/>
                <a:lstStyle/>
                <a:p>
                  <a:pPr>
                    <a:defRPr sz="12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2.7175025737429359E-2"/>
                  <c:y val="3.4714809885621284E-2"/>
                </c:manualLayout>
              </c:layout>
              <c:spPr>
                <a:noFill/>
                <a:ln w="25371">
                  <a:noFill/>
                </a:ln>
              </c:spPr>
              <c:txPr>
                <a:bodyPr/>
                <a:lstStyle/>
                <a:p>
                  <a:pPr>
                    <a:defRPr sz="12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2.5419318242759781E-3"/>
                  <c:y val="0"/>
                </c:manualLayout>
              </c:layout>
              <c:spPr>
                <a:noFill/>
                <a:ln w="25371">
                  <a:noFill/>
                </a:ln>
              </c:spPr>
              <c:txPr>
                <a:bodyPr/>
                <a:lstStyle/>
                <a:p>
                  <a:pPr>
                    <a:defRPr sz="129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71">
                <a:noFill/>
              </a:ln>
            </c:spPr>
            <c:txPr>
              <a:bodyPr wrap="square" lIns="38100" tIns="19050" rIns="38100" bIns="19050" anchor="ctr">
                <a:spAutoFit/>
              </a:bodyPr>
              <a:lstStyle/>
              <a:p>
                <a:pPr>
                  <a:defRPr sz="10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sub 500 dosare</c:v>
                </c:pt>
                <c:pt idx="1">
                  <c:v>intre 500-1.000 dosare</c:v>
                </c:pt>
                <c:pt idx="2">
                  <c:v>peste 1.000 dosare</c:v>
                </c:pt>
              </c:strCache>
            </c:strRef>
          </c:cat>
          <c:val>
            <c:numRef>
              <c:f>Sheet1!$B$2:$D$2</c:f>
              <c:numCache>
                <c:formatCode>General</c:formatCode>
                <c:ptCount val="3"/>
                <c:pt idx="0">
                  <c:v>1</c:v>
                </c:pt>
                <c:pt idx="1">
                  <c:v>6</c:v>
                </c:pt>
                <c:pt idx="2">
                  <c:v>8</c:v>
                </c:pt>
              </c:numCache>
            </c:numRef>
          </c:val>
        </c:ser>
        <c:ser>
          <c:idx val="1"/>
          <c:order val="1"/>
          <c:tx>
            <c:strRef>
              <c:f>Sheet1!$A$3</c:f>
              <c:strCache>
                <c:ptCount val="1"/>
                <c:pt idx="0">
                  <c:v>2015</c:v>
                </c:pt>
              </c:strCache>
            </c:strRef>
          </c:tx>
          <c:spPr>
            <a:solidFill>
              <a:srgbClr val="993366"/>
            </a:solidFill>
            <a:ln w="12686">
              <a:solidFill>
                <a:srgbClr val="000000"/>
              </a:solidFill>
              <a:prstDash val="solid"/>
            </a:ln>
          </c:spPr>
          <c:invertIfNegative val="0"/>
          <c:dLbls>
            <c:dLbl>
              <c:idx val="0"/>
              <c:layout>
                <c:manualLayout>
                  <c:x val="1.3005707044767251E-2"/>
                  <c:y val="-2.6833456548184254E-3"/>
                </c:manualLayout>
              </c:layout>
              <c:spPr>
                <a:noFill/>
                <a:ln w="25371">
                  <a:noFill/>
                </a:ln>
              </c:spPr>
              <c:txPr>
                <a:bodyPr/>
                <a:lstStyle/>
                <a:p>
                  <a:pPr>
                    <a:defRPr sz="10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0363497924509191E-2"/>
                  <c:y val="-1.8161322837882826E-2"/>
                </c:manualLayout>
              </c:layout>
              <c:spPr>
                <a:noFill/>
                <a:ln w="25371">
                  <a:noFill/>
                </a:ln>
              </c:spPr>
              <c:txPr>
                <a:bodyPr/>
                <a:lstStyle/>
                <a:p>
                  <a:pPr>
                    <a:defRPr sz="10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71">
                <a:noFill/>
              </a:ln>
            </c:spPr>
            <c:txPr>
              <a:bodyPr wrap="square" lIns="38100" tIns="19050" rIns="38100" bIns="19050" anchor="ctr">
                <a:spAutoFit/>
              </a:bodyPr>
              <a:lstStyle/>
              <a:p>
                <a:pPr>
                  <a:defRPr sz="10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sub 500 dosare</c:v>
                </c:pt>
                <c:pt idx="1">
                  <c:v>intre 500-1.000 dosare</c:v>
                </c:pt>
                <c:pt idx="2">
                  <c:v>peste 1.000 dosare</c:v>
                </c:pt>
              </c:strCache>
            </c:strRef>
          </c:cat>
          <c:val>
            <c:numRef>
              <c:f>Sheet1!$B$3:$D$3</c:f>
              <c:numCache>
                <c:formatCode>General</c:formatCode>
                <c:ptCount val="3"/>
                <c:pt idx="0">
                  <c:v>1</c:v>
                </c:pt>
                <c:pt idx="1">
                  <c:v>8</c:v>
                </c:pt>
                <c:pt idx="2">
                  <c:v>6</c:v>
                </c:pt>
              </c:numCache>
            </c:numRef>
          </c:val>
        </c:ser>
        <c:ser>
          <c:idx val="2"/>
          <c:order val="2"/>
          <c:tx>
            <c:strRef>
              <c:f>Sheet1!$A$4</c:f>
              <c:strCache>
                <c:ptCount val="1"/>
                <c:pt idx="0">
                  <c:v>2014</c:v>
                </c:pt>
              </c:strCache>
            </c:strRef>
          </c:tx>
          <c:spPr>
            <a:solidFill>
              <a:srgbClr val="FFFFCC"/>
            </a:solidFill>
            <a:ln w="12686">
              <a:solidFill>
                <a:srgbClr val="000000"/>
              </a:solidFill>
              <a:prstDash val="solid"/>
            </a:ln>
          </c:spPr>
          <c:invertIfNegative val="0"/>
          <c:dLbls>
            <c:dLbl>
              <c:idx val="0"/>
              <c:layout>
                <c:manualLayout>
                  <c:x val="1.9836832016078387E-2"/>
                  <c:y val="-2.2355476802359386E-2"/>
                </c:manualLayout>
              </c:layout>
              <c:spPr>
                <a:noFill/>
                <a:ln w="25371">
                  <a:noFill/>
                </a:ln>
              </c:spPr>
              <c:txPr>
                <a:bodyPr/>
                <a:lstStyle/>
                <a:p>
                  <a:pPr>
                    <a:defRPr sz="10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9.5610351095609669E-3"/>
                  <c:y val="-1.6666342949487031E-2"/>
                </c:manualLayout>
              </c:layout>
              <c:spPr>
                <a:noFill/>
                <a:ln w="25371">
                  <a:noFill/>
                </a:ln>
              </c:spPr>
              <c:txPr>
                <a:bodyPr/>
                <a:lstStyle/>
                <a:p>
                  <a:pPr>
                    <a:defRPr sz="10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71">
                <a:noFill/>
              </a:ln>
            </c:spPr>
            <c:txPr>
              <a:bodyPr wrap="square" lIns="38100" tIns="19050" rIns="38100" bIns="19050" anchor="ctr">
                <a:spAutoFit/>
              </a:bodyPr>
              <a:lstStyle/>
              <a:p>
                <a:pPr>
                  <a:defRPr sz="107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sub 500 dosare</c:v>
                </c:pt>
                <c:pt idx="1">
                  <c:v>intre 500-1.000 dosare</c:v>
                </c:pt>
                <c:pt idx="2">
                  <c:v>peste 1.000 dosare</c:v>
                </c:pt>
              </c:strCache>
            </c:strRef>
          </c:cat>
          <c:val>
            <c:numRef>
              <c:f>Sheet1!$B$4:$D$4</c:f>
              <c:numCache>
                <c:formatCode>General</c:formatCode>
                <c:ptCount val="3"/>
                <c:pt idx="0">
                  <c:v>1</c:v>
                </c:pt>
                <c:pt idx="1">
                  <c:v>7</c:v>
                </c:pt>
                <c:pt idx="2">
                  <c:v>7</c:v>
                </c:pt>
              </c:numCache>
            </c:numRef>
          </c:val>
        </c:ser>
        <c:dLbls>
          <c:showLegendKey val="0"/>
          <c:showVal val="1"/>
          <c:showCatName val="0"/>
          <c:showSerName val="0"/>
          <c:showPercent val="0"/>
          <c:showBubbleSize val="0"/>
        </c:dLbls>
        <c:gapWidth val="150"/>
        <c:gapDepth val="0"/>
        <c:shape val="box"/>
        <c:axId val="764175488"/>
        <c:axId val="764174944"/>
        <c:axId val="0"/>
      </c:bar3DChart>
      <c:catAx>
        <c:axId val="764175488"/>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1074" b="1" i="0" u="none" strike="noStrike" baseline="0">
                <a:solidFill>
                  <a:srgbClr val="000000"/>
                </a:solidFill>
                <a:latin typeface="Arial"/>
                <a:ea typeface="Arial"/>
                <a:cs typeface="Arial"/>
              </a:defRPr>
            </a:pPr>
            <a:endParaRPr lang="en-US"/>
          </a:p>
        </c:txPr>
        <c:crossAx val="764174944"/>
        <c:crosses val="autoZero"/>
        <c:auto val="1"/>
        <c:lblAlgn val="ctr"/>
        <c:lblOffset val="100"/>
        <c:tickLblSkip val="1"/>
        <c:tickMarkSkip val="1"/>
        <c:noMultiLvlLbl val="0"/>
      </c:catAx>
      <c:valAx>
        <c:axId val="764174944"/>
        <c:scaling>
          <c:orientation val="minMax"/>
        </c:scaling>
        <c:delete val="1"/>
        <c:axPos val="l"/>
        <c:numFmt formatCode="General" sourceLinked="1"/>
        <c:majorTickMark val="out"/>
        <c:minorTickMark val="none"/>
        <c:tickLblPos val="nextTo"/>
        <c:crossAx val="764175488"/>
        <c:crosses val="autoZero"/>
        <c:crossBetween val="between"/>
      </c:valAx>
      <c:spPr>
        <a:noFill/>
        <a:ln w="25371">
          <a:noFill/>
        </a:ln>
      </c:spPr>
    </c:plotArea>
    <c:legend>
      <c:legendPos val="r"/>
      <c:layout>
        <c:manualLayout>
          <c:xMode val="edge"/>
          <c:yMode val="edge"/>
          <c:x val="0.88854961832061063"/>
          <c:y val="0.37049180327868853"/>
          <c:w val="0.10534351145038168"/>
          <c:h val="0.25901639344262295"/>
        </c:manualLayout>
      </c:layout>
      <c:overlay val="0"/>
      <c:spPr>
        <a:noFill/>
        <a:ln w="3171">
          <a:solidFill>
            <a:srgbClr val="000000"/>
          </a:solidFill>
          <a:prstDash val="solid"/>
        </a:ln>
      </c:spPr>
      <c:txPr>
        <a:bodyPr/>
        <a:lstStyle/>
        <a:p>
          <a:pPr>
            <a:defRPr sz="984" b="1" i="0" u="none" strike="noStrike" baseline="0">
              <a:solidFill>
                <a:srgbClr val="000000"/>
              </a:solidFill>
              <a:latin typeface="Arial"/>
              <a:ea typeface="Arial"/>
              <a:cs typeface="Arial"/>
            </a:defRPr>
          </a:pPr>
          <a:endParaRPr lang="en-US"/>
        </a:p>
      </c:txPr>
    </c:legend>
    <c:plotVisOnly val="1"/>
    <c:dispBlanksAs val="gap"/>
    <c:showDLblsOverMax val="0"/>
  </c:chart>
  <c:spPr>
    <a:noFill/>
    <a:ln w="9525" cap="flat" cmpd="sng" algn="ctr">
      <a:solidFill>
        <a:srgbClr val="000000"/>
      </a:solidFill>
      <a:prstDash val="solid"/>
      <a:miter lim="800000"/>
      <a:headEnd type="none" w="med" len="med"/>
      <a:tailEnd type="none" w="med" len="med"/>
    </a:ln>
  </c:spPr>
  <c:txPr>
    <a:bodyPr/>
    <a:lstStyle/>
    <a:p>
      <a:pPr>
        <a:defRPr sz="1074" b="1"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0" i="0" u="none" strike="noStrike" baseline="0">
                <a:solidFill>
                  <a:srgbClr val="000000"/>
                </a:solidFill>
                <a:latin typeface="Arial"/>
                <a:ea typeface="Arial"/>
                <a:cs typeface="Arial"/>
              </a:defRPr>
            </a:pPr>
            <a:r>
              <a:rPr lang="en-US" sz="1200" b="1" i="0" u="none" strike="noStrike" baseline="0">
                <a:solidFill>
                  <a:srgbClr val="000000"/>
                </a:solidFill>
                <a:latin typeface="Arial"/>
                <a:cs typeface="Arial"/>
              </a:rPr>
              <a:t>Volumul de activitate la parchetele de pe langa tribunale in perioada 2012-2016</a:t>
            </a:r>
          </a:p>
        </c:rich>
      </c:tx>
      <c:layout>
        <c:manualLayout>
          <c:xMode val="edge"/>
          <c:yMode val="edge"/>
          <c:x val="0.18146214099216709"/>
          <c:y val="3.9138943248532287E-3"/>
        </c:manualLayout>
      </c:layout>
      <c:overlay val="0"/>
      <c:spPr>
        <a:noFill/>
        <a:ln w="25400">
          <a:noFill/>
        </a:ln>
      </c:spPr>
    </c:title>
    <c:autoTitleDeleted val="0"/>
    <c:plotArea>
      <c:layout>
        <c:manualLayout>
          <c:layoutTarget val="inner"/>
          <c:xMode val="edge"/>
          <c:yMode val="edge"/>
          <c:x val="0.11227154046997388"/>
          <c:y val="7.2407045009784746E-2"/>
          <c:w val="0.8877284595300261"/>
          <c:h val="0.63600782778864962"/>
        </c:manualLayout>
      </c:layout>
      <c:lineChart>
        <c:grouping val="standard"/>
        <c:varyColors val="0"/>
        <c:ser>
          <c:idx val="0"/>
          <c:order val="0"/>
          <c:tx>
            <c:strRef>
              <c:f>Foaie1!$A$91</c:f>
              <c:strCache>
                <c:ptCount val="1"/>
                <c:pt idx="0">
                  <c:v>Nr. Lucrari</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1.6660741391852106E-2"/>
                  <c:y val="2.8476529697051611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1756497839495882E-2"/>
                  <c:y val="-2.1765544582184344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8036623565187862E-3"/>
                  <c:y val="-2.2342300247420087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9464498755838015E-3"/>
                  <c:y val="-2.3408366385682809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8321549510181791E-3"/>
                  <c:y val="1.0575869401325317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11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Foaie1!$B$90:$F$90</c:f>
              <c:numCache>
                <c:formatCode>General</c:formatCode>
                <c:ptCount val="5"/>
                <c:pt idx="0">
                  <c:v>2012</c:v>
                </c:pt>
                <c:pt idx="1">
                  <c:v>2013</c:v>
                </c:pt>
                <c:pt idx="2">
                  <c:v>2014</c:v>
                </c:pt>
                <c:pt idx="3">
                  <c:v>2015</c:v>
                </c:pt>
                <c:pt idx="4">
                  <c:v>2016</c:v>
                </c:pt>
              </c:numCache>
            </c:numRef>
          </c:cat>
          <c:val>
            <c:numRef>
              <c:f>Foaie1!$B$91:$F$91</c:f>
              <c:numCache>
                <c:formatCode>General</c:formatCode>
                <c:ptCount val="5"/>
                <c:pt idx="0">
                  <c:v>444206</c:v>
                </c:pt>
                <c:pt idx="1">
                  <c:v>398752</c:v>
                </c:pt>
                <c:pt idx="2">
                  <c:v>353896</c:v>
                </c:pt>
                <c:pt idx="3">
                  <c:v>329811</c:v>
                </c:pt>
                <c:pt idx="4">
                  <c:v>340779</c:v>
                </c:pt>
              </c:numCache>
            </c:numRef>
          </c:val>
          <c:smooth val="0"/>
        </c:ser>
        <c:ser>
          <c:idx val="1"/>
          <c:order val="1"/>
          <c:tx>
            <c:strRef>
              <c:f>Foaie1!$A$92</c:f>
              <c:strCache>
                <c:ptCount val="1"/>
                <c:pt idx="0">
                  <c:v>Nr. Dosare</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dLbls>
            <c:dLbl>
              <c:idx val="0"/>
              <c:layout>
                <c:manualLayout>
                  <c:x val="-3.3803598534709274E-2"/>
                  <c:y val="-5.3896341911246495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1867663234329614E-2"/>
                  <c:y val="-6.2546985014652903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7505261506741213E-2"/>
                  <c:y val="-6.1849050477885664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1.4820712128145957E-2"/>
                  <c:y val="-6.9716178097217557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0525424494517271E-2"/>
                  <c:y val="-5.5685412281722468E-2"/>
                </c:manualLayout>
              </c:layout>
              <c:spPr>
                <a:noFill/>
                <a:ln w="25400">
                  <a:noFill/>
                </a:ln>
              </c:spPr>
              <c:txPr>
                <a:bodyPr/>
                <a:lstStyle/>
                <a:p>
                  <a:pPr>
                    <a:defRPr sz="1125"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11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Foaie1!$B$90:$F$90</c:f>
              <c:numCache>
                <c:formatCode>General</c:formatCode>
                <c:ptCount val="5"/>
                <c:pt idx="0">
                  <c:v>2012</c:v>
                </c:pt>
                <c:pt idx="1">
                  <c:v>2013</c:v>
                </c:pt>
                <c:pt idx="2">
                  <c:v>2014</c:v>
                </c:pt>
                <c:pt idx="3">
                  <c:v>2015</c:v>
                </c:pt>
                <c:pt idx="4">
                  <c:v>2016</c:v>
                </c:pt>
              </c:numCache>
            </c:numRef>
          </c:cat>
          <c:val>
            <c:numRef>
              <c:f>Foaie1!$B$92:$F$92</c:f>
              <c:numCache>
                <c:formatCode>General</c:formatCode>
                <c:ptCount val="5"/>
                <c:pt idx="0">
                  <c:v>87398</c:v>
                </c:pt>
                <c:pt idx="1">
                  <c:v>86070</c:v>
                </c:pt>
                <c:pt idx="2">
                  <c:v>87205</c:v>
                </c:pt>
                <c:pt idx="3">
                  <c:v>79853</c:v>
                </c:pt>
                <c:pt idx="4">
                  <c:v>78363</c:v>
                </c:pt>
              </c:numCache>
            </c:numRef>
          </c:val>
          <c:smooth val="0"/>
        </c:ser>
        <c:dLbls>
          <c:showLegendKey val="0"/>
          <c:showVal val="0"/>
          <c:showCatName val="0"/>
          <c:showSerName val="0"/>
          <c:showPercent val="0"/>
          <c:showBubbleSize val="0"/>
        </c:dLbls>
        <c:marker val="1"/>
        <c:smooth val="0"/>
        <c:axId val="764179840"/>
        <c:axId val="764177120"/>
      </c:lineChart>
      <c:catAx>
        <c:axId val="7641798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a:ea typeface="Arial"/>
                <a:cs typeface="Arial"/>
              </a:defRPr>
            </a:pPr>
            <a:endParaRPr lang="en-US"/>
          </a:p>
        </c:txPr>
        <c:crossAx val="764177120"/>
        <c:crosses val="autoZero"/>
        <c:auto val="1"/>
        <c:lblAlgn val="ctr"/>
        <c:lblOffset val="100"/>
        <c:tickLblSkip val="1"/>
        <c:tickMarkSkip val="1"/>
        <c:noMultiLvlLbl val="0"/>
      </c:catAx>
      <c:valAx>
        <c:axId val="7641771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Arial"/>
                <a:ea typeface="Arial"/>
                <a:cs typeface="Arial"/>
              </a:defRPr>
            </a:pPr>
            <a:endParaRPr lang="en-US"/>
          </a:p>
        </c:txPr>
        <c:crossAx val="764179840"/>
        <c:crosses val="autoZero"/>
        <c:crossBetween val="between"/>
      </c:valAx>
      <c:spPr>
        <a:solidFill>
          <a:srgbClr val="C0C0C0"/>
        </a:solidFill>
        <a:ln w="12700">
          <a:solidFill>
            <a:srgbClr val="808080"/>
          </a:solidFill>
          <a:prstDash val="solid"/>
        </a:ln>
      </c:spPr>
    </c:plotArea>
    <c:legend>
      <c:legendPos val="b"/>
      <c:layout>
        <c:manualLayout>
          <c:xMode val="edge"/>
          <c:yMode val="edge"/>
          <c:x val="0.35378590078328981"/>
          <c:y val="0.78864970645792565"/>
          <c:w val="0.3877284595300261"/>
          <c:h val="0.11545988258317025"/>
        </c:manualLayout>
      </c:layout>
      <c:overlay val="0"/>
      <c:spPr>
        <a:solidFill>
          <a:srgbClr val="FFFFFF"/>
        </a:solidFill>
        <a:ln w="3175">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25" b="0" i="0" u="none" strike="noStrike" baseline="0">
          <a:solidFill>
            <a:srgbClr val="000000"/>
          </a:solidFill>
          <a:latin typeface="Arial"/>
          <a:ea typeface="Arial"/>
          <a:cs typeface="Arial"/>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chart" Target="../charts/chart6.xml"/></Relationships>
</file>

<file path=word/drawings/drawing1.xml><?xml version="1.0" encoding="utf-8"?>
<c:userShapes xmlns:c="http://schemas.openxmlformats.org/drawingml/2006/chart">
  <cdr:relSizeAnchor xmlns:cdr="http://schemas.openxmlformats.org/drawingml/2006/chartDrawing">
    <cdr:from>
      <cdr:x>0</cdr:x>
      <cdr:y>0.05225</cdr:y>
    </cdr:from>
    <cdr:to>
      <cdr:x>0.89025</cdr:x>
      <cdr:y>1</cdr:y>
    </cdr:to>
    <cdr:graphicFrame macro="">
      <cdr:nvGraphicFramePr>
        <cdr:cNvPr id="3081" name="Chart 9"/>
        <cdr:cNvGraphicFramePr>
          <a:graphicFrameLocks xmlns:a="http://schemas.openxmlformats.org/drawingml/2006/main"/>
        </cdr:cNvGraphicFramePr>
      </cdr:nvGraphicFramePr>
      <cdr:xfrm>
        <a:off xmlns:a="http://schemas.openxmlformats.org/drawingml/2006/main" x="0" y="0"/>
        <a:ext xmlns:a="http://schemas.openxmlformats.org/drawingml/2006/main" cx="0" cy="0"/>
      </cdr:xfrm>
      <a:graphic xmlns:a="http://schemas.openxmlformats.org/drawingml/2006/main">
        <a:graphicData uri="http://schemas.openxmlformats.org/drawingml/2006/chart">
          <c:chart xmlns:c="http://schemas.openxmlformats.org/drawingml/2006/chart" xmlns:r="http://schemas.openxmlformats.org/officeDocument/2006/relationships" r:id="rId1"/>
        </a:graphicData>
      </a:graphic>
    </cdr:graphicFrame>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CE2D7-4D46-42A7-87AB-B56A60DBB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43615</Words>
  <Characters>248606</Characters>
  <Application>Microsoft Office Word</Application>
  <DocSecurity>0</DocSecurity>
  <Lines>2071</Lines>
  <Paragraphs>583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CUPRINS</vt:lpstr>
      <vt:lpstr>CUPRINS</vt:lpstr>
    </vt:vector>
  </TitlesOfParts>
  <Company>csm1909</Company>
  <LinksUpToDate>false</LinksUpToDate>
  <CharactersWithSpaces>291638</CharactersWithSpaces>
  <SharedDoc>false</SharedDoc>
  <HLinks>
    <vt:vector size="312" baseType="variant">
      <vt:variant>
        <vt:i4>1703989</vt:i4>
      </vt:variant>
      <vt:variant>
        <vt:i4>308</vt:i4>
      </vt:variant>
      <vt:variant>
        <vt:i4>0</vt:i4>
      </vt:variant>
      <vt:variant>
        <vt:i4>5</vt:i4>
      </vt:variant>
      <vt:variant>
        <vt:lpwstr/>
      </vt:variant>
      <vt:variant>
        <vt:lpwstr>_Toc476907747</vt:lpwstr>
      </vt:variant>
      <vt:variant>
        <vt:i4>1703989</vt:i4>
      </vt:variant>
      <vt:variant>
        <vt:i4>302</vt:i4>
      </vt:variant>
      <vt:variant>
        <vt:i4>0</vt:i4>
      </vt:variant>
      <vt:variant>
        <vt:i4>5</vt:i4>
      </vt:variant>
      <vt:variant>
        <vt:lpwstr/>
      </vt:variant>
      <vt:variant>
        <vt:lpwstr>_Toc476907745</vt:lpwstr>
      </vt:variant>
      <vt:variant>
        <vt:i4>1703989</vt:i4>
      </vt:variant>
      <vt:variant>
        <vt:i4>296</vt:i4>
      </vt:variant>
      <vt:variant>
        <vt:i4>0</vt:i4>
      </vt:variant>
      <vt:variant>
        <vt:i4>5</vt:i4>
      </vt:variant>
      <vt:variant>
        <vt:lpwstr/>
      </vt:variant>
      <vt:variant>
        <vt:lpwstr>_Toc476907744</vt:lpwstr>
      </vt:variant>
      <vt:variant>
        <vt:i4>1703989</vt:i4>
      </vt:variant>
      <vt:variant>
        <vt:i4>290</vt:i4>
      </vt:variant>
      <vt:variant>
        <vt:i4>0</vt:i4>
      </vt:variant>
      <vt:variant>
        <vt:i4>5</vt:i4>
      </vt:variant>
      <vt:variant>
        <vt:lpwstr/>
      </vt:variant>
      <vt:variant>
        <vt:lpwstr>_Toc476907743</vt:lpwstr>
      </vt:variant>
      <vt:variant>
        <vt:i4>1703989</vt:i4>
      </vt:variant>
      <vt:variant>
        <vt:i4>284</vt:i4>
      </vt:variant>
      <vt:variant>
        <vt:i4>0</vt:i4>
      </vt:variant>
      <vt:variant>
        <vt:i4>5</vt:i4>
      </vt:variant>
      <vt:variant>
        <vt:lpwstr/>
      </vt:variant>
      <vt:variant>
        <vt:lpwstr>_Toc476907742</vt:lpwstr>
      </vt:variant>
      <vt:variant>
        <vt:i4>1703989</vt:i4>
      </vt:variant>
      <vt:variant>
        <vt:i4>278</vt:i4>
      </vt:variant>
      <vt:variant>
        <vt:i4>0</vt:i4>
      </vt:variant>
      <vt:variant>
        <vt:i4>5</vt:i4>
      </vt:variant>
      <vt:variant>
        <vt:lpwstr/>
      </vt:variant>
      <vt:variant>
        <vt:lpwstr>_Toc476907741</vt:lpwstr>
      </vt:variant>
      <vt:variant>
        <vt:i4>1703989</vt:i4>
      </vt:variant>
      <vt:variant>
        <vt:i4>272</vt:i4>
      </vt:variant>
      <vt:variant>
        <vt:i4>0</vt:i4>
      </vt:variant>
      <vt:variant>
        <vt:i4>5</vt:i4>
      </vt:variant>
      <vt:variant>
        <vt:lpwstr/>
      </vt:variant>
      <vt:variant>
        <vt:lpwstr>_Toc476907740</vt:lpwstr>
      </vt:variant>
      <vt:variant>
        <vt:i4>1900597</vt:i4>
      </vt:variant>
      <vt:variant>
        <vt:i4>266</vt:i4>
      </vt:variant>
      <vt:variant>
        <vt:i4>0</vt:i4>
      </vt:variant>
      <vt:variant>
        <vt:i4>5</vt:i4>
      </vt:variant>
      <vt:variant>
        <vt:lpwstr/>
      </vt:variant>
      <vt:variant>
        <vt:lpwstr>_Toc476907739</vt:lpwstr>
      </vt:variant>
      <vt:variant>
        <vt:i4>1900597</vt:i4>
      </vt:variant>
      <vt:variant>
        <vt:i4>260</vt:i4>
      </vt:variant>
      <vt:variant>
        <vt:i4>0</vt:i4>
      </vt:variant>
      <vt:variant>
        <vt:i4>5</vt:i4>
      </vt:variant>
      <vt:variant>
        <vt:lpwstr/>
      </vt:variant>
      <vt:variant>
        <vt:lpwstr>_Toc476907738</vt:lpwstr>
      </vt:variant>
      <vt:variant>
        <vt:i4>1900597</vt:i4>
      </vt:variant>
      <vt:variant>
        <vt:i4>254</vt:i4>
      </vt:variant>
      <vt:variant>
        <vt:i4>0</vt:i4>
      </vt:variant>
      <vt:variant>
        <vt:i4>5</vt:i4>
      </vt:variant>
      <vt:variant>
        <vt:lpwstr/>
      </vt:variant>
      <vt:variant>
        <vt:lpwstr>_Toc476907737</vt:lpwstr>
      </vt:variant>
      <vt:variant>
        <vt:i4>1900597</vt:i4>
      </vt:variant>
      <vt:variant>
        <vt:i4>248</vt:i4>
      </vt:variant>
      <vt:variant>
        <vt:i4>0</vt:i4>
      </vt:variant>
      <vt:variant>
        <vt:i4>5</vt:i4>
      </vt:variant>
      <vt:variant>
        <vt:lpwstr/>
      </vt:variant>
      <vt:variant>
        <vt:lpwstr>_Toc476907736</vt:lpwstr>
      </vt:variant>
      <vt:variant>
        <vt:i4>1900597</vt:i4>
      </vt:variant>
      <vt:variant>
        <vt:i4>242</vt:i4>
      </vt:variant>
      <vt:variant>
        <vt:i4>0</vt:i4>
      </vt:variant>
      <vt:variant>
        <vt:i4>5</vt:i4>
      </vt:variant>
      <vt:variant>
        <vt:lpwstr/>
      </vt:variant>
      <vt:variant>
        <vt:lpwstr>_Toc476907735</vt:lpwstr>
      </vt:variant>
      <vt:variant>
        <vt:i4>1900597</vt:i4>
      </vt:variant>
      <vt:variant>
        <vt:i4>236</vt:i4>
      </vt:variant>
      <vt:variant>
        <vt:i4>0</vt:i4>
      </vt:variant>
      <vt:variant>
        <vt:i4>5</vt:i4>
      </vt:variant>
      <vt:variant>
        <vt:lpwstr/>
      </vt:variant>
      <vt:variant>
        <vt:lpwstr>_Toc476907734</vt:lpwstr>
      </vt:variant>
      <vt:variant>
        <vt:i4>1900597</vt:i4>
      </vt:variant>
      <vt:variant>
        <vt:i4>230</vt:i4>
      </vt:variant>
      <vt:variant>
        <vt:i4>0</vt:i4>
      </vt:variant>
      <vt:variant>
        <vt:i4>5</vt:i4>
      </vt:variant>
      <vt:variant>
        <vt:lpwstr/>
      </vt:variant>
      <vt:variant>
        <vt:lpwstr>_Toc476907731</vt:lpwstr>
      </vt:variant>
      <vt:variant>
        <vt:i4>1900597</vt:i4>
      </vt:variant>
      <vt:variant>
        <vt:i4>224</vt:i4>
      </vt:variant>
      <vt:variant>
        <vt:i4>0</vt:i4>
      </vt:variant>
      <vt:variant>
        <vt:i4>5</vt:i4>
      </vt:variant>
      <vt:variant>
        <vt:lpwstr/>
      </vt:variant>
      <vt:variant>
        <vt:lpwstr>_Toc476907730</vt:lpwstr>
      </vt:variant>
      <vt:variant>
        <vt:i4>1835061</vt:i4>
      </vt:variant>
      <vt:variant>
        <vt:i4>218</vt:i4>
      </vt:variant>
      <vt:variant>
        <vt:i4>0</vt:i4>
      </vt:variant>
      <vt:variant>
        <vt:i4>5</vt:i4>
      </vt:variant>
      <vt:variant>
        <vt:lpwstr/>
      </vt:variant>
      <vt:variant>
        <vt:lpwstr>_Toc476907729</vt:lpwstr>
      </vt:variant>
      <vt:variant>
        <vt:i4>1835061</vt:i4>
      </vt:variant>
      <vt:variant>
        <vt:i4>212</vt:i4>
      </vt:variant>
      <vt:variant>
        <vt:i4>0</vt:i4>
      </vt:variant>
      <vt:variant>
        <vt:i4>5</vt:i4>
      </vt:variant>
      <vt:variant>
        <vt:lpwstr/>
      </vt:variant>
      <vt:variant>
        <vt:lpwstr>_Toc476907728</vt:lpwstr>
      </vt:variant>
      <vt:variant>
        <vt:i4>1835061</vt:i4>
      </vt:variant>
      <vt:variant>
        <vt:i4>206</vt:i4>
      </vt:variant>
      <vt:variant>
        <vt:i4>0</vt:i4>
      </vt:variant>
      <vt:variant>
        <vt:i4>5</vt:i4>
      </vt:variant>
      <vt:variant>
        <vt:lpwstr/>
      </vt:variant>
      <vt:variant>
        <vt:lpwstr>_Toc476907727</vt:lpwstr>
      </vt:variant>
      <vt:variant>
        <vt:i4>1835061</vt:i4>
      </vt:variant>
      <vt:variant>
        <vt:i4>200</vt:i4>
      </vt:variant>
      <vt:variant>
        <vt:i4>0</vt:i4>
      </vt:variant>
      <vt:variant>
        <vt:i4>5</vt:i4>
      </vt:variant>
      <vt:variant>
        <vt:lpwstr/>
      </vt:variant>
      <vt:variant>
        <vt:lpwstr>_Toc476907726</vt:lpwstr>
      </vt:variant>
      <vt:variant>
        <vt:i4>1835061</vt:i4>
      </vt:variant>
      <vt:variant>
        <vt:i4>194</vt:i4>
      </vt:variant>
      <vt:variant>
        <vt:i4>0</vt:i4>
      </vt:variant>
      <vt:variant>
        <vt:i4>5</vt:i4>
      </vt:variant>
      <vt:variant>
        <vt:lpwstr/>
      </vt:variant>
      <vt:variant>
        <vt:lpwstr>_Toc476907725</vt:lpwstr>
      </vt:variant>
      <vt:variant>
        <vt:i4>1835061</vt:i4>
      </vt:variant>
      <vt:variant>
        <vt:i4>188</vt:i4>
      </vt:variant>
      <vt:variant>
        <vt:i4>0</vt:i4>
      </vt:variant>
      <vt:variant>
        <vt:i4>5</vt:i4>
      </vt:variant>
      <vt:variant>
        <vt:lpwstr/>
      </vt:variant>
      <vt:variant>
        <vt:lpwstr>_Toc476907724</vt:lpwstr>
      </vt:variant>
      <vt:variant>
        <vt:i4>1835061</vt:i4>
      </vt:variant>
      <vt:variant>
        <vt:i4>182</vt:i4>
      </vt:variant>
      <vt:variant>
        <vt:i4>0</vt:i4>
      </vt:variant>
      <vt:variant>
        <vt:i4>5</vt:i4>
      </vt:variant>
      <vt:variant>
        <vt:lpwstr/>
      </vt:variant>
      <vt:variant>
        <vt:lpwstr>_Toc476907723</vt:lpwstr>
      </vt:variant>
      <vt:variant>
        <vt:i4>1835061</vt:i4>
      </vt:variant>
      <vt:variant>
        <vt:i4>176</vt:i4>
      </vt:variant>
      <vt:variant>
        <vt:i4>0</vt:i4>
      </vt:variant>
      <vt:variant>
        <vt:i4>5</vt:i4>
      </vt:variant>
      <vt:variant>
        <vt:lpwstr/>
      </vt:variant>
      <vt:variant>
        <vt:lpwstr>_Toc476907722</vt:lpwstr>
      </vt:variant>
      <vt:variant>
        <vt:i4>1835061</vt:i4>
      </vt:variant>
      <vt:variant>
        <vt:i4>170</vt:i4>
      </vt:variant>
      <vt:variant>
        <vt:i4>0</vt:i4>
      </vt:variant>
      <vt:variant>
        <vt:i4>5</vt:i4>
      </vt:variant>
      <vt:variant>
        <vt:lpwstr/>
      </vt:variant>
      <vt:variant>
        <vt:lpwstr>_Toc476907721</vt:lpwstr>
      </vt:variant>
      <vt:variant>
        <vt:i4>1835061</vt:i4>
      </vt:variant>
      <vt:variant>
        <vt:i4>164</vt:i4>
      </vt:variant>
      <vt:variant>
        <vt:i4>0</vt:i4>
      </vt:variant>
      <vt:variant>
        <vt:i4>5</vt:i4>
      </vt:variant>
      <vt:variant>
        <vt:lpwstr/>
      </vt:variant>
      <vt:variant>
        <vt:lpwstr>_Toc476907720</vt:lpwstr>
      </vt:variant>
      <vt:variant>
        <vt:i4>2031669</vt:i4>
      </vt:variant>
      <vt:variant>
        <vt:i4>158</vt:i4>
      </vt:variant>
      <vt:variant>
        <vt:i4>0</vt:i4>
      </vt:variant>
      <vt:variant>
        <vt:i4>5</vt:i4>
      </vt:variant>
      <vt:variant>
        <vt:lpwstr/>
      </vt:variant>
      <vt:variant>
        <vt:lpwstr>_Toc476907719</vt:lpwstr>
      </vt:variant>
      <vt:variant>
        <vt:i4>2031669</vt:i4>
      </vt:variant>
      <vt:variant>
        <vt:i4>152</vt:i4>
      </vt:variant>
      <vt:variant>
        <vt:i4>0</vt:i4>
      </vt:variant>
      <vt:variant>
        <vt:i4>5</vt:i4>
      </vt:variant>
      <vt:variant>
        <vt:lpwstr/>
      </vt:variant>
      <vt:variant>
        <vt:lpwstr>_Toc476907718</vt:lpwstr>
      </vt:variant>
      <vt:variant>
        <vt:i4>2031669</vt:i4>
      </vt:variant>
      <vt:variant>
        <vt:i4>146</vt:i4>
      </vt:variant>
      <vt:variant>
        <vt:i4>0</vt:i4>
      </vt:variant>
      <vt:variant>
        <vt:i4>5</vt:i4>
      </vt:variant>
      <vt:variant>
        <vt:lpwstr/>
      </vt:variant>
      <vt:variant>
        <vt:lpwstr>_Toc476907717</vt:lpwstr>
      </vt:variant>
      <vt:variant>
        <vt:i4>2031669</vt:i4>
      </vt:variant>
      <vt:variant>
        <vt:i4>140</vt:i4>
      </vt:variant>
      <vt:variant>
        <vt:i4>0</vt:i4>
      </vt:variant>
      <vt:variant>
        <vt:i4>5</vt:i4>
      </vt:variant>
      <vt:variant>
        <vt:lpwstr/>
      </vt:variant>
      <vt:variant>
        <vt:lpwstr>_Toc476907716</vt:lpwstr>
      </vt:variant>
      <vt:variant>
        <vt:i4>2031669</vt:i4>
      </vt:variant>
      <vt:variant>
        <vt:i4>134</vt:i4>
      </vt:variant>
      <vt:variant>
        <vt:i4>0</vt:i4>
      </vt:variant>
      <vt:variant>
        <vt:i4>5</vt:i4>
      </vt:variant>
      <vt:variant>
        <vt:lpwstr/>
      </vt:variant>
      <vt:variant>
        <vt:lpwstr>_Toc476907715</vt:lpwstr>
      </vt:variant>
      <vt:variant>
        <vt:i4>2031669</vt:i4>
      </vt:variant>
      <vt:variant>
        <vt:i4>128</vt:i4>
      </vt:variant>
      <vt:variant>
        <vt:i4>0</vt:i4>
      </vt:variant>
      <vt:variant>
        <vt:i4>5</vt:i4>
      </vt:variant>
      <vt:variant>
        <vt:lpwstr/>
      </vt:variant>
      <vt:variant>
        <vt:lpwstr>_Toc476907714</vt:lpwstr>
      </vt:variant>
      <vt:variant>
        <vt:i4>2031669</vt:i4>
      </vt:variant>
      <vt:variant>
        <vt:i4>122</vt:i4>
      </vt:variant>
      <vt:variant>
        <vt:i4>0</vt:i4>
      </vt:variant>
      <vt:variant>
        <vt:i4>5</vt:i4>
      </vt:variant>
      <vt:variant>
        <vt:lpwstr/>
      </vt:variant>
      <vt:variant>
        <vt:lpwstr>_Toc476907713</vt:lpwstr>
      </vt:variant>
      <vt:variant>
        <vt:i4>2031669</vt:i4>
      </vt:variant>
      <vt:variant>
        <vt:i4>116</vt:i4>
      </vt:variant>
      <vt:variant>
        <vt:i4>0</vt:i4>
      </vt:variant>
      <vt:variant>
        <vt:i4>5</vt:i4>
      </vt:variant>
      <vt:variant>
        <vt:lpwstr/>
      </vt:variant>
      <vt:variant>
        <vt:lpwstr>_Toc476907712</vt:lpwstr>
      </vt:variant>
      <vt:variant>
        <vt:i4>2031669</vt:i4>
      </vt:variant>
      <vt:variant>
        <vt:i4>110</vt:i4>
      </vt:variant>
      <vt:variant>
        <vt:i4>0</vt:i4>
      </vt:variant>
      <vt:variant>
        <vt:i4>5</vt:i4>
      </vt:variant>
      <vt:variant>
        <vt:lpwstr/>
      </vt:variant>
      <vt:variant>
        <vt:lpwstr>_Toc476907711</vt:lpwstr>
      </vt:variant>
      <vt:variant>
        <vt:i4>2031669</vt:i4>
      </vt:variant>
      <vt:variant>
        <vt:i4>104</vt:i4>
      </vt:variant>
      <vt:variant>
        <vt:i4>0</vt:i4>
      </vt:variant>
      <vt:variant>
        <vt:i4>5</vt:i4>
      </vt:variant>
      <vt:variant>
        <vt:lpwstr/>
      </vt:variant>
      <vt:variant>
        <vt:lpwstr>_Toc476907710</vt:lpwstr>
      </vt:variant>
      <vt:variant>
        <vt:i4>1966133</vt:i4>
      </vt:variant>
      <vt:variant>
        <vt:i4>98</vt:i4>
      </vt:variant>
      <vt:variant>
        <vt:i4>0</vt:i4>
      </vt:variant>
      <vt:variant>
        <vt:i4>5</vt:i4>
      </vt:variant>
      <vt:variant>
        <vt:lpwstr/>
      </vt:variant>
      <vt:variant>
        <vt:lpwstr>_Toc476907709</vt:lpwstr>
      </vt:variant>
      <vt:variant>
        <vt:i4>1966133</vt:i4>
      </vt:variant>
      <vt:variant>
        <vt:i4>92</vt:i4>
      </vt:variant>
      <vt:variant>
        <vt:i4>0</vt:i4>
      </vt:variant>
      <vt:variant>
        <vt:i4>5</vt:i4>
      </vt:variant>
      <vt:variant>
        <vt:lpwstr/>
      </vt:variant>
      <vt:variant>
        <vt:lpwstr>_Toc476907708</vt:lpwstr>
      </vt:variant>
      <vt:variant>
        <vt:i4>1966133</vt:i4>
      </vt:variant>
      <vt:variant>
        <vt:i4>86</vt:i4>
      </vt:variant>
      <vt:variant>
        <vt:i4>0</vt:i4>
      </vt:variant>
      <vt:variant>
        <vt:i4>5</vt:i4>
      </vt:variant>
      <vt:variant>
        <vt:lpwstr/>
      </vt:variant>
      <vt:variant>
        <vt:lpwstr>_Toc476907707</vt:lpwstr>
      </vt:variant>
      <vt:variant>
        <vt:i4>1966133</vt:i4>
      </vt:variant>
      <vt:variant>
        <vt:i4>80</vt:i4>
      </vt:variant>
      <vt:variant>
        <vt:i4>0</vt:i4>
      </vt:variant>
      <vt:variant>
        <vt:i4>5</vt:i4>
      </vt:variant>
      <vt:variant>
        <vt:lpwstr/>
      </vt:variant>
      <vt:variant>
        <vt:lpwstr>_Toc476907706</vt:lpwstr>
      </vt:variant>
      <vt:variant>
        <vt:i4>1966133</vt:i4>
      </vt:variant>
      <vt:variant>
        <vt:i4>74</vt:i4>
      </vt:variant>
      <vt:variant>
        <vt:i4>0</vt:i4>
      </vt:variant>
      <vt:variant>
        <vt:i4>5</vt:i4>
      </vt:variant>
      <vt:variant>
        <vt:lpwstr/>
      </vt:variant>
      <vt:variant>
        <vt:lpwstr>_Toc476907705</vt:lpwstr>
      </vt:variant>
      <vt:variant>
        <vt:i4>1966133</vt:i4>
      </vt:variant>
      <vt:variant>
        <vt:i4>68</vt:i4>
      </vt:variant>
      <vt:variant>
        <vt:i4>0</vt:i4>
      </vt:variant>
      <vt:variant>
        <vt:i4>5</vt:i4>
      </vt:variant>
      <vt:variant>
        <vt:lpwstr/>
      </vt:variant>
      <vt:variant>
        <vt:lpwstr>_Toc476907704</vt:lpwstr>
      </vt:variant>
      <vt:variant>
        <vt:i4>1966133</vt:i4>
      </vt:variant>
      <vt:variant>
        <vt:i4>62</vt:i4>
      </vt:variant>
      <vt:variant>
        <vt:i4>0</vt:i4>
      </vt:variant>
      <vt:variant>
        <vt:i4>5</vt:i4>
      </vt:variant>
      <vt:variant>
        <vt:lpwstr/>
      </vt:variant>
      <vt:variant>
        <vt:lpwstr>_Toc476907703</vt:lpwstr>
      </vt:variant>
      <vt:variant>
        <vt:i4>1966133</vt:i4>
      </vt:variant>
      <vt:variant>
        <vt:i4>56</vt:i4>
      </vt:variant>
      <vt:variant>
        <vt:i4>0</vt:i4>
      </vt:variant>
      <vt:variant>
        <vt:i4>5</vt:i4>
      </vt:variant>
      <vt:variant>
        <vt:lpwstr/>
      </vt:variant>
      <vt:variant>
        <vt:lpwstr>_Toc476907702</vt:lpwstr>
      </vt:variant>
      <vt:variant>
        <vt:i4>1966133</vt:i4>
      </vt:variant>
      <vt:variant>
        <vt:i4>50</vt:i4>
      </vt:variant>
      <vt:variant>
        <vt:i4>0</vt:i4>
      </vt:variant>
      <vt:variant>
        <vt:i4>5</vt:i4>
      </vt:variant>
      <vt:variant>
        <vt:lpwstr/>
      </vt:variant>
      <vt:variant>
        <vt:lpwstr>_Toc476907701</vt:lpwstr>
      </vt:variant>
      <vt:variant>
        <vt:i4>1966133</vt:i4>
      </vt:variant>
      <vt:variant>
        <vt:i4>44</vt:i4>
      </vt:variant>
      <vt:variant>
        <vt:i4>0</vt:i4>
      </vt:variant>
      <vt:variant>
        <vt:i4>5</vt:i4>
      </vt:variant>
      <vt:variant>
        <vt:lpwstr/>
      </vt:variant>
      <vt:variant>
        <vt:lpwstr>_Toc476907700</vt:lpwstr>
      </vt:variant>
      <vt:variant>
        <vt:i4>1507380</vt:i4>
      </vt:variant>
      <vt:variant>
        <vt:i4>38</vt:i4>
      </vt:variant>
      <vt:variant>
        <vt:i4>0</vt:i4>
      </vt:variant>
      <vt:variant>
        <vt:i4>5</vt:i4>
      </vt:variant>
      <vt:variant>
        <vt:lpwstr/>
      </vt:variant>
      <vt:variant>
        <vt:lpwstr>_Toc476907699</vt:lpwstr>
      </vt:variant>
      <vt:variant>
        <vt:i4>1507380</vt:i4>
      </vt:variant>
      <vt:variant>
        <vt:i4>32</vt:i4>
      </vt:variant>
      <vt:variant>
        <vt:i4>0</vt:i4>
      </vt:variant>
      <vt:variant>
        <vt:i4>5</vt:i4>
      </vt:variant>
      <vt:variant>
        <vt:lpwstr/>
      </vt:variant>
      <vt:variant>
        <vt:lpwstr>_Toc476907698</vt:lpwstr>
      </vt:variant>
      <vt:variant>
        <vt:i4>1507380</vt:i4>
      </vt:variant>
      <vt:variant>
        <vt:i4>26</vt:i4>
      </vt:variant>
      <vt:variant>
        <vt:i4>0</vt:i4>
      </vt:variant>
      <vt:variant>
        <vt:i4>5</vt:i4>
      </vt:variant>
      <vt:variant>
        <vt:lpwstr/>
      </vt:variant>
      <vt:variant>
        <vt:lpwstr>_Toc476907697</vt:lpwstr>
      </vt:variant>
      <vt:variant>
        <vt:i4>1507380</vt:i4>
      </vt:variant>
      <vt:variant>
        <vt:i4>20</vt:i4>
      </vt:variant>
      <vt:variant>
        <vt:i4>0</vt:i4>
      </vt:variant>
      <vt:variant>
        <vt:i4>5</vt:i4>
      </vt:variant>
      <vt:variant>
        <vt:lpwstr/>
      </vt:variant>
      <vt:variant>
        <vt:lpwstr>_Toc476907696</vt:lpwstr>
      </vt:variant>
      <vt:variant>
        <vt:i4>1507380</vt:i4>
      </vt:variant>
      <vt:variant>
        <vt:i4>14</vt:i4>
      </vt:variant>
      <vt:variant>
        <vt:i4>0</vt:i4>
      </vt:variant>
      <vt:variant>
        <vt:i4>5</vt:i4>
      </vt:variant>
      <vt:variant>
        <vt:lpwstr/>
      </vt:variant>
      <vt:variant>
        <vt:lpwstr>_Toc476907695</vt:lpwstr>
      </vt:variant>
      <vt:variant>
        <vt:i4>1507380</vt:i4>
      </vt:variant>
      <vt:variant>
        <vt:i4>8</vt:i4>
      </vt:variant>
      <vt:variant>
        <vt:i4>0</vt:i4>
      </vt:variant>
      <vt:variant>
        <vt:i4>5</vt:i4>
      </vt:variant>
      <vt:variant>
        <vt:lpwstr/>
      </vt:variant>
      <vt:variant>
        <vt:lpwstr>_Toc476907694</vt:lpwstr>
      </vt:variant>
      <vt:variant>
        <vt:i4>1507380</vt:i4>
      </vt:variant>
      <vt:variant>
        <vt:i4>2</vt:i4>
      </vt:variant>
      <vt:variant>
        <vt:i4>0</vt:i4>
      </vt:variant>
      <vt:variant>
        <vt:i4>5</vt:i4>
      </vt:variant>
      <vt:variant>
        <vt:lpwstr/>
      </vt:variant>
      <vt:variant>
        <vt:lpwstr>_Toc476907693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CUPRINS</dc:title>
  <dc:subject/>
  <dc:creator>bogdan.comaneci</dc:creator>
  <cp:keywords/>
  <dc:description/>
  <cp:lastModifiedBy>silviu.uta</cp:lastModifiedBy>
  <cp:revision>6</cp:revision>
  <cp:lastPrinted>2017-02-01T09:49:00Z</cp:lastPrinted>
  <dcterms:created xsi:type="dcterms:W3CDTF">2017-04-03T06:29:00Z</dcterms:created>
  <dcterms:modified xsi:type="dcterms:W3CDTF">2017-06-30T06:00:00Z</dcterms:modified>
</cp:coreProperties>
</file>