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566" w:rsidRPr="002044A2" w:rsidRDefault="00014566" w:rsidP="002044A2">
      <w:pPr>
        <w:pStyle w:val="ECHRDecisionBody"/>
        <w:jc w:val="center"/>
      </w:pPr>
    </w:p>
    <w:p w:rsidR="00940232" w:rsidRPr="002044A2" w:rsidRDefault="00C9139B" w:rsidP="00C9139B">
      <w:pPr>
        <w:pStyle w:val="ECHRDecisionBody"/>
        <w:jc w:val="center"/>
      </w:pPr>
      <w:r>
        <w:t>CURTEA EUROPEANĂ A DREPTURILOR OMULUI</w:t>
      </w:r>
    </w:p>
    <w:p w:rsidR="00940232" w:rsidRPr="002044A2" w:rsidRDefault="00940232" w:rsidP="002044A2">
      <w:pPr>
        <w:pStyle w:val="ECHRDecisionBody"/>
        <w:jc w:val="center"/>
      </w:pPr>
    </w:p>
    <w:p w:rsidR="00014566" w:rsidRPr="002044A2" w:rsidRDefault="0008131E" w:rsidP="002044A2">
      <w:pPr>
        <w:jc w:val="center"/>
      </w:pPr>
      <w:r>
        <w:t>SECȚIA A PATRA</w:t>
      </w:r>
    </w:p>
    <w:p w:rsidR="00014566" w:rsidRPr="002044A2" w:rsidRDefault="00014566" w:rsidP="002044A2">
      <w:pPr>
        <w:jc w:val="center"/>
      </w:pPr>
    </w:p>
    <w:p w:rsidR="00940232" w:rsidRPr="002044A2" w:rsidRDefault="00940232" w:rsidP="0019712D">
      <w:pPr>
        <w:jc w:val="center"/>
      </w:pPr>
    </w:p>
    <w:p w:rsidR="00940232" w:rsidRPr="002044A2" w:rsidRDefault="00940232" w:rsidP="002044A2">
      <w:pPr>
        <w:jc w:val="center"/>
      </w:pPr>
    </w:p>
    <w:p w:rsidR="00940232" w:rsidRPr="002044A2" w:rsidRDefault="00940232" w:rsidP="002044A2">
      <w:pPr>
        <w:jc w:val="center"/>
      </w:pPr>
    </w:p>
    <w:p w:rsidR="00940232" w:rsidRPr="002044A2" w:rsidRDefault="00940232" w:rsidP="002044A2">
      <w:pPr>
        <w:jc w:val="center"/>
      </w:pPr>
    </w:p>
    <w:p w:rsidR="00014566" w:rsidRPr="002044A2" w:rsidRDefault="00014566" w:rsidP="002044A2">
      <w:pPr>
        <w:jc w:val="center"/>
        <w:rPr>
          <w:b/>
        </w:rPr>
      </w:pPr>
      <w:bookmarkStart w:id="0" w:name="To"/>
      <w:r>
        <w:rPr>
          <w:b/>
        </w:rPr>
        <w:t xml:space="preserve">CAUZA </w:t>
      </w:r>
      <w:bookmarkEnd w:id="0"/>
      <w:r>
        <w:rPr>
          <w:b/>
        </w:rPr>
        <w:t>FARCAȘ ȘI ALȚII ÎMPOTRIVA ROMÂNIEI</w:t>
      </w:r>
    </w:p>
    <w:p w:rsidR="00014566" w:rsidRPr="002044A2" w:rsidRDefault="00014566" w:rsidP="002044A2">
      <w:pPr>
        <w:jc w:val="center"/>
      </w:pPr>
    </w:p>
    <w:p w:rsidR="00014566" w:rsidRPr="002044A2" w:rsidRDefault="00014566" w:rsidP="002044A2">
      <w:pPr>
        <w:jc w:val="center"/>
        <w:rPr>
          <w:i/>
        </w:rPr>
      </w:pPr>
      <w:r>
        <w:rPr>
          <w:i/>
        </w:rPr>
        <w:t>(Cererea nr. 30502/05)</w:t>
      </w:r>
    </w:p>
    <w:p w:rsidR="00014566" w:rsidRPr="002044A2" w:rsidRDefault="00014566" w:rsidP="002044A2">
      <w:pPr>
        <w:jc w:val="center"/>
      </w:pPr>
    </w:p>
    <w:p w:rsidR="00014566" w:rsidRPr="002044A2" w:rsidRDefault="00014566" w:rsidP="002044A2">
      <w:pPr>
        <w:jc w:val="center"/>
      </w:pPr>
    </w:p>
    <w:p w:rsidR="00014566" w:rsidRPr="002044A2" w:rsidRDefault="00014566" w:rsidP="002044A2">
      <w:pPr>
        <w:jc w:val="center"/>
      </w:pPr>
    </w:p>
    <w:p w:rsidR="00014566" w:rsidRPr="002044A2" w:rsidRDefault="00014566" w:rsidP="002044A2">
      <w:pPr>
        <w:jc w:val="center"/>
      </w:pPr>
    </w:p>
    <w:p w:rsidR="00014566" w:rsidRPr="002044A2" w:rsidRDefault="00014566" w:rsidP="002044A2">
      <w:pPr>
        <w:jc w:val="center"/>
      </w:pPr>
    </w:p>
    <w:p w:rsidR="00014566" w:rsidRPr="002044A2" w:rsidRDefault="00014566" w:rsidP="002044A2">
      <w:pPr>
        <w:jc w:val="center"/>
      </w:pPr>
    </w:p>
    <w:p w:rsidR="0089209A" w:rsidRPr="002044A2" w:rsidRDefault="00940232" w:rsidP="002044A2">
      <w:pPr>
        <w:jc w:val="center"/>
        <w:rPr>
          <w:szCs w:val="24"/>
        </w:rPr>
      </w:pPr>
      <w:r>
        <w:t>HOTĂRÂRE</w:t>
      </w:r>
    </w:p>
    <w:p w:rsidR="0089209A" w:rsidRPr="002044A2" w:rsidRDefault="0089209A" w:rsidP="002044A2">
      <w:pPr>
        <w:jc w:val="center"/>
        <w:rPr>
          <w:szCs w:val="24"/>
        </w:rPr>
      </w:pPr>
    </w:p>
    <w:p w:rsidR="00BF2059" w:rsidRPr="002044A2" w:rsidRDefault="00BF2059" w:rsidP="002044A2">
      <w:pPr>
        <w:jc w:val="center"/>
        <w:rPr>
          <w:szCs w:val="24"/>
        </w:rPr>
      </w:pPr>
    </w:p>
    <w:p w:rsidR="00940232" w:rsidRPr="002044A2" w:rsidRDefault="00940232" w:rsidP="002044A2">
      <w:pPr>
        <w:pStyle w:val="JuCase"/>
        <w:ind w:firstLine="0"/>
        <w:jc w:val="center"/>
        <w:rPr>
          <w:b w:val="0"/>
        </w:rPr>
      </w:pPr>
    </w:p>
    <w:p w:rsidR="00940232" w:rsidRPr="002044A2" w:rsidRDefault="00940232" w:rsidP="002044A2">
      <w:pPr>
        <w:pStyle w:val="JuCase"/>
        <w:ind w:firstLine="0"/>
        <w:jc w:val="center"/>
        <w:rPr>
          <w:b w:val="0"/>
        </w:rPr>
      </w:pPr>
    </w:p>
    <w:p w:rsidR="00940232" w:rsidRPr="002044A2" w:rsidRDefault="00940232" w:rsidP="002044A2">
      <w:pPr>
        <w:pStyle w:val="JuCase"/>
        <w:ind w:firstLine="0"/>
        <w:jc w:val="center"/>
        <w:rPr>
          <w:b w:val="0"/>
        </w:rPr>
      </w:pPr>
      <w:r>
        <w:rPr>
          <w:b w:val="0"/>
        </w:rPr>
        <w:t>STRASBOURG</w:t>
      </w:r>
    </w:p>
    <w:p w:rsidR="00940232" w:rsidRPr="002044A2" w:rsidRDefault="00940232" w:rsidP="002044A2">
      <w:pPr>
        <w:pStyle w:val="JuCase"/>
        <w:ind w:firstLine="0"/>
        <w:jc w:val="center"/>
        <w:rPr>
          <w:b w:val="0"/>
        </w:rPr>
      </w:pPr>
    </w:p>
    <w:p w:rsidR="00940232" w:rsidRPr="002044A2" w:rsidRDefault="00940232" w:rsidP="002044A2">
      <w:pPr>
        <w:pStyle w:val="JuCase"/>
        <w:ind w:firstLine="0"/>
        <w:jc w:val="center"/>
        <w:rPr>
          <w:b w:val="0"/>
        </w:rPr>
      </w:pPr>
      <w:r>
        <w:rPr>
          <w:b w:val="0"/>
        </w:rPr>
        <w:t>5 iunie 2018</w:t>
      </w:r>
    </w:p>
    <w:p w:rsidR="00940232" w:rsidRPr="002044A2" w:rsidRDefault="00940232" w:rsidP="002044A2">
      <w:pPr>
        <w:pStyle w:val="JuCase"/>
        <w:ind w:firstLine="0"/>
        <w:jc w:val="center"/>
        <w:rPr>
          <w:b w:val="0"/>
        </w:rPr>
      </w:pPr>
    </w:p>
    <w:p w:rsidR="00940232" w:rsidRPr="002044A2" w:rsidRDefault="00940232" w:rsidP="002044A2">
      <w:pPr>
        <w:pStyle w:val="JuCase"/>
        <w:ind w:firstLine="0"/>
        <w:jc w:val="center"/>
        <w:rPr>
          <w:b w:val="0"/>
        </w:rPr>
      </w:pPr>
      <w:bookmarkStart w:id="1" w:name="_GoBack"/>
      <w:bookmarkEnd w:id="1"/>
    </w:p>
    <w:p w:rsidR="00940232" w:rsidRPr="002044A2" w:rsidRDefault="00940232" w:rsidP="002044A2">
      <w:pPr>
        <w:pStyle w:val="JuCase"/>
        <w:ind w:firstLine="0"/>
        <w:jc w:val="center"/>
        <w:rPr>
          <w:b w:val="0"/>
          <w:i/>
          <w:sz w:val="22"/>
        </w:rPr>
      </w:pPr>
      <w:r>
        <w:rPr>
          <w:b w:val="0"/>
          <w:i/>
          <w:sz w:val="22"/>
        </w:rPr>
        <w:t>Prezenta hotărâre este definitivă, dar poate suferi modificări de formă.</w:t>
      </w:r>
    </w:p>
    <w:p w:rsidR="00940232" w:rsidRPr="002044A2" w:rsidRDefault="00940232" w:rsidP="002044A2">
      <w:pPr>
        <w:pStyle w:val="ECHRPara"/>
        <w:jc w:val="center"/>
        <w:sectPr w:rsidR="00940232" w:rsidRPr="002044A2" w:rsidSect="00940232">
          <w:headerReference w:type="default" r:id="rId11"/>
          <w:headerReference w:type="first" r:id="rId12"/>
          <w:footerReference w:type="first" r:id="rId13"/>
          <w:footnotePr>
            <w:numRestart w:val="eachSect"/>
          </w:footnotePr>
          <w:pgSz w:w="11906" w:h="16838" w:code="9"/>
          <w:pgMar w:top="2274" w:right="2274" w:bottom="2274" w:left="2274" w:header="1701" w:footer="720" w:gutter="0"/>
          <w:pgNumType w:start="1"/>
          <w:cols w:space="720"/>
          <w:titlePg/>
          <w:docGrid w:linePitch="326"/>
        </w:sectPr>
      </w:pPr>
    </w:p>
    <w:p w:rsidR="00014566" w:rsidRPr="002044A2" w:rsidRDefault="00014566" w:rsidP="002044A2">
      <w:pPr>
        <w:pStyle w:val="JuCase"/>
        <w:rPr>
          <w:bCs/>
        </w:rPr>
      </w:pPr>
      <w:r>
        <w:lastRenderedPageBreak/>
        <w:t>În cauza Farcaș și alții împotriva României,</w:t>
      </w:r>
    </w:p>
    <w:p w:rsidR="00014566" w:rsidRPr="002044A2" w:rsidRDefault="00014566" w:rsidP="002044A2">
      <w:pPr>
        <w:pStyle w:val="ECHRPara"/>
      </w:pPr>
      <w:r>
        <w:t>Curtea Europeană a Drepturilor Omului (Secția a patra), reunită într-o cameră compusă din:</w:t>
      </w:r>
    </w:p>
    <w:p w:rsidR="00014566" w:rsidRPr="002044A2" w:rsidRDefault="00940232" w:rsidP="002044A2">
      <w:pPr>
        <w:pStyle w:val="ECHRDecisionBody"/>
      </w:pPr>
      <w:r>
        <w:tab/>
      </w:r>
      <w:proofErr w:type="spellStart"/>
      <w:r>
        <w:t>Paulo</w:t>
      </w:r>
      <w:proofErr w:type="spellEnd"/>
      <w:r>
        <w:t xml:space="preserve"> </w:t>
      </w:r>
      <w:proofErr w:type="spellStart"/>
      <w:r>
        <w:t>Pinto</w:t>
      </w:r>
      <w:proofErr w:type="spellEnd"/>
      <w:r>
        <w:t xml:space="preserve"> de Albuquerque,</w:t>
      </w:r>
      <w:r>
        <w:rPr>
          <w:i/>
        </w:rPr>
        <w:t xml:space="preserve"> președinte,</w:t>
      </w:r>
      <w:r>
        <w:rPr>
          <w:i/>
        </w:rPr>
        <w:br/>
      </w:r>
      <w:r>
        <w:tab/>
      </w:r>
      <w:proofErr w:type="spellStart"/>
      <w:r>
        <w:t>Egidijus</w:t>
      </w:r>
      <w:proofErr w:type="spellEnd"/>
      <w:r>
        <w:t xml:space="preserve"> </w:t>
      </w:r>
      <w:proofErr w:type="spellStart"/>
      <w:r>
        <w:t>Kūris</w:t>
      </w:r>
      <w:proofErr w:type="spellEnd"/>
      <w:r>
        <w:t>,</w:t>
      </w:r>
      <w:r>
        <w:rPr>
          <w:i/>
        </w:rPr>
        <w:br/>
      </w:r>
      <w:r>
        <w:tab/>
        <w:t>Iulia Motoc,</w:t>
      </w:r>
      <w:r>
        <w:rPr>
          <w:i/>
        </w:rPr>
        <w:t xml:space="preserve"> judecători,</w:t>
      </w:r>
      <w:r>
        <w:br/>
        <w:t xml:space="preserve">și Andrea </w:t>
      </w:r>
      <w:proofErr w:type="spellStart"/>
      <w:r>
        <w:t>Tamietti</w:t>
      </w:r>
      <w:proofErr w:type="spellEnd"/>
      <w:r>
        <w:t xml:space="preserve">, </w:t>
      </w:r>
      <w:r>
        <w:rPr>
          <w:i/>
          <w:iCs/>
        </w:rPr>
        <w:t>grefier adjunct de secție</w:t>
      </w:r>
      <w:r>
        <w:t>,</w:t>
      </w:r>
    </w:p>
    <w:p w:rsidR="00014566" w:rsidRPr="002044A2" w:rsidRDefault="00014566" w:rsidP="002044A2">
      <w:pPr>
        <w:pStyle w:val="ECHRPara"/>
      </w:pPr>
      <w:r>
        <w:t>după ce a deliberat în camera de consiliu, la 15 mai 2018,</w:t>
      </w:r>
    </w:p>
    <w:p w:rsidR="00014566" w:rsidRPr="002044A2" w:rsidRDefault="00014566" w:rsidP="002044A2">
      <w:pPr>
        <w:pStyle w:val="ECHRPara"/>
      </w:pPr>
      <w:r>
        <w:t>pronunță prezenta hotărâre, adoptată la aceeași dată:</w:t>
      </w:r>
    </w:p>
    <w:p w:rsidR="00014566" w:rsidRPr="002044A2" w:rsidRDefault="00014566" w:rsidP="002044A2">
      <w:pPr>
        <w:pStyle w:val="ECHRTitle1"/>
      </w:pPr>
      <w:r>
        <w:t>PROCEDURA</w:t>
      </w:r>
    </w:p>
    <w:p w:rsidR="0008131E" w:rsidRPr="002044A2" w:rsidRDefault="005668A4" w:rsidP="002044A2">
      <w:pPr>
        <w:pStyle w:val="ECHRPara"/>
      </w:pPr>
      <w:fldSimple w:instr=" SEQ level0 \*arabic ">
        <w:r w:rsidR="002044A2" w:rsidRPr="002044A2">
          <w:t>1</w:t>
        </w:r>
      </w:fldSimple>
      <w:r w:rsidR="0008131E">
        <w:t>.  La originea cauzei se află cererea nr. 30502/05 îndreptată împotriva României, prin care trei resortisanți ai acestui stat, domnul Ioan Farcaș („primul reclamant”), domnul Ștefan Voicu („al doilea reclamant”) și doamna Carmen Lelia Bărbulescu („a treia reclamantă”) au sesizat Curtea la 12 august 2005, în temeiul art. 34 din Convenția pentru apărarea drepturilor omului și a libertăților fundamentale („Convenția”).</w:t>
      </w:r>
    </w:p>
    <w:p w:rsidR="00014566" w:rsidRPr="002044A2" w:rsidRDefault="005668A4" w:rsidP="002044A2">
      <w:pPr>
        <w:pStyle w:val="ECHRPara"/>
      </w:pPr>
      <w:fldSimple w:instr=" SEQ level0 \*arabic ">
        <w:r w:rsidR="002044A2" w:rsidRPr="002044A2">
          <w:t>2</w:t>
        </w:r>
      </w:fldSimple>
      <w:r w:rsidR="0008131E">
        <w:t>.  Guvernul României („Guvernul”) a fost reprezentat de agentul guvernamental, doamna C. Brumar, din cadrul Ministerului Afacerilor Externe.</w:t>
      </w:r>
    </w:p>
    <w:p w:rsidR="00014566" w:rsidRPr="002044A2" w:rsidRDefault="005668A4" w:rsidP="002044A2">
      <w:pPr>
        <w:pStyle w:val="ECHRPara"/>
      </w:pPr>
      <w:fldSimple w:instr=" SEQ level0 \*arabic ">
        <w:r w:rsidR="002044A2" w:rsidRPr="002044A2">
          <w:t>3</w:t>
        </w:r>
      </w:fldSimple>
      <w:r w:rsidR="0008131E">
        <w:t>.  La 19 martie 2010, cererea a fost comunicată Guvernului.</w:t>
      </w:r>
    </w:p>
    <w:p w:rsidR="00014566" w:rsidRPr="002044A2" w:rsidRDefault="00014566" w:rsidP="002044A2">
      <w:pPr>
        <w:pStyle w:val="ECHRTitle1"/>
      </w:pPr>
      <w:r>
        <w:t>ÎN FAPT</w:t>
      </w:r>
    </w:p>
    <w:p w:rsidR="00014566" w:rsidRPr="002044A2" w:rsidRDefault="00014566" w:rsidP="002044A2">
      <w:pPr>
        <w:pStyle w:val="ECHRHeading1"/>
      </w:pPr>
      <w:r>
        <w:t>I. CIRCUMSTANȚELE CAUZEI</w:t>
      </w:r>
    </w:p>
    <w:bookmarkStart w:id="2" w:name="ageR"/>
    <w:p w:rsidR="00014566" w:rsidRPr="002044A2" w:rsidRDefault="0008131E" w:rsidP="002044A2">
      <w:pPr>
        <w:pStyle w:val="ECHRPara"/>
      </w:pPr>
      <w:r w:rsidRPr="002044A2">
        <w:fldChar w:fldCharType="begin"/>
      </w:r>
      <w:r w:rsidRPr="002044A2">
        <w:instrText xml:space="preserve"> SEQ level0 \*arabic </w:instrText>
      </w:r>
      <w:r w:rsidRPr="002044A2">
        <w:fldChar w:fldCharType="separate"/>
      </w:r>
      <w:r w:rsidR="002044A2" w:rsidRPr="002044A2">
        <w:t>4</w:t>
      </w:r>
      <w:r w:rsidRPr="002044A2">
        <w:fldChar w:fldCharType="end"/>
      </w:r>
      <w:bookmarkEnd w:id="2"/>
      <w:r>
        <w:t>.  Reclamanții s-au născut în 1935, 1945 și, respectiv, 1956 și locuiesc în Ploiești.</w:t>
      </w:r>
    </w:p>
    <w:p w:rsidR="00296958" w:rsidRPr="002044A2" w:rsidRDefault="00296958" w:rsidP="002044A2">
      <w:pPr>
        <w:pStyle w:val="ECHRHeading2"/>
      </w:pPr>
      <w:r>
        <w:t>A. Circumstanțele cauzei</w:t>
      </w:r>
    </w:p>
    <w:p w:rsidR="00940232" w:rsidRPr="002044A2" w:rsidRDefault="005668A4" w:rsidP="002044A2">
      <w:pPr>
        <w:pStyle w:val="ECHRPara"/>
      </w:pPr>
      <w:fldSimple w:instr=" SEQ level0 \*arabic ">
        <w:r w:rsidR="002044A2" w:rsidRPr="002044A2">
          <w:t>5</w:t>
        </w:r>
      </w:fldSimple>
      <w:r w:rsidR="0095689F">
        <w:t>.  În 1975, un grup de ingineri a brevetat o invenție referitoare la o metodă de separare a hidrocarburilor. Primul reclamant este unul dintre inventatori. Cel de al doilea reclamant și cea de a treia reclamantă sunt moștenitori ai altor membri ai grupului.</w:t>
      </w:r>
    </w:p>
    <w:bookmarkStart w:id="3" w:name="farcas_no_1"/>
    <w:p w:rsidR="00940232" w:rsidRPr="002044A2" w:rsidRDefault="00135EC1" w:rsidP="002044A2">
      <w:pPr>
        <w:pStyle w:val="ECHRPara"/>
      </w:pPr>
      <w:r w:rsidRPr="002044A2">
        <w:fldChar w:fldCharType="begin"/>
      </w:r>
      <w:r w:rsidRPr="002044A2">
        <w:instrText xml:space="preserve"> SEQ level0 \*arabic </w:instrText>
      </w:r>
      <w:r w:rsidRPr="002044A2">
        <w:fldChar w:fldCharType="separate"/>
      </w:r>
      <w:r w:rsidR="002044A2" w:rsidRPr="002044A2">
        <w:t>6</w:t>
      </w:r>
      <w:r w:rsidRPr="002044A2">
        <w:fldChar w:fldCharType="end"/>
      </w:r>
      <w:bookmarkEnd w:id="3"/>
      <w:r>
        <w:t>.  La 26 ianuarie 1995</w:t>
      </w:r>
      <w:r w:rsidR="00922C98">
        <w:t>,</w:t>
      </w:r>
      <w:r>
        <w:t xml:space="preserve"> reclamanții au introdus o acțiune în despăgubiri împotriva societății R., societate comercială cu capital privat fostă societate de stat, care a utilizat între 1985 și 1988 invenția din 1975 (pentru detalii </w:t>
      </w:r>
      <w:r>
        <w:lastRenderedPageBreak/>
        <w:t xml:space="preserve">despre aceste proceduri, a se vedea </w:t>
      </w:r>
      <w:r>
        <w:rPr>
          <w:i/>
        </w:rPr>
        <w:t>Farcaș și alții împotriva României</w:t>
      </w:r>
      <w:r>
        <w:t>, nr. 67020/01, pct. 7-22, 10 noiembrie 2005).</w:t>
      </w:r>
    </w:p>
    <w:bookmarkStart w:id="4" w:name="para7"/>
    <w:p w:rsidR="00940232" w:rsidRPr="002044A2" w:rsidRDefault="0008131E" w:rsidP="002044A2">
      <w:pPr>
        <w:pStyle w:val="ECHRPara"/>
      </w:pPr>
      <w:r w:rsidRPr="002044A2">
        <w:fldChar w:fldCharType="begin"/>
      </w:r>
      <w:r w:rsidRPr="002044A2">
        <w:instrText xml:space="preserve"> SEQ level0 \*arabic </w:instrText>
      </w:r>
      <w:r w:rsidRPr="002044A2">
        <w:fldChar w:fldCharType="separate"/>
      </w:r>
      <w:r w:rsidR="002044A2" w:rsidRPr="002044A2">
        <w:t>7</w:t>
      </w:r>
      <w:r w:rsidRPr="002044A2">
        <w:fldChar w:fldCharType="end"/>
      </w:r>
      <w:bookmarkEnd w:id="4"/>
      <w:r>
        <w:t>.  Printr-o decizie din 24 iunie 2002, Tribunalul Brașov a admis în parte acțiunea formulată de reclamanți împotriva societății R. și a obligat-o pe cea din urmă să plătească primului reclamant 2 284 679 617 RON, sumă reprezentând despăgubirea pentru folosirea, între 1985 și 1988, a invenției brevetate în 1975. Cel de al doilea reclamant și cea de a treia reclamantă au formulat apel și, prin decizia din 8 noiembrie 2002, Curtea de Apel Brașov le-a acordat și acestora despăgubiri – suma de 2 230 620 676 RON celui de al doilea reclamant și suma de 1 669 759 157 RON celei de a treia reclamante.</w:t>
      </w:r>
    </w:p>
    <w:bookmarkStart w:id="5" w:name="first_payment_20"/>
    <w:p w:rsidR="00447841" w:rsidRPr="002044A2" w:rsidRDefault="00A13F3F" w:rsidP="002044A2">
      <w:pPr>
        <w:pStyle w:val="ECHRPara"/>
      </w:pPr>
      <w:r w:rsidRPr="002044A2">
        <w:fldChar w:fldCharType="begin"/>
      </w:r>
      <w:r w:rsidRPr="002044A2">
        <w:instrText xml:space="preserve"> SEQ level0 \*arabic </w:instrText>
      </w:r>
      <w:r w:rsidRPr="002044A2">
        <w:fldChar w:fldCharType="separate"/>
      </w:r>
      <w:r w:rsidR="002044A2" w:rsidRPr="002044A2">
        <w:t>8</w:t>
      </w:r>
      <w:r w:rsidRPr="002044A2">
        <w:fldChar w:fldCharType="end"/>
      </w:r>
      <w:bookmarkEnd w:id="5"/>
      <w:r>
        <w:t>.  La 10 martie 2004</w:t>
      </w:r>
      <w:r w:rsidR="00922C98">
        <w:t>,</w:t>
      </w:r>
      <w:r>
        <w:t xml:space="preserve"> reclamanții și societatea R. au semnat un acord în ceea ce privește plata despăgubirilor acordate de instanță. Între 2 și 21 aprilie 2004 societatea a plătit aproximativ 20% din cuantumurile acordate.</w:t>
      </w:r>
    </w:p>
    <w:bookmarkStart w:id="6" w:name="proceedings10May"/>
    <w:p w:rsidR="00940232" w:rsidRPr="002044A2" w:rsidRDefault="00447841" w:rsidP="002044A2">
      <w:pPr>
        <w:pStyle w:val="ECHRPara"/>
      </w:pPr>
      <w:r w:rsidRPr="002044A2">
        <w:fldChar w:fldCharType="begin"/>
      </w:r>
      <w:r w:rsidRPr="002044A2">
        <w:instrText xml:space="preserve"> SEQ level0 \*arabic </w:instrText>
      </w:r>
      <w:r w:rsidRPr="002044A2">
        <w:fldChar w:fldCharType="separate"/>
      </w:r>
      <w:r w:rsidR="002044A2" w:rsidRPr="002044A2">
        <w:t>9</w:t>
      </w:r>
      <w:r w:rsidRPr="002044A2">
        <w:fldChar w:fldCharType="end"/>
      </w:r>
      <w:bookmarkEnd w:id="6"/>
      <w:r>
        <w:t>.  La 5 mai 2005</w:t>
      </w:r>
      <w:r w:rsidR="00922C98">
        <w:t>,</w:t>
      </w:r>
      <w:r>
        <w:t xml:space="preserve"> Înalta Curte de Casație și Justiție a luat notă de termenii acordului din 10 martie 2004 și a concluzionat că societatea R. și-a retras recursul împotriva deciziei din 8 noiembrie 2002 (a se vedea supra, pct. 7), care a devenit astfel definitivă.</w:t>
      </w:r>
    </w:p>
    <w:p w:rsidR="002233D0" w:rsidRPr="002044A2" w:rsidRDefault="009A79AF" w:rsidP="002044A2">
      <w:pPr>
        <w:pStyle w:val="ECHRHeading2"/>
      </w:pPr>
      <w:r>
        <w:t>B.  Procedura privind reorganizarea judiciară</w:t>
      </w:r>
    </w:p>
    <w:p w:rsidR="00940232" w:rsidRPr="002044A2" w:rsidRDefault="005668A4" w:rsidP="002044A2">
      <w:pPr>
        <w:pStyle w:val="ECHRPara"/>
      </w:pPr>
      <w:fldSimple w:instr=" SEQ level0 \*arabic ">
        <w:r w:rsidR="002044A2" w:rsidRPr="002044A2">
          <w:t>10</w:t>
        </w:r>
      </w:fldSimple>
      <w:r w:rsidR="00994917">
        <w:t>.  Între timp, la 31 martie 2004, societatea R. a solicitat reorganizarea judiciară, procedură prevăzută de Legea nr. 64/1995 privind procedura reorganizării judiciare și a falimentului.</w:t>
      </w:r>
    </w:p>
    <w:p w:rsidR="00940232" w:rsidRPr="002044A2" w:rsidRDefault="005668A4" w:rsidP="002044A2">
      <w:pPr>
        <w:pStyle w:val="ECHRPara"/>
      </w:pPr>
      <w:fldSimple w:instr=" SEQ level0 \*arabic ">
        <w:r w:rsidR="002044A2" w:rsidRPr="002044A2">
          <w:t>11</w:t>
        </w:r>
      </w:fldSimple>
      <w:r w:rsidR="00103684">
        <w:t>.  La 28 aprilie 2004</w:t>
      </w:r>
      <w:r w:rsidR="00922C98">
        <w:t>,</w:t>
      </w:r>
      <w:r w:rsidR="00103684">
        <w:t xml:space="preserve"> Tribunalul Bacău a admis cererea, a inițiat procedura de reorganizare și a numit un administrator judiciar. Cererile formulate de reclamanți au fost admise de tribunal și înscrise în tabloul creditorilor întocmit de administratorul judiciar conform dispozițiilor din legea aplicabilă.</w:t>
      </w:r>
    </w:p>
    <w:bookmarkStart w:id="7" w:name="no_of_parties"/>
    <w:p w:rsidR="00940232" w:rsidRPr="002044A2" w:rsidRDefault="00445418" w:rsidP="002044A2">
      <w:pPr>
        <w:pStyle w:val="ECHRPara"/>
      </w:pPr>
      <w:r w:rsidRPr="002044A2">
        <w:fldChar w:fldCharType="begin"/>
      </w:r>
      <w:r w:rsidRPr="002044A2">
        <w:instrText xml:space="preserve"> SEQ level0 \*arabic </w:instrText>
      </w:r>
      <w:r w:rsidRPr="002044A2">
        <w:fldChar w:fldCharType="separate"/>
      </w:r>
      <w:r w:rsidR="002044A2" w:rsidRPr="002044A2">
        <w:t>12</w:t>
      </w:r>
      <w:r w:rsidRPr="002044A2">
        <w:fldChar w:fldCharType="end"/>
      </w:r>
      <w:bookmarkEnd w:id="7"/>
      <w:r>
        <w:t>.  Reclamanții au contestat tabloul creditorilor, solicitând recunoașterea ca fiind creditori privilegiați. De asemenea, alți unsprezece creditori au formulat contestații față de înscrierile din tabloul creditorilor.</w:t>
      </w:r>
    </w:p>
    <w:bookmarkStart w:id="8" w:name="adoption_of_reorg_plan"/>
    <w:p w:rsidR="00940232" w:rsidRPr="002044A2" w:rsidRDefault="007A69E0" w:rsidP="002044A2">
      <w:pPr>
        <w:pStyle w:val="ECHRPara"/>
      </w:pPr>
      <w:r w:rsidRPr="002044A2">
        <w:fldChar w:fldCharType="begin"/>
      </w:r>
      <w:r w:rsidRPr="002044A2">
        <w:instrText xml:space="preserve"> SEQ level0 \*arabic </w:instrText>
      </w:r>
      <w:r w:rsidRPr="002044A2">
        <w:fldChar w:fldCharType="separate"/>
      </w:r>
      <w:r w:rsidR="002044A2" w:rsidRPr="002044A2">
        <w:t>13</w:t>
      </w:r>
      <w:r w:rsidRPr="002044A2">
        <w:fldChar w:fldCharType="end"/>
      </w:r>
      <w:bookmarkEnd w:id="8"/>
      <w:r>
        <w:t>.  Între timp, la 24 noiembrie 2004, administratorul judiciar a supus votului creditorilor un plan de reorganizare. S-a propus ca creanțele privilegiate să fie plătite integral, iar celelalte creanțe chirografare să fie plătite în proporție de 20% din valoarea lor. Prin încheierea interlocutorie din 8 decembrie 2004, Tribunalul Bacău a confirmat planul după ce a examinat contestațiile formulate de creditorii chirografari. În 2006</w:t>
      </w:r>
      <w:r w:rsidR="00922C98">
        <w:t>,</w:t>
      </w:r>
      <w:r>
        <w:t xml:space="preserve"> societatea R. și-a plătit datoriile în conformitate cu planul.</w:t>
      </w:r>
    </w:p>
    <w:bookmarkStart w:id="9" w:name="first_instance_proceedings"/>
    <w:p w:rsidR="00940232" w:rsidRPr="002044A2" w:rsidRDefault="00324C1D" w:rsidP="002044A2">
      <w:pPr>
        <w:pStyle w:val="ECHRPara"/>
      </w:pPr>
      <w:r w:rsidRPr="002044A2">
        <w:fldChar w:fldCharType="begin"/>
      </w:r>
      <w:r w:rsidRPr="002044A2">
        <w:instrText xml:space="preserve"> SEQ level0 \*arabic </w:instrText>
      </w:r>
      <w:r w:rsidRPr="002044A2">
        <w:fldChar w:fldCharType="separate"/>
      </w:r>
      <w:r w:rsidR="002044A2" w:rsidRPr="002044A2">
        <w:t>14</w:t>
      </w:r>
      <w:r w:rsidRPr="002044A2">
        <w:fldChar w:fldCharType="end"/>
      </w:r>
      <w:bookmarkEnd w:id="9"/>
      <w:r>
        <w:t>.  La 11 octombrie 2007</w:t>
      </w:r>
      <w:r w:rsidR="00922C98">
        <w:t>,</w:t>
      </w:r>
      <w:r>
        <w:t xml:space="preserve"> Tribunalul Brașov a organizat o ședință cu privire la contestațiile față de tabloul creditorilor depuse de reclamanți. Primul reclamant a fost prezent la ședință pentru a se reprezenta atât pe sine, cât și pentru a-i reprezenta pe ceilalți reclamanți. Tribunalul a acordat termen părților până la 18 octombrie 2007 pentru a depune observații scrise. La data respectivă, în absența reclamanților, a amânat pronunțarea hotărârii pentru 1 </w:t>
      </w:r>
      <w:r>
        <w:lastRenderedPageBreak/>
        <w:t>noiembrie 2007. Tribunalul a pronunțat la 1 noiembrie 2007 o hotărâre împotriva reclamanților.</w:t>
      </w:r>
    </w:p>
    <w:bookmarkStart w:id="10" w:name="publication_of_judgment"/>
    <w:p w:rsidR="009577E3" w:rsidRPr="002044A2" w:rsidRDefault="009577E3" w:rsidP="002044A2">
      <w:pPr>
        <w:pStyle w:val="ECHRPara"/>
      </w:pPr>
      <w:r w:rsidRPr="002044A2">
        <w:fldChar w:fldCharType="begin"/>
      </w:r>
      <w:r w:rsidRPr="002044A2">
        <w:instrText xml:space="preserve"> SEQ level0 \*arabic </w:instrText>
      </w:r>
      <w:r w:rsidRPr="002044A2">
        <w:fldChar w:fldCharType="separate"/>
      </w:r>
      <w:r w:rsidR="002044A2" w:rsidRPr="002044A2">
        <w:t>15</w:t>
      </w:r>
      <w:r w:rsidRPr="002044A2">
        <w:fldChar w:fldCharType="end"/>
      </w:r>
      <w:bookmarkEnd w:id="10"/>
      <w:r>
        <w:t>.  La 23 ianuarie 2008, în conformitate cu normele privind notificarea în legătură cu documentele instanței în cadrul procedurii de insolvență (a se vedea infra, pct. 20), hotărârea din 1 decembrie 2007 a fost publicată în Buletinul procedurilor de insolvență, „Buletinul”).</w:t>
      </w:r>
    </w:p>
    <w:p w:rsidR="00940232" w:rsidRPr="002044A2" w:rsidRDefault="005668A4" w:rsidP="002044A2">
      <w:pPr>
        <w:pStyle w:val="ECHRPara"/>
      </w:pPr>
      <w:fldSimple w:instr=" SEQ level0 \*arabic ">
        <w:r w:rsidR="002044A2" w:rsidRPr="002044A2">
          <w:t>16</w:t>
        </w:r>
      </w:fldSimple>
      <w:r w:rsidR="009577E3">
        <w:t>.  La o dată neprecizată, reclamanții s-au interesat de data pronunțării hotărârii și au solicitat tribunalului să le furnizeze o copie a hotărârii, care le</w:t>
      </w:r>
      <w:r w:rsidR="00922C98">
        <w:noBreakHyphen/>
      </w:r>
      <w:r w:rsidR="009577E3">
        <w:t>a fost trimisă la 31 ianuarie 2008 și pe care au primit-o la 4 februarie 2008. La 13 februarie 2008, au declarat recurs prin poștă.</w:t>
      </w:r>
    </w:p>
    <w:p w:rsidR="00940232" w:rsidRPr="002044A2" w:rsidRDefault="005668A4" w:rsidP="002044A2">
      <w:pPr>
        <w:pStyle w:val="ECHRPara"/>
      </w:pPr>
      <w:fldSimple w:instr=" SEQ level0 \*arabic ">
        <w:r w:rsidR="002044A2" w:rsidRPr="002044A2">
          <w:t>17</w:t>
        </w:r>
      </w:fldSimple>
      <w:r w:rsidR="00144B70">
        <w:t>.  În fața Curții de Apel Brașov, reclamanții au susținut că, întrucât nu avuseseră acces la Buletin, nu au avut posibilitatea să cunoască data la care a fost publicată hotărârea.</w:t>
      </w:r>
    </w:p>
    <w:bookmarkStart w:id="11" w:name="para16"/>
    <w:bookmarkStart w:id="12" w:name="final_ecision"/>
    <w:p w:rsidR="00940232" w:rsidRPr="002044A2" w:rsidRDefault="00FC4B8C" w:rsidP="002044A2">
      <w:pPr>
        <w:pStyle w:val="ECHRPara"/>
      </w:pPr>
      <w:r w:rsidRPr="002044A2">
        <w:fldChar w:fldCharType="begin"/>
      </w:r>
      <w:r w:rsidRPr="002044A2">
        <w:instrText xml:space="preserve"> SEQ level0 \*arabic </w:instrText>
      </w:r>
      <w:r w:rsidRPr="002044A2">
        <w:fldChar w:fldCharType="separate"/>
      </w:r>
      <w:r w:rsidR="002044A2" w:rsidRPr="002044A2">
        <w:t>18</w:t>
      </w:r>
      <w:r w:rsidRPr="002044A2">
        <w:fldChar w:fldCharType="end"/>
      </w:r>
      <w:bookmarkEnd w:id="11"/>
      <w:bookmarkEnd w:id="12"/>
      <w:r>
        <w:t>.  Prin decizia definitivă din 17 aprilie 2008, curtea de apel a respins acest argument și a stabilit că recursul a fost formulat tardiv, deoarece a fost depus la mai mult de 10 zile după 23 ianuarie 2008, data la care se publicase hotărârea Tribunalului Brașov (a se vedea supra, pct. 15). Întemeindu-se pe Decizia Curții Constituționale nr. 1137 din 4 decembrie 2007 (a se vedea infra, pct. 21), curtea de apel a considerat că procedura de notificare prin Buletin a oferit suficiente garanții participanților la proces și a fost justificată de natura procedurii de insolvență.</w:t>
      </w:r>
    </w:p>
    <w:bookmarkStart w:id="13" w:name="payment_20"/>
    <w:p w:rsidR="00940232" w:rsidRPr="002044A2" w:rsidRDefault="00FC4B8C" w:rsidP="002044A2">
      <w:pPr>
        <w:pStyle w:val="ECHRPara"/>
      </w:pPr>
      <w:r w:rsidRPr="002044A2">
        <w:fldChar w:fldCharType="begin"/>
      </w:r>
      <w:r w:rsidRPr="002044A2">
        <w:instrText xml:space="preserve"> SEQ level0 \*arabic </w:instrText>
      </w:r>
      <w:r w:rsidRPr="002044A2">
        <w:fldChar w:fldCharType="separate"/>
      </w:r>
      <w:r w:rsidR="002044A2" w:rsidRPr="002044A2">
        <w:t>19</w:t>
      </w:r>
      <w:r w:rsidRPr="002044A2">
        <w:fldChar w:fldCharType="end"/>
      </w:r>
      <w:bookmarkEnd w:id="13"/>
      <w:r>
        <w:t>.  La 21 iunie 2010 tribunalul a închis procedura de insolvență și a reținut că societatea R. și-a îndeplinit toate obligațiile prevăzute în planul de reorganizare (a se vedea supra, pct. 13) și că, prin urmare, nu mai avea datorii.</w:t>
      </w:r>
    </w:p>
    <w:p w:rsidR="00014566" w:rsidRPr="002044A2" w:rsidRDefault="00014566" w:rsidP="002044A2">
      <w:pPr>
        <w:pStyle w:val="ECHRHeading1"/>
      </w:pPr>
      <w:r>
        <w:t>II.  DREPTUL INTERN RELEVANT</w:t>
      </w:r>
    </w:p>
    <w:p w:rsidR="00B154E4" w:rsidRPr="002044A2" w:rsidRDefault="00B154E4" w:rsidP="002044A2">
      <w:pPr>
        <w:pStyle w:val="ECHRHeading2"/>
      </w:pPr>
      <w:r>
        <w:t>A.  Publicarea documentelor instanței în Buletinul procedurilor de insolvență</w:t>
      </w:r>
    </w:p>
    <w:bookmarkStart w:id="14" w:name="L85_2006"/>
    <w:p w:rsidR="00A92E94" w:rsidRPr="002044A2" w:rsidRDefault="0008131E" w:rsidP="002044A2">
      <w:pPr>
        <w:pStyle w:val="ECHRPara"/>
      </w:pPr>
      <w:r w:rsidRPr="002044A2">
        <w:fldChar w:fldCharType="begin"/>
      </w:r>
      <w:r w:rsidRPr="002044A2">
        <w:instrText xml:space="preserve"> SEQ level0 \*arabic </w:instrText>
      </w:r>
      <w:r w:rsidRPr="002044A2">
        <w:fldChar w:fldCharType="separate"/>
      </w:r>
      <w:r w:rsidR="002044A2" w:rsidRPr="002044A2">
        <w:t>20</w:t>
      </w:r>
      <w:r w:rsidRPr="002044A2">
        <w:fldChar w:fldCharType="end"/>
      </w:r>
      <w:bookmarkEnd w:id="14"/>
      <w:r>
        <w:t>.  Versiunea Legii nr. 85/2006 privind procedura insolvenței (denumită în continuare „Legea din 2006 privind insolvența”) în vigoare la momentul faptelor, care a înlocuit în întregime Legea nr. 64/1995 începând cu 20 iulie 2006, prevedea că toate notificările din timpul unei proceduri de insolvență vor fi făcute prin publicare în Buletin, cu excepția notificării privind deschiderea unei astfel de proceduri, care va fi făcută în conformitate cu procedura generală prevăzută de Codul de procedură civilă. Fragmentele relevante din Legea din 2006 privind insolvența în vigoare la momentul faptelor se citesc după cum urmează:</w:t>
      </w:r>
    </w:p>
    <w:p w:rsidR="005666BC" w:rsidRPr="002044A2" w:rsidRDefault="005666BC" w:rsidP="002044A2">
      <w:pPr>
        <w:pStyle w:val="ECHRTitleCentre3"/>
      </w:pPr>
      <w:r>
        <w:t>Articolul 3</w:t>
      </w:r>
    </w:p>
    <w:p w:rsidR="00C5371F" w:rsidRPr="002044A2" w:rsidRDefault="00B56F17" w:rsidP="002044A2">
      <w:pPr>
        <w:pStyle w:val="ECHRParaQuote"/>
      </w:pPr>
      <w:r>
        <w:t xml:space="preserve">„29.  Buletinul procedurilor de insolvență reprezintă publicația editată de Oficiul Național al Registrului Comerțului, care are drept scop publicarea citațiilor, convocărilor, notificărilor și comunicărilor actelor de procedură efectuate de instanțele </w:t>
      </w:r>
      <w:r>
        <w:lastRenderedPageBreak/>
        <w:t>judecătorești, administratorul judiciar/lichidator după deschiderea procedurii prevăzute de prezenta lege;”</w:t>
      </w:r>
    </w:p>
    <w:p w:rsidR="009C5CE4" w:rsidRPr="002044A2" w:rsidRDefault="009C5CE4" w:rsidP="002044A2">
      <w:pPr>
        <w:pStyle w:val="ECHRTitleCentre3"/>
      </w:pPr>
      <w:r>
        <w:t>Articolul 7</w:t>
      </w:r>
    </w:p>
    <w:p w:rsidR="00940232" w:rsidRPr="002044A2" w:rsidRDefault="00B56F17" w:rsidP="002044A2">
      <w:pPr>
        <w:pStyle w:val="ECHRParaQuote"/>
      </w:pPr>
      <w:r>
        <w:t>„(1) Citarea părților, precum și comunicarea oricăror acte de procedură, a convocărilor și notificărilor se efectuează prin Buletinul procedurilor de insolvență. [...] Buletinul procedurilor de insolvență va fi realizat și în formă electronică.</w:t>
      </w:r>
    </w:p>
    <w:p w:rsidR="009F4303" w:rsidRPr="002044A2" w:rsidRDefault="00940232" w:rsidP="002044A2">
      <w:pPr>
        <w:pStyle w:val="ECHRParaQuote"/>
      </w:pPr>
      <w:r>
        <w:t>[...]</w:t>
      </w:r>
    </w:p>
    <w:p w:rsidR="00940232" w:rsidRPr="002044A2" w:rsidRDefault="009C5CE4" w:rsidP="002044A2">
      <w:pPr>
        <w:pStyle w:val="ECHRParaQuote"/>
      </w:pPr>
      <w:r>
        <w:t>(8) În vederea publicării citațiilor, convocărilor și notificărilor actelor de procedură efectuate de instanțele judecătorești, după deschiderea procedurii prevăzute de prezenta lege, se editează Buletinul procedurilor de insolvență, publicație editată de Oficiul Național al Registrului Comerțului.</w:t>
      </w:r>
    </w:p>
    <w:p w:rsidR="009C5CE4" w:rsidRPr="002044A2" w:rsidRDefault="009C5CE4" w:rsidP="002044A2">
      <w:pPr>
        <w:pStyle w:val="ECHRParaQuote"/>
      </w:pPr>
      <w:r>
        <w:t>(9) Publicarea actelor de procedură sau, după caz, a hotărârilor judecătorești în Buletinul procedurilor de insolvență înlocuiește, de la data publicării acestora, citarea, convocarea și notificarea actelor de procedură efectuate individual față de participanții la proces, acestea fiind prezumate a fi îndeplinite la data publicării.”</w:t>
      </w:r>
    </w:p>
    <w:p w:rsidR="009C5CE4" w:rsidRPr="002044A2" w:rsidRDefault="009C5CE4" w:rsidP="002044A2">
      <w:pPr>
        <w:pStyle w:val="ECHRTitleCentre3"/>
      </w:pPr>
      <w:r>
        <w:t>Articolul 8</w:t>
      </w:r>
    </w:p>
    <w:p w:rsidR="00940232" w:rsidRPr="002044A2" w:rsidRDefault="00B56F17" w:rsidP="002044A2">
      <w:pPr>
        <w:pStyle w:val="ECHRParaQuote"/>
      </w:pPr>
      <w:r>
        <w:t>„(2) Termenul de recurs este de 10 zile de la comunicarea hotărârii, dacă legea nu prevede altfel.</w:t>
      </w:r>
    </w:p>
    <w:p w:rsidR="00144B70" w:rsidRPr="002044A2" w:rsidRDefault="00144B70" w:rsidP="002044A2">
      <w:pPr>
        <w:pStyle w:val="ECHRParaQuote"/>
      </w:pPr>
      <w:r>
        <w:t>(3) Recursul va fi judecat de completuri specializate, în termen de 30 de zile de la înregistrarea dosarului la curtea de apel. Citarea părților se face prin Buletinul procedurilor de insolvență. [...]”</w:t>
      </w:r>
    </w:p>
    <w:bookmarkStart w:id="15" w:name="CC_decision"/>
    <w:p w:rsidR="00787DF2" w:rsidRPr="002044A2" w:rsidRDefault="00787DF2" w:rsidP="002044A2">
      <w:pPr>
        <w:pStyle w:val="ECHRPara"/>
      </w:pPr>
      <w:r w:rsidRPr="002044A2">
        <w:fldChar w:fldCharType="begin"/>
      </w:r>
      <w:r w:rsidRPr="002044A2">
        <w:instrText xml:space="preserve"> SEQ level0 \*arabic </w:instrText>
      </w:r>
      <w:r w:rsidRPr="002044A2">
        <w:fldChar w:fldCharType="separate"/>
      </w:r>
      <w:r w:rsidR="002044A2" w:rsidRPr="002044A2">
        <w:t>21</w:t>
      </w:r>
      <w:r w:rsidRPr="002044A2">
        <w:fldChar w:fldCharType="end"/>
      </w:r>
      <w:bookmarkEnd w:id="15"/>
      <w:r>
        <w:t>.  </w:t>
      </w:r>
      <w:r w:rsidR="00FB396E">
        <w:t>Prin</w:t>
      </w:r>
      <w:r>
        <w:t xml:space="preserve"> Decizia nr. 1137 din 4 decembrie 2007, Curtea Constituțională a considerat că procedura specială de citare a părților, reglementată de art. 7 din Legea din 2006 privind insolvența, este justificată din următoarele motive:</w:t>
      </w:r>
    </w:p>
    <w:p w:rsidR="00940232" w:rsidRPr="002044A2" w:rsidRDefault="00F34404" w:rsidP="002044A2">
      <w:pPr>
        <w:pStyle w:val="ECHRParaQuote"/>
      </w:pPr>
      <w:r>
        <w:t>„Faptul că, ulterior deschiderii procedurii insolvenței, persoanele notificate vor fi citate și li se vor comunica actele de procedură prin intermediul Buletinului procedurilor de insolvență nu poate fi privit ca aducând atingere dreptului la apărare.  Astfel, potrivit art. 126 alin. (2) din Constituție, legiuitorul se bucură de atributul exclusiv de a stabili normele de procedură, putând să instituie prevederi speciale, derogatorii de la dreptul comun, în vederea unor situații specifice.  Astfel, prevederile art. 7 alin. (1) din Legea nr. 85/2006 își găsesc justificarea în specificul procedurii insolvenței, care presupune un număr foarte mare de părți și o mare diversitate de acte procedurale de natură să îngreuneze mult desfășurarea procedurii, și [publicarea în Buletin] apare ca o măsură specială prin care se asigură soluționarea cu celeritate a cauzelor.”</w:t>
      </w:r>
    </w:p>
    <w:p w:rsidR="00940232" w:rsidRPr="002044A2" w:rsidRDefault="005668A4" w:rsidP="002044A2">
      <w:pPr>
        <w:pStyle w:val="ECHRPara"/>
      </w:pPr>
      <w:fldSimple w:instr=" SEQ level0 \*arabic ">
        <w:r w:rsidR="002044A2" w:rsidRPr="002044A2">
          <w:t>22</w:t>
        </w:r>
      </w:fldSimple>
      <w:r w:rsidR="0079341B">
        <w:t xml:space="preserve">.  La 26 noiembrie 2008, art. 8 alin. (3) a fost modificat prin Ordonanța de urgență nr. 173/2008; în noua sa versiune, prevedea că citarea părților în recurs se face potrivit dispozițiilor Codului de procedură civilă, care, la acel moment, impunea ca textul unei hotărâri judecătorești să fie comunicat părților vizate (a se vedea </w:t>
      </w:r>
      <w:r w:rsidR="0079341B">
        <w:rPr>
          <w:i/>
        </w:rPr>
        <w:t xml:space="preserve">S.C. </w:t>
      </w:r>
      <w:proofErr w:type="spellStart"/>
      <w:r w:rsidR="0079341B">
        <w:rPr>
          <w:i/>
        </w:rPr>
        <w:t>Raisa</w:t>
      </w:r>
      <w:proofErr w:type="spellEnd"/>
      <w:r w:rsidR="0079341B">
        <w:rPr>
          <w:i/>
        </w:rPr>
        <w:t xml:space="preserve"> M. Shipping S.R.L. împotriva României, </w:t>
      </w:r>
      <w:r w:rsidR="0079341B">
        <w:t>nr. 37576/05, pct. 18, 8 ianuarie 2013).</w:t>
      </w:r>
      <w:r w:rsidR="0079341B">
        <w:rPr>
          <w:i/>
        </w:rPr>
        <w:t> </w:t>
      </w:r>
    </w:p>
    <w:bookmarkStart w:id="16" w:name="L85_2014"/>
    <w:p w:rsidR="00940232" w:rsidRPr="002044A2" w:rsidRDefault="0079341B" w:rsidP="002044A2">
      <w:pPr>
        <w:pStyle w:val="ECHRPara"/>
      </w:pPr>
      <w:r w:rsidRPr="002044A2">
        <w:fldChar w:fldCharType="begin"/>
      </w:r>
      <w:r w:rsidRPr="002044A2">
        <w:instrText xml:space="preserve"> SEQ level0 \*arabic </w:instrText>
      </w:r>
      <w:r w:rsidRPr="002044A2">
        <w:fldChar w:fldCharType="separate"/>
      </w:r>
      <w:r w:rsidR="002044A2" w:rsidRPr="002044A2">
        <w:t>23</w:t>
      </w:r>
      <w:r w:rsidRPr="002044A2">
        <w:fldChar w:fldCharType="end"/>
      </w:r>
      <w:bookmarkEnd w:id="16"/>
      <w:r>
        <w:t xml:space="preserve">.  În 2014, Legea din 2006 privind insolvența a fost înlocuită cu Legea nr. 85/2014 privind procedurile de prevenire a insolvenței și de insolvență (denumită în continuare „Legea din 2014 privind insolvența”). Art. 42-43 din </w:t>
      </w:r>
      <w:r>
        <w:lastRenderedPageBreak/>
        <w:t>noua lege prevedeau că citarea părților în recurs se efectuează exclusiv prin Buletin, existent doar în formă electronică.</w:t>
      </w:r>
    </w:p>
    <w:p w:rsidR="0079341B" w:rsidRPr="002044A2" w:rsidRDefault="0079341B" w:rsidP="002044A2">
      <w:pPr>
        <w:pStyle w:val="ECHRHeading2"/>
      </w:pPr>
      <w:r>
        <w:t>B.  Prețul de vânzare al Buletinului</w:t>
      </w:r>
    </w:p>
    <w:bookmarkStart w:id="17" w:name="price_Bulletin"/>
    <w:p w:rsidR="00940232" w:rsidRPr="002044A2" w:rsidRDefault="00AF6E76" w:rsidP="002044A2">
      <w:pPr>
        <w:pStyle w:val="ECHRPara"/>
      </w:pPr>
      <w:r w:rsidRPr="002044A2">
        <w:fldChar w:fldCharType="begin"/>
      </w:r>
      <w:r w:rsidRPr="002044A2">
        <w:instrText xml:space="preserve"> SEQ level0 \*arabic </w:instrText>
      </w:r>
      <w:r w:rsidRPr="002044A2">
        <w:fldChar w:fldCharType="separate"/>
      </w:r>
      <w:r w:rsidR="002044A2" w:rsidRPr="002044A2">
        <w:t>24</w:t>
      </w:r>
      <w:r w:rsidRPr="002044A2">
        <w:fldChar w:fldCharType="end"/>
      </w:r>
      <w:bookmarkEnd w:id="17"/>
      <w:r>
        <w:t>.  În Hotărârea de Guvern nr. 124/2007, publicată în Monitorul Oficial din 13 februarie 2007, prețul de vânzare al Buletinului a fost stabilit la: 1,20 lei românești (RON) pentru un exemplar;  212,55 RON pentru un abonament lunar; 637,66 RON pentru un abonament trimestrial și  2 550,65 RON pentru un abonament anual. Comanda trebuia transmisă cu 30 de zile lucrătoare înainte și abonamentele puteau începe doar la 1 ianuarie, 1 aprilie, 1 iulie sau 1 septembrie pentru cel trimestrial, sau la 1 ianuarie pentru cel anual. Versiunea electronică a Buletinului avea prețul de vânzare de 79,16 RON pentru un abonament lunar, 237,49 RON pent</w:t>
      </w:r>
      <w:r w:rsidR="00FB396E">
        <w:t xml:space="preserve">ru un abonament trimestrial și </w:t>
      </w:r>
      <w:r>
        <w:t>949,95 RON pentru un abonament anual. Accesul la versiunea electronică era oferit în două zile lucrătoare după plata abonamentului. Vânzarea versiunii pe suport fizic a Buletinului a început în a doua jumătate a anului 2007.</w:t>
      </w:r>
    </w:p>
    <w:p w:rsidR="0079341B" w:rsidRPr="002044A2" w:rsidRDefault="0079341B" w:rsidP="002044A2">
      <w:pPr>
        <w:pStyle w:val="ECHRHeading2"/>
      </w:pPr>
      <w:r>
        <w:t>C.  Scopul procedurii de reorganizare</w:t>
      </w:r>
    </w:p>
    <w:bookmarkStart w:id="18" w:name="aim_of_reorganisation"/>
    <w:p w:rsidR="00DD4DD0" w:rsidRPr="002044A2" w:rsidRDefault="008D6356" w:rsidP="002044A2">
      <w:pPr>
        <w:pStyle w:val="ECHRPara"/>
      </w:pPr>
      <w:r w:rsidRPr="002044A2">
        <w:fldChar w:fldCharType="begin"/>
      </w:r>
      <w:r w:rsidRPr="002044A2">
        <w:instrText xml:space="preserve"> SEQ level0 \*arabic </w:instrText>
      </w:r>
      <w:r w:rsidRPr="002044A2">
        <w:fldChar w:fldCharType="separate"/>
      </w:r>
      <w:r w:rsidR="002044A2" w:rsidRPr="002044A2">
        <w:t>25</w:t>
      </w:r>
      <w:r w:rsidRPr="002044A2">
        <w:fldChar w:fldCharType="end"/>
      </w:r>
      <w:bookmarkEnd w:id="18"/>
      <w:r>
        <w:t>.  La momentul faptelor, Legea din 2006 privind insolvența prevedea următoarele:</w:t>
      </w:r>
    </w:p>
    <w:p w:rsidR="008D6356" w:rsidRPr="002044A2" w:rsidRDefault="008D6356" w:rsidP="002044A2">
      <w:pPr>
        <w:pStyle w:val="ECHRTitleCentre3"/>
      </w:pPr>
      <w:r>
        <w:t>Articolul 103</w:t>
      </w:r>
    </w:p>
    <w:p w:rsidR="00940232" w:rsidRPr="002044A2" w:rsidRDefault="008D6356" w:rsidP="002044A2">
      <w:pPr>
        <w:pStyle w:val="ECHRParaQuote"/>
      </w:pPr>
      <w:r>
        <w:t xml:space="preserve">„(1) În urma confirmării unui plan de reorganizare, debitorul își va conduce activitatea sub supravegherea administratorului judiciar și în conformitate cu planul confirmat, până când judecătorul-sindic va dispune, motivat, fie încheierea procedurii insolvenței și luarea tuturor măsurilor pentru </w:t>
      </w:r>
      <w:proofErr w:type="spellStart"/>
      <w:r>
        <w:t>reinserția</w:t>
      </w:r>
      <w:proofErr w:type="spellEnd"/>
      <w:r>
        <w:t xml:space="preserve"> debitorului în activitatea comercială, fie încetarea reorganizării și trecerea la faliment, în condițiile art. 107 și următoarele.”</w:t>
      </w:r>
      <w:r>
        <w:br/>
      </w:r>
    </w:p>
    <w:bookmarkStart w:id="19" w:name="aim_of_reorganisation_new_law"/>
    <w:p w:rsidR="00940232" w:rsidRPr="002044A2" w:rsidRDefault="00433E11" w:rsidP="002044A2">
      <w:pPr>
        <w:pStyle w:val="ECHRPara"/>
      </w:pPr>
      <w:r w:rsidRPr="002044A2">
        <w:fldChar w:fldCharType="begin"/>
      </w:r>
      <w:r w:rsidRPr="002044A2">
        <w:instrText xml:space="preserve"> SEQ level0 \*arabic </w:instrText>
      </w:r>
      <w:r w:rsidRPr="002044A2">
        <w:fldChar w:fldCharType="separate"/>
      </w:r>
      <w:r w:rsidR="002044A2" w:rsidRPr="002044A2">
        <w:t>26</w:t>
      </w:r>
      <w:r w:rsidRPr="002044A2">
        <w:fldChar w:fldCharType="end"/>
      </w:r>
      <w:bookmarkEnd w:id="19"/>
      <w:r>
        <w:t>.  Art. 2 din Legea din 2014 privind insolvența prevedea că scopul legii era instituirea unei proceduri colective pentru acoperirea pasivului debitorului, cu acordarea, atunci când este posibil, a șansei de redresare a activității acestuia.</w:t>
      </w:r>
    </w:p>
    <w:p w:rsidR="00014566" w:rsidRPr="002044A2" w:rsidRDefault="00014566" w:rsidP="002044A2">
      <w:pPr>
        <w:pStyle w:val="ECHRTitle1"/>
      </w:pPr>
      <w:r>
        <w:lastRenderedPageBreak/>
        <w:t>ÎN DREPT</w:t>
      </w:r>
    </w:p>
    <w:p w:rsidR="00014566" w:rsidRPr="002044A2" w:rsidRDefault="00014566" w:rsidP="002044A2">
      <w:pPr>
        <w:pStyle w:val="ECHRHeading1"/>
      </w:pPr>
      <w:r>
        <w:t xml:space="preserve">I.  CU PRIVIRE LA PRETINSA ÎNCĂLCARE A ART. 6 § 1 DIN CONVENȚIE DIN CAUZA LIPSEI ACCESULUI LA O INSTANȚĂ ÎN RECURS ÎN PROCEDURA DE INSOLVENȚĂ </w:t>
      </w:r>
    </w:p>
    <w:bookmarkStart w:id="20" w:name="text_art6"/>
    <w:p w:rsidR="00940232" w:rsidRPr="002044A2" w:rsidRDefault="0008131E" w:rsidP="002044A2">
      <w:pPr>
        <w:pStyle w:val="ECHRPara"/>
      </w:pPr>
      <w:r w:rsidRPr="002044A2">
        <w:fldChar w:fldCharType="begin"/>
      </w:r>
      <w:r w:rsidRPr="002044A2">
        <w:instrText xml:space="preserve"> SEQ level0 \*arabic </w:instrText>
      </w:r>
      <w:r w:rsidRPr="002044A2">
        <w:fldChar w:fldCharType="separate"/>
      </w:r>
      <w:r w:rsidR="002044A2" w:rsidRPr="002044A2">
        <w:t>27</w:t>
      </w:r>
      <w:r w:rsidRPr="002044A2">
        <w:fldChar w:fldCharType="end"/>
      </w:r>
      <w:bookmarkEnd w:id="20"/>
      <w:r>
        <w:t>.  În temeiul art. 6 § 1 și art. 13 din Convenție, reclamanții s-au plâns că recursul lor în procedura de insolvență a fost declarat tardiv în mod nelegal.</w:t>
      </w:r>
    </w:p>
    <w:p w:rsidR="00014566" w:rsidRPr="002044A2" w:rsidRDefault="005668A4" w:rsidP="002044A2">
      <w:pPr>
        <w:pStyle w:val="ECHRPara"/>
      </w:pPr>
      <w:fldSimple w:instr=" SEQ level0 \*arabic ">
        <w:r w:rsidR="002044A2" w:rsidRPr="002044A2">
          <w:t>28</w:t>
        </w:r>
      </w:fldSimple>
      <w:r w:rsidR="00E46F3F">
        <w:t xml:space="preserve">.  În circumstanțele cauzei, Curtea consideră că garanțiile prevăzute la art. 6 § 1, care implică întreaga panoplie a unei proceduri judiciare, sunt mai stricte decât și le înglobează pe cele prevăzute la art. 13 [a se vedea </w:t>
      </w:r>
      <w:proofErr w:type="spellStart"/>
      <w:r w:rsidR="00E46F3F">
        <w:rPr>
          <w:i/>
        </w:rPr>
        <w:t>Kudła</w:t>
      </w:r>
      <w:proofErr w:type="spellEnd"/>
      <w:r w:rsidR="00E46F3F">
        <w:rPr>
          <w:i/>
        </w:rPr>
        <w:t xml:space="preserve"> împotriva Poloniei </w:t>
      </w:r>
      <w:r w:rsidR="00E46F3F">
        <w:t>(MC), nr. 30210/96, pct. 146, CEDO 2000</w:t>
      </w:r>
      <w:r w:rsidR="00E46F3F">
        <w:noBreakHyphen/>
        <w:t>XI]. Prin urmare, va examina plângerea doar din perspectiva art. 6 § 1 din Convenție, a cărui parte relevantă este redactată astfel:</w:t>
      </w:r>
    </w:p>
    <w:p w:rsidR="00FA458B" w:rsidRPr="002044A2" w:rsidRDefault="00FA458B" w:rsidP="002044A2">
      <w:pPr>
        <w:pStyle w:val="ECHRParaQuote"/>
      </w:pPr>
      <w:r>
        <w:t>„Orice persoană are dreptul la judecarea în mod echitabil […] a cauzei sale, de către o instanță […], care va hotărî […] asupra încălcării drepturilor și obligațiilor sale cu caracter civil”.</w:t>
      </w:r>
    </w:p>
    <w:p w:rsidR="00014566" w:rsidRPr="002044A2" w:rsidRDefault="00014566" w:rsidP="002044A2">
      <w:pPr>
        <w:pStyle w:val="ECHRHeading2"/>
      </w:pPr>
      <w:r>
        <w:t>A.  Cu privire la admisibilitate</w:t>
      </w:r>
    </w:p>
    <w:p w:rsidR="00014566" w:rsidRPr="002044A2" w:rsidRDefault="005668A4" w:rsidP="002044A2">
      <w:pPr>
        <w:pStyle w:val="ECHRPara"/>
      </w:pPr>
      <w:fldSimple w:instr=" SEQ level0 \*arabic ">
        <w:r w:rsidR="002044A2" w:rsidRPr="002044A2">
          <w:t>29</w:t>
        </w:r>
      </w:fldSimple>
      <w:r w:rsidR="0008131E">
        <w:t>.  Curtea constată că acest capăt de cerere nu este în mod vădit nefondat în sensul art. 35 § 3 lit. a) din Convenție. Constată, de asemenea, că nu prezintă niciun alt motiv de inadmisibilitate. Trebuie așadar să fie declarat admisibil.</w:t>
      </w:r>
    </w:p>
    <w:p w:rsidR="00014566" w:rsidRPr="002044A2" w:rsidRDefault="00014566" w:rsidP="002044A2">
      <w:pPr>
        <w:pStyle w:val="ECHRHeading2"/>
      </w:pPr>
      <w:r>
        <w:t>B. Cu privire la fond</w:t>
      </w:r>
    </w:p>
    <w:p w:rsidR="007D49A6" w:rsidRPr="002044A2" w:rsidRDefault="007D49A6" w:rsidP="002044A2">
      <w:pPr>
        <w:pStyle w:val="ECHRHeading3"/>
      </w:pPr>
      <w:r>
        <w:t>1.  Observațiile părților</w:t>
      </w:r>
    </w:p>
    <w:bookmarkStart w:id="21" w:name="obsR"/>
    <w:p w:rsidR="007D49A6" w:rsidRPr="002044A2" w:rsidRDefault="0008131E" w:rsidP="002044A2">
      <w:pPr>
        <w:pStyle w:val="ECHRPara"/>
      </w:pPr>
      <w:r w:rsidRPr="002044A2">
        <w:fldChar w:fldCharType="begin"/>
      </w:r>
      <w:r w:rsidRPr="002044A2">
        <w:instrText xml:space="preserve"> SEQ level0 \*arabic </w:instrText>
      </w:r>
      <w:r w:rsidRPr="002044A2">
        <w:fldChar w:fldCharType="separate"/>
      </w:r>
      <w:r w:rsidR="002044A2" w:rsidRPr="002044A2">
        <w:t>30</w:t>
      </w:r>
      <w:r w:rsidRPr="002044A2">
        <w:fldChar w:fldCharType="end"/>
      </w:r>
      <w:bookmarkEnd w:id="21"/>
      <w:r>
        <w:t>.  Reclamanții au reiterat că nu au avut un abonament la Buletin și că nu au avut un computer sau acces la internet. În asemenea împrejurări, ar fi fost constrânși să se deplaseze la Brașov pentru a afla soluția procesului în primă instanță. Aceștia au reiterat că o copie a hotărârii le-a fost în cele din urmă trimisă la cererea lor și după ce au achitat taxele necesare, dar au primit-o la 4 februarie 2008 (a se vedea supra, pct. 18), chiar în ziua în care se împlinise termenul în cadrul căruia putea fi introdus recurs.</w:t>
      </w:r>
    </w:p>
    <w:bookmarkStart w:id="22" w:name="obsG"/>
    <w:p w:rsidR="00940232" w:rsidRPr="002044A2" w:rsidRDefault="0008131E" w:rsidP="002044A2">
      <w:pPr>
        <w:pStyle w:val="ECHRPara"/>
      </w:pPr>
      <w:r w:rsidRPr="002044A2">
        <w:fldChar w:fldCharType="begin"/>
      </w:r>
      <w:r w:rsidRPr="002044A2">
        <w:instrText xml:space="preserve"> SEQ level0 \*arabic </w:instrText>
      </w:r>
      <w:r w:rsidRPr="002044A2">
        <w:fldChar w:fldCharType="separate"/>
      </w:r>
      <w:r w:rsidR="002044A2" w:rsidRPr="002044A2">
        <w:t>31</w:t>
      </w:r>
      <w:r w:rsidRPr="002044A2">
        <w:fldChar w:fldCharType="end"/>
      </w:r>
      <w:bookmarkEnd w:id="22"/>
      <w:r>
        <w:t xml:space="preserve">.  Guvernul a susținut că dreptul la un proces echitabil nu este absolut și poate fi supus unor limitări legitime. În cauza de față, limitările impuse reclamanților au fost prevăzute prin lege și urmăreau scopul legitim de a asigura desfășurarea cu celeritate și în mod eficient a procedurii de insolvență. În plus, Buletinul a fost creat pentru a permite un acces mai bun și mai rapid la procedură și armonizarea notificărilor judiciare, ca și pentru a crea o bază de date națională dedicată procedurii insolvenței, în coordonare cu Oficiul Național al Registrului Comerțului. Guvernul a susținut că accesul la Buletin </w:t>
      </w:r>
      <w:r>
        <w:lastRenderedPageBreak/>
        <w:t>era liber, astfel putând fi citit la oficiile registrului comerțului de pe lângă fiecare tribunal, sau accesat pe internet.</w:t>
      </w:r>
    </w:p>
    <w:p w:rsidR="007D49A6" w:rsidRPr="002044A2" w:rsidRDefault="007D49A6" w:rsidP="002044A2">
      <w:pPr>
        <w:pStyle w:val="ECHRHeading3"/>
      </w:pPr>
      <w:r>
        <w:t>2.  Motivarea Curții</w:t>
      </w:r>
    </w:p>
    <w:p w:rsidR="00C16EC5" w:rsidRPr="002044A2" w:rsidRDefault="005668A4" w:rsidP="002044A2">
      <w:pPr>
        <w:pStyle w:val="ECHRPara"/>
      </w:pPr>
      <w:fldSimple w:instr=" SEQ level0 \*arabic ">
        <w:r w:rsidR="002044A2" w:rsidRPr="002044A2">
          <w:t>32</w:t>
        </w:r>
      </w:fldSimple>
      <w:r w:rsidR="0008131E">
        <w:t xml:space="preserve">.  Curtea face trimitere la principiile generale privind comunicarea notificărilor instanței (a se vedea </w:t>
      </w:r>
      <w:proofErr w:type="spellStart"/>
      <w:r w:rsidR="0008131E">
        <w:rPr>
          <w:i/>
        </w:rPr>
        <w:t>Zavodnik</w:t>
      </w:r>
      <w:proofErr w:type="spellEnd"/>
      <w:r w:rsidR="0008131E">
        <w:rPr>
          <w:i/>
        </w:rPr>
        <w:t xml:space="preserve"> împotriva Sloveniei</w:t>
      </w:r>
      <w:r w:rsidR="0008131E">
        <w:t xml:space="preserve">, nr. 53723/13, pct. 70-74, 21 mai 2015). Reiterează, de asemenea, că sarcina sa nu este de a revizui în abstract dreptul și practica relevante, ci de a stabili dacă modul în care dreptul și practica au fost aplicate, sau modul în care acestea au afectat un reclamant, a dat naștere unei încălcări a Convenției (a se vedea </w:t>
      </w:r>
      <w:proofErr w:type="spellStart"/>
      <w:r w:rsidR="0008131E">
        <w:rPr>
          <w:i/>
        </w:rPr>
        <w:t>Zavodnik</w:t>
      </w:r>
      <w:proofErr w:type="spellEnd"/>
      <w:r w:rsidR="0008131E">
        <w:t>, citată anterior, pct. 74). Astfel, Curtea trebuie să stabilească dacă, date fiind faptele cauzei, se asigurase un just echilibru între, pe de o parte, interesul administrării efective a justiției și, pe de altă parte, interesul reclamanților (ibid., pct. 75).</w:t>
      </w:r>
    </w:p>
    <w:p w:rsidR="00FD27CA" w:rsidRPr="002044A2" w:rsidRDefault="005668A4" w:rsidP="002044A2">
      <w:pPr>
        <w:pStyle w:val="ECHRPara"/>
      </w:pPr>
      <w:fldSimple w:instr=" SEQ level0 \*arabic ">
        <w:r w:rsidR="002044A2" w:rsidRPr="002044A2">
          <w:t>33</w:t>
        </w:r>
      </w:fldSimple>
      <w:r w:rsidR="00C16EC5">
        <w:t xml:space="preserve">.  Revenind la faptele prezentei cauze, Curtea subliniază că reclamanții au solicitat instanțelor interne recunoașterea calității lor de creditori privilegiați în procedura de insolvență privind societatea R. Primul reclamant, care i-a reprezentat pe reclamanți în cadrul procedurilor interne, a fost prezent la ședința în fața instanței de prim grad la 11 octombrie 2007, dar nu a fost prezent atunci când aceasta a pronunțat hotărârea din 1 noiembrie 2017 (a se vedea supra, pct. 14). Hotărârea a fost publicată la 23 ianuarie 2008 în Buletin (a se vedea supra, pct. 15), și de la acea dată a început să curgă termenul de 10 zile pentru introducerea recursului (a se vedea supra, pct. 20). În conformitate cu normele speciale privind notificarea, reclamanții nu au primit notificare scrisă cu privire la data la care a fost pronunțată hotărârea; le-a fost trimisă o copie a hotărârii din 1 noiembrie 2007, la cererea acestora, abia la 31 ianuarie 2008. Au primit-o la 4 februarie, chiar în ziua împlinirii termenului pentru formularea recursului (a se vedea supra, pct. 18). Prin urmare, recursul lor, introdus prin poștă la 13 februarie 2008, a fost declarat </w:t>
      </w:r>
      <w:r w:rsidR="009B62E1">
        <w:t xml:space="preserve">inadmisibil de curtea de apel, </w:t>
      </w:r>
      <w:r w:rsidR="00C16EC5">
        <w:t>fără a se proceda la o examinare pe fond a plângerii lor, pentru nerespectarea termenului limită (a se vedea supra, pct. 18).</w:t>
      </w:r>
    </w:p>
    <w:p w:rsidR="00940232" w:rsidRPr="002044A2" w:rsidRDefault="005668A4" w:rsidP="002044A2">
      <w:pPr>
        <w:pStyle w:val="ECHRPara"/>
        <w:rPr>
          <w:color w:val="0072BC" w:themeColor="background1"/>
        </w:rPr>
      </w:pPr>
      <w:fldSimple w:instr=" SEQ level0 \*arabic ">
        <w:r w:rsidR="002044A2" w:rsidRPr="002044A2">
          <w:t>34</w:t>
        </w:r>
      </w:fldSimple>
      <w:r w:rsidR="00E46F3F">
        <w:t xml:space="preserve">.  Curtea a constatat deja că existența procedurii speciale de notificare îndeplinea scopul legitim de a asigura celeritatea și eficiența procedurii de insolvență, în măsura în care notificarea sau comunicarea personală a documentelor instanței ar crește în mod substanțial cheltuielile de judecată și durata procedurii (a se vedea </w:t>
      </w:r>
      <w:proofErr w:type="spellStart"/>
      <w:r w:rsidR="00E46F3F">
        <w:rPr>
          <w:i/>
        </w:rPr>
        <w:t>Zavodnik</w:t>
      </w:r>
      <w:proofErr w:type="spellEnd"/>
      <w:r w:rsidR="00E46F3F">
        <w:t xml:space="preserve">, pct. 76). </w:t>
      </w:r>
      <w:r w:rsidR="009B62E1" w:rsidRPr="009B62E1">
        <w:t xml:space="preserve">Curtea admite că notificarea sau comunicarea personală ar fi putut împiedica examinarea cu celeritate a cauzei în cadrul procedurii pendinte, având în vedere numărul de participanți la această procedură </w:t>
      </w:r>
      <w:r w:rsidR="00E46F3F">
        <w:t xml:space="preserve">(a se vedea supra, pct. 12). Cu toate acestea, trebuie ca, prin modul în care această limitare a dreptului de acces la o instanță se aplică în prezenta cauză, să fie asigurat un echilibru just între diferitele interese aflate în joc, iar drepturile reclamanților să nu fie iluzorii (a se vedea </w:t>
      </w:r>
      <w:proofErr w:type="spellStart"/>
      <w:r w:rsidR="00E46F3F">
        <w:rPr>
          <w:i/>
        </w:rPr>
        <w:t>Artico</w:t>
      </w:r>
      <w:proofErr w:type="spellEnd"/>
      <w:r w:rsidR="00E46F3F">
        <w:rPr>
          <w:i/>
        </w:rPr>
        <w:t xml:space="preserve"> împotriva Italiei</w:t>
      </w:r>
      <w:r w:rsidR="00E46F3F">
        <w:t xml:space="preserve">, 13 mai 1980, pct. 33, Seria A nr. 37). În acest sens, observă </w:t>
      </w:r>
      <w:r w:rsidR="00E46F3F">
        <w:lastRenderedPageBreak/>
        <w:t xml:space="preserve">că instanțele interne nu aveau la dispoziție mijloace alternative de a notifica părțile cu privire la cursul procedurii (a se vedea, în schimb, </w:t>
      </w:r>
      <w:proofErr w:type="spellStart"/>
      <w:r w:rsidR="00E46F3F">
        <w:rPr>
          <w:i/>
        </w:rPr>
        <w:t>Zavodnik</w:t>
      </w:r>
      <w:proofErr w:type="spellEnd"/>
      <w:r w:rsidR="00E46F3F">
        <w:t xml:space="preserve">, citată anterior, pct. 78 </w:t>
      </w:r>
      <w:r w:rsidR="00E46F3F">
        <w:rPr>
          <w:i/>
        </w:rPr>
        <w:t>in fine</w:t>
      </w:r>
      <w:r w:rsidR="00E46F3F">
        <w:t>, în care notificarea unei ședințe ar fi putut fi publicată în mass-media).</w:t>
      </w:r>
    </w:p>
    <w:p w:rsidR="00623EBB" w:rsidRPr="002044A2" w:rsidRDefault="005668A4" w:rsidP="002044A2">
      <w:pPr>
        <w:pStyle w:val="ECHRPara"/>
      </w:pPr>
      <w:fldSimple w:instr=" SEQ level0 \*arabic ">
        <w:r w:rsidR="002044A2" w:rsidRPr="002044A2">
          <w:t>35</w:t>
        </w:r>
      </w:fldSimple>
      <w:r w:rsidR="006C4802">
        <w:t>.  Pentru a aprecia impactul procedurii de notificare specială asupra drepturilor reclamanților, Curtea trebuie să stabilească mijloacele de care aceștia dispuneau în mod realist pentru a fi la curent cu procedura internă.</w:t>
      </w:r>
    </w:p>
    <w:p w:rsidR="00623EBB" w:rsidRPr="002044A2" w:rsidRDefault="005668A4" w:rsidP="002044A2">
      <w:pPr>
        <w:pStyle w:val="ECHRPara"/>
      </w:pPr>
      <w:fldSimple w:instr=" SEQ level0 \*arabic ">
        <w:r w:rsidR="002044A2" w:rsidRPr="002044A2">
          <w:t>36</w:t>
        </w:r>
      </w:fldSimple>
      <w:r w:rsidR="00623EBB">
        <w:t xml:space="preserve">.  Curtea nu este convinsă că reclamanții s-ar fi putut abona la Buletin la vremea respectivă, în măsura în care, conform Hotărârii de Guvern aplicabile, ar fi trebuit să achiziționeze abonamentul cu 30 de zile lucrătoare înainte (a se vedea supra, pct. 24). Această opțiune ar fi implicat costuri semnificative pentru ei (ibid.). Mai mult, niciun element din dosar nu indica că reclamanților li s-ar fi livrat, în timp util, exemplare individuale la locuințele lor. Curtea observă în continuare că primul reclamant, reprezentant al tuturor reclamanților în procesul național, era în vârstă, nu utiliza computerul și nu avea acces la internet (a se vedea supra, pct. 4 și 30; a se vedea și, </w:t>
      </w:r>
      <w:r w:rsidR="00623EBB">
        <w:rPr>
          <w:i/>
        </w:rPr>
        <w:t>mutatis mutandis</w:t>
      </w:r>
      <w:r w:rsidR="00623EBB">
        <w:t xml:space="preserve">, </w:t>
      </w:r>
      <w:proofErr w:type="spellStart"/>
      <w:r w:rsidR="00623EBB">
        <w:rPr>
          <w:i/>
        </w:rPr>
        <w:t>Zavodnik</w:t>
      </w:r>
      <w:proofErr w:type="spellEnd"/>
      <w:r w:rsidR="00623EBB">
        <w:t xml:space="preserve">, citată anterior, pct. 79 </w:t>
      </w:r>
      <w:r w:rsidR="00623EBB">
        <w:rPr>
          <w:i/>
        </w:rPr>
        <w:t>in fine</w:t>
      </w:r>
      <w:r w:rsidR="00623EBB">
        <w:t>).</w:t>
      </w:r>
    </w:p>
    <w:p w:rsidR="00940232" w:rsidRPr="002044A2" w:rsidRDefault="005668A4" w:rsidP="002044A2">
      <w:pPr>
        <w:pStyle w:val="ECHRPara"/>
      </w:pPr>
      <w:fldSimple w:instr=" SEQ level0 \*arabic ">
        <w:r w:rsidR="002044A2" w:rsidRPr="002044A2">
          <w:t>37</w:t>
        </w:r>
      </w:fldSimple>
      <w:r w:rsidR="00623EBB">
        <w:t>.  Potrivit Guvernului, reclamanții aveau posibilitatea să consulte exemplare ale Buletinului la tribunalul din localitatea lor (a se vedea supra, pct. 31). Cu toate acestea, Guvernul nu a prezentat nicio probă care ar permite Curții să concluzioneze că reclamanții ar fi putut consulta Buletinul în mod gratuit. În orice caz, primul reclamant (reprezentantul tuturor reclamanților) ar fi trebuit să se deplaseze la tribunalul din localitate în mod regulat de la 1 noiembrie 2007, data pronunțării hotărârii, până la 23 ianuarie 2008, data la care textul hotărârii a devenit disponibil (a se vedea supra, pct. 14 și 15).</w:t>
      </w:r>
    </w:p>
    <w:p w:rsidR="00940232" w:rsidRPr="002044A2" w:rsidRDefault="005668A4" w:rsidP="002044A2">
      <w:pPr>
        <w:pStyle w:val="ECHRPara"/>
      </w:pPr>
      <w:fldSimple w:instr=" SEQ level0 \*arabic ">
        <w:r w:rsidR="002044A2" w:rsidRPr="002044A2">
          <w:t>38</w:t>
        </w:r>
      </w:fldSimple>
      <w:r w:rsidR="004E0039">
        <w:t xml:space="preserve">.  Desigur, această perioadă de aproape trei luni nu este în sine nerezonabil de lungă (a se vedea, în schimb, </w:t>
      </w:r>
      <w:proofErr w:type="spellStart"/>
      <w:r w:rsidR="004E0039">
        <w:rPr>
          <w:i/>
        </w:rPr>
        <w:t>Zavodnik</w:t>
      </w:r>
      <w:proofErr w:type="spellEnd"/>
      <w:r w:rsidR="004E0039">
        <w:t xml:space="preserve">, citată anterior, pct. 78, în care a existat așteptarea ca reclamantul să consulte avizierul instanței timp de 8 ani). Cu toate acestea, în aprecierea caracterului rezonabil, trebuie să se țină seama de situația specifică a reclamantului. În această privință, Curtea observă că primul reclamant (reprezentant al tuturor reclamanților) locuia la mai mult de 100 km distanță de tribunalul care a pronunțat hotărârea. Chiar luând în considerare că ar fi avut acces la documentele instanței la tribunalul din localitatea sa de domiciliu, așa cum a susținut Guvernul (a se vedea supra, pct. 31 </w:t>
      </w:r>
      <w:r w:rsidR="004E0039">
        <w:rPr>
          <w:i/>
        </w:rPr>
        <w:t>in fine</w:t>
      </w:r>
      <w:r w:rsidR="004E0039">
        <w:t xml:space="preserve">), Curtea reamintește că primul reclamant era în vârstă la momentul respectiv (a se vedea supra, pct. 4, cât și </w:t>
      </w:r>
      <w:proofErr w:type="spellStart"/>
      <w:r w:rsidR="004E0039">
        <w:rPr>
          <w:i/>
        </w:rPr>
        <w:t>Zavodnik</w:t>
      </w:r>
      <w:proofErr w:type="spellEnd"/>
      <w:r w:rsidR="004E0039">
        <w:t xml:space="preserve">, citată anterior, pct. 79 </w:t>
      </w:r>
      <w:r w:rsidR="004E0039">
        <w:rPr>
          <w:i/>
        </w:rPr>
        <w:t>in fine</w:t>
      </w:r>
      <w:r w:rsidR="004E0039">
        <w:t>). În aceste circumstanțe specifice, Curtea consideră că faptul că primul reclamant ar fi trebuit să se deplaseze în mod regulat la tribunal pentru o perioadă de trei luni ar fi reprezentat o sarcină semnificativă pentru acesta.</w:t>
      </w:r>
    </w:p>
    <w:p w:rsidR="00940232" w:rsidRPr="002044A2" w:rsidRDefault="005668A4" w:rsidP="002044A2">
      <w:pPr>
        <w:pStyle w:val="ECHRPara"/>
      </w:pPr>
      <w:fldSimple w:instr=" SEQ level0 \*arabic ">
        <w:r w:rsidR="002044A2" w:rsidRPr="002044A2">
          <w:t>39</w:t>
        </w:r>
      </w:fldSimple>
      <w:r w:rsidR="00F00E73">
        <w:t>.  </w:t>
      </w:r>
      <w:r w:rsidR="005624FD" w:rsidRPr="005624FD">
        <w:t>Curtea consideră că este un factor agravant acela că</w:t>
      </w:r>
      <w:r w:rsidR="00F00E73">
        <w:t xml:space="preserve">, în lipsa oricăror mijloace alternative de notificare, instanțele naționale au fost private de competența lor de a aprecia situația individuală a participanților și, la nevoie, de a adapta procedura de notificare la situația acestora. Această lipsă de </w:t>
      </w:r>
      <w:r w:rsidR="00F00E73">
        <w:lastRenderedPageBreak/>
        <w:t xml:space="preserve">flexibilitate a făcut ca dreptul reclamanților de acces la o instanță să fie iluzoriu (a se vedea, </w:t>
      </w:r>
      <w:r w:rsidR="00F00E73">
        <w:rPr>
          <w:i/>
        </w:rPr>
        <w:t>mutatis mutandis</w:t>
      </w:r>
      <w:r w:rsidR="00F00E73">
        <w:t xml:space="preserve">, </w:t>
      </w:r>
      <w:proofErr w:type="spellStart"/>
      <w:r w:rsidR="00F00E73">
        <w:rPr>
          <w:i/>
        </w:rPr>
        <w:t>Artico</w:t>
      </w:r>
      <w:proofErr w:type="spellEnd"/>
      <w:r w:rsidR="00F00E73">
        <w:t>, citată anterior, pct. 36).</w:t>
      </w:r>
    </w:p>
    <w:bookmarkStart w:id="23" w:name="violation_6"/>
    <w:p w:rsidR="00014566" w:rsidRPr="002044A2" w:rsidRDefault="0008131E" w:rsidP="002044A2">
      <w:pPr>
        <w:pStyle w:val="ECHRPara"/>
      </w:pPr>
      <w:r w:rsidRPr="002044A2">
        <w:fldChar w:fldCharType="begin"/>
      </w:r>
      <w:r w:rsidRPr="002044A2">
        <w:instrText xml:space="preserve"> SEQ level0 \*arabic </w:instrText>
      </w:r>
      <w:r w:rsidRPr="002044A2">
        <w:fldChar w:fldCharType="separate"/>
      </w:r>
      <w:r w:rsidR="002044A2" w:rsidRPr="002044A2">
        <w:t>40</w:t>
      </w:r>
      <w:r w:rsidRPr="002044A2">
        <w:fldChar w:fldCharType="end"/>
      </w:r>
      <w:bookmarkEnd w:id="23"/>
      <w:r>
        <w:t xml:space="preserve">.  Considerentele anterioare sunt suficiente pentru a-i permite Curții să concluzioneze că nu a fost asigurat un echilibru just între interesul administrării efective a justiției și interesele reclamanților. Prin urmare, a existat o încălcare a art. 6 § 1 din Convenție din cauza lipsei accesului </w:t>
      </w:r>
      <w:r w:rsidR="005624FD">
        <w:t xml:space="preserve">reclamanților </w:t>
      </w:r>
      <w:r>
        <w:t>la o instanță în recurs în procedura de insolvență.</w:t>
      </w:r>
    </w:p>
    <w:p w:rsidR="00014566" w:rsidRPr="002044A2" w:rsidRDefault="002E5F0A" w:rsidP="002044A2">
      <w:pPr>
        <w:pStyle w:val="ECHRHeading1"/>
      </w:pPr>
      <w:r>
        <w:t xml:space="preserve">II.  CU PRIVIRE LA PRETINSA ÎNCĂLCARE A ART. 6 § 1 DIN CONVENȚIE ȘI A ART. 1 DIN PROTOCOLUL NR. </w:t>
      </w:r>
      <w:r w:rsidR="005624FD">
        <w:t>1 LA CONVENȚIE</w:t>
      </w:r>
      <w:r>
        <w:t xml:space="preserve"> CA URMARE A NEEXECUTĂRII HOTĂRÂRILOR JUDECĂTOREȘTI DEFINITIVE</w:t>
      </w:r>
    </w:p>
    <w:p w:rsidR="00014566" w:rsidRPr="002044A2" w:rsidRDefault="005668A4" w:rsidP="002044A2">
      <w:pPr>
        <w:pStyle w:val="ECHRPara"/>
      </w:pPr>
      <w:fldSimple w:instr=" SEQ level0 \*arabic ">
        <w:r w:rsidR="002044A2" w:rsidRPr="002044A2">
          <w:t>41</w:t>
        </w:r>
      </w:fldSimple>
      <w:r w:rsidR="0008131E">
        <w:t>.  Reclamanții s-au plâns de durata procedurilor împotriva societății R. și au subliniat că hotărârile definitive pronunțate în favoarea lor (deciziile din 24 iunie și 8 noiembrie 2002 – a se vedea supra, pct. 7) au rămas neexecutate. Aceștia au invocat art. 6 § 1 din Convenție și art. 1 din Protocolul nr. 1 la Convenție.</w:t>
      </w:r>
    </w:p>
    <w:p w:rsidR="007A7C89" w:rsidRPr="002044A2" w:rsidRDefault="007A7C89" w:rsidP="002044A2">
      <w:pPr>
        <w:pStyle w:val="ECHRPara"/>
      </w:pPr>
      <w:r>
        <w:t>Acest articol din urmă prevede următoarele:</w:t>
      </w:r>
    </w:p>
    <w:p w:rsidR="00AF50AE" w:rsidRPr="002044A2" w:rsidRDefault="00AF50AE" w:rsidP="002044A2">
      <w:pPr>
        <w:pStyle w:val="ECHRParaQuote"/>
      </w:pPr>
      <w:r>
        <w:t>„Orice persoană fizică sau juridică are dreptul la respectarea bunurilor sale. Nimeni nu poate fi lipsit de proprietatea sa decât pentru cauză de utilitate publică și în condițiile prevăzute de lege și de principiile generale ale dreptului internațional.</w:t>
      </w:r>
    </w:p>
    <w:p w:rsidR="00AF50AE" w:rsidRPr="002044A2" w:rsidRDefault="00AF50AE" w:rsidP="002044A2">
      <w:pPr>
        <w:pStyle w:val="ECHRParaQuote"/>
      </w:pPr>
      <w:r>
        <w:t>Dispozițiile precedente nu aduc atingere dreptului statelor de a adopta legile pe care le consideră necesare pentru a reglementa folosința bunurilor conform interesului general sau pentru a asigura plata impozitelor ori a altor contribuții, sau a amenzilor.”</w:t>
      </w:r>
    </w:p>
    <w:p w:rsidR="00610136" w:rsidRPr="002044A2" w:rsidRDefault="00610136" w:rsidP="002044A2">
      <w:pPr>
        <w:pStyle w:val="ECHRHeading2"/>
      </w:pPr>
      <w:r>
        <w:t>A.  Observațiile părților</w:t>
      </w:r>
    </w:p>
    <w:p w:rsidR="00940232" w:rsidRPr="002044A2" w:rsidRDefault="005668A4" w:rsidP="002044A2">
      <w:pPr>
        <w:pStyle w:val="ECHRPara"/>
      </w:pPr>
      <w:fldSimple w:instr=" SEQ level0 \*arabic ">
        <w:r w:rsidR="002044A2" w:rsidRPr="002044A2">
          <w:t>42</w:t>
        </w:r>
      </w:fldSimple>
      <w:r w:rsidR="005E3704">
        <w:t>.  Guvernul a susținut că mecanismul instituit pentru executarea hotărârilor definitive împotriva debitorilor care erau actori privați a permis reclamanților să-și înscrie creanța în tabloul creditorilor și să obțină plata creanței în conformitate cu prevederile planului de reorganizare votat de creditori și aprobat de instanță.</w:t>
      </w:r>
    </w:p>
    <w:p w:rsidR="00940232" w:rsidRPr="002044A2" w:rsidRDefault="005668A4" w:rsidP="002044A2">
      <w:pPr>
        <w:pStyle w:val="ECHRPara"/>
      </w:pPr>
      <w:fldSimple w:instr=" SEQ level0 \*arabic ">
        <w:r w:rsidR="002044A2" w:rsidRPr="002044A2">
          <w:t>43</w:t>
        </w:r>
      </w:fldSimple>
      <w:r w:rsidR="005E3704">
        <w:t xml:space="preserve">.  În continuare, invocând </w:t>
      </w:r>
      <w:r w:rsidR="005E3704">
        <w:rPr>
          <w:i/>
        </w:rPr>
        <w:t>SC Magna Holding SRL împotriva României</w:t>
      </w:r>
      <w:r w:rsidR="005E3704">
        <w:t xml:space="preserve"> (nr. 10055/03, pct. 42, 13 iulie 2006), Guvernul a susținut că speța avea ca obiect un litigiu între persoane de drept privat, pentru care, în principiu, statul nu ar trebui să fie considerat responsabil.</w:t>
      </w:r>
    </w:p>
    <w:p w:rsidR="00940232" w:rsidRPr="002044A2" w:rsidRDefault="005668A4" w:rsidP="002044A2">
      <w:pPr>
        <w:pStyle w:val="ECHRPara"/>
      </w:pPr>
      <w:fldSimple w:instr=" SEQ level0 \*arabic ">
        <w:r w:rsidR="002044A2" w:rsidRPr="002044A2">
          <w:t>44</w:t>
        </w:r>
      </w:fldSimple>
      <w:r w:rsidR="00610136">
        <w:t>.  Reclamanții au susținut că sistemul instituit de stat pentru a-i asista să obțină executarea hotărârilor judecătorești a fost deficitar și au reiterat că suferiseră un prejudiciu din cauza neexecutării în litigiu.</w:t>
      </w:r>
    </w:p>
    <w:p w:rsidR="00017D46" w:rsidRPr="002044A2" w:rsidRDefault="00610136" w:rsidP="002044A2">
      <w:pPr>
        <w:pStyle w:val="ECHRHeading2"/>
      </w:pPr>
      <w:r>
        <w:lastRenderedPageBreak/>
        <w:t>B.  Motivarea Curții</w:t>
      </w:r>
    </w:p>
    <w:p w:rsidR="00940232" w:rsidRPr="002044A2" w:rsidRDefault="005668A4" w:rsidP="002044A2">
      <w:pPr>
        <w:pStyle w:val="ECHRPara"/>
      </w:pPr>
      <w:fldSimple w:instr=" SEQ level0 \*arabic ">
        <w:r w:rsidR="002044A2" w:rsidRPr="002044A2">
          <w:t>45</w:t>
        </w:r>
      </w:fldSimple>
      <w:r w:rsidR="002E5F0A">
        <w:t xml:space="preserve">.  Curtea a reținut în mod repetat că „atunci când debitorul este un actor privat, [...] statul nu este, ca regulă generală, direct răspunzător pentru datoriile actorilor privați și obligațiile sale se limitează la asigurarea asistenței necesare creditorului în executarea respectivelor hotărâri judecătorești, de exemplu prin intermediul serviciului executorului judecătoresc sau al procedurii de faliment” [a se vedea </w:t>
      </w:r>
      <w:r w:rsidR="002E5F0A">
        <w:rPr>
          <w:i/>
        </w:rPr>
        <w:t>Acar și alții împotriva Turciei</w:t>
      </w:r>
      <w:r w:rsidR="002E5F0A">
        <w:t xml:space="preserve"> (dec.), nr. 26878/07, pct. 29, 12 decembrie 2017; </w:t>
      </w:r>
      <w:proofErr w:type="spellStart"/>
      <w:r w:rsidR="002E5F0A">
        <w:rPr>
          <w:i/>
        </w:rPr>
        <w:t>Dachar</w:t>
      </w:r>
      <w:proofErr w:type="spellEnd"/>
      <w:r w:rsidR="002E5F0A">
        <w:rPr>
          <w:i/>
        </w:rPr>
        <w:t xml:space="preserve"> împotriva Franței</w:t>
      </w:r>
      <w:r w:rsidR="002E5F0A">
        <w:t xml:space="preserve"> (dec.), nr. 42338/98, 6 iunie 2000; și </w:t>
      </w:r>
      <w:proofErr w:type="spellStart"/>
      <w:r w:rsidR="002E5F0A">
        <w:rPr>
          <w:i/>
        </w:rPr>
        <w:t>Pelipenko</w:t>
      </w:r>
      <w:proofErr w:type="spellEnd"/>
      <w:r w:rsidR="002E5F0A">
        <w:rPr>
          <w:i/>
        </w:rPr>
        <w:t xml:space="preserve"> împotriva Rusiei</w:t>
      </w:r>
      <w:r w:rsidR="002E5F0A">
        <w:t>, nr. 69037/10, pct. 49, 2 octombrie 2012].</w:t>
      </w:r>
    </w:p>
    <w:p w:rsidR="00940232" w:rsidRPr="002044A2" w:rsidRDefault="005668A4" w:rsidP="002044A2">
      <w:pPr>
        <w:pStyle w:val="ECHRPara"/>
      </w:pPr>
      <w:fldSimple w:instr=" SEQ level0 \*arabic ">
        <w:r w:rsidR="002044A2" w:rsidRPr="002044A2">
          <w:t>46</w:t>
        </w:r>
      </w:fldSimple>
      <w:r w:rsidR="00AA63F6">
        <w:t xml:space="preserve">.  De asemenea, Curtea reamintește jurisprudența sa în sensul căreia imposibilitatea unui reclamant de a obține executarea unei hotărâri pronunțate în favoarea sa constituie o ingerință în exercitarea dreptului la respectarea bunurilor sale, așa cum este prevăzut în prima teză din primul paragraf al art. 1 din Protocolul nr. 1 (a se vedea, printre altele, </w:t>
      </w:r>
      <w:proofErr w:type="spellStart"/>
      <w:r w:rsidR="00AA63F6">
        <w:rPr>
          <w:i/>
          <w:iCs/>
        </w:rPr>
        <w:t>Burdov</w:t>
      </w:r>
      <w:proofErr w:type="spellEnd"/>
      <w:r w:rsidR="00AA63F6">
        <w:rPr>
          <w:i/>
          <w:iCs/>
        </w:rPr>
        <w:t xml:space="preserve"> împotriva Rusiei</w:t>
      </w:r>
      <w:r w:rsidR="00AA63F6">
        <w:t>, nr. 59498/00, pct. 40, CEDO 2002</w:t>
      </w:r>
      <w:r w:rsidR="00AA63F6">
        <w:noBreakHyphen/>
        <w:t xml:space="preserve">III; și </w:t>
      </w:r>
      <w:proofErr w:type="spellStart"/>
      <w:r w:rsidR="00AA63F6">
        <w:rPr>
          <w:i/>
          <w:iCs/>
        </w:rPr>
        <w:t>Jasiūnienė</w:t>
      </w:r>
      <w:proofErr w:type="spellEnd"/>
      <w:r w:rsidR="00AA63F6">
        <w:rPr>
          <w:i/>
          <w:iCs/>
        </w:rPr>
        <w:t xml:space="preserve"> împotriva Lituaniei</w:t>
      </w:r>
      <w:r w:rsidR="00AA63F6">
        <w:t>, nr. 41510/98, pct. 45, 6 martie 2003).</w:t>
      </w:r>
    </w:p>
    <w:p w:rsidR="002E5F0A" w:rsidRPr="002044A2" w:rsidRDefault="005668A4" w:rsidP="002044A2">
      <w:pPr>
        <w:pStyle w:val="ECHRPara"/>
      </w:pPr>
      <w:fldSimple w:instr=" SEQ level0 \*arabic ">
        <w:r w:rsidR="002044A2" w:rsidRPr="002044A2">
          <w:t>47</w:t>
        </w:r>
      </w:fldSimple>
      <w:r w:rsidR="002E5F0A">
        <w:t>.  Curtea observă de asemenea că scopul procedurii de reorganizare este să ajute societatea debitoare să găsească, împreună cu creditorii săi, o soluție care să-i permită să-și continue activitatea comercială (a se vedea supra, pct. 25 și 26). În această privință, Curtea amintește că, în speță, creditorii au votat un plan în conformitate cu normele juridice în vigoare și instanța națională l</w:t>
      </w:r>
      <w:r w:rsidR="008605C0">
        <w:noBreakHyphen/>
      </w:r>
      <w:r w:rsidR="002E5F0A">
        <w:t xml:space="preserve">a confirmat, luând în considerare contestațiile formulate (a se vedea supra, pct. 13). </w:t>
      </w:r>
      <w:r w:rsidR="002E5F0A">
        <w:rPr>
          <w:rFonts w:ascii="Times New Roman" w:hAnsi="Times New Roman"/>
        </w:rPr>
        <w:t>Decizia în cauză nu pare să fie în niciun fel arbitrară.</w:t>
      </w:r>
    </w:p>
    <w:p w:rsidR="00940232" w:rsidRPr="002044A2" w:rsidRDefault="005668A4" w:rsidP="002044A2">
      <w:pPr>
        <w:pStyle w:val="ECHRPara"/>
      </w:pPr>
      <w:fldSimple w:instr=" SEQ level0 \*arabic ">
        <w:r w:rsidR="002044A2" w:rsidRPr="002044A2">
          <w:t>48</w:t>
        </w:r>
      </w:fldSimple>
      <w:r w:rsidR="00D5384C">
        <w:t xml:space="preserve">.  Reclamanții, ale căror creanțe erau chirografare, au primit 40% din valoarea lor: 20% înainte de deschiderea procedurii de insolvență (a se vedea supra, pct. 8) și 20% în procedura de reorganizare (a se vedea supra, pct. 13 </w:t>
      </w:r>
      <w:r w:rsidR="00D5384C">
        <w:rPr>
          <w:i/>
        </w:rPr>
        <w:t>in fine</w:t>
      </w:r>
      <w:r w:rsidR="00D5384C">
        <w:t xml:space="preserve"> și 19). Cu privire la creanța neplătită a acestora, hotărârea în favoarea lor a rămas neexecutată din cauza existenței unei imposibilități obiective în această privință, în special având în vedere faptul că debitorul, persoană de drept privat, nu a avut suficiente active [a se vedea, </w:t>
      </w:r>
      <w:r w:rsidR="00D5384C">
        <w:rPr>
          <w:i/>
        </w:rPr>
        <w:t>mutatis mutandis</w:t>
      </w:r>
      <w:r w:rsidR="00D5384C">
        <w:t xml:space="preserve">, </w:t>
      </w:r>
      <w:proofErr w:type="spellStart"/>
      <w:r w:rsidR="00D5384C">
        <w:rPr>
          <w:i/>
        </w:rPr>
        <w:t>Shestakov</w:t>
      </w:r>
      <w:proofErr w:type="spellEnd"/>
      <w:r w:rsidR="00D5384C">
        <w:rPr>
          <w:i/>
        </w:rPr>
        <w:t xml:space="preserve"> împotriva Rusiei</w:t>
      </w:r>
      <w:r w:rsidR="00D5384C">
        <w:t xml:space="preserve"> (dec.), nr. 48757/99, 18 iunie 2002].</w:t>
      </w:r>
    </w:p>
    <w:p w:rsidR="00017D46" w:rsidRPr="002044A2" w:rsidRDefault="005668A4" w:rsidP="002044A2">
      <w:pPr>
        <w:pStyle w:val="ECHRPara"/>
      </w:pPr>
      <w:fldSimple w:instr=" SEQ level0 \*arabic ">
        <w:r w:rsidR="002044A2" w:rsidRPr="002044A2">
          <w:t>49</w:t>
        </w:r>
      </w:fldSimple>
      <w:r w:rsidR="00DC1826">
        <w:t xml:space="preserve">.  Cu privire la durata totală a procedurii de executare, Curtea a constatat deja în </w:t>
      </w:r>
      <w:proofErr w:type="spellStart"/>
      <w:r w:rsidR="00DC1826">
        <w:rPr>
          <w:i/>
        </w:rPr>
        <w:t>Farcaş</w:t>
      </w:r>
      <w:proofErr w:type="spellEnd"/>
      <w:r w:rsidR="00DC1826">
        <w:rPr>
          <w:i/>
        </w:rPr>
        <w:t xml:space="preserve"> și alții împotriva României</w:t>
      </w:r>
      <w:r w:rsidR="00DC1826">
        <w:t xml:space="preserve"> (nr. 67020/01, pct. 31-34, 10 noiembrie 2005) că reclamanții au fost responsabili pentru tergiversarea primului set de proceduri care a dus la decizia definitivă din 5 mai 2005 (a se vedea supra, pct. 9), în timp ce autoritățile au fost diligente în ansamblu.</w:t>
      </w:r>
    </w:p>
    <w:p w:rsidR="00940232" w:rsidRPr="002044A2" w:rsidRDefault="005668A4" w:rsidP="002044A2">
      <w:pPr>
        <w:pStyle w:val="ECHRPara"/>
      </w:pPr>
      <w:fldSimple w:instr=" SEQ level0 \*arabic ">
        <w:r w:rsidR="002044A2" w:rsidRPr="002044A2">
          <w:t>50</w:t>
        </w:r>
      </w:fldSimple>
      <w:r w:rsidR="00D5384C">
        <w:t>.  În continuare, Curtea subliniază că, în pofida complexității inerente a procedurii de insolvență, la 24 noiembrie 2004 a fost adoptat un plan de reorganizare, la un an de la deschiderea acestei proceduri, iar plățile relevante au fost făcute creditorilor în 2006 (a se vedea supra, pct. 13).</w:t>
      </w:r>
    </w:p>
    <w:bookmarkStart w:id="24" w:name="MIF6"/>
    <w:p w:rsidR="00940232" w:rsidRPr="002044A2" w:rsidRDefault="00D5384C" w:rsidP="002044A2">
      <w:pPr>
        <w:pStyle w:val="ECHRPara"/>
      </w:pPr>
      <w:r w:rsidRPr="002044A2">
        <w:fldChar w:fldCharType="begin"/>
      </w:r>
      <w:r w:rsidRPr="002044A2">
        <w:instrText xml:space="preserve"> SEQ level0 \*arabic </w:instrText>
      </w:r>
      <w:r w:rsidRPr="002044A2">
        <w:fldChar w:fldCharType="separate"/>
      </w:r>
      <w:r w:rsidR="002044A2" w:rsidRPr="002044A2">
        <w:t>51</w:t>
      </w:r>
      <w:r w:rsidRPr="002044A2">
        <w:fldChar w:fldCharType="end"/>
      </w:r>
      <w:bookmarkEnd w:id="24"/>
      <w:r>
        <w:t xml:space="preserve">.  În lumina celor de mai sus, opinia Curții este că statul a acționat cu diligență și în timp util pentru a asista reclamanții în executarea hotărârilor </w:t>
      </w:r>
      <w:r>
        <w:lastRenderedPageBreak/>
        <w:t xml:space="preserve">judecătorești în favoarea lor (a se vedea, </w:t>
      </w:r>
      <w:r>
        <w:rPr>
          <w:i/>
        </w:rPr>
        <w:t>mutatis mutandis</w:t>
      </w:r>
      <w:r>
        <w:t xml:space="preserve">, </w:t>
      </w:r>
      <w:proofErr w:type="spellStart"/>
      <w:r>
        <w:rPr>
          <w:i/>
        </w:rPr>
        <w:t>Fociac</w:t>
      </w:r>
      <w:proofErr w:type="spellEnd"/>
      <w:r>
        <w:rPr>
          <w:i/>
        </w:rPr>
        <w:t xml:space="preserve"> împotriva României</w:t>
      </w:r>
      <w:r>
        <w:t>, nr. 2577/02, pct. 70-78, 3 februarie 2005).</w:t>
      </w:r>
    </w:p>
    <w:p w:rsidR="00017D46" w:rsidRPr="002044A2" w:rsidRDefault="005668A4" w:rsidP="002044A2">
      <w:pPr>
        <w:pStyle w:val="ECHRPara"/>
      </w:pPr>
      <w:fldSimple w:instr=" SEQ level0 \*arabic ">
        <w:r w:rsidR="002044A2" w:rsidRPr="002044A2">
          <w:t>52</w:t>
        </w:r>
      </w:fldSimple>
      <w:r w:rsidR="005F0657">
        <w:t>.  În consecință, acest capăt de cerere este în mod vădit nefondat și trebuie să fie respins în conformitate cu art. 35 § 3 lit. a) și art. 35 § 4 din Convenție.</w:t>
      </w:r>
    </w:p>
    <w:p w:rsidR="00014566" w:rsidRPr="002044A2" w:rsidRDefault="0089209A" w:rsidP="002044A2">
      <w:pPr>
        <w:pStyle w:val="ECHRHeading1"/>
      </w:pPr>
      <w:r>
        <w:t>III.  CU PRIVIRE LA CELELALTE PRETINSE ÎNCĂLCĂRI ALE CONVENȚIEI</w:t>
      </w:r>
    </w:p>
    <w:p w:rsidR="00940232" w:rsidRPr="002044A2" w:rsidRDefault="005668A4" w:rsidP="002044A2">
      <w:pPr>
        <w:pStyle w:val="ECHRPara"/>
      </w:pPr>
      <w:fldSimple w:instr=" SEQ level0 \*arabic ">
        <w:r w:rsidR="002044A2" w:rsidRPr="002044A2">
          <w:t>53</w:t>
        </w:r>
      </w:fldSimple>
      <w:r w:rsidR="0065242D">
        <w:t>.  Reclamanții au formulat capete de cerere suplimentare în temeiul art. 6 § 1 și al art. 14 din Convenție și în temeiul art. 1 din Protocolul nr. 1 la Convenție în legătură cu procesul care a dus la decizia definitivă din 5 mai 2005 (a se vedea supra, pct. 9).</w:t>
      </w:r>
    </w:p>
    <w:p w:rsidR="00E11B6F" w:rsidRPr="002044A2" w:rsidRDefault="005668A4" w:rsidP="002044A2">
      <w:pPr>
        <w:pStyle w:val="ECHRPara"/>
      </w:pPr>
      <w:fldSimple w:instr=" SEQ level0 \*arabic ">
        <w:r w:rsidR="002044A2" w:rsidRPr="002044A2">
          <w:t>54</w:t>
        </w:r>
      </w:fldSimple>
      <w:r w:rsidR="00B80415">
        <w:t>.  Totuși, în lumina tuturor elementelor de care dispune și în măsura în care este competentă să se pronunțe cu privire la aspectele invocate, Curtea constată că acestea nu indică nicio aparentă încălcare a drepturilor și a libertăților prevăzute de Convenție sau de protocoalele la aceasta.</w:t>
      </w:r>
    </w:p>
    <w:p w:rsidR="00E11B6F" w:rsidRPr="002044A2" w:rsidRDefault="005668A4" w:rsidP="002044A2">
      <w:pPr>
        <w:pStyle w:val="ECHRPara"/>
      </w:pPr>
      <w:fldSimple w:instr=" SEQ level0 \*arabic ">
        <w:r w:rsidR="002044A2" w:rsidRPr="002044A2">
          <w:t>55</w:t>
        </w:r>
      </w:fldSimple>
      <w:r w:rsidR="00B80415">
        <w:t>.  În consecință, acest capăt de cerere este în mod vădit nefondat și trebuie respins în temeiul art. 35 § 3 lit. a) și art. 35 § 4 din Convenție.</w:t>
      </w:r>
    </w:p>
    <w:p w:rsidR="00014566" w:rsidRPr="002044A2" w:rsidRDefault="005E3704" w:rsidP="002044A2">
      <w:pPr>
        <w:pStyle w:val="ECHRHeading1"/>
      </w:pPr>
      <w:r>
        <w:t>IV.  CU PRIVIRE LA APLICAREA ART. 41 DIN CONVENȚIE</w:t>
      </w:r>
    </w:p>
    <w:p w:rsidR="00014566" w:rsidRPr="002044A2" w:rsidRDefault="005668A4" w:rsidP="002044A2">
      <w:pPr>
        <w:pStyle w:val="ECHRPara"/>
      </w:pPr>
      <w:fldSimple w:instr=" SEQ level0 \*arabic ">
        <w:r w:rsidR="002044A2" w:rsidRPr="002044A2">
          <w:t>56</w:t>
        </w:r>
      </w:fldSimple>
      <w:r w:rsidR="0008131E">
        <w:t>.  Art. 41 din Convenție prevede:</w:t>
      </w:r>
    </w:p>
    <w:p w:rsidR="00014566" w:rsidRPr="002044A2" w:rsidRDefault="00014566" w:rsidP="002044A2">
      <w:pPr>
        <w:pStyle w:val="ECHRParaQuote"/>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014566" w:rsidRPr="002044A2" w:rsidRDefault="00014566" w:rsidP="002044A2">
      <w:pPr>
        <w:pStyle w:val="ECHRHeading2"/>
      </w:pPr>
      <w:r>
        <w:t>A. Prejudiciu</w:t>
      </w:r>
    </w:p>
    <w:p w:rsidR="00A82CD9" w:rsidRPr="002044A2" w:rsidRDefault="005668A4" w:rsidP="002044A2">
      <w:pPr>
        <w:pStyle w:val="ECHRPara"/>
      </w:pPr>
      <w:fldSimple w:instr=" SEQ level0 \*arabic ">
        <w:r w:rsidR="002044A2" w:rsidRPr="002044A2">
          <w:t>57</w:t>
        </w:r>
      </w:fldSimple>
      <w:r w:rsidR="0008131E">
        <w:t xml:space="preserve">.  Primul și cel de al doilea reclamant au solicitat următoarele sume cu titlu de despăgubire pentru prejudiciul material: (a) sume actualizate pe baza sumelor care le-au fost acordate prin hotărârile judecătorești care au rămas neexecutate și (b) penalități cu privire la acele sume. Și anume, primul reclamant a pretins 855 746,50 RON </w:t>
      </w:r>
      <w:r w:rsidR="008605C0" w:rsidRPr="008605C0">
        <w:t xml:space="preserve">cu privire la litera </w:t>
      </w:r>
      <w:r w:rsidR="0008131E">
        <w:t xml:space="preserve">(a) și 757 337,20 RON </w:t>
      </w:r>
      <w:r w:rsidR="008605C0" w:rsidRPr="008605C0">
        <w:t xml:space="preserve">cu privire la litera </w:t>
      </w:r>
      <w:r w:rsidR="0008131E">
        <w:t>(b), în timp ce al doilea reclamant a solicitat 835 254,80 RON și, respectiv, 738 664,50 RON.</w:t>
      </w:r>
    </w:p>
    <w:p w:rsidR="00014566" w:rsidRPr="002044A2" w:rsidRDefault="005668A4" w:rsidP="002044A2">
      <w:pPr>
        <w:pStyle w:val="ECHRPara"/>
      </w:pPr>
      <w:fldSimple w:instr=" SEQ level0 \*arabic ">
        <w:r w:rsidR="002044A2" w:rsidRPr="002044A2">
          <w:t>58</w:t>
        </w:r>
      </w:fldSimple>
      <w:r w:rsidR="00A82CD9">
        <w:t xml:space="preserve">.  Primul și cel de al doilea reclamant au mai pretins fiecare 5 000 euro </w:t>
      </w:r>
      <w:r w:rsidR="008605C0">
        <w:t xml:space="preserve">(EUR) cu titlul de despăgubire </w:t>
      </w:r>
      <w:r w:rsidR="00A82CD9">
        <w:t>pentru prejudiciul moral.</w:t>
      </w:r>
    </w:p>
    <w:p w:rsidR="00014566" w:rsidRPr="002044A2" w:rsidRDefault="005668A4" w:rsidP="002044A2">
      <w:pPr>
        <w:pStyle w:val="ECHRPara"/>
      </w:pPr>
      <w:fldSimple w:instr=" SEQ level0 \*arabic ">
        <w:r w:rsidR="002044A2" w:rsidRPr="002044A2">
          <w:t>59</w:t>
        </w:r>
      </w:fldSimple>
      <w:r w:rsidR="0008131E">
        <w:t>.  Guvernul a cerut Curții să radieze de pe rol cererea în ceea ce privește a treia reclamantă din cauză că aceasta nu a depus o cerere de acordare a unei reparații echitabile. De asemenea, a argumentat că sumele solicitate sunt excesive și că o constatare a încălcării ar constitui o reparație echitabilă suficientă în ceea ce privește prejudiciul moral.</w:t>
      </w:r>
    </w:p>
    <w:p w:rsidR="00940232" w:rsidRPr="002044A2" w:rsidRDefault="005668A4" w:rsidP="002044A2">
      <w:pPr>
        <w:pStyle w:val="ECHRPara"/>
      </w:pPr>
      <w:fldSimple w:instr=" SEQ level0 \*arabic ">
        <w:r w:rsidR="002044A2" w:rsidRPr="002044A2">
          <w:t>60</w:t>
        </w:r>
      </w:fldSimple>
      <w:r w:rsidR="0008131E">
        <w:t>.  Curtea consideră că primul și cel de al doi</w:t>
      </w:r>
      <w:r w:rsidR="008605C0">
        <w:t xml:space="preserve">lea reclamant nu au demonstrat </w:t>
      </w:r>
      <w:r w:rsidR="0008131E">
        <w:t>existența unei legături de cauzalitate între încălcarea constatată și prejudiciul material pretins; prin urmare, respinge acest capăt de cerere. Pe de altă parte, Curtea acordă primului și celui de</w:t>
      </w:r>
      <w:r w:rsidR="00D800D6">
        <w:t xml:space="preserve"> al doilea reclamant câte 3 600 </w:t>
      </w:r>
      <w:r w:rsidR="0008131E">
        <w:t>EUR cu titlu de despăgubire pentru prejudiciul moral, plus orice taxă ce poate fi datorată cu titlu de impozit pentru această sumă. Curtea nu acordă nicio sumă celei de a treia reclamante întrucât nu a fost formulată nicio cerere.</w:t>
      </w:r>
    </w:p>
    <w:p w:rsidR="00014566" w:rsidRPr="002044A2" w:rsidRDefault="00014566" w:rsidP="002044A2">
      <w:pPr>
        <w:pStyle w:val="ECHRHeading2"/>
      </w:pPr>
      <w:r>
        <w:t>B. Cheltuieli de judecată</w:t>
      </w:r>
    </w:p>
    <w:p w:rsidR="00940232" w:rsidRPr="002044A2" w:rsidRDefault="005668A4" w:rsidP="002044A2">
      <w:pPr>
        <w:pStyle w:val="ECHRPara"/>
      </w:pPr>
      <w:fldSimple w:instr=" SEQ level0 \*arabic ">
        <w:r w:rsidR="002044A2" w:rsidRPr="002044A2">
          <w:t>61</w:t>
        </w:r>
      </w:fldSimple>
      <w:r w:rsidR="0008131E">
        <w:t>.  Primul și cel de al doilea reclamant au solicitat, de asemenea, fiecare câte 6 312 RON, sumă reprezentând rambursarea cheltuielilor de călătorie pentru toate ședințele de judecată în fața instanțelor interne. Nu au trimis facturile relevante.</w:t>
      </w:r>
    </w:p>
    <w:p w:rsidR="00014566" w:rsidRPr="002044A2" w:rsidRDefault="005668A4" w:rsidP="002044A2">
      <w:pPr>
        <w:pStyle w:val="ECHRPara"/>
      </w:pPr>
      <w:fldSimple w:instr=" SEQ level0 \*arabic ">
        <w:r w:rsidR="002044A2" w:rsidRPr="002044A2">
          <w:t>62</w:t>
        </w:r>
      </w:fldSimple>
      <w:r w:rsidR="0008131E">
        <w:t>.  Guvernul a susținut că reclamanții nu au demonstrat că au suportat efectiv cheltuielile pretinse.</w:t>
      </w:r>
    </w:p>
    <w:p w:rsidR="00014566" w:rsidRPr="002044A2" w:rsidRDefault="005668A4" w:rsidP="002044A2">
      <w:pPr>
        <w:pStyle w:val="ECHRPara"/>
      </w:pPr>
      <w:fldSimple w:instr=" SEQ level0 \*arabic ">
        <w:r w:rsidR="002044A2" w:rsidRPr="002044A2">
          <w:t>63</w:t>
        </w:r>
      </w:fldSimple>
      <w:r w:rsidR="0008131E">
        <w:t>.  Ținând seama de documentele de care dispune și de jurisprudența sa, Curtea respinge cererea de rambursare a cheltuielilor de judecată.</w:t>
      </w:r>
    </w:p>
    <w:p w:rsidR="00014566" w:rsidRPr="002044A2" w:rsidRDefault="00014566" w:rsidP="002044A2">
      <w:pPr>
        <w:pStyle w:val="ECHRHeading2"/>
      </w:pPr>
      <w:r>
        <w:t>C. Dobânzi moratorii</w:t>
      </w:r>
    </w:p>
    <w:p w:rsidR="00014566" w:rsidRPr="002044A2" w:rsidRDefault="005668A4" w:rsidP="002044A2">
      <w:pPr>
        <w:pStyle w:val="ECHRPara"/>
      </w:pPr>
      <w:fldSimple w:instr=" SEQ level0 \*arabic ">
        <w:r w:rsidR="002044A2" w:rsidRPr="002044A2">
          <w:t>64</w:t>
        </w:r>
      </w:fldSimple>
      <w:r w:rsidR="0008131E">
        <w:t>.  Curtea consideră necesar ca rata dobânzilor moratorii să se întemeieze pe rata dobânzii facilității de împrumut marginal, practicată de Banca Centrală Europeană, majorată cu trei puncte procentuale.</w:t>
      </w:r>
    </w:p>
    <w:p w:rsidR="00014566" w:rsidRPr="002044A2" w:rsidRDefault="00BB5883" w:rsidP="002044A2">
      <w:pPr>
        <w:pStyle w:val="ECHRTitle1"/>
      </w:pPr>
      <w:r>
        <w:t>PENTRU ACESTE MOTIVE, CURTEA, ÎN UNANIMITATE,</w:t>
      </w:r>
    </w:p>
    <w:p w:rsidR="00B637B9" w:rsidRPr="002044A2" w:rsidRDefault="00B637B9" w:rsidP="002044A2">
      <w:pPr>
        <w:pStyle w:val="JuList"/>
      </w:pPr>
      <w:r>
        <w:t>1.  </w:t>
      </w:r>
      <w:r>
        <w:rPr>
          <w:i/>
        </w:rPr>
        <w:t>declară</w:t>
      </w:r>
      <w:r>
        <w:t xml:space="preserve"> cererea admisibilă în ceea ce privește accesul la o instanță în recurs în procedura de insolvență și inadmisibilă în ceea ce privește celelalte capete de cerere;</w:t>
      </w:r>
    </w:p>
    <w:p w:rsidR="00014566" w:rsidRPr="002044A2" w:rsidRDefault="00014566" w:rsidP="002044A2">
      <w:pPr>
        <w:pStyle w:val="JuList"/>
        <w:ind w:left="0" w:firstLine="0"/>
      </w:pPr>
    </w:p>
    <w:p w:rsidR="00014566" w:rsidRPr="002044A2" w:rsidRDefault="004923D2" w:rsidP="002044A2">
      <w:pPr>
        <w:pStyle w:val="JuList"/>
      </w:pPr>
      <w:r>
        <w:t>2.  </w:t>
      </w:r>
      <w:r>
        <w:rPr>
          <w:i/>
          <w:iCs/>
        </w:rPr>
        <w:t>hotărăște</w:t>
      </w:r>
      <w:r>
        <w:t xml:space="preserve"> că a fost încălcat art. 6 § 1 din Convenție;</w:t>
      </w:r>
    </w:p>
    <w:p w:rsidR="00014566" w:rsidRPr="002044A2" w:rsidRDefault="00014566" w:rsidP="002044A2">
      <w:pPr>
        <w:pStyle w:val="JuList"/>
      </w:pPr>
    </w:p>
    <w:p w:rsidR="0008131E" w:rsidRPr="002044A2" w:rsidRDefault="004923D2" w:rsidP="002044A2">
      <w:pPr>
        <w:pStyle w:val="JuList"/>
        <w:keepNext/>
        <w:keepLines/>
      </w:pPr>
      <w:r>
        <w:t>3.  </w:t>
      </w:r>
      <w:r>
        <w:rPr>
          <w:i/>
        </w:rPr>
        <w:t>hotărăște</w:t>
      </w:r>
    </w:p>
    <w:p w:rsidR="00014566" w:rsidRPr="002044A2" w:rsidRDefault="00014566" w:rsidP="002044A2">
      <w:pPr>
        <w:pStyle w:val="JuLista"/>
        <w:keepNext/>
        <w:keepLines/>
      </w:pPr>
      <w:r>
        <w:t>(a) că statul pârât trebuie să plătească primului și celui de al doilea reclamant, în termen de trei luni, 3 600 EUR (trei mii șase sute de euro) fiecăruia pentru prejudiciul moral, plus orice sumă ce poate fi datorată cu titlu de impozit, sumă care trebuie convertită în moneda națională a statului pârât la rata de schimb aplicabilă la data plății;</w:t>
      </w:r>
    </w:p>
    <w:p w:rsidR="00014566" w:rsidRPr="002044A2" w:rsidRDefault="00014566" w:rsidP="002044A2">
      <w:pPr>
        <w:pStyle w:val="JuLista"/>
      </w:pPr>
      <w:r>
        <w:t xml:space="preserve">b) că, de la expirarea termenului de trei luni menționat și până la efectuarea plății, aceste sume trebuie majorate cu o dobândă simplă, la o rată egală cu rata dobânzii facilității de împrumut marginal practicată de </w:t>
      </w:r>
      <w:r>
        <w:lastRenderedPageBreak/>
        <w:t>Banca Centrală Europeană, aplicabilă pe parcursul acestei perioade și majorată cu trei puncte procentuale;</w:t>
      </w:r>
    </w:p>
    <w:p w:rsidR="00014566" w:rsidRPr="002044A2" w:rsidRDefault="00014566" w:rsidP="002044A2">
      <w:pPr>
        <w:pStyle w:val="JuList"/>
      </w:pPr>
    </w:p>
    <w:p w:rsidR="00014566" w:rsidRPr="002044A2" w:rsidRDefault="004923D2" w:rsidP="002044A2">
      <w:pPr>
        <w:pStyle w:val="JuList"/>
      </w:pPr>
      <w:r>
        <w:t>4.  </w:t>
      </w:r>
      <w:r>
        <w:rPr>
          <w:i/>
          <w:iCs/>
        </w:rPr>
        <w:t>respinge</w:t>
      </w:r>
      <w:r>
        <w:t xml:space="preserve"> cererea primului și a celui de al doilea reclamant de acordare a unei reparații echitabile pentru celelalte capete de cerere.</w:t>
      </w:r>
    </w:p>
    <w:p w:rsidR="00014566" w:rsidRPr="002044A2" w:rsidRDefault="00014566" w:rsidP="002044A2">
      <w:pPr>
        <w:pStyle w:val="JuParaLast"/>
      </w:pPr>
      <w:r>
        <w:t>Redactată în limba engleză, apoi comunicată în scris, la 5 iunie 2018, în temeiul art. 77 § 2 și § 3 din Regulamentul Curții.</w:t>
      </w:r>
    </w:p>
    <w:p w:rsidR="004D15F3" w:rsidRPr="002044A2" w:rsidRDefault="00014566" w:rsidP="002044A2">
      <w:pPr>
        <w:pStyle w:val="JuSigned"/>
      </w:pPr>
      <w:r>
        <w:tab/>
        <w:t xml:space="preserve">Andrea </w:t>
      </w:r>
      <w:proofErr w:type="spellStart"/>
      <w:r>
        <w:t>Tamietti</w:t>
      </w:r>
      <w:proofErr w:type="spellEnd"/>
      <w:r>
        <w:tab/>
      </w:r>
      <w:proofErr w:type="spellStart"/>
      <w:r>
        <w:t>Paulo</w:t>
      </w:r>
      <w:proofErr w:type="spellEnd"/>
      <w:r>
        <w:t xml:space="preserve"> </w:t>
      </w:r>
      <w:proofErr w:type="spellStart"/>
      <w:r>
        <w:t>Pinto</w:t>
      </w:r>
      <w:proofErr w:type="spellEnd"/>
      <w:r>
        <w:t xml:space="preserve"> de Albuquerque</w:t>
      </w:r>
      <w:r>
        <w:br/>
      </w:r>
      <w:r>
        <w:tab/>
        <w:t>Grefier adjunct</w:t>
      </w:r>
      <w:r>
        <w:tab/>
        <w:t>Președinte</w:t>
      </w:r>
    </w:p>
    <w:sectPr w:rsidR="004D15F3" w:rsidRPr="002044A2" w:rsidSect="00940232">
      <w:headerReference w:type="even" r:id="rId14"/>
      <w:head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97E" w:rsidRPr="003152BA" w:rsidRDefault="0097497E" w:rsidP="00014566">
      <w:r w:rsidRPr="003152BA">
        <w:separator/>
      </w:r>
    </w:p>
  </w:endnote>
  <w:endnote w:type="continuationSeparator" w:id="0">
    <w:p w:rsidR="0097497E" w:rsidRPr="003152BA" w:rsidRDefault="0097497E" w:rsidP="00014566">
      <w:r w:rsidRPr="00315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657" w:rsidRPr="00150BFA" w:rsidRDefault="005F0657" w:rsidP="005F0657">
    <w:pPr>
      <w:jc w:val="center"/>
    </w:pPr>
    <w:r>
      <w:rPr>
        <w:noProof/>
        <w:lang w:eastAsia="ro-RO"/>
      </w:rPr>
      <w:drawing>
        <wp:inline distT="0" distB="0" distL="0" distR="0" wp14:anchorId="27572A82" wp14:editId="56067F89">
          <wp:extent cx="771525" cy="619125"/>
          <wp:effectExtent l="0" t="0" r="9525" b="9525"/>
          <wp:docPr id="19" name="Picture 1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5F0657" w:rsidRDefault="005F0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97E" w:rsidRPr="003152BA" w:rsidRDefault="0097497E" w:rsidP="00014566">
      <w:r w:rsidRPr="003152BA">
        <w:separator/>
      </w:r>
    </w:p>
  </w:footnote>
  <w:footnote w:type="continuationSeparator" w:id="0">
    <w:p w:rsidR="0097497E" w:rsidRPr="003152BA" w:rsidRDefault="0097497E" w:rsidP="00014566">
      <w:r w:rsidRPr="00315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657" w:rsidRPr="00940232" w:rsidRDefault="005F0657" w:rsidP="0094023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C71" w:rsidRDefault="000D3C71" w:rsidP="000D3C71">
    <w:pPr>
      <w:jc w:val="right"/>
    </w:pPr>
    <w:r>
      <w:t>Tradus și revizuit de IER (</w:t>
    </w:r>
    <w:hyperlink r:id="rId1" w:history="1">
      <w:r w:rsidRPr="00F65CF9">
        <w:rPr>
          <w:rStyle w:val="Hyperlink"/>
        </w:rPr>
        <w:t>http://ier.gov.ro/</w:t>
      </w:r>
    </w:hyperlink>
    <w:r>
      <w:t>)</w:t>
    </w:r>
  </w:p>
  <w:p w:rsidR="000D3C71" w:rsidRDefault="000D3C71" w:rsidP="005F0657">
    <w:pPr>
      <w:jc w:val="center"/>
      <w:rPr>
        <w:noProof/>
        <w:lang w:eastAsia="ro-RO"/>
      </w:rPr>
    </w:pPr>
  </w:p>
  <w:p w:rsidR="005F0657" w:rsidRPr="00A45145" w:rsidRDefault="005F0657" w:rsidP="005F0657">
    <w:pPr>
      <w:jc w:val="center"/>
    </w:pPr>
    <w:r>
      <w:rPr>
        <w:noProof/>
        <w:lang w:eastAsia="ro-RO"/>
      </w:rPr>
      <w:drawing>
        <wp:inline distT="0" distB="0" distL="0" distR="0" wp14:anchorId="644D7385" wp14:editId="0A559920">
          <wp:extent cx="2962275" cy="1219200"/>
          <wp:effectExtent l="0" t="0" r="9525" b="0"/>
          <wp:docPr id="18" name="Picture 1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5F0657" w:rsidRDefault="005F06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657" w:rsidRPr="003152BA" w:rsidRDefault="005F0657" w:rsidP="00EE1DA9">
    <w:pPr>
      <w:pStyle w:val="ECHRHeader"/>
    </w:pPr>
    <w:r>
      <w:rPr>
        <w:rStyle w:val="PageNumber"/>
      </w:rPr>
      <w:fldChar w:fldCharType="begin"/>
    </w:r>
    <w:r>
      <w:rPr>
        <w:rStyle w:val="PageNumber"/>
      </w:rPr>
      <w:instrText xml:space="preserve"> PAGE </w:instrText>
    </w:r>
    <w:r>
      <w:rPr>
        <w:rStyle w:val="PageNumber"/>
      </w:rPr>
      <w:fldChar w:fldCharType="separate"/>
    </w:r>
    <w:r w:rsidR="0019712D">
      <w:rPr>
        <w:rStyle w:val="PageNumber"/>
        <w:noProof/>
      </w:rPr>
      <w:t>12</w:t>
    </w:r>
    <w:r>
      <w:rPr>
        <w:rStyle w:val="PageNumber"/>
      </w:rPr>
      <w:fldChar w:fldCharType="end"/>
    </w:r>
    <w:r>
      <w:tab/>
      <w:t>HOTĂRÂREA FARCAȘ ȘI ALȚII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657" w:rsidRPr="003152BA" w:rsidRDefault="005F0657" w:rsidP="00D60D87">
    <w:pPr>
      <w:pStyle w:val="ECHRHeader"/>
    </w:pPr>
    <w:r>
      <w:tab/>
      <w:t>HOTĂRÂREA FARCAȘ ȘI ALȚII ÎMPOTRIVA ROMÂNIEI</w:t>
    </w:r>
    <w:r>
      <w:tab/>
    </w:r>
    <w:r>
      <w:rPr>
        <w:rStyle w:val="PageNumber"/>
      </w:rPr>
      <w:fldChar w:fldCharType="begin"/>
    </w:r>
    <w:r>
      <w:rPr>
        <w:rStyle w:val="PageNumber"/>
      </w:rPr>
      <w:instrText xml:space="preserve"> PAGE </w:instrText>
    </w:r>
    <w:r>
      <w:rPr>
        <w:rStyle w:val="PageNumber"/>
      </w:rPr>
      <w:fldChar w:fldCharType="separate"/>
    </w:r>
    <w:r w:rsidR="0019712D">
      <w:rPr>
        <w:rStyle w:val="PageNumber"/>
        <w:noProof/>
      </w:rPr>
      <w:t>13</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MM" w:val="0"/>
    <w:docVar w:name="NBEMMDOC" w:val="0"/>
  </w:docVars>
  <w:rsids>
    <w:rsidRoot w:val="0008131E"/>
    <w:rsid w:val="00000067"/>
    <w:rsid w:val="0000068D"/>
    <w:rsid w:val="000010ED"/>
    <w:rsid w:val="000018FB"/>
    <w:rsid w:val="000041F8"/>
    <w:rsid w:val="000042A8"/>
    <w:rsid w:val="00004308"/>
    <w:rsid w:val="00005BF0"/>
    <w:rsid w:val="00007154"/>
    <w:rsid w:val="000103AE"/>
    <w:rsid w:val="00011D69"/>
    <w:rsid w:val="00012AD3"/>
    <w:rsid w:val="00014566"/>
    <w:rsid w:val="00015C2D"/>
    <w:rsid w:val="00015F00"/>
    <w:rsid w:val="00017D46"/>
    <w:rsid w:val="00020A89"/>
    <w:rsid w:val="00021CA2"/>
    <w:rsid w:val="00022C1D"/>
    <w:rsid w:val="00034987"/>
    <w:rsid w:val="000350E3"/>
    <w:rsid w:val="00037874"/>
    <w:rsid w:val="00054FEE"/>
    <w:rsid w:val="000602DF"/>
    <w:rsid w:val="00061B05"/>
    <w:rsid w:val="00062973"/>
    <w:rsid w:val="00062D5D"/>
    <w:rsid w:val="000632D5"/>
    <w:rsid w:val="000644EE"/>
    <w:rsid w:val="00066F84"/>
    <w:rsid w:val="00071ABC"/>
    <w:rsid w:val="0007467B"/>
    <w:rsid w:val="0008131E"/>
    <w:rsid w:val="000822A6"/>
    <w:rsid w:val="000856D7"/>
    <w:rsid w:val="00087845"/>
    <w:rsid w:val="000902AD"/>
    <w:rsid w:val="000925AD"/>
    <w:rsid w:val="00096BF3"/>
    <w:rsid w:val="00097967"/>
    <w:rsid w:val="000A24EB"/>
    <w:rsid w:val="000A286A"/>
    <w:rsid w:val="000B1B15"/>
    <w:rsid w:val="000B3857"/>
    <w:rsid w:val="000B6923"/>
    <w:rsid w:val="000B6BBD"/>
    <w:rsid w:val="000C033C"/>
    <w:rsid w:val="000C5F3C"/>
    <w:rsid w:val="000C6DCC"/>
    <w:rsid w:val="000D11AB"/>
    <w:rsid w:val="000D345F"/>
    <w:rsid w:val="000D3C71"/>
    <w:rsid w:val="000D47AA"/>
    <w:rsid w:val="000D721F"/>
    <w:rsid w:val="000E069B"/>
    <w:rsid w:val="000E0E82"/>
    <w:rsid w:val="000E1DC5"/>
    <w:rsid w:val="000E223F"/>
    <w:rsid w:val="000E35AC"/>
    <w:rsid w:val="000E5E28"/>
    <w:rsid w:val="000E7D45"/>
    <w:rsid w:val="000F1BC9"/>
    <w:rsid w:val="000F338C"/>
    <w:rsid w:val="000F5433"/>
    <w:rsid w:val="000F7851"/>
    <w:rsid w:val="00103684"/>
    <w:rsid w:val="001046E3"/>
    <w:rsid w:val="00104E23"/>
    <w:rsid w:val="001064E1"/>
    <w:rsid w:val="00107C41"/>
    <w:rsid w:val="00111B0C"/>
    <w:rsid w:val="00116F8A"/>
    <w:rsid w:val="00120D6C"/>
    <w:rsid w:val="00121866"/>
    <w:rsid w:val="00123B64"/>
    <w:rsid w:val="001257EC"/>
    <w:rsid w:val="00126A7F"/>
    <w:rsid w:val="00132C6A"/>
    <w:rsid w:val="00133D33"/>
    <w:rsid w:val="00134D64"/>
    <w:rsid w:val="00135A30"/>
    <w:rsid w:val="00135EC1"/>
    <w:rsid w:val="0013612C"/>
    <w:rsid w:val="00136140"/>
    <w:rsid w:val="00137873"/>
    <w:rsid w:val="00137FF6"/>
    <w:rsid w:val="00141650"/>
    <w:rsid w:val="00144B70"/>
    <w:rsid w:val="001457D8"/>
    <w:rsid w:val="00162395"/>
    <w:rsid w:val="00162A12"/>
    <w:rsid w:val="00166530"/>
    <w:rsid w:val="0017338B"/>
    <w:rsid w:val="0017505A"/>
    <w:rsid w:val="00180489"/>
    <w:rsid w:val="001832BD"/>
    <w:rsid w:val="00185277"/>
    <w:rsid w:val="0019196D"/>
    <w:rsid w:val="001943B5"/>
    <w:rsid w:val="00195134"/>
    <w:rsid w:val="0019532C"/>
    <w:rsid w:val="00195376"/>
    <w:rsid w:val="00196E96"/>
    <w:rsid w:val="0019712D"/>
    <w:rsid w:val="001A145B"/>
    <w:rsid w:val="001A674C"/>
    <w:rsid w:val="001B3B24"/>
    <w:rsid w:val="001C0F98"/>
    <w:rsid w:val="001C2A42"/>
    <w:rsid w:val="001C6886"/>
    <w:rsid w:val="001D1B7C"/>
    <w:rsid w:val="001D5FF1"/>
    <w:rsid w:val="001D63ED"/>
    <w:rsid w:val="001D7348"/>
    <w:rsid w:val="001E035B"/>
    <w:rsid w:val="001E0961"/>
    <w:rsid w:val="001E3EAE"/>
    <w:rsid w:val="001E5348"/>
    <w:rsid w:val="001E6F32"/>
    <w:rsid w:val="001F2145"/>
    <w:rsid w:val="001F3E59"/>
    <w:rsid w:val="001F6262"/>
    <w:rsid w:val="001F67B0"/>
    <w:rsid w:val="001F7B3D"/>
    <w:rsid w:val="00200BB3"/>
    <w:rsid w:val="002044A2"/>
    <w:rsid w:val="00205F9F"/>
    <w:rsid w:val="00210338"/>
    <w:rsid w:val="002115FC"/>
    <w:rsid w:val="002133F8"/>
    <w:rsid w:val="0021341F"/>
    <w:rsid w:val="0021423C"/>
    <w:rsid w:val="002233D0"/>
    <w:rsid w:val="002250B6"/>
    <w:rsid w:val="00230D00"/>
    <w:rsid w:val="00231DF7"/>
    <w:rsid w:val="00231FD1"/>
    <w:rsid w:val="002339E0"/>
    <w:rsid w:val="00233CF8"/>
    <w:rsid w:val="0023575D"/>
    <w:rsid w:val="00237148"/>
    <w:rsid w:val="0024222D"/>
    <w:rsid w:val="002437AC"/>
    <w:rsid w:val="00244B0E"/>
    <w:rsid w:val="00244F6C"/>
    <w:rsid w:val="00247622"/>
    <w:rsid w:val="002532C5"/>
    <w:rsid w:val="00260C03"/>
    <w:rsid w:val="0026233C"/>
    <w:rsid w:val="00264FDC"/>
    <w:rsid w:val="0026540E"/>
    <w:rsid w:val="0027027B"/>
    <w:rsid w:val="0027225C"/>
    <w:rsid w:val="00274BB7"/>
    <w:rsid w:val="00275123"/>
    <w:rsid w:val="00282240"/>
    <w:rsid w:val="0028572A"/>
    <w:rsid w:val="002948AD"/>
    <w:rsid w:val="00294C05"/>
    <w:rsid w:val="00294C92"/>
    <w:rsid w:val="00296958"/>
    <w:rsid w:val="002A01CC"/>
    <w:rsid w:val="002A0980"/>
    <w:rsid w:val="002A5DDC"/>
    <w:rsid w:val="002A61B1"/>
    <w:rsid w:val="002A663C"/>
    <w:rsid w:val="002A7F87"/>
    <w:rsid w:val="002B1E6C"/>
    <w:rsid w:val="002B444B"/>
    <w:rsid w:val="002B5887"/>
    <w:rsid w:val="002B627A"/>
    <w:rsid w:val="002C0692"/>
    <w:rsid w:val="002C0E27"/>
    <w:rsid w:val="002C3040"/>
    <w:rsid w:val="002C64C3"/>
    <w:rsid w:val="002D022D"/>
    <w:rsid w:val="002D24BB"/>
    <w:rsid w:val="002D3FD0"/>
    <w:rsid w:val="002D6957"/>
    <w:rsid w:val="002E5F0A"/>
    <w:rsid w:val="002E7608"/>
    <w:rsid w:val="002F171B"/>
    <w:rsid w:val="002F2AF7"/>
    <w:rsid w:val="002F3B58"/>
    <w:rsid w:val="002F7E1C"/>
    <w:rsid w:val="00301A75"/>
    <w:rsid w:val="00302F70"/>
    <w:rsid w:val="0030336F"/>
    <w:rsid w:val="0030375E"/>
    <w:rsid w:val="00306A58"/>
    <w:rsid w:val="00310C39"/>
    <w:rsid w:val="0031102C"/>
    <w:rsid w:val="00312A30"/>
    <w:rsid w:val="003152BA"/>
    <w:rsid w:val="00320F72"/>
    <w:rsid w:val="0032463E"/>
    <w:rsid w:val="00324C1D"/>
    <w:rsid w:val="00325DF4"/>
    <w:rsid w:val="00326224"/>
    <w:rsid w:val="0032669C"/>
    <w:rsid w:val="0032676F"/>
    <w:rsid w:val="00330C4C"/>
    <w:rsid w:val="00331EAC"/>
    <w:rsid w:val="00337EE4"/>
    <w:rsid w:val="00340FFD"/>
    <w:rsid w:val="00345892"/>
    <w:rsid w:val="003506B1"/>
    <w:rsid w:val="00356AC7"/>
    <w:rsid w:val="003609FA"/>
    <w:rsid w:val="00370D5A"/>
    <w:rsid w:val="003710C8"/>
    <w:rsid w:val="003750BE"/>
    <w:rsid w:val="00375C07"/>
    <w:rsid w:val="00387B9D"/>
    <w:rsid w:val="0039364F"/>
    <w:rsid w:val="003960B2"/>
    <w:rsid w:val="00396686"/>
    <w:rsid w:val="0039778E"/>
    <w:rsid w:val="003A3BCE"/>
    <w:rsid w:val="003A441D"/>
    <w:rsid w:val="003A7619"/>
    <w:rsid w:val="003B4941"/>
    <w:rsid w:val="003C5714"/>
    <w:rsid w:val="003C6B9F"/>
    <w:rsid w:val="003C6E2A"/>
    <w:rsid w:val="003D0299"/>
    <w:rsid w:val="003D0AE9"/>
    <w:rsid w:val="003D4207"/>
    <w:rsid w:val="003D4671"/>
    <w:rsid w:val="003D6A43"/>
    <w:rsid w:val="003E6D80"/>
    <w:rsid w:val="003F05FA"/>
    <w:rsid w:val="003F244A"/>
    <w:rsid w:val="003F30B8"/>
    <w:rsid w:val="003F4C45"/>
    <w:rsid w:val="003F5949"/>
    <w:rsid w:val="003F5F7B"/>
    <w:rsid w:val="003F7D64"/>
    <w:rsid w:val="00400378"/>
    <w:rsid w:val="00413CFD"/>
    <w:rsid w:val="00414300"/>
    <w:rsid w:val="00414462"/>
    <w:rsid w:val="00425C67"/>
    <w:rsid w:val="00427E7A"/>
    <w:rsid w:val="00430CA7"/>
    <w:rsid w:val="00433E11"/>
    <w:rsid w:val="00436307"/>
    <w:rsid w:val="00436C49"/>
    <w:rsid w:val="00445366"/>
    <w:rsid w:val="00445418"/>
    <w:rsid w:val="00447841"/>
    <w:rsid w:val="00447F5B"/>
    <w:rsid w:val="00461DB0"/>
    <w:rsid w:val="00463926"/>
    <w:rsid w:val="00464097"/>
    <w:rsid w:val="004646E0"/>
    <w:rsid w:val="00464C9A"/>
    <w:rsid w:val="00474F3D"/>
    <w:rsid w:val="00476743"/>
    <w:rsid w:val="00477E3A"/>
    <w:rsid w:val="00483E5F"/>
    <w:rsid w:val="004843A3"/>
    <w:rsid w:val="00485817"/>
    <w:rsid w:val="00485FF9"/>
    <w:rsid w:val="004907F0"/>
    <w:rsid w:val="0049140B"/>
    <w:rsid w:val="004923A5"/>
    <w:rsid w:val="004923D2"/>
    <w:rsid w:val="00494C12"/>
    <w:rsid w:val="00496BFB"/>
    <w:rsid w:val="004A15C7"/>
    <w:rsid w:val="004A5DC8"/>
    <w:rsid w:val="004B013B"/>
    <w:rsid w:val="004B112B"/>
    <w:rsid w:val="004B15B4"/>
    <w:rsid w:val="004B7742"/>
    <w:rsid w:val="004C01E4"/>
    <w:rsid w:val="004C086C"/>
    <w:rsid w:val="004C1F56"/>
    <w:rsid w:val="004C27BC"/>
    <w:rsid w:val="004D15F3"/>
    <w:rsid w:val="004D347F"/>
    <w:rsid w:val="004D5311"/>
    <w:rsid w:val="004D5DCC"/>
    <w:rsid w:val="004D78EA"/>
    <w:rsid w:val="004E0039"/>
    <w:rsid w:val="004E6ABC"/>
    <w:rsid w:val="004F10AF"/>
    <w:rsid w:val="004F11A4"/>
    <w:rsid w:val="004F2389"/>
    <w:rsid w:val="004F304D"/>
    <w:rsid w:val="004F61BE"/>
    <w:rsid w:val="004F66B1"/>
    <w:rsid w:val="004F66B4"/>
    <w:rsid w:val="00502A0D"/>
    <w:rsid w:val="00511C07"/>
    <w:rsid w:val="00512D5D"/>
    <w:rsid w:val="0051313E"/>
    <w:rsid w:val="005173A6"/>
    <w:rsid w:val="00517435"/>
    <w:rsid w:val="00520BAA"/>
    <w:rsid w:val="00525208"/>
    <w:rsid w:val="005257A5"/>
    <w:rsid w:val="005264C0"/>
    <w:rsid w:val="00526A8A"/>
    <w:rsid w:val="00530586"/>
    <w:rsid w:val="00531762"/>
    <w:rsid w:val="00531DF2"/>
    <w:rsid w:val="00533954"/>
    <w:rsid w:val="00533CF7"/>
    <w:rsid w:val="00535BB8"/>
    <w:rsid w:val="005442EE"/>
    <w:rsid w:val="00547353"/>
    <w:rsid w:val="005474E7"/>
    <w:rsid w:val="005512A3"/>
    <w:rsid w:val="00554530"/>
    <w:rsid w:val="00556C2C"/>
    <w:rsid w:val="005578CE"/>
    <w:rsid w:val="005624FD"/>
    <w:rsid w:val="00562781"/>
    <w:rsid w:val="00563E83"/>
    <w:rsid w:val="00564110"/>
    <w:rsid w:val="00565C57"/>
    <w:rsid w:val="005666BC"/>
    <w:rsid w:val="005668A4"/>
    <w:rsid w:val="0057271C"/>
    <w:rsid w:val="00572845"/>
    <w:rsid w:val="00581959"/>
    <w:rsid w:val="00587E00"/>
    <w:rsid w:val="00587E32"/>
    <w:rsid w:val="00592772"/>
    <w:rsid w:val="0059574A"/>
    <w:rsid w:val="005A1B9B"/>
    <w:rsid w:val="005A6751"/>
    <w:rsid w:val="005A6F90"/>
    <w:rsid w:val="005B092E"/>
    <w:rsid w:val="005B152C"/>
    <w:rsid w:val="005B1EE0"/>
    <w:rsid w:val="005B2B24"/>
    <w:rsid w:val="005B33EE"/>
    <w:rsid w:val="005B4425"/>
    <w:rsid w:val="005B4B94"/>
    <w:rsid w:val="005C3E0F"/>
    <w:rsid w:val="005C3EE8"/>
    <w:rsid w:val="005D06BC"/>
    <w:rsid w:val="005D251B"/>
    <w:rsid w:val="005D34F9"/>
    <w:rsid w:val="005D4190"/>
    <w:rsid w:val="005D67A3"/>
    <w:rsid w:val="005E2988"/>
    <w:rsid w:val="005E2A43"/>
    <w:rsid w:val="005E3085"/>
    <w:rsid w:val="005E3704"/>
    <w:rsid w:val="005E438A"/>
    <w:rsid w:val="005F0657"/>
    <w:rsid w:val="005F37F0"/>
    <w:rsid w:val="005F51E1"/>
    <w:rsid w:val="00610136"/>
    <w:rsid w:val="00611C80"/>
    <w:rsid w:val="00612D45"/>
    <w:rsid w:val="00620692"/>
    <w:rsid w:val="00623EBB"/>
    <w:rsid w:val="006242CA"/>
    <w:rsid w:val="00627507"/>
    <w:rsid w:val="00630865"/>
    <w:rsid w:val="00633717"/>
    <w:rsid w:val="00633E63"/>
    <w:rsid w:val="006344E1"/>
    <w:rsid w:val="0064711A"/>
    <w:rsid w:val="0065242D"/>
    <w:rsid w:val="006545C4"/>
    <w:rsid w:val="0065714E"/>
    <w:rsid w:val="00657750"/>
    <w:rsid w:val="00661971"/>
    <w:rsid w:val="00661CE8"/>
    <w:rsid w:val="006623D9"/>
    <w:rsid w:val="0066550C"/>
    <w:rsid w:val="006716F2"/>
    <w:rsid w:val="00682BF2"/>
    <w:rsid w:val="006859CE"/>
    <w:rsid w:val="00691270"/>
    <w:rsid w:val="00694BA8"/>
    <w:rsid w:val="006A037C"/>
    <w:rsid w:val="006A36F4"/>
    <w:rsid w:val="006A406F"/>
    <w:rsid w:val="006A5D3A"/>
    <w:rsid w:val="006B58C6"/>
    <w:rsid w:val="006C23D4"/>
    <w:rsid w:val="006C4802"/>
    <w:rsid w:val="006C7BB0"/>
    <w:rsid w:val="006C7C1E"/>
    <w:rsid w:val="006D3237"/>
    <w:rsid w:val="006E2E37"/>
    <w:rsid w:val="006E3CF1"/>
    <w:rsid w:val="006E4948"/>
    <w:rsid w:val="006E7E80"/>
    <w:rsid w:val="006F1DF9"/>
    <w:rsid w:val="006F24DB"/>
    <w:rsid w:val="006F3B47"/>
    <w:rsid w:val="006F48CA"/>
    <w:rsid w:val="006F64DD"/>
    <w:rsid w:val="006F76E9"/>
    <w:rsid w:val="007000A7"/>
    <w:rsid w:val="0070783B"/>
    <w:rsid w:val="00715127"/>
    <w:rsid w:val="00715E8E"/>
    <w:rsid w:val="00723580"/>
    <w:rsid w:val="00723755"/>
    <w:rsid w:val="0073136C"/>
    <w:rsid w:val="00731F0F"/>
    <w:rsid w:val="00733250"/>
    <w:rsid w:val="00735A52"/>
    <w:rsid w:val="00741404"/>
    <w:rsid w:val="007438F1"/>
    <w:rsid w:val="007449E5"/>
    <w:rsid w:val="0074619B"/>
    <w:rsid w:val="00746C5A"/>
    <w:rsid w:val="00747FF0"/>
    <w:rsid w:val="007509D5"/>
    <w:rsid w:val="00753B14"/>
    <w:rsid w:val="00757E7C"/>
    <w:rsid w:val="00764D4E"/>
    <w:rsid w:val="00764FD8"/>
    <w:rsid w:val="00765A1F"/>
    <w:rsid w:val="00774A6E"/>
    <w:rsid w:val="00775B6D"/>
    <w:rsid w:val="00776D68"/>
    <w:rsid w:val="00777788"/>
    <w:rsid w:val="007850EE"/>
    <w:rsid w:val="00785B95"/>
    <w:rsid w:val="00787DF2"/>
    <w:rsid w:val="00790E96"/>
    <w:rsid w:val="00793366"/>
    <w:rsid w:val="0079341B"/>
    <w:rsid w:val="00795C3F"/>
    <w:rsid w:val="00795EF7"/>
    <w:rsid w:val="00796367"/>
    <w:rsid w:val="007A69E0"/>
    <w:rsid w:val="007A716F"/>
    <w:rsid w:val="007A7C89"/>
    <w:rsid w:val="007B270A"/>
    <w:rsid w:val="007B6E18"/>
    <w:rsid w:val="007B70B6"/>
    <w:rsid w:val="007C0695"/>
    <w:rsid w:val="007C419A"/>
    <w:rsid w:val="007C4CC8"/>
    <w:rsid w:val="007C5426"/>
    <w:rsid w:val="007C5798"/>
    <w:rsid w:val="007D4832"/>
    <w:rsid w:val="007D49A6"/>
    <w:rsid w:val="007D6674"/>
    <w:rsid w:val="007E21B2"/>
    <w:rsid w:val="007E2C4E"/>
    <w:rsid w:val="007E4413"/>
    <w:rsid w:val="007E6275"/>
    <w:rsid w:val="007F1905"/>
    <w:rsid w:val="007F6731"/>
    <w:rsid w:val="007F79EF"/>
    <w:rsid w:val="0080048F"/>
    <w:rsid w:val="00801300"/>
    <w:rsid w:val="00802C64"/>
    <w:rsid w:val="00805E52"/>
    <w:rsid w:val="008061D0"/>
    <w:rsid w:val="00810B38"/>
    <w:rsid w:val="0081503E"/>
    <w:rsid w:val="00816D0B"/>
    <w:rsid w:val="0081732E"/>
    <w:rsid w:val="008204C7"/>
    <w:rsid w:val="00820992"/>
    <w:rsid w:val="00823602"/>
    <w:rsid w:val="008255F5"/>
    <w:rsid w:val="0083014E"/>
    <w:rsid w:val="0083198E"/>
    <w:rsid w:val="0083214A"/>
    <w:rsid w:val="00834220"/>
    <w:rsid w:val="00841A47"/>
    <w:rsid w:val="00845723"/>
    <w:rsid w:val="00851EF9"/>
    <w:rsid w:val="008577FD"/>
    <w:rsid w:val="008605C0"/>
    <w:rsid w:val="00860B03"/>
    <w:rsid w:val="0086497A"/>
    <w:rsid w:val="00864991"/>
    <w:rsid w:val="00867486"/>
    <w:rsid w:val="008713A1"/>
    <w:rsid w:val="00871AC4"/>
    <w:rsid w:val="008754AB"/>
    <w:rsid w:val="0088060C"/>
    <w:rsid w:val="00880B07"/>
    <w:rsid w:val="0088578B"/>
    <w:rsid w:val="0089209A"/>
    <w:rsid w:val="00893576"/>
    <w:rsid w:val="00893E73"/>
    <w:rsid w:val="008A43C4"/>
    <w:rsid w:val="008A6AB6"/>
    <w:rsid w:val="008B02DC"/>
    <w:rsid w:val="008B57CE"/>
    <w:rsid w:val="008B659F"/>
    <w:rsid w:val="008C26DE"/>
    <w:rsid w:val="008C303A"/>
    <w:rsid w:val="008D2225"/>
    <w:rsid w:val="008D4752"/>
    <w:rsid w:val="008D552A"/>
    <w:rsid w:val="008D6356"/>
    <w:rsid w:val="008D6C8F"/>
    <w:rsid w:val="008E0C9C"/>
    <w:rsid w:val="008E271C"/>
    <w:rsid w:val="008E418E"/>
    <w:rsid w:val="008E5BC6"/>
    <w:rsid w:val="008E6A25"/>
    <w:rsid w:val="008F5193"/>
    <w:rsid w:val="008F7396"/>
    <w:rsid w:val="009013A7"/>
    <w:rsid w:val="00901569"/>
    <w:rsid w:val="009017FB"/>
    <w:rsid w:val="009017FC"/>
    <w:rsid w:val="009018C7"/>
    <w:rsid w:val="00902756"/>
    <w:rsid w:val="00903B43"/>
    <w:rsid w:val="0090506B"/>
    <w:rsid w:val="009050C9"/>
    <w:rsid w:val="009066FC"/>
    <w:rsid w:val="009140A3"/>
    <w:rsid w:val="009144A2"/>
    <w:rsid w:val="0091510C"/>
    <w:rsid w:val="009211B2"/>
    <w:rsid w:val="00922C98"/>
    <w:rsid w:val="00924889"/>
    <w:rsid w:val="009259AC"/>
    <w:rsid w:val="00926F38"/>
    <w:rsid w:val="00934301"/>
    <w:rsid w:val="00936CD1"/>
    <w:rsid w:val="00940232"/>
    <w:rsid w:val="00941364"/>
    <w:rsid w:val="00941747"/>
    <w:rsid w:val="00941EFB"/>
    <w:rsid w:val="00943524"/>
    <w:rsid w:val="0094446B"/>
    <w:rsid w:val="00945564"/>
    <w:rsid w:val="00946BF3"/>
    <w:rsid w:val="00947AFB"/>
    <w:rsid w:val="00951D7D"/>
    <w:rsid w:val="009525EB"/>
    <w:rsid w:val="00952C12"/>
    <w:rsid w:val="00953997"/>
    <w:rsid w:val="0095689F"/>
    <w:rsid w:val="009577E3"/>
    <w:rsid w:val="00962CA1"/>
    <w:rsid w:val="00962DB9"/>
    <w:rsid w:val="009630C7"/>
    <w:rsid w:val="0096456B"/>
    <w:rsid w:val="00964D29"/>
    <w:rsid w:val="00966402"/>
    <w:rsid w:val="00972B55"/>
    <w:rsid w:val="009743B7"/>
    <w:rsid w:val="0097497E"/>
    <w:rsid w:val="0098228B"/>
    <w:rsid w:val="009828DA"/>
    <w:rsid w:val="00985BAB"/>
    <w:rsid w:val="009860F0"/>
    <w:rsid w:val="00986884"/>
    <w:rsid w:val="00987A2A"/>
    <w:rsid w:val="00990D46"/>
    <w:rsid w:val="00994917"/>
    <w:rsid w:val="00997F03"/>
    <w:rsid w:val="009A46DF"/>
    <w:rsid w:val="009A79AF"/>
    <w:rsid w:val="009B1B5F"/>
    <w:rsid w:val="009B2EC2"/>
    <w:rsid w:val="009B62E1"/>
    <w:rsid w:val="009B6673"/>
    <w:rsid w:val="009B7310"/>
    <w:rsid w:val="009C191B"/>
    <w:rsid w:val="009C2BD6"/>
    <w:rsid w:val="009C35B7"/>
    <w:rsid w:val="009C4783"/>
    <w:rsid w:val="009C5CE4"/>
    <w:rsid w:val="009C6493"/>
    <w:rsid w:val="009D45B1"/>
    <w:rsid w:val="009D4F3A"/>
    <w:rsid w:val="009E0B23"/>
    <w:rsid w:val="009E1CB6"/>
    <w:rsid w:val="009E1F32"/>
    <w:rsid w:val="009E2FDA"/>
    <w:rsid w:val="009E4CBC"/>
    <w:rsid w:val="009E5829"/>
    <w:rsid w:val="009E776C"/>
    <w:rsid w:val="009F303A"/>
    <w:rsid w:val="009F4303"/>
    <w:rsid w:val="009F6BD9"/>
    <w:rsid w:val="00A02610"/>
    <w:rsid w:val="00A130B4"/>
    <w:rsid w:val="00A13F3F"/>
    <w:rsid w:val="00A15198"/>
    <w:rsid w:val="00A1726E"/>
    <w:rsid w:val="00A176E6"/>
    <w:rsid w:val="00A204CF"/>
    <w:rsid w:val="00A225CE"/>
    <w:rsid w:val="00A23D49"/>
    <w:rsid w:val="00A27004"/>
    <w:rsid w:val="00A30C29"/>
    <w:rsid w:val="00A34DD6"/>
    <w:rsid w:val="00A36819"/>
    <w:rsid w:val="00A3691F"/>
    <w:rsid w:val="00A36989"/>
    <w:rsid w:val="00A40461"/>
    <w:rsid w:val="00A43628"/>
    <w:rsid w:val="00A46FCF"/>
    <w:rsid w:val="00A54192"/>
    <w:rsid w:val="00A6035E"/>
    <w:rsid w:val="00A6144C"/>
    <w:rsid w:val="00A66617"/>
    <w:rsid w:val="00A671F8"/>
    <w:rsid w:val="00A673A4"/>
    <w:rsid w:val="00A724AE"/>
    <w:rsid w:val="00A73329"/>
    <w:rsid w:val="00A82359"/>
    <w:rsid w:val="00A82CD9"/>
    <w:rsid w:val="00A865D2"/>
    <w:rsid w:val="00A92E94"/>
    <w:rsid w:val="00A94C20"/>
    <w:rsid w:val="00A96ED6"/>
    <w:rsid w:val="00AA227F"/>
    <w:rsid w:val="00AA3BC7"/>
    <w:rsid w:val="00AA63F6"/>
    <w:rsid w:val="00AA754A"/>
    <w:rsid w:val="00AB099E"/>
    <w:rsid w:val="00AB10FB"/>
    <w:rsid w:val="00AB4328"/>
    <w:rsid w:val="00AB45B2"/>
    <w:rsid w:val="00AB54BF"/>
    <w:rsid w:val="00AB57ED"/>
    <w:rsid w:val="00AB5FA0"/>
    <w:rsid w:val="00AC42E4"/>
    <w:rsid w:val="00AE0A2E"/>
    <w:rsid w:val="00AE354C"/>
    <w:rsid w:val="00AE4513"/>
    <w:rsid w:val="00AF4B07"/>
    <w:rsid w:val="00AF50AE"/>
    <w:rsid w:val="00AF6186"/>
    <w:rsid w:val="00AF6E76"/>
    <w:rsid w:val="00AF7A3A"/>
    <w:rsid w:val="00AF7AA8"/>
    <w:rsid w:val="00B04F40"/>
    <w:rsid w:val="00B12CB0"/>
    <w:rsid w:val="00B154E4"/>
    <w:rsid w:val="00B160DB"/>
    <w:rsid w:val="00B17FA8"/>
    <w:rsid w:val="00B20836"/>
    <w:rsid w:val="00B235BB"/>
    <w:rsid w:val="00B25100"/>
    <w:rsid w:val="00B27A44"/>
    <w:rsid w:val="00B30BBF"/>
    <w:rsid w:val="00B33C03"/>
    <w:rsid w:val="00B44E56"/>
    <w:rsid w:val="00B4589E"/>
    <w:rsid w:val="00B46543"/>
    <w:rsid w:val="00B47B10"/>
    <w:rsid w:val="00B47D33"/>
    <w:rsid w:val="00B52BE0"/>
    <w:rsid w:val="00B53D77"/>
    <w:rsid w:val="00B54133"/>
    <w:rsid w:val="00B56F17"/>
    <w:rsid w:val="00B617E2"/>
    <w:rsid w:val="00B637B9"/>
    <w:rsid w:val="00B658D3"/>
    <w:rsid w:val="00B700C8"/>
    <w:rsid w:val="00B701ED"/>
    <w:rsid w:val="00B7161B"/>
    <w:rsid w:val="00B74A3B"/>
    <w:rsid w:val="00B76248"/>
    <w:rsid w:val="00B76F54"/>
    <w:rsid w:val="00B80415"/>
    <w:rsid w:val="00B8086C"/>
    <w:rsid w:val="00B80B71"/>
    <w:rsid w:val="00B861B4"/>
    <w:rsid w:val="00B86DFE"/>
    <w:rsid w:val="00B90990"/>
    <w:rsid w:val="00B922FF"/>
    <w:rsid w:val="00B92491"/>
    <w:rsid w:val="00B9281E"/>
    <w:rsid w:val="00B93925"/>
    <w:rsid w:val="00B95187"/>
    <w:rsid w:val="00BA2D55"/>
    <w:rsid w:val="00BA6E8D"/>
    <w:rsid w:val="00BA71B1"/>
    <w:rsid w:val="00BB0555"/>
    <w:rsid w:val="00BB0637"/>
    <w:rsid w:val="00BB2E3A"/>
    <w:rsid w:val="00BB345F"/>
    <w:rsid w:val="00BB5883"/>
    <w:rsid w:val="00BB593D"/>
    <w:rsid w:val="00BB68EA"/>
    <w:rsid w:val="00BB7BB3"/>
    <w:rsid w:val="00BC02C8"/>
    <w:rsid w:val="00BC1C27"/>
    <w:rsid w:val="00BC6BBF"/>
    <w:rsid w:val="00BC7A79"/>
    <w:rsid w:val="00BD1572"/>
    <w:rsid w:val="00BD197B"/>
    <w:rsid w:val="00BD4373"/>
    <w:rsid w:val="00BE14E3"/>
    <w:rsid w:val="00BE3558"/>
    <w:rsid w:val="00BE3774"/>
    <w:rsid w:val="00BE41E5"/>
    <w:rsid w:val="00BF0780"/>
    <w:rsid w:val="00BF0BBB"/>
    <w:rsid w:val="00BF18C0"/>
    <w:rsid w:val="00BF2059"/>
    <w:rsid w:val="00BF30DF"/>
    <w:rsid w:val="00BF3231"/>
    <w:rsid w:val="00BF3E93"/>
    <w:rsid w:val="00BF4109"/>
    <w:rsid w:val="00BF4CC3"/>
    <w:rsid w:val="00C03731"/>
    <w:rsid w:val="00C054C7"/>
    <w:rsid w:val="00C057B5"/>
    <w:rsid w:val="00C10ADB"/>
    <w:rsid w:val="00C16EC5"/>
    <w:rsid w:val="00C22687"/>
    <w:rsid w:val="00C32E4D"/>
    <w:rsid w:val="00C333A0"/>
    <w:rsid w:val="00C36A81"/>
    <w:rsid w:val="00C41974"/>
    <w:rsid w:val="00C445FD"/>
    <w:rsid w:val="00C447AD"/>
    <w:rsid w:val="00C5371F"/>
    <w:rsid w:val="00C53F4A"/>
    <w:rsid w:val="00C54125"/>
    <w:rsid w:val="00C55B54"/>
    <w:rsid w:val="00C6098E"/>
    <w:rsid w:val="00C6152C"/>
    <w:rsid w:val="00C621C2"/>
    <w:rsid w:val="00C64246"/>
    <w:rsid w:val="00C73152"/>
    <w:rsid w:val="00C74810"/>
    <w:rsid w:val="00C90D68"/>
    <w:rsid w:val="00C9139B"/>
    <w:rsid w:val="00C915FB"/>
    <w:rsid w:val="00C939FE"/>
    <w:rsid w:val="00CA4BDA"/>
    <w:rsid w:val="00CB1F66"/>
    <w:rsid w:val="00CB2951"/>
    <w:rsid w:val="00CB46E3"/>
    <w:rsid w:val="00CB7492"/>
    <w:rsid w:val="00CD282B"/>
    <w:rsid w:val="00CD470D"/>
    <w:rsid w:val="00CD4C35"/>
    <w:rsid w:val="00CD7369"/>
    <w:rsid w:val="00CE0B0E"/>
    <w:rsid w:val="00CE2F1E"/>
    <w:rsid w:val="00CE3831"/>
    <w:rsid w:val="00CF1380"/>
    <w:rsid w:val="00CF6A4E"/>
    <w:rsid w:val="00D00ABB"/>
    <w:rsid w:val="00D02EEC"/>
    <w:rsid w:val="00D03551"/>
    <w:rsid w:val="00D06A63"/>
    <w:rsid w:val="00D07E0E"/>
    <w:rsid w:val="00D11478"/>
    <w:rsid w:val="00D15ED0"/>
    <w:rsid w:val="00D20D67"/>
    <w:rsid w:val="00D21B3E"/>
    <w:rsid w:val="00D21FED"/>
    <w:rsid w:val="00D24251"/>
    <w:rsid w:val="00D27F45"/>
    <w:rsid w:val="00D343E2"/>
    <w:rsid w:val="00D361A2"/>
    <w:rsid w:val="00D44C2E"/>
    <w:rsid w:val="00D45414"/>
    <w:rsid w:val="00D4624A"/>
    <w:rsid w:val="00D5384C"/>
    <w:rsid w:val="00D53C0F"/>
    <w:rsid w:val="00D566BD"/>
    <w:rsid w:val="00D57A4D"/>
    <w:rsid w:val="00D60AA7"/>
    <w:rsid w:val="00D60D87"/>
    <w:rsid w:val="00D6435F"/>
    <w:rsid w:val="00D64B19"/>
    <w:rsid w:val="00D75E28"/>
    <w:rsid w:val="00D772C2"/>
    <w:rsid w:val="00D8008E"/>
    <w:rsid w:val="00D800D6"/>
    <w:rsid w:val="00D80B81"/>
    <w:rsid w:val="00D8182E"/>
    <w:rsid w:val="00D820D8"/>
    <w:rsid w:val="00D82C45"/>
    <w:rsid w:val="00D835EA"/>
    <w:rsid w:val="00D908A8"/>
    <w:rsid w:val="00D977B6"/>
    <w:rsid w:val="00DA2240"/>
    <w:rsid w:val="00DA4A31"/>
    <w:rsid w:val="00DA61F2"/>
    <w:rsid w:val="00DA7B04"/>
    <w:rsid w:val="00DB2812"/>
    <w:rsid w:val="00DB36C2"/>
    <w:rsid w:val="00DB3C8D"/>
    <w:rsid w:val="00DB7196"/>
    <w:rsid w:val="00DC0CDE"/>
    <w:rsid w:val="00DC169B"/>
    <w:rsid w:val="00DC1826"/>
    <w:rsid w:val="00DC2AB9"/>
    <w:rsid w:val="00DC63F0"/>
    <w:rsid w:val="00DD4DD0"/>
    <w:rsid w:val="00DD6EE5"/>
    <w:rsid w:val="00DE1B8E"/>
    <w:rsid w:val="00DE386C"/>
    <w:rsid w:val="00DE4329"/>
    <w:rsid w:val="00DE4D35"/>
    <w:rsid w:val="00DE600F"/>
    <w:rsid w:val="00DF0549"/>
    <w:rsid w:val="00DF098B"/>
    <w:rsid w:val="00DF11C4"/>
    <w:rsid w:val="00DF1F19"/>
    <w:rsid w:val="00DF210C"/>
    <w:rsid w:val="00DF34D9"/>
    <w:rsid w:val="00DF4B6A"/>
    <w:rsid w:val="00E003CD"/>
    <w:rsid w:val="00E02C09"/>
    <w:rsid w:val="00E04D59"/>
    <w:rsid w:val="00E07DA1"/>
    <w:rsid w:val="00E11B6F"/>
    <w:rsid w:val="00E123CB"/>
    <w:rsid w:val="00E1557C"/>
    <w:rsid w:val="00E20477"/>
    <w:rsid w:val="00E20E13"/>
    <w:rsid w:val="00E21DBC"/>
    <w:rsid w:val="00E275D7"/>
    <w:rsid w:val="00E27DBE"/>
    <w:rsid w:val="00E32AB1"/>
    <w:rsid w:val="00E36C71"/>
    <w:rsid w:val="00E40404"/>
    <w:rsid w:val="00E4133A"/>
    <w:rsid w:val="00E459C6"/>
    <w:rsid w:val="00E46F3F"/>
    <w:rsid w:val="00E47589"/>
    <w:rsid w:val="00E64915"/>
    <w:rsid w:val="00E661D4"/>
    <w:rsid w:val="00E70091"/>
    <w:rsid w:val="00E71246"/>
    <w:rsid w:val="00E7178B"/>
    <w:rsid w:val="00E720F5"/>
    <w:rsid w:val="00E727A4"/>
    <w:rsid w:val="00E73188"/>
    <w:rsid w:val="00E76D47"/>
    <w:rsid w:val="00E8456C"/>
    <w:rsid w:val="00E849F7"/>
    <w:rsid w:val="00E90302"/>
    <w:rsid w:val="00E9597F"/>
    <w:rsid w:val="00E97396"/>
    <w:rsid w:val="00EA185E"/>
    <w:rsid w:val="00EA592A"/>
    <w:rsid w:val="00EA737F"/>
    <w:rsid w:val="00EB14E4"/>
    <w:rsid w:val="00EB32A5"/>
    <w:rsid w:val="00EB34ED"/>
    <w:rsid w:val="00EB3DFB"/>
    <w:rsid w:val="00EB5DCA"/>
    <w:rsid w:val="00EB689F"/>
    <w:rsid w:val="00EB7BE0"/>
    <w:rsid w:val="00EC315E"/>
    <w:rsid w:val="00ED077C"/>
    <w:rsid w:val="00ED0BA0"/>
    <w:rsid w:val="00ED1190"/>
    <w:rsid w:val="00ED299F"/>
    <w:rsid w:val="00ED6544"/>
    <w:rsid w:val="00EE0277"/>
    <w:rsid w:val="00EE1DA9"/>
    <w:rsid w:val="00EE3E00"/>
    <w:rsid w:val="00EE5DD2"/>
    <w:rsid w:val="00EE7608"/>
    <w:rsid w:val="00EF0073"/>
    <w:rsid w:val="00EF41F1"/>
    <w:rsid w:val="00EF471D"/>
    <w:rsid w:val="00EF4F08"/>
    <w:rsid w:val="00EF573B"/>
    <w:rsid w:val="00F00A79"/>
    <w:rsid w:val="00F00E73"/>
    <w:rsid w:val="00F00E86"/>
    <w:rsid w:val="00F00F8B"/>
    <w:rsid w:val="00F0429B"/>
    <w:rsid w:val="00F055DA"/>
    <w:rsid w:val="00F07C1E"/>
    <w:rsid w:val="00F105DB"/>
    <w:rsid w:val="00F125C4"/>
    <w:rsid w:val="00F132BC"/>
    <w:rsid w:val="00F13D80"/>
    <w:rsid w:val="00F16AAA"/>
    <w:rsid w:val="00F21161"/>
    <w:rsid w:val="00F218EF"/>
    <w:rsid w:val="00F21BC7"/>
    <w:rsid w:val="00F266A2"/>
    <w:rsid w:val="00F32269"/>
    <w:rsid w:val="00F34404"/>
    <w:rsid w:val="00F42AFC"/>
    <w:rsid w:val="00F4457E"/>
    <w:rsid w:val="00F533CF"/>
    <w:rsid w:val="00F56A6F"/>
    <w:rsid w:val="00F5709C"/>
    <w:rsid w:val="00F62641"/>
    <w:rsid w:val="00F64EF1"/>
    <w:rsid w:val="00F74574"/>
    <w:rsid w:val="00F76191"/>
    <w:rsid w:val="00F803DE"/>
    <w:rsid w:val="00F86072"/>
    <w:rsid w:val="00F86445"/>
    <w:rsid w:val="00F8765F"/>
    <w:rsid w:val="00F90767"/>
    <w:rsid w:val="00F920F6"/>
    <w:rsid w:val="00F94C9C"/>
    <w:rsid w:val="00F9781C"/>
    <w:rsid w:val="00FA1B71"/>
    <w:rsid w:val="00FA458B"/>
    <w:rsid w:val="00FA685B"/>
    <w:rsid w:val="00FB0C01"/>
    <w:rsid w:val="00FB396E"/>
    <w:rsid w:val="00FC18F2"/>
    <w:rsid w:val="00FC27AB"/>
    <w:rsid w:val="00FC39E5"/>
    <w:rsid w:val="00FC3A78"/>
    <w:rsid w:val="00FC4B8C"/>
    <w:rsid w:val="00FC5FFE"/>
    <w:rsid w:val="00FD1005"/>
    <w:rsid w:val="00FD27CA"/>
    <w:rsid w:val="00FD3180"/>
    <w:rsid w:val="00FD6C75"/>
    <w:rsid w:val="00FE71B3"/>
    <w:rsid w:val="00FF2AC9"/>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8FB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2044A2"/>
    <w:pPr>
      <w:jc w:val="both"/>
    </w:pPr>
    <w:rPr>
      <w:rFonts w:eastAsiaTheme="minorEastAsia"/>
      <w:sz w:val="24"/>
    </w:rPr>
  </w:style>
  <w:style w:type="paragraph" w:styleId="Heading1">
    <w:name w:val="heading 1"/>
    <w:basedOn w:val="Normal"/>
    <w:next w:val="Normal"/>
    <w:link w:val="Heading1Char"/>
    <w:uiPriority w:val="99"/>
    <w:semiHidden/>
    <w:rsid w:val="002044A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2044A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2044A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2044A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2044A2"/>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2044A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2044A2"/>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2044A2"/>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2044A2"/>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044A2"/>
    <w:rPr>
      <w:rFonts w:ascii="Tahoma" w:hAnsi="Tahoma" w:cs="Tahoma"/>
      <w:sz w:val="16"/>
      <w:szCs w:val="16"/>
    </w:rPr>
  </w:style>
  <w:style w:type="character" w:customStyle="1" w:styleId="BalloonTextChar">
    <w:name w:val="Balloon Text Char"/>
    <w:basedOn w:val="DefaultParagraphFont"/>
    <w:link w:val="BalloonText"/>
    <w:uiPriority w:val="99"/>
    <w:semiHidden/>
    <w:rsid w:val="002044A2"/>
    <w:rPr>
      <w:rFonts w:ascii="Tahoma" w:eastAsiaTheme="minorEastAsia" w:hAnsi="Tahoma" w:cs="Tahoma"/>
      <w:sz w:val="16"/>
      <w:szCs w:val="16"/>
      <w:lang w:val="ro-RO"/>
    </w:rPr>
  </w:style>
  <w:style w:type="character" w:styleId="BookTitle">
    <w:name w:val="Book Title"/>
    <w:uiPriority w:val="99"/>
    <w:semiHidden/>
    <w:qFormat/>
    <w:rsid w:val="002044A2"/>
    <w:rPr>
      <w:i/>
      <w:iCs/>
      <w:smallCaps/>
      <w:spacing w:val="5"/>
    </w:rPr>
  </w:style>
  <w:style w:type="paragraph" w:customStyle="1" w:styleId="ECHRHeader">
    <w:name w:val="ECHR_Header"/>
    <w:aliases w:val="Ju_Header"/>
    <w:basedOn w:val="Header"/>
    <w:uiPriority w:val="4"/>
    <w:qFormat/>
    <w:rsid w:val="002044A2"/>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2044A2"/>
    <w:pPr>
      <w:jc w:val="left"/>
    </w:pPr>
    <w:rPr>
      <w:sz w:val="8"/>
    </w:rPr>
  </w:style>
  <w:style w:type="character" w:styleId="Strong">
    <w:name w:val="Strong"/>
    <w:uiPriority w:val="99"/>
    <w:semiHidden/>
    <w:qFormat/>
    <w:rsid w:val="002044A2"/>
    <w:rPr>
      <w:b/>
      <w:bCs/>
    </w:rPr>
  </w:style>
  <w:style w:type="paragraph" w:styleId="NoSpacing">
    <w:name w:val="No Spacing"/>
    <w:basedOn w:val="Normal"/>
    <w:link w:val="NoSpacingChar"/>
    <w:semiHidden/>
    <w:qFormat/>
    <w:rsid w:val="002044A2"/>
    <w:rPr>
      <w:sz w:val="22"/>
    </w:rPr>
  </w:style>
  <w:style w:type="character" w:customStyle="1" w:styleId="NoSpacingChar">
    <w:name w:val="No Spacing Char"/>
    <w:basedOn w:val="DefaultParagraphFont"/>
    <w:link w:val="NoSpacing"/>
    <w:semiHidden/>
    <w:rsid w:val="002044A2"/>
    <w:rPr>
      <w:rFonts w:eastAsiaTheme="minorEastAsia"/>
    </w:rPr>
  </w:style>
  <w:style w:type="paragraph" w:customStyle="1" w:styleId="ECHRFooterLine">
    <w:name w:val="ECHR_Footer_Line"/>
    <w:aliases w:val="Footer_Line"/>
    <w:basedOn w:val="Normal"/>
    <w:next w:val="ECHRFooter"/>
    <w:uiPriority w:val="57"/>
    <w:semiHidden/>
    <w:rsid w:val="002044A2"/>
    <w:pPr>
      <w:pBdr>
        <w:top w:val="single" w:sz="6" w:space="1" w:color="5F5F5F"/>
      </w:pBdr>
      <w:tabs>
        <w:tab w:val="center" w:pos="4536"/>
        <w:tab w:val="right" w:pos="9696"/>
      </w:tabs>
      <w:ind w:left="-680" w:right="-680"/>
      <w:jc w:val="left"/>
    </w:pPr>
    <w:rPr>
      <w:color w:val="5F5F5F"/>
    </w:rPr>
  </w:style>
  <w:style w:type="paragraph" w:customStyle="1" w:styleId="DecHTitle">
    <w:name w:val="Dec_H_Title"/>
    <w:basedOn w:val="ECHRTitleCentre1"/>
    <w:uiPriority w:val="7"/>
    <w:semiHidden/>
    <w:qFormat/>
    <w:rsid w:val="002044A2"/>
  </w:style>
  <w:style w:type="paragraph" w:customStyle="1" w:styleId="DecList">
    <w:name w:val="Dec_List"/>
    <w:basedOn w:val="Normal"/>
    <w:uiPriority w:val="9"/>
    <w:semiHidden/>
    <w:qFormat/>
    <w:rsid w:val="002044A2"/>
    <w:pPr>
      <w:spacing w:before="240"/>
      <w:ind w:left="284"/>
    </w:pPr>
  </w:style>
  <w:style w:type="paragraph" w:customStyle="1" w:styleId="DummyStyle">
    <w:name w:val="Dummy_Style"/>
    <w:basedOn w:val="Normal"/>
    <w:semiHidden/>
    <w:qFormat/>
    <w:rsid w:val="002044A2"/>
    <w:rPr>
      <w:color w:val="00B050"/>
    </w:rPr>
  </w:style>
  <w:style w:type="paragraph" w:customStyle="1" w:styleId="ECHRTitleCentre3">
    <w:name w:val="ECHR_Title_Centre_3"/>
    <w:aliases w:val="Ju_H_Article"/>
    <w:basedOn w:val="Normal"/>
    <w:next w:val="ECHRParaQuote"/>
    <w:uiPriority w:val="27"/>
    <w:qFormat/>
    <w:rsid w:val="002044A2"/>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2044A2"/>
    <w:pPr>
      <w:keepNext/>
      <w:keepLines/>
      <w:spacing w:after="240"/>
      <w:jc w:val="center"/>
      <w:outlineLvl w:val="0"/>
    </w:pPr>
    <w:rPr>
      <w:rFonts w:asciiTheme="majorHAnsi" w:hAnsiTheme="majorHAnsi"/>
      <w:sz w:val="28"/>
    </w:rPr>
  </w:style>
  <w:style w:type="paragraph" w:customStyle="1" w:styleId="JuAppQuestion">
    <w:name w:val="Ju_App_Question"/>
    <w:basedOn w:val="Normal"/>
    <w:uiPriority w:val="5"/>
    <w:semiHidden/>
    <w:qFormat/>
    <w:rsid w:val="002044A2"/>
    <w:pPr>
      <w:numPr>
        <w:numId w:val="20"/>
      </w:numPr>
      <w:jc w:val="left"/>
    </w:pPr>
    <w:rPr>
      <w:b/>
    </w:rPr>
  </w:style>
  <w:style w:type="paragraph" w:customStyle="1" w:styleId="JuCourt">
    <w:name w:val="Ju_Court"/>
    <w:basedOn w:val="Normal"/>
    <w:next w:val="Normal"/>
    <w:uiPriority w:val="16"/>
    <w:qFormat/>
    <w:rsid w:val="002044A2"/>
    <w:pPr>
      <w:tabs>
        <w:tab w:val="left" w:pos="907"/>
        <w:tab w:val="left" w:pos="1701"/>
        <w:tab w:val="right" w:pos="7371"/>
      </w:tabs>
      <w:spacing w:before="240"/>
      <w:ind w:left="397" w:hanging="397"/>
      <w:jc w:val="left"/>
    </w:pPr>
    <w:rPr>
      <w:lang w:bidi="en-US"/>
    </w:rPr>
  </w:style>
  <w:style w:type="paragraph" w:customStyle="1" w:styleId="JuHeaderLandscape">
    <w:name w:val="Ju_Header_Landscape"/>
    <w:basedOn w:val="ECHRHeader"/>
    <w:uiPriority w:val="4"/>
    <w:qFormat/>
    <w:rsid w:val="002044A2"/>
    <w:pPr>
      <w:tabs>
        <w:tab w:val="clear" w:pos="3686"/>
        <w:tab w:val="clear" w:pos="7371"/>
        <w:tab w:val="center" w:pos="6146"/>
        <w:tab w:val="right" w:pos="12293"/>
      </w:tabs>
    </w:pPr>
  </w:style>
  <w:style w:type="paragraph" w:customStyle="1" w:styleId="ECHRTitleCentre2">
    <w:name w:val="ECHR_Title_Centre_2"/>
    <w:aliases w:val="Dec_H_Case"/>
    <w:basedOn w:val="Normal"/>
    <w:next w:val="ECHRPara"/>
    <w:uiPriority w:val="8"/>
    <w:qFormat/>
    <w:rsid w:val="002044A2"/>
    <w:pPr>
      <w:spacing w:after="240"/>
      <w:jc w:val="center"/>
      <w:outlineLvl w:val="0"/>
    </w:pPr>
    <w:rPr>
      <w:rFonts w:asciiTheme="majorHAnsi" w:hAnsiTheme="majorHAnsi"/>
    </w:rPr>
  </w:style>
  <w:style w:type="paragraph" w:customStyle="1" w:styleId="JuInitialled">
    <w:name w:val="Ju_Initialled"/>
    <w:basedOn w:val="Normal"/>
    <w:uiPriority w:val="31"/>
    <w:qFormat/>
    <w:rsid w:val="002044A2"/>
    <w:pPr>
      <w:tabs>
        <w:tab w:val="center" w:pos="6407"/>
      </w:tabs>
      <w:spacing w:before="720"/>
      <w:jc w:val="right"/>
    </w:pPr>
  </w:style>
  <w:style w:type="paragraph" w:styleId="Title">
    <w:name w:val="Title"/>
    <w:basedOn w:val="Normal"/>
    <w:next w:val="Normal"/>
    <w:link w:val="TitleChar"/>
    <w:uiPriority w:val="99"/>
    <w:semiHidden/>
    <w:qFormat/>
    <w:rsid w:val="002044A2"/>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2044A2"/>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uiPriority w:val="21"/>
    <w:qFormat/>
    <w:rsid w:val="002044A2"/>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2044A2"/>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2044A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2044A2"/>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
    <w:basedOn w:val="Heading7"/>
    <w:next w:val="ECHRPara"/>
    <w:uiPriority w:val="25"/>
    <w:qFormat/>
    <w:rsid w:val="002044A2"/>
    <w:pPr>
      <w:keepNext/>
      <w:keepLines/>
      <w:spacing w:before="240" w:after="120"/>
      <w:ind w:left="1236"/>
    </w:pPr>
    <w:rPr>
      <w:sz w:val="20"/>
    </w:rPr>
  </w:style>
  <w:style w:type="character" w:customStyle="1" w:styleId="JuITMark">
    <w:name w:val="Ju_ITMark"/>
    <w:basedOn w:val="DefaultParagraphFont"/>
    <w:uiPriority w:val="38"/>
    <w:qFormat/>
    <w:rsid w:val="002044A2"/>
    <w:rPr>
      <w:vanish w:val="0"/>
      <w:color w:val="auto"/>
      <w:sz w:val="14"/>
      <w:bdr w:val="none" w:sz="0" w:space="0" w:color="auto"/>
      <w:shd w:val="clear" w:color="auto" w:fill="BEE5FF" w:themeFill="background1" w:themeFillTint="33"/>
    </w:rPr>
  </w:style>
  <w:style w:type="paragraph" w:customStyle="1" w:styleId="JuListi">
    <w:name w:val="Ju_List_i"/>
    <w:basedOn w:val="Normal"/>
    <w:next w:val="JuLista"/>
    <w:uiPriority w:val="28"/>
    <w:qFormat/>
    <w:rsid w:val="002044A2"/>
    <w:pPr>
      <w:ind w:left="794"/>
    </w:pPr>
  </w:style>
  <w:style w:type="character" w:customStyle="1" w:styleId="JUNAMES">
    <w:name w:val="JU_NAMES"/>
    <w:uiPriority w:val="17"/>
    <w:qFormat/>
    <w:rsid w:val="002044A2"/>
    <w:rPr>
      <w:caps w:val="0"/>
      <w:smallCaps/>
    </w:rPr>
  </w:style>
  <w:style w:type="paragraph" w:styleId="Header">
    <w:name w:val="header"/>
    <w:basedOn w:val="Normal"/>
    <w:link w:val="HeaderChar"/>
    <w:uiPriority w:val="57"/>
    <w:semiHidden/>
    <w:rsid w:val="002044A2"/>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2044A2"/>
    <w:rPr>
      <w:sz w:val="24"/>
      <w:lang w:val="ro-RO"/>
    </w:rPr>
  </w:style>
  <w:style w:type="character" w:customStyle="1" w:styleId="Heading1Char">
    <w:name w:val="Heading 1 Char"/>
    <w:basedOn w:val="DefaultParagraphFont"/>
    <w:link w:val="Heading1"/>
    <w:uiPriority w:val="99"/>
    <w:semiHidden/>
    <w:rsid w:val="002044A2"/>
    <w:rPr>
      <w:rFonts w:asciiTheme="majorHAnsi" w:eastAsiaTheme="majorEastAsia" w:hAnsiTheme="majorHAnsi" w:cstheme="majorBidi"/>
      <w:b/>
      <w:bCs/>
      <w:color w:val="333333"/>
      <w:sz w:val="28"/>
      <w:szCs w:val="28"/>
      <w:lang w:val="ro-RO"/>
    </w:rPr>
  </w:style>
  <w:style w:type="paragraph" w:customStyle="1" w:styleId="ECHRHeading1">
    <w:name w:val="ECHR_Heading_1"/>
    <w:aliases w:val="Ju_H_I_Roman"/>
    <w:basedOn w:val="Heading1"/>
    <w:next w:val="ECHRPara"/>
    <w:uiPriority w:val="19"/>
    <w:qFormat/>
    <w:rsid w:val="002044A2"/>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2044A2"/>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2044A2"/>
    <w:rPr>
      <w:rFonts w:asciiTheme="majorHAnsi" w:eastAsiaTheme="majorEastAsia" w:hAnsiTheme="majorHAnsi" w:cstheme="majorBidi"/>
      <w:b/>
      <w:bCs/>
      <w:color w:val="4D4D4D"/>
      <w:sz w:val="26"/>
      <w:szCs w:val="26"/>
      <w:lang w:val="ro-RO"/>
    </w:rPr>
  </w:style>
  <w:style w:type="paragraph" w:customStyle="1" w:styleId="JuParaSub">
    <w:name w:val="Ju_Para_Sub"/>
    <w:basedOn w:val="ECHRPara"/>
    <w:uiPriority w:val="13"/>
    <w:qFormat/>
    <w:rsid w:val="002044A2"/>
    <w:pPr>
      <w:ind w:left="284"/>
    </w:pPr>
  </w:style>
  <w:style w:type="paragraph" w:customStyle="1" w:styleId="JuCase">
    <w:name w:val="Ju_Case"/>
    <w:basedOn w:val="Normal"/>
    <w:next w:val="ECHRPara"/>
    <w:uiPriority w:val="10"/>
    <w:rsid w:val="002044A2"/>
    <w:pPr>
      <w:ind w:firstLine="284"/>
    </w:pPr>
    <w:rPr>
      <w:b/>
    </w:rPr>
  </w:style>
  <w:style w:type="character" w:customStyle="1" w:styleId="Heading3Char">
    <w:name w:val="Heading 3 Char"/>
    <w:basedOn w:val="DefaultParagraphFont"/>
    <w:link w:val="Heading3"/>
    <w:uiPriority w:val="99"/>
    <w:semiHidden/>
    <w:rsid w:val="002044A2"/>
    <w:rPr>
      <w:rFonts w:asciiTheme="majorHAnsi" w:eastAsiaTheme="majorEastAsia" w:hAnsiTheme="majorHAnsi" w:cstheme="majorBidi"/>
      <w:b/>
      <w:bCs/>
      <w:color w:val="5F5F5F"/>
      <w:sz w:val="24"/>
      <w:lang w:val="ro-RO"/>
    </w:rPr>
  </w:style>
  <w:style w:type="character" w:customStyle="1" w:styleId="Heading4Char">
    <w:name w:val="Heading 4 Char"/>
    <w:basedOn w:val="DefaultParagraphFont"/>
    <w:link w:val="Heading4"/>
    <w:uiPriority w:val="99"/>
    <w:semiHidden/>
    <w:rsid w:val="002044A2"/>
    <w:rPr>
      <w:rFonts w:asciiTheme="majorHAnsi" w:eastAsiaTheme="majorEastAsia" w:hAnsiTheme="majorHAnsi" w:cstheme="majorBidi"/>
      <w:b/>
      <w:bCs/>
      <w:i/>
      <w:iCs/>
      <w:color w:val="777777"/>
      <w:sz w:val="24"/>
      <w:lang w:val="ro-RO"/>
    </w:rPr>
  </w:style>
  <w:style w:type="character" w:customStyle="1" w:styleId="Heading5Char">
    <w:name w:val="Heading 5 Char"/>
    <w:basedOn w:val="DefaultParagraphFont"/>
    <w:link w:val="Heading5"/>
    <w:uiPriority w:val="99"/>
    <w:semiHidden/>
    <w:rsid w:val="002044A2"/>
    <w:rPr>
      <w:rFonts w:asciiTheme="majorHAnsi" w:eastAsiaTheme="majorEastAsia" w:hAnsiTheme="majorHAnsi" w:cstheme="majorBidi"/>
      <w:b/>
      <w:bCs/>
      <w:color w:val="808080"/>
    </w:rPr>
  </w:style>
  <w:style w:type="character" w:styleId="SubtleEmphasis">
    <w:name w:val="Subtle Emphasis"/>
    <w:uiPriority w:val="99"/>
    <w:semiHidden/>
    <w:qFormat/>
    <w:rsid w:val="002044A2"/>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2044A2"/>
    <w:pPr>
      <w:keepNext/>
      <w:keepLines/>
      <w:spacing w:before="720" w:after="240"/>
      <w:outlineLvl w:val="0"/>
    </w:pPr>
    <w:rPr>
      <w:rFonts w:asciiTheme="majorHAnsi" w:hAnsiTheme="majorHAnsi"/>
      <w:sz w:val="28"/>
    </w:rPr>
  </w:style>
  <w:style w:type="character" w:styleId="Emphasis">
    <w:name w:val="Emphasis"/>
    <w:uiPriority w:val="99"/>
    <w:semiHidden/>
    <w:qFormat/>
    <w:rsid w:val="002044A2"/>
    <w:rPr>
      <w:b/>
      <w:bCs/>
      <w:i/>
      <w:iCs/>
      <w:spacing w:val="10"/>
      <w:bdr w:val="none" w:sz="0" w:space="0" w:color="auto"/>
      <w:shd w:val="clear" w:color="auto" w:fill="auto"/>
    </w:rPr>
  </w:style>
  <w:style w:type="paragraph" w:styleId="Footer">
    <w:name w:val="footer"/>
    <w:basedOn w:val="Normal"/>
    <w:link w:val="FooterChar"/>
    <w:uiPriority w:val="57"/>
    <w:semiHidden/>
    <w:rsid w:val="002044A2"/>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2044A2"/>
    <w:rPr>
      <w:sz w:val="24"/>
      <w:lang w:val="ro-RO"/>
    </w:rPr>
  </w:style>
  <w:style w:type="character" w:styleId="FootnoteReference">
    <w:name w:val="footnote reference"/>
    <w:basedOn w:val="DefaultParagraphFont"/>
    <w:uiPriority w:val="99"/>
    <w:semiHidden/>
    <w:rsid w:val="002044A2"/>
    <w:rPr>
      <w:vertAlign w:val="superscript"/>
    </w:rPr>
  </w:style>
  <w:style w:type="paragraph" w:styleId="FootnoteText">
    <w:name w:val="footnote text"/>
    <w:basedOn w:val="Normal"/>
    <w:link w:val="FootnoteTextChar"/>
    <w:uiPriority w:val="99"/>
    <w:semiHidden/>
    <w:rsid w:val="002044A2"/>
    <w:rPr>
      <w:sz w:val="20"/>
      <w:szCs w:val="20"/>
    </w:rPr>
  </w:style>
  <w:style w:type="character" w:customStyle="1" w:styleId="FootnoteTextChar">
    <w:name w:val="Footnote Text Char"/>
    <w:basedOn w:val="DefaultParagraphFont"/>
    <w:link w:val="FootnoteText"/>
    <w:uiPriority w:val="99"/>
    <w:semiHidden/>
    <w:rsid w:val="002044A2"/>
    <w:rPr>
      <w:rFonts w:eastAsiaTheme="minorEastAsia"/>
      <w:sz w:val="20"/>
      <w:szCs w:val="20"/>
      <w:lang w:val="ro-RO"/>
    </w:rPr>
  </w:style>
  <w:style w:type="character" w:customStyle="1" w:styleId="Heading6Char">
    <w:name w:val="Heading 6 Char"/>
    <w:basedOn w:val="DefaultParagraphFont"/>
    <w:link w:val="Heading6"/>
    <w:uiPriority w:val="99"/>
    <w:semiHidden/>
    <w:rsid w:val="002044A2"/>
    <w:rPr>
      <w:rFonts w:asciiTheme="majorHAnsi" w:eastAsiaTheme="majorEastAsia" w:hAnsiTheme="majorHAnsi" w:cstheme="majorBidi"/>
      <w:b/>
      <w:bCs/>
      <w:i/>
      <w:iCs/>
      <w:color w:val="7F7F7F" w:themeColor="text1" w:themeTint="80"/>
      <w:sz w:val="24"/>
      <w:lang w:val="ro-RO" w:bidi="en-US"/>
    </w:rPr>
  </w:style>
  <w:style w:type="character" w:customStyle="1" w:styleId="Heading7Char">
    <w:name w:val="Heading 7 Char"/>
    <w:basedOn w:val="DefaultParagraphFont"/>
    <w:link w:val="Heading7"/>
    <w:uiPriority w:val="99"/>
    <w:semiHidden/>
    <w:rsid w:val="002044A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2044A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2044A2"/>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8"/>
    <w:semiHidden/>
    <w:rsid w:val="002044A2"/>
    <w:rPr>
      <w:color w:val="0072BC" w:themeColor="hyperlink"/>
      <w:u w:val="single"/>
    </w:rPr>
  </w:style>
  <w:style w:type="character" w:styleId="IntenseEmphasis">
    <w:name w:val="Intense Emphasis"/>
    <w:uiPriority w:val="99"/>
    <w:semiHidden/>
    <w:qFormat/>
    <w:rsid w:val="002044A2"/>
    <w:rPr>
      <w:b/>
      <w:bCs/>
    </w:rPr>
  </w:style>
  <w:style w:type="paragraph" w:styleId="IntenseQuote">
    <w:name w:val="Intense Quote"/>
    <w:basedOn w:val="Normal"/>
    <w:next w:val="Normal"/>
    <w:link w:val="IntenseQuoteChar"/>
    <w:uiPriority w:val="99"/>
    <w:semiHidden/>
    <w:qFormat/>
    <w:rsid w:val="002044A2"/>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2044A2"/>
    <w:rPr>
      <w:rFonts w:eastAsiaTheme="minorEastAsia"/>
      <w:b/>
      <w:bCs/>
      <w:i/>
      <w:iCs/>
      <w:lang w:bidi="en-US"/>
    </w:rPr>
  </w:style>
  <w:style w:type="character" w:styleId="IntenseReference">
    <w:name w:val="Intense Reference"/>
    <w:uiPriority w:val="99"/>
    <w:semiHidden/>
    <w:qFormat/>
    <w:rsid w:val="002044A2"/>
    <w:rPr>
      <w:smallCaps/>
      <w:spacing w:val="5"/>
      <w:u w:val="single"/>
    </w:rPr>
  </w:style>
  <w:style w:type="paragraph" w:styleId="ListParagraph">
    <w:name w:val="List Paragraph"/>
    <w:basedOn w:val="Normal"/>
    <w:uiPriority w:val="99"/>
    <w:semiHidden/>
    <w:qFormat/>
    <w:rsid w:val="002044A2"/>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2044A2"/>
    <w:pPr>
      <w:spacing w:before="200"/>
      <w:ind w:left="360" w:right="360"/>
    </w:pPr>
    <w:rPr>
      <w:i/>
      <w:iCs/>
      <w:sz w:val="22"/>
      <w:lang w:bidi="en-US"/>
    </w:rPr>
  </w:style>
  <w:style w:type="character" w:customStyle="1" w:styleId="QuoteChar">
    <w:name w:val="Quote Char"/>
    <w:basedOn w:val="DefaultParagraphFont"/>
    <w:link w:val="Quote"/>
    <w:uiPriority w:val="99"/>
    <w:semiHidden/>
    <w:rsid w:val="002044A2"/>
    <w:rPr>
      <w:rFonts w:eastAsiaTheme="minorEastAsia"/>
      <w:i/>
      <w:iCs/>
      <w:lang w:bidi="en-US"/>
    </w:rPr>
  </w:style>
  <w:style w:type="character" w:styleId="SubtleReference">
    <w:name w:val="Subtle Reference"/>
    <w:uiPriority w:val="99"/>
    <w:semiHidden/>
    <w:qFormat/>
    <w:rsid w:val="002044A2"/>
    <w:rPr>
      <w:smallCaps/>
    </w:rPr>
  </w:style>
  <w:style w:type="table" w:styleId="TableGrid">
    <w:name w:val="Table Grid"/>
    <w:basedOn w:val="TableNormal"/>
    <w:uiPriority w:val="59"/>
    <w:semiHidden/>
    <w:rsid w:val="002044A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2044A2"/>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2044A2"/>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2044A2"/>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2044A2"/>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2044A2"/>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2044A2"/>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2044A2"/>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uiPriority w:val="14"/>
    <w:qFormat/>
    <w:rsid w:val="002044A2"/>
    <w:pPr>
      <w:spacing w:before="120" w:after="120"/>
      <w:ind w:left="425" w:firstLine="142"/>
    </w:pPr>
    <w:rPr>
      <w:sz w:val="20"/>
    </w:rPr>
  </w:style>
  <w:style w:type="paragraph" w:customStyle="1" w:styleId="ECHRPara">
    <w:name w:val="ECHR_Para"/>
    <w:aliases w:val="Ju_Para"/>
    <w:basedOn w:val="Normal"/>
    <w:link w:val="ECHRParaChar"/>
    <w:uiPriority w:val="12"/>
    <w:qFormat/>
    <w:rsid w:val="002044A2"/>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044A2"/>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2044A2"/>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2044A2"/>
    <w:pPr>
      <w:ind w:left="340" w:hanging="340"/>
    </w:pPr>
  </w:style>
  <w:style w:type="paragraph" w:customStyle="1" w:styleId="JuSigned">
    <w:name w:val="Ju_Signed"/>
    <w:basedOn w:val="Normal"/>
    <w:next w:val="JuParaLast"/>
    <w:uiPriority w:val="32"/>
    <w:qFormat/>
    <w:rsid w:val="002044A2"/>
    <w:pPr>
      <w:tabs>
        <w:tab w:val="center" w:pos="851"/>
        <w:tab w:val="center" w:pos="6407"/>
      </w:tabs>
      <w:spacing w:before="720"/>
      <w:jc w:val="left"/>
    </w:pPr>
  </w:style>
  <w:style w:type="paragraph" w:customStyle="1" w:styleId="JuParaLast">
    <w:name w:val="Ju_Para_Last"/>
    <w:basedOn w:val="Normal"/>
    <w:next w:val="ECHRPara"/>
    <w:uiPriority w:val="30"/>
    <w:qFormat/>
    <w:rsid w:val="002044A2"/>
    <w:pPr>
      <w:keepNext/>
      <w:keepLines/>
      <w:spacing w:before="240"/>
      <w:ind w:firstLine="284"/>
    </w:pPr>
  </w:style>
  <w:style w:type="paragraph" w:customStyle="1" w:styleId="JuQuotSub">
    <w:name w:val="Ju_Quot_Sub"/>
    <w:basedOn w:val="ECHRParaQuote"/>
    <w:uiPriority w:val="15"/>
    <w:qFormat/>
    <w:rsid w:val="002044A2"/>
    <w:pPr>
      <w:ind w:left="567"/>
    </w:p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2044A2"/>
    <w:pPr>
      <w:ind w:left="346" w:firstLine="0"/>
    </w:pPr>
  </w:style>
  <w:style w:type="paragraph" w:customStyle="1" w:styleId="JuTitle">
    <w:name w:val="Ju_Title"/>
    <w:basedOn w:val="Normal"/>
    <w:next w:val="ECHRPara"/>
    <w:uiPriority w:val="3"/>
    <w:semiHidden/>
    <w:qFormat/>
    <w:rsid w:val="002044A2"/>
    <w:pPr>
      <w:spacing w:before="720" w:after="240"/>
      <w:jc w:val="center"/>
      <w:outlineLvl w:val="0"/>
    </w:pPr>
    <w:rPr>
      <w:rFonts w:asciiTheme="majorHAnsi" w:hAnsiTheme="majorHAnsi"/>
      <w:b/>
      <w:caps/>
    </w:r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uiPriority w:val="99"/>
    <w:semiHidden/>
    <w:rsid w:val="00014566"/>
    <w:rPr>
      <w:sz w:val="20"/>
    </w:rPr>
  </w:style>
  <w:style w:type="character" w:customStyle="1" w:styleId="CommentTextChar">
    <w:name w:val="Comment Text Char"/>
    <w:basedOn w:val="DefaultParagraphFont"/>
    <w:link w:val="CommentText"/>
    <w:uiPriority w:val="99"/>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basedOn w:val="DefaultParagraphFont"/>
    <w:uiPriority w:val="99"/>
    <w:semiHidden/>
    <w:rsid w:val="002044A2"/>
    <w:rPr>
      <w:vertAlign w:val="superscript"/>
    </w:rPr>
  </w:style>
  <w:style w:type="paragraph" w:styleId="EndnoteText">
    <w:name w:val="endnote text"/>
    <w:basedOn w:val="Normal"/>
    <w:link w:val="EndnoteTextChar"/>
    <w:uiPriority w:val="99"/>
    <w:semiHidden/>
    <w:rsid w:val="002044A2"/>
    <w:rPr>
      <w:sz w:val="20"/>
      <w:szCs w:val="20"/>
    </w:rPr>
  </w:style>
  <w:style w:type="character" w:customStyle="1" w:styleId="EndnoteTextChar">
    <w:name w:val="Endnote Text Char"/>
    <w:basedOn w:val="DefaultParagraphFont"/>
    <w:link w:val="EndnoteText"/>
    <w:uiPriority w:val="99"/>
    <w:semiHidden/>
    <w:rsid w:val="002044A2"/>
    <w:rPr>
      <w:rFonts w:eastAsiaTheme="minorEastAsia"/>
      <w:sz w:val="20"/>
      <w:szCs w:val="20"/>
      <w:lang w:val="ro-RO"/>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H1">
    <w:name w:val="Opi_H_1"/>
    <w:basedOn w:val="ECHRHeading2"/>
    <w:uiPriority w:val="42"/>
    <w:qFormat/>
    <w:rsid w:val="002044A2"/>
    <w:pPr>
      <w:ind w:left="635" w:hanging="357"/>
      <w:outlineLvl w:val="2"/>
    </w:pPr>
  </w:style>
  <w:style w:type="paragraph" w:styleId="ListBullet">
    <w:name w:val="List Bullet"/>
    <w:basedOn w:val="Normal"/>
    <w:uiPriority w:val="99"/>
    <w:semiHidden/>
    <w:rsid w:val="00014566"/>
    <w:pPr>
      <w:numPr>
        <w:numId w:val="1"/>
      </w:numPr>
    </w:pPr>
  </w:style>
  <w:style w:type="paragraph" w:customStyle="1" w:styleId="OpiHa">
    <w:name w:val="Opi_H_a"/>
    <w:basedOn w:val="ECHRHeading3"/>
    <w:uiPriority w:val="43"/>
    <w:qFormat/>
    <w:rsid w:val="002044A2"/>
    <w:pPr>
      <w:ind w:left="833" w:hanging="357"/>
      <w:outlineLvl w:val="3"/>
    </w:pPr>
    <w:rPr>
      <w:b/>
      <w:i w:val="0"/>
      <w:sz w:val="20"/>
    </w:rPr>
  </w:style>
  <w:style w:type="paragraph" w:styleId="Subtitle">
    <w:name w:val="Subtitle"/>
    <w:basedOn w:val="Normal"/>
    <w:next w:val="Normal"/>
    <w:link w:val="SubtitleChar"/>
    <w:uiPriority w:val="99"/>
    <w:semiHidden/>
    <w:qFormat/>
    <w:rsid w:val="002044A2"/>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2044A2"/>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ro-RO" w:eastAsia="fr-FR"/>
    </w:rPr>
  </w:style>
  <w:style w:type="table" w:styleId="MediumGrid1">
    <w:name w:val="Medium Grid 1"/>
    <w:basedOn w:val="TableNormal"/>
    <w:uiPriority w:val="99"/>
    <w:semiHidden/>
    <w:rsid w:val="00014566"/>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2044A2"/>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2044A2"/>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2044A2"/>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OpiHA0">
    <w:name w:val="Opi_H_A"/>
    <w:basedOn w:val="ECHRHeading1"/>
    <w:next w:val="OpiPara"/>
    <w:uiPriority w:val="41"/>
    <w:qFormat/>
    <w:rsid w:val="002044A2"/>
    <w:pPr>
      <w:tabs>
        <w:tab w:val="clear" w:pos="357"/>
      </w:tabs>
      <w:outlineLvl w:val="1"/>
    </w:pPr>
    <w:rPr>
      <w:b/>
    </w:rPr>
  </w:style>
  <w:style w:type="paragraph" w:customStyle="1" w:styleId="OpiHi">
    <w:name w:val="Opi_H_i"/>
    <w:basedOn w:val="ECHRHeading4"/>
    <w:uiPriority w:val="44"/>
    <w:qFormat/>
    <w:rsid w:val="002044A2"/>
    <w:pPr>
      <w:ind w:left="1037" w:hanging="357"/>
      <w:outlineLvl w:val="4"/>
    </w:pPr>
    <w:rPr>
      <w:b w:val="0"/>
      <w:i/>
    </w:rPr>
  </w:style>
  <w:style w:type="paragraph" w:customStyle="1" w:styleId="OpiPara">
    <w:name w:val="Opi_Para"/>
    <w:basedOn w:val="ECHRPara"/>
    <w:uiPriority w:val="46"/>
    <w:qFormat/>
    <w:rsid w:val="002044A2"/>
  </w:style>
  <w:style w:type="paragraph" w:customStyle="1" w:styleId="OpiParaSub">
    <w:name w:val="Opi_Para_Sub"/>
    <w:basedOn w:val="JuParaSub"/>
    <w:uiPriority w:val="47"/>
    <w:qFormat/>
    <w:rsid w:val="002044A2"/>
  </w:style>
  <w:style w:type="paragraph" w:customStyle="1" w:styleId="OpiQuot">
    <w:name w:val="Opi_Quot"/>
    <w:basedOn w:val="ECHRParaQuote"/>
    <w:uiPriority w:val="48"/>
    <w:qFormat/>
    <w:rsid w:val="002044A2"/>
  </w:style>
  <w:style w:type="paragraph" w:customStyle="1" w:styleId="OpiQuotSub">
    <w:name w:val="Opi_Quot_Sub"/>
    <w:basedOn w:val="JuQuotSub"/>
    <w:uiPriority w:val="49"/>
    <w:qFormat/>
    <w:rsid w:val="002044A2"/>
  </w:style>
  <w:style w:type="paragraph" w:customStyle="1" w:styleId="OpiTranslation">
    <w:name w:val="Opi_Translation"/>
    <w:basedOn w:val="Normal"/>
    <w:next w:val="OpiPara"/>
    <w:uiPriority w:val="40"/>
    <w:qFormat/>
    <w:rsid w:val="002044A2"/>
    <w:pPr>
      <w:jc w:val="center"/>
      <w:outlineLvl w:val="0"/>
    </w:pPr>
    <w:rPr>
      <w:i/>
    </w:rPr>
  </w:style>
  <w:style w:type="character" w:customStyle="1" w:styleId="ECHRParaChar">
    <w:name w:val="ECHR_Para Char"/>
    <w:aliases w:val="Ju_Para Char"/>
    <w:link w:val="ECHRPara"/>
    <w:uiPriority w:val="12"/>
    <w:rsid w:val="00E727A4"/>
    <w:rPr>
      <w:rFonts w:eastAsiaTheme="minorEastAsia"/>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95291">
      <w:bodyDiv w:val="1"/>
      <w:marLeft w:val="0"/>
      <w:marRight w:val="0"/>
      <w:marTop w:val="0"/>
      <w:marBottom w:val="0"/>
      <w:divBdr>
        <w:top w:val="none" w:sz="0" w:space="0" w:color="auto"/>
        <w:left w:val="none" w:sz="0" w:space="0" w:color="auto"/>
        <w:bottom w:val="none" w:sz="0" w:space="0" w:color="auto"/>
        <w:right w:val="none" w:sz="0" w:space="0" w:color="auto"/>
      </w:divBdr>
      <w:divsChild>
        <w:div w:id="2037002040">
          <w:marLeft w:val="0"/>
          <w:marRight w:val="0"/>
          <w:marTop w:val="0"/>
          <w:marBottom w:val="0"/>
          <w:divBdr>
            <w:top w:val="none" w:sz="0" w:space="0" w:color="auto"/>
            <w:left w:val="none" w:sz="0" w:space="0" w:color="auto"/>
            <w:bottom w:val="none" w:sz="0" w:space="0" w:color="auto"/>
            <w:right w:val="none" w:sz="0" w:space="0" w:color="auto"/>
          </w:divBdr>
          <w:divsChild>
            <w:div w:id="1148547251">
              <w:marLeft w:val="0"/>
              <w:marRight w:val="0"/>
              <w:marTop w:val="0"/>
              <w:marBottom w:val="0"/>
              <w:divBdr>
                <w:top w:val="none" w:sz="0" w:space="0" w:color="auto"/>
                <w:left w:val="none" w:sz="0" w:space="0" w:color="auto"/>
                <w:bottom w:val="none" w:sz="0" w:space="0" w:color="auto"/>
                <w:right w:val="none" w:sz="0" w:space="0" w:color="auto"/>
              </w:divBdr>
              <w:divsChild>
                <w:div w:id="294214767">
                  <w:marLeft w:val="0"/>
                  <w:marRight w:val="0"/>
                  <w:marTop w:val="0"/>
                  <w:marBottom w:val="0"/>
                  <w:divBdr>
                    <w:top w:val="none" w:sz="0" w:space="0" w:color="auto"/>
                    <w:left w:val="none" w:sz="0" w:space="0" w:color="auto"/>
                    <w:bottom w:val="none" w:sz="0" w:space="0" w:color="auto"/>
                    <w:right w:val="none" w:sz="0" w:space="0" w:color="auto"/>
                  </w:divBdr>
                </w:div>
              </w:divsChild>
            </w:div>
            <w:div w:id="785923980">
              <w:marLeft w:val="0"/>
              <w:marRight w:val="0"/>
              <w:marTop w:val="0"/>
              <w:marBottom w:val="0"/>
              <w:divBdr>
                <w:top w:val="none" w:sz="0" w:space="0" w:color="auto"/>
                <w:left w:val="none" w:sz="0" w:space="0" w:color="auto"/>
                <w:bottom w:val="none" w:sz="0" w:space="0" w:color="auto"/>
                <w:right w:val="none" w:sz="0" w:space="0" w:color="auto"/>
              </w:divBdr>
              <w:divsChild>
                <w:div w:id="68544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153721">
      <w:bodyDiv w:val="1"/>
      <w:marLeft w:val="0"/>
      <w:marRight w:val="0"/>
      <w:marTop w:val="0"/>
      <w:marBottom w:val="0"/>
      <w:divBdr>
        <w:top w:val="none" w:sz="0" w:space="0" w:color="auto"/>
        <w:left w:val="none" w:sz="0" w:space="0" w:color="auto"/>
        <w:bottom w:val="none" w:sz="0" w:space="0" w:color="auto"/>
        <w:right w:val="none" w:sz="0" w:space="0" w:color="auto"/>
      </w:divBdr>
      <w:divsChild>
        <w:div w:id="813836225">
          <w:marLeft w:val="0"/>
          <w:marRight w:val="0"/>
          <w:marTop w:val="0"/>
          <w:marBottom w:val="0"/>
          <w:divBdr>
            <w:top w:val="none" w:sz="0" w:space="0" w:color="auto"/>
            <w:left w:val="none" w:sz="0" w:space="0" w:color="auto"/>
            <w:bottom w:val="none" w:sz="0" w:space="0" w:color="auto"/>
            <w:right w:val="none" w:sz="0" w:space="0" w:color="auto"/>
          </w:divBdr>
          <w:divsChild>
            <w:div w:id="1173841111">
              <w:marLeft w:val="0"/>
              <w:marRight w:val="0"/>
              <w:marTop w:val="0"/>
              <w:marBottom w:val="0"/>
              <w:divBdr>
                <w:top w:val="none" w:sz="0" w:space="0" w:color="auto"/>
                <w:left w:val="none" w:sz="0" w:space="0" w:color="auto"/>
                <w:bottom w:val="none" w:sz="0" w:space="0" w:color="auto"/>
                <w:right w:val="none" w:sz="0" w:space="0" w:color="auto"/>
              </w:divBdr>
              <w:divsChild>
                <w:div w:id="1739085138">
                  <w:marLeft w:val="0"/>
                  <w:marRight w:val="0"/>
                  <w:marTop w:val="0"/>
                  <w:marBottom w:val="0"/>
                  <w:divBdr>
                    <w:top w:val="none" w:sz="0" w:space="0" w:color="auto"/>
                    <w:left w:val="none" w:sz="0" w:space="0" w:color="auto"/>
                    <w:bottom w:val="none" w:sz="0" w:space="0" w:color="auto"/>
                    <w:right w:val="none" w:sz="0" w:space="0" w:color="auto"/>
                  </w:divBdr>
                  <w:divsChild>
                    <w:div w:id="765810193">
                      <w:marLeft w:val="0"/>
                      <w:marRight w:val="0"/>
                      <w:marTop w:val="0"/>
                      <w:marBottom w:val="0"/>
                      <w:divBdr>
                        <w:top w:val="none" w:sz="0" w:space="0" w:color="auto"/>
                        <w:left w:val="none" w:sz="0" w:space="0" w:color="auto"/>
                        <w:bottom w:val="none" w:sz="0" w:space="0" w:color="auto"/>
                        <w:right w:val="none" w:sz="0" w:space="0" w:color="auto"/>
                      </w:divBdr>
                      <w:divsChild>
                        <w:div w:id="2005819670">
                          <w:marLeft w:val="0"/>
                          <w:marRight w:val="0"/>
                          <w:marTop w:val="0"/>
                          <w:marBottom w:val="0"/>
                          <w:divBdr>
                            <w:top w:val="none" w:sz="0" w:space="0" w:color="auto"/>
                            <w:left w:val="none" w:sz="0" w:space="0" w:color="auto"/>
                            <w:bottom w:val="none" w:sz="0" w:space="0" w:color="auto"/>
                            <w:right w:val="none" w:sz="0" w:space="0" w:color="auto"/>
                          </w:divBdr>
                          <w:divsChild>
                            <w:div w:id="19478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01400">
      <w:bodyDiv w:val="1"/>
      <w:marLeft w:val="0"/>
      <w:marRight w:val="0"/>
      <w:marTop w:val="0"/>
      <w:marBottom w:val="0"/>
      <w:divBdr>
        <w:top w:val="none" w:sz="0" w:space="0" w:color="auto"/>
        <w:left w:val="none" w:sz="0" w:space="0" w:color="auto"/>
        <w:bottom w:val="none" w:sz="0" w:space="0" w:color="auto"/>
        <w:right w:val="none" w:sz="0" w:space="0" w:color="auto"/>
      </w:divBdr>
    </w:div>
    <w:div w:id="1115176981">
      <w:bodyDiv w:val="1"/>
      <w:marLeft w:val="0"/>
      <w:marRight w:val="0"/>
      <w:marTop w:val="0"/>
      <w:marBottom w:val="0"/>
      <w:divBdr>
        <w:top w:val="none" w:sz="0" w:space="0" w:color="auto"/>
        <w:left w:val="none" w:sz="0" w:space="0" w:color="auto"/>
        <w:bottom w:val="none" w:sz="0" w:space="0" w:color="auto"/>
        <w:right w:val="none" w:sz="0" w:space="0" w:color="auto"/>
      </w:divBdr>
      <w:divsChild>
        <w:div w:id="1274286446">
          <w:marLeft w:val="0"/>
          <w:marRight w:val="0"/>
          <w:marTop w:val="0"/>
          <w:marBottom w:val="0"/>
          <w:divBdr>
            <w:top w:val="none" w:sz="0" w:space="0" w:color="auto"/>
            <w:left w:val="none" w:sz="0" w:space="0" w:color="auto"/>
            <w:bottom w:val="none" w:sz="0" w:space="0" w:color="auto"/>
            <w:right w:val="none" w:sz="0" w:space="0" w:color="auto"/>
          </w:divBdr>
          <w:divsChild>
            <w:div w:id="856847377">
              <w:marLeft w:val="0"/>
              <w:marRight w:val="0"/>
              <w:marTop w:val="0"/>
              <w:marBottom w:val="0"/>
              <w:divBdr>
                <w:top w:val="none" w:sz="0" w:space="0" w:color="auto"/>
                <w:left w:val="none" w:sz="0" w:space="0" w:color="auto"/>
                <w:bottom w:val="none" w:sz="0" w:space="0" w:color="auto"/>
                <w:right w:val="none" w:sz="0" w:space="0" w:color="auto"/>
              </w:divBdr>
              <w:divsChild>
                <w:div w:id="1145396388">
                  <w:marLeft w:val="0"/>
                  <w:marRight w:val="0"/>
                  <w:marTop w:val="0"/>
                  <w:marBottom w:val="0"/>
                  <w:divBdr>
                    <w:top w:val="none" w:sz="0" w:space="0" w:color="auto"/>
                    <w:left w:val="none" w:sz="0" w:space="0" w:color="auto"/>
                    <w:bottom w:val="none" w:sz="0" w:space="0" w:color="auto"/>
                    <w:right w:val="none" w:sz="0" w:space="0" w:color="auto"/>
                  </w:divBdr>
                  <w:divsChild>
                    <w:div w:id="611980695">
                      <w:marLeft w:val="0"/>
                      <w:marRight w:val="0"/>
                      <w:marTop w:val="0"/>
                      <w:marBottom w:val="0"/>
                      <w:divBdr>
                        <w:top w:val="none" w:sz="0" w:space="0" w:color="auto"/>
                        <w:left w:val="none" w:sz="0" w:space="0" w:color="auto"/>
                        <w:bottom w:val="none" w:sz="0" w:space="0" w:color="auto"/>
                        <w:right w:val="none" w:sz="0" w:space="0" w:color="auto"/>
                      </w:divBdr>
                      <w:divsChild>
                        <w:div w:id="247427338">
                          <w:marLeft w:val="0"/>
                          <w:marRight w:val="0"/>
                          <w:marTop w:val="0"/>
                          <w:marBottom w:val="0"/>
                          <w:divBdr>
                            <w:top w:val="none" w:sz="0" w:space="0" w:color="auto"/>
                            <w:left w:val="none" w:sz="0" w:space="0" w:color="auto"/>
                            <w:bottom w:val="none" w:sz="0" w:space="0" w:color="auto"/>
                            <w:right w:val="none" w:sz="0" w:space="0" w:color="auto"/>
                          </w:divBdr>
                          <w:divsChild>
                            <w:div w:id="1527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69942118">
      <w:bodyDiv w:val="1"/>
      <w:marLeft w:val="0"/>
      <w:marRight w:val="0"/>
      <w:marTop w:val="0"/>
      <w:marBottom w:val="0"/>
      <w:divBdr>
        <w:top w:val="none" w:sz="0" w:space="0" w:color="auto"/>
        <w:left w:val="none" w:sz="0" w:space="0" w:color="auto"/>
        <w:bottom w:val="none" w:sz="0" w:space="0" w:color="auto"/>
        <w:right w:val="none" w:sz="0" w:space="0" w:color="auto"/>
      </w:divBdr>
      <w:divsChild>
        <w:div w:id="435290121">
          <w:marLeft w:val="0"/>
          <w:marRight w:val="0"/>
          <w:marTop w:val="0"/>
          <w:marBottom w:val="0"/>
          <w:divBdr>
            <w:top w:val="none" w:sz="0" w:space="0" w:color="auto"/>
            <w:left w:val="none" w:sz="0" w:space="0" w:color="auto"/>
            <w:bottom w:val="none" w:sz="0" w:space="0" w:color="auto"/>
            <w:right w:val="none" w:sz="0" w:space="0" w:color="auto"/>
          </w:divBdr>
          <w:divsChild>
            <w:div w:id="1388531428">
              <w:marLeft w:val="0"/>
              <w:marRight w:val="0"/>
              <w:marTop w:val="0"/>
              <w:marBottom w:val="0"/>
              <w:divBdr>
                <w:top w:val="none" w:sz="0" w:space="0" w:color="auto"/>
                <w:left w:val="none" w:sz="0" w:space="0" w:color="auto"/>
                <w:bottom w:val="none" w:sz="0" w:space="0" w:color="auto"/>
                <w:right w:val="none" w:sz="0" w:space="0" w:color="auto"/>
              </w:divBdr>
              <w:divsChild>
                <w:div w:id="503320592">
                  <w:marLeft w:val="0"/>
                  <w:marRight w:val="0"/>
                  <w:marTop w:val="0"/>
                  <w:marBottom w:val="0"/>
                  <w:divBdr>
                    <w:top w:val="none" w:sz="0" w:space="0" w:color="auto"/>
                    <w:left w:val="none" w:sz="0" w:space="0" w:color="auto"/>
                    <w:bottom w:val="none" w:sz="0" w:space="0" w:color="auto"/>
                    <w:right w:val="none" w:sz="0" w:space="0" w:color="auto"/>
                  </w:divBdr>
                  <w:divsChild>
                    <w:div w:id="1561403148">
                      <w:marLeft w:val="0"/>
                      <w:marRight w:val="0"/>
                      <w:marTop w:val="0"/>
                      <w:marBottom w:val="0"/>
                      <w:divBdr>
                        <w:top w:val="none" w:sz="0" w:space="0" w:color="auto"/>
                        <w:left w:val="none" w:sz="0" w:space="0" w:color="auto"/>
                        <w:bottom w:val="none" w:sz="0" w:space="0" w:color="auto"/>
                        <w:right w:val="none" w:sz="0" w:space="0" w:color="auto"/>
                      </w:divBdr>
                      <w:divsChild>
                        <w:div w:id="367216911">
                          <w:marLeft w:val="0"/>
                          <w:marRight w:val="0"/>
                          <w:marTop w:val="0"/>
                          <w:marBottom w:val="0"/>
                          <w:divBdr>
                            <w:top w:val="none" w:sz="0" w:space="0" w:color="auto"/>
                            <w:left w:val="none" w:sz="0" w:space="0" w:color="auto"/>
                            <w:bottom w:val="none" w:sz="0" w:space="0" w:color="auto"/>
                            <w:right w:val="none" w:sz="0" w:space="0" w:color="auto"/>
                          </w:divBdr>
                          <w:divsChild>
                            <w:div w:id="87819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818380">
      <w:bodyDiv w:val="1"/>
      <w:marLeft w:val="0"/>
      <w:marRight w:val="0"/>
      <w:marTop w:val="0"/>
      <w:marBottom w:val="0"/>
      <w:divBdr>
        <w:top w:val="none" w:sz="0" w:space="0" w:color="auto"/>
        <w:left w:val="none" w:sz="0" w:space="0" w:color="auto"/>
        <w:bottom w:val="none" w:sz="0" w:space="0" w:color="auto"/>
        <w:right w:val="none" w:sz="0" w:space="0" w:color="auto"/>
      </w:divBdr>
      <w:divsChild>
        <w:div w:id="478960572">
          <w:marLeft w:val="0"/>
          <w:marRight w:val="0"/>
          <w:marTop w:val="0"/>
          <w:marBottom w:val="0"/>
          <w:divBdr>
            <w:top w:val="none" w:sz="0" w:space="0" w:color="auto"/>
            <w:left w:val="none" w:sz="0" w:space="0" w:color="auto"/>
            <w:bottom w:val="none" w:sz="0" w:space="0" w:color="auto"/>
            <w:right w:val="none" w:sz="0" w:space="0" w:color="auto"/>
          </w:divBdr>
          <w:divsChild>
            <w:div w:id="671950087">
              <w:marLeft w:val="0"/>
              <w:marRight w:val="0"/>
              <w:marTop w:val="0"/>
              <w:marBottom w:val="0"/>
              <w:divBdr>
                <w:top w:val="none" w:sz="0" w:space="0" w:color="auto"/>
                <w:left w:val="none" w:sz="0" w:space="0" w:color="auto"/>
                <w:bottom w:val="none" w:sz="0" w:space="0" w:color="auto"/>
                <w:right w:val="none" w:sz="0" w:space="0" w:color="auto"/>
              </w:divBdr>
              <w:divsChild>
                <w:div w:id="1205676279">
                  <w:marLeft w:val="0"/>
                  <w:marRight w:val="0"/>
                  <w:marTop w:val="0"/>
                  <w:marBottom w:val="0"/>
                  <w:divBdr>
                    <w:top w:val="none" w:sz="0" w:space="0" w:color="auto"/>
                    <w:left w:val="none" w:sz="0" w:space="0" w:color="auto"/>
                    <w:bottom w:val="none" w:sz="0" w:space="0" w:color="auto"/>
                    <w:right w:val="none" w:sz="0" w:space="0" w:color="auto"/>
                  </w:divBdr>
                  <w:divsChild>
                    <w:div w:id="1758601410">
                      <w:marLeft w:val="0"/>
                      <w:marRight w:val="0"/>
                      <w:marTop w:val="0"/>
                      <w:marBottom w:val="0"/>
                      <w:divBdr>
                        <w:top w:val="none" w:sz="0" w:space="0" w:color="auto"/>
                        <w:left w:val="none" w:sz="0" w:space="0" w:color="auto"/>
                        <w:bottom w:val="none" w:sz="0" w:space="0" w:color="auto"/>
                        <w:right w:val="none" w:sz="0" w:space="0" w:color="auto"/>
                      </w:divBdr>
                      <w:divsChild>
                        <w:div w:id="1178229515">
                          <w:marLeft w:val="0"/>
                          <w:marRight w:val="0"/>
                          <w:marTop w:val="0"/>
                          <w:marBottom w:val="0"/>
                          <w:divBdr>
                            <w:top w:val="none" w:sz="0" w:space="0" w:color="auto"/>
                            <w:left w:val="none" w:sz="0" w:space="0" w:color="auto"/>
                            <w:bottom w:val="none" w:sz="0" w:space="0" w:color="auto"/>
                            <w:right w:val="none" w:sz="0" w:space="0" w:color="auto"/>
                          </w:divBdr>
                          <w:divsChild>
                            <w:div w:id="15982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15402">
      <w:bodyDiv w:val="1"/>
      <w:marLeft w:val="0"/>
      <w:marRight w:val="0"/>
      <w:marTop w:val="0"/>
      <w:marBottom w:val="0"/>
      <w:divBdr>
        <w:top w:val="none" w:sz="0" w:space="0" w:color="auto"/>
        <w:left w:val="none" w:sz="0" w:space="0" w:color="auto"/>
        <w:bottom w:val="none" w:sz="0" w:space="0" w:color="auto"/>
        <w:right w:val="none" w:sz="0" w:space="0" w:color="auto"/>
      </w:divBdr>
      <w:divsChild>
        <w:div w:id="589236351">
          <w:marLeft w:val="0"/>
          <w:marRight w:val="0"/>
          <w:marTop w:val="0"/>
          <w:marBottom w:val="0"/>
          <w:divBdr>
            <w:top w:val="none" w:sz="0" w:space="0" w:color="auto"/>
            <w:left w:val="none" w:sz="0" w:space="0" w:color="auto"/>
            <w:bottom w:val="none" w:sz="0" w:space="0" w:color="auto"/>
            <w:right w:val="none" w:sz="0" w:space="0" w:color="auto"/>
          </w:divBdr>
          <w:divsChild>
            <w:div w:id="1847406765">
              <w:marLeft w:val="0"/>
              <w:marRight w:val="0"/>
              <w:marTop w:val="0"/>
              <w:marBottom w:val="0"/>
              <w:divBdr>
                <w:top w:val="none" w:sz="0" w:space="0" w:color="auto"/>
                <w:left w:val="none" w:sz="0" w:space="0" w:color="auto"/>
                <w:bottom w:val="none" w:sz="0" w:space="0" w:color="auto"/>
                <w:right w:val="none" w:sz="0" w:space="0" w:color="auto"/>
              </w:divBdr>
              <w:divsChild>
                <w:div w:id="538661069">
                  <w:marLeft w:val="0"/>
                  <w:marRight w:val="0"/>
                  <w:marTop w:val="0"/>
                  <w:marBottom w:val="0"/>
                  <w:divBdr>
                    <w:top w:val="none" w:sz="0" w:space="0" w:color="auto"/>
                    <w:left w:val="none" w:sz="0" w:space="0" w:color="auto"/>
                    <w:bottom w:val="none" w:sz="0" w:space="0" w:color="auto"/>
                    <w:right w:val="none" w:sz="0" w:space="0" w:color="auto"/>
                  </w:divBdr>
                </w:div>
              </w:divsChild>
            </w:div>
            <w:div w:id="1818061022">
              <w:marLeft w:val="0"/>
              <w:marRight w:val="0"/>
              <w:marTop w:val="0"/>
              <w:marBottom w:val="0"/>
              <w:divBdr>
                <w:top w:val="none" w:sz="0" w:space="0" w:color="auto"/>
                <w:left w:val="none" w:sz="0" w:space="0" w:color="auto"/>
                <w:bottom w:val="none" w:sz="0" w:space="0" w:color="auto"/>
                <w:right w:val="none" w:sz="0" w:space="0" w:color="auto"/>
              </w:divBdr>
              <w:divsChild>
                <w:div w:id="184493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29C36-8FCD-474E-BEE6-186B413BE6CE}">
  <ds:schemaRefs>
    <ds:schemaRef ds:uri="http://schemas.microsoft.com/sharepoint/v3/contenttype/forms"/>
  </ds:schemaRefs>
</ds:datastoreItem>
</file>

<file path=customXml/itemProps2.xml><?xml version="1.0" encoding="utf-8"?>
<ds:datastoreItem xmlns:ds="http://schemas.openxmlformats.org/officeDocument/2006/customXml" ds:itemID="{B75D2A05-3F5E-4D9C-9AB9-FE9C18527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F85FF30-72A6-4CB2-B2C6-451FDE000C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9A6BD4-0629-47C6-B986-C79664AFD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4908</Words>
  <Characters>28471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cp:lastPrinted>2018-03-29T14:05:00Z</cp:lastPrinted>
  <dcterms:created xsi:type="dcterms:W3CDTF">2024-04-03T07:53:00Z</dcterms:created>
  <dcterms:modified xsi:type="dcterms:W3CDTF">2024-05-13T14:29:00Z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30502/05</vt:lpwstr>
  </property>
  <property fmtid="{D5CDD505-2E9C-101B-9397-08002B2CF9AE}" pid="4" name="CASEID">
    <vt:lpwstr>360738</vt:lpwstr>
  </property>
  <property fmtid="{D5CDD505-2E9C-101B-9397-08002B2CF9AE}" pid="5" name="ContentTypeId">
    <vt:lpwstr>0x010100558EB02BDB9E204AB350EDD385B68E10</vt:lpwstr>
  </property>
</Properties>
</file>