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E95" w:rsidRDefault="00805E95" w:rsidP="00C914FA">
      <w:pPr>
        <w:jc w:val="center"/>
        <w:rPr>
          <w:rFonts w:asciiTheme="majorHAnsi" w:hAnsiTheme="majorHAnsi"/>
          <w:sz w:val="28"/>
        </w:rPr>
      </w:pPr>
    </w:p>
    <w:p w:rsidR="00805E95" w:rsidRDefault="00805E95" w:rsidP="00C914FA">
      <w:pPr>
        <w:jc w:val="center"/>
        <w:rPr>
          <w:rFonts w:asciiTheme="majorHAnsi" w:hAnsiTheme="majorHAnsi"/>
          <w:sz w:val="28"/>
        </w:rPr>
      </w:pPr>
    </w:p>
    <w:p w:rsidR="00805E95" w:rsidRDefault="00805E95" w:rsidP="00C914FA">
      <w:pPr>
        <w:jc w:val="center"/>
        <w:rPr>
          <w:rFonts w:asciiTheme="majorHAnsi" w:hAnsiTheme="majorHAnsi"/>
          <w:sz w:val="28"/>
        </w:rPr>
      </w:pPr>
    </w:p>
    <w:p w:rsidR="00805E95" w:rsidRDefault="00805E95" w:rsidP="00C914FA">
      <w:pPr>
        <w:jc w:val="center"/>
        <w:rPr>
          <w:rFonts w:asciiTheme="majorHAnsi" w:hAnsiTheme="majorHAnsi"/>
          <w:sz w:val="28"/>
        </w:rPr>
      </w:pPr>
    </w:p>
    <w:p w:rsidR="00805E95" w:rsidRDefault="00805E95" w:rsidP="00C914FA">
      <w:pPr>
        <w:jc w:val="center"/>
        <w:rPr>
          <w:rFonts w:asciiTheme="majorHAnsi" w:hAnsiTheme="majorHAnsi"/>
          <w:sz w:val="28"/>
        </w:rPr>
      </w:pPr>
    </w:p>
    <w:p w:rsidR="00477C9C" w:rsidRPr="00C914FA" w:rsidRDefault="00C914FA" w:rsidP="00C914FA">
      <w:pPr>
        <w:jc w:val="center"/>
        <w:rPr>
          <w:rFonts w:asciiTheme="majorHAnsi" w:hAnsiTheme="majorHAnsi"/>
          <w:sz w:val="28"/>
        </w:rPr>
      </w:pPr>
      <w:r>
        <w:rPr>
          <w:rFonts w:asciiTheme="majorHAnsi" w:hAnsiTheme="majorHAnsi"/>
          <w:sz w:val="28"/>
        </w:rPr>
        <w:t>CURTEA EUROPEANĂ A DREPTURILOR OMULUI</w:t>
      </w:r>
    </w:p>
    <w:p w:rsidR="0098410D" w:rsidRPr="008D3431" w:rsidRDefault="0098410D" w:rsidP="008D3431">
      <w:pPr>
        <w:jc w:val="center"/>
      </w:pPr>
    </w:p>
    <w:p w:rsidR="0098410D" w:rsidRPr="008D3431" w:rsidRDefault="00C914FA" w:rsidP="008D3431">
      <w:pPr>
        <w:pStyle w:val="DecHTitle"/>
      </w:pPr>
      <w:r>
        <w:t>SECȚIA A PATRA</w:t>
      </w:r>
    </w:p>
    <w:p w:rsidR="008E6217" w:rsidRPr="008D3431" w:rsidRDefault="00C914FA" w:rsidP="008D3431">
      <w:pPr>
        <w:pStyle w:val="JuTitle"/>
      </w:pPr>
      <w:r>
        <w:rPr>
          <w:color w:val="000000" w:themeColor="text1"/>
        </w:rPr>
        <w:t xml:space="preserve">CAUZA </w:t>
      </w:r>
      <w:r>
        <w:t>UNGUR ÎMPOTRIVA ROMÂNIEI</w:t>
      </w:r>
    </w:p>
    <w:p w:rsidR="00D74888" w:rsidRPr="008D3431" w:rsidRDefault="00C914FA" w:rsidP="008D3431">
      <w:pPr>
        <w:pStyle w:val="ECHRCoverTitle4"/>
      </w:pPr>
      <w:r>
        <w:t>(Cererea nr. 2156/16)</w:t>
      </w:r>
    </w:p>
    <w:p w:rsidR="0098410D" w:rsidRPr="008D3431" w:rsidRDefault="0098410D" w:rsidP="008D3431">
      <w:pPr>
        <w:pStyle w:val="DecHCase"/>
      </w:pPr>
    </w:p>
    <w:p w:rsidR="0098410D" w:rsidRPr="008D3431" w:rsidRDefault="0098410D" w:rsidP="008D3431">
      <w:pPr>
        <w:pStyle w:val="DecHCase"/>
      </w:pPr>
    </w:p>
    <w:p w:rsidR="00AC4CD4" w:rsidRPr="008D3431" w:rsidRDefault="00AC4CD4" w:rsidP="008D3431">
      <w:pPr>
        <w:pStyle w:val="DecHCase"/>
      </w:pPr>
    </w:p>
    <w:p w:rsidR="0098410D" w:rsidRPr="008D3431" w:rsidRDefault="0098410D" w:rsidP="008D3431">
      <w:pPr>
        <w:pStyle w:val="DecHCase"/>
      </w:pPr>
    </w:p>
    <w:p w:rsidR="0098410D" w:rsidRPr="008D3431" w:rsidRDefault="00C914FA" w:rsidP="008D3431">
      <w:pPr>
        <w:pStyle w:val="DecHCase"/>
      </w:pPr>
      <w:r>
        <w:t>HOTĂRÂRE</w:t>
      </w:r>
      <w:r>
        <w:br/>
      </w:r>
    </w:p>
    <w:p w:rsidR="0098410D" w:rsidRPr="008D3431" w:rsidRDefault="00C914FA" w:rsidP="008D3431">
      <w:pPr>
        <w:pStyle w:val="DecHCase"/>
      </w:pPr>
      <w:r>
        <w:t>STRASBOURG</w:t>
      </w:r>
    </w:p>
    <w:p w:rsidR="0098410D" w:rsidRPr="008D3431" w:rsidRDefault="00C914FA" w:rsidP="008D3431">
      <w:pPr>
        <w:pStyle w:val="DecHCase"/>
      </w:pPr>
      <w:r>
        <w:rPr>
          <w:rFonts w:ascii="Times New Roman" w:hAnsi="Times New Roman"/>
        </w:rPr>
        <w:t>12 martie 2024</w:t>
      </w:r>
    </w:p>
    <w:p w:rsidR="00AC4CD4" w:rsidRPr="008D3431" w:rsidRDefault="00AC4CD4" w:rsidP="008D3431">
      <w:pPr>
        <w:pStyle w:val="JuPara"/>
      </w:pPr>
    </w:p>
    <w:p w:rsidR="002422B6" w:rsidRPr="008D3431" w:rsidRDefault="00C914FA" w:rsidP="008D3431">
      <w:pPr>
        <w:rPr>
          <w:i/>
          <w:sz w:val="22"/>
        </w:rPr>
      </w:pPr>
      <w:r>
        <w:rPr>
          <w:i/>
          <w:sz w:val="22"/>
        </w:rPr>
        <w:t>Prezenta hotărâre este definitivă, dar poate suferi modificări de formă.</w:t>
      </w:r>
    </w:p>
    <w:p w:rsidR="0098410D" w:rsidRPr="008D3431" w:rsidRDefault="0098410D" w:rsidP="008D3431">
      <w:pPr>
        <w:sectPr w:rsidR="0098410D" w:rsidRPr="008D3431"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8D3431" w:rsidRDefault="00C914FA" w:rsidP="008D3431">
      <w:pPr>
        <w:pStyle w:val="JuCase"/>
      </w:pPr>
      <w:r>
        <w:lastRenderedPageBreak/>
        <w:t>În cauza Ungur împotriva României,</w:t>
      </w:r>
    </w:p>
    <w:p w:rsidR="009F4C8F" w:rsidRPr="008D3431" w:rsidRDefault="00C914FA" w:rsidP="008D3431">
      <w:pPr>
        <w:pStyle w:val="JuPara"/>
      </w:pPr>
      <w:r>
        <w:t>Curtea Europeană a Drepturilor Omului (Secția a patra), reunită într-o cameră compusă din:</w:t>
      </w:r>
    </w:p>
    <w:p w:rsidR="00A92625" w:rsidRPr="008D3431" w:rsidRDefault="00C914FA" w:rsidP="008D3431">
      <w:pPr>
        <w:pStyle w:val="JuJudges"/>
      </w:pPr>
      <w:r>
        <w:tab/>
        <w:t xml:space="preserve">Tim </w:t>
      </w:r>
      <w:proofErr w:type="spellStart"/>
      <w:r>
        <w:t>Eicke</w:t>
      </w:r>
      <w:proofErr w:type="spellEnd"/>
      <w:r>
        <w:rPr>
          <w:i/>
        </w:rPr>
        <w:t>, președinte</w:t>
      </w:r>
      <w:r>
        <w:t>,</w:t>
      </w:r>
      <w:r>
        <w:br/>
      </w:r>
      <w:r>
        <w:tab/>
      </w:r>
      <w:proofErr w:type="spellStart"/>
      <w:r>
        <w:t>Branko</w:t>
      </w:r>
      <w:proofErr w:type="spellEnd"/>
      <w:r>
        <w:t xml:space="preserve"> </w:t>
      </w:r>
      <w:proofErr w:type="spellStart"/>
      <w:r>
        <w:t>Lubarda</w:t>
      </w:r>
      <w:proofErr w:type="spellEnd"/>
      <w:r>
        <w:t>,</w:t>
      </w:r>
      <w:r>
        <w:br/>
      </w:r>
      <w:r>
        <w:tab/>
        <w:t xml:space="preserve">Ana Maria </w:t>
      </w:r>
      <w:proofErr w:type="spellStart"/>
      <w:r>
        <w:t>Guerra</w:t>
      </w:r>
      <w:proofErr w:type="spellEnd"/>
      <w:r>
        <w:t xml:space="preserve"> </w:t>
      </w:r>
      <w:proofErr w:type="spellStart"/>
      <w:r>
        <w:t>Martins</w:t>
      </w:r>
      <w:proofErr w:type="spellEnd"/>
      <w:r>
        <w:rPr>
          <w:i/>
        </w:rPr>
        <w:t>, judecători</w:t>
      </w:r>
      <w:r>
        <w:t>,</w:t>
      </w:r>
      <w:r>
        <w:br/>
        <w:t xml:space="preserve">și Crina </w:t>
      </w:r>
      <w:proofErr w:type="spellStart"/>
      <w:r>
        <w:t>Kaufman</w:t>
      </w:r>
      <w:proofErr w:type="spellEnd"/>
      <w:r>
        <w:t xml:space="preserve">, </w:t>
      </w:r>
      <w:r>
        <w:rPr>
          <w:i/>
          <w:iCs/>
        </w:rPr>
        <w:t>grefier adjunct interimar de secție</w:t>
      </w:r>
      <w:r>
        <w:rPr>
          <w:i/>
        </w:rPr>
        <w:t>,</w:t>
      </w:r>
    </w:p>
    <w:p w:rsidR="00477C9C" w:rsidRPr="008D3431" w:rsidRDefault="00C914FA" w:rsidP="008D3431">
      <w:pPr>
        <w:pStyle w:val="JuPara"/>
      </w:pPr>
      <w:r>
        <w:t>având în vedere:</w:t>
      </w:r>
    </w:p>
    <w:p w:rsidR="00477C9C" w:rsidRPr="008D3431" w:rsidRDefault="00C914FA" w:rsidP="008D3431">
      <w:pPr>
        <w:pStyle w:val="JuPara"/>
      </w:pPr>
      <w:r>
        <w:t>cererea (nr. 2156/16) îndreptată împotriva României, prin care un resortisant al acestui stat, domnul Lucian-Adrian Ungur, născut în 1972 și care locuia în Bistrița („reclamantul”), reprezentat de domnul R.L.</w:t>
      </w:r>
      <w:r>
        <w:cr/>
      </w:r>
      <w:r>
        <w:br/>
        <w:t xml:space="preserve">Chiriță, avocat în Cluj-Napoca, a sesizat Curtea la 22 decembrie 2015, în temeiul art. 34 din Convenția pentru apărarea drepturilor omului și a libertăților fundamentale („Convenția”); </w:t>
      </w:r>
    </w:p>
    <w:p w:rsidR="00477C9C" w:rsidRPr="008D3431" w:rsidRDefault="00C914FA" w:rsidP="008D3431">
      <w:pPr>
        <w:pStyle w:val="JuPara"/>
      </w:pPr>
      <w:r>
        <w:t>decizia de a comunica prezenta cerere Guvernului României („Guvernul”), reprezentat de agentul guvernamental, doamna O.F. Ezer;</w:t>
      </w:r>
    </w:p>
    <w:p w:rsidR="00477C9C" w:rsidRPr="008D3431" w:rsidRDefault="00C914FA" w:rsidP="008D3431">
      <w:pPr>
        <w:pStyle w:val="JuPara"/>
      </w:pPr>
      <w:r>
        <w:t>observațiile părților;</w:t>
      </w:r>
    </w:p>
    <w:p w:rsidR="009F4C8F" w:rsidRPr="008D3431" w:rsidRDefault="00C914FA" w:rsidP="008D3431">
      <w:pPr>
        <w:pStyle w:val="JuPara"/>
      </w:pPr>
      <w:r>
        <w:t>după ce a deliberat în camera de consiliu, la 20 februarie 2024,</w:t>
      </w:r>
    </w:p>
    <w:p w:rsidR="009F4C8F" w:rsidRPr="008D3431" w:rsidRDefault="00C914FA" w:rsidP="008D3431">
      <w:pPr>
        <w:pStyle w:val="JuPara"/>
      </w:pPr>
      <w:r>
        <w:t>pronunță prezenta hotărâre, adoptată la aceeași dată:</w:t>
      </w:r>
    </w:p>
    <w:p w:rsidR="00477C9C" w:rsidRPr="008D3431" w:rsidRDefault="00C914FA" w:rsidP="008D3431">
      <w:pPr>
        <w:pStyle w:val="JuHHead"/>
        <w:numPr>
          <w:ilvl w:val="0"/>
          <w:numId w:val="0"/>
        </w:numPr>
      </w:pPr>
      <w:r>
        <w:t>OBIECTUL CAUZEI</w:t>
      </w:r>
    </w:p>
    <w:p w:rsidR="00477C9C" w:rsidRPr="008D3431" w:rsidRDefault="00C914FA" w:rsidP="008D3431">
      <w:pPr>
        <w:pStyle w:val="JuPara"/>
      </w:pPr>
      <w:fldSimple w:instr=" SEQ level0 \*arabic ">
        <w:r w:rsidR="008D3431" w:rsidRPr="008D3431">
          <w:t>1</w:t>
        </w:r>
      </w:fldSimple>
      <w:r>
        <w:t>.  Cauza privește acuzația că instanțele naționale nu au acordat protecție reputației reclamantului împotriva atacurilor din media online.</w:t>
      </w:r>
    </w:p>
    <w:bookmarkStart w:id="0" w:name="para2"/>
    <w:p w:rsidR="00477C9C" w:rsidRPr="008D3431" w:rsidRDefault="00C914FA" w:rsidP="008D3431">
      <w:pPr>
        <w:pStyle w:val="JuPara"/>
      </w:pPr>
      <w:r w:rsidRPr="008D3431">
        <w:fldChar w:fldCharType="begin"/>
      </w:r>
      <w:r w:rsidRPr="008D3431">
        <w:instrText xml:space="preserve"> SEQ level0 \*arabic \* MERGEFORMAT </w:instrText>
      </w:r>
      <w:r w:rsidRPr="008D3431">
        <w:fldChar w:fldCharType="separate"/>
      </w:r>
      <w:r w:rsidR="008D3431" w:rsidRPr="008D3431">
        <w:t>2</w:t>
      </w:r>
      <w:r w:rsidRPr="008D3431">
        <w:fldChar w:fldCharType="end"/>
      </w:r>
      <w:bookmarkEnd w:id="0"/>
      <w:r>
        <w:t xml:space="preserve">.  La 24 ianuarie 2012 reclamantul, un bine-cunoscut om de afaceri și filantrop în oraș, a formulat o plângere penală împotriva C.A., directoarea publicației online </w:t>
      </w:r>
      <w:r>
        <w:rPr>
          <w:i/>
        </w:rPr>
        <w:t>Bistrițeanul.ro</w:t>
      </w:r>
      <w:r>
        <w:t>, în care o acuza de șantaj. Susținea că o fundație pe care o conducea procurase</w:t>
      </w:r>
      <w:r>
        <w:rPr>
          <w:i/>
        </w:rPr>
        <w:t xml:space="preserve"> </w:t>
      </w:r>
      <w:r>
        <w:t>în trecut spațiu publicitar de la publicația condusă de C.A. Ca urmare a încetării acestei achiziții, C.A. ar fi recurs la șantaj pentru a-l constrânge să continue achiziționarea de publicitate, iar în caz contrar să se confrunte cu perspectiva apariției unor articole nefavorabile în publicație. Conform reclamantului, parchetul care coordonase investigația l-a informat că probele în favoarea celor susținute erau insuficiente. Prin urmare, reclamantul a decis să se întâlnească cu C.A. și să înregistreze audio dialogul dintre ei pentru a strânge probe în sprijinul plângerii sale penale. Cu toate acestea, potrivit reclamantului, se pare că C.A. a perceput propunerea sa ca fiind un truc și a trimis un jurnalist la întâlnire, care a înregistrat dialogul cu el.</w:t>
      </w:r>
    </w:p>
    <w:p w:rsidR="00477C9C" w:rsidRPr="008D3431" w:rsidRDefault="00C914FA" w:rsidP="008D3431">
      <w:pPr>
        <w:pStyle w:val="JuPara"/>
      </w:pPr>
      <w:fldSimple w:instr=" SEQ level0 \*arabic \* MERGEFORMAT ">
        <w:r w:rsidRPr="008D3431">
          <w:t>3</w:t>
        </w:r>
      </w:fldSimple>
      <w:r>
        <w:t xml:space="preserve">.  La 27 ianuarie 2012 </w:t>
      </w:r>
      <w:r>
        <w:rPr>
          <w:i/>
        </w:rPr>
        <w:t>Bistrițeanul.ro</w:t>
      </w:r>
      <w:r>
        <w:t xml:space="preserve"> a publicat un editorial al C.A., cu titlul </w:t>
      </w:r>
      <w:proofErr w:type="spellStart"/>
      <w:r>
        <w:rPr>
          <w:i/>
        </w:rPr>
        <w:t>Unguru</w:t>
      </w:r>
      <w:proofErr w:type="spellEnd"/>
      <w:r>
        <w:rPr>
          <w:i/>
        </w:rPr>
        <w:t xml:space="preserve"> Bulan </w:t>
      </w:r>
      <w:r>
        <w:t xml:space="preserve">[o referire ambiguă la numele reclamantului] </w:t>
      </w:r>
      <w:r>
        <w:rPr>
          <w:i/>
        </w:rPr>
        <w:t>vrea să ne cumpere tăcerea</w:t>
      </w:r>
      <w:r>
        <w:t xml:space="preserve">. În editorial se arăta faptul că reclamantul, care candida la postul de primar al Bistriței, răspândea zvonuri că </w:t>
      </w:r>
      <w:r>
        <w:rPr>
          <w:i/>
        </w:rPr>
        <w:t>Bistrițeanul.ro</w:t>
      </w:r>
      <w:r>
        <w:t xml:space="preserve"> era singura publicație care îi crea o imagine negativă în presă de când nu mai procurase </w:t>
      </w:r>
      <w:r>
        <w:lastRenderedPageBreak/>
        <w:t>spațiu publicitar în aceasta. Reclamantul a decis să rezolve problema apropiindu-se de un jurnalist al publicației și propunându-i bani în schimbul tăcerii. Nu știa că jurnalistul înregistrase conversația. Editorialul continua sugerând că reclamantul era o persoană lipsită de moralitate și implicată în comportamente criticabile care credea că orice și oricine erau de vânzare. În special, editorialul cuprindea următoarele afirmații:</w:t>
      </w:r>
    </w:p>
    <w:p w:rsidR="00477C9C" w:rsidRPr="008D3431" w:rsidRDefault="00C914FA" w:rsidP="008D3431">
      <w:pPr>
        <w:pStyle w:val="JuQuot"/>
      </w:pPr>
      <w:r>
        <w:rPr>
          <w:i/>
        </w:rPr>
        <w:t>„Este omul care a încercat să cumpere prin metode similare autorizații de construcții de la Primăria Bistrița, după ce a construit fără acte.”</w:t>
      </w:r>
      <w:r>
        <w:t xml:space="preserve"> </w:t>
      </w:r>
    </w:p>
    <w:p w:rsidR="00477C9C" w:rsidRPr="008D3431" w:rsidRDefault="00C914FA" w:rsidP="008D3431">
      <w:pPr>
        <w:pStyle w:val="JuQuot"/>
      </w:pPr>
      <w:r>
        <w:t>„</w:t>
      </w:r>
      <w:r>
        <w:rPr>
          <w:i/>
        </w:rPr>
        <w:t>Este omul care vrea să ajungă primar pentru a rade serviciul urbanism tocmai pentru că nu a acceptat șpăgile lui și nu i-a dat autorizații de construcții când și cum a vrut el.”</w:t>
      </w:r>
      <w:r>
        <w:t xml:space="preserve"> </w:t>
      </w:r>
    </w:p>
    <w:p w:rsidR="00477C9C" w:rsidRPr="008D3431" w:rsidRDefault="00C914FA" w:rsidP="008D3431">
      <w:pPr>
        <w:pStyle w:val="JuQuot"/>
      </w:pPr>
      <w:r>
        <w:rPr>
          <w:i/>
        </w:rPr>
        <w:t>„Este omul care a luat din ajutoarele sinistraților din Vișeu pentru a-și face campanie la Bistrița.”</w:t>
      </w:r>
      <w:r>
        <w:t xml:space="preserve"> </w:t>
      </w:r>
    </w:p>
    <w:p w:rsidR="00477C9C" w:rsidRPr="008D3431" w:rsidRDefault="00C914FA" w:rsidP="008D3431">
      <w:pPr>
        <w:pStyle w:val="JuPara"/>
      </w:pPr>
      <w:fldSimple w:instr=" SEQ level0 \*arabic \* MERGEFORMAT ">
        <w:r w:rsidRPr="008D3431">
          <w:t>4</w:t>
        </w:r>
      </w:fldSimple>
      <w:r>
        <w:t xml:space="preserve">.  La o dată neprecizată, reclamantul a inițiat o acțiune împotriva C.A. și a publicației, pentru calomnie susținând, </w:t>
      </w:r>
      <w:r>
        <w:rPr>
          <w:i/>
        </w:rPr>
        <w:t>inter alia</w:t>
      </w:r>
      <w:r>
        <w:t>, că acele trei fraze îl defăimau deoarece conțineau acuzațiile false că ar fi săvârșit două infracțiuni, anume luare de mită și furt. A susținut și că pârâții acționaseră cu rea-credință și lansaseră o campanie de calomniere împotriva lui. Reclamantul a menționat ca exemplu de rea-credință din partea lor faptul că publicația ștersese toate comentariile pozitive despre el din articolul publicat pe pagina sa web și blocase adresele IP ale utilizatorilor care postaseră aceste comentarii, păstrând doar comentariile neutre sau negative, inclusiv cele în care se cere asasinarea lui.</w:t>
      </w:r>
    </w:p>
    <w:p w:rsidR="00477C9C" w:rsidRPr="008D3431" w:rsidRDefault="00C914FA" w:rsidP="008D3431">
      <w:pPr>
        <w:pStyle w:val="JuPara"/>
      </w:pPr>
      <w:fldSimple w:instr=" SEQ level0 \*arabic \* MERGEFORMAT ">
        <w:r w:rsidRPr="008D3431">
          <w:t>5</w:t>
        </w:r>
      </w:fldSimple>
      <w:r>
        <w:t>.  În hotărârea din 18 noiembrie 2014, Judecătoria Bistrița a admis în parte acțiunea reclamantului, stabilind că articolul era calomniator.</w:t>
      </w:r>
    </w:p>
    <w:p w:rsidR="00477C9C" w:rsidRPr="008D3431" w:rsidRDefault="00C914FA" w:rsidP="008D3431">
      <w:pPr>
        <w:pStyle w:val="JuPara"/>
      </w:pPr>
      <w:fldSimple w:instr=" SEQ level0 \*arabic \* MERGEFORMAT ">
        <w:r w:rsidRPr="008D3431">
          <w:t>6</w:t>
        </w:r>
      </w:fldSimple>
      <w:r>
        <w:t>.  La 1 aprilie 2015, Tribunalul Bistrița-Năsăud a anulat hotărârea de mai sus și a respins acțiunea reclamantului.</w:t>
      </w:r>
    </w:p>
    <w:bookmarkStart w:id="1" w:name="para7"/>
    <w:p w:rsidR="00477C9C" w:rsidRPr="008D3431" w:rsidRDefault="00C914FA" w:rsidP="008D3431">
      <w:pPr>
        <w:pStyle w:val="JuPara"/>
      </w:pPr>
      <w:r w:rsidRPr="008D3431">
        <w:fldChar w:fldCharType="begin"/>
      </w:r>
      <w:r w:rsidRPr="008D3431">
        <w:instrText xml:space="preserve"> SEQ level0 \*arabic \* MERGEFORMAT </w:instrText>
      </w:r>
      <w:r w:rsidRPr="008D3431">
        <w:fldChar w:fldCharType="separate"/>
      </w:r>
      <w:r w:rsidR="008D3431" w:rsidRPr="008D3431">
        <w:t>7</w:t>
      </w:r>
      <w:r w:rsidRPr="008D3431">
        <w:fldChar w:fldCharType="end"/>
      </w:r>
      <w:bookmarkEnd w:id="1"/>
      <w:r>
        <w:t xml:space="preserve">.  În ceea ce privește prima frază contestată (a se vedea supra, pct. </w:t>
      </w:r>
      <w:r w:rsidRPr="008D3431">
        <w:rPr>
          <w:rFonts w:eastAsia="Times New Roman"/>
        </w:rPr>
        <w:fldChar w:fldCharType="begin"/>
      </w:r>
      <w:r w:rsidRPr="008D3431">
        <w:rPr>
          <w:rFonts w:eastAsia="Times New Roman"/>
        </w:rPr>
        <w:instrText xml:space="preserve"> REF para2 \h </w:instrText>
      </w:r>
      <w:r w:rsidRPr="008D3431">
        <w:rPr>
          <w:rFonts w:eastAsia="Times New Roman"/>
        </w:rPr>
      </w:r>
      <w:r w:rsidRPr="008D3431">
        <w:rPr>
          <w:rFonts w:eastAsia="Times New Roman"/>
        </w:rPr>
        <w:fldChar w:fldCharType="separate"/>
      </w:r>
      <w:r w:rsidR="008D3431" w:rsidRPr="008D3431">
        <w:t>2</w:t>
      </w:r>
      <w:r w:rsidRPr="008D3431">
        <w:rPr>
          <w:rFonts w:eastAsia="Times New Roman"/>
        </w:rPr>
        <w:fldChar w:fldCharType="end"/>
      </w:r>
      <w:r>
        <w:t>), instanța a considerat că fusese scrisă într-un context special: cu o zi înainte, reclamantul încercase să plătească ziarului pentru a evita relatări negative în presă, iar presa raportase anterior despre construcția sa fără autorizațiile cerute. Instanța a mai reținut că reclamantul admisese într-un rând că a fost sancționat pentru construire fără autorizație.</w:t>
      </w:r>
    </w:p>
    <w:bookmarkStart w:id="2" w:name="para8"/>
    <w:p w:rsidR="00477C9C" w:rsidRPr="008D3431" w:rsidRDefault="00C914FA" w:rsidP="008D3431">
      <w:pPr>
        <w:pStyle w:val="JuPara"/>
      </w:pPr>
      <w:r w:rsidRPr="008D3431">
        <w:fldChar w:fldCharType="begin"/>
      </w:r>
      <w:r w:rsidRPr="008D3431">
        <w:instrText xml:space="preserve"> SEQ level0 \*arabic \* MERGEFORMAT </w:instrText>
      </w:r>
      <w:r w:rsidRPr="008D3431">
        <w:fldChar w:fldCharType="separate"/>
      </w:r>
      <w:r w:rsidR="008D3431" w:rsidRPr="008D3431">
        <w:t>8</w:t>
      </w:r>
      <w:r w:rsidRPr="008D3431">
        <w:fldChar w:fldCharType="end"/>
      </w:r>
      <w:bookmarkEnd w:id="2"/>
      <w:r>
        <w:t xml:space="preserve">.  Cu privire la cea de-a doua frază incriminată (a se vedea supra, pct. </w:t>
      </w:r>
      <w:r w:rsidRPr="008D3431">
        <w:rPr>
          <w:rFonts w:eastAsia="Times New Roman"/>
        </w:rPr>
        <w:fldChar w:fldCharType="begin"/>
      </w:r>
      <w:r w:rsidRPr="008D3431">
        <w:rPr>
          <w:rFonts w:eastAsia="Times New Roman"/>
        </w:rPr>
        <w:instrText xml:space="preserve"> REF para2 \h </w:instrText>
      </w:r>
      <w:r w:rsidRPr="008D3431">
        <w:rPr>
          <w:rFonts w:eastAsia="Times New Roman"/>
        </w:rPr>
      </w:r>
      <w:r w:rsidRPr="008D3431">
        <w:rPr>
          <w:rFonts w:eastAsia="Times New Roman"/>
        </w:rPr>
        <w:fldChar w:fldCharType="separate"/>
      </w:r>
      <w:r w:rsidR="008D3431" w:rsidRPr="008D3431">
        <w:t>2</w:t>
      </w:r>
      <w:r w:rsidRPr="008D3431">
        <w:rPr>
          <w:rFonts w:eastAsia="Times New Roman"/>
        </w:rPr>
        <w:fldChar w:fldCharType="end"/>
      </w:r>
      <w:r>
        <w:t>), instanța s-a bazat pe declarația pârâților, în conformitate cu care însuși reclamantul declarase către presă în 2010 că primarul și arhitectul șef „</w:t>
      </w:r>
      <w:r>
        <w:rPr>
          <w:i/>
        </w:rPr>
        <w:t>m-au ușurat de</w:t>
      </w:r>
      <w:r>
        <w:t xml:space="preserve">” un teren de 700 metri pătrați valorând 175 000 EUR înainte de a-i emite o </w:t>
      </w:r>
      <w:r>
        <w:rPr>
          <w:i/>
        </w:rPr>
        <w:t>notă de constatare</w:t>
      </w:r>
      <w:r>
        <w:t xml:space="preserve">. Reclamantul a făcut această declarație în contextul anunțului că a depus plângere penală împotriva primarului și a arhitectului șef, afirmând că a fost șantajat. Instanța a considerat că reclamantul recunoscuse astfel că a cedat terenul, deși constrâns, în schimbul unui document. Cu privire la termenul „mită” folosit de autoarea editorialului, instanța a concluzionat că acesta era o exagerare „artistică” a jurnalistei pârâte </w:t>
      </w:r>
      <w:r>
        <w:lastRenderedPageBreak/>
        <w:t>și nu o afirmație calomnioasă. Instanța a reținut că o asemenea exprimare exagerată era acceptabilă în contextul libertății jurnalistice.</w:t>
      </w:r>
    </w:p>
    <w:bookmarkStart w:id="3" w:name="para9"/>
    <w:p w:rsidR="00477C9C" w:rsidRPr="008D3431" w:rsidRDefault="00C914FA" w:rsidP="008D3431">
      <w:pPr>
        <w:pStyle w:val="JuPara"/>
        <w:rPr>
          <w:rFonts w:eastAsia="Times New Roman"/>
        </w:rPr>
      </w:pPr>
      <w:r w:rsidRPr="008D3431">
        <w:fldChar w:fldCharType="begin"/>
      </w:r>
      <w:r w:rsidRPr="008D3431">
        <w:instrText xml:space="preserve"> SEQ level0 \*arabic \* MERGEFORMAT </w:instrText>
      </w:r>
      <w:r w:rsidRPr="008D3431">
        <w:fldChar w:fldCharType="separate"/>
      </w:r>
      <w:r w:rsidR="008D3431" w:rsidRPr="008D3431">
        <w:t>9</w:t>
      </w:r>
      <w:r w:rsidRPr="008D3431">
        <w:fldChar w:fldCharType="end"/>
      </w:r>
      <w:bookmarkEnd w:id="3"/>
      <w:r>
        <w:t xml:space="preserve">.  În sfârșit, cu privire la cea de a treia frază în litigiu (a se vedea supra, pct. </w:t>
      </w:r>
      <w:r w:rsidRPr="008D3431">
        <w:rPr>
          <w:rFonts w:eastAsia="Times New Roman"/>
        </w:rPr>
        <w:fldChar w:fldCharType="begin"/>
      </w:r>
      <w:r w:rsidRPr="008D3431">
        <w:rPr>
          <w:rFonts w:eastAsia="Times New Roman"/>
        </w:rPr>
        <w:instrText xml:space="preserve"> REF para2 \h </w:instrText>
      </w:r>
      <w:r w:rsidRPr="008D3431">
        <w:rPr>
          <w:rFonts w:eastAsia="Times New Roman"/>
        </w:rPr>
      </w:r>
      <w:r w:rsidRPr="008D3431">
        <w:rPr>
          <w:rFonts w:eastAsia="Times New Roman"/>
        </w:rPr>
        <w:fldChar w:fldCharType="separate"/>
      </w:r>
      <w:r w:rsidR="008D3431" w:rsidRPr="008D3431">
        <w:t>2</w:t>
      </w:r>
      <w:r w:rsidRPr="008D3431">
        <w:rPr>
          <w:rFonts w:eastAsia="Times New Roman"/>
        </w:rPr>
        <w:fldChar w:fldCharType="end"/>
      </w:r>
      <w:r>
        <w:t>), instanța s-a bazat pe declarațiile unui martor, angajat în cadrul publicației inculpate și subordonat față de C.A. Martorul a declarat că, pe durata inundației din 2008, bunurile colectate pentru ajutorarea victimelor au fost depozitate într-un apartament aparținând reclamantului. Existau la acel moment zvonuri că unele din aceste bunuri nu au ajuns niciodată la victimele inundației.</w:t>
      </w:r>
    </w:p>
    <w:p w:rsidR="00477C9C" w:rsidRPr="008D3431" w:rsidRDefault="00C914FA" w:rsidP="008D3431">
      <w:pPr>
        <w:pStyle w:val="JuPara"/>
      </w:pPr>
      <w:fldSimple w:instr=" SEQ level0 \*arabic \* MERGEFORMAT ">
        <w:r w:rsidRPr="008D3431">
          <w:t>10</w:t>
        </w:r>
      </w:fldSimple>
      <w:r>
        <w:t>.  Instanța a concluzionat că, în calitate de persoană publică care intenționa să candideze pentru funcția de primar, reclamantul era supus unei game largi de critică acceptabilă. Pe de altă parte, instanța a reținut că pârâții erau membri ai presei și că relatau pe o chestiune de interes public. În continuare, instanța a constatat că toate frazele în litigiu conțineau afirmații de fapt și că pârâții au acționat cu bună-credință și că au avut o bază de fapt rezonabilă pentru declarațiile lor. Instanța a reținut că limbajul folosit de pârâți nu a depășit limitele exagerării și ale provocării permise de art. 10 din Convenție și că reclamantul nu dovedise că editorialul în litigiu i-a cauzat un prejudiciu.</w:t>
      </w:r>
    </w:p>
    <w:p w:rsidR="00477C9C" w:rsidRPr="008D3431" w:rsidRDefault="00C914FA" w:rsidP="008D3431">
      <w:pPr>
        <w:pStyle w:val="JuPara"/>
      </w:pPr>
      <w:fldSimple w:instr=" SEQ level0 \*arabic \* MERGEFORMAT ">
        <w:r w:rsidRPr="008D3431">
          <w:t>11</w:t>
        </w:r>
      </w:fldSimple>
      <w:r>
        <w:t>.  Reclamantul a formulat un recurs împotriva hotărârii de mai sus și a susținut că instanța tratase declarațiile în litigiu drept judecăți de valoare mai degrabă decât ca fiind o expunere a situației de fapt. A susținut că scopul urmărit de C.A. nu fusese să comunice informații de interes public, ci să-l slăbească pe el și că pârâții nu probaseră veracitatea acuzațiilor cuprinse în frazele în litigiu.</w:t>
      </w:r>
    </w:p>
    <w:p w:rsidR="00477C9C" w:rsidRPr="008D3431" w:rsidRDefault="00C914FA" w:rsidP="008D3431">
      <w:pPr>
        <w:pStyle w:val="JuPara"/>
      </w:pPr>
      <w:fldSimple w:instr=" SEQ level0 \*arabic \* MERGEFORMAT ">
        <w:r w:rsidRPr="008D3431">
          <w:t>12</w:t>
        </w:r>
      </w:fldSimple>
      <w:r>
        <w:t>.  La 26 iunie 2015, Tribunalul Cluj a respins ca nefondat recursul formulat de reclamant și a menținut hotărârea tribunalului.</w:t>
      </w:r>
    </w:p>
    <w:p w:rsidR="00477C9C" w:rsidRPr="008D3431" w:rsidRDefault="00C914FA" w:rsidP="008D3431">
      <w:pPr>
        <w:pStyle w:val="JuHHead"/>
      </w:pPr>
      <w:r>
        <w:t>MOTIVAREA CURȚII</w:t>
      </w:r>
    </w:p>
    <w:p w:rsidR="00477C9C" w:rsidRPr="008D3431" w:rsidRDefault="00C914FA" w:rsidP="008D3431">
      <w:pPr>
        <w:pStyle w:val="JuHIRoman"/>
        <w:numPr>
          <w:ilvl w:val="0"/>
          <w:numId w:val="0"/>
        </w:numPr>
      </w:pPr>
      <w:r>
        <w:t>CU PRIVIRE LA PRETINSA ÎNCĂLCARE A ART. 8 DIN CONVENȚIE</w:t>
      </w:r>
    </w:p>
    <w:p w:rsidR="00477C9C" w:rsidRPr="008D3431" w:rsidRDefault="00C914FA" w:rsidP="008D3431">
      <w:pPr>
        <w:pStyle w:val="JuPara"/>
      </w:pPr>
      <w:fldSimple w:instr=" SEQ level0 \*arabic ">
        <w:r w:rsidR="008D3431" w:rsidRPr="008D3431">
          <w:t>13</w:t>
        </w:r>
      </w:fldSimple>
      <w:r>
        <w:t>.  Curtea constată că acest capăt de cerere nu este în mod vădit nefondat în sensul art. 35 § 3 lit. a) din Convenție și nu prezintă niciun alt motiv de inadmisibilitate. Prin urmare, este necesar să fie declarat admisibil.</w:t>
      </w:r>
    </w:p>
    <w:p w:rsidR="00477C9C" w:rsidRPr="008D3431" w:rsidRDefault="00C914FA" w:rsidP="008D3431">
      <w:pPr>
        <w:pStyle w:val="JuPara"/>
      </w:pPr>
      <w:fldSimple w:instr=" SEQ level0 \*arabic ">
        <w:r w:rsidR="008D3431" w:rsidRPr="008D3431">
          <w:t>14</w:t>
        </w:r>
      </w:fldSimple>
      <w:r>
        <w:t xml:space="preserve">.  Principiile generale privind protecția asigurată de art. 8 dreptului la reputație ca parte a dreptului la respectarea vieții private au fost rezumate în </w:t>
      </w:r>
      <w:r>
        <w:rPr>
          <w:i/>
        </w:rPr>
        <w:t>Von Hannover împotriva Germaniei (nr. 2)</w:t>
      </w:r>
      <w:r>
        <w:t xml:space="preserve"> (MC), nr. 40660/08 și 60641/08, pct. 95-99, CEDO 2012, </w:t>
      </w:r>
      <w:r>
        <w:rPr>
          <w:i/>
          <w:iCs/>
        </w:rPr>
        <w:t>Axel Springer AG împotriva Germaniei</w:t>
      </w:r>
      <w:r>
        <w:t xml:space="preserve"> (MC), nr. 39954/08, pct. 82-84, 7 februarie 2012, și </w:t>
      </w:r>
      <w:r>
        <w:rPr>
          <w:i/>
        </w:rPr>
        <w:t>Pfeifer împotriva Austriei</w:t>
      </w:r>
      <w:r>
        <w:t>, nr. 12556/0</w:t>
      </w:r>
      <w:r w:rsidR="00ED79D3">
        <w:t xml:space="preserve">3, pct. 35, 15 noiembrie 2007. </w:t>
      </w:r>
      <w:bookmarkStart w:id="4" w:name="_GoBack"/>
      <w:bookmarkEnd w:id="4"/>
      <w:r>
        <w:t xml:space="preserve">În cauzele având ca obiect denunțarea unei conduite infracționale, Curtea a ținut seama că, în temeiul art. 6 § 2 din Convenție, persoanele aveau dreptul de a fi prezumate nevinovate până ce vinovăția va fi legal stabilită (a se vedea, printre alte </w:t>
      </w:r>
      <w:r>
        <w:lastRenderedPageBreak/>
        <w:t xml:space="preserve">autorități, </w:t>
      </w:r>
      <w:proofErr w:type="spellStart"/>
      <w:r>
        <w:rPr>
          <w:i/>
        </w:rPr>
        <w:t>Worm</w:t>
      </w:r>
      <w:proofErr w:type="spellEnd"/>
      <w:r>
        <w:rPr>
          <w:i/>
        </w:rPr>
        <w:t xml:space="preserve"> împotriva Austriei</w:t>
      </w:r>
      <w:r>
        <w:t xml:space="preserve">, 29 august 1997, pct. 50, </w:t>
      </w:r>
      <w:r>
        <w:rPr>
          <w:i/>
          <w:iCs/>
        </w:rPr>
        <w:t>Culegere de hotărâri și decizii</w:t>
      </w:r>
      <w:r>
        <w:t xml:space="preserve"> 1997</w:t>
      </w:r>
      <w:r>
        <w:noBreakHyphen/>
        <w:t xml:space="preserve">V; și </w:t>
      </w:r>
      <w:r>
        <w:rPr>
          <w:i/>
        </w:rPr>
        <w:t xml:space="preserve">Du Roy și </w:t>
      </w:r>
      <w:proofErr w:type="spellStart"/>
      <w:r>
        <w:rPr>
          <w:i/>
        </w:rPr>
        <w:t>Malaurie</w:t>
      </w:r>
      <w:proofErr w:type="spellEnd"/>
      <w:r>
        <w:rPr>
          <w:i/>
        </w:rPr>
        <w:t xml:space="preserve"> împotriva Franței</w:t>
      </w:r>
      <w:r>
        <w:t>, nr. 34000/96, pct. 34, CEDO 2000-X).</w:t>
      </w:r>
    </w:p>
    <w:p w:rsidR="00477C9C" w:rsidRPr="008D3431" w:rsidRDefault="00C914FA" w:rsidP="008D3431">
      <w:pPr>
        <w:pStyle w:val="JuPara"/>
      </w:pPr>
      <w:fldSimple w:instr=" SEQ level0 \*arabic \* MERGEFORMAT ">
        <w:r w:rsidRPr="008D3431">
          <w:t>15</w:t>
        </w:r>
      </w:fldSimple>
      <w:r>
        <w:t xml:space="preserve">.  Trebuie făcută cu atenție deosebirea dintre, pe de o parte, declarații de fapt și, pe de altă parte, judecăți de valoare. Cu toate că existența faptelor poate fi demonstrată, adevărul judecăților de valoare nu poate fi dovedit (a se vedea, </w:t>
      </w:r>
      <w:proofErr w:type="spellStart"/>
      <w:r>
        <w:rPr>
          <w:i/>
        </w:rPr>
        <w:t>Lingens</w:t>
      </w:r>
      <w:proofErr w:type="spellEnd"/>
      <w:r>
        <w:rPr>
          <w:i/>
        </w:rPr>
        <w:t xml:space="preserve"> împotriva Austriei</w:t>
      </w:r>
      <w:r>
        <w:t xml:space="preserve">, 8 iulie 1986, pct. 46, Seria A nr. 103; </w:t>
      </w:r>
      <w:proofErr w:type="spellStart"/>
      <w:r>
        <w:rPr>
          <w:i/>
        </w:rPr>
        <w:t>Erla</w:t>
      </w:r>
      <w:proofErr w:type="spellEnd"/>
      <w:r>
        <w:rPr>
          <w:i/>
        </w:rPr>
        <w:t xml:space="preserve"> </w:t>
      </w:r>
      <w:proofErr w:type="spellStart"/>
      <w:r>
        <w:rPr>
          <w:i/>
        </w:rPr>
        <w:t>Hlynsdόttir</w:t>
      </w:r>
      <w:proofErr w:type="spellEnd"/>
      <w:r>
        <w:rPr>
          <w:i/>
        </w:rPr>
        <w:t xml:space="preserve"> împotriva Islandei (nr.</w:t>
      </w:r>
      <w:r>
        <w:t xml:space="preserve"> 2), nr. 54125/10, pct. 66, 21 octombrie 2014).</w:t>
      </w:r>
    </w:p>
    <w:p w:rsidR="00477C9C" w:rsidRPr="008D3431" w:rsidRDefault="00C914FA" w:rsidP="008D3431">
      <w:pPr>
        <w:pStyle w:val="JuPara"/>
      </w:pPr>
      <w:fldSimple w:instr=" SEQ level0 \*arabic \* MERGEFORMAT ">
        <w:r w:rsidRPr="008D3431">
          <w:t>16</w:t>
        </w:r>
      </w:fldSimple>
      <w:r>
        <w:t>.  Deși recunoaște discreția de care se bucură presa în alegerea metodelor de relatare jurnalistică, în evaluarea</w:t>
      </w:r>
      <w:r>
        <w:rPr>
          <w:rFonts w:ascii="TimesNewRomanPSMT" w:hAnsi="TimesNewRomanPSMT"/>
        </w:rPr>
        <w:t xml:space="preserve">  proporționalității unei ingerințe, Curtea a ținut seama de faptul dacă raportarea știrilor în discuție era obiectivă și echilibrată, inclusiv dacă țintei criticii i se acordase posibilitatea să comenteze sau dreptul la replică [a se vedea </w:t>
      </w:r>
      <w:proofErr w:type="spellStart"/>
      <w:r>
        <w:rPr>
          <w:rFonts w:ascii="TimesNewRomanPS-ItalicMT" w:hAnsi="TimesNewRomanPS-ItalicMT"/>
          <w:i/>
        </w:rPr>
        <w:t>Bladet</w:t>
      </w:r>
      <w:proofErr w:type="spellEnd"/>
      <w:r>
        <w:rPr>
          <w:rFonts w:ascii="TimesNewRomanPS-ItalicMT" w:hAnsi="TimesNewRomanPS-ItalicMT"/>
          <w:i/>
        </w:rPr>
        <w:t xml:space="preserve"> </w:t>
      </w:r>
      <w:proofErr w:type="spellStart"/>
      <w:r>
        <w:rPr>
          <w:rFonts w:ascii="TimesNewRomanPS-ItalicMT" w:hAnsi="TimesNewRomanPS-ItalicMT"/>
          <w:i/>
        </w:rPr>
        <w:t>Tromsø</w:t>
      </w:r>
      <w:proofErr w:type="spellEnd"/>
      <w:r>
        <w:rPr>
          <w:rFonts w:ascii="TimesNewRomanPS-ItalicMT" w:hAnsi="TimesNewRomanPS-ItalicMT"/>
          <w:i/>
        </w:rPr>
        <w:t xml:space="preserve"> și </w:t>
      </w:r>
      <w:proofErr w:type="spellStart"/>
      <w:r>
        <w:rPr>
          <w:rFonts w:ascii="TimesNewRomanPS-ItalicMT" w:hAnsi="TimesNewRomanPS-ItalicMT"/>
          <w:i/>
        </w:rPr>
        <w:t>Stensaas</w:t>
      </w:r>
      <w:proofErr w:type="spellEnd"/>
      <w:r>
        <w:rPr>
          <w:rFonts w:ascii="TimesNewRomanPS-ItalicMT" w:hAnsi="TimesNewRomanPS-ItalicMT"/>
          <w:i/>
        </w:rPr>
        <w:t xml:space="preserve"> împotriva Norvegiei </w:t>
      </w:r>
      <w:r>
        <w:rPr>
          <w:rFonts w:ascii="TimesNewRomanPSMT" w:hAnsi="TimesNewRomanPSMT"/>
        </w:rPr>
        <w:t xml:space="preserve">(MC), nr. 21980/93, CEDO 1999-III; </w:t>
      </w:r>
      <w:proofErr w:type="spellStart"/>
      <w:r>
        <w:rPr>
          <w:rFonts w:ascii="TimesNewRomanPSMT" w:hAnsi="TimesNewRomanPSMT"/>
          <w:i/>
        </w:rPr>
        <w:t>Bergens</w:t>
      </w:r>
      <w:proofErr w:type="spellEnd"/>
      <w:r>
        <w:rPr>
          <w:rFonts w:ascii="TimesNewRomanPSMT" w:hAnsi="TimesNewRomanPSMT"/>
          <w:i/>
        </w:rPr>
        <w:t xml:space="preserve"> </w:t>
      </w:r>
      <w:proofErr w:type="spellStart"/>
      <w:r>
        <w:rPr>
          <w:rFonts w:ascii="TimesNewRomanPSMT" w:hAnsi="TimesNewRomanPSMT"/>
          <w:i/>
        </w:rPr>
        <w:t>Tidende</w:t>
      </w:r>
      <w:proofErr w:type="spellEnd"/>
      <w:r>
        <w:rPr>
          <w:rFonts w:ascii="TimesNewRomanPSMT" w:hAnsi="TimesNewRomanPSMT"/>
        </w:rPr>
        <w:t xml:space="preserve"> </w:t>
      </w:r>
      <w:r>
        <w:rPr>
          <w:rFonts w:ascii="TimesNewRomanPS-ItalicMT" w:hAnsi="TimesNewRomanPS-ItalicMT"/>
          <w:i/>
        </w:rPr>
        <w:t>și alții împotriva Norvegiei</w:t>
      </w:r>
      <w:r>
        <w:rPr>
          <w:rFonts w:ascii="TimesNewRomanPSMT" w:hAnsi="TimesNewRomanPSMT"/>
        </w:rPr>
        <w:t>, nr. 26132/95, CEDO 2000</w:t>
      </w:r>
      <w:r>
        <w:rPr>
          <w:rFonts w:ascii="TimesNewRomanPSMT" w:hAnsi="TimesNewRomanPSMT"/>
        </w:rPr>
        <w:noBreakHyphen/>
        <w:t xml:space="preserve">IV; </w:t>
      </w:r>
      <w:proofErr w:type="spellStart"/>
      <w:r>
        <w:rPr>
          <w:rFonts w:ascii="TimesNewRomanPS-ItalicMT" w:hAnsi="TimesNewRomanPS-ItalicMT"/>
          <w:i/>
        </w:rPr>
        <w:t>Selistö</w:t>
      </w:r>
      <w:proofErr w:type="spellEnd"/>
      <w:r>
        <w:rPr>
          <w:rFonts w:ascii="TimesNewRomanPS-ItalicMT" w:hAnsi="TimesNewRomanPS-ItalicMT"/>
          <w:i/>
        </w:rPr>
        <w:t xml:space="preserve"> împotriva Finlandei</w:t>
      </w:r>
      <w:r>
        <w:rPr>
          <w:rFonts w:ascii="TimesNewRomanPSMT" w:hAnsi="TimesNewRomanPSMT"/>
        </w:rPr>
        <w:t>, nr. 56767/00, 16 noiembrie 2004].</w:t>
      </w:r>
    </w:p>
    <w:p w:rsidR="00477C9C" w:rsidRPr="008D3431" w:rsidRDefault="008D3431" w:rsidP="008D3431">
      <w:pPr>
        <w:pStyle w:val="JuPara"/>
      </w:pPr>
      <w:r w:rsidRPr="008D3431">
        <w:fldChar w:fldCharType="begin"/>
      </w:r>
      <w:r w:rsidR="00C914FA">
        <w:instrText xml:space="preserve"> SEQ level0 \*arabic \* MERGEFORMAT </w:instrText>
      </w:r>
      <w:r w:rsidRPr="008D3431">
        <w:fldChar w:fldCharType="separate"/>
      </w:r>
      <w:r w:rsidRPr="008D3431">
        <w:t>17</w:t>
      </w:r>
      <w:r w:rsidRPr="008D3431">
        <w:fldChar w:fldCharType="end"/>
      </w:r>
      <w:r>
        <w:t>.  Referitor la faptele din prezenta cauză, Curtea reține că acuzații din procedura internă au afirmat explicit în prima și în cea de-a doua frază în litigiu că reclamantul încercase să mituiască autoritățile pentru a obține autorizații de construcție. În cea de-a treia frază în litigiu, reclamantul era acuzat de însușirea pe nedrept a bunurilor care aparțineau altora. Această conduită atribuită reclamantului corespunde infracțiunilor prevăzute în art. 290 și 228 din Codul penal. Prin urmare, acuzațiile împotriva reclamantului erau suficient de grave pentru a avea un impact negativ asupra reputației sale și pentru a-l expune disprețului public.</w:t>
      </w:r>
    </w:p>
    <w:p w:rsidR="00477C9C" w:rsidRPr="008D3431" w:rsidRDefault="00C914FA" w:rsidP="008D3431">
      <w:pPr>
        <w:pStyle w:val="JuPara"/>
      </w:pPr>
      <w:fldSimple w:instr=" SEQ level0 \*arabic \* MERGEFORMAT ">
        <w:r w:rsidRPr="008D3431">
          <w:t>18</w:t>
        </w:r>
      </w:fldSimple>
      <w:r>
        <w:t>.  Curtea este de acord cu evaluarea instanțelor naționale că editorialul în litigiu abordase o chestiune de interes public, având în vedere mai ales candidatura declarată a reclamantului la alegerile locale iminente. De asemenea, este de acord cu instanțele naționale în privința protecției speciale de care beneficiază pârâții care reprezintă media. Cu toate acestea, libertatea de exprimare aduce cu sine „îndatoriri și responsabilități” care se aplică și mediei, chiar și în privința problemelor de mare interes public (</w:t>
      </w:r>
      <w:proofErr w:type="spellStart"/>
      <w:r>
        <w:rPr>
          <w:i/>
        </w:rPr>
        <w:t>Erla</w:t>
      </w:r>
      <w:proofErr w:type="spellEnd"/>
      <w:r>
        <w:rPr>
          <w:i/>
        </w:rPr>
        <w:t xml:space="preserve"> </w:t>
      </w:r>
      <w:proofErr w:type="spellStart"/>
      <w:r>
        <w:rPr>
          <w:i/>
        </w:rPr>
        <w:t>Hlynsdόttir</w:t>
      </w:r>
      <w:proofErr w:type="spellEnd"/>
      <w:r>
        <w:t xml:space="preserve">, citată anterior, pct. 62). Aceste „îndatoriri și responsabilități” au relevanță atunci când este vorba de problema atacării reputației unei anumite persoane și de încălcarea „drepturilor altora”. Astfel, se impun motive speciale înainte ca mass-media să poată fi scutită de la obligația sa obișnuită de a verifica declarațiile de fapt prin care sunt calomniate persoane particulare. Dacă există astfel de motive depinde de natura și de gravitatea calomniei în cauză și de măsura în care media își consideră în mod rezonabil sursele ca fiind de încredere în ceea ce privește afirmațiile respective [a se vedea, printre altele, </w:t>
      </w:r>
      <w:bookmarkStart w:id="5" w:name="_cl22277"/>
      <w:proofErr w:type="spellStart"/>
      <w:r>
        <w:rPr>
          <w:i/>
        </w:rPr>
        <w:t>Björk</w:t>
      </w:r>
      <w:proofErr w:type="spellEnd"/>
      <w:r>
        <w:rPr>
          <w:i/>
        </w:rPr>
        <w:t xml:space="preserve"> </w:t>
      </w:r>
      <w:proofErr w:type="spellStart"/>
      <w:r>
        <w:rPr>
          <w:i/>
        </w:rPr>
        <w:t>Eiðsdóttir</w:t>
      </w:r>
      <w:proofErr w:type="spellEnd"/>
      <w:r>
        <w:rPr>
          <w:i/>
        </w:rPr>
        <w:t xml:space="preserve"> împotriva Islandei</w:t>
      </w:r>
      <w:bookmarkEnd w:id="5"/>
      <w:r>
        <w:t xml:space="preserve">, nr. 46443/09, pct. 70, 10 iulie 2012; </w:t>
      </w:r>
      <w:bookmarkStart w:id="6" w:name="_cl31592"/>
      <w:proofErr w:type="spellStart"/>
      <w:r>
        <w:rPr>
          <w:i/>
        </w:rPr>
        <w:t>McVicar</w:t>
      </w:r>
      <w:proofErr w:type="spellEnd"/>
      <w:r>
        <w:rPr>
          <w:i/>
        </w:rPr>
        <w:t xml:space="preserve"> împotriva Regatului Unit</w:t>
      </w:r>
      <w:bookmarkEnd w:id="6"/>
      <w:r>
        <w:t xml:space="preserve">, nr. 46311/99, pct. 84, CEDO 2002-III; </w:t>
      </w:r>
      <w:proofErr w:type="spellStart"/>
      <w:r>
        <w:rPr>
          <w:i/>
        </w:rPr>
        <w:t>Bladet</w:t>
      </w:r>
      <w:proofErr w:type="spellEnd"/>
      <w:r>
        <w:rPr>
          <w:i/>
        </w:rPr>
        <w:t xml:space="preserve"> </w:t>
      </w:r>
      <w:proofErr w:type="spellStart"/>
      <w:r>
        <w:rPr>
          <w:i/>
        </w:rPr>
        <w:t>Tromso</w:t>
      </w:r>
      <w:proofErr w:type="spellEnd"/>
      <w:r>
        <w:rPr>
          <w:i/>
        </w:rPr>
        <w:t xml:space="preserve"> și </w:t>
      </w:r>
      <w:proofErr w:type="spellStart"/>
      <w:r>
        <w:rPr>
          <w:i/>
        </w:rPr>
        <w:t>Stensaas</w:t>
      </w:r>
      <w:proofErr w:type="spellEnd"/>
      <w:r>
        <w:t>, citată anterior, pct. 66; și</w:t>
      </w:r>
      <w:bookmarkStart w:id="7" w:name="_cl33901"/>
      <w:r>
        <w:rPr>
          <w:rFonts w:ascii="Times New Roman" w:hAnsi="Times New Roman"/>
          <w:i/>
        </w:rPr>
        <w:t xml:space="preserve"> </w:t>
      </w:r>
      <w:proofErr w:type="spellStart"/>
      <w:r>
        <w:rPr>
          <w:i/>
        </w:rPr>
        <w:lastRenderedPageBreak/>
        <w:t>Pedersen</w:t>
      </w:r>
      <w:proofErr w:type="spellEnd"/>
      <w:r>
        <w:rPr>
          <w:i/>
        </w:rPr>
        <w:t xml:space="preserve"> și </w:t>
      </w:r>
      <w:proofErr w:type="spellStart"/>
      <w:r>
        <w:rPr>
          <w:i/>
        </w:rPr>
        <w:t>Baadsgaard</w:t>
      </w:r>
      <w:proofErr w:type="spellEnd"/>
      <w:r>
        <w:rPr>
          <w:i/>
        </w:rPr>
        <w:t xml:space="preserve"> împotriva Danemarce</w:t>
      </w:r>
      <w:bookmarkEnd w:id="7"/>
      <w:r>
        <w:rPr>
          <w:i/>
        </w:rPr>
        <w:t>i</w:t>
      </w:r>
      <w:r>
        <w:t xml:space="preserve"> (MC), nr. 49017/99, pct. 78, CEDO 2004-XI].</w:t>
      </w:r>
    </w:p>
    <w:bookmarkStart w:id="8" w:name="cl25334"/>
    <w:p w:rsidR="00477C9C" w:rsidRPr="008D3431" w:rsidRDefault="00C914FA" w:rsidP="008D3431">
      <w:pPr>
        <w:pStyle w:val="JuPara"/>
      </w:pPr>
      <w:r w:rsidRPr="008D3431">
        <w:fldChar w:fldCharType="begin"/>
      </w:r>
      <w:r w:rsidRPr="008D3431">
        <w:instrText xml:space="preserve"> SEQ level0 \*arabic \* MERGEFORMAT </w:instrText>
      </w:r>
      <w:r w:rsidRPr="008D3431">
        <w:fldChar w:fldCharType="separate"/>
      </w:r>
      <w:r w:rsidR="008D3431" w:rsidRPr="008D3431">
        <w:t>19</w:t>
      </w:r>
      <w:r w:rsidRPr="008D3431">
        <w:fldChar w:fldCharType="end"/>
      </w:r>
      <w:bookmarkEnd w:id="8"/>
      <w:r>
        <w:t xml:space="preserve">.  Instanțele interne au încadrat declarațiile în litigiu drept o expunere a situației de fapt și au constatat că se întemeiau pe fapte adevărate. Curtea este de acord cu clasificarea făcută de instanțele interne și reamintește jurisprudența sa precedentă în conformitate cu care, atunci când își exercită funcția de supraveghere, sarcina Curții nu este de a înlocui instanțele naționale, ci mai degrabă de a verifica, având în vedere cauza în ansamblu, dacă deciziile pe care instanțele le-au adoptat în temeiul competenței lor de apreciere erau compatibile cu dispozițiile relevante ale Convenției pe care s-au bazat (a se vedea, în special, expunerea principiilor relevante în </w:t>
      </w:r>
      <w:proofErr w:type="spellStart"/>
      <w:r>
        <w:rPr>
          <w:i/>
        </w:rPr>
        <w:t>Perinçek</w:t>
      </w:r>
      <w:proofErr w:type="spellEnd"/>
      <w:r>
        <w:rPr>
          <w:i/>
        </w:rPr>
        <w:t xml:space="preserve"> împotriva Elveției </w:t>
      </w:r>
      <w:r>
        <w:t>(MC), nr. 27510/08, pct. 198, CEDO 2015 (extrase)]. Atunci când realizarea echilibrului a fost asumată de autoritățile naționale, în conformitate cu criteriile stabilite în jurisprudența Curții, ar fi necesare motive întemeiate pentru ca aceasta să substituie punctul de vedere al instanțelor naționale cu punctul său de vedere [a se vedea </w:t>
      </w:r>
      <w:proofErr w:type="spellStart"/>
      <w:r>
        <w:rPr>
          <w:i/>
        </w:rPr>
        <w:t>Perinçek</w:t>
      </w:r>
      <w:proofErr w:type="spellEnd"/>
      <w:r>
        <w:t>, citată anterior, pct. 198; și </w:t>
      </w:r>
      <w:r>
        <w:rPr>
          <w:i/>
        </w:rPr>
        <w:t>Von Hannover (nr. 2)</w:t>
      </w:r>
      <w:r>
        <w:t>, citată anterior, pct. 107].</w:t>
      </w:r>
    </w:p>
    <w:p w:rsidR="00477C9C" w:rsidRPr="008D3431" w:rsidRDefault="00C914FA" w:rsidP="008D3431">
      <w:pPr>
        <w:pStyle w:val="JuPara"/>
      </w:pPr>
      <w:fldSimple w:instr=" SEQ level0 \*arabic \* MERGEFORMAT ">
        <w:r w:rsidRPr="008D3431">
          <w:t>20</w:t>
        </w:r>
      </w:fldSimple>
      <w:r>
        <w:t xml:space="preserve">.  Curtea observă în primul rând că tribunalul a considerat ca probă a tentativei reclamantului de mituire, argumentul pârâților conform căruia acesta fusese anterior penalizat pentru construirea fără autorizație, coroborat cu speculațiile pârâților că, deoarece reclamantul încercase să ofere bani publicației pârâte pentru articole media pozitive, acesta ar fi putut proceda la fel și cu autoritățile pentru a obține autorizații de construcție (a se vedea supra, pct. </w:t>
      </w:r>
      <w:r w:rsidRPr="008D3431">
        <w:fldChar w:fldCharType="begin"/>
      </w:r>
      <w:r w:rsidRPr="008D3431">
        <w:instrText xml:space="preserve"> REF para7 \h </w:instrText>
      </w:r>
      <w:r w:rsidRPr="008D3431">
        <w:fldChar w:fldCharType="separate"/>
      </w:r>
      <w:r w:rsidRPr="008D3431">
        <w:t>7</w:t>
      </w:r>
      <w:r w:rsidRPr="008D3431">
        <w:fldChar w:fldCharType="end"/>
      </w:r>
      <w:r>
        <w:t xml:space="preserve">). Tribunalul a acceptat ca dovadă a aceleiași conduite și afirmația pârâților despre un șantaj în care era implicat reclamantul (a se vedea supra, pct. </w:t>
      </w:r>
      <w:r w:rsidRPr="008D3431">
        <w:fldChar w:fldCharType="begin"/>
      </w:r>
      <w:r w:rsidRPr="008D3431">
        <w:instrText xml:space="preserve"> REF para8 \h </w:instrText>
      </w:r>
      <w:r w:rsidRPr="008D3431">
        <w:fldChar w:fldCharType="separate"/>
      </w:r>
      <w:r w:rsidRPr="008D3431">
        <w:t>8</w:t>
      </w:r>
      <w:r w:rsidRPr="008D3431">
        <w:fldChar w:fldCharType="end"/>
      </w:r>
      <w:r>
        <w:t>) și a considerat că termenul „mită”, folosit de jurnalista pârâtă, era o exagerare artistică acceptabilă în contextul libertății jurnalistice. Curtea nu poate decât să observe că niciunul din argumentele și speculațiile menționate anterior nu dovedea într-un mod semnificativ afirmația că reclamantul încercase să mituiască autoritățile. Mai mult, Curtea consideră ca fiind neconvingător raționamentul tribunalului conform căruia termenul „mită” folosit în declarația în litigiu nu era decât o exagerare artistică acceptabilă. Aceasta reține că nicio condamnare penală sau chiar acuzație penală nu venea să coroboreze susținerile pârâților și, în lipsa oricărei probe relevante, concluzionează că pârâții nu au reușit să fundamenteze adevărul afirmațiilor lor că reclamantul încercase să mituiască autoritățile cu scopul de a obține autorizații de construcție.</w:t>
      </w:r>
    </w:p>
    <w:p w:rsidR="00477C9C" w:rsidRPr="008D3431" w:rsidRDefault="008D3431" w:rsidP="008D3431">
      <w:pPr>
        <w:pStyle w:val="JuPara"/>
      </w:pPr>
      <w:r w:rsidRPr="008D3431">
        <w:fldChar w:fldCharType="begin"/>
      </w:r>
      <w:r w:rsidR="00C914FA">
        <w:instrText xml:space="preserve"> SEQ level0 \*arabic \* MERGEFORMAT </w:instrText>
      </w:r>
      <w:r w:rsidRPr="008D3431">
        <w:fldChar w:fldCharType="separate"/>
      </w:r>
      <w:r w:rsidRPr="008D3431">
        <w:t>21</w:t>
      </w:r>
      <w:r w:rsidRPr="008D3431">
        <w:fldChar w:fldCharType="end"/>
      </w:r>
      <w:r>
        <w:t xml:space="preserve">.  În al doilea rând, cu privire la acuzația că reclamantul a intrat ilegal în posesia bunurilor din ajutoarele sinistraților, instanța națională a constatat că dovada pârâților se baza pe o declarație a martorului care relata zvonuri că nu toate bunurile colectate pentru ajutorarea sinistraților și depozitate într-un apartament aparținând reclamantului parveniseră acestor beneficiari (a se vedea supra, pct. </w:t>
      </w:r>
      <w:r w:rsidR="00C914FA" w:rsidRPr="008D3431">
        <w:fldChar w:fldCharType="begin"/>
      </w:r>
      <w:r w:rsidR="00C914FA" w:rsidRPr="008D3431">
        <w:instrText xml:space="preserve"> REF para9 \h </w:instrText>
      </w:r>
      <w:r w:rsidR="00C914FA" w:rsidRPr="008D3431">
        <w:fldChar w:fldCharType="separate"/>
      </w:r>
      <w:r w:rsidRPr="008D3431">
        <w:t>9</w:t>
      </w:r>
      <w:r w:rsidR="00C914FA" w:rsidRPr="008D3431">
        <w:fldChar w:fldCharType="end"/>
      </w:r>
      <w:r>
        <w:t xml:space="preserve">). Curtea observă în primul rând că martorul în chestiune era angajat al pârâților. Mai mult, aceasta s-a referit doar la zvonuri pe care </w:t>
      </w:r>
      <w:r>
        <w:lastRenderedPageBreak/>
        <w:t>instanțele naționale nu le-au verificat și nu au fost prezentate alte probe care să poată susține zvonurile. Prin urmare, jurnalista a reprodus conținutul unui zvon neverificat și l-a prezentat ca fiind un adevăr obiectiv. În consecință, Curtea nu este convinsă că pârâții au stabilit adevărul acestei afirmații.</w:t>
      </w:r>
    </w:p>
    <w:p w:rsidR="00477C9C" w:rsidRPr="008D3431" w:rsidRDefault="00C914FA" w:rsidP="008D3431">
      <w:pPr>
        <w:pStyle w:val="JuPara"/>
        <w:rPr>
          <w:rFonts w:ascii="TimesNewRomanPSMT" w:hAnsi="TimesNewRomanPSMT" w:cs="TimesNewRomanPSMT"/>
        </w:rPr>
      </w:pPr>
      <w:fldSimple w:instr=" SEQ level0 \*arabic \* MERGEFORMAT ">
        <w:r w:rsidRPr="008D3431">
          <w:t>22</w:t>
        </w:r>
      </w:fldSimple>
      <w:r>
        <w:t>.  În sfârșit, Curtea reține că pârâții nu i-au oferit reclamantului nici posibilitatea să comenteze, nici dreptul la replică</w:t>
      </w:r>
      <w:r>
        <w:rPr>
          <w:rFonts w:ascii="TimesNewRomanPSMT" w:hAnsi="TimesNewRomanPSMT"/>
        </w:rPr>
        <w:t>. Curtea nu poate ignora istoria discordiei care a existat între reclamant și C.A., mai cu seamă după ce reclamantul formulase o plângere penală împotriva ei. Cronologia și tonul editorialului în litigiu constituie factori care nu pot fi ignorați pentru a stabili dacă exista o legătură între plângerea penală depusă de reclamant împotriva C.A. cu mai multe zile înainte și publicarea editorialului. În mod regretabil, instanțele naționale nu au ținut seama de acest element crucial atunci când au examinat cauza.</w:t>
      </w:r>
    </w:p>
    <w:p w:rsidR="00477C9C" w:rsidRPr="008D3431" w:rsidRDefault="008D3431" w:rsidP="008D3431">
      <w:pPr>
        <w:pStyle w:val="JuPara"/>
      </w:pPr>
      <w:r w:rsidRPr="008D3431">
        <w:fldChar w:fldCharType="begin"/>
      </w:r>
      <w:r w:rsidR="00C914FA">
        <w:instrText xml:space="preserve"> SEQ level0 \*arabic \* MERGEFORMAT </w:instrText>
      </w:r>
      <w:r w:rsidRPr="008D3431">
        <w:fldChar w:fldCharType="separate"/>
      </w:r>
      <w:r w:rsidRPr="008D3431">
        <w:t>23</w:t>
      </w:r>
      <w:r w:rsidRPr="008D3431">
        <w:fldChar w:fldCharType="end"/>
      </w:r>
      <w:r>
        <w:t>.  În concluzie, Curtea consideră că editorialul din 27 ianuarie 2012, formulând asemenea acuzații grave care nu aveau o fundamentare de fapt, și anume că reclamantul încercase să mituiască autoritățile și că își însușise pe nedrept bunuri din ajutoarele sinistraților, a depășit limita acceptabilă a criticii în contextul relatării pe chestiuni de interes general. Curtea constată, de asemenea, că motivele pe care s-au bazat instanțele naționale pentru a proteja dreptul pârâților la libertatea de exprimare erau insuficiente pentru a prevala asupra dreptului reclamantului la respectarea reputației sale. Prin urmare, a fost încălcat art. 8 din Convenție.</w:t>
      </w:r>
    </w:p>
    <w:p w:rsidR="00477C9C" w:rsidRPr="008D3431" w:rsidRDefault="00C914FA" w:rsidP="008D3431">
      <w:pPr>
        <w:pStyle w:val="JuHHead"/>
      </w:pPr>
      <w:r>
        <w:rPr>
          <w:caps w:val="0"/>
        </w:rPr>
        <w:t>CU PRIVIRE LA APLICAREA ART. 41 DIN CONVENȚIE</w:t>
      </w:r>
    </w:p>
    <w:p w:rsidR="00477C9C" w:rsidRPr="008D3431" w:rsidRDefault="00C914FA" w:rsidP="008D3431">
      <w:pPr>
        <w:pStyle w:val="JuPara"/>
      </w:pPr>
      <w:fldSimple w:instr=" SEQ level0 \*arabic ">
        <w:r w:rsidR="008D3431" w:rsidRPr="008D3431">
          <w:t>24</w:t>
        </w:r>
      </w:fldSimple>
      <w:r>
        <w:t>.  Reclamantul a solicitat 12 000 de euro (EUR) cu titlu de despăgubire pentru prejudiciul moral.</w:t>
      </w:r>
    </w:p>
    <w:p w:rsidR="00477C9C" w:rsidRPr="008D3431" w:rsidRDefault="00C914FA" w:rsidP="008D3431">
      <w:pPr>
        <w:pStyle w:val="JuPara"/>
      </w:pPr>
      <w:fldSimple w:instr=" SEQ level0 \*arabic \* MERGEFORMAT ">
        <w:r w:rsidRPr="008D3431">
          <w:t>25</w:t>
        </w:r>
      </w:fldSimple>
      <w:r>
        <w:t>.  Guvernul a contestat suma menționată și a susținut că depășea un nivel rezonabil. A invitat Curtea să se abțină de la a acorda o sumă, sau, în cel mai rău caz, să acorde reclamantului nu mai mult decât 2 000 EUR, sumă acordată de Curte în alte cauze similare citate de Guvern.</w:t>
      </w:r>
    </w:p>
    <w:p w:rsidR="00477C9C" w:rsidRPr="008D3431" w:rsidRDefault="00C914FA" w:rsidP="008D3431">
      <w:pPr>
        <w:pStyle w:val="JuPara"/>
      </w:pPr>
      <w:fldSimple w:instr=" SEQ level0 \*arabic ">
        <w:r w:rsidR="008D3431" w:rsidRPr="008D3431">
          <w:t>26</w:t>
        </w:r>
      </w:fldSimple>
      <w:r>
        <w:t>.  Curtea consideră că, în circumstanțele cauzei, constatarea unei încălcări constituie, în sine, o reparație echitabilă suficientă pentru orice prejudiciu moral suferit de reclamant. Prin urmare, Curtea respinge capătul de cerere al reclamantului în această privință.</w:t>
      </w:r>
    </w:p>
    <w:p w:rsidR="00477C9C" w:rsidRPr="008D3431" w:rsidRDefault="00C914FA" w:rsidP="008D3431">
      <w:pPr>
        <w:pStyle w:val="JuHHead"/>
      </w:pPr>
      <w:r>
        <w:t>PENTRU ACESTE MOTIVE, CURTEA, ÎN UNANIMITATE,</w:t>
      </w:r>
    </w:p>
    <w:p w:rsidR="00477C9C" w:rsidRPr="008D3431" w:rsidRDefault="00C914FA" w:rsidP="008D3431">
      <w:pPr>
        <w:pStyle w:val="JuList"/>
      </w:pPr>
      <w:r>
        <w:rPr>
          <w:i/>
          <w:iCs/>
        </w:rPr>
        <w:t>Declară</w:t>
      </w:r>
      <w:r>
        <w:t xml:space="preserve"> cererea admisibilă;</w:t>
      </w:r>
    </w:p>
    <w:p w:rsidR="00477C9C" w:rsidRPr="008D3431" w:rsidRDefault="00C914FA" w:rsidP="008D3431">
      <w:pPr>
        <w:pStyle w:val="JuList"/>
      </w:pPr>
      <w:r>
        <w:rPr>
          <w:i/>
        </w:rPr>
        <w:t>Hotărăște</w:t>
      </w:r>
      <w:r>
        <w:t xml:space="preserve"> că a fost încălcat art. 8 din Convenție;</w:t>
      </w:r>
    </w:p>
    <w:p w:rsidR="00477C9C" w:rsidRPr="008D3431" w:rsidRDefault="00C914FA" w:rsidP="008D3431">
      <w:pPr>
        <w:pStyle w:val="JuList"/>
      </w:pPr>
      <w:r>
        <w:rPr>
          <w:i/>
          <w:iCs/>
        </w:rPr>
        <w:t>Hotărăște</w:t>
      </w:r>
      <w:r>
        <w:t xml:space="preserve"> că o constatare a unei încălcări constituie o reparație echitabilă pentru prejudiciul moral suferit de reclamant;</w:t>
      </w:r>
    </w:p>
    <w:p w:rsidR="004D0EC7" w:rsidRPr="008D3431" w:rsidRDefault="00C914FA" w:rsidP="008D3431">
      <w:pPr>
        <w:pStyle w:val="JuList"/>
      </w:pPr>
      <w:r>
        <w:rPr>
          <w:i/>
        </w:rPr>
        <w:lastRenderedPageBreak/>
        <w:t xml:space="preserve">Respinge </w:t>
      </w:r>
      <w:r>
        <w:t>cererea reclamantului de acordare a unei reparații echitabile.</w:t>
      </w:r>
    </w:p>
    <w:p w:rsidR="008E3A08" w:rsidRPr="008D3431" w:rsidRDefault="00C914FA" w:rsidP="008D3431">
      <w:pPr>
        <w:pStyle w:val="JuParaLast"/>
      </w:pPr>
      <w:r>
        <w:t>Redactată în limba engleză și comunicată în scris la 12 martie 2024, în conformitate cu art. 77 § 2 și art. 77 § 3 din Regulamentul Curții.</w:t>
      </w:r>
    </w:p>
    <w:p w:rsidR="007E79A4" w:rsidRPr="008D3431" w:rsidRDefault="00C914FA" w:rsidP="008D3431">
      <w:pPr>
        <w:pStyle w:val="ECHRPlaceholder"/>
        <w:rPr>
          <w:szCs w:val="22"/>
        </w:rPr>
      </w:pPr>
      <w:r>
        <w:tab/>
      </w:r>
    </w:p>
    <w:p w:rsidR="007E79A4" w:rsidRPr="008D3431" w:rsidRDefault="00C914FA" w:rsidP="008D3431">
      <w:pPr>
        <w:pStyle w:val="JuSigned"/>
      </w:pPr>
      <w:r>
        <w:tab/>
        <w:t xml:space="preserve">Crina </w:t>
      </w:r>
      <w:proofErr w:type="spellStart"/>
      <w:r>
        <w:t>Kaufman</w:t>
      </w:r>
      <w:proofErr w:type="spellEnd"/>
      <w:r>
        <w:tab/>
        <w:t xml:space="preserve">Tim </w:t>
      </w:r>
      <w:proofErr w:type="spellStart"/>
      <w:r>
        <w:t>Eicke</w:t>
      </w:r>
      <w:proofErr w:type="spellEnd"/>
      <w:r>
        <w:br/>
      </w:r>
      <w:r>
        <w:tab/>
        <w:t>Grefier adjunct interimar</w:t>
      </w:r>
      <w:r>
        <w:tab/>
        <w:t>Președinte</w:t>
      </w:r>
    </w:p>
    <w:sectPr w:rsidR="007E79A4" w:rsidRPr="008D3431"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55C" w:rsidRDefault="00C914FA">
      <w:r>
        <w:separator/>
      </w:r>
    </w:p>
  </w:endnote>
  <w:endnote w:type="continuationSeparator" w:id="0">
    <w:p w:rsidR="00C5755C" w:rsidRDefault="00C91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C9C" w:rsidRPr="00150BFA" w:rsidRDefault="00C914FA" w:rsidP="0020718E">
    <w:pPr>
      <w:jc w:val="center"/>
    </w:pPr>
    <w:r>
      <w:rPr>
        <w:noProof/>
        <w:lang w:eastAsia="ro-RO"/>
      </w:rPr>
      <w:drawing>
        <wp:inline distT="0" distB="0" distL="0" distR="0">
          <wp:extent cx="771525" cy="619125"/>
          <wp:effectExtent l="0" t="0" r="9525" b="9525"/>
          <wp:docPr id="11" name="Picture 1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477C9C"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C9C" w:rsidRPr="00150BFA" w:rsidRDefault="00C914FA"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477C9C"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C914FA" w:rsidP="009A115C">
    <w:pPr>
      <w:pStyle w:val="JuHeader"/>
    </w:pPr>
    <w:r>
      <w:rPr>
        <w:rStyle w:val="PageNumber"/>
      </w:rPr>
      <w:fldChar w:fldCharType="begin"/>
    </w:r>
    <w:r>
      <w:rPr>
        <w:rStyle w:val="PageNumber"/>
      </w:rPr>
      <w:instrText xml:space="preserve"> PAGE </w:instrText>
    </w:r>
    <w:r>
      <w:rPr>
        <w:rStyle w:val="PageNumber"/>
      </w:rPr>
      <w:fldChar w:fldCharType="separate"/>
    </w:r>
    <w:r w:rsidR="00ED79D3">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C914FA" w:rsidP="007D3701">
    <w:pPr>
      <w:pStyle w:val="JuHeader"/>
    </w:pPr>
    <w:r>
      <w:fldChar w:fldCharType="begin"/>
    </w:r>
    <w:r>
      <w:instrText xml:space="preserve"> PAGE </w:instrText>
    </w:r>
    <w:r>
      <w:fldChar w:fldCharType="separate"/>
    </w:r>
    <w:r w:rsidR="00ED79D3">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55C" w:rsidRDefault="00C914FA">
      <w:r>
        <w:separator/>
      </w:r>
    </w:p>
  </w:footnote>
  <w:footnote w:type="continuationSeparator" w:id="0">
    <w:p w:rsidR="00C5755C" w:rsidRDefault="00C91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C9C" w:rsidRPr="00A45145" w:rsidRDefault="00C914FA"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477C9C"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E95" w:rsidRDefault="00805E95" w:rsidP="00805E95">
    <w:pPr>
      <w:jc w:val="right"/>
      <w:rPr>
        <w:i/>
        <w:iCs/>
      </w:rPr>
    </w:pPr>
    <w:r w:rsidRPr="00805E95">
      <w:rPr>
        <w:i/>
        <w:iCs/>
      </w:rPr>
      <w:t xml:space="preserve"> </w:t>
    </w:r>
    <w:r>
      <w:rPr>
        <w:i/>
        <w:iCs/>
      </w:rPr>
      <w:t xml:space="preserve">                        </w:t>
    </w:r>
    <w:r>
      <w:rPr>
        <w:i/>
        <w:iCs/>
      </w:rPr>
      <w:t>Tradus și revizuit de IER (</w:t>
    </w:r>
    <w:hyperlink r:id="rId1" w:history="1">
      <w:r>
        <w:rPr>
          <w:i/>
        </w:rPr>
        <w:t>http://ier.gov.ro/</w:t>
      </w:r>
    </w:hyperlink>
    <w:r>
      <w:rPr>
        <w:i/>
        <w:iCs/>
      </w:rPr>
      <w:t>)</w:t>
    </w:r>
  </w:p>
  <w:p w:rsidR="00477C9C" w:rsidRPr="00A45145" w:rsidRDefault="00805E95" w:rsidP="00A45145">
    <w:pPr>
      <w:jc w:val="center"/>
    </w:pPr>
    <w:r>
      <w:rPr>
        <w:noProof/>
        <w:lang w:eastAsia="ro-RO"/>
      </w:rPr>
      <w:drawing>
        <wp:anchor distT="0" distB="0" distL="114300" distR="114300" simplePos="0" relativeHeight="251658240" behindDoc="1" locked="0" layoutInCell="1" allowOverlap="1">
          <wp:simplePos x="0" y="0"/>
          <wp:positionH relativeFrom="column">
            <wp:posOffset>720090</wp:posOffset>
          </wp:positionH>
          <wp:positionV relativeFrom="paragraph">
            <wp:posOffset>93345</wp:posOffset>
          </wp:positionV>
          <wp:extent cx="2962275" cy="1219200"/>
          <wp:effectExtent l="0" t="0" r="9525" b="0"/>
          <wp:wrapTight wrapText="bothSides">
            <wp:wrapPolygon edited="0">
              <wp:start x="0" y="0"/>
              <wp:lineTo x="0" y="21263"/>
              <wp:lineTo x="21531" y="21263"/>
              <wp:lineTo x="21531" y="0"/>
              <wp:lineTo x="0" y="0"/>
            </wp:wrapPolygon>
          </wp:wrapTight>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anchor>
      </w:drawing>
    </w:r>
  </w:p>
  <w:p w:rsidR="0098410D" w:rsidRPr="00477C9C" w:rsidRDefault="00984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C914FA" w:rsidP="004D0EC7">
    <w:pPr>
      <w:pStyle w:val="JuHeader"/>
    </w:pPr>
    <w:r>
      <w:t>HOTĂRÂREA UNGUR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C914FA" w:rsidP="007D3701">
    <w:pPr>
      <w:pStyle w:val="JuHeader"/>
    </w:pPr>
    <w:r>
      <w:t>HOTĂRÂREA UNGUR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2496F3B0">
      <w:start w:val="1"/>
      <w:numFmt w:val="bullet"/>
      <w:pStyle w:val="ListBullet"/>
      <w:lvlText w:val=""/>
      <w:lvlJc w:val="left"/>
      <w:pPr>
        <w:tabs>
          <w:tab w:val="num" w:pos="851"/>
        </w:tabs>
        <w:ind w:left="568" w:firstLine="0"/>
      </w:pPr>
      <w:rPr>
        <w:rFonts w:ascii="Wingdings" w:hAnsi="Wingdings" w:hint="default"/>
        <w:color w:val="808080"/>
        <w:sz w:val="16"/>
      </w:rPr>
    </w:lvl>
    <w:lvl w:ilvl="1" w:tplc="40101C02" w:tentative="1">
      <w:start w:val="1"/>
      <w:numFmt w:val="bullet"/>
      <w:lvlText w:val="o"/>
      <w:lvlJc w:val="left"/>
      <w:pPr>
        <w:tabs>
          <w:tab w:val="num" w:pos="1724"/>
        </w:tabs>
        <w:ind w:left="1724" w:hanging="360"/>
      </w:pPr>
      <w:rPr>
        <w:rFonts w:ascii="Courier New" w:hAnsi="Courier New" w:cs="Courier New" w:hint="default"/>
      </w:rPr>
    </w:lvl>
    <w:lvl w:ilvl="2" w:tplc="D96EDA98" w:tentative="1">
      <w:start w:val="1"/>
      <w:numFmt w:val="bullet"/>
      <w:lvlText w:val=""/>
      <w:lvlJc w:val="left"/>
      <w:pPr>
        <w:tabs>
          <w:tab w:val="num" w:pos="2444"/>
        </w:tabs>
        <w:ind w:left="2444" w:hanging="360"/>
      </w:pPr>
      <w:rPr>
        <w:rFonts w:ascii="Wingdings" w:hAnsi="Wingdings" w:hint="default"/>
      </w:rPr>
    </w:lvl>
    <w:lvl w:ilvl="3" w:tplc="7C844640" w:tentative="1">
      <w:start w:val="1"/>
      <w:numFmt w:val="bullet"/>
      <w:lvlText w:val=""/>
      <w:lvlJc w:val="left"/>
      <w:pPr>
        <w:tabs>
          <w:tab w:val="num" w:pos="3164"/>
        </w:tabs>
        <w:ind w:left="3164" w:hanging="360"/>
      </w:pPr>
      <w:rPr>
        <w:rFonts w:ascii="Symbol" w:hAnsi="Symbol" w:hint="default"/>
      </w:rPr>
    </w:lvl>
    <w:lvl w:ilvl="4" w:tplc="5DD08DE8" w:tentative="1">
      <w:start w:val="1"/>
      <w:numFmt w:val="bullet"/>
      <w:lvlText w:val="o"/>
      <w:lvlJc w:val="left"/>
      <w:pPr>
        <w:tabs>
          <w:tab w:val="num" w:pos="3884"/>
        </w:tabs>
        <w:ind w:left="3884" w:hanging="360"/>
      </w:pPr>
      <w:rPr>
        <w:rFonts w:ascii="Courier New" w:hAnsi="Courier New" w:cs="Courier New" w:hint="default"/>
      </w:rPr>
    </w:lvl>
    <w:lvl w:ilvl="5" w:tplc="77A8D850" w:tentative="1">
      <w:start w:val="1"/>
      <w:numFmt w:val="bullet"/>
      <w:lvlText w:val=""/>
      <w:lvlJc w:val="left"/>
      <w:pPr>
        <w:tabs>
          <w:tab w:val="num" w:pos="4604"/>
        </w:tabs>
        <w:ind w:left="4604" w:hanging="360"/>
      </w:pPr>
      <w:rPr>
        <w:rFonts w:ascii="Wingdings" w:hAnsi="Wingdings" w:hint="default"/>
      </w:rPr>
    </w:lvl>
    <w:lvl w:ilvl="6" w:tplc="1ADCBBE0" w:tentative="1">
      <w:start w:val="1"/>
      <w:numFmt w:val="bullet"/>
      <w:lvlText w:val=""/>
      <w:lvlJc w:val="left"/>
      <w:pPr>
        <w:tabs>
          <w:tab w:val="num" w:pos="5324"/>
        </w:tabs>
        <w:ind w:left="5324" w:hanging="360"/>
      </w:pPr>
      <w:rPr>
        <w:rFonts w:ascii="Symbol" w:hAnsi="Symbol" w:hint="default"/>
      </w:rPr>
    </w:lvl>
    <w:lvl w:ilvl="7" w:tplc="F4529AAA" w:tentative="1">
      <w:start w:val="1"/>
      <w:numFmt w:val="bullet"/>
      <w:lvlText w:val="o"/>
      <w:lvlJc w:val="left"/>
      <w:pPr>
        <w:tabs>
          <w:tab w:val="num" w:pos="6044"/>
        </w:tabs>
        <w:ind w:left="6044" w:hanging="360"/>
      </w:pPr>
      <w:rPr>
        <w:rFonts w:ascii="Courier New" w:hAnsi="Courier New" w:cs="Courier New" w:hint="default"/>
      </w:rPr>
    </w:lvl>
    <w:lvl w:ilvl="8" w:tplc="F53E028C"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477C9C"/>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41560"/>
    <w:rsid w:val="000602DF"/>
    <w:rsid w:val="00061B05"/>
    <w:rsid w:val="000632D5"/>
    <w:rsid w:val="000644EE"/>
    <w:rsid w:val="000712E3"/>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80C09"/>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C9C"/>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5E95"/>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3431"/>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383F"/>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53D2"/>
    <w:rsid w:val="00AA754A"/>
    <w:rsid w:val="00AB099E"/>
    <w:rsid w:val="00AB4328"/>
    <w:rsid w:val="00AC38DE"/>
    <w:rsid w:val="00AC4CD4"/>
    <w:rsid w:val="00AE0A2E"/>
    <w:rsid w:val="00AE354C"/>
    <w:rsid w:val="00AF12C5"/>
    <w:rsid w:val="00AF4B07"/>
    <w:rsid w:val="00AF6186"/>
    <w:rsid w:val="00AF7A3A"/>
    <w:rsid w:val="00B02587"/>
    <w:rsid w:val="00B049D1"/>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5755C"/>
    <w:rsid w:val="00C6098E"/>
    <w:rsid w:val="00C6152C"/>
    <w:rsid w:val="00C71424"/>
    <w:rsid w:val="00C74810"/>
    <w:rsid w:val="00C90D68"/>
    <w:rsid w:val="00C914FA"/>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D79D3"/>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1F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B5B43"/>
    <w:rPr>
      <w:sz w:val="24"/>
      <w:szCs w:val="24"/>
    </w:rPr>
  </w:style>
  <w:style w:type="paragraph" w:styleId="Heading1">
    <w:name w:val="heading 1"/>
    <w:basedOn w:val="Normal"/>
    <w:next w:val="Normal"/>
    <w:link w:val="Heading1Char"/>
    <w:uiPriority w:val="98"/>
    <w:semiHidden/>
    <w:rsid w:val="002B5B4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B5B4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B5B4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B5B4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B5B4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B5B4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B5B4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B5B4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B5B4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B5B43"/>
    <w:rPr>
      <w:rFonts w:ascii="Tahoma" w:hAnsi="Tahoma" w:cs="Tahoma"/>
      <w:sz w:val="16"/>
      <w:szCs w:val="16"/>
    </w:rPr>
  </w:style>
  <w:style w:type="character" w:customStyle="1" w:styleId="BalloonTextChar">
    <w:name w:val="Balloon Text Char"/>
    <w:basedOn w:val="DefaultParagraphFont"/>
    <w:link w:val="BalloonText"/>
    <w:uiPriority w:val="98"/>
    <w:semiHidden/>
    <w:rsid w:val="002B5B43"/>
    <w:rPr>
      <w:rFonts w:ascii="Tahoma" w:hAnsi="Tahoma" w:cs="Tahoma"/>
      <w:sz w:val="16"/>
      <w:szCs w:val="16"/>
      <w:lang w:val="ro-RO"/>
    </w:rPr>
  </w:style>
  <w:style w:type="character" w:styleId="BookTitle">
    <w:name w:val="Book Title"/>
    <w:uiPriority w:val="98"/>
    <w:semiHidden/>
    <w:qFormat/>
    <w:rsid w:val="002B5B43"/>
    <w:rPr>
      <w:i/>
      <w:iCs/>
      <w:smallCaps/>
      <w:spacing w:val="5"/>
    </w:rPr>
  </w:style>
  <w:style w:type="paragraph" w:customStyle="1" w:styleId="JuHeader">
    <w:name w:val="Ju_Header"/>
    <w:aliases w:val="_Header"/>
    <w:basedOn w:val="Header"/>
    <w:uiPriority w:val="29"/>
    <w:qFormat/>
    <w:rsid w:val="002B5B43"/>
    <w:pPr>
      <w:tabs>
        <w:tab w:val="clear" w:pos="4536"/>
        <w:tab w:val="clear" w:pos="9072"/>
      </w:tabs>
      <w:jc w:val="center"/>
    </w:pPr>
    <w:rPr>
      <w:sz w:val="18"/>
    </w:rPr>
  </w:style>
  <w:style w:type="paragraph" w:customStyle="1" w:styleId="NormalJustified">
    <w:name w:val="Normal_Justified"/>
    <w:basedOn w:val="Normal"/>
    <w:semiHidden/>
    <w:rsid w:val="002B5B43"/>
    <w:pPr>
      <w:jc w:val="both"/>
    </w:pPr>
  </w:style>
  <w:style w:type="character" w:styleId="Strong">
    <w:name w:val="Strong"/>
    <w:uiPriority w:val="98"/>
    <w:semiHidden/>
    <w:qFormat/>
    <w:rsid w:val="002B5B43"/>
    <w:rPr>
      <w:b/>
      <w:bCs/>
    </w:rPr>
  </w:style>
  <w:style w:type="paragraph" w:styleId="NoSpacing">
    <w:name w:val="No Spacing"/>
    <w:basedOn w:val="Normal"/>
    <w:link w:val="NoSpacingChar"/>
    <w:uiPriority w:val="98"/>
    <w:semiHidden/>
    <w:qFormat/>
    <w:rsid w:val="002B5B43"/>
  </w:style>
  <w:style w:type="character" w:customStyle="1" w:styleId="NoSpacingChar">
    <w:name w:val="No Spacing Char"/>
    <w:basedOn w:val="DefaultParagraphFont"/>
    <w:link w:val="NoSpacing"/>
    <w:uiPriority w:val="98"/>
    <w:semiHidden/>
    <w:rsid w:val="002B5B43"/>
    <w:rPr>
      <w:sz w:val="24"/>
      <w:szCs w:val="24"/>
      <w:lang w:val="ro-RO"/>
    </w:rPr>
  </w:style>
  <w:style w:type="paragraph" w:customStyle="1" w:styleId="JuQuot">
    <w:name w:val="Ju_Quot"/>
    <w:aliases w:val="_Quote"/>
    <w:basedOn w:val="NormalJustified"/>
    <w:uiPriority w:val="20"/>
    <w:qFormat/>
    <w:rsid w:val="002B5B43"/>
    <w:pPr>
      <w:spacing w:before="120" w:after="120"/>
      <w:ind w:left="425" w:firstLine="142"/>
    </w:pPr>
    <w:rPr>
      <w:sz w:val="20"/>
    </w:rPr>
  </w:style>
  <w:style w:type="paragraph" w:customStyle="1" w:styleId="DummyStyle">
    <w:name w:val="Dummy_Style"/>
    <w:aliases w:val="_Dummy"/>
    <w:basedOn w:val="Normal"/>
    <w:semiHidden/>
    <w:qFormat/>
    <w:rsid w:val="002B5B43"/>
    <w:rPr>
      <w:color w:val="00B050"/>
      <w:sz w:val="22"/>
    </w:rPr>
  </w:style>
  <w:style w:type="paragraph" w:customStyle="1" w:styleId="JuList">
    <w:name w:val="Ju_List"/>
    <w:aliases w:val="_List_1"/>
    <w:basedOn w:val="NormalJustified"/>
    <w:uiPriority w:val="23"/>
    <w:qFormat/>
    <w:rsid w:val="002B5B43"/>
    <w:pPr>
      <w:numPr>
        <w:numId w:val="10"/>
      </w:numPr>
      <w:spacing w:before="280" w:after="60"/>
    </w:pPr>
  </w:style>
  <w:style w:type="paragraph" w:customStyle="1" w:styleId="JuLista">
    <w:name w:val="Ju_List_a"/>
    <w:aliases w:val="_List_2"/>
    <w:basedOn w:val="NormalJustified"/>
    <w:uiPriority w:val="23"/>
    <w:rsid w:val="002B5B43"/>
    <w:pPr>
      <w:numPr>
        <w:ilvl w:val="1"/>
        <w:numId w:val="10"/>
      </w:numPr>
    </w:pPr>
  </w:style>
  <w:style w:type="paragraph" w:customStyle="1" w:styleId="JuListi">
    <w:name w:val="Ju_List_i"/>
    <w:aliases w:val="_List_3"/>
    <w:basedOn w:val="NormalJustified"/>
    <w:uiPriority w:val="23"/>
    <w:rsid w:val="002B5B43"/>
    <w:pPr>
      <w:numPr>
        <w:ilvl w:val="2"/>
        <w:numId w:val="10"/>
      </w:numPr>
    </w:pPr>
  </w:style>
  <w:style w:type="paragraph" w:customStyle="1" w:styleId="JuHArticle">
    <w:name w:val="Ju_H_Article"/>
    <w:aliases w:val="_Title_Quote"/>
    <w:basedOn w:val="Normal"/>
    <w:next w:val="JuQuot"/>
    <w:uiPriority w:val="19"/>
    <w:qFormat/>
    <w:rsid w:val="002B5B43"/>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B5B43"/>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B5B43"/>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B5B43"/>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B5B43"/>
    <w:pPr>
      <w:numPr>
        <w:numId w:val="4"/>
      </w:numPr>
    </w:pPr>
  </w:style>
  <w:style w:type="paragraph" w:customStyle="1" w:styleId="JuSigned">
    <w:name w:val="Ju_Signed"/>
    <w:aliases w:val="_Signature"/>
    <w:basedOn w:val="Normal"/>
    <w:next w:val="JuPara"/>
    <w:uiPriority w:val="31"/>
    <w:qFormat/>
    <w:rsid w:val="002B5B43"/>
    <w:pPr>
      <w:tabs>
        <w:tab w:val="center" w:pos="1418"/>
        <w:tab w:val="center" w:pos="5954"/>
      </w:tabs>
      <w:spacing w:before="720"/>
    </w:pPr>
  </w:style>
  <w:style w:type="paragraph" w:styleId="Title">
    <w:name w:val="Title"/>
    <w:basedOn w:val="Normal"/>
    <w:next w:val="Normal"/>
    <w:link w:val="TitleChar"/>
    <w:uiPriority w:val="98"/>
    <w:semiHidden/>
    <w:qFormat/>
    <w:rsid w:val="002B5B4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B5B43"/>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2B5B43"/>
    <w:pPr>
      <w:numPr>
        <w:numId w:val="5"/>
      </w:numPr>
    </w:pPr>
  </w:style>
  <w:style w:type="numbering" w:customStyle="1" w:styleId="ECHRA1StyleNumberedList">
    <w:name w:val="ECHR_A1_Style_Numbered_List"/>
    <w:basedOn w:val="NoList"/>
    <w:rsid w:val="002B5B43"/>
    <w:pPr>
      <w:numPr>
        <w:numId w:val="6"/>
      </w:numPr>
    </w:pPr>
  </w:style>
  <w:style w:type="table" w:customStyle="1" w:styleId="ECHRTable2019">
    <w:name w:val="ECHR_Table_2019"/>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B5B43"/>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B5B43"/>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B5B43"/>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B5B43"/>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B5B43"/>
    <w:pPr>
      <w:tabs>
        <w:tab w:val="center" w:pos="4536"/>
        <w:tab w:val="right" w:pos="9072"/>
      </w:tabs>
    </w:pPr>
  </w:style>
  <w:style w:type="character" w:customStyle="1" w:styleId="HeaderChar">
    <w:name w:val="Header Char"/>
    <w:basedOn w:val="DefaultParagraphFont"/>
    <w:link w:val="Header"/>
    <w:uiPriority w:val="98"/>
    <w:semiHidden/>
    <w:rsid w:val="002B5B43"/>
    <w:rPr>
      <w:sz w:val="24"/>
      <w:szCs w:val="24"/>
      <w:lang w:val="ro-RO"/>
    </w:rPr>
  </w:style>
  <w:style w:type="character" w:customStyle="1" w:styleId="Heading1Char">
    <w:name w:val="Heading 1 Char"/>
    <w:basedOn w:val="DefaultParagraphFont"/>
    <w:link w:val="Heading1"/>
    <w:uiPriority w:val="98"/>
    <w:semiHidden/>
    <w:rsid w:val="002B5B4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B5B43"/>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B5B43"/>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B5B4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2B5B43"/>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B5B43"/>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B5B4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2B5B43"/>
    <w:pPr>
      <w:keepNext/>
      <w:keepLines/>
      <w:spacing w:before="240" w:after="240"/>
      <w:ind w:firstLine="284"/>
    </w:pPr>
  </w:style>
  <w:style w:type="paragraph" w:customStyle="1" w:styleId="JuJudges">
    <w:name w:val="Ju_Judges"/>
    <w:aliases w:val="_Judges"/>
    <w:basedOn w:val="Normal"/>
    <w:uiPriority w:val="32"/>
    <w:qFormat/>
    <w:rsid w:val="002B5B43"/>
    <w:pPr>
      <w:tabs>
        <w:tab w:val="left" w:pos="567"/>
        <w:tab w:val="left" w:pos="1134"/>
      </w:tabs>
    </w:pPr>
  </w:style>
  <w:style w:type="character" w:customStyle="1" w:styleId="Heading4Char">
    <w:name w:val="Heading 4 Char"/>
    <w:basedOn w:val="DefaultParagraphFont"/>
    <w:link w:val="Heading4"/>
    <w:uiPriority w:val="98"/>
    <w:semiHidden/>
    <w:rsid w:val="002B5B43"/>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B5B43"/>
    <w:pPr>
      <w:tabs>
        <w:tab w:val="center" w:pos="6407"/>
      </w:tabs>
      <w:spacing w:before="720"/>
      <w:jc w:val="right"/>
    </w:pPr>
  </w:style>
  <w:style w:type="character" w:customStyle="1" w:styleId="Heading5Char">
    <w:name w:val="Heading 5 Char"/>
    <w:basedOn w:val="DefaultParagraphFont"/>
    <w:link w:val="Heading5"/>
    <w:uiPriority w:val="98"/>
    <w:semiHidden/>
    <w:rsid w:val="002B5B43"/>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B5B43"/>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B5B43"/>
    <w:rPr>
      <w:caps w:val="0"/>
      <w:smallCaps/>
    </w:rPr>
  </w:style>
  <w:style w:type="character" w:styleId="SubtleEmphasis">
    <w:name w:val="Subtle Emphasis"/>
    <w:uiPriority w:val="98"/>
    <w:semiHidden/>
    <w:qFormat/>
    <w:rsid w:val="002B5B43"/>
    <w:rPr>
      <w:i/>
      <w:iCs/>
    </w:rPr>
  </w:style>
  <w:style w:type="table" w:customStyle="1" w:styleId="ECHRTable">
    <w:name w:val="ECHR_Table"/>
    <w:basedOn w:val="TableNormal"/>
    <w:rsid w:val="002B5B4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B5B4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2B5B43"/>
    <w:rPr>
      <w:b/>
      <w:bCs/>
      <w:i/>
      <w:iCs/>
      <w:spacing w:val="10"/>
      <w:bdr w:val="none" w:sz="0" w:space="0" w:color="auto"/>
      <w:shd w:val="clear" w:color="auto" w:fill="auto"/>
    </w:rPr>
  </w:style>
  <w:style w:type="paragraph" w:styleId="Footer0">
    <w:name w:val="footer"/>
    <w:basedOn w:val="Normal"/>
    <w:link w:val="FooterChar"/>
    <w:uiPriority w:val="98"/>
    <w:semiHidden/>
    <w:rsid w:val="002B5B43"/>
    <w:pPr>
      <w:tabs>
        <w:tab w:val="center" w:pos="3686"/>
        <w:tab w:val="right" w:pos="7371"/>
      </w:tabs>
    </w:pPr>
  </w:style>
  <w:style w:type="character" w:customStyle="1" w:styleId="FooterChar">
    <w:name w:val="Footer Char"/>
    <w:basedOn w:val="DefaultParagraphFont"/>
    <w:link w:val="Footer0"/>
    <w:uiPriority w:val="98"/>
    <w:semiHidden/>
    <w:rsid w:val="002B5B43"/>
    <w:rPr>
      <w:sz w:val="24"/>
      <w:szCs w:val="24"/>
      <w:lang w:val="ro-RO"/>
    </w:rPr>
  </w:style>
  <w:style w:type="character" w:styleId="FootnoteReference">
    <w:name w:val="footnote reference"/>
    <w:basedOn w:val="DefaultParagraphFont"/>
    <w:uiPriority w:val="98"/>
    <w:semiHidden/>
    <w:rsid w:val="002B5B43"/>
    <w:rPr>
      <w:vertAlign w:val="superscript"/>
    </w:rPr>
  </w:style>
  <w:style w:type="paragraph" w:styleId="FootnoteText">
    <w:name w:val="footnote text"/>
    <w:basedOn w:val="NormalJustified"/>
    <w:link w:val="FootnoteTextChar"/>
    <w:uiPriority w:val="98"/>
    <w:semiHidden/>
    <w:rsid w:val="002B5B43"/>
    <w:rPr>
      <w:sz w:val="20"/>
      <w:szCs w:val="20"/>
    </w:rPr>
  </w:style>
  <w:style w:type="character" w:customStyle="1" w:styleId="FootnoteTextChar">
    <w:name w:val="Footnote Text Char"/>
    <w:basedOn w:val="DefaultParagraphFont"/>
    <w:link w:val="FootnoteText"/>
    <w:uiPriority w:val="98"/>
    <w:semiHidden/>
    <w:rsid w:val="002B5B43"/>
    <w:rPr>
      <w:sz w:val="20"/>
      <w:szCs w:val="20"/>
      <w:lang w:val="ro-RO"/>
    </w:rPr>
  </w:style>
  <w:style w:type="character" w:customStyle="1" w:styleId="Heading6Char">
    <w:name w:val="Heading 6 Char"/>
    <w:basedOn w:val="DefaultParagraphFont"/>
    <w:link w:val="Heading6"/>
    <w:uiPriority w:val="98"/>
    <w:semiHidden/>
    <w:rsid w:val="002B5B4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B5B4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B5B4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B5B4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2B5B43"/>
    <w:rPr>
      <w:color w:val="0072BC" w:themeColor="hyperlink"/>
      <w:u w:val="single"/>
    </w:rPr>
  </w:style>
  <w:style w:type="character" w:styleId="IntenseEmphasis">
    <w:name w:val="Intense Emphasis"/>
    <w:uiPriority w:val="98"/>
    <w:semiHidden/>
    <w:qFormat/>
    <w:rsid w:val="002B5B43"/>
    <w:rPr>
      <w:b/>
      <w:bCs/>
    </w:rPr>
  </w:style>
  <w:style w:type="paragraph" w:styleId="IntenseQuote">
    <w:name w:val="Intense Quote"/>
    <w:basedOn w:val="Normal"/>
    <w:next w:val="Normal"/>
    <w:link w:val="IntenseQuoteChar"/>
    <w:uiPriority w:val="98"/>
    <w:semiHidden/>
    <w:qFormat/>
    <w:rsid w:val="002B5B4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B5B43"/>
    <w:rPr>
      <w:b/>
      <w:bCs/>
      <w:i/>
      <w:iCs/>
      <w:sz w:val="24"/>
      <w:szCs w:val="24"/>
      <w:lang w:val="ro-RO" w:bidi="en-US"/>
    </w:rPr>
  </w:style>
  <w:style w:type="character" w:styleId="IntenseReference">
    <w:name w:val="Intense Reference"/>
    <w:uiPriority w:val="98"/>
    <w:semiHidden/>
    <w:qFormat/>
    <w:rsid w:val="002B5B43"/>
    <w:rPr>
      <w:smallCaps/>
      <w:spacing w:val="5"/>
      <w:u w:val="single"/>
    </w:rPr>
  </w:style>
  <w:style w:type="paragraph" w:styleId="ListParagraph">
    <w:name w:val="List Paragraph"/>
    <w:basedOn w:val="Normal"/>
    <w:uiPriority w:val="98"/>
    <w:semiHidden/>
    <w:qFormat/>
    <w:rsid w:val="002B5B43"/>
    <w:pPr>
      <w:ind w:left="720"/>
      <w:contextualSpacing/>
    </w:pPr>
  </w:style>
  <w:style w:type="table" w:customStyle="1" w:styleId="LtrTableAddress">
    <w:name w:val="Ltr_Table_Address"/>
    <w:aliases w:val="ECHR_Ltr_Table_Address"/>
    <w:basedOn w:val="TableNormal"/>
    <w:uiPriority w:val="99"/>
    <w:rsid w:val="002B5B43"/>
    <w:rPr>
      <w:sz w:val="24"/>
      <w:szCs w:val="24"/>
    </w:rPr>
    <w:tblPr>
      <w:tblInd w:w="5103" w:type="dxa"/>
    </w:tblPr>
  </w:style>
  <w:style w:type="paragraph" w:styleId="Quote">
    <w:name w:val="Quote"/>
    <w:basedOn w:val="Normal"/>
    <w:next w:val="Normal"/>
    <w:link w:val="QuoteChar"/>
    <w:uiPriority w:val="98"/>
    <w:semiHidden/>
    <w:qFormat/>
    <w:rsid w:val="002B5B43"/>
    <w:pPr>
      <w:spacing w:before="200"/>
      <w:ind w:left="360" w:right="360"/>
    </w:pPr>
    <w:rPr>
      <w:i/>
      <w:iCs/>
      <w:lang w:bidi="en-US"/>
    </w:rPr>
  </w:style>
  <w:style w:type="character" w:customStyle="1" w:styleId="QuoteChar">
    <w:name w:val="Quote Char"/>
    <w:basedOn w:val="DefaultParagraphFont"/>
    <w:link w:val="Quote"/>
    <w:uiPriority w:val="98"/>
    <w:semiHidden/>
    <w:rsid w:val="002B5B43"/>
    <w:rPr>
      <w:i/>
      <w:iCs/>
      <w:sz w:val="24"/>
      <w:szCs w:val="24"/>
      <w:lang w:val="ro-RO" w:bidi="en-US"/>
    </w:rPr>
  </w:style>
  <w:style w:type="character" w:styleId="SubtleReference">
    <w:name w:val="Subtle Reference"/>
    <w:uiPriority w:val="98"/>
    <w:semiHidden/>
    <w:qFormat/>
    <w:rsid w:val="002B5B43"/>
    <w:rPr>
      <w:smallCaps/>
    </w:rPr>
  </w:style>
  <w:style w:type="table" w:styleId="TableGrid">
    <w:name w:val="Table Grid"/>
    <w:basedOn w:val="TableNormal"/>
    <w:uiPriority w:val="59"/>
    <w:semiHidden/>
    <w:rsid w:val="002B5B4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B5B4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B5B4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B5B4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B5B4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B5B4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B5B4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B5B4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B5B4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B5B4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B5B4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B5B4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B5B4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B5B4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2B5B4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B5B4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B5B43"/>
    <w:pPr>
      <w:numPr>
        <w:numId w:val="1"/>
      </w:numPr>
    </w:pPr>
  </w:style>
  <w:style w:type="paragraph" w:customStyle="1" w:styleId="JuPara">
    <w:name w:val="Ju_Para"/>
    <w:aliases w:val="_Para"/>
    <w:basedOn w:val="NormalJustified"/>
    <w:link w:val="JuParaChar"/>
    <w:uiPriority w:val="4"/>
    <w:qFormat/>
    <w:rsid w:val="002B5B43"/>
    <w:pPr>
      <w:ind w:firstLine="284"/>
    </w:pPr>
  </w:style>
  <w:style w:type="numbering" w:styleId="1ai">
    <w:name w:val="Outline List 1"/>
    <w:basedOn w:val="NoList"/>
    <w:uiPriority w:val="99"/>
    <w:semiHidden/>
    <w:unhideWhenUsed/>
    <w:rsid w:val="002B5B43"/>
    <w:pPr>
      <w:numPr>
        <w:numId w:val="2"/>
      </w:numPr>
    </w:pPr>
  </w:style>
  <w:style w:type="table" w:customStyle="1" w:styleId="ECHRTableSimpleBox">
    <w:name w:val="ECHR_Table_Simple_Box"/>
    <w:basedOn w:val="TableNormal"/>
    <w:uiPriority w:val="99"/>
    <w:rsid w:val="002B5B4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B5B4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B5B43"/>
    <w:pPr>
      <w:numPr>
        <w:numId w:val="3"/>
      </w:numPr>
    </w:pPr>
  </w:style>
  <w:style w:type="table" w:customStyle="1" w:styleId="ECHRTableForInternalUse">
    <w:name w:val="ECHR_Table_For_Internal_Use"/>
    <w:basedOn w:val="TableNormal"/>
    <w:uiPriority w:val="99"/>
    <w:rsid w:val="002B5B4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B5B4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B5B43"/>
  </w:style>
  <w:style w:type="paragraph" w:styleId="BlockText">
    <w:name w:val="Block Text"/>
    <w:basedOn w:val="Normal"/>
    <w:uiPriority w:val="98"/>
    <w:semiHidden/>
    <w:rsid w:val="002B5B4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B5B4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B5B43"/>
    <w:pPr>
      <w:spacing w:after="120"/>
    </w:pPr>
  </w:style>
  <w:style w:type="character" w:customStyle="1" w:styleId="BodyTextChar">
    <w:name w:val="Body Text Char"/>
    <w:basedOn w:val="DefaultParagraphFont"/>
    <w:link w:val="BodyText"/>
    <w:uiPriority w:val="98"/>
    <w:semiHidden/>
    <w:rsid w:val="002B5B43"/>
    <w:rPr>
      <w:sz w:val="24"/>
      <w:szCs w:val="24"/>
      <w:lang w:val="ro-RO"/>
    </w:rPr>
  </w:style>
  <w:style w:type="table" w:customStyle="1" w:styleId="ECHRTableOddBanded">
    <w:name w:val="ECHR_Table_Odd_Banded"/>
    <w:basedOn w:val="TableNormal"/>
    <w:uiPriority w:val="99"/>
    <w:rsid w:val="002B5B4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B5B43"/>
    <w:pPr>
      <w:spacing w:after="120" w:line="480" w:lineRule="auto"/>
    </w:pPr>
  </w:style>
  <w:style w:type="table" w:customStyle="1" w:styleId="ECHRHeaderTableReduced">
    <w:name w:val="ECHR_Header_Table_Reduced"/>
    <w:basedOn w:val="TableNormal"/>
    <w:uiPriority w:val="99"/>
    <w:rsid w:val="002B5B4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B5B43"/>
    <w:pPr>
      <w:ind w:firstLine="284"/>
    </w:pPr>
    <w:rPr>
      <w:b/>
    </w:rPr>
  </w:style>
  <w:style w:type="character" w:styleId="PageNumber">
    <w:name w:val="page number"/>
    <w:uiPriority w:val="98"/>
    <w:semiHidden/>
    <w:rsid w:val="002B5B43"/>
    <w:rPr>
      <w:sz w:val="18"/>
    </w:rPr>
  </w:style>
  <w:style w:type="paragraph" w:styleId="ListBullet">
    <w:name w:val="List Bullet"/>
    <w:basedOn w:val="Normal"/>
    <w:uiPriority w:val="98"/>
    <w:semiHidden/>
    <w:rsid w:val="002B5B43"/>
    <w:pPr>
      <w:numPr>
        <w:numId w:val="11"/>
      </w:numPr>
    </w:pPr>
  </w:style>
  <w:style w:type="paragraph" w:styleId="ListBullet3">
    <w:name w:val="List Bullet 3"/>
    <w:basedOn w:val="Normal"/>
    <w:uiPriority w:val="98"/>
    <w:semiHidden/>
    <w:rsid w:val="002B5B43"/>
    <w:pPr>
      <w:numPr>
        <w:numId w:val="13"/>
      </w:numPr>
      <w:contextualSpacing/>
    </w:pPr>
  </w:style>
  <w:style w:type="character" w:customStyle="1" w:styleId="BodyText2Char">
    <w:name w:val="Body Text 2 Char"/>
    <w:basedOn w:val="DefaultParagraphFont"/>
    <w:link w:val="BodyText2"/>
    <w:uiPriority w:val="98"/>
    <w:semiHidden/>
    <w:rsid w:val="002B5B43"/>
    <w:rPr>
      <w:sz w:val="24"/>
      <w:szCs w:val="24"/>
      <w:lang w:val="ro-RO"/>
    </w:rPr>
  </w:style>
  <w:style w:type="paragraph" w:styleId="BodyText3">
    <w:name w:val="Body Text 3"/>
    <w:basedOn w:val="Normal"/>
    <w:link w:val="BodyText3Char"/>
    <w:uiPriority w:val="98"/>
    <w:semiHidden/>
    <w:rsid w:val="002B5B43"/>
    <w:pPr>
      <w:spacing w:after="120"/>
    </w:pPr>
    <w:rPr>
      <w:sz w:val="16"/>
      <w:szCs w:val="16"/>
    </w:rPr>
  </w:style>
  <w:style w:type="character" w:customStyle="1" w:styleId="BodyText3Char">
    <w:name w:val="Body Text 3 Char"/>
    <w:basedOn w:val="DefaultParagraphFont"/>
    <w:link w:val="BodyText3"/>
    <w:uiPriority w:val="98"/>
    <w:semiHidden/>
    <w:rsid w:val="002B5B43"/>
    <w:rPr>
      <w:sz w:val="16"/>
      <w:szCs w:val="16"/>
      <w:lang w:val="ro-RO"/>
    </w:rPr>
  </w:style>
  <w:style w:type="paragraph" w:styleId="BodyTextFirstIndent">
    <w:name w:val="Body Text First Indent"/>
    <w:basedOn w:val="BodyText"/>
    <w:link w:val="BodyTextFirstIndentChar"/>
    <w:uiPriority w:val="98"/>
    <w:semiHidden/>
    <w:rsid w:val="002B5B43"/>
    <w:pPr>
      <w:spacing w:after="0"/>
      <w:ind w:firstLine="360"/>
    </w:pPr>
  </w:style>
  <w:style w:type="character" w:customStyle="1" w:styleId="BodyTextFirstIndentChar">
    <w:name w:val="Body Text First Indent Char"/>
    <w:basedOn w:val="BodyTextChar"/>
    <w:link w:val="BodyTextFirstIndent"/>
    <w:uiPriority w:val="98"/>
    <w:semiHidden/>
    <w:rsid w:val="002B5B43"/>
    <w:rPr>
      <w:sz w:val="24"/>
      <w:szCs w:val="24"/>
      <w:lang w:val="ro-RO"/>
    </w:rPr>
  </w:style>
  <w:style w:type="paragraph" w:styleId="BodyTextIndent">
    <w:name w:val="Body Text Indent"/>
    <w:basedOn w:val="Normal"/>
    <w:link w:val="BodyTextIndentChar"/>
    <w:uiPriority w:val="98"/>
    <w:semiHidden/>
    <w:rsid w:val="002B5B43"/>
    <w:pPr>
      <w:spacing w:after="120"/>
      <w:ind w:left="283"/>
    </w:pPr>
  </w:style>
  <w:style w:type="character" w:customStyle="1" w:styleId="BodyTextIndentChar">
    <w:name w:val="Body Text Indent Char"/>
    <w:basedOn w:val="DefaultParagraphFont"/>
    <w:link w:val="BodyTextIndent"/>
    <w:uiPriority w:val="98"/>
    <w:semiHidden/>
    <w:rsid w:val="002B5B43"/>
    <w:rPr>
      <w:sz w:val="24"/>
      <w:szCs w:val="24"/>
      <w:lang w:val="ro-RO"/>
    </w:rPr>
  </w:style>
  <w:style w:type="paragraph" w:styleId="BodyTextFirstIndent2">
    <w:name w:val="Body Text First Indent 2"/>
    <w:basedOn w:val="BodyTextIndent"/>
    <w:link w:val="BodyTextFirstIndent2Char"/>
    <w:uiPriority w:val="98"/>
    <w:semiHidden/>
    <w:rsid w:val="002B5B43"/>
    <w:pPr>
      <w:spacing w:after="0"/>
      <w:ind w:left="360" w:firstLine="360"/>
    </w:pPr>
  </w:style>
  <w:style w:type="character" w:customStyle="1" w:styleId="BodyTextFirstIndent2Char">
    <w:name w:val="Body Text First Indent 2 Char"/>
    <w:basedOn w:val="BodyTextIndentChar"/>
    <w:link w:val="BodyTextFirstIndent2"/>
    <w:uiPriority w:val="98"/>
    <w:semiHidden/>
    <w:rsid w:val="002B5B43"/>
    <w:rPr>
      <w:sz w:val="24"/>
      <w:szCs w:val="24"/>
      <w:lang w:val="ro-RO"/>
    </w:rPr>
  </w:style>
  <w:style w:type="paragraph" w:styleId="BodyTextIndent2">
    <w:name w:val="Body Text Indent 2"/>
    <w:basedOn w:val="Normal"/>
    <w:link w:val="BodyTextIndent2Char"/>
    <w:uiPriority w:val="98"/>
    <w:semiHidden/>
    <w:rsid w:val="002B5B43"/>
    <w:pPr>
      <w:spacing w:after="120" w:line="480" w:lineRule="auto"/>
      <w:ind w:left="283"/>
    </w:pPr>
  </w:style>
  <w:style w:type="character" w:customStyle="1" w:styleId="BodyTextIndent2Char">
    <w:name w:val="Body Text Indent 2 Char"/>
    <w:basedOn w:val="DefaultParagraphFont"/>
    <w:link w:val="BodyTextIndent2"/>
    <w:uiPriority w:val="98"/>
    <w:semiHidden/>
    <w:rsid w:val="002B5B43"/>
    <w:rPr>
      <w:sz w:val="24"/>
      <w:szCs w:val="24"/>
      <w:lang w:val="ro-RO"/>
    </w:rPr>
  </w:style>
  <w:style w:type="paragraph" w:styleId="BodyTextIndent3">
    <w:name w:val="Body Text Indent 3"/>
    <w:basedOn w:val="Normal"/>
    <w:link w:val="BodyTextIndent3Char"/>
    <w:uiPriority w:val="98"/>
    <w:semiHidden/>
    <w:rsid w:val="002B5B4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B5B43"/>
    <w:rPr>
      <w:sz w:val="16"/>
      <w:szCs w:val="16"/>
      <w:lang w:val="ro-RO"/>
    </w:rPr>
  </w:style>
  <w:style w:type="paragraph" w:styleId="Caption">
    <w:name w:val="caption"/>
    <w:basedOn w:val="Normal"/>
    <w:next w:val="Normal"/>
    <w:uiPriority w:val="98"/>
    <w:semiHidden/>
    <w:qFormat/>
    <w:rsid w:val="002B5B43"/>
    <w:pPr>
      <w:spacing w:after="200"/>
    </w:pPr>
    <w:rPr>
      <w:b/>
      <w:bCs/>
      <w:color w:val="0072BC" w:themeColor="accent1"/>
      <w:sz w:val="18"/>
      <w:szCs w:val="18"/>
    </w:rPr>
  </w:style>
  <w:style w:type="paragraph" w:styleId="Closing">
    <w:name w:val="Closing"/>
    <w:basedOn w:val="Normal"/>
    <w:link w:val="ClosingChar"/>
    <w:uiPriority w:val="98"/>
    <w:semiHidden/>
    <w:rsid w:val="002B5B43"/>
    <w:pPr>
      <w:ind w:left="4252"/>
    </w:pPr>
  </w:style>
  <w:style w:type="character" w:customStyle="1" w:styleId="ClosingChar">
    <w:name w:val="Closing Char"/>
    <w:basedOn w:val="DefaultParagraphFont"/>
    <w:link w:val="Closing"/>
    <w:uiPriority w:val="98"/>
    <w:semiHidden/>
    <w:rsid w:val="002B5B43"/>
    <w:rPr>
      <w:sz w:val="24"/>
      <w:szCs w:val="24"/>
      <w:lang w:val="ro-RO"/>
    </w:rPr>
  </w:style>
  <w:style w:type="table" w:styleId="ColorfulGrid">
    <w:name w:val="Colorful Grid"/>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B5B4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B5B4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B5B4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B5B4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B5B4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B5B4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B5B4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B5B4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B5B4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B5B4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B5B4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B5B43"/>
    <w:rPr>
      <w:sz w:val="16"/>
      <w:szCs w:val="16"/>
    </w:rPr>
  </w:style>
  <w:style w:type="paragraph" w:styleId="CommentText">
    <w:name w:val="annotation text"/>
    <w:basedOn w:val="Normal"/>
    <w:link w:val="CommentTextChar"/>
    <w:uiPriority w:val="98"/>
    <w:semiHidden/>
    <w:rsid w:val="002B5B43"/>
    <w:rPr>
      <w:sz w:val="20"/>
      <w:szCs w:val="20"/>
    </w:rPr>
  </w:style>
  <w:style w:type="character" w:customStyle="1" w:styleId="CommentTextChar">
    <w:name w:val="Comment Text Char"/>
    <w:basedOn w:val="DefaultParagraphFont"/>
    <w:link w:val="CommentText"/>
    <w:uiPriority w:val="98"/>
    <w:semiHidden/>
    <w:rsid w:val="002B5B43"/>
    <w:rPr>
      <w:sz w:val="20"/>
      <w:szCs w:val="20"/>
      <w:lang w:val="ro-RO"/>
    </w:rPr>
  </w:style>
  <w:style w:type="paragraph" w:styleId="CommentSubject">
    <w:name w:val="annotation subject"/>
    <w:basedOn w:val="CommentText"/>
    <w:next w:val="CommentText"/>
    <w:link w:val="CommentSubjectChar"/>
    <w:uiPriority w:val="98"/>
    <w:semiHidden/>
    <w:rsid w:val="002B5B43"/>
    <w:rPr>
      <w:b/>
      <w:bCs/>
    </w:rPr>
  </w:style>
  <w:style w:type="character" w:customStyle="1" w:styleId="CommentSubjectChar">
    <w:name w:val="Comment Subject Char"/>
    <w:basedOn w:val="CommentTextChar"/>
    <w:link w:val="CommentSubject"/>
    <w:uiPriority w:val="98"/>
    <w:semiHidden/>
    <w:rsid w:val="002B5B43"/>
    <w:rPr>
      <w:b/>
      <w:bCs/>
      <w:sz w:val="20"/>
      <w:szCs w:val="20"/>
      <w:lang w:val="ro-RO"/>
    </w:rPr>
  </w:style>
  <w:style w:type="table" w:styleId="DarkList">
    <w:name w:val="Dark List"/>
    <w:basedOn w:val="TableNormal"/>
    <w:uiPriority w:val="70"/>
    <w:semiHidden/>
    <w:rsid w:val="002B5B4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B5B4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B5B4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B5B4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B5B4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B5B4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B5B4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B5B43"/>
  </w:style>
  <w:style w:type="character" w:customStyle="1" w:styleId="DateChar">
    <w:name w:val="Date Char"/>
    <w:basedOn w:val="DefaultParagraphFont"/>
    <w:link w:val="Date"/>
    <w:uiPriority w:val="98"/>
    <w:semiHidden/>
    <w:rsid w:val="002B5B43"/>
    <w:rPr>
      <w:sz w:val="24"/>
      <w:szCs w:val="24"/>
      <w:lang w:val="ro-RO"/>
    </w:rPr>
  </w:style>
  <w:style w:type="paragraph" w:styleId="DocumentMap">
    <w:name w:val="Document Map"/>
    <w:basedOn w:val="Normal"/>
    <w:link w:val="DocumentMapChar"/>
    <w:uiPriority w:val="98"/>
    <w:semiHidden/>
    <w:rsid w:val="002B5B43"/>
    <w:rPr>
      <w:rFonts w:ascii="Tahoma" w:hAnsi="Tahoma" w:cs="Tahoma"/>
      <w:sz w:val="16"/>
      <w:szCs w:val="16"/>
    </w:rPr>
  </w:style>
  <w:style w:type="character" w:customStyle="1" w:styleId="DocumentMapChar">
    <w:name w:val="Document Map Char"/>
    <w:basedOn w:val="DefaultParagraphFont"/>
    <w:link w:val="DocumentMap"/>
    <w:uiPriority w:val="98"/>
    <w:semiHidden/>
    <w:rsid w:val="002B5B43"/>
    <w:rPr>
      <w:rFonts w:ascii="Tahoma" w:hAnsi="Tahoma" w:cs="Tahoma"/>
      <w:sz w:val="16"/>
      <w:szCs w:val="16"/>
      <w:lang w:val="ro-RO"/>
    </w:rPr>
  </w:style>
  <w:style w:type="paragraph" w:styleId="E-mailSignature">
    <w:name w:val="E-mail Signature"/>
    <w:basedOn w:val="Normal"/>
    <w:link w:val="E-mailSignatureChar"/>
    <w:uiPriority w:val="98"/>
    <w:semiHidden/>
    <w:rsid w:val="002B5B43"/>
  </w:style>
  <w:style w:type="character" w:customStyle="1" w:styleId="E-mailSignatureChar">
    <w:name w:val="E-mail Signature Char"/>
    <w:basedOn w:val="DefaultParagraphFont"/>
    <w:link w:val="E-mailSignature"/>
    <w:uiPriority w:val="98"/>
    <w:semiHidden/>
    <w:rsid w:val="002B5B43"/>
    <w:rPr>
      <w:sz w:val="24"/>
      <w:szCs w:val="24"/>
      <w:lang w:val="ro-RO"/>
    </w:rPr>
  </w:style>
  <w:style w:type="character" w:styleId="EndnoteReference">
    <w:name w:val="endnote reference"/>
    <w:basedOn w:val="DefaultParagraphFont"/>
    <w:uiPriority w:val="98"/>
    <w:semiHidden/>
    <w:rsid w:val="002B5B43"/>
    <w:rPr>
      <w:vertAlign w:val="superscript"/>
    </w:rPr>
  </w:style>
  <w:style w:type="paragraph" w:styleId="EndnoteText">
    <w:name w:val="endnote text"/>
    <w:basedOn w:val="Normal"/>
    <w:link w:val="EndnoteTextChar"/>
    <w:uiPriority w:val="98"/>
    <w:semiHidden/>
    <w:rsid w:val="002B5B43"/>
    <w:rPr>
      <w:sz w:val="20"/>
      <w:szCs w:val="20"/>
    </w:rPr>
  </w:style>
  <w:style w:type="character" w:customStyle="1" w:styleId="EndnoteTextChar">
    <w:name w:val="Endnote Text Char"/>
    <w:basedOn w:val="DefaultParagraphFont"/>
    <w:link w:val="EndnoteText"/>
    <w:uiPriority w:val="98"/>
    <w:semiHidden/>
    <w:rsid w:val="002B5B43"/>
    <w:rPr>
      <w:sz w:val="20"/>
      <w:szCs w:val="20"/>
      <w:lang w:val="ro-RO"/>
    </w:rPr>
  </w:style>
  <w:style w:type="paragraph" w:styleId="EnvelopeAddress">
    <w:name w:val="envelope address"/>
    <w:basedOn w:val="Normal"/>
    <w:uiPriority w:val="98"/>
    <w:semiHidden/>
    <w:rsid w:val="002B5B4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B5B4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B5B43"/>
    <w:rPr>
      <w:color w:val="7030A0" w:themeColor="followedHyperlink"/>
      <w:u w:val="single"/>
    </w:rPr>
  </w:style>
  <w:style w:type="character" w:styleId="HTMLAcronym">
    <w:name w:val="HTML Acronym"/>
    <w:basedOn w:val="DefaultParagraphFont"/>
    <w:uiPriority w:val="98"/>
    <w:semiHidden/>
    <w:rsid w:val="002B5B43"/>
  </w:style>
  <w:style w:type="paragraph" w:styleId="HTMLAddress">
    <w:name w:val="HTML Address"/>
    <w:basedOn w:val="Normal"/>
    <w:link w:val="HTMLAddressChar"/>
    <w:uiPriority w:val="98"/>
    <w:semiHidden/>
    <w:rsid w:val="002B5B43"/>
    <w:rPr>
      <w:i/>
      <w:iCs/>
    </w:rPr>
  </w:style>
  <w:style w:type="character" w:customStyle="1" w:styleId="HTMLAddressChar">
    <w:name w:val="HTML Address Char"/>
    <w:basedOn w:val="DefaultParagraphFont"/>
    <w:link w:val="HTMLAddress"/>
    <w:uiPriority w:val="98"/>
    <w:semiHidden/>
    <w:rsid w:val="002B5B43"/>
    <w:rPr>
      <w:i/>
      <w:iCs/>
      <w:sz w:val="24"/>
      <w:szCs w:val="24"/>
      <w:lang w:val="ro-RO"/>
    </w:rPr>
  </w:style>
  <w:style w:type="character" w:styleId="HTMLCite">
    <w:name w:val="HTML Cite"/>
    <w:basedOn w:val="DefaultParagraphFont"/>
    <w:uiPriority w:val="98"/>
    <w:semiHidden/>
    <w:rsid w:val="002B5B43"/>
    <w:rPr>
      <w:i/>
      <w:iCs/>
    </w:rPr>
  </w:style>
  <w:style w:type="character" w:styleId="HTMLCode">
    <w:name w:val="HTML Code"/>
    <w:basedOn w:val="DefaultParagraphFont"/>
    <w:uiPriority w:val="98"/>
    <w:semiHidden/>
    <w:rsid w:val="002B5B43"/>
    <w:rPr>
      <w:rFonts w:ascii="Consolas" w:hAnsi="Consolas" w:cs="Consolas"/>
      <w:sz w:val="20"/>
      <w:szCs w:val="20"/>
    </w:rPr>
  </w:style>
  <w:style w:type="character" w:styleId="HTMLDefinition">
    <w:name w:val="HTML Definition"/>
    <w:basedOn w:val="DefaultParagraphFont"/>
    <w:uiPriority w:val="98"/>
    <w:semiHidden/>
    <w:rsid w:val="002B5B43"/>
    <w:rPr>
      <w:i/>
      <w:iCs/>
    </w:rPr>
  </w:style>
  <w:style w:type="character" w:styleId="HTMLKeyboard">
    <w:name w:val="HTML Keyboard"/>
    <w:basedOn w:val="DefaultParagraphFont"/>
    <w:uiPriority w:val="98"/>
    <w:semiHidden/>
    <w:rsid w:val="002B5B43"/>
    <w:rPr>
      <w:rFonts w:ascii="Consolas" w:hAnsi="Consolas" w:cs="Consolas"/>
      <w:sz w:val="20"/>
      <w:szCs w:val="20"/>
    </w:rPr>
  </w:style>
  <w:style w:type="paragraph" w:styleId="HTMLPreformatted">
    <w:name w:val="HTML Preformatted"/>
    <w:basedOn w:val="Normal"/>
    <w:link w:val="HTMLPreformattedChar"/>
    <w:uiPriority w:val="98"/>
    <w:semiHidden/>
    <w:rsid w:val="002B5B4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B5B43"/>
    <w:rPr>
      <w:rFonts w:ascii="Consolas" w:hAnsi="Consolas" w:cs="Consolas"/>
      <w:sz w:val="20"/>
      <w:szCs w:val="20"/>
      <w:lang w:val="ro-RO"/>
    </w:rPr>
  </w:style>
  <w:style w:type="character" w:styleId="HTMLSample">
    <w:name w:val="HTML Sample"/>
    <w:basedOn w:val="DefaultParagraphFont"/>
    <w:uiPriority w:val="98"/>
    <w:semiHidden/>
    <w:rsid w:val="002B5B43"/>
    <w:rPr>
      <w:rFonts w:ascii="Consolas" w:hAnsi="Consolas" w:cs="Consolas"/>
      <w:sz w:val="24"/>
      <w:szCs w:val="24"/>
    </w:rPr>
  </w:style>
  <w:style w:type="character" w:styleId="HTMLTypewriter">
    <w:name w:val="HTML Typewriter"/>
    <w:basedOn w:val="DefaultParagraphFont"/>
    <w:uiPriority w:val="98"/>
    <w:semiHidden/>
    <w:rsid w:val="002B5B43"/>
    <w:rPr>
      <w:rFonts w:ascii="Consolas" w:hAnsi="Consolas" w:cs="Consolas"/>
      <w:sz w:val="20"/>
      <w:szCs w:val="20"/>
    </w:rPr>
  </w:style>
  <w:style w:type="character" w:styleId="HTMLVariable">
    <w:name w:val="HTML Variable"/>
    <w:basedOn w:val="DefaultParagraphFont"/>
    <w:uiPriority w:val="98"/>
    <w:semiHidden/>
    <w:rsid w:val="002B5B43"/>
    <w:rPr>
      <w:i/>
      <w:iCs/>
    </w:rPr>
  </w:style>
  <w:style w:type="paragraph" w:styleId="Index1">
    <w:name w:val="index 1"/>
    <w:basedOn w:val="Normal"/>
    <w:next w:val="Normal"/>
    <w:autoRedefine/>
    <w:uiPriority w:val="98"/>
    <w:semiHidden/>
    <w:rsid w:val="002B5B43"/>
    <w:pPr>
      <w:ind w:left="240" w:hanging="240"/>
    </w:pPr>
  </w:style>
  <w:style w:type="paragraph" w:styleId="Index2">
    <w:name w:val="index 2"/>
    <w:basedOn w:val="Normal"/>
    <w:next w:val="Normal"/>
    <w:autoRedefine/>
    <w:uiPriority w:val="98"/>
    <w:semiHidden/>
    <w:rsid w:val="002B5B43"/>
    <w:pPr>
      <w:ind w:left="480" w:hanging="240"/>
    </w:pPr>
  </w:style>
  <w:style w:type="paragraph" w:styleId="Index3">
    <w:name w:val="index 3"/>
    <w:basedOn w:val="Normal"/>
    <w:next w:val="Normal"/>
    <w:autoRedefine/>
    <w:uiPriority w:val="98"/>
    <w:semiHidden/>
    <w:rsid w:val="002B5B43"/>
    <w:pPr>
      <w:ind w:left="720" w:hanging="240"/>
    </w:pPr>
  </w:style>
  <w:style w:type="paragraph" w:styleId="Index4">
    <w:name w:val="index 4"/>
    <w:basedOn w:val="Normal"/>
    <w:next w:val="Normal"/>
    <w:autoRedefine/>
    <w:uiPriority w:val="98"/>
    <w:semiHidden/>
    <w:rsid w:val="002B5B43"/>
    <w:pPr>
      <w:ind w:left="960" w:hanging="240"/>
    </w:pPr>
  </w:style>
  <w:style w:type="paragraph" w:styleId="Index5">
    <w:name w:val="index 5"/>
    <w:basedOn w:val="Normal"/>
    <w:next w:val="Normal"/>
    <w:autoRedefine/>
    <w:uiPriority w:val="98"/>
    <w:semiHidden/>
    <w:rsid w:val="002B5B43"/>
    <w:pPr>
      <w:ind w:left="1200" w:hanging="240"/>
    </w:pPr>
  </w:style>
  <w:style w:type="paragraph" w:styleId="Index6">
    <w:name w:val="index 6"/>
    <w:basedOn w:val="Normal"/>
    <w:next w:val="Normal"/>
    <w:autoRedefine/>
    <w:uiPriority w:val="98"/>
    <w:semiHidden/>
    <w:rsid w:val="002B5B43"/>
    <w:pPr>
      <w:ind w:left="1440" w:hanging="240"/>
    </w:pPr>
  </w:style>
  <w:style w:type="paragraph" w:styleId="Index7">
    <w:name w:val="index 7"/>
    <w:basedOn w:val="Normal"/>
    <w:next w:val="Normal"/>
    <w:autoRedefine/>
    <w:uiPriority w:val="98"/>
    <w:semiHidden/>
    <w:rsid w:val="002B5B43"/>
    <w:pPr>
      <w:ind w:left="1680" w:hanging="240"/>
    </w:pPr>
  </w:style>
  <w:style w:type="paragraph" w:styleId="Index8">
    <w:name w:val="index 8"/>
    <w:basedOn w:val="Normal"/>
    <w:next w:val="Normal"/>
    <w:autoRedefine/>
    <w:uiPriority w:val="98"/>
    <w:semiHidden/>
    <w:rsid w:val="002B5B43"/>
    <w:pPr>
      <w:ind w:left="1920" w:hanging="240"/>
    </w:pPr>
  </w:style>
  <w:style w:type="paragraph" w:styleId="Index9">
    <w:name w:val="index 9"/>
    <w:basedOn w:val="Normal"/>
    <w:next w:val="Normal"/>
    <w:autoRedefine/>
    <w:uiPriority w:val="98"/>
    <w:semiHidden/>
    <w:rsid w:val="002B5B43"/>
    <w:pPr>
      <w:ind w:left="2160" w:hanging="240"/>
    </w:pPr>
  </w:style>
  <w:style w:type="paragraph" w:styleId="IndexHeading">
    <w:name w:val="index heading"/>
    <w:basedOn w:val="Normal"/>
    <w:next w:val="Index1"/>
    <w:uiPriority w:val="98"/>
    <w:semiHidden/>
    <w:rsid w:val="002B5B43"/>
    <w:rPr>
      <w:rFonts w:asciiTheme="majorHAnsi" w:eastAsiaTheme="majorEastAsia" w:hAnsiTheme="majorHAnsi" w:cstheme="majorBidi"/>
      <w:b/>
      <w:bCs/>
    </w:rPr>
  </w:style>
  <w:style w:type="table" w:styleId="LightGrid">
    <w:name w:val="Light Grid"/>
    <w:basedOn w:val="TableNormal"/>
    <w:uiPriority w:val="62"/>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B5B4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B5B4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B5B4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B5B4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B5B4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B5B4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B5B4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B5B43"/>
  </w:style>
  <w:style w:type="paragraph" w:styleId="List">
    <w:name w:val="List"/>
    <w:basedOn w:val="Normal"/>
    <w:uiPriority w:val="98"/>
    <w:semiHidden/>
    <w:rsid w:val="002B5B43"/>
    <w:pPr>
      <w:ind w:left="283" w:hanging="283"/>
      <w:contextualSpacing/>
    </w:pPr>
  </w:style>
  <w:style w:type="paragraph" w:styleId="List2">
    <w:name w:val="List 2"/>
    <w:basedOn w:val="Normal"/>
    <w:uiPriority w:val="98"/>
    <w:semiHidden/>
    <w:rsid w:val="002B5B43"/>
    <w:pPr>
      <w:ind w:left="566" w:hanging="283"/>
      <w:contextualSpacing/>
    </w:pPr>
  </w:style>
  <w:style w:type="paragraph" w:styleId="List3">
    <w:name w:val="List 3"/>
    <w:basedOn w:val="Normal"/>
    <w:uiPriority w:val="98"/>
    <w:semiHidden/>
    <w:rsid w:val="002B5B43"/>
    <w:pPr>
      <w:ind w:left="849" w:hanging="283"/>
      <w:contextualSpacing/>
    </w:pPr>
  </w:style>
  <w:style w:type="paragraph" w:styleId="List4">
    <w:name w:val="List 4"/>
    <w:basedOn w:val="Normal"/>
    <w:uiPriority w:val="98"/>
    <w:semiHidden/>
    <w:rsid w:val="002B5B43"/>
    <w:pPr>
      <w:ind w:left="1132" w:hanging="283"/>
      <w:contextualSpacing/>
    </w:pPr>
  </w:style>
  <w:style w:type="paragraph" w:styleId="List5">
    <w:name w:val="List 5"/>
    <w:basedOn w:val="Normal"/>
    <w:uiPriority w:val="98"/>
    <w:semiHidden/>
    <w:rsid w:val="002B5B43"/>
    <w:pPr>
      <w:ind w:left="1415" w:hanging="283"/>
      <w:contextualSpacing/>
    </w:pPr>
  </w:style>
  <w:style w:type="paragraph" w:styleId="ListBullet2">
    <w:name w:val="List Bullet 2"/>
    <w:basedOn w:val="Normal"/>
    <w:uiPriority w:val="98"/>
    <w:semiHidden/>
    <w:rsid w:val="002B5B43"/>
    <w:pPr>
      <w:numPr>
        <w:numId w:val="12"/>
      </w:numPr>
      <w:contextualSpacing/>
    </w:pPr>
  </w:style>
  <w:style w:type="paragraph" w:styleId="ListBullet4">
    <w:name w:val="List Bullet 4"/>
    <w:basedOn w:val="Normal"/>
    <w:uiPriority w:val="98"/>
    <w:semiHidden/>
    <w:rsid w:val="002B5B43"/>
    <w:pPr>
      <w:numPr>
        <w:numId w:val="14"/>
      </w:numPr>
      <w:contextualSpacing/>
    </w:pPr>
  </w:style>
  <w:style w:type="paragraph" w:styleId="ListBullet5">
    <w:name w:val="List Bullet 5"/>
    <w:basedOn w:val="Normal"/>
    <w:uiPriority w:val="98"/>
    <w:semiHidden/>
    <w:rsid w:val="002B5B43"/>
    <w:pPr>
      <w:numPr>
        <w:numId w:val="15"/>
      </w:numPr>
      <w:contextualSpacing/>
    </w:pPr>
  </w:style>
  <w:style w:type="paragraph" w:styleId="ListContinue">
    <w:name w:val="List Continue"/>
    <w:basedOn w:val="Normal"/>
    <w:uiPriority w:val="98"/>
    <w:semiHidden/>
    <w:rsid w:val="002B5B43"/>
    <w:pPr>
      <w:spacing w:after="120"/>
      <w:ind w:left="283"/>
      <w:contextualSpacing/>
    </w:pPr>
  </w:style>
  <w:style w:type="paragraph" w:styleId="ListContinue2">
    <w:name w:val="List Continue 2"/>
    <w:basedOn w:val="Normal"/>
    <w:uiPriority w:val="98"/>
    <w:semiHidden/>
    <w:rsid w:val="002B5B43"/>
    <w:pPr>
      <w:spacing w:after="120"/>
      <w:ind w:left="566"/>
      <w:contextualSpacing/>
    </w:pPr>
  </w:style>
  <w:style w:type="paragraph" w:styleId="ListContinue3">
    <w:name w:val="List Continue 3"/>
    <w:basedOn w:val="Normal"/>
    <w:uiPriority w:val="98"/>
    <w:semiHidden/>
    <w:rsid w:val="002B5B43"/>
    <w:pPr>
      <w:spacing w:after="120"/>
      <w:ind w:left="849"/>
      <w:contextualSpacing/>
    </w:pPr>
  </w:style>
  <w:style w:type="paragraph" w:styleId="ListContinue4">
    <w:name w:val="List Continue 4"/>
    <w:basedOn w:val="Normal"/>
    <w:uiPriority w:val="98"/>
    <w:semiHidden/>
    <w:rsid w:val="002B5B43"/>
    <w:pPr>
      <w:spacing w:after="120"/>
      <w:ind w:left="1132"/>
      <w:contextualSpacing/>
    </w:pPr>
  </w:style>
  <w:style w:type="paragraph" w:styleId="ListContinue5">
    <w:name w:val="List Continue 5"/>
    <w:basedOn w:val="Normal"/>
    <w:uiPriority w:val="98"/>
    <w:semiHidden/>
    <w:rsid w:val="002B5B43"/>
    <w:pPr>
      <w:spacing w:after="120"/>
      <w:ind w:left="1415"/>
      <w:contextualSpacing/>
    </w:pPr>
  </w:style>
  <w:style w:type="paragraph" w:styleId="ListNumber">
    <w:name w:val="List Number"/>
    <w:basedOn w:val="Normal"/>
    <w:uiPriority w:val="98"/>
    <w:semiHidden/>
    <w:rsid w:val="002B5B43"/>
    <w:pPr>
      <w:numPr>
        <w:numId w:val="16"/>
      </w:numPr>
      <w:contextualSpacing/>
    </w:pPr>
  </w:style>
  <w:style w:type="paragraph" w:styleId="ListNumber2">
    <w:name w:val="List Number 2"/>
    <w:basedOn w:val="Normal"/>
    <w:uiPriority w:val="98"/>
    <w:semiHidden/>
    <w:rsid w:val="002B5B43"/>
    <w:pPr>
      <w:numPr>
        <w:numId w:val="17"/>
      </w:numPr>
      <w:contextualSpacing/>
    </w:pPr>
  </w:style>
  <w:style w:type="paragraph" w:styleId="ListNumber3">
    <w:name w:val="List Number 3"/>
    <w:basedOn w:val="Normal"/>
    <w:uiPriority w:val="98"/>
    <w:semiHidden/>
    <w:rsid w:val="002B5B43"/>
    <w:pPr>
      <w:numPr>
        <w:numId w:val="18"/>
      </w:numPr>
      <w:contextualSpacing/>
    </w:pPr>
  </w:style>
  <w:style w:type="paragraph" w:styleId="ListNumber4">
    <w:name w:val="List Number 4"/>
    <w:basedOn w:val="Normal"/>
    <w:uiPriority w:val="98"/>
    <w:semiHidden/>
    <w:rsid w:val="002B5B43"/>
    <w:pPr>
      <w:numPr>
        <w:numId w:val="19"/>
      </w:numPr>
      <w:contextualSpacing/>
    </w:pPr>
  </w:style>
  <w:style w:type="paragraph" w:styleId="ListNumber5">
    <w:name w:val="List Number 5"/>
    <w:basedOn w:val="Normal"/>
    <w:uiPriority w:val="98"/>
    <w:semiHidden/>
    <w:rsid w:val="002B5B43"/>
    <w:pPr>
      <w:numPr>
        <w:numId w:val="20"/>
      </w:numPr>
      <w:contextualSpacing/>
    </w:pPr>
  </w:style>
  <w:style w:type="paragraph" w:styleId="MacroText">
    <w:name w:val="macro"/>
    <w:link w:val="MacroTextChar"/>
    <w:uiPriority w:val="98"/>
    <w:semiHidden/>
    <w:rsid w:val="002B5B4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B5B43"/>
    <w:rPr>
      <w:rFonts w:ascii="Consolas" w:eastAsiaTheme="minorEastAsia" w:hAnsi="Consolas" w:cs="Consolas"/>
      <w:sz w:val="20"/>
      <w:szCs w:val="20"/>
    </w:rPr>
  </w:style>
  <w:style w:type="table" w:styleId="MediumGrid1">
    <w:name w:val="Medium Grid 1"/>
    <w:basedOn w:val="TableNormal"/>
    <w:uiPriority w:val="67"/>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B5B4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B5B4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B5B4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B5B4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B5B4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B5B4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B5B4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B5B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B5B4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B5B43"/>
    <w:rPr>
      <w:rFonts w:ascii="Times New Roman" w:hAnsi="Times New Roman" w:cs="Times New Roman"/>
    </w:rPr>
  </w:style>
  <w:style w:type="paragraph" w:styleId="NormalIndent">
    <w:name w:val="Normal Indent"/>
    <w:basedOn w:val="Normal"/>
    <w:uiPriority w:val="98"/>
    <w:semiHidden/>
    <w:rsid w:val="002B5B43"/>
    <w:pPr>
      <w:ind w:left="720"/>
    </w:pPr>
  </w:style>
  <w:style w:type="paragraph" w:styleId="NoteHeading">
    <w:name w:val="Note Heading"/>
    <w:basedOn w:val="Normal"/>
    <w:next w:val="Normal"/>
    <w:link w:val="NoteHeadingChar"/>
    <w:uiPriority w:val="98"/>
    <w:semiHidden/>
    <w:rsid w:val="002B5B43"/>
  </w:style>
  <w:style w:type="character" w:customStyle="1" w:styleId="NoteHeadingChar">
    <w:name w:val="Note Heading Char"/>
    <w:basedOn w:val="DefaultParagraphFont"/>
    <w:link w:val="NoteHeading"/>
    <w:uiPriority w:val="98"/>
    <w:semiHidden/>
    <w:rsid w:val="002B5B43"/>
    <w:rPr>
      <w:sz w:val="24"/>
      <w:szCs w:val="24"/>
      <w:lang w:val="ro-RO"/>
    </w:rPr>
  </w:style>
  <w:style w:type="character" w:styleId="PlaceholderText">
    <w:name w:val="Placeholder Text"/>
    <w:basedOn w:val="DefaultParagraphFont"/>
    <w:uiPriority w:val="98"/>
    <w:semiHidden/>
    <w:rsid w:val="002B5B4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B5B43"/>
    <w:rPr>
      <w:rFonts w:ascii="Consolas" w:hAnsi="Consolas" w:cs="Consolas"/>
      <w:sz w:val="21"/>
      <w:szCs w:val="21"/>
    </w:rPr>
  </w:style>
  <w:style w:type="character" w:customStyle="1" w:styleId="PlainTextChar">
    <w:name w:val="Plain Text Char"/>
    <w:basedOn w:val="DefaultParagraphFont"/>
    <w:link w:val="PlainText"/>
    <w:uiPriority w:val="98"/>
    <w:semiHidden/>
    <w:rsid w:val="002B5B43"/>
    <w:rPr>
      <w:rFonts w:ascii="Consolas" w:hAnsi="Consolas" w:cs="Consolas"/>
      <w:sz w:val="21"/>
      <w:szCs w:val="21"/>
      <w:lang w:val="ro-RO"/>
    </w:rPr>
  </w:style>
  <w:style w:type="paragraph" w:styleId="Salutation">
    <w:name w:val="Salutation"/>
    <w:basedOn w:val="Normal"/>
    <w:next w:val="Normal"/>
    <w:link w:val="SalutationChar"/>
    <w:uiPriority w:val="98"/>
    <w:semiHidden/>
    <w:rsid w:val="002B5B43"/>
  </w:style>
  <w:style w:type="character" w:customStyle="1" w:styleId="SalutationChar">
    <w:name w:val="Salutation Char"/>
    <w:basedOn w:val="DefaultParagraphFont"/>
    <w:link w:val="Salutation"/>
    <w:uiPriority w:val="98"/>
    <w:semiHidden/>
    <w:rsid w:val="002B5B43"/>
    <w:rPr>
      <w:sz w:val="24"/>
      <w:szCs w:val="24"/>
      <w:lang w:val="ro-RO"/>
    </w:rPr>
  </w:style>
  <w:style w:type="paragraph" w:styleId="Signature">
    <w:name w:val="Signature"/>
    <w:basedOn w:val="Normal"/>
    <w:link w:val="SignatureChar"/>
    <w:uiPriority w:val="98"/>
    <w:semiHidden/>
    <w:rsid w:val="002B5B43"/>
    <w:pPr>
      <w:ind w:left="4252"/>
    </w:pPr>
  </w:style>
  <w:style w:type="character" w:customStyle="1" w:styleId="SignatureChar">
    <w:name w:val="Signature Char"/>
    <w:basedOn w:val="DefaultParagraphFont"/>
    <w:link w:val="Signature"/>
    <w:uiPriority w:val="98"/>
    <w:semiHidden/>
    <w:rsid w:val="002B5B43"/>
    <w:rPr>
      <w:sz w:val="24"/>
      <w:szCs w:val="24"/>
      <w:lang w:val="ro-RO"/>
    </w:rPr>
  </w:style>
  <w:style w:type="table" w:styleId="Table3Deffects1">
    <w:name w:val="Table 3D effects 1"/>
    <w:basedOn w:val="TableNormal"/>
    <w:uiPriority w:val="99"/>
    <w:semiHidden/>
    <w:unhideWhenUsed/>
    <w:rsid w:val="002B5B4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B5B4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B5B4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B5B4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B5B4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B5B4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B5B4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B5B4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B5B4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B5B4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B5B4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B5B4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B5B4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B5B4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B5B4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B5B4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B5B4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B5B4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B5B4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B5B4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B5B4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B5B4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B5B4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B5B4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B5B43"/>
    <w:pPr>
      <w:ind w:left="240" w:hanging="240"/>
    </w:pPr>
  </w:style>
  <w:style w:type="paragraph" w:styleId="TableofFigures">
    <w:name w:val="table of figures"/>
    <w:basedOn w:val="Normal"/>
    <w:next w:val="Normal"/>
    <w:uiPriority w:val="98"/>
    <w:semiHidden/>
    <w:rsid w:val="002B5B43"/>
  </w:style>
  <w:style w:type="table" w:styleId="TableProfessional">
    <w:name w:val="Table Professional"/>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B5B4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B5B4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B5B4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B5B4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B5B4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B5B4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B5B4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B5B4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B5B4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B5B4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B5B43"/>
    <w:pPr>
      <w:spacing w:after="100"/>
      <w:ind w:left="1680"/>
    </w:pPr>
  </w:style>
  <w:style w:type="paragraph" w:styleId="TOC9">
    <w:name w:val="toc 9"/>
    <w:basedOn w:val="Normal"/>
    <w:next w:val="Normal"/>
    <w:autoRedefine/>
    <w:uiPriority w:val="98"/>
    <w:semiHidden/>
    <w:rsid w:val="002B5B43"/>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B5B4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B5B4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B5B4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2B5B4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B5B43"/>
    <w:pPr>
      <w:numPr>
        <w:numId w:val="7"/>
      </w:numPr>
      <w:spacing w:before="60" w:after="60"/>
    </w:pPr>
  </w:style>
  <w:style w:type="paragraph" w:customStyle="1" w:styleId="ECHRBullet2">
    <w:name w:val="ECHR_Bullet_2"/>
    <w:aliases w:val="_Bul_2"/>
    <w:basedOn w:val="ECHRBullet1"/>
    <w:uiPriority w:val="23"/>
    <w:semiHidden/>
    <w:rsid w:val="002B5B43"/>
    <w:pPr>
      <w:numPr>
        <w:ilvl w:val="1"/>
      </w:numPr>
    </w:pPr>
  </w:style>
  <w:style w:type="paragraph" w:customStyle="1" w:styleId="ECHRBullet3">
    <w:name w:val="ECHR_Bullet_3"/>
    <w:aliases w:val="_Bul_3"/>
    <w:basedOn w:val="ECHRBullet2"/>
    <w:uiPriority w:val="23"/>
    <w:semiHidden/>
    <w:rsid w:val="002B5B43"/>
    <w:pPr>
      <w:numPr>
        <w:ilvl w:val="2"/>
      </w:numPr>
    </w:pPr>
  </w:style>
  <w:style w:type="paragraph" w:customStyle="1" w:styleId="ECHRBullet4">
    <w:name w:val="ECHR_Bullet_4"/>
    <w:aliases w:val="_Bul_4"/>
    <w:basedOn w:val="ECHRBullet3"/>
    <w:uiPriority w:val="23"/>
    <w:semiHidden/>
    <w:rsid w:val="002B5B43"/>
    <w:pPr>
      <w:numPr>
        <w:ilvl w:val="3"/>
      </w:numPr>
    </w:pPr>
  </w:style>
  <w:style w:type="paragraph" w:customStyle="1" w:styleId="ECHRConfidential">
    <w:name w:val="ECHR_Confidential"/>
    <w:aliases w:val="_Confidential"/>
    <w:basedOn w:val="Normal"/>
    <w:next w:val="Normal"/>
    <w:uiPriority w:val="42"/>
    <w:semiHidden/>
    <w:qFormat/>
    <w:rsid w:val="002B5B43"/>
    <w:pPr>
      <w:jc w:val="right"/>
    </w:pPr>
    <w:rPr>
      <w:color w:val="C00000"/>
      <w:sz w:val="20"/>
    </w:rPr>
  </w:style>
  <w:style w:type="paragraph" w:customStyle="1" w:styleId="ECHRDecisionBody">
    <w:name w:val="ECHR_Decision_Body"/>
    <w:aliases w:val="_Decision_Body"/>
    <w:basedOn w:val="NormalJustified"/>
    <w:uiPriority w:val="54"/>
    <w:semiHidden/>
    <w:rsid w:val="002B5B4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B5B4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B5B4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2B5B4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B5B43"/>
    <w:pPr>
      <w:jc w:val="right"/>
    </w:pPr>
    <w:rPr>
      <w:sz w:val="20"/>
    </w:rPr>
  </w:style>
  <w:style w:type="paragraph" w:customStyle="1" w:styleId="ECHRHeaderRefIt">
    <w:name w:val="ECHR_Header_Ref_It"/>
    <w:aliases w:val="_Ref_Ital"/>
    <w:basedOn w:val="Normal"/>
    <w:next w:val="ECHRHeaderDate"/>
    <w:uiPriority w:val="43"/>
    <w:semiHidden/>
    <w:qFormat/>
    <w:rsid w:val="002B5B43"/>
    <w:pPr>
      <w:jc w:val="right"/>
    </w:pPr>
    <w:rPr>
      <w:i/>
      <w:sz w:val="20"/>
    </w:rPr>
  </w:style>
  <w:style w:type="paragraph" w:customStyle="1" w:styleId="ECHRHeading9">
    <w:name w:val="ECHR_Heading_9"/>
    <w:aliases w:val="_Head_9"/>
    <w:basedOn w:val="Heading9"/>
    <w:uiPriority w:val="17"/>
    <w:semiHidden/>
    <w:rsid w:val="002B5B43"/>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B5B4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B5B43"/>
    <w:pPr>
      <w:numPr>
        <w:numId w:val="8"/>
      </w:numPr>
      <w:spacing w:before="60" w:after="60"/>
    </w:pPr>
  </w:style>
  <w:style w:type="paragraph" w:customStyle="1" w:styleId="ECHRNumberedList2">
    <w:name w:val="ECHR_Numbered_List_2"/>
    <w:aliases w:val="_Num_2"/>
    <w:basedOn w:val="ECHRNumberedList1"/>
    <w:uiPriority w:val="23"/>
    <w:semiHidden/>
    <w:rsid w:val="002B5B43"/>
    <w:pPr>
      <w:numPr>
        <w:ilvl w:val="1"/>
      </w:numPr>
    </w:pPr>
  </w:style>
  <w:style w:type="paragraph" w:customStyle="1" w:styleId="ECHRNumberedList3">
    <w:name w:val="ECHR_Numbered_List_3"/>
    <w:aliases w:val="_Num_3"/>
    <w:basedOn w:val="ECHRNumberedList2"/>
    <w:uiPriority w:val="23"/>
    <w:semiHidden/>
    <w:rsid w:val="002B5B43"/>
    <w:pPr>
      <w:numPr>
        <w:ilvl w:val="2"/>
      </w:numPr>
    </w:pPr>
  </w:style>
  <w:style w:type="paragraph" w:customStyle="1" w:styleId="ECHRParaHanging">
    <w:name w:val="ECHR_Para_Hanging"/>
    <w:aliases w:val="_Hanging"/>
    <w:basedOn w:val="NormalJustified"/>
    <w:uiPriority w:val="8"/>
    <w:semiHidden/>
    <w:qFormat/>
    <w:rsid w:val="002B5B43"/>
    <w:pPr>
      <w:ind w:left="567" w:hanging="567"/>
    </w:pPr>
  </w:style>
  <w:style w:type="paragraph" w:customStyle="1" w:styleId="ECHRParaIndent">
    <w:name w:val="ECHR_Para_Indent"/>
    <w:aliases w:val="_Indent"/>
    <w:basedOn w:val="NormalJustified"/>
    <w:uiPriority w:val="7"/>
    <w:semiHidden/>
    <w:qFormat/>
    <w:rsid w:val="002B5B43"/>
    <w:pPr>
      <w:spacing w:before="120" w:after="120"/>
      <w:ind w:left="284"/>
    </w:pPr>
  </w:style>
  <w:style w:type="character" w:customStyle="1" w:styleId="ECHRRed">
    <w:name w:val="ECHR_Red"/>
    <w:aliases w:val="_Red"/>
    <w:basedOn w:val="DefaultParagraphFont"/>
    <w:uiPriority w:val="15"/>
    <w:semiHidden/>
    <w:qFormat/>
    <w:rsid w:val="002B5B43"/>
    <w:rPr>
      <w:color w:val="C00000" w:themeColor="accent2"/>
    </w:rPr>
  </w:style>
  <w:style w:type="paragraph" w:customStyle="1" w:styleId="DecList">
    <w:name w:val="Dec_List"/>
    <w:aliases w:val="_List"/>
    <w:basedOn w:val="JuList"/>
    <w:uiPriority w:val="22"/>
    <w:rsid w:val="002B5B43"/>
    <w:pPr>
      <w:numPr>
        <w:numId w:val="0"/>
      </w:numPr>
      <w:ind w:left="284"/>
    </w:pPr>
  </w:style>
  <w:style w:type="table" w:customStyle="1" w:styleId="ECHRTable2">
    <w:name w:val="ECHR_Table_2"/>
    <w:basedOn w:val="TableNormal"/>
    <w:uiPriority w:val="99"/>
    <w:rsid w:val="002B5B4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B5B4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B5B4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B5B4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B5B4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B5B43"/>
    <w:pPr>
      <w:outlineLvl w:val="0"/>
    </w:pPr>
  </w:style>
  <w:style w:type="paragraph" w:customStyle="1" w:styleId="ECHRTitleTOC1">
    <w:name w:val="ECHR_Title_TOC_1"/>
    <w:aliases w:val="_Title_L_TOC"/>
    <w:basedOn w:val="ECHRTitle1"/>
    <w:next w:val="Normal"/>
    <w:uiPriority w:val="27"/>
    <w:semiHidden/>
    <w:qFormat/>
    <w:rsid w:val="002B5B43"/>
    <w:pPr>
      <w:outlineLvl w:val="0"/>
    </w:pPr>
  </w:style>
  <w:style w:type="paragraph" w:customStyle="1" w:styleId="ECHRPlaceholder">
    <w:name w:val="ECHR_Placeholder"/>
    <w:aliases w:val="_Placeholder"/>
    <w:basedOn w:val="JuSigned"/>
    <w:uiPriority w:val="31"/>
    <w:rsid w:val="002B5B43"/>
    <w:rPr>
      <w:color w:val="FFFFFF"/>
    </w:rPr>
  </w:style>
  <w:style w:type="paragraph" w:customStyle="1" w:styleId="ECHRSpacer">
    <w:name w:val="ECHR_Spacer"/>
    <w:aliases w:val="_Spacer"/>
    <w:basedOn w:val="Normal"/>
    <w:uiPriority w:val="45"/>
    <w:semiHidden/>
    <w:rsid w:val="002B5B43"/>
    <w:rPr>
      <w:sz w:val="4"/>
    </w:rPr>
  </w:style>
  <w:style w:type="table" w:customStyle="1" w:styleId="ECHRTableGrey">
    <w:name w:val="ECHR_Table_Grey"/>
    <w:basedOn w:val="TableNormal"/>
    <w:uiPriority w:val="99"/>
    <w:rsid w:val="002B5B4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2B5B43"/>
    <w:rPr>
      <w:color w:val="605E5C"/>
      <w:shd w:val="clear" w:color="auto" w:fill="E1DFDD"/>
    </w:rPr>
  </w:style>
  <w:style w:type="character" w:customStyle="1" w:styleId="JuParaChar">
    <w:name w:val="Ju_Para Char"/>
    <w:aliases w:val="_Para Char"/>
    <w:link w:val="JuPara"/>
    <w:uiPriority w:val="4"/>
    <w:rsid w:val="00477C9C"/>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BF6AE-CC24-4151-808C-995DA105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2786</Words>
  <Characters>16165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2024-11-12T08:52:00Z</dcterms:created>
  <dcterms:modified xsi:type="dcterms:W3CDTF">2024-11-25T14:19:00Z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1175654</vt:lpwstr>
  </property>
  <property fmtid="{D5CDD505-2E9C-101B-9397-08002B2CF9AE}" pid="3" name="cstLanguage">
    <vt:i4>2057</vt:i4>
  </property>
  <property fmtid="{D5CDD505-2E9C-101B-9397-08002B2CF9AE}" pid="4" name="RegisteredNo">
    <vt:lpwstr>2156/16</vt:lpwstr>
  </property>
</Properties>
</file>