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0D" w:rsidRPr="00E93AB0" w:rsidRDefault="00C812AD" w:rsidP="00C812AD">
      <w:pPr>
        <w:jc w:val="center"/>
      </w:pPr>
      <w:r>
        <w:t>CURTEA EUROPEANĂ A DREPTURILOR OMULUI</w:t>
      </w:r>
    </w:p>
    <w:p w:rsidR="00C812AD" w:rsidRDefault="00C812AD" w:rsidP="00E93AB0">
      <w:pPr>
        <w:pStyle w:val="DecHTitle"/>
      </w:pPr>
    </w:p>
    <w:p w:rsidR="0098410D" w:rsidRPr="00E93AB0" w:rsidRDefault="00C812AD" w:rsidP="00E93AB0">
      <w:pPr>
        <w:pStyle w:val="DecHTitle"/>
      </w:pPr>
      <w:r>
        <w:t>SECȚIA A PATRA</w:t>
      </w:r>
    </w:p>
    <w:p w:rsidR="008E6217" w:rsidRPr="00E93AB0" w:rsidRDefault="00C812AD" w:rsidP="00E93AB0">
      <w:pPr>
        <w:pStyle w:val="JuTitle"/>
        <w:spacing w:before="1080"/>
      </w:pPr>
      <w:r>
        <w:rPr>
          <w:color w:val="000000" w:themeColor="text1"/>
        </w:rPr>
        <w:t xml:space="preserve">CAUZA </w:t>
      </w:r>
      <w:r>
        <w:t>DIACONEASA ÎMPOTRIVA ROMÂNIEI</w:t>
      </w:r>
    </w:p>
    <w:p w:rsidR="00D74888" w:rsidRPr="00E93AB0" w:rsidRDefault="00C812AD" w:rsidP="00E93AB0">
      <w:pPr>
        <w:pStyle w:val="ECHRCoverTitle4"/>
      </w:pPr>
      <w:r>
        <w:t>(Cererea nr. 53162/21)</w:t>
      </w:r>
    </w:p>
    <w:p w:rsidR="0098410D" w:rsidRPr="00E93AB0" w:rsidRDefault="0098410D" w:rsidP="00E93AB0">
      <w:pPr>
        <w:pStyle w:val="DecHCase"/>
      </w:pPr>
    </w:p>
    <w:p w:rsidR="0098410D" w:rsidRPr="00E93AB0" w:rsidRDefault="0098410D" w:rsidP="00E93AB0">
      <w:pPr>
        <w:pStyle w:val="DecHCase"/>
      </w:pPr>
    </w:p>
    <w:p w:rsidR="0098410D" w:rsidRPr="00E93AB0" w:rsidRDefault="00C812AD" w:rsidP="00E93AB0">
      <w:pPr>
        <w:pStyle w:val="DecHCase"/>
        <w:spacing w:after="360"/>
      </w:pPr>
      <w:r>
        <w:t>HOTĂRÂRE</w:t>
      </w:r>
      <w:r>
        <w:br/>
      </w:r>
    </w:p>
    <w:p w:rsidR="00685EBF" w:rsidRDefault="00C812AD" w:rsidP="00E93AB0">
      <w:pPr>
        <w:pStyle w:val="JuPara"/>
        <w:pBdr>
          <w:top w:val="single" w:sz="4" w:space="1" w:color="auto"/>
          <w:left w:val="single" w:sz="4" w:space="4" w:color="auto"/>
          <w:bottom w:val="single" w:sz="4" w:space="1" w:color="auto"/>
          <w:right w:val="single" w:sz="4" w:space="4" w:color="auto"/>
        </w:pBdr>
        <w:ind w:firstLine="0"/>
      </w:pPr>
      <w:r>
        <w:t>Art. 8 • Viață privată •</w:t>
      </w:r>
      <w:r w:rsidR="00F20F09">
        <w:t xml:space="preserve"> </w:t>
      </w:r>
      <w:r>
        <w:t>Retragerea asistenței personale finanțate de stat acordată persoanei cu handicap fizic care duce la o gravă pierdere a autonomiei • Absența evaluării aprofundate a severității handicapului reclamantei și a aranjamentelor practice alternative • Neasigurarea unui just echilibru între interesele concurente în joc</w:t>
      </w:r>
    </w:p>
    <w:p w:rsidR="0081215A" w:rsidRDefault="0081215A" w:rsidP="00E93AB0">
      <w:pPr>
        <w:pStyle w:val="JuPara"/>
        <w:pBdr>
          <w:top w:val="single" w:sz="4" w:space="1" w:color="auto"/>
          <w:left w:val="single" w:sz="4" w:space="4" w:color="auto"/>
          <w:bottom w:val="single" w:sz="4" w:space="1" w:color="auto"/>
          <w:right w:val="single" w:sz="4" w:space="4" w:color="auto"/>
        </w:pBdr>
        <w:ind w:firstLine="0"/>
      </w:pPr>
    </w:p>
    <w:p w:rsidR="0081215A" w:rsidRPr="0029242E" w:rsidRDefault="00C812AD" w:rsidP="0081215A">
      <w:pPr>
        <w:pStyle w:val="JuPara"/>
        <w:pBdr>
          <w:top w:val="single" w:sz="4" w:space="1" w:color="auto"/>
          <w:left w:val="single" w:sz="4" w:space="4" w:color="auto"/>
          <w:bottom w:val="single" w:sz="4" w:space="1" w:color="auto"/>
          <w:right w:val="single" w:sz="4" w:space="4" w:color="auto"/>
        </w:pBdr>
        <w:jc w:val="center"/>
        <w:rPr>
          <w:sz w:val="20"/>
          <w:szCs w:val="20"/>
        </w:rPr>
      </w:pPr>
      <w:bookmarkStart w:id="0" w:name="_Hlk158113039"/>
      <w:r>
        <w:rPr>
          <w:sz w:val="20"/>
        </w:rPr>
        <w:t>Întocmit de Grefă. Nu obligă Curtea.</w:t>
      </w:r>
      <w:bookmarkEnd w:id="0"/>
    </w:p>
    <w:p w:rsidR="00685EBF" w:rsidRPr="00E93AB0" w:rsidRDefault="00685EBF" w:rsidP="00E93AB0">
      <w:pPr>
        <w:pStyle w:val="JuPara"/>
        <w:spacing w:after="240"/>
      </w:pPr>
    </w:p>
    <w:p w:rsidR="0098410D" w:rsidRPr="00E93AB0" w:rsidRDefault="00C812AD" w:rsidP="00E93AB0">
      <w:pPr>
        <w:pStyle w:val="DecHCase"/>
      </w:pPr>
      <w:r>
        <w:t>STRASBOURG</w:t>
      </w:r>
    </w:p>
    <w:p w:rsidR="0098410D" w:rsidRPr="00E93AB0" w:rsidRDefault="00C812AD" w:rsidP="00E93AB0">
      <w:pPr>
        <w:pStyle w:val="DecHCase"/>
      </w:pPr>
      <w:r>
        <w:rPr>
          <w:rFonts w:ascii="Times New Roman" w:hAnsi="Times New Roman"/>
        </w:rPr>
        <w:t>20 februarie 2024</w:t>
      </w:r>
    </w:p>
    <w:p w:rsidR="00685EBF" w:rsidRPr="00E93AB0" w:rsidRDefault="00685EBF" w:rsidP="00E93AB0">
      <w:pPr>
        <w:pStyle w:val="JuPara"/>
      </w:pPr>
    </w:p>
    <w:p w:rsidR="00685EBF" w:rsidRPr="00E93AB0" w:rsidRDefault="00685EBF" w:rsidP="00E93AB0">
      <w:pPr>
        <w:pStyle w:val="JuPara"/>
      </w:pPr>
    </w:p>
    <w:p w:rsidR="002422B6" w:rsidRPr="00E93AB0" w:rsidRDefault="00C812AD" w:rsidP="00E93AB0">
      <w:pPr>
        <w:rPr>
          <w:i/>
          <w:sz w:val="22"/>
        </w:rPr>
      </w:pPr>
      <w:r>
        <w:rPr>
          <w:i/>
          <w:sz w:val="22"/>
        </w:rPr>
        <w:t>Hotărârea devine definitivă în condițiile prevăzute la art. 44 § 2 din Convenție. Aceasta poate suferi modificări de formă.</w:t>
      </w:r>
    </w:p>
    <w:p w:rsidR="0098410D" w:rsidRPr="00E93AB0" w:rsidRDefault="0098410D" w:rsidP="00E93AB0"/>
    <w:p w:rsidR="00685EBF" w:rsidRPr="00E93AB0" w:rsidRDefault="00685EBF" w:rsidP="00E93AB0">
      <w:pPr>
        <w:sectPr w:rsidR="00685EBF" w:rsidRPr="00E93AB0"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98410D" w:rsidRPr="00E93AB0" w:rsidRDefault="00C812AD" w:rsidP="00E93AB0">
      <w:pPr>
        <w:pStyle w:val="JuCase"/>
      </w:pPr>
      <w:r>
        <w:lastRenderedPageBreak/>
        <w:t>În cauza Diaconeasa împotriva României,</w:t>
      </w:r>
    </w:p>
    <w:p w:rsidR="009F4C8F" w:rsidRPr="00E93AB0" w:rsidRDefault="00C812AD" w:rsidP="00E93AB0">
      <w:pPr>
        <w:pStyle w:val="JuPara"/>
      </w:pPr>
      <w:r>
        <w:t>Curtea Europeană a Drepturilor Omului (Secția a patra), reunită într-o cameră compusă din:</w:t>
      </w:r>
    </w:p>
    <w:p w:rsidR="00A92625" w:rsidRPr="00E93AB0" w:rsidRDefault="00C812AD" w:rsidP="00E93AB0">
      <w:pPr>
        <w:pStyle w:val="JuJudges"/>
      </w:pPr>
      <w:r>
        <w:tab/>
        <w:t>Gabriele Kucsko-Stadlmayer</w:t>
      </w:r>
      <w:r>
        <w:rPr>
          <w:i/>
        </w:rPr>
        <w:t>, președinte</w:t>
      </w:r>
      <w:r w:rsidR="00F20F09">
        <w:t>,</w:t>
      </w:r>
      <w:r>
        <w:br/>
      </w:r>
      <w:r>
        <w:tab/>
      </w:r>
      <w:proofErr w:type="spellStart"/>
      <w:r>
        <w:t>Faris</w:t>
      </w:r>
      <w:proofErr w:type="spellEnd"/>
      <w:r>
        <w:t xml:space="preserve"> </w:t>
      </w:r>
      <w:proofErr w:type="spellStart"/>
      <w:r>
        <w:t>Vehabović</w:t>
      </w:r>
      <w:proofErr w:type="spellEnd"/>
      <w:r>
        <w:t>,</w:t>
      </w:r>
      <w:r>
        <w:br/>
      </w:r>
      <w:r>
        <w:tab/>
      </w:r>
      <w:proofErr w:type="spellStart"/>
      <w:r>
        <w:t>Branko</w:t>
      </w:r>
      <w:proofErr w:type="spellEnd"/>
      <w:r>
        <w:t xml:space="preserve"> </w:t>
      </w:r>
      <w:proofErr w:type="spellStart"/>
      <w:r>
        <w:t>Lubarda</w:t>
      </w:r>
      <w:proofErr w:type="spellEnd"/>
      <w:r>
        <w:t>,</w:t>
      </w:r>
      <w:r>
        <w:br/>
      </w:r>
      <w:r>
        <w:tab/>
      </w:r>
      <w:proofErr w:type="spellStart"/>
      <w:r>
        <w:t>Anja</w:t>
      </w:r>
      <w:proofErr w:type="spellEnd"/>
      <w:r>
        <w:t xml:space="preserve"> </w:t>
      </w:r>
      <w:proofErr w:type="spellStart"/>
      <w:r>
        <w:t>Seibert-Fohr</w:t>
      </w:r>
      <w:proofErr w:type="spellEnd"/>
      <w:r>
        <w:t>,</w:t>
      </w:r>
      <w:r>
        <w:br/>
      </w:r>
      <w:r>
        <w:tab/>
        <w:t xml:space="preserve">Ana Maria Guerra </w:t>
      </w:r>
      <w:proofErr w:type="spellStart"/>
      <w:r>
        <w:t>Martins</w:t>
      </w:r>
      <w:proofErr w:type="spellEnd"/>
      <w:r>
        <w:t>,</w:t>
      </w:r>
      <w:r>
        <w:br/>
      </w:r>
      <w:r>
        <w:tab/>
        <w:t xml:space="preserve">Anne </w:t>
      </w:r>
      <w:proofErr w:type="spellStart"/>
      <w:r>
        <w:t>Louise</w:t>
      </w:r>
      <w:proofErr w:type="spellEnd"/>
      <w:r>
        <w:t xml:space="preserve"> Bormann,</w:t>
      </w:r>
      <w:r>
        <w:br/>
      </w:r>
      <w:r>
        <w:tab/>
        <w:t>Sebastian Răduleţu</w:t>
      </w:r>
      <w:r>
        <w:rPr>
          <w:i/>
        </w:rPr>
        <w:t>, judecători</w:t>
      </w:r>
      <w:r>
        <w:t>,</w:t>
      </w:r>
      <w:r>
        <w:br/>
        <w:t xml:space="preserve">și Milan Blaško, </w:t>
      </w:r>
      <w:r>
        <w:rPr>
          <w:i/>
        </w:rPr>
        <w:t>grefier de secție,</w:t>
      </w:r>
    </w:p>
    <w:p w:rsidR="004147A5" w:rsidRPr="00E93AB0" w:rsidRDefault="00C812AD" w:rsidP="00E93AB0">
      <w:pPr>
        <w:pStyle w:val="JuPara"/>
      </w:pPr>
      <w:r>
        <w:t>Având în vedere:</w:t>
      </w:r>
    </w:p>
    <w:p w:rsidR="004147A5" w:rsidRPr="00E93AB0" w:rsidRDefault="00C812AD" w:rsidP="00E93AB0">
      <w:pPr>
        <w:pStyle w:val="JuPara"/>
      </w:pPr>
      <w:r>
        <w:t>cererea (nr. 53162/21) îndreptată împotriva României, prin care un resortisant al acestui stat, doamna Angelica Diaconeasa („reclamanta”), a sesizat Curtea, la 11 octombrie 2021, în temeiul art. 34 din Convenția pentru apărarea drepturilor omului și a libertăților fundamentale („Convenția”);</w:t>
      </w:r>
    </w:p>
    <w:p w:rsidR="004147A5" w:rsidRPr="00E93AB0" w:rsidRDefault="00C812AD" w:rsidP="00E93AB0">
      <w:pPr>
        <w:pStyle w:val="JuPara"/>
      </w:pPr>
      <w:r>
        <w:t>decizia de a comunica Guvernului României („Guvernul”) capătul de cerere privind domeniul de aplicare al pensiei de invaliditate acordate reclamantei și de a declara inadmisibile celelalte capete de cerere;</w:t>
      </w:r>
    </w:p>
    <w:p w:rsidR="004147A5" w:rsidRPr="00E93AB0" w:rsidRDefault="00C812AD" w:rsidP="00E93AB0">
      <w:pPr>
        <w:pStyle w:val="JuPara"/>
      </w:pPr>
      <w:r>
        <w:t>observațiile părților;</w:t>
      </w:r>
    </w:p>
    <w:p w:rsidR="009F4C8F" w:rsidRPr="00E93AB0" w:rsidRDefault="00C812AD" w:rsidP="00E93AB0">
      <w:pPr>
        <w:pStyle w:val="JuPara"/>
      </w:pPr>
      <w:r>
        <w:t>după ce a deliberat în camera de consiliu, la 30 ianuarie 2024,</w:t>
      </w:r>
    </w:p>
    <w:p w:rsidR="009F4C8F" w:rsidRPr="00E93AB0" w:rsidRDefault="00C812AD" w:rsidP="00E93AB0">
      <w:pPr>
        <w:pStyle w:val="JuPara"/>
      </w:pPr>
      <w:r>
        <w:t>pronunță prezenta hotărâre, adoptată la aceeași dată:</w:t>
      </w:r>
    </w:p>
    <w:p w:rsidR="004147A5" w:rsidRPr="00E93AB0" w:rsidRDefault="00C812AD" w:rsidP="00E93AB0">
      <w:pPr>
        <w:pStyle w:val="JuHHead"/>
        <w:numPr>
          <w:ilvl w:val="0"/>
          <w:numId w:val="0"/>
        </w:numPr>
      </w:pPr>
      <w:r>
        <w:t>INTRODUCERE</w:t>
      </w:r>
    </w:p>
    <w:p w:rsidR="004147A5" w:rsidRPr="00E93AB0" w:rsidRDefault="00C812AD" w:rsidP="00E93AB0">
      <w:pPr>
        <w:pStyle w:val="JuPara"/>
      </w:pPr>
      <w:fldSimple w:instr=" SEQ level0 \*arabic ">
        <w:r w:rsidR="00E93AB0" w:rsidRPr="00E93AB0">
          <w:t>1</w:t>
        </w:r>
      </w:fldSimple>
      <w:r>
        <w:t>.</w:t>
      </w:r>
      <w:r w:rsidR="00F20F09">
        <w:t xml:space="preserve"> </w:t>
      </w:r>
      <w:r>
        <w:t>Cererea are ca obiect retragerea de către autorități a asistenței personale acordate reclamantei, o persoană cu handicap fizic. Guvernul a fost informat despre cererea formulată în temeiul art. 8 din Convenție.</w:t>
      </w:r>
    </w:p>
    <w:p w:rsidR="004147A5" w:rsidRPr="00E93AB0" w:rsidRDefault="00C812AD" w:rsidP="00E93AB0">
      <w:pPr>
        <w:pStyle w:val="JuHHead"/>
      </w:pPr>
      <w:r>
        <w:t>ÎN FAPT</w:t>
      </w:r>
    </w:p>
    <w:p w:rsidR="004147A5" w:rsidRPr="00E93AB0" w:rsidRDefault="00C812AD" w:rsidP="00E93AB0">
      <w:pPr>
        <w:pStyle w:val="JuPara"/>
      </w:pPr>
      <w:fldSimple w:instr=" SEQ level0 \*arabic ">
        <w:r w:rsidR="00E93AB0" w:rsidRPr="00E93AB0">
          <w:t>2</w:t>
        </w:r>
      </w:fldSimple>
      <w:r>
        <w:t>.</w:t>
      </w:r>
      <w:r w:rsidR="00F20F09">
        <w:t xml:space="preserve"> </w:t>
      </w:r>
      <w:r>
        <w:t xml:space="preserve">Reclamanta s-a născut în 1953 și locuiește în Lupeni. Aceasta a fost reprezentată de dna C. </w:t>
      </w:r>
      <w:proofErr w:type="spellStart"/>
      <w:r>
        <w:t>Kis</w:t>
      </w:r>
      <w:proofErr w:type="spellEnd"/>
      <w:r>
        <w:t xml:space="preserve">, avocat în </w:t>
      </w:r>
      <w:r w:rsidR="00F20F09">
        <w:t>Petroșani</w:t>
      </w:r>
      <w:r>
        <w:t>.</w:t>
      </w:r>
    </w:p>
    <w:p w:rsidR="004147A5" w:rsidRPr="00E93AB0" w:rsidRDefault="00C812AD" w:rsidP="00E93AB0">
      <w:pPr>
        <w:pStyle w:val="JuPara"/>
      </w:pPr>
      <w:fldSimple w:instr=" SEQ level0 \*arabic ">
        <w:r w:rsidR="00E93AB0" w:rsidRPr="00E93AB0">
          <w:t>3</w:t>
        </w:r>
      </w:fldSimple>
      <w:r>
        <w:t>.</w:t>
      </w:r>
      <w:r w:rsidR="00F20F09">
        <w:t xml:space="preserve"> </w:t>
      </w:r>
      <w:r>
        <w:t xml:space="preserve">Guvernul a fost reprezentat de agentul guvernamental doamna O.F. </w:t>
      </w:r>
      <w:proofErr w:type="spellStart"/>
      <w:r>
        <w:t>Ezer</w:t>
      </w:r>
      <w:proofErr w:type="spellEnd"/>
      <w:r>
        <w:t>, din cadrul Ministerului Afacerilor Externe.</w:t>
      </w:r>
    </w:p>
    <w:p w:rsidR="004147A5" w:rsidRPr="00E93AB0" w:rsidRDefault="00C812AD" w:rsidP="00E93AB0">
      <w:pPr>
        <w:pStyle w:val="JuPara"/>
      </w:pPr>
      <w:fldSimple w:instr=" SEQ level0 \*arabic ">
        <w:r w:rsidR="00E93AB0" w:rsidRPr="00E93AB0">
          <w:t>4</w:t>
        </w:r>
      </w:fldSimple>
      <w:r>
        <w:t>.</w:t>
      </w:r>
      <w:r w:rsidR="00F20F09">
        <w:t xml:space="preserve"> </w:t>
      </w:r>
      <w:r>
        <w:t>Faptele cauzei se pot rezuma după cum urmează.</w:t>
      </w:r>
    </w:p>
    <w:p w:rsidR="004147A5" w:rsidRPr="00E93AB0" w:rsidRDefault="00C812AD" w:rsidP="00E93AB0">
      <w:pPr>
        <w:pStyle w:val="JuHIRoman"/>
      </w:pPr>
      <w:r>
        <w:t>HANDICAPUL RECLAMANTEI</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5</w:t>
      </w:r>
      <w:r w:rsidRPr="00E93AB0">
        <w:fldChar w:fldCharType="end"/>
      </w:r>
      <w:r>
        <w:t>.</w:t>
      </w:r>
      <w:r w:rsidR="00F20F09">
        <w:t xml:space="preserve"> </w:t>
      </w:r>
      <w:r>
        <w:t>În 2013, reclamanta a suferit un accident vascular cerebral care a lăsat</w:t>
      </w:r>
      <w:r w:rsidR="008A7438">
        <w:noBreakHyphen/>
      </w:r>
      <w:r>
        <w:t>o incapabilă să se miște, să vorbească sau să aibă grijă de nevoile sale de bază.</w:t>
      </w:r>
    </w:p>
    <w:bookmarkStart w:id="1" w:name="paragraph00006"/>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6</w:t>
      </w:r>
      <w:r w:rsidRPr="00E93AB0">
        <w:fldChar w:fldCharType="end"/>
      </w:r>
      <w:bookmarkEnd w:id="1"/>
      <w:r>
        <w:t>.</w:t>
      </w:r>
      <w:r w:rsidR="00F20F09">
        <w:t xml:space="preserve"> </w:t>
      </w:r>
      <w:r>
        <w:t xml:space="preserve">În 2015 și, din nou, la 9 noiembrie 2016, Comisia pentru protecția persoanelor adulte cu handicap („Comisia” – a se vedea infra, pct. </w:t>
      </w:r>
      <w:r w:rsidRPr="00E93AB0">
        <w:fldChar w:fldCharType="begin"/>
      </w:r>
      <w:r w:rsidRPr="00E93AB0">
        <w:instrText xml:space="preserve">REF paragraph00024 \h \* CharFormat </w:instrText>
      </w:r>
      <w:r w:rsidRPr="00E93AB0">
        <w:fldChar w:fldCharType="separate"/>
      </w:r>
      <w:r w:rsidR="00E93AB0" w:rsidRPr="00E93AB0">
        <w:t>24</w:t>
      </w:r>
      <w:r w:rsidRPr="00E93AB0">
        <w:fldChar w:fldCharType="end"/>
      </w:r>
      <w:r>
        <w:t xml:space="preserve">) a emis </w:t>
      </w:r>
      <w:r>
        <w:lastRenderedPageBreak/>
        <w:t>un certificat, valabil un an, care atesta că reclamanta suferea de o dizabilitate severă care necesita un asistent personal.</w:t>
      </w:r>
    </w:p>
    <w:p w:rsidR="004147A5" w:rsidRPr="00E93AB0" w:rsidRDefault="00C812AD" w:rsidP="00E93AB0">
      <w:pPr>
        <w:pStyle w:val="JuHIRoman"/>
      </w:pPr>
      <w:r>
        <w:rPr>
          <w:caps w:val="0"/>
        </w:rPr>
        <w:t>CERTIFICATUL DIN 22 NOIEMBRIE 2017</w:t>
      </w:r>
    </w:p>
    <w:bookmarkStart w:id="2" w:name="paragraph00007"/>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7</w:t>
      </w:r>
      <w:r w:rsidRPr="00E93AB0">
        <w:fldChar w:fldCharType="end"/>
      </w:r>
      <w:bookmarkEnd w:id="2"/>
      <w:r>
        <w:t>.</w:t>
      </w:r>
      <w:r w:rsidR="00F20F09">
        <w:t xml:space="preserve"> </w:t>
      </w:r>
      <w:r>
        <w:t>La 29 iunie 2017, un neurolog a evaluat starea funcțională a reclamantei cu trimitere la indicele de independență în efectuarea activităților zilnice („indicele ADL”) și a stabilit un scor general de 2/8, dat fiind că reclamanta era capabilă să folosească telefonul și să-și administreze medicația, dar incapabilă să meargă la cumpărături alimentare, să își pregătească mâncarea, să își facă curățenie în casă, să își spele rufele, să folosească mijloacele de transport sau să gestioneze banii.</w:t>
      </w:r>
    </w:p>
    <w:bookmarkStart w:id="3" w:name="paragraph00008"/>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8</w:t>
      </w:r>
      <w:r w:rsidRPr="00E93AB0">
        <w:fldChar w:fldCharType="end"/>
      </w:r>
      <w:bookmarkEnd w:id="3"/>
      <w:r>
        <w:t>.</w:t>
      </w:r>
      <w:r w:rsidR="00F20F09">
        <w:t xml:space="preserve"> </w:t>
      </w:r>
      <w:r>
        <w:t xml:space="preserve">Același medic a evaluat reclamanta pe scala </w:t>
      </w:r>
      <w:proofErr w:type="spellStart"/>
      <w:r>
        <w:t>Barthel</w:t>
      </w:r>
      <w:proofErr w:type="spellEnd"/>
      <w:r>
        <w:t xml:space="preserve"> și i-a acordat un scor de 45/100 puncte. A observat că reclamanta era total dependentă de ceilalți pentru a-și menține igiena personală, necesita ajutor pentru a se hrăni și a se îmbrăca, pentru a utiliza toaleta și a utiliza scările și putea merge numai cu ajutoare mecanice sau cu ajutorul unei persoane. Pe formularul tipărit unde medicul a notat performanța reclamantei pe scala </w:t>
      </w:r>
      <w:proofErr w:type="spellStart"/>
      <w:r>
        <w:t>Barthel</w:t>
      </w:r>
      <w:proofErr w:type="spellEnd"/>
      <w:r>
        <w:t>, scorurile au fost explicate astfel:</w:t>
      </w:r>
    </w:p>
    <w:p w:rsidR="004147A5" w:rsidRPr="00E93AB0" w:rsidRDefault="00C812AD" w:rsidP="00E93AB0">
      <w:pPr>
        <w:pStyle w:val="JuQuot"/>
      </w:pPr>
      <w:r>
        <w:t>„Scorul maxim este 100 și reprezintă autonomie completă. 60 de puncte reprezintă «independență asistată», iar 75 de puncte [reprezintă] cvasi-independență.”</w:t>
      </w:r>
    </w:p>
    <w:bookmarkStart w:id="4" w:name="paragraph00009"/>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9</w:t>
      </w:r>
      <w:r w:rsidRPr="00E93AB0">
        <w:fldChar w:fldCharType="end"/>
      </w:r>
      <w:bookmarkEnd w:id="4"/>
      <w:r>
        <w:t>.</w:t>
      </w:r>
      <w:r w:rsidR="00F20F09">
        <w:t xml:space="preserve"> </w:t>
      </w:r>
      <w:r>
        <w:t xml:space="preserve">La 3 octombrie 2017, Comisia a întreprins o „evaluare complexă” a capacităților reclamantei, conform legii (a se vedea infra, pct. </w:t>
      </w:r>
      <w:r w:rsidRPr="00E93AB0">
        <w:fldChar w:fldCharType="begin"/>
      </w:r>
      <w:r w:rsidRPr="00E93AB0">
        <w:instrText xml:space="preserve">REF paragraph00024 \h \* CharFormat </w:instrText>
      </w:r>
      <w:r w:rsidRPr="00E93AB0">
        <w:fldChar w:fldCharType="separate"/>
      </w:r>
      <w:r w:rsidR="00E93AB0" w:rsidRPr="00E93AB0">
        <w:t>24</w:t>
      </w:r>
      <w:r w:rsidRPr="00E93AB0">
        <w:fldChar w:fldCharType="end"/>
      </w:r>
      <w:r>
        <w:t>), și a completat un formular de o pagină cu concluziile evaluării sale sociale, medicale și psihologice. A reținut că reclamanta primea ajutor de la cele două fiice ale sale și a recomandat ca acestea să continue să îi ofere sprijin. De asemenea, în evaluarea psihologică, a reținut că, din cauza stării sale, aceasta avea o toleranță scăzută la frustrare.</w:t>
      </w:r>
    </w:p>
    <w:bookmarkStart w:id="5" w:name="paragraph00010"/>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10</w:t>
      </w:r>
      <w:r w:rsidRPr="00E93AB0">
        <w:fldChar w:fldCharType="end"/>
      </w:r>
      <w:bookmarkEnd w:id="5"/>
      <w:r>
        <w:t>.</w:t>
      </w:r>
      <w:r w:rsidR="00F20F09">
        <w:t xml:space="preserve"> </w:t>
      </w:r>
      <w:r>
        <w:t>La 22 noiembrie 2017, Comisia a emis un nou certificat, valabil doi ani, în care reclamanta era evaluată ca având un handicap grav care nu necesita un asistent personal.</w:t>
      </w:r>
    </w:p>
    <w:bookmarkStart w:id="6" w:name="paragraph00011"/>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11</w:t>
      </w:r>
      <w:r w:rsidRPr="00E93AB0">
        <w:fldChar w:fldCharType="end"/>
      </w:r>
      <w:bookmarkEnd w:id="6"/>
      <w:r>
        <w:t>.</w:t>
      </w:r>
      <w:r w:rsidR="00F20F09">
        <w:t xml:space="preserve"> </w:t>
      </w:r>
      <w:r>
        <w:t xml:space="preserve">La 18 decembrie 2017, reclamanta a formulat o contestație la Tribunalul Hunedoara, solicitând anularea certificatului și dispunerea emiterii de către Comisie a unui nou certificat care să-i recunoască dreptul la un asistent personal. A susținut că situația sa personală nu s-a schimbat și sănătatea nu i se îmbunătățise în ultimul an, după cum rezultă din evaluările medicale transmise Comisiei (a se vedea supra, pct. </w:t>
      </w:r>
      <w:r w:rsidRPr="00E93AB0">
        <w:fldChar w:fldCharType="begin"/>
      </w:r>
      <w:r w:rsidRPr="00E93AB0">
        <w:instrText xml:space="preserve">REF paragraph00007 \h \* CharFormat </w:instrText>
      </w:r>
      <w:r w:rsidRPr="00E93AB0">
        <w:fldChar w:fldCharType="separate"/>
      </w:r>
      <w:r w:rsidR="00E93AB0" w:rsidRPr="00E93AB0">
        <w:t>7</w:t>
      </w:r>
      <w:r w:rsidRPr="00E93AB0">
        <w:fldChar w:fldCharType="end"/>
      </w:r>
      <w:r>
        <w:t xml:space="preserve"> și </w:t>
      </w:r>
      <w:r w:rsidRPr="00E93AB0">
        <w:fldChar w:fldCharType="begin"/>
      </w:r>
      <w:r w:rsidRPr="00E93AB0">
        <w:instrText xml:space="preserve">REF paragraph00008 \h \* CharFormat </w:instrText>
      </w:r>
      <w:r w:rsidRPr="00E93AB0">
        <w:fldChar w:fldCharType="separate"/>
      </w:r>
      <w:r w:rsidR="00E93AB0" w:rsidRPr="00E93AB0">
        <w:t>8</w:t>
      </w:r>
      <w:r w:rsidRPr="00E93AB0">
        <w:fldChar w:fldCharType="end"/>
      </w:r>
      <w:r>
        <w:t>).</w:t>
      </w:r>
    </w:p>
    <w:bookmarkStart w:id="7" w:name="paragraph00012"/>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12</w:t>
      </w:r>
      <w:r w:rsidRPr="00E93AB0">
        <w:fldChar w:fldCharType="end"/>
      </w:r>
      <w:bookmarkEnd w:id="7"/>
      <w:r>
        <w:t>.</w:t>
      </w:r>
      <w:r w:rsidR="00F20F09">
        <w:t xml:space="preserve"> </w:t>
      </w:r>
      <w:r>
        <w:t xml:space="preserve">Prin sentința din 26 septembrie 2019, tribunalul a admis contestația reclamantei. S-a întemeiat pe raportul de evaluare complexă al Comisiei (a se vedea supra, pct. </w:t>
      </w:r>
      <w:r w:rsidRPr="00E93AB0">
        <w:fldChar w:fldCharType="begin"/>
      </w:r>
      <w:r w:rsidRPr="00E93AB0">
        <w:instrText xml:space="preserve">REF paragraph00009 \h \* CharFormat </w:instrText>
      </w:r>
      <w:r w:rsidRPr="00E93AB0">
        <w:fldChar w:fldCharType="separate"/>
      </w:r>
      <w:r w:rsidR="00E93AB0" w:rsidRPr="00E93AB0">
        <w:t>9</w:t>
      </w:r>
      <w:r w:rsidRPr="00E93AB0">
        <w:fldChar w:fldCharType="end"/>
      </w:r>
      <w:r>
        <w:t xml:space="preserve">), pe raportul de anchetă socială asupra condițiilor de trai ale reclamantei și pe criteriile medicale și psihosociale stabilite de lege pentru încadrarea în grad de handicap. A reținut că starea reclamantei nu se îmbunătățise de la evaluarea din 2016 (a se vedea supra, pct. </w:t>
      </w:r>
      <w:r w:rsidRPr="00E93AB0">
        <w:fldChar w:fldCharType="begin"/>
      </w:r>
      <w:r w:rsidRPr="00E93AB0">
        <w:instrText xml:space="preserve">REF paragraph00006 \h \* CharFormat </w:instrText>
      </w:r>
      <w:r w:rsidRPr="00E93AB0">
        <w:fldChar w:fldCharType="separate"/>
      </w:r>
      <w:r w:rsidR="00E93AB0" w:rsidRPr="00E93AB0">
        <w:t>6</w:t>
      </w:r>
      <w:r w:rsidRPr="00E93AB0">
        <w:fldChar w:fldCharType="end"/>
      </w:r>
      <w:r>
        <w:t xml:space="preserve">) și că în continuare are nevoie de ajutor pentru igiena personală și pentru prepararea </w:t>
      </w:r>
      <w:r>
        <w:lastRenderedPageBreak/>
        <w:t>hranei, pentru cumpărături alimentare, pentru deplasare și folosirea mijloacelor de transport. Rapoartele au concluzionat că aceasta nu putea să se descurce singură.</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13</w:t>
      </w:r>
      <w:r w:rsidRPr="00E93AB0">
        <w:fldChar w:fldCharType="end"/>
      </w:r>
      <w:r>
        <w:t>.</w:t>
      </w:r>
      <w:r w:rsidR="00F20F09">
        <w:t xml:space="preserve"> </w:t>
      </w:r>
      <w:r>
        <w:t>De asemenea, instanța a reținut că certificatul nu menționa motivele schimbării gradului de handicap.</w:t>
      </w:r>
    </w:p>
    <w:bookmarkStart w:id="8" w:name="paragraph00014"/>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14</w:t>
      </w:r>
      <w:r w:rsidRPr="00E93AB0">
        <w:fldChar w:fldCharType="end"/>
      </w:r>
      <w:bookmarkEnd w:id="8"/>
      <w:r>
        <w:t>.</w:t>
      </w:r>
      <w:r w:rsidR="00F20F09">
        <w:t xml:space="preserve"> </w:t>
      </w:r>
      <w:r>
        <w:t>Astfel, a concluzionat că, deoarece nici starea reclamantei, nici criteriile de evaluare complexă a gradului de handicap prevăzute de Legea privind persoanele cu handicap nu s-au modificat de la evaluarea din 2016, certificatul din 2017 nu era valid. L-a anulat, prin urmare, și a dispus emiterea de către Comisie a unui nou certificat care să ateste că reclamanta avea nevoie de ajutorul unui asistent personal.</w:t>
      </w:r>
    </w:p>
    <w:bookmarkStart w:id="9" w:name="paragraph00015"/>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15</w:t>
      </w:r>
      <w:r w:rsidRPr="00E93AB0">
        <w:fldChar w:fldCharType="end"/>
      </w:r>
      <w:bookmarkEnd w:id="9"/>
      <w:r>
        <w:t>.</w:t>
      </w:r>
      <w:r w:rsidR="00F20F09">
        <w:t xml:space="preserve"> </w:t>
      </w:r>
      <w:r>
        <w:t xml:space="preserve">Comisia a declarat recurs și, printr-o decizie definitivă din 15 iunie 2020, Curtea de Apel Alba Iulia a casat sentința din 29 septembrie 2019 (a se vedea supra, pct. </w:t>
      </w:r>
      <w:r w:rsidRPr="00E93AB0">
        <w:fldChar w:fldCharType="begin"/>
      </w:r>
      <w:r w:rsidRPr="00E93AB0">
        <w:instrText xml:space="preserve">REF paragraph00012 \h \* CharFormat </w:instrText>
      </w:r>
      <w:r w:rsidRPr="00E93AB0">
        <w:fldChar w:fldCharType="separate"/>
      </w:r>
      <w:r w:rsidR="00E93AB0" w:rsidRPr="00E93AB0">
        <w:t>12</w:t>
      </w:r>
      <w:r w:rsidRPr="00E93AB0">
        <w:fldChar w:fldCharType="end"/>
      </w:r>
      <w:r>
        <w:t xml:space="preserve">), a respins contestația reclamantei și a menținut certificatul din 2017 (a se vedea supra, pct. </w:t>
      </w:r>
      <w:r w:rsidRPr="00E93AB0">
        <w:fldChar w:fldCharType="begin"/>
      </w:r>
      <w:r w:rsidRPr="00E93AB0">
        <w:instrText xml:space="preserve">REF paragraph00010 \h \* CharFormat </w:instrText>
      </w:r>
      <w:r w:rsidRPr="00E93AB0">
        <w:fldChar w:fldCharType="separate"/>
      </w:r>
      <w:r w:rsidR="00E93AB0" w:rsidRPr="00E93AB0">
        <w:t>10</w:t>
      </w:r>
      <w:r w:rsidRPr="00E93AB0">
        <w:fldChar w:fldCharType="end"/>
      </w:r>
      <w:r>
        <w:t xml:space="preserve">). Instanța a observat că reclamanta se putea deplasa cu ajutorul unui baston sau al unui cadru de mers (în baza evaluării complexe efectuate de Comisie – a se vedea supra, pct. </w:t>
      </w:r>
      <w:r w:rsidRPr="00E93AB0">
        <w:fldChar w:fldCharType="begin"/>
      </w:r>
      <w:r w:rsidRPr="00E93AB0">
        <w:instrText xml:space="preserve">REF paragraph00009 \h \* CharFormat </w:instrText>
      </w:r>
      <w:r w:rsidRPr="00E93AB0">
        <w:fldChar w:fldCharType="separate"/>
      </w:r>
      <w:r w:rsidR="00E93AB0" w:rsidRPr="00E93AB0">
        <w:t>9</w:t>
      </w:r>
      <w:r w:rsidRPr="00E93AB0">
        <w:fldChar w:fldCharType="end"/>
      </w:r>
      <w:r>
        <w:t xml:space="preserve">) și că avea exclusiv nevoie de sprijin parțial pentru activitățile zilnice casnice (în baza raportului de anchetă socială). Prin urmare, a concluzionat că reclamanta nu își pierduse complet capacitatea de a se îngriji și de a-și desfășura sarcinile zilnice și nu necesita ajutor permanent. Tribunalul a interpretat și a aplicat eronat legea, și anume Ordinul nr. 762/1992/2007 (a se vedea infra, pct. </w:t>
      </w:r>
      <w:r w:rsidRPr="00E93AB0">
        <w:fldChar w:fldCharType="begin"/>
      </w:r>
      <w:r w:rsidRPr="00E93AB0">
        <w:instrText xml:space="preserve">REF paragraph00026 \h \* CharFormat </w:instrText>
      </w:r>
      <w:r w:rsidRPr="00E93AB0">
        <w:fldChar w:fldCharType="separate"/>
      </w:r>
      <w:r w:rsidR="00E93AB0" w:rsidRPr="00E93AB0">
        <w:t>26</w:t>
      </w:r>
      <w:r w:rsidRPr="00E93AB0">
        <w:fldChar w:fldCharType="end"/>
      </w:r>
      <w:r>
        <w:t>-</w:t>
      </w:r>
      <w:r w:rsidRPr="00E93AB0">
        <w:fldChar w:fldCharType="begin"/>
      </w:r>
      <w:r w:rsidRPr="00E93AB0">
        <w:instrText xml:space="preserve">REF paragraph00027 \h \* CharFormat </w:instrText>
      </w:r>
      <w:r w:rsidRPr="00E93AB0">
        <w:fldChar w:fldCharType="separate"/>
      </w:r>
      <w:r w:rsidR="00E93AB0" w:rsidRPr="00E93AB0">
        <w:t>27</w:t>
      </w:r>
      <w:r w:rsidRPr="00E93AB0">
        <w:fldChar w:fldCharType="end"/>
      </w:r>
      <w:r>
        <w:t>), atunci când a dispus să i se asigure un asistent personal.</w:t>
      </w:r>
    </w:p>
    <w:p w:rsidR="004147A5" w:rsidRPr="00E93AB0" w:rsidRDefault="00C812AD" w:rsidP="00E93AB0">
      <w:pPr>
        <w:pStyle w:val="JuHIRoman"/>
      </w:pPr>
      <w:r>
        <w:rPr>
          <w:caps w:val="0"/>
        </w:rPr>
        <w:t>CERTIFICATUL DIN 20 NOIEMBRIE 2019</w:t>
      </w:r>
    </w:p>
    <w:bookmarkStart w:id="10" w:name="paragraph00016"/>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16</w:t>
      </w:r>
      <w:r w:rsidRPr="00E93AB0">
        <w:fldChar w:fldCharType="end"/>
      </w:r>
      <w:bookmarkEnd w:id="10"/>
      <w:r>
        <w:t>.</w:t>
      </w:r>
      <w:r w:rsidR="00F20F09">
        <w:t xml:space="preserve"> </w:t>
      </w:r>
      <w:r>
        <w:t xml:space="preserve">Între timp, la 20 noiembrie 2019, Comisia a emis un nou certificat în aceiași termeni ca cel eliberat în 2017 (a se vedea infra, pct. </w:t>
      </w:r>
      <w:r w:rsidRPr="00E93AB0">
        <w:fldChar w:fldCharType="begin"/>
      </w:r>
      <w:r w:rsidRPr="00E93AB0">
        <w:instrText xml:space="preserve">REF paragraph00010 \h \* CharFormat </w:instrText>
      </w:r>
      <w:r w:rsidRPr="00E93AB0">
        <w:fldChar w:fldCharType="separate"/>
      </w:r>
      <w:r w:rsidR="00E93AB0" w:rsidRPr="00E93AB0">
        <w:t>10</w:t>
      </w:r>
      <w:r w:rsidRPr="00E93AB0">
        <w:fldChar w:fldCharType="end"/>
      </w:r>
      <w:r>
        <w:t>). În plus, în noul certificat se menționează că, potrivit Comisiei, afecțiunea reclamantei este permanentă și nu necesită o reevaluare periodică.</w:t>
      </w:r>
    </w:p>
    <w:bookmarkStart w:id="11" w:name="paragraph00017"/>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17</w:t>
      </w:r>
      <w:r w:rsidRPr="00E93AB0">
        <w:fldChar w:fldCharType="end"/>
      </w:r>
      <w:bookmarkEnd w:id="11"/>
      <w:r>
        <w:t>.</w:t>
      </w:r>
      <w:r w:rsidR="00F20F09">
        <w:t xml:space="preserve"> </w:t>
      </w:r>
      <w:r>
        <w:t>Certificatul a fost emis pe baza raportului de anchetă socială întocmit de Direcția Asistență Socială Lupeni la 4 septembrie 2019. Asistentul social a constatat că reclamanta avea nevoie de sprijin total pentru igiena personală și pentru a se îmbrăca; că nu era în stare să facă curățenie în locuință sau să</w:t>
      </w:r>
      <w:r w:rsidR="008A7438">
        <w:noBreakHyphen/>
      </w:r>
      <w:bookmarkStart w:id="12" w:name="_GoBack"/>
      <w:bookmarkEnd w:id="12"/>
      <w:r>
        <w:t>și spele hainele și avea nevoie de ajutor pentru a se deplasa în apartamentul său, pentru a ieși în exterior, pentru a folosi transportul public și telefonul, pentru a prepara mâncare, a-și gestiona banii și a face cumpărături; dar că putea merge cu bastonul sau cu sprijin de la altă persoană și că putea să se hrănească singură în mod independent. Nu putea sau nu dorea să se angajeze în activități recreative. Mai mult, în raport se afirma că reclamanta suferea de pierderea completă a memoriei, era dezorientată în spațiu și timp și necesita multe îngrijiri. De asemenea, se menționa că fiicele reclamantei aveau grijă de ea și o ajutau cu bani, alimente, igienă și ieșirile în exterior.</w:t>
      </w:r>
    </w:p>
    <w:bookmarkStart w:id="13" w:name="paragraph00018"/>
    <w:p w:rsidR="004147A5" w:rsidRPr="00E93AB0" w:rsidRDefault="00C812AD" w:rsidP="00E93AB0">
      <w:pPr>
        <w:pStyle w:val="JuPara"/>
      </w:pPr>
      <w:r w:rsidRPr="00E93AB0">
        <w:lastRenderedPageBreak/>
        <w:fldChar w:fldCharType="begin"/>
      </w:r>
      <w:r w:rsidRPr="00E93AB0">
        <w:instrText xml:space="preserve"> SEQ level0 \*arabic \* MERGEFORMAT </w:instrText>
      </w:r>
      <w:r w:rsidRPr="00E93AB0">
        <w:fldChar w:fldCharType="separate"/>
      </w:r>
      <w:r w:rsidR="00E93AB0" w:rsidRPr="00E93AB0">
        <w:t>18</w:t>
      </w:r>
      <w:r w:rsidRPr="00E93AB0">
        <w:fldChar w:fldCharType="end"/>
      </w:r>
      <w:bookmarkEnd w:id="13"/>
      <w:r>
        <w:t>.</w:t>
      </w:r>
      <w:r w:rsidR="00F20F09">
        <w:t xml:space="preserve"> </w:t>
      </w:r>
      <w:r>
        <w:t>Reclamanta a contestat noul certificat, argumentând în special că starea sa de sănătate fizică nu se îmbunătățise din 2016.</w:t>
      </w:r>
    </w:p>
    <w:bookmarkStart w:id="14" w:name="paragraph00019"/>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19</w:t>
      </w:r>
      <w:r w:rsidRPr="00E93AB0">
        <w:fldChar w:fldCharType="end"/>
      </w:r>
      <w:bookmarkEnd w:id="14"/>
      <w:r>
        <w:t>.</w:t>
      </w:r>
      <w:r w:rsidR="00F20F09">
        <w:t xml:space="preserve"> </w:t>
      </w:r>
      <w:r>
        <w:t>Examenul medico-legal efectuat în Spitalul Județean de Urgență Deva, la solicitarea Tribunalului Hunedoara, la 15 octombrie 2020, a arătat că reclamanta nu își putea folosi brațul stâng și avea dificultăți de mers, fiind imposibil ca aceasta să-și asigure igiena personală, să se îmbrace sau să-și prepare mâncare. Medicul legist a concluzionat că aceasta are nevoie de ajutor permanent pentru respectivele activități. A mai observat și că situația reclamantei a rămas neschimbată din 2016.</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20</w:t>
      </w:r>
      <w:r w:rsidRPr="00E93AB0">
        <w:fldChar w:fldCharType="end"/>
      </w:r>
      <w:r>
        <w:t>.</w:t>
      </w:r>
      <w:r w:rsidR="00F20F09">
        <w:t xml:space="preserve"> </w:t>
      </w:r>
      <w:r>
        <w:t xml:space="preserve">Din informațiile depuse de Direcția Asistență Socială Lupeni în fața Tribunalului Hunedoara, rezultă că în 2019 reclamanta a obținut scorul 30 pe scala </w:t>
      </w:r>
      <w:proofErr w:type="spellStart"/>
      <w:r>
        <w:t>Barthel</w:t>
      </w:r>
      <w:proofErr w:type="spellEnd"/>
      <w:r>
        <w:t>, aparent din cauza unei fracturi osoase recente a brațului stâng.</w:t>
      </w:r>
    </w:p>
    <w:bookmarkStart w:id="15" w:name="paragraph00021"/>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21</w:t>
      </w:r>
      <w:r w:rsidRPr="00E93AB0">
        <w:fldChar w:fldCharType="end"/>
      </w:r>
      <w:bookmarkEnd w:id="15"/>
      <w:r>
        <w:t>.</w:t>
      </w:r>
      <w:r w:rsidR="00F20F09">
        <w:t xml:space="preserve"> </w:t>
      </w:r>
      <w:r>
        <w:t xml:space="preserve">Tribunalul Hunedoara a dispus efectuarea unei anchete sociale asupra situației reclamantei. Raportul întocmit de Direcția Asistență Socială Lupeni la 24 iunie 2020 relua aceleași constatări ca raportul din 4 septembrie 2019 (a se vedea supra, pct. </w:t>
      </w:r>
      <w:r w:rsidRPr="00E93AB0">
        <w:fldChar w:fldCharType="begin"/>
      </w:r>
      <w:r w:rsidRPr="00E93AB0">
        <w:instrText xml:space="preserve">REF paragraph00017 \h \* CharFormat </w:instrText>
      </w:r>
      <w:r w:rsidRPr="00E93AB0">
        <w:fldChar w:fldCharType="separate"/>
      </w:r>
      <w:r w:rsidR="00E93AB0" w:rsidRPr="00E93AB0">
        <w:t>17</w:t>
      </w:r>
      <w:r w:rsidRPr="00E93AB0">
        <w:fldChar w:fldCharType="end"/>
      </w:r>
      <w:r>
        <w:t>), mai precis: asistența necesară reclamantei pentru activitățile zilnice și ajutorul pe care îl primea din partea fiicelor sale, care locuiau în vecinătate.</w:t>
      </w:r>
    </w:p>
    <w:bookmarkStart w:id="16" w:name="paragraph00022"/>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22</w:t>
      </w:r>
      <w:r w:rsidRPr="00E93AB0">
        <w:fldChar w:fldCharType="end"/>
      </w:r>
      <w:bookmarkEnd w:id="16"/>
      <w:r>
        <w:t>.</w:t>
      </w:r>
      <w:r w:rsidR="00F20F09">
        <w:t xml:space="preserve"> </w:t>
      </w:r>
      <w:r>
        <w:t xml:space="preserve">În sentința din 25 noiembrie 2020, tribunalul a admis acțiunea și a anulat certificatul din 20 noiembrie 2019 (a se vedea supra, pct. </w:t>
      </w:r>
      <w:r w:rsidRPr="00E93AB0">
        <w:fldChar w:fldCharType="begin"/>
      </w:r>
      <w:r w:rsidRPr="00E93AB0">
        <w:instrText xml:space="preserve">REF paragraph00016 \h \* CharFormat </w:instrText>
      </w:r>
      <w:r w:rsidRPr="00E93AB0">
        <w:fldChar w:fldCharType="separate"/>
      </w:r>
      <w:r w:rsidR="00E93AB0" w:rsidRPr="00E93AB0">
        <w:t>16</w:t>
      </w:r>
      <w:r w:rsidRPr="00E93AB0">
        <w:fldChar w:fldCharType="end"/>
      </w:r>
      <w:r>
        <w:t>).</w:t>
      </w:r>
    </w:p>
    <w:bookmarkStart w:id="17" w:name="paragraph00023"/>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23</w:t>
      </w:r>
      <w:r w:rsidRPr="00E93AB0">
        <w:fldChar w:fldCharType="end"/>
      </w:r>
      <w:bookmarkEnd w:id="17"/>
      <w:r>
        <w:t>.</w:t>
      </w:r>
      <w:r w:rsidR="00F20F09">
        <w:t xml:space="preserve"> </w:t>
      </w:r>
      <w:r>
        <w:t xml:space="preserve">Prin decizia definitivă din 12 aprilie 2021, curtea de apel a casat sentința tribunalului și a menținut certificatul emis de Comisie (a se vedea supra, pct. </w:t>
      </w:r>
      <w:r w:rsidRPr="00E93AB0">
        <w:fldChar w:fldCharType="begin"/>
      </w:r>
      <w:r w:rsidRPr="00E93AB0">
        <w:instrText xml:space="preserve">REF paragraph00016 \h \* CharFormat </w:instrText>
      </w:r>
      <w:r w:rsidRPr="00E93AB0">
        <w:fldChar w:fldCharType="separate"/>
      </w:r>
      <w:r w:rsidR="00E93AB0" w:rsidRPr="00E93AB0">
        <w:t>16</w:t>
      </w:r>
      <w:r w:rsidRPr="00E93AB0">
        <w:fldChar w:fldCharType="end"/>
      </w:r>
      <w:r>
        <w:t xml:space="preserve">). S-a întemeiat pe Normele metodologice pentru aplicarea prevederilor Legii nr. 448/2006 (a se vedea infra, pct. </w:t>
      </w:r>
      <w:r w:rsidRPr="00E93AB0">
        <w:fldChar w:fldCharType="begin"/>
      </w:r>
      <w:r w:rsidRPr="00E93AB0">
        <w:instrText xml:space="preserve">REF paragraph00028 \h \* CharFormat </w:instrText>
      </w:r>
      <w:r w:rsidRPr="00E93AB0">
        <w:fldChar w:fldCharType="separate"/>
      </w:r>
      <w:r w:rsidR="00E93AB0" w:rsidRPr="00E93AB0">
        <w:t>28</w:t>
      </w:r>
      <w:r w:rsidRPr="00E93AB0">
        <w:fldChar w:fldCharType="end"/>
      </w:r>
      <w:r>
        <w:t xml:space="preserve">) și a Ordinului nr. 762/1992/2007 (a se vedea infra, pct. </w:t>
      </w:r>
      <w:r w:rsidRPr="00E93AB0">
        <w:fldChar w:fldCharType="begin"/>
      </w:r>
      <w:r w:rsidRPr="00E93AB0">
        <w:instrText xml:space="preserve">REF paragraph00026 \h \* CharFormat </w:instrText>
      </w:r>
      <w:r w:rsidRPr="00E93AB0">
        <w:fldChar w:fldCharType="separate"/>
      </w:r>
      <w:r w:rsidR="00E93AB0" w:rsidRPr="00E93AB0">
        <w:t>26</w:t>
      </w:r>
      <w:r w:rsidRPr="00E93AB0">
        <w:fldChar w:fldCharType="end"/>
      </w:r>
      <w:r>
        <w:t>-</w:t>
      </w:r>
      <w:r w:rsidRPr="00E93AB0">
        <w:fldChar w:fldCharType="begin"/>
      </w:r>
      <w:r w:rsidRPr="00E93AB0">
        <w:instrText xml:space="preserve">REF paragraph00027 \h \* CharFormat </w:instrText>
      </w:r>
      <w:r w:rsidRPr="00E93AB0">
        <w:fldChar w:fldCharType="separate"/>
      </w:r>
      <w:r w:rsidR="00E93AB0" w:rsidRPr="00E93AB0">
        <w:t>27</w:t>
      </w:r>
      <w:r w:rsidRPr="00E93AB0">
        <w:fldChar w:fldCharType="end"/>
      </w:r>
      <w:r>
        <w:t>). Părțile relevante din decizie se citesc după cum urmează (caractere aldine, subliniate și cursive ca în textul original):</w:t>
      </w:r>
    </w:p>
    <w:p w:rsidR="004147A5" w:rsidRPr="00E93AB0" w:rsidRDefault="00C812AD" w:rsidP="00E93AB0">
      <w:pPr>
        <w:pStyle w:val="JuQuot"/>
        <w:rPr>
          <w:i/>
          <w:iCs/>
        </w:rPr>
      </w:pPr>
      <w:r>
        <w:t>„Pentru evaluarea gradului de handicap trebuie avute în vedere prevederile din</w:t>
      </w:r>
      <w:r w:rsidR="00F20F09">
        <w:t xml:space="preserve"> </w:t>
      </w:r>
      <w:r>
        <w:rPr>
          <w:b/>
          <w:bCs/>
          <w:i/>
        </w:rPr>
        <w:t>Capitol[</w:t>
      </w:r>
      <w:proofErr w:type="spellStart"/>
      <w:r>
        <w:rPr>
          <w:b/>
          <w:bCs/>
          <w:i/>
        </w:rPr>
        <w:t>ul</w:t>
      </w:r>
      <w:proofErr w:type="spellEnd"/>
      <w:r>
        <w:rPr>
          <w:b/>
          <w:bCs/>
          <w:i/>
        </w:rPr>
        <w:t>] VII</w:t>
      </w:r>
      <w:r>
        <w:rPr>
          <w:i/>
        </w:rPr>
        <w:t xml:space="preserve"> </w:t>
      </w:r>
      <w:r>
        <w:rPr>
          <w:i/>
          <w:iCs/>
        </w:rPr>
        <w:t xml:space="preserve">Funcțiile </w:t>
      </w:r>
      <w:proofErr w:type="spellStart"/>
      <w:r>
        <w:rPr>
          <w:i/>
          <w:iCs/>
        </w:rPr>
        <w:t>neuro</w:t>
      </w:r>
      <w:proofErr w:type="spellEnd"/>
      <w:r>
        <w:rPr>
          <w:i/>
          <w:iCs/>
        </w:rPr>
        <w:t>-</w:t>
      </w:r>
      <w:proofErr w:type="spellStart"/>
      <w:r>
        <w:rPr>
          <w:i/>
          <w:iCs/>
        </w:rPr>
        <w:t>musculo</w:t>
      </w:r>
      <w:proofErr w:type="spellEnd"/>
      <w:r>
        <w:rPr>
          <w:i/>
          <w:iCs/>
        </w:rPr>
        <w:t xml:space="preserve">-scheletice și ale mișcărilor aferente. </w:t>
      </w:r>
      <w:r>
        <w:rPr>
          <w:b/>
          <w:bCs/>
          <w:i/>
          <w:iCs/>
        </w:rPr>
        <w:t>pct.</w:t>
      </w:r>
      <w:r>
        <w:rPr>
          <w:i/>
          <w:iCs/>
        </w:rPr>
        <w:t xml:space="preserve"> </w:t>
      </w:r>
      <w:r>
        <w:rPr>
          <w:b/>
          <w:bCs/>
          <w:i/>
          <w:iCs/>
        </w:rPr>
        <w:t>III</w:t>
      </w:r>
      <w:r>
        <w:rPr>
          <w:i/>
          <w:iCs/>
        </w:rPr>
        <w:t xml:space="preserve"> - Evaluarea gradului de handicap în afectarea funcțiilor motorii / </w:t>
      </w:r>
      <w:r>
        <w:rPr>
          <w:b/>
          <w:bCs/>
          <w:i/>
          <w:iCs/>
        </w:rPr>
        <w:t>2</w:t>
      </w:r>
      <w:r>
        <w:rPr>
          <w:i/>
          <w:iCs/>
        </w:rPr>
        <w:t>.</w:t>
      </w:r>
      <w:r w:rsidR="00F20F09">
        <w:rPr>
          <w:i/>
        </w:rPr>
        <w:t xml:space="preserve"> </w:t>
      </w:r>
      <w:r>
        <w:rPr>
          <w:i/>
          <w:iCs/>
        </w:rPr>
        <w:t>Afecțiuni ale sistemului nervos central și periferic</w:t>
      </w:r>
      <w:r>
        <w:t xml:space="preserve"> din </w:t>
      </w:r>
      <w:r>
        <w:rPr>
          <w:b/>
          <w:bCs/>
        </w:rPr>
        <w:t xml:space="preserve">Criteriile </w:t>
      </w:r>
      <w:proofErr w:type="spellStart"/>
      <w:r>
        <w:rPr>
          <w:b/>
          <w:bCs/>
        </w:rPr>
        <w:t>medico</w:t>
      </w:r>
      <w:proofErr w:type="spellEnd"/>
      <w:r>
        <w:rPr>
          <w:b/>
          <w:bCs/>
        </w:rPr>
        <w:t>-psihosociale de încadrare în grad de handicap</w:t>
      </w:r>
      <w:r>
        <w:t xml:space="preserve"> aprobate prin </w:t>
      </w:r>
      <w:r>
        <w:rPr>
          <w:b/>
          <w:bCs/>
          <w:i/>
          <w:iCs/>
        </w:rPr>
        <w:t>Ordinul nr.762/1992/2007</w:t>
      </w:r>
      <w:r>
        <w:t xml:space="preserve"> </w:t>
      </w:r>
      <w:r>
        <w:rPr>
          <w:i/>
          <w:iCs/>
        </w:rPr>
        <w:t>al ministrului muncii, familiei și egalității de șanse și al ministrului sănătății publice</w:t>
      </w:r>
      <w:r>
        <w:t xml:space="preserve">, conform cărora reprezintă un </w:t>
      </w:r>
      <w:r>
        <w:rPr>
          <w:i/>
          <w:iCs/>
          <w:u w:val="single"/>
        </w:rPr>
        <w:t>deficit grav de locomoție</w:t>
      </w:r>
      <w:r>
        <w:t>, corespunzător gradului de handicap grav, dacă:</w:t>
      </w:r>
    </w:p>
    <w:p w:rsidR="004147A5" w:rsidRPr="00E93AB0" w:rsidRDefault="00C812AD" w:rsidP="00E93AB0">
      <w:pPr>
        <w:pStyle w:val="JuQuot"/>
        <w:rPr>
          <w:i/>
          <w:iCs/>
        </w:rPr>
      </w:pPr>
      <w:r>
        <w:rPr>
          <w:i/>
        </w:rPr>
        <w:t xml:space="preserve">- persoana nu se poate deplasa nici cu sprijin, nici fără sprijin, fiind dependentă de un mijloc de transport adecvat (fotoliu rulant, alte dispozitive) sau este imobilizată la pat; </w:t>
      </w:r>
    </w:p>
    <w:p w:rsidR="004147A5" w:rsidRPr="00E93AB0" w:rsidRDefault="00C812AD" w:rsidP="00E93AB0">
      <w:pPr>
        <w:pStyle w:val="JuQuot"/>
        <w:rPr>
          <w:i/>
          <w:iCs/>
        </w:rPr>
      </w:pPr>
      <w:r>
        <w:rPr>
          <w:i/>
        </w:rPr>
        <w:t xml:space="preserve">- [persoana] nu își poate îndeplini activitățile vieții cotidiene, necesită adaptări și accesibilizări importante pentru îndeplinirea activității profesionale; </w:t>
      </w:r>
    </w:p>
    <w:p w:rsidR="004147A5" w:rsidRPr="00E93AB0" w:rsidRDefault="00C812AD" w:rsidP="00E93AB0">
      <w:pPr>
        <w:pStyle w:val="JuQuot"/>
      </w:pPr>
      <w:r>
        <w:rPr>
          <w:i/>
        </w:rPr>
        <w:t xml:space="preserve">- [persoana] nu se poate autoservi decât cu sprijin total sau parțial din partea altei persoane. </w:t>
      </w:r>
    </w:p>
    <w:p w:rsidR="004147A5" w:rsidRPr="00E93AB0" w:rsidRDefault="00C812AD" w:rsidP="00E93AB0">
      <w:pPr>
        <w:pStyle w:val="JuQuot"/>
      </w:pPr>
      <w:r>
        <w:t xml:space="preserve">[...] Din actele medicale depuse în cauză rezultă că [reclamanta] a obținut un scor de </w:t>
      </w:r>
      <w:r>
        <w:rPr>
          <w:b/>
          <w:bCs/>
        </w:rPr>
        <w:t>30</w:t>
      </w:r>
      <w:r>
        <w:t xml:space="preserve"> puncte la evaluarea </w:t>
      </w:r>
      <w:proofErr w:type="spellStart"/>
      <w:r>
        <w:t>Barthel</w:t>
      </w:r>
      <w:proofErr w:type="spellEnd"/>
      <w:r>
        <w:t xml:space="preserve">, valori care determină încadrarea sa în categoria </w:t>
      </w:r>
      <w:r>
        <w:rPr>
          <w:i/>
          <w:iCs/>
        </w:rPr>
        <w:t>independenței asistate</w:t>
      </w:r>
      <w:r>
        <w:t>.</w:t>
      </w:r>
    </w:p>
    <w:p w:rsidR="004147A5" w:rsidRPr="00E93AB0" w:rsidRDefault="00C812AD" w:rsidP="00E93AB0">
      <w:pPr>
        <w:pStyle w:val="JuQuot"/>
      </w:pPr>
      <w:r>
        <w:lastRenderedPageBreak/>
        <w:t xml:space="preserve">Ca atare, din punct de vedere al afecțiunilor medicale [reclamanta] s-ar fi încadrat în gradul </w:t>
      </w:r>
      <w:r>
        <w:rPr>
          <w:b/>
          <w:bCs/>
        </w:rPr>
        <w:t>accentuat</w:t>
      </w:r>
      <w:r>
        <w:t>.</w:t>
      </w:r>
    </w:p>
    <w:p w:rsidR="004147A5" w:rsidRPr="00E93AB0" w:rsidRDefault="00C812AD" w:rsidP="00E93AB0">
      <w:pPr>
        <w:pStyle w:val="JuQuot"/>
      </w:pPr>
      <w:r>
        <w:t>[...]</w:t>
      </w:r>
    </w:p>
    <w:p w:rsidR="004147A5" w:rsidRPr="00E93AB0" w:rsidRDefault="00C812AD" w:rsidP="00E93AB0">
      <w:pPr>
        <w:pStyle w:val="JuQuot"/>
      </w:pPr>
      <w:r>
        <w:t xml:space="preserve">Din raportul de evaluare complexă și din ancheta socială rezultă că [reclamanta] </w:t>
      </w:r>
      <w:r>
        <w:rPr>
          <w:i/>
          <w:iCs/>
          <w:u w:val="single"/>
        </w:rPr>
        <w:t>se deplasează în interiorul locuinței cu ajutorul bastonului și sprijinită</w:t>
      </w:r>
      <w:r>
        <w:t>.</w:t>
      </w:r>
      <w:r>
        <w:cr/>
      </w:r>
      <w:r>
        <w:br/>
        <w:t xml:space="preserve"> Deci </w:t>
      </w:r>
      <w:r>
        <w:rPr>
          <w:b/>
          <w:bCs/>
        </w:rPr>
        <w:t>nu este</w:t>
      </w:r>
      <w:r>
        <w:t xml:space="preserve"> о persoană care nu se poate deplasa, nefiind imobilizată sau dependentă de fotoliu rulant </w:t>
      </w:r>
      <w:r>
        <w:rPr>
          <w:i/>
          <w:iCs/>
        </w:rPr>
        <w:t xml:space="preserve">cu pierderea </w:t>
      </w:r>
      <w:r>
        <w:rPr>
          <w:b/>
          <w:bCs/>
          <w:i/>
          <w:iCs/>
        </w:rPr>
        <w:t>totală</w:t>
      </w:r>
      <w:r>
        <w:rPr>
          <w:i/>
          <w:iCs/>
        </w:rPr>
        <w:t xml:space="preserve"> a capacității de autoservire, autoîngrijire și autogospodărire și necesitatea unui sprijin permanent</w:t>
      </w:r>
      <w:r>
        <w:t xml:space="preserve"> - [și numai această din urmă situație fiind cea] care corespunde unei deficiențe grave cu asistent personal.</w:t>
      </w:r>
    </w:p>
    <w:p w:rsidR="004147A5" w:rsidRPr="00E93AB0" w:rsidRDefault="00C812AD" w:rsidP="00E93AB0">
      <w:pPr>
        <w:pStyle w:val="JuQuot"/>
      </w:pPr>
      <w:r>
        <w:t>[...]</w:t>
      </w:r>
    </w:p>
    <w:p w:rsidR="004147A5" w:rsidRPr="00E93AB0" w:rsidRDefault="00C812AD" w:rsidP="00E93AB0">
      <w:pPr>
        <w:pStyle w:val="JuQuot"/>
      </w:pPr>
      <w:r>
        <w:t xml:space="preserve">Dincolo de percepția subiectivă cu privire la situația reclamantei și a empatiei inerente (cu care suntem întrutotul de acord), acordarea măsurilor de sprijin poate și trebuie realizată [...] prin raportare la datele </w:t>
      </w:r>
      <w:r>
        <w:rPr>
          <w:i/>
          <w:iCs/>
        </w:rPr>
        <w:t>obiective</w:t>
      </w:r>
      <w:r>
        <w:cr/>
      </w:r>
      <w:r>
        <w:br/>
        <w:t xml:space="preserve">furnizate de către </w:t>
      </w:r>
      <w:r>
        <w:rPr>
          <w:i/>
          <w:iCs/>
        </w:rPr>
        <w:t>entitățile cu competențe exclusive</w:t>
      </w:r>
      <w:r>
        <w:t xml:space="preserve"> prevăzute de norme. </w:t>
      </w:r>
    </w:p>
    <w:p w:rsidR="004147A5" w:rsidRPr="00E93AB0" w:rsidRDefault="00C812AD" w:rsidP="00E93AB0">
      <w:pPr>
        <w:pStyle w:val="JuQuot"/>
      </w:pPr>
      <w:r>
        <w:t>[...]</w:t>
      </w:r>
    </w:p>
    <w:p w:rsidR="004147A5" w:rsidRPr="00E93AB0" w:rsidRDefault="00C812AD" w:rsidP="00E93AB0">
      <w:pPr>
        <w:pStyle w:val="JuQuot"/>
        <w:rPr>
          <w:i/>
          <w:iCs/>
        </w:rPr>
      </w:pPr>
      <w:r>
        <w:t>Din cele ce preced, reiese că</w:t>
      </w:r>
      <w:r w:rsidR="00F20F09">
        <w:t xml:space="preserve"> </w:t>
      </w:r>
      <w:r>
        <w:t xml:space="preserve">[tribunalul] [...] a apreciat în mod greșit, </w:t>
      </w:r>
      <w:r>
        <w:rPr>
          <w:i/>
          <w:iCs/>
        </w:rPr>
        <w:t>de lege lata</w:t>
      </w:r>
      <w:r>
        <w:t>, că reclamanta se încadrează în grad de handicap grav cu asistent, dând о interpretare eronată normelor de drept pozitiv mai sus enunțate [...].”</w:t>
      </w:r>
      <w:r w:rsidR="00F20F09">
        <w:t xml:space="preserve"> </w:t>
      </w:r>
    </w:p>
    <w:p w:rsidR="004147A5" w:rsidRPr="00E93AB0" w:rsidRDefault="00C812AD" w:rsidP="00E93AB0">
      <w:pPr>
        <w:pStyle w:val="JuHHead"/>
      </w:pPr>
      <w:r>
        <w:t>CADRUL JURIDIC ȘI PRACTICA RELEVANTE</w:t>
      </w:r>
    </w:p>
    <w:p w:rsidR="004147A5" w:rsidRPr="00E93AB0" w:rsidRDefault="00C812AD" w:rsidP="00E93AB0">
      <w:pPr>
        <w:pStyle w:val="JuHIRoman"/>
      </w:pPr>
      <w:r>
        <w:t>DREPTUL INTERN</w:t>
      </w:r>
    </w:p>
    <w:bookmarkStart w:id="18" w:name="paragraph00024"/>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24</w:t>
      </w:r>
      <w:r w:rsidRPr="00E93AB0">
        <w:fldChar w:fldCharType="end"/>
      </w:r>
      <w:bookmarkEnd w:id="18"/>
      <w:r>
        <w:t>.</w:t>
      </w:r>
      <w:r w:rsidR="00F20F09">
        <w:t xml:space="preserve"> </w:t>
      </w:r>
      <w:r>
        <w:t>Legea nr. 448/2006 privind protecția și promovarea drepturilor persoanelor cu handicap („Legea privind persoanele cu handicap”) instituie un mecanism pentru protejarea persoanelor cu handicap, bazat pe următoarele principii: respectarea drepturilor omului; nediscriminarea; egalitatea de șanse; solidaritatea socială; libertatea de a alege, de a lua și a controla deciziile cu privire la propria viață și la serviciile și tipul de sprijin primite; incluziunea socială; și respectarea nevoilor specifice ale persoanelor cu handicap. În temeiul acesteia se înființează, pentru fiecare județ, Comisia de evaluare a persoanelor adulte cu handicap, care acționează sub autoritatea consiliului local relevant și este formată din doi medici, un psiholog, un membru al societății civile și un asistent social (art. 85). În temeiul legii se înființează, de asemenea, în cadrul fiecărei Direcții generale județene de asistență socială și protecția copilului, Serviciul de evaluare complexă a persoanelor adulte cu handicap (art. 87 și 88). Rolul serviciului este de a elabora rapoarte de „evaluare complexă” a persoanelor care solicită pensie de invaliditate în temeiul legii. Pe baza acestor rapoarte, Comisia de evaluare a persoanelor adulte cu handicap evaluează gradul de handicap al persoanelor în cauză, în conformitate cu criteriile (medicale, psihologice și sociale) și cu grilele stabilite prin ordin comun de Ministerul Muncii, Familiei și Egalității de Șanse și Ministerul Sănătății.</w:t>
      </w:r>
    </w:p>
    <w:p w:rsidR="004147A5" w:rsidRPr="00E93AB0" w:rsidRDefault="00C812AD" w:rsidP="00E93AB0">
      <w:pPr>
        <w:pStyle w:val="JuPara"/>
      </w:pPr>
      <w:r w:rsidRPr="00E93AB0">
        <w:lastRenderedPageBreak/>
        <w:fldChar w:fldCharType="begin"/>
      </w:r>
      <w:r>
        <w:instrText xml:space="preserve"> SEQ level0 \*arabic \* MERGEFORMAT </w:instrText>
      </w:r>
      <w:r w:rsidRPr="00E93AB0">
        <w:fldChar w:fldCharType="separate"/>
      </w:r>
      <w:r w:rsidRPr="00E93AB0">
        <w:t>25</w:t>
      </w:r>
      <w:r w:rsidRPr="00E93AB0">
        <w:fldChar w:fldCharType="end"/>
      </w:r>
      <w:r>
        <w:t>.</w:t>
      </w:r>
      <w:r w:rsidR="00F20F09">
        <w:t xml:space="preserve"> </w:t>
      </w:r>
      <w:r>
        <w:t xml:space="preserve">În conformitate cu art. 86 din Legea privind persoanele cu handicap, gradele de handicap sunt: ușor, mediu, accentuat și grav. Potrivit art. 35 din aceeași lege, o persoană cu handicap grav are dreptul la un asistent personal, în baza evaluării </w:t>
      </w:r>
      <w:proofErr w:type="spellStart"/>
      <w:r>
        <w:t>sociopsihomedicale</w:t>
      </w:r>
      <w:proofErr w:type="spellEnd"/>
      <w:r>
        <w:t>.</w:t>
      </w:r>
    </w:p>
    <w:bookmarkStart w:id="19" w:name="paragraph00026"/>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26</w:t>
      </w:r>
      <w:r w:rsidRPr="00E93AB0">
        <w:fldChar w:fldCharType="end"/>
      </w:r>
      <w:bookmarkEnd w:id="19"/>
      <w:r>
        <w:t>.</w:t>
      </w:r>
      <w:r w:rsidR="00F20F09">
        <w:t xml:space="preserve"> </w:t>
      </w:r>
      <w:r>
        <w:t xml:space="preserve">Prin Ordinul nr. 762/1992/2007, Ministerul Muncii, Familiei și Egalității de Șanse și Ministerul Sănătății au aprobat criteriile pentru evaluarea complexă a gradului de handicap prevăzută de Legea privind persoanele cu handicap, precum și pentru evaluarea indicelui ADL (a se vedea supra, pct. </w:t>
      </w:r>
      <w:r w:rsidRPr="00E93AB0">
        <w:fldChar w:fldCharType="begin"/>
      </w:r>
      <w:r w:rsidRPr="00E93AB0">
        <w:instrText xml:space="preserve">REF paragraph00007 \h \* CharFormat </w:instrText>
      </w:r>
      <w:r w:rsidRPr="00E93AB0">
        <w:fldChar w:fldCharType="separate"/>
      </w:r>
      <w:r w:rsidR="00E93AB0" w:rsidRPr="00E93AB0">
        <w:t>7</w:t>
      </w:r>
      <w:r w:rsidRPr="00E93AB0">
        <w:fldChar w:fldCharType="end"/>
      </w:r>
      <w:r>
        <w:t>).</w:t>
      </w:r>
    </w:p>
    <w:bookmarkStart w:id="20" w:name="paragraph00027"/>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27</w:t>
      </w:r>
      <w:r w:rsidRPr="00E93AB0">
        <w:fldChar w:fldCharType="end"/>
      </w:r>
      <w:bookmarkEnd w:id="20"/>
      <w:r>
        <w:t>.</w:t>
      </w:r>
      <w:r w:rsidR="00F20F09">
        <w:t xml:space="preserve"> </w:t>
      </w:r>
      <w:r>
        <w:t xml:space="preserve">Capitolul 7.III.2 din ordin descrie gradul de handicap și accesibilizările necesare în cazul afectării funcției motorii cauzate de tulburări ale sistemului nervos (a se vedea supra, pct. </w:t>
      </w:r>
      <w:r w:rsidRPr="00E93AB0">
        <w:fldChar w:fldCharType="begin"/>
      </w:r>
      <w:r w:rsidRPr="00E93AB0">
        <w:instrText xml:space="preserve">REF paragraph00023 \h \* CharFormat </w:instrText>
      </w:r>
      <w:r w:rsidRPr="00E93AB0">
        <w:fldChar w:fldCharType="separate"/>
      </w:r>
      <w:r w:rsidR="00E93AB0" w:rsidRPr="00E93AB0">
        <w:t>23</w:t>
      </w:r>
      <w:r w:rsidRPr="00E93AB0">
        <w:fldChar w:fldCharType="end"/>
      </w:r>
      <w:r>
        <w:t>).</w:t>
      </w:r>
    </w:p>
    <w:bookmarkStart w:id="21" w:name="paragraph00028"/>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28</w:t>
      </w:r>
      <w:r w:rsidRPr="00E93AB0">
        <w:fldChar w:fldCharType="end"/>
      </w:r>
      <w:bookmarkEnd w:id="21"/>
      <w:r>
        <w:t>.</w:t>
      </w:r>
      <w:r w:rsidR="00F20F09">
        <w:t xml:space="preserve"> </w:t>
      </w:r>
      <w:r>
        <w:t>Normele metodologice de aplicare a dispozițiilor Legii nr. 448/2006 privind protecția și promovarea drepturilor persoanelor cu handicap (aprobate prin Hotărârea Guvernului nr. 268/2007) sunt redactate după cum urmează:</w:t>
      </w:r>
    </w:p>
    <w:p w:rsidR="004147A5" w:rsidRPr="00E93AB0" w:rsidRDefault="00C812AD" w:rsidP="00E93AB0">
      <w:pPr>
        <w:pStyle w:val="JuQuot"/>
      </w:pPr>
      <w:r>
        <w:t>„(1)</w:t>
      </w:r>
      <w:r w:rsidR="00F20F09">
        <w:t xml:space="preserve"> </w:t>
      </w:r>
      <w:r>
        <w:t>Evaluarea persoanelor adulte cu handicap este un proces complex și continuu prin care sunt estimate și recunoscute particularitățile de dezvoltare, integrare și incluziune socială a acestora.</w:t>
      </w:r>
      <w:r w:rsidR="00F20F09">
        <w:t xml:space="preserve"> </w:t>
      </w:r>
      <w:r>
        <w:t>Procesul presupune colectarea de informații cât mai complete și interpretarea acestora în scopul orientării asupra deciziei și intervenției.</w:t>
      </w:r>
    </w:p>
    <w:p w:rsidR="004147A5" w:rsidRPr="00E93AB0" w:rsidRDefault="00C812AD" w:rsidP="00E93AB0">
      <w:pPr>
        <w:pStyle w:val="JuQuot"/>
      </w:pPr>
      <w:r>
        <w:t>(2)</w:t>
      </w:r>
      <w:r w:rsidR="00F20F09">
        <w:t xml:space="preserve"> </w:t>
      </w:r>
      <w:r>
        <w:t>Evaluarea este subordonată principiului interesului persoanei cu handicap, potrivit căruia orice decizie sau măsură este luată numai în interesul acestei persoane, fiind inacceptabile abordările întemeiate pe milă și pe percepția persoanelor cu handicap ca fiind neajutorate.”</w:t>
      </w:r>
    </w:p>
    <w:bookmarkStart w:id="22" w:name="paragraph00029"/>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29</w:t>
      </w:r>
      <w:r w:rsidRPr="00E93AB0">
        <w:fldChar w:fldCharType="end"/>
      </w:r>
      <w:bookmarkEnd w:id="22"/>
      <w:r>
        <w:t>.</w:t>
      </w:r>
      <w:r w:rsidR="00F20F09">
        <w:t xml:space="preserve"> </w:t>
      </w:r>
      <w:r>
        <w:t>În Strategia națională privind drepturile persoanelor cu dizabilități 2022-2027, autoritățile au identificat schimbările cheie necesare pentru a asigura o viață independentă și integrarea în comunitate. Printre acestea, figurează următoarele acțiuni:</w:t>
      </w:r>
    </w:p>
    <w:p w:rsidR="004147A5" w:rsidRPr="00E93AB0" w:rsidRDefault="00C812AD" w:rsidP="00E93AB0">
      <w:pPr>
        <w:pStyle w:val="JuQuot"/>
      </w:pPr>
      <w:r>
        <w:t xml:space="preserve">„Dizabilitatea trebuie să nu mai fie evaluată pe baza afecțiunilor medicale ale persoanei, ci pe baza unui model </w:t>
      </w:r>
      <w:proofErr w:type="spellStart"/>
      <w:r>
        <w:t>bio</w:t>
      </w:r>
      <w:proofErr w:type="spellEnd"/>
      <w:r>
        <w:t>-</w:t>
      </w:r>
      <w:proofErr w:type="spellStart"/>
      <w:r>
        <w:t>psiho</w:t>
      </w:r>
      <w:proofErr w:type="spellEnd"/>
      <w:r>
        <w:t>-social care să reflecte interacțiunea dintre afecțiunile medicale și mediul înconjurător în care trăiește persoana.</w:t>
      </w:r>
    </w:p>
    <w:p w:rsidR="004147A5" w:rsidRPr="00E93AB0" w:rsidRDefault="00C812AD" w:rsidP="00E93AB0">
      <w:pPr>
        <w:pStyle w:val="JuQuot"/>
      </w:pPr>
      <w:r>
        <w:t>[...]</w:t>
      </w:r>
    </w:p>
    <w:p w:rsidR="004147A5" w:rsidRPr="00E93AB0" w:rsidRDefault="00C812AD" w:rsidP="00E93AB0">
      <w:pPr>
        <w:pStyle w:val="JuQuot"/>
      </w:pPr>
      <w:r>
        <w:t>Este necesar să se clarifice modul în care autoritățile trebuie să administreze cazul fiecărei persoane cu dizabilități în mod adaptat la nevoile acesteia și luând în considerare toate formele de sprijin necesare.”</w:t>
      </w:r>
    </w:p>
    <w:p w:rsidR="004147A5" w:rsidRPr="00E93AB0" w:rsidRDefault="00C812AD" w:rsidP="00E93AB0">
      <w:pPr>
        <w:pStyle w:val="JuHIRoman"/>
      </w:pPr>
      <w:r>
        <w:t>DOCUMENTE INTERNAȚIONALE</w:t>
      </w:r>
    </w:p>
    <w:bookmarkStart w:id="23" w:name="paragraph00030"/>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30</w:t>
      </w:r>
      <w:r w:rsidRPr="00E93AB0">
        <w:fldChar w:fldCharType="end"/>
      </w:r>
      <w:bookmarkEnd w:id="23"/>
      <w:r>
        <w:t>.</w:t>
      </w:r>
      <w:r w:rsidR="00F20F09">
        <w:t xml:space="preserve"> </w:t>
      </w:r>
      <w:r>
        <w:t xml:space="preserve">Dispozițiile relevante ale dreptului Uniunii Europene, precum și cele ale Convenției Națiunilor Unite privind drepturile persoanelor cu dizabilități („CDPD”), care a fost ratificată de România la 31 ianuarie 2011, sunt sintetizate în </w:t>
      </w:r>
      <w:bookmarkStart w:id="24" w:name="_cl41356RELEVANTLEGALFRAMEWORKANDPRACTIC"/>
      <w:r>
        <w:rPr>
          <w:i/>
        </w:rPr>
        <w:t>Jivan împotriva României</w:t>
      </w:r>
      <w:bookmarkEnd w:id="24"/>
      <w:r>
        <w:t xml:space="preserve"> (nr. 62250/19, pct. 20-23, 8 februarie 2022).</w:t>
      </w:r>
    </w:p>
    <w:p w:rsidR="004147A5" w:rsidRPr="00E93AB0" w:rsidRDefault="00C812AD" w:rsidP="00E93AB0">
      <w:pPr>
        <w:pStyle w:val="JuHHead"/>
      </w:pPr>
      <w:r>
        <w:lastRenderedPageBreak/>
        <w:t>ÎN DREPT</w:t>
      </w:r>
    </w:p>
    <w:p w:rsidR="004147A5" w:rsidRPr="00E93AB0" w:rsidRDefault="00C812AD" w:rsidP="00E93AB0">
      <w:pPr>
        <w:pStyle w:val="JuHIRoman"/>
      </w:pPr>
      <w:r>
        <w:t>CU PRIVIRE LA PRETINSA ÎNCĂLCARE A ART. 8 DIN CONVENȚIE</w:t>
      </w:r>
    </w:p>
    <w:p w:rsidR="004147A5" w:rsidRPr="00E93AB0" w:rsidRDefault="00C812AD" w:rsidP="00E93AB0">
      <w:pPr>
        <w:pStyle w:val="JuPara"/>
      </w:pPr>
      <w:fldSimple w:instr=" SEQ level0 \*arabic ">
        <w:r w:rsidR="00E93AB0" w:rsidRPr="00E93AB0">
          <w:t>31</w:t>
        </w:r>
      </w:fldSimple>
      <w:r>
        <w:t>.</w:t>
      </w:r>
      <w:r w:rsidR="00F20F09">
        <w:t xml:space="preserve"> </w:t>
      </w:r>
      <w:r>
        <w:t xml:space="preserve">Reclamanta s-a plâns că respingerea de către autorități a cererii de a beneficia de asistent personal i-a adus atingere în mod disproporționat dreptului la respectarea vieții private, obligând-o la izolare și privând-o de autonomie. Cu toate că a invocat mai multe articole din Convenție (art. 5, art. 6 § 1 și art. 14), Curtea, care are competența de a realiza o încadrare în drept a faptelor cauzei [a se vedea </w:t>
      </w:r>
      <w:proofErr w:type="spellStart"/>
      <w:r>
        <w:rPr>
          <w:i/>
          <w:iCs/>
        </w:rPr>
        <w:t>Radomilja</w:t>
      </w:r>
      <w:proofErr w:type="spellEnd"/>
      <w:r>
        <w:rPr>
          <w:i/>
          <w:iCs/>
        </w:rPr>
        <w:t xml:space="preserve"> și alții împotriva Croației</w:t>
      </w:r>
      <w:r>
        <w:t xml:space="preserve"> (MC), nr. 37685/10 și 22768/12, pct. 114, 124 și 126, 20 martie 2018], va examina plângerea în raport cu art. 8 din Convenție (a se vedea, </w:t>
      </w:r>
      <w:r>
        <w:rPr>
          <w:i/>
        </w:rPr>
        <w:t>mutatis mutandis</w:t>
      </w:r>
      <w:r>
        <w:t xml:space="preserve">, </w:t>
      </w:r>
      <w:bookmarkStart w:id="25" w:name="_cl41356THELAW"/>
      <w:r>
        <w:rPr>
          <w:i/>
        </w:rPr>
        <w:t>Jivan împotriva României</w:t>
      </w:r>
      <w:bookmarkEnd w:id="25"/>
      <w:r>
        <w:t>, nr. 62250/19, pct. 28, 8 februarie 2022), care, în măsura în care este relevantă, are următorul cuprins:</w:t>
      </w:r>
    </w:p>
    <w:p w:rsidR="004147A5" w:rsidRPr="00E93AB0" w:rsidRDefault="00C812AD" w:rsidP="00E93AB0">
      <w:pPr>
        <w:pStyle w:val="JuQuot"/>
      </w:pPr>
      <w:r>
        <w:t>„(1)</w:t>
      </w:r>
      <w:r w:rsidR="00F20F09">
        <w:t xml:space="preserve"> </w:t>
      </w:r>
      <w:r>
        <w:t>Orice persoană are dreptul la respectarea vieții sale private [...]</w:t>
      </w:r>
    </w:p>
    <w:p w:rsidR="004147A5" w:rsidRPr="00E93AB0" w:rsidRDefault="00C812AD" w:rsidP="00E93AB0">
      <w:pPr>
        <w:pStyle w:val="JuQuot"/>
      </w:pPr>
      <w:r>
        <w:t>(2)</w:t>
      </w:r>
      <w:r w:rsidR="00F20F09">
        <w:t xml:space="preserve"> </w:t>
      </w:r>
      <w:r>
        <w:t>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rsidR="004147A5" w:rsidRPr="00E93AB0" w:rsidRDefault="00C812AD" w:rsidP="00E93AB0">
      <w:pPr>
        <w:pStyle w:val="JuHA"/>
      </w:pPr>
      <w:r>
        <w:t>Cu privire la admisibilitate</w:t>
      </w:r>
    </w:p>
    <w:p w:rsidR="004147A5" w:rsidRPr="00E93AB0" w:rsidRDefault="00C812AD" w:rsidP="00E93AB0">
      <w:pPr>
        <w:pStyle w:val="JuH1"/>
      </w:pPr>
      <w:r>
        <w:t>Aplicabilitate</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32</w:t>
      </w:r>
      <w:r w:rsidRPr="00E93AB0">
        <w:fldChar w:fldCharType="end"/>
      </w:r>
      <w:r>
        <w:t>.</w:t>
      </w:r>
      <w:r w:rsidR="00F20F09">
        <w:t xml:space="preserve"> </w:t>
      </w:r>
      <w:r>
        <w:t xml:space="preserve">Curtea trebuie să decidă mai întâi dacă art. 8 este aplicabil situației de fapt din prezenta cauză [a se vedea </w:t>
      </w:r>
      <w:proofErr w:type="spellStart"/>
      <w:r>
        <w:rPr>
          <w:i/>
        </w:rPr>
        <w:t>Denisov</w:t>
      </w:r>
      <w:proofErr w:type="spellEnd"/>
      <w:r>
        <w:rPr>
          <w:i/>
        </w:rPr>
        <w:t xml:space="preserve"> împotriva Ucrainei</w:t>
      </w:r>
      <w:r>
        <w:t xml:space="preserve"> (MC), nr. 76639/11, pct. 93, 25 septembrie 2018]. În această privință, Curtea observă că anterior a constatat că art. 8 era aplicabil într-o cauză cu care a fost sesizată de un bărbat în vârstă cu handicap grav căruia îi fusese refuzat beneficiul unui asistent personal și care s-a plâns că nivelul necorespunzător al asistenței acordate de autorități l-a forțat să se izoleze și l-a privat de autonomia sa (a se vedea </w:t>
      </w:r>
      <w:r>
        <w:rPr>
          <w:i/>
        </w:rPr>
        <w:t>Jivan</w:t>
      </w:r>
      <w:r>
        <w:t>, citată anterior, pct. 30-35).</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33</w:t>
      </w:r>
      <w:r w:rsidRPr="00E93AB0">
        <w:fldChar w:fldCharType="end"/>
      </w:r>
      <w:r>
        <w:t>.</w:t>
      </w:r>
      <w:r w:rsidR="00F20F09">
        <w:t xml:space="preserve"> </w:t>
      </w:r>
      <w:r>
        <w:t>Ținând seama de similitudinile dintre respectiva cauză și cea prezentă cu privire la domeniul de aplicare al art. 8, Curtea nu are niciun motiv pentru a se abate în speță de la analiza sa anterioară și, prin urmare, consideră că art. 8 este aplicabil faptelor prezentate de reclamantă.</w:t>
      </w:r>
    </w:p>
    <w:p w:rsidR="004147A5" w:rsidRPr="00E93AB0" w:rsidRDefault="00C812AD" w:rsidP="00E93AB0">
      <w:pPr>
        <w:pStyle w:val="JuH1"/>
      </w:pPr>
      <w:r>
        <w:t>Respectarea termenului de șase luni</w:t>
      </w:r>
    </w:p>
    <w:p w:rsidR="004147A5" w:rsidRPr="00E93AB0" w:rsidRDefault="00C812AD" w:rsidP="00E93AB0">
      <w:pPr>
        <w:pStyle w:val="JuHa0"/>
      </w:pPr>
      <w:r>
        <w:t>Argumentele părților</w:t>
      </w:r>
    </w:p>
    <w:p w:rsidR="004147A5" w:rsidRPr="00E93AB0" w:rsidRDefault="00C812AD" w:rsidP="00E93AB0">
      <w:pPr>
        <w:pStyle w:val="JuHi"/>
      </w:pPr>
      <w:r>
        <w:t>Guvernul</w:t>
      </w:r>
    </w:p>
    <w:p w:rsidR="004147A5" w:rsidRPr="00E93AB0" w:rsidRDefault="00C812AD" w:rsidP="00E93AB0">
      <w:pPr>
        <w:pStyle w:val="JuPara"/>
      </w:pPr>
      <w:fldSimple w:instr=" SEQ level0 \*arabic ">
        <w:r w:rsidR="00E93AB0" w:rsidRPr="00E93AB0">
          <w:t>34</w:t>
        </w:r>
      </w:fldSimple>
      <w:r>
        <w:t>.</w:t>
      </w:r>
      <w:r w:rsidR="00F20F09">
        <w:t xml:space="preserve"> </w:t>
      </w:r>
      <w:r>
        <w:t xml:space="preserve">Guvernul a susținut că situația reclamantei a fost afectată atunci când, prin decizia definitivă din 15 iunie 2020 (a se vedea supra, pct. </w:t>
      </w:r>
      <w:r w:rsidRPr="00E93AB0">
        <w:fldChar w:fldCharType="begin"/>
      </w:r>
      <w:r w:rsidRPr="00E93AB0">
        <w:instrText xml:space="preserve">REF paragraph00015 \h \* CharFormat </w:instrText>
      </w:r>
      <w:r w:rsidRPr="00E93AB0">
        <w:fldChar w:fldCharType="separate"/>
      </w:r>
      <w:r w:rsidR="00E93AB0" w:rsidRPr="00E93AB0">
        <w:t>15</w:t>
      </w:r>
      <w:r w:rsidRPr="00E93AB0">
        <w:fldChar w:fldCharType="end"/>
      </w:r>
      <w:r>
        <w:t xml:space="preserve">), a fost </w:t>
      </w:r>
      <w:r>
        <w:lastRenderedPageBreak/>
        <w:t xml:space="preserve">confirmat certificatul din 22 noiembrie 2017 (a se vedea supra, pct. </w:t>
      </w:r>
      <w:r w:rsidRPr="00E93AB0">
        <w:fldChar w:fldCharType="begin"/>
      </w:r>
      <w:r w:rsidRPr="00E93AB0">
        <w:instrText xml:space="preserve">REF paragraph00010 \h \* CharFormat </w:instrText>
      </w:r>
      <w:r w:rsidRPr="00E93AB0">
        <w:fldChar w:fldCharType="separate"/>
      </w:r>
      <w:r w:rsidR="00E93AB0" w:rsidRPr="00E93AB0">
        <w:t>10</w:t>
      </w:r>
      <w:r w:rsidRPr="00E93AB0">
        <w:fldChar w:fldCharType="end"/>
      </w:r>
      <w:r>
        <w:t xml:space="preserve">). Certificatul din 20 noiembrie 2019 (a se vedea supra, pct. </w:t>
      </w:r>
      <w:r w:rsidRPr="00E93AB0">
        <w:fldChar w:fldCharType="begin"/>
      </w:r>
      <w:r w:rsidRPr="00E93AB0">
        <w:instrText xml:space="preserve">REF paragraph00016 \h \* CharFormat </w:instrText>
      </w:r>
      <w:r w:rsidRPr="00E93AB0">
        <w:fldChar w:fldCharType="separate"/>
      </w:r>
      <w:r w:rsidR="00E93AB0" w:rsidRPr="00E93AB0">
        <w:t>16</w:t>
      </w:r>
      <w:r w:rsidRPr="00E93AB0">
        <w:fldChar w:fldCharType="end"/>
      </w:r>
      <w:r>
        <w:t>) nu a făcut decât să confirme situația stabilită prin certificatul din 2017. Termenul de șase luni a început, prin urmare, să curgă la 15 iunie 2020, în timp ce cererea a fost introdusă la 11 octombrie 2021.</w:t>
      </w:r>
    </w:p>
    <w:p w:rsidR="004147A5" w:rsidRPr="00E93AB0" w:rsidRDefault="00C812AD" w:rsidP="00E93AB0">
      <w:pPr>
        <w:pStyle w:val="JuHi"/>
      </w:pPr>
      <w:r>
        <w:t>Reclamanta</w:t>
      </w:r>
    </w:p>
    <w:p w:rsidR="004147A5" w:rsidRPr="00E93AB0" w:rsidRDefault="00C812AD" w:rsidP="00E93AB0">
      <w:pPr>
        <w:pStyle w:val="JuPara"/>
      </w:pPr>
      <w:fldSimple w:instr=" SEQ level0 \*arabic ">
        <w:r w:rsidR="00E93AB0" w:rsidRPr="00E93AB0">
          <w:t>35</w:t>
        </w:r>
      </w:fldSimple>
      <w:r>
        <w:t>.</w:t>
      </w:r>
      <w:r w:rsidR="00F20F09">
        <w:t xml:space="preserve"> </w:t>
      </w:r>
      <w:r>
        <w:t xml:space="preserve">Reclamanta a răspuns că respingerea cererii de a i se asigura un asistent personal a devenit definitivă doar la emiterea certificatului din 2019, și, în consecință, termenul de șase luni trebuie să fie calculat de la data la care acest certificat a fost confirmat, prin decizia definitivă din 12 aprilie 2021 (a se vedea supra, pct. </w:t>
      </w:r>
      <w:r w:rsidRPr="00E93AB0">
        <w:fldChar w:fldCharType="begin"/>
      </w:r>
      <w:r w:rsidRPr="00E93AB0">
        <w:instrText xml:space="preserve">REF paragraph00023 \h \* CharFormat </w:instrText>
      </w:r>
      <w:r w:rsidRPr="00E93AB0">
        <w:fldChar w:fldCharType="separate"/>
      </w:r>
      <w:r w:rsidR="00E93AB0" w:rsidRPr="00E93AB0">
        <w:t>23</w:t>
      </w:r>
      <w:r w:rsidRPr="00E93AB0">
        <w:fldChar w:fldCharType="end"/>
      </w:r>
      <w:r>
        <w:t>).</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36</w:t>
      </w:r>
      <w:r w:rsidRPr="00E93AB0">
        <w:fldChar w:fldCharType="end"/>
      </w:r>
      <w:r>
        <w:t>.</w:t>
      </w:r>
      <w:r w:rsidR="00F20F09">
        <w:t xml:space="preserve"> </w:t>
      </w:r>
      <w:r>
        <w:t xml:space="preserve">Mai mult, la data la care decizia din 15 iunie 2020 a fost pronunțată, confirmând certificatul din 2017 (a se vedea supra, pct. </w:t>
      </w:r>
      <w:r w:rsidRPr="00E93AB0">
        <w:fldChar w:fldCharType="begin"/>
      </w:r>
      <w:r w:rsidRPr="00E93AB0">
        <w:instrText xml:space="preserve">REF paragraph00015 \h \* CharFormat </w:instrText>
      </w:r>
      <w:r w:rsidRPr="00E93AB0">
        <w:fldChar w:fldCharType="separate"/>
      </w:r>
      <w:r w:rsidRPr="00E93AB0">
        <w:t>15</w:t>
      </w:r>
      <w:r w:rsidRPr="00E93AB0">
        <w:fldChar w:fldCharType="end"/>
      </w:r>
      <w:r>
        <w:t>), reclamanta era deja angajată în litigiul privind certificatul din 2019 care a privat-o permanent de asistentul personal. Prin urmare, ar fi fost prematură introducerea cererii în fața Curții la acel moment.</w:t>
      </w:r>
    </w:p>
    <w:p w:rsidR="004147A5" w:rsidRPr="00E93AB0" w:rsidRDefault="00C812AD" w:rsidP="00E93AB0">
      <w:pPr>
        <w:pStyle w:val="JuHa0"/>
      </w:pPr>
      <w:r>
        <w:t>Motivarea Curții</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37</w:t>
      </w:r>
      <w:r w:rsidRPr="00E93AB0">
        <w:fldChar w:fldCharType="end"/>
      </w:r>
      <w:r>
        <w:t>.</w:t>
      </w:r>
      <w:r w:rsidR="00F20F09">
        <w:t xml:space="preserve"> </w:t>
      </w:r>
      <w:r>
        <w:t xml:space="preserve">Principiile generale privind termenul de șase luni au fost reiterate în </w:t>
      </w:r>
      <w:bookmarkStart w:id="26" w:name="_cl30366THELAW"/>
      <w:proofErr w:type="spellStart"/>
      <w:r>
        <w:rPr>
          <w:i/>
        </w:rPr>
        <w:t>Lekić</w:t>
      </w:r>
      <w:proofErr w:type="spellEnd"/>
      <w:r>
        <w:rPr>
          <w:i/>
        </w:rPr>
        <w:t xml:space="preserve"> împotriva Sloveniei</w:t>
      </w:r>
      <w:bookmarkEnd w:id="26"/>
      <w:r>
        <w:t xml:space="preserve"> [(MC), nr. 36480/07, pct. 64-65, 11 decembrie 2018]. În urma intrării în vigoare a Protocolului nr. 15 la Convenție la 1 februarie 2022, termenul pentru introducerea unei cereri în fața Curții a fost redus de la șase la patru luni. Totuși, noul termen nu se aplică cererilor pentru care data hotărârii interne definitive este anterioară intrării în vigoare a noii norme</w:t>
      </w:r>
      <w:r>
        <w:rPr>
          <w:rStyle w:val="FootnoteReference"/>
        </w:rPr>
        <w:footnoteReference w:id="1"/>
      </w:r>
      <w:r>
        <w:t>.</w:t>
      </w:r>
    </w:p>
    <w:p w:rsidR="004147A5" w:rsidRPr="00E93AB0" w:rsidRDefault="002167FF" w:rsidP="00E93AB0">
      <w:pPr>
        <w:pStyle w:val="JuPara"/>
      </w:pPr>
      <w:r>
        <w:fldChar w:fldCharType="begin"/>
      </w:r>
      <w:r>
        <w:instrText xml:space="preserve"> SEQ level0 \*arabic \* MERGEFORMAT </w:instrText>
      </w:r>
      <w:r>
        <w:fldChar w:fldCharType="separate"/>
      </w:r>
      <w:r w:rsidR="00E93AB0" w:rsidRPr="00E93AB0">
        <w:t>38</w:t>
      </w:r>
      <w:r>
        <w:fldChar w:fldCharType="end"/>
      </w:r>
      <w:r w:rsidR="00C812AD">
        <w:t>.</w:t>
      </w:r>
      <w:r w:rsidR="00F20F09">
        <w:t xml:space="preserve"> </w:t>
      </w:r>
      <w:r w:rsidR="00C812AD">
        <w:t>În special, art. 35 § 1 nu poate fi interpretat într-o manieră care ar impune unui reclamant să informeze Curtea despre cererea sa înainte ca situația sa legată de cauză să fi fost soluționată definitiv la nivel intern, în caz contrar, s-ar aduce atingere principiului subsidiarității (ibid., pct. 65).</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39</w:t>
      </w:r>
      <w:r w:rsidRPr="00E93AB0">
        <w:fldChar w:fldCharType="end"/>
      </w:r>
      <w:r>
        <w:t>.</w:t>
      </w:r>
      <w:r w:rsidR="00F20F09">
        <w:t xml:space="preserve"> </w:t>
      </w:r>
      <w:r>
        <w:t xml:space="preserve">Cererea reclamantei introdusă în fața Curții privește pierderea beneficiului unui asistent personal. Deși acest beneficiu i-a fost inițial retras pe o perioadă de doi ani prin certificatul din 22 noiembrie 2017 (a se vedea supra, pct. </w:t>
      </w:r>
      <w:r w:rsidRPr="00E93AB0">
        <w:fldChar w:fldCharType="begin"/>
      </w:r>
      <w:r w:rsidRPr="00E93AB0">
        <w:instrText xml:space="preserve">REF paragraph00010 \h \* CharFormat </w:instrText>
      </w:r>
      <w:r w:rsidRPr="00E93AB0">
        <w:fldChar w:fldCharType="separate"/>
      </w:r>
      <w:r w:rsidRPr="00E93AB0">
        <w:t>10</w:t>
      </w:r>
      <w:r w:rsidRPr="00E93AB0">
        <w:fldChar w:fldCharType="end"/>
      </w:r>
      <w:r>
        <w:t xml:space="preserve">), reclamanta nu l-a pierdut permanent până când a fost emis certificatul din 20 noiembrie 2019 (a se vedea supra, pct. </w:t>
      </w:r>
      <w:r w:rsidRPr="00E93AB0">
        <w:fldChar w:fldCharType="begin"/>
      </w:r>
      <w:r w:rsidRPr="00E93AB0">
        <w:instrText xml:space="preserve">REF paragraph00016 \h \* CharFormat </w:instrText>
      </w:r>
      <w:r w:rsidRPr="00E93AB0">
        <w:fldChar w:fldCharType="separate"/>
      </w:r>
      <w:r w:rsidRPr="00E93AB0">
        <w:t>16</w:t>
      </w:r>
      <w:r w:rsidRPr="00E93AB0">
        <w:fldChar w:fldCharType="end"/>
      </w:r>
      <w:r>
        <w:t xml:space="preserve">). De la acea dată, situația reclamantei nu a mai constituit subiectul reevaluării de către specialiști, deoarece Comisia a considerat că starea sa era permanentă. Prin urmare, Curtea consideră că termenul de șase luni a început să curgă din momentul în care reclamanta a epuizat căile de atac interne cu privire la anularea certificatului din 2019 (a se vedea supra, pct. </w:t>
      </w:r>
      <w:r w:rsidRPr="00E93AB0">
        <w:fldChar w:fldCharType="begin"/>
      </w:r>
      <w:r w:rsidRPr="00E93AB0">
        <w:instrText xml:space="preserve">REF paragraph00023 \h \* CharFormat </w:instrText>
      </w:r>
      <w:r w:rsidRPr="00E93AB0">
        <w:fldChar w:fldCharType="separate"/>
      </w:r>
      <w:r w:rsidRPr="00E93AB0">
        <w:t>23</w:t>
      </w:r>
      <w:r w:rsidRPr="00E93AB0">
        <w:fldChar w:fldCharType="end"/>
      </w:r>
      <w:r>
        <w:t xml:space="preserve">), deși era afectată de pierderea asistentului personal de la data certificatului din 2017. În același </w:t>
      </w:r>
      <w:r>
        <w:lastRenderedPageBreak/>
        <w:t xml:space="preserve">sens, Curtea observă și că ar fi fost nerealist ca reclamanta să-și formuleze plângerea în fața sa în legătură cu certificatul din 2017, dat fiind că la momentul când s-a încheiat procesul cu privire la anularea sa, respectivul certificat nu mai era valid, deoarece expirase (a se vedea supra, pct. </w:t>
      </w:r>
      <w:r w:rsidRPr="00E93AB0">
        <w:fldChar w:fldCharType="begin"/>
      </w:r>
      <w:r w:rsidRPr="00E93AB0">
        <w:instrText xml:space="preserve"> REF paragraph00010 \h  \* CharFormat </w:instrText>
      </w:r>
      <w:r w:rsidR="008C6099" w:rsidRPr="00E93AB0">
        <w:instrText xml:space="preserve"> \* MERGEFORMAT </w:instrText>
      </w:r>
      <w:r w:rsidRPr="00E93AB0">
        <w:fldChar w:fldCharType="separate"/>
      </w:r>
      <w:r w:rsidRPr="00E93AB0">
        <w:t>10</w:t>
      </w:r>
      <w:r w:rsidRPr="00E93AB0">
        <w:fldChar w:fldCharType="end"/>
      </w:r>
      <w:r>
        <w:t>).</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40</w:t>
      </w:r>
      <w:r w:rsidRPr="00E93AB0">
        <w:fldChar w:fldCharType="end"/>
      </w:r>
      <w:r>
        <w:t>.</w:t>
      </w:r>
      <w:r w:rsidR="00F20F09">
        <w:t xml:space="preserve"> </w:t>
      </w:r>
      <w:r>
        <w:t>Reamintind că este de așteptat ca reclamanții să exercite în mod normal căile de atac interne care sunt disponibile și suficiente [</w:t>
      </w:r>
      <w:bookmarkStart w:id="27" w:name="_cl33144THELAW"/>
      <w:r>
        <w:t xml:space="preserve">a se vedea </w:t>
      </w:r>
      <w:r>
        <w:rPr>
          <w:i/>
        </w:rPr>
        <w:t>Gherghina împotriva României</w:t>
      </w:r>
      <w:r>
        <w:t xml:space="preserve"> (dec.) (MC), nr. 42219/07, pct. 85, 9 iulie 2015</w:t>
      </w:r>
      <w:bookmarkEnd w:id="27"/>
      <w:r>
        <w:t>], Curtea concluzionează că nu i se poate reproșa reclamantei că a așteptat încheierea procedurilor cu privire la anularea certificatului din 2019 înainte de a formula prezenta cerere în fața Curții.</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41</w:t>
      </w:r>
      <w:r w:rsidRPr="00E93AB0">
        <w:fldChar w:fldCharType="end"/>
      </w:r>
      <w:r>
        <w:t>.</w:t>
      </w:r>
      <w:r w:rsidR="00F20F09">
        <w:t xml:space="preserve"> </w:t>
      </w:r>
      <w:r>
        <w:t xml:space="preserve">Întrucât procedurile s-au încheiat la 12 aprilie 2021 (a se vedea supra, pct. </w:t>
      </w:r>
      <w:r w:rsidRPr="00E93AB0">
        <w:fldChar w:fldCharType="begin"/>
      </w:r>
      <w:r w:rsidRPr="00E93AB0">
        <w:instrText xml:space="preserve">REF paragraph00023 \h \* CharFormat </w:instrText>
      </w:r>
      <w:r w:rsidRPr="00E93AB0">
        <w:fldChar w:fldCharType="separate"/>
      </w:r>
      <w:r w:rsidRPr="00E93AB0">
        <w:t>23</w:t>
      </w:r>
      <w:r w:rsidRPr="00E93AB0">
        <w:fldChar w:fldCharType="end"/>
      </w:r>
      <w:r>
        <w:t>), Curtea consideră că prezenta cerere, introdusă la 11 octombrie 2021, a respectat termenul de șase luni.</w:t>
      </w:r>
    </w:p>
    <w:p w:rsidR="004147A5" w:rsidRPr="00E93AB0" w:rsidRDefault="00C812AD" w:rsidP="00E93AB0">
      <w:pPr>
        <w:pStyle w:val="JuH1"/>
      </w:pPr>
      <w:r>
        <w:t>Cu privire la alte motive de inadmisibilitate</w:t>
      </w:r>
    </w:p>
    <w:p w:rsidR="004147A5" w:rsidRPr="00E93AB0" w:rsidRDefault="00C812AD" w:rsidP="00E93AB0">
      <w:pPr>
        <w:pStyle w:val="JuPara"/>
      </w:pPr>
      <w:fldSimple w:instr=" SEQ level0 \*arabic ">
        <w:r w:rsidR="00E93AB0" w:rsidRPr="00E93AB0">
          <w:t>42</w:t>
        </w:r>
      </w:fldSimple>
      <w:r>
        <w:t>.</w:t>
      </w:r>
      <w:r w:rsidR="00F20F09">
        <w:t xml:space="preserve"> </w:t>
      </w:r>
      <w:r>
        <w:t>Curtea constată în continuare că cererea nu este nici vădit nefondată, nici inadmisibilă pentru alte motive enumerate la art. 35 din Convenție. Prin urmare, trebuie să fie declarată admisibilă.</w:t>
      </w:r>
    </w:p>
    <w:p w:rsidR="004147A5" w:rsidRPr="00E93AB0" w:rsidRDefault="00C812AD" w:rsidP="00E93AB0">
      <w:pPr>
        <w:pStyle w:val="JuHA"/>
      </w:pPr>
      <w:r>
        <w:t>Cu privire la fond</w:t>
      </w:r>
    </w:p>
    <w:p w:rsidR="004147A5" w:rsidRPr="00E93AB0" w:rsidRDefault="00C812AD" w:rsidP="00E93AB0">
      <w:pPr>
        <w:pStyle w:val="JuH1"/>
      </w:pPr>
      <w:r>
        <w:t>Argumentele părților</w:t>
      </w:r>
    </w:p>
    <w:p w:rsidR="004147A5" w:rsidRPr="00E93AB0" w:rsidRDefault="00C812AD" w:rsidP="00E93AB0">
      <w:pPr>
        <w:pStyle w:val="JuHa0"/>
      </w:pPr>
      <w:r>
        <w:t>Reclamanta</w:t>
      </w:r>
    </w:p>
    <w:bookmarkStart w:id="28" w:name="paragraph00043"/>
    <w:p w:rsidR="004147A5" w:rsidRPr="00E93AB0" w:rsidRDefault="00C812AD" w:rsidP="00E93AB0">
      <w:pPr>
        <w:pStyle w:val="JuPara"/>
      </w:pPr>
      <w:r w:rsidRPr="00E93AB0">
        <w:fldChar w:fldCharType="begin"/>
      </w:r>
      <w:r w:rsidRPr="00E93AB0">
        <w:instrText xml:space="preserve"> SEQ level0 \*arabic </w:instrText>
      </w:r>
      <w:r w:rsidRPr="00E93AB0">
        <w:fldChar w:fldCharType="separate"/>
      </w:r>
      <w:r w:rsidR="00E93AB0" w:rsidRPr="00E93AB0">
        <w:t>43</w:t>
      </w:r>
      <w:r w:rsidRPr="00E93AB0">
        <w:fldChar w:fldCharType="end"/>
      </w:r>
      <w:bookmarkEnd w:id="28"/>
      <w:r>
        <w:t>.</w:t>
      </w:r>
      <w:r w:rsidR="00F20F09">
        <w:t xml:space="preserve"> </w:t>
      </w:r>
      <w:r>
        <w:t>Reclamanta a afirmat că certificatele medicale nu lăsau nicio îndoială cu privire la nevoia acesteia de asistență în activitățile zilnice. Nimic nu se schimbase în situația sa din 2016 pentru a justifica diminuarea</w:t>
      </w:r>
      <w:r w:rsidR="00F20F09">
        <w:t xml:space="preserve"> </w:t>
      </w:r>
      <w:r>
        <w:t xml:space="preserve">nivelului de asistență furnizat. Scorurile ADL și </w:t>
      </w:r>
      <w:proofErr w:type="spellStart"/>
      <w:r>
        <w:t>Barthel</w:t>
      </w:r>
      <w:proofErr w:type="spellEnd"/>
      <w:r>
        <w:t xml:space="preserve"> pe care le-a obținut (a se vedea supra, pct. </w:t>
      </w:r>
      <w:r w:rsidRPr="00E93AB0">
        <w:fldChar w:fldCharType="begin"/>
      </w:r>
      <w:r w:rsidRPr="00E93AB0">
        <w:instrText xml:space="preserve">REF paragraph00007 \h \* CharFormat </w:instrText>
      </w:r>
      <w:r w:rsidRPr="00E93AB0">
        <w:fldChar w:fldCharType="separate"/>
      </w:r>
      <w:r w:rsidR="00E93AB0" w:rsidRPr="00E93AB0">
        <w:t>7</w:t>
      </w:r>
      <w:r w:rsidRPr="00E93AB0">
        <w:fldChar w:fldCharType="end"/>
      </w:r>
      <w:r>
        <w:t xml:space="preserve"> și </w:t>
      </w:r>
      <w:r w:rsidRPr="00E93AB0">
        <w:fldChar w:fldCharType="begin"/>
      </w:r>
      <w:r w:rsidRPr="00E93AB0">
        <w:instrText xml:space="preserve">REF paragraph00008 \h \* CharFormat </w:instrText>
      </w:r>
      <w:r w:rsidRPr="00E93AB0">
        <w:fldChar w:fldCharType="separate"/>
      </w:r>
      <w:r w:rsidR="00E93AB0" w:rsidRPr="00E93AB0">
        <w:t>8</w:t>
      </w:r>
      <w:r w:rsidRPr="00E93AB0">
        <w:fldChar w:fldCharType="end"/>
      </w:r>
      <w:r>
        <w:t xml:space="preserve">), care au încadrat situația sa în categoria „independență asistată”, precum și concluziile multiplelor evaluări medicale și anchete sociale, toate au confirmat că aceasta avea nevoie de asistență. Totuși, aceste documente au fost ignorate de curtea de apel (a se vedea supra, pct. </w:t>
      </w:r>
      <w:r w:rsidRPr="00E93AB0">
        <w:fldChar w:fldCharType="begin"/>
      </w:r>
      <w:r w:rsidRPr="00E93AB0">
        <w:instrText xml:space="preserve">REF paragraph00015 \h \* CharFormat </w:instrText>
      </w:r>
      <w:r w:rsidRPr="00E93AB0">
        <w:fldChar w:fldCharType="separate"/>
      </w:r>
      <w:r w:rsidR="00E93AB0" w:rsidRPr="00E93AB0">
        <w:t>15</w:t>
      </w:r>
      <w:r w:rsidRPr="00E93AB0">
        <w:fldChar w:fldCharType="end"/>
      </w:r>
      <w:r>
        <w:t xml:space="preserve"> și </w:t>
      </w:r>
      <w:r w:rsidRPr="00E93AB0">
        <w:fldChar w:fldCharType="begin"/>
      </w:r>
      <w:r w:rsidRPr="00E93AB0">
        <w:instrText xml:space="preserve">REF paragraph00023 \h \* CharFormat </w:instrText>
      </w:r>
      <w:r w:rsidRPr="00E93AB0">
        <w:fldChar w:fldCharType="separate"/>
      </w:r>
      <w:r w:rsidR="00E93AB0" w:rsidRPr="00E93AB0">
        <w:t>23</w:t>
      </w:r>
      <w:r w:rsidRPr="00E93AB0">
        <w:fldChar w:fldCharType="end"/>
      </w:r>
      <w:r>
        <w:t>).</w:t>
      </w:r>
    </w:p>
    <w:bookmarkStart w:id="29" w:name="paragraph00044"/>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44</w:t>
      </w:r>
      <w:r w:rsidRPr="00E93AB0">
        <w:fldChar w:fldCharType="end"/>
      </w:r>
      <w:bookmarkEnd w:id="29"/>
      <w:r>
        <w:t>.</w:t>
      </w:r>
      <w:r w:rsidR="00F20F09">
        <w:t xml:space="preserve"> </w:t>
      </w:r>
      <w:r>
        <w:t>Ea a subliniat că supraviețuise doar datorită ajutorului pe care l-a primit din partea celor două fiice ale sale adulte, care și-au sacrificat propria viață privată și de familie pentru a o sprijini.</w:t>
      </w:r>
    </w:p>
    <w:p w:rsidR="004147A5" w:rsidRPr="00E93AB0" w:rsidRDefault="00C812AD" w:rsidP="00E93AB0">
      <w:pPr>
        <w:pStyle w:val="JuHa0"/>
      </w:pPr>
      <w:r>
        <w:t>Guvernul</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45</w:t>
      </w:r>
      <w:r w:rsidRPr="00E93AB0">
        <w:fldChar w:fldCharType="end"/>
      </w:r>
      <w:r>
        <w:t>.</w:t>
      </w:r>
      <w:r w:rsidR="00F20F09">
        <w:t xml:space="preserve"> </w:t>
      </w:r>
      <w:r>
        <w:t>Guvernul a susținut că autoritățile au prevăzut un cadru de reglementare adecvat în conformitate cu art. 8. Ulterior, acest cadru a fost corect aplicat de Comisie în cazul reclamantei. Mai mult, instanțele au întreprins o examinare aprofundată și diligentă a capetelor de cerere formulate de reclamantă.</w:t>
      </w:r>
    </w:p>
    <w:bookmarkStart w:id="30" w:name="paragraph00046"/>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46</w:t>
      </w:r>
      <w:r w:rsidRPr="00E93AB0">
        <w:fldChar w:fldCharType="end"/>
      </w:r>
      <w:bookmarkEnd w:id="30"/>
      <w:r>
        <w:t>.</w:t>
      </w:r>
      <w:r w:rsidR="00F20F09">
        <w:t xml:space="preserve"> </w:t>
      </w:r>
      <w:r>
        <w:t xml:space="preserve">Guvernul a susținut că prezenta cauză diferă în mod semnificativ de cauza </w:t>
      </w:r>
      <w:bookmarkStart w:id="31" w:name="_cl41356THEPARTIESOBSERVATIONS"/>
      <w:r>
        <w:rPr>
          <w:i/>
        </w:rPr>
        <w:t>Jivan</w:t>
      </w:r>
      <w:r>
        <w:t xml:space="preserve"> (citată anterior,</w:t>
      </w:r>
      <w:r>
        <w:rPr>
          <w:i/>
        </w:rPr>
        <w:t xml:space="preserve"> </w:t>
      </w:r>
      <w:bookmarkEnd w:id="31"/>
      <w:r>
        <w:t xml:space="preserve">pct. 46 și 49), în care reclamantul fusese într-o </w:t>
      </w:r>
      <w:r>
        <w:lastRenderedPageBreak/>
        <w:t xml:space="preserve">stare de dependență totală, necesitând asistență pentru nevoile sale de bază, și în care nu avea o rețea de sprijin. În schimb, în prezenta cauză reclamanta a păstrat o situație de „independență asistată” (a se vedea supra, pct. </w:t>
      </w:r>
      <w:r w:rsidRPr="00E93AB0">
        <w:fldChar w:fldCharType="begin"/>
      </w:r>
      <w:r w:rsidRPr="00E93AB0">
        <w:instrText xml:space="preserve">REF paragraph00043 \h \* CharFormat </w:instrText>
      </w:r>
      <w:r w:rsidRPr="00E93AB0">
        <w:fldChar w:fldCharType="separate"/>
      </w:r>
      <w:r w:rsidR="00E93AB0" w:rsidRPr="00E93AB0">
        <w:t>43</w:t>
      </w:r>
      <w:r w:rsidRPr="00E93AB0">
        <w:fldChar w:fldCharType="end"/>
      </w:r>
      <w:r>
        <w:t xml:space="preserve">) și a avut o rețea de sprijin în jurul său alcătuită din fiicele sale adulte (a se vedea supra, pct. </w:t>
      </w:r>
      <w:r w:rsidRPr="00E93AB0">
        <w:fldChar w:fldCharType="begin"/>
      </w:r>
      <w:r w:rsidRPr="00E93AB0">
        <w:instrText xml:space="preserve">REF paragraph00021 \h \* CharFormat </w:instrText>
      </w:r>
      <w:r w:rsidRPr="00E93AB0">
        <w:fldChar w:fldCharType="separate"/>
      </w:r>
      <w:r w:rsidR="00E93AB0" w:rsidRPr="00E93AB0">
        <w:t>21</w:t>
      </w:r>
      <w:r w:rsidRPr="00E93AB0">
        <w:fldChar w:fldCharType="end"/>
      </w:r>
      <w:r>
        <w:t xml:space="preserve"> și </w:t>
      </w:r>
      <w:r w:rsidRPr="00E93AB0">
        <w:fldChar w:fldCharType="begin"/>
      </w:r>
      <w:r w:rsidRPr="00E93AB0">
        <w:instrText xml:space="preserve">REF paragraph00044 \h \* CharFormat </w:instrText>
      </w:r>
      <w:r w:rsidRPr="00E93AB0">
        <w:fldChar w:fldCharType="separate"/>
      </w:r>
      <w:r w:rsidR="00E93AB0" w:rsidRPr="00E93AB0">
        <w:t>44</w:t>
      </w:r>
      <w:r w:rsidRPr="00E93AB0">
        <w:fldChar w:fldCharType="end"/>
      </w:r>
      <w:r>
        <w:t>).</w:t>
      </w:r>
    </w:p>
    <w:p w:rsidR="004147A5" w:rsidRPr="00E93AB0" w:rsidRDefault="00C812AD" w:rsidP="00E93AB0">
      <w:pPr>
        <w:pStyle w:val="JuH1"/>
      </w:pPr>
      <w:r>
        <w:t>Motivarea Curții</w:t>
      </w:r>
    </w:p>
    <w:p w:rsidR="004147A5" w:rsidRPr="00E93AB0" w:rsidRDefault="00C812AD" w:rsidP="00E93AB0">
      <w:pPr>
        <w:pStyle w:val="JuHa0"/>
      </w:pPr>
      <w:r>
        <w:t>Principii generale</w:t>
      </w:r>
    </w:p>
    <w:bookmarkStart w:id="32" w:name="paragraph00047"/>
    <w:p w:rsidR="004147A5" w:rsidRPr="00E93AB0" w:rsidRDefault="00C812AD" w:rsidP="00E93AB0">
      <w:pPr>
        <w:pStyle w:val="JuPara"/>
      </w:pPr>
      <w:r w:rsidRPr="00E93AB0">
        <w:fldChar w:fldCharType="begin"/>
      </w:r>
      <w:r w:rsidRPr="00E93AB0">
        <w:instrText xml:space="preserve"> SEQ level0 \*arabic </w:instrText>
      </w:r>
      <w:r w:rsidRPr="00E93AB0">
        <w:fldChar w:fldCharType="separate"/>
      </w:r>
      <w:r w:rsidR="00E93AB0" w:rsidRPr="00E93AB0">
        <w:t>47</w:t>
      </w:r>
      <w:r w:rsidRPr="00E93AB0">
        <w:fldChar w:fldCharType="end"/>
      </w:r>
      <w:bookmarkEnd w:id="32"/>
      <w:r>
        <w:t>.</w:t>
      </w:r>
      <w:r w:rsidR="00F20F09">
        <w:t xml:space="preserve"> </w:t>
      </w:r>
      <w:r>
        <w:t xml:space="preserve">Deși obiectul art. 8 este, în esență, acela de a proteja persoanele particulare împotriva ingerințelor arbitrare ale autorităților publice, acesta nu se limitează la obligarea statului să se abțină de la astfel de ingerințe: pe lângă acest angajament în esență negativ, pot exista obligații pozitive inerente pentru respectarea efectivă a vieții private. Aceste obligații pot implica adoptarea unor măsuri menite să garanteze respectarea vieții private chiar și în sfera relațiilor dintre persoane particulare. Deși delimitarea dintre obligațiile pozitive și obligațiile negative care îi revin statului în temeiul Convenției nu se pretează unei definiții precise, principiile aplicabile sunt totuși similare. În special, în ambele contexte, trebuie avut în vedere echilibrul just ce trebuie realizat între interesele concurente, iar statul beneficiază de o anumită marjă de apreciere în ambele situații [a se vedea </w:t>
      </w:r>
      <w:r>
        <w:rPr>
          <w:i/>
        </w:rPr>
        <w:t>Evans împotriva Regatului Unit</w:t>
      </w:r>
      <w:r>
        <w:t xml:space="preserve"> (MC), nr. 6339/05, pct. 75, CEDO 2007‑I, și </w:t>
      </w:r>
      <w:r>
        <w:rPr>
          <w:i/>
          <w:iCs/>
        </w:rPr>
        <w:t>Jivan</w:t>
      </w:r>
      <w:r>
        <w:t>, citată anterior, pct. 40].</w:t>
      </w:r>
    </w:p>
    <w:bookmarkStart w:id="33" w:name="paragraph00048"/>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48</w:t>
      </w:r>
      <w:r w:rsidRPr="00E93AB0">
        <w:fldChar w:fldCharType="end"/>
      </w:r>
      <w:bookmarkEnd w:id="33"/>
      <w:r>
        <w:t>.</w:t>
      </w:r>
      <w:r w:rsidR="00F20F09">
        <w:t xml:space="preserve"> </w:t>
      </w:r>
      <w:r>
        <w:t xml:space="preserve">Curtea reiterează faptul că, în general, statului i se acordă o marjă amplă în temeiul Convenției în chestiuni de politică generală, inclusiv politicile sociale, economice și de asistență medicală (a se vedea, de exemplu, </w:t>
      </w:r>
      <w:bookmarkStart w:id="34" w:name="_cl31570THELAW"/>
      <w:r>
        <w:rPr>
          <w:i/>
        </w:rPr>
        <w:t>McDonald împotriva Regatului Unit</w:t>
      </w:r>
      <w:bookmarkEnd w:id="34"/>
      <w:r>
        <w:t xml:space="preserve">, nr. 4241/12, pct. 54, 20 mai 2014, cu trimiterile suplimentare). Totuși, atunci când restrângerea drepturilor fundamentale se aplică unui grup deosebit de vulnerabil în societate, care a suferit o discriminare considerabilă în trecut, precum persoanele cu dizabilități sau persoanele vârstnice dependente, atunci marja de apreciere a statului este considerabil mai redusă și trebuie să existe motive foarte solide pentru a impune restrângerile în cauză (a se vedea </w:t>
      </w:r>
      <w:r>
        <w:rPr>
          <w:i/>
        </w:rPr>
        <w:t xml:space="preserve">Jivan, </w:t>
      </w:r>
      <w:r>
        <w:t>citată anterior, pct. 42, cu trimiterile suplimentare).</w:t>
      </w:r>
    </w:p>
    <w:p w:rsidR="004147A5" w:rsidRPr="00E93AB0" w:rsidRDefault="00C812AD" w:rsidP="00E93AB0">
      <w:pPr>
        <w:pStyle w:val="JuHa0"/>
      </w:pPr>
      <w:r>
        <w:t>Aplicarea acelor principii faptelor prezentei cauze</w:t>
      </w:r>
    </w:p>
    <w:p w:rsidR="004147A5" w:rsidRPr="00E93AB0" w:rsidRDefault="00C812AD" w:rsidP="00E93AB0">
      <w:pPr>
        <w:pStyle w:val="JuHi"/>
      </w:pPr>
      <w:r>
        <w:t>Ingerința sau obligația pozitivă</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49</w:t>
      </w:r>
      <w:r w:rsidRPr="00E93AB0">
        <w:fldChar w:fldCharType="end"/>
      </w:r>
      <w:r>
        <w:t>.</w:t>
      </w:r>
      <w:r w:rsidR="00F20F09">
        <w:t xml:space="preserve"> </w:t>
      </w:r>
      <w:r>
        <w:t xml:space="preserve">Curtea a considerat anterior că o serie de cauze referitoare la finanțarea îngrijirilor și a tratamentelor medicale intră în sfera posibilelor obligații pozitive, atunci când reclamanții s-au plâns, în esență, nu de acțiunea statului pârât, ci de lipsa sa de acțiune [a se vedea, de exemplu, </w:t>
      </w:r>
      <w:proofErr w:type="spellStart"/>
      <w:r>
        <w:rPr>
          <w:i/>
        </w:rPr>
        <w:t>Sentges</w:t>
      </w:r>
      <w:proofErr w:type="spellEnd"/>
      <w:r>
        <w:rPr>
          <w:i/>
        </w:rPr>
        <w:t xml:space="preserve"> împotriva Țărilor de Jos</w:t>
      </w:r>
      <w:r>
        <w:t xml:space="preserve"> (dec.), nr. 27677/02, 8 iulie 2003, și </w:t>
      </w:r>
      <w:bookmarkStart w:id="35" w:name="_cl33952THELAW"/>
      <w:proofErr w:type="spellStart"/>
      <w:r>
        <w:rPr>
          <w:i/>
        </w:rPr>
        <w:t>Pentiacova</w:t>
      </w:r>
      <w:proofErr w:type="spellEnd"/>
      <w:r>
        <w:rPr>
          <w:i/>
        </w:rPr>
        <w:t xml:space="preserve"> și alții împotriva Moldovei</w:t>
      </w:r>
      <w:bookmarkEnd w:id="35"/>
      <w:r>
        <w:t xml:space="preserve"> (dec.), nr. 14462/03, CEDO 2005-I]. Aceste cauze privesc refuzul statului de a acorda finanțare pentru echipamente și/sau </w:t>
      </w:r>
      <w:r>
        <w:lastRenderedPageBreak/>
        <w:t>tratamente medicale. În același sens, Curtea a considerat că refuzul statului de</w:t>
      </w:r>
      <w:r w:rsidR="00F20F09">
        <w:t xml:space="preserve"> </w:t>
      </w:r>
      <w:r>
        <w:t xml:space="preserve">a-i acorda unui reclamant dreptul la asistența adecvată intră, de asemenea, sub incidența obligațiilor pozitive ale statului (a se vedea </w:t>
      </w:r>
      <w:r>
        <w:rPr>
          <w:i/>
        </w:rPr>
        <w:t>Jivan</w:t>
      </w:r>
      <w:r>
        <w:t>, citată anterior, pct. 41).</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50</w:t>
      </w:r>
      <w:r w:rsidRPr="00E93AB0">
        <w:fldChar w:fldCharType="end"/>
      </w:r>
      <w:r>
        <w:t>.</w:t>
      </w:r>
      <w:r w:rsidR="00F20F09">
        <w:t xml:space="preserve"> </w:t>
      </w:r>
      <w:r>
        <w:t xml:space="preserve">În speță, totuși, autoritățile i-au furnizat inițial reclamantei un asistent personal (a se vedea supra, pct. </w:t>
      </w:r>
      <w:r w:rsidRPr="00E93AB0">
        <w:fldChar w:fldCharType="begin"/>
      </w:r>
      <w:r w:rsidRPr="00E93AB0">
        <w:instrText xml:space="preserve">REF paragraph00006 \h \* CharFormat </w:instrText>
      </w:r>
      <w:r w:rsidRPr="00E93AB0">
        <w:fldChar w:fldCharType="separate"/>
      </w:r>
      <w:r w:rsidRPr="00E93AB0">
        <w:t>6</w:t>
      </w:r>
      <w:r w:rsidRPr="00E93AB0">
        <w:fldChar w:fldCharType="end"/>
      </w:r>
      <w:r>
        <w:t xml:space="preserve">). Prin urmare, reclamanta se plânge nu de lipsa de acțiune, ci de decizia Comisiei de a-i reduce nivelul de îngrijiri furnizate și de a nu-i mai furniza un asistent personal (a se vedea supra, pct. </w:t>
      </w:r>
      <w:r w:rsidRPr="00E93AB0">
        <w:fldChar w:fldCharType="begin"/>
      </w:r>
      <w:r w:rsidRPr="00E93AB0">
        <w:instrText xml:space="preserve">REF paragraph00010 \h \* CharFormat </w:instrText>
      </w:r>
      <w:r w:rsidRPr="00E93AB0">
        <w:fldChar w:fldCharType="separate"/>
      </w:r>
      <w:r w:rsidRPr="00E93AB0">
        <w:t>10</w:t>
      </w:r>
      <w:r w:rsidRPr="00E93AB0">
        <w:fldChar w:fldCharType="end"/>
      </w:r>
      <w:r>
        <w:t xml:space="preserve"> și </w:t>
      </w:r>
      <w:r w:rsidRPr="00E93AB0">
        <w:fldChar w:fldCharType="begin"/>
      </w:r>
      <w:r w:rsidRPr="00E93AB0">
        <w:instrText xml:space="preserve">REF paragraph00016 \h \* CharFormat </w:instrText>
      </w:r>
      <w:r w:rsidRPr="00E93AB0">
        <w:fldChar w:fldCharType="separate"/>
      </w:r>
      <w:r w:rsidRPr="00E93AB0">
        <w:t>16</w:t>
      </w:r>
      <w:r w:rsidRPr="00E93AB0">
        <w:fldChar w:fldCharType="end"/>
      </w:r>
      <w:r>
        <w:t xml:space="preserve">). Un element mai potrivit de comparație ar fi cauza </w:t>
      </w:r>
      <w:r>
        <w:rPr>
          <w:i/>
        </w:rPr>
        <w:t xml:space="preserve">McDonald </w:t>
      </w:r>
      <w:r>
        <w:t xml:space="preserve">(citată anterior), pe care Curtea a abordat-o din perspectiva unei ingerințe în exercitarea dreptului în cauză, având în vedere că privea refuzul unui beneficiu furnizat anterior (a se vedea </w:t>
      </w:r>
      <w:r>
        <w:rPr>
          <w:i/>
        </w:rPr>
        <w:t>McDonald</w:t>
      </w:r>
      <w:r>
        <w:t>, citată anterior, pct. 48 și 49).</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51</w:t>
      </w:r>
      <w:r w:rsidRPr="00E93AB0">
        <w:fldChar w:fldCharType="end"/>
      </w:r>
      <w:r>
        <w:t>.</w:t>
      </w:r>
      <w:r w:rsidR="00F20F09">
        <w:t xml:space="preserve"> </w:t>
      </w:r>
      <w:r>
        <w:t xml:space="preserve">Prin urmare, Curtea este pregătită să abordeze cauza ca implicând o ingerință în exercitarea dreptului reclamantei la respectarea vieții private (în contrast cu </w:t>
      </w:r>
      <w:r>
        <w:rPr>
          <w:i/>
        </w:rPr>
        <w:t>Jivan</w:t>
      </w:r>
      <w:r>
        <w:t>, citată anterior, pct. 41).</w:t>
      </w:r>
    </w:p>
    <w:p w:rsidR="004147A5" w:rsidRPr="00E93AB0" w:rsidRDefault="00C812AD" w:rsidP="00E93AB0">
      <w:pPr>
        <w:pStyle w:val="JuHi"/>
      </w:pPr>
      <w:r>
        <w:t>Conformitatea cu art. 8 § 2</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52</w:t>
      </w:r>
      <w:r w:rsidRPr="00E93AB0">
        <w:fldChar w:fldCharType="end"/>
      </w:r>
      <w:r>
        <w:t>.</w:t>
      </w:r>
      <w:r w:rsidR="00F20F09">
        <w:t xml:space="preserve"> </w:t>
      </w:r>
      <w:r>
        <w:t xml:space="preserve">O astfel de ingerință constituie o încălcare a art. 8 din Convenție dacă nu poate fi justificată, în temeiul art. 8 § 2, ca fiind „prevăzută de lege”, ca urmărind unul sau mai multe din scopurile legitime enumerate în dispoziție și ca fiind „necesară într-o societate democratică” pentru a fi îndeplinite scopul sau scopurile vizate (a se vedea </w:t>
      </w:r>
      <w:r>
        <w:rPr>
          <w:i/>
        </w:rPr>
        <w:t>McDonald</w:t>
      </w:r>
      <w:r>
        <w:t>, citată anterior, pct. 50).</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53</w:t>
      </w:r>
      <w:r w:rsidRPr="00E93AB0">
        <w:fldChar w:fldCharType="end"/>
      </w:r>
      <w:r>
        <w:t>.</w:t>
      </w:r>
      <w:r w:rsidR="00F20F09">
        <w:t xml:space="preserve"> </w:t>
      </w:r>
      <w:r>
        <w:t xml:space="preserve">Curtea observă, în primul rând, că ingerința a fost „prevăzută de lege”, și anume Legea privind persoanele cu handicap și Ordinul nr. 762/1992/2007 (a se vedea supra, pct. </w:t>
      </w:r>
      <w:r w:rsidRPr="00E93AB0">
        <w:fldChar w:fldCharType="begin"/>
      </w:r>
      <w:r w:rsidRPr="00E93AB0">
        <w:instrText xml:space="preserve">REF paragraph00015 \h \* CharFormat </w:instrText>
      </w:r>
      <w:r w:rsidRPr="00E93AB0">
        <w:fldChar w:fldCharType="separate"/>
      </w:r>
      <w:r w:rsidRPr="00E93AB0">
        <w:t>15</w:t>
      </w:r>
      <w:r w:rsidRPr="00E93AB0">
        <w:fldChar w:fldCharType="end"/>
      </w:r>
      <w:r>
        <w:t xml:space="preserve">, </w:t>
      </w:r>
      <w:r w:rsidRPr="00E93AB0">
        <w:fldChar w:fldCharType="begin"/>
      </w:r>
      <w:r w:rsidRPr="00E93AB0">
        <w:instrText xml:space="preserve">REF paragraph00023 \h \* CharFormat </w:instrText>
      </w:r>
      <w:r w:rsidRPr="00E93AB0">
        <w:fldChar w:fldCharType="separate"/>
      </w:r>
      <w:r w:rsidRPr="00E93AB0">
        <w:t>23</w:t>
      </w:r>
      <w:r w:rsidRPr="00E93AB0">
        <w:fldChar w:fldCharType="end"/>
      </w:r>
      <w:r>
        <w:t xml:space="preserve"> și </w:t>
      </w:r>
      <w:r w:rsidRPr="00E93AB0">
        <w:fldChar w:fldCharType="begin"/>
      </w:r>
      <w:r w:rsidRPr="00E93AB0">
        <w:instrText xml:space="preserve">REF paragraph00024 \h \* CharFormat </w:instrText>
      </w:r>
      <w:r w:rsidRPr="00E93AB0">
        <w:fldChar w:fldCharType="separate"/>
      </w:r>
      <w:r w:rsidRPr="00E93AB0">
        <w:t>24</w:t>
      </w:r>
      <w:r w:rsidRPr="00E93AB0">
        <w:fldChar w:fldCharType="end"/>
      </w:r>
      <w:r>
        <w:t>-</w:t>
      </w:r>
      <w:r w:rsidRPr="00E93AB0">
        <w:fldChar w:fldCharType="begin"/>
      </w:r>
      <w:r w:rsidRPr="00E93AB0">
        <w:instrText xml:space="preserve">REF paragraph00028 \h \* CharFormat </w:instrText>
      </w:r>
      <w:r w:rsidRPr="00E93AB0">
        <w:fldChar w:fldCharType="separate"/>
      </w:r>
      <w:r w:rsidRPr="00E93AB0">
        <w:t>28</w:t>
      </w:r>
      <w:r w:rsidRPr="00E93AB0">
        <w:fldChar w:fldCharType="end"/>
      </w:r>
      <w:r>
        <w:t xml:space="preserve">). Curtea acceptă și că ingerința a urmărit un scop legitim, și anume bunăstarea economică a statului și interesele utilizatorilor serviciilor de îngrijire (a se vedea, </w:t>
      </w:r>
      <w:r>
        <w:rPr>
          <w:i/>
        </w:rPr>
        <w:t>mutatis mutandis</w:t>
      </w:r>
      <w:r>
        <w:t xml:space="preserve">, </w:t>
      </w:r>
      <w:r>
        <w:rPr>
          <w:i/>
        </w:rPr>
        <w:t>McDonald</w:t>
      </w:r>
      <w:r>
        <w:t>, citată anterior, pct. 53).</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54</w:t>
      </w:r>
      <w:r w:rsidRPr="00E93AB0">
        <w:fldChar w:fldCharType="end"/>
      </w:r>
      <w:r>
        <w:t>.</w:t>
      </w:r>
      <w:r w:rsidR="00F20F09">
        <w:t xml:space="preserve"> </w:t>
      </w:r>
      <w:r>
        <w:t xml:space="preserve">Prin urmare, rămâne de evaluat dacă decizia de a retrage beneficiul unui asistent personal era „necesară într-o societate democratică” în sensul art. 8 § 2 din Convenție, și în special dacă statul, în marja sa de apreciere, a asigurat un echilibru just între interesul reclamantei de a menține beneficiul unui asistent personal și interesele relevante ale comunității (a se vedea jurisprudența citată supra, pct. </w:t>
      </w:r>
      <w:r w:rsidRPr="00E93AB0">
        <w:fldChar w:fldCharType="begin"/>
      </w:r>
      <w:r w:rsidRPr="00E93AB0">
        <w:instrText xml:space="preserve">REF paragraph00047 \h \* CharFormat </w:instrText>
      </w:r>
      <w:r w:rsidRPr="00E93AB0">
        <w:fldChar w:fldCharType="separate"/>
      </w:r>
      <w:r w:rsidRPr="00E93AB0">
        <w:t>47</w:t>
      </w:r>
      <w:r w:rsidRPr="00E93AB0">
        <w:fldChar w:fldCharType="end"/>
      </w:r>
      <w:r>
        <w:noBreakHyphen/>
      </w:r>
      <w:r w:rsidRPr="00E93AB0">
        <w:fldChar w:fldCharType="begin"/>
      </w:r>
      <w:r w:rsidRPr="00E93AB0">
        <w:instrText xml:space="preserve">REF paragraph00048 \h \* CharFormat </w:instrText>
      </w:r>
      <w:r w:rsidRPr="00E93AB0">
        <w:fldChar w:fldCharType="separate"/>
      </w:r>
      <w:r w:rsidRPr="00E93AB0">
        <w:t>48</w:t>
      </w:r>
      <w:r w:rsidRPr="00E93AB0">
        <w:fldChar w:fldCharType="end"/>
      </w:r>
      <w:r>
        <w:t>).</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55</w:t>
      </w:r>
      <w:r w:rsidRPr="00E93AB0">
        <w:fldChar w:fldCharType="end"/>
      </w:r>
      <w:r>
        <w:t>.</w:t>
      </w:r>
      <w:r w:rsidR="00F20F09">
        <w:t xml:space="preserve"> </w:t>
      </w:r>
      <w:r>
        <w:t xml:space="preserve">Sub acest aspect, Curtea subliniază că Legea privind persoanele cu handicap prevede protecția persoanelor cu handicap în lumina principiilor directoare consacrate de această lege, inclusiv libertatea de alegere, incluziunea socială și respectarea nevoilor specifice ale persoanelor în cauză. Nivelul de protecție acordat se bazează pe o evaluare complexă și personalizată prin care se stabilește gradul de handicap al unei persoane. Această evaluare trebuie să țină seama nu numai de acte medicale, ci și de alți indicatori ai gradului de autonomie al persoanei în cauză (sau de lipsa </w:t>
      </w:r>
      <w:r>
        <w:lastRenderedPageBreak/>
        <w:t>acestora), analizați în funcție de condițiile sale de viață (a se vedea supra, pct.</w:t>
      </w:r>
      <w:r w:rsidR="00F20F09">
        <w:t xml:space="preserve"> </w:t>
      </w:r>
      <w:r w:rsidRPr="00E93AB0">
        <w:fldChar w:fldCharType="begin"/>
      </w:r>
      <w:r w:rsidRPr="00E93AB0">
        <w:instrText xml:space="preserve">REF paragraph00024 \h \* CharFormat </w:instrText>
      </w:r>
      <w:r w:rsidRPr="00E93AB0">
        <w:fldChar w:fldCharType="separate"/>
      </w:r>
      <w:r w:rsidRPr="00E93AB0">
        <w:t>24</w:t>
      </w:r>
      <w:r w:rsidRPr="00E93AB0">
        <w:fldChar w:fldCharType="end"/>
      </w:r>
      <w:r>
        <w:t>-</w:t>
      </w:r>
      <w:r w:rsidRPr="00E93AB0">
        <w:fldChar w:fldCharType="begin"/>
      </w:r>
      <w:r w:rsidRPr="00E93AB0">
        <w:instrText xml:space="preserve">REF paragraph00028 \h \* CharFormat </w:instrText>
      </w:r>
      <w:r w:rsidRPr="00E93AB0">
        <w:fldChar w:fldCharType="separate"/>
      </w:r>
      <w:r w:rsidRPr="00E93AB0">
        <w:t>28</w:t>
      </w:r>
      <w:r w:rsidRPr="00E93AB0">
        <w:fldChar w:fldCharType="end"/>
      </w:r>
      <w:r>
        <w:t>).</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56</w:t>
      </w:r>
      <w:r w:rsidRPr="00E93AB0">
        <w:fldChar w:fldCharType="end"/>
      </w:r>
      <w:r>
        <w:t>.</w:t>
      </w:r>
      <w:r w:rsidR="00F20F09">
        <w:t xml:space="preserve"> </w:t>
      </w:r>
      <w:r>
        <w:t xml:space="preserve">În plus, CDPD, la care statul pârât este parte (a se vedea supra, pct. </w:t>
      </w:r>
      <w:r w:rsidRPr="00E93AB0">
        <w:fldChar w:fldCharType="begin"/>
      </w:r>
      <w:r w:rsidRPr="00E93AB0">
        <w:instrText xml:space="preserve">REF paragraph00030 \h \* CharFormat </w:instrText>
      </w:r>
      <w:r w:rsidRPr="00E93AB0">
        <w:fldChar w:fldCharType="separate"/>
      </w:r>
      <w:r w:rsidRPr="00E93AB0">
        <w:t>30</w:t>
      </w:r>
      <w:r w:rsidRPr="00E93AB0">
        <w:fldChar w:fldCharType="end"/>
      </w:r>
      <w:r>
        <w:t xml:space="preserve">), recunoaște persoanele cu dizabilități ca fiind subiecte de drept și ca titulare de drepturi depline. CDPD încurajează respectul pentru demnitate, autonomie individuală și independență (a se vedea </w:t>
      </w:r>
      <w:r>
        <w:rPr>
          <w:i/>
        </w:rPr>
        <w:t>Jivan</w:t>
      </w:r>
      <w:r>
        <w:t>, citată anterior, pct. 20-23 și 44).</w:t>
      </w:r>
    </w:p>
    <w:bookmarkStart w:id="36" w:name="paragraph00057"/>
    <w:p w:rsidR="004147A5" w:rsidRPr="00E93AB0" w:rsidRDefault="00C812AD" w:rsidP="00E93AB0">
      <w:pPr>
        <w:pStyle w:val="JuPara"/>
      </w:pPr>
      <w:r w:rsidRPr="00E93AB0">
        <w:fldChar w:fldCharType="begin"/>
      </w:r>
      <w:r w:rsidRPr="00E93AB0">
        <w:instrText xml:space="preserve"> SEQ level0 \*arabic \* MERGEFORMAT </w:instrText>
      </w:r>
      <w:r w:rsidRPr="00E93AB0">
        <w:fldChar w:fldCharType="separate"/>
      </w:r>
      <w:r w:rsidR="00E93AB0" w:rsidRPr="00E93AB0">
        <w:t>57</w:t>
      </w:r>
      <w:r w:rsidRPr="00E93AB0">
        <w:fldChar w:fldCharType="end"/>
      </w:r>
      <w:bookmarkEnd w:id="36"/>
      <w:r>
        <w:t>.</w:t>
      </w:r>
      <w:r w:rsidR="00F20F09">
        <w:t xml:space="preserve"> </w:t>
      </w:r>
      <w:r>
        <w:t>Principiile reflectate în art. 19, 20 și 28 din CDPD au o relevanță deosebită pentru prezenta cauză. Statul pârât, în calitate de parte la această convenție, a recunoscut drepturile egale ale tuturor persoanelor cu dizabilități și dreptul acestora la un standard de viață și o protecție socială adecvate și s-a angajat să ia măsuri eficiente și adecvate pentru a ajuta persoanele cu dizabilități să trăiască independent și să fie integrate în comunitate și să asigure mobilitatea personală a acestora (ibid., pct. 45).</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58</w:t>
      </w:r>
      <w:r w:rsidRPr="00E93AB0">
        <w:fldChar w:fldCharType="end"/>
      </w:r>
      <w:r>
        <w:t>.</w:t>
      </w:r>
      <w:r w:rsidR="00F20F09">
        <w:t xml:space="preserve"> </w:t>
      </w:r>
      <w:r>
        <w:t xml:space="preserve">Pe baza cerințelor interne, profesioniștii din domeniul medical și serviciile sociale au evaluat că situația reclamantei nu se îmbunătățise din 2016 și că avea nevoie de ajutor pentru cele mai elementare activități, precum igiena personală, îmbrăcarea, folosirea toaletei, curățenia, prepararea hranei, mersul pe jos, cumpărăturile, folosirea mijloacelor de transport și gestionarea banilor (a se vedea supra, pct. </w:t>
      </w:r>
      <w:r w:rsidRPr="00E93AB0">
        <w:fldChar w:fldCharType="begin"/>
      </w:r>
      <w:r w:rsidRPr="00E93AB0">
        <w:instrText xml:space="preserve">REF paragraph00007 \h \* CharFormat </w:instrText>
      </w:r>
      <w:r w:rsidRPr="00E93AB0">
        <w:fldChar w:fldCharType="separate"/>
      </w:r>
      <w:r w:rsidRPr="00E93AB0">
        <w:t>7</w:t>
      </w:r>
      <w:r w:rsidRPr="00E93AB0">
        <w:fldChar w:fldCharType="end"/>
      </w:r>
      <w:r>
        <w:t xml:space="preserve">, </w:t>
      </w:r>
      <w:r w:rsidRPr="00E93AB0">
        <w:fldChar w:fldCharType="begin"/>
      </w:r>
      <w:r w:rsidRPr="00E93AB0">
        <w:instrText xml:space="preserve">REF paragraph00008 \h \* CharFormat </w:instrText>
      </w:r>
      <w:r w:rsidRPr="00E93AB0">
        <w:fldChar w:fldCharType="separate"/>
      </w:r>
      <w:r w:rsidRPr="00E93AB0">
        <w:t>8</w:t>
      </w:r>
      <w:r w:rsidRPr="00E93AB0">
        <w:fldChar w:fldCharType="end"/>
      </w:r>
      <w:r>
        <w:t xml:space="preserve">, </w:t>
      </w:r>
      <w:r w:rsidRPr="00E93AB0">
        <w:fldChar w:fldCharType="begin"/>
      </w:r>
      <w:r w:rsidRPr="00E93AB0">
        <w:instrText xml:space="preserve">REF paragraph00017 \h \* CharFormat </w:instrText>
      </w:r>
      <w:r w:rsidRPr="00E93AB0">
        <w:fldChar w:fldCharType="separate"/>
      </w:r>
      <w:r w:rsidRPr="00E93AB0">
        <w:t>17</w:t>
      </w:r>
      <w:r w:rsidRPr="00E93AB0">
        <w:fldChar w:fldCharType="end"/>
      </w:r>
      <w:r>
        <w:t xml:space="preserve">, </w:t>
      </w:r>
      <w:r w:rsidRPr="00E93AB0">
        <w:fldChar w:fldCharType="begin"/>
      </w:r>
      <w:r w:rsidRPr="00E93AB0">
        <w:instrText xml:space="preserve">REF paragraph00019 \h \* CharFormat </w:instrText>
      </w:r>
      <w:r w:rsidRPr="00E93AB0">
        <w:fldChar w:fldCharType="separate"/>
      </w:r>
      <w:r w:rsidRPr="00E93AB0">
        <w:t>19</w:t>
      </w:r>
      <w:r w:rsidRPr="00E93AB0">
        <w:fldChar w:fldCharType="end"/>
      </w:r>
      <w:r>
        <w:t xml:space="preserve"> și </w:t>
      </w:r>
      <w:r w:rsidRPr="00E93AB0">
        <w:fldChar w:fldCharType="begin"/>
      </w:r>
      <w:r w:rsidRPr="00E93AB0">
        <w:instrText xml:space="preserve">REF paragraph00021 \h \* CharFormat </w:instrText>
      </w:r>
      <w:r w:rsidRPr="00E93AB0">
        <w:fldChar w:fldCharType="separate"/>
      </w:r>
      <w:r w:rsidRPr="00E93AB0">
        <w:t>21</w:t>
      </w:r>
      <w:r w:rsidRPr="00E93AB0">
        <w:fldChar w:fldCharType="end"/>
      </w:r>
      <w:r>
        <w:t xml:space="preserve">). Acesta era și punctul de vedere al tribunalului, care a concluzionat că reclamanta nu era în măsură să se descurce singură (a se vedea supra, pct. </w:t>
      </w:r>
      <w:r w:rsidRPr="00E93AB0">
        <w:fldChar w:fldCharType="begin"/>
      </w:r>
      <w:r w:rsidRPr="00E93AB0">
        <w:instrText xml:space="preserve">REF paragraph00012 \h \* CharFormat </w:instrText>
      </w:r>
      <w:r w:rsidRPr="00E93AB0">
        <w:fldChar w:fldCharType="separate"/>
      </w:r>
      <w:r w:rsidRPr="00E93AB0">
        <w:t>12</w:t>
      </w:r>
      <w:r w:rsidRPr="00E93AB0">
        <w:fldChar w:fldCharType="end"/>
      </w:r>
      <w:r>
        <w:t>-</w:t>
      </w:r>
      <w:r w:rsidRPr="00E93AB0">
        <w:fldChar w:fldCharType="begin"/>
      </w:r>
      <w:r w:rsidRPr="00E93AB0">
        <w:instrText xml:space="preserve">REF paragraph00014 \h \* CharFormat </w:instrText>
      </w:r>
      <w:r w:rsidRPr="00E93AB0">
        <w:fldChar w:fldCharType="separate"/>
      </w:r>
      <w:r w:rsidRPr="00E93AB0">
        <w:t>14</w:t>
      </w:r>
      <w:r w:rsidRPr="00E93AB0">
        <w:fldChar w:fldCharType="end"/>
      </w:r>
      <w:r>
        <w:t xml:space="preserve"> și </w:t>
      </w:r>
      <w:r w:rsidRPr="00E93AB0">
        <w:fldChar w:fldCharType="begin"/>
      </w:r>
      <w:r w:rsidRPr="00E93AB0">
        <w:instrText xml:space="preserve">REF paragraph00022 \h \* CharFormat </w:instrText>
      </w:r>
      <w:r w:rsidRPr="00E93AB0">
        <w:fldChar w:fldCharType="separate"/>
      </w:r>
      <w:r w:rsidRPr="00E93AB0">
        <w:t>22</w:t>
      </w:r>
      <w:r w:rsidRPr="00E93AB0">
        <w:fldChar w:fldCharType="end"/>
      </w:r>
      <w:r>
        <w:t>). Totuși, în contrast evident cu aceste constatări, atât Comisia care a emis certificatele din 2017 și 2019, cât și, în cele din urmă, curtea de apel, care a confirmat certificatele, au considerat că reclamanta nu are nevoie de un asistent personal (a se vedea supra, pct. </w:t>
      </w:r>
      <w:r w:rsidRPr="00E93AB0">
        <w:fldChar w:fldCharType="begin"/>
      </w:r>
      <w:r w:rsidRPr="00E93AB0">
        <w:instrText xml:space="preserve">REF paragraph00010 \h \* CharFormat </w:instrText>
      </w:r>
      <w:r w:rsidRPr="00E93AB0">
        <w:fldChar w:fldCharType="separate"/>
      </w:r>
      <w:r w:rsidRPr="00E93AB0">
        <w:t>10</w:t>
      </w:r>
      <w:r w:rsidRPr="00E93AB0">
        <w:fldChar w:fldCharType="end"/>
      </w:r>
      <w:r>
        <w:t xml:space="preserve">, </w:t>
      </w:r>
      <w:r w:rsidRPr="00E93AB0">
        <w:fldChar w:fldCharType="begin"/>
      </w:r>
      <w:r w:rsidRPr="00E93AB0">
        <w:instrText xml:space="preserve">REF paragraph00015 \h \* CharFormat </w:instrText>
      </w:r>
      <w:r w:rsidRPr="00E93AB0">
        <w:fldChar w:fldCharType="separate"/>
      </w:r>
      <w:r w:rsidRPr="00E93AB0">
        <w:t>15</w:t>
      </w:r>
      <w:r w:rsidRPr="00E93AB0">
        <w:fldChar w:fldCharType="end"/>
      </w:r>
      <w:r>
        <w:t xml:space="preserve">, </w:t>
      </w:r>
      <w:r w:rsidRPr="00E93AB0">
        <w:fldChar w:fldCharType="begin"/>
      </w:r>
      <w:r w:rsidRPr="00E93AB0">
        <w:instrText xml:space="preserve">REF paragraph00016 \h \* CharFormat </w:instrText>
      </w:r>
      <w:r w:rsidRPr="00E93AB0">
        <w:fldChar w:fldCharType="separate"/>
      </w:r>
      <w:r w:rsidRPr="00E93AB0">
        <w:t>16</w:t>
      </w:r>
      <w:r w:rsidRPr="00E93AB0">
        <w:fldChar w:fldCharType="end"/>
      </w:r>
      <w:r>
        <w:t xml:space="preserve"> și </w:t>
      </w:r>
      <w:r w:rsidRPr="00E93AB0">
        <w:fldChar w:fldCharType="begin"/>
      </w:r>
      <w:r w:rsidRPr="00E93AB0">
        <w:instrText xml:space="preserve">REF paragraph00023 \h \* CharFormat </w:instrText>
      </w:r>
      <w:r w:rsidRPr="00E93AB0">
        <w:fldChar w:fldCharType="separate"/>
      </w:r>
      <w:r w:rsidRPr="00E93AB0">
        <w:t>23</w:t>
      </w:r>
      <w:r w:rsidRPr="00E93AB0">
        <w:fldChar w:fldCharType="end"/>
      </w:r>
      <w:r>
        <w:t>).</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59</w:t>
      </w:r>
      <w:r w:rsidRPr="00E93AB0">
        <w:fldChar w:fldCharType="end"/>
      </w:r>
      <w:r>
        <w:t>.</w:t>
      </w:r>
      <w:r w:rsidR="00F20F09">
        <w:t xml:space="preserve"> </w:t>
      </w:r>
      <w:r>
        <w:t xml:space="preserve">În lumina principiului subsidiarității, nu este de competența Curții să substituie propriile opinii celor ale autorităților naționale și să interpreteze și să aplice dreptul intern.. Cu toate acestea, instanțele naționale, cărora le revine această sarcină, trebuie să interpreteze dreptul intern într-un mod care să respecte obligațiile ce revin statului în temeiul Convenției (a se vedea </w:t>
      </w:r>
      <w:r>
        <w:rPr>
          <w:i/>
        </w:rPr>
        <w:t>Jivan</w:t>
      </w:r>
      <w:r>
        <w:t>, citată anterior, pct. 47).</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60</w:t>
      </w:r>
      <w:r w:rsidRPr="00E93AB0">
        <w:fldChar w:fldCharType="end"/>
      </w:r>
      <w:r>
        <w:t>.</w:t>
      </w:r>
      <w:r w:rsidR="00F20F09">
        <w:t xml:space="preserve"> </w:t>
      </w:r>
      <w:r>
        <w:t xml:space="preserve">Sub acest aspect, curtea de apel a subliniat că starea medicală a reclamantei justifica doar încadrarea ca „severă” a dizabilității sale și că aceasta era capabilă să se deplaseze cu ajutor și că avea nevoie doar de sprijin parțial în activitățile sale zilnice (a se vedea supra, pct. </w:t>
      </w:r>
      <w:r w:rsidRPr="00E93AB0">
        <w:fldChar w:fldCharType="begin"/>
      </w:r>
      <w:r w:rsidRPr="00E93AB0">
        <w:instrText xml:space="preserve">REF paragraph00015 \h \* CharFormat </w:instrText>
      </w:r>
      <w:r w:rsidRPr="00E93AB0">
        <w:fldChar w:fldCharType="separate"/>
      </w:r>
      <w:r w:rsidRPr="00E93AB0">
        <w:t>15</w:t>
      </w:r>
      <w:r w:rsidRPr="00E93AB0">
        <w:fldChar w:fldCharType="end"/>
      </w:r>
      <w:r>
        <w:t xml:space="preserve"> și </w:t>
      </w:r>
      <w:r w:rsidRPr="00E93AB0">
        <w:fldChar w:fldCharType="begin"/>
      </w:r>
      <w:r w:rsidRPr="00E93AB0">
        <w:instrText xml:space="preserve">REF paragraph00023 \h \* CharFormat </w:instrText>
      </w:r>
      <w:r w:rsidRPr="00E93AB0">
        <w:fldChar w:fldCharType="separate"/>
      </w:r>
      <w:r w:rsidRPr="00E93AB0">
        <w:t>23</w:t>
      </w:r>
      <w:r w:rsidRPr="00E93AB0">
        <w:fldChar w:fldCharType="end"/>
      </w:r>
      <w:r>
        <w:t xml:space="preserve">). Totuși, respectiva instanță nu pare să fi aprofundat situația dificilă a reclamantei și nu a ținut seama, atunci când a deliberat, de examinările medicale, sociale și neurologice care arătau în mod consecvent nevoia de asistență a reclamantei (a se vedea supra, pct. </w:t>
      </w:r>
      <w:r w:rsidRPr="00E93AB0">
        <w:fldChar w:fldCharType="begin"/>
      </w:r>
      <w:r w:rsidRPr="00E93AB0">
        <w:instrText xml:space="preserve">REF paragraph00007 \h \* CharFormat </w:instrText>
      </w:r>
      <w:r w:rsidRPr="00E93AB0">
        <w:fldChar w:fldCharType="separate"/>
      </w:r>
      <w:r w:rsidRPr="00E93AB0">
        <w:t>7</w:t>
      </w:r>
      <w:r w:rsidRPr="00E93AB0">
        <w:fldChar w:fldCharType="end"/>
      </w:r>
      <w:r>
        <w:t xml:space="preserve">, </w:t>
      </w:r>
      <w:r w:rsidRPr="00E93AB0">
        <w:fldChar w:fldCharType="begin"/>
      </w:r>
      <w:r w:rsidRPr="00E93AB0">
        <w:instrText xml:space="preserve">REF paragraph00008 \h \* CharFormat </w:instrText>
      </w:r>
      <w:r w:rsidRPr="00E93AB0">
        <w:fldChar w:fldCharType="separate"/>
      </w:r>
      <w:r w:rsidRPr="00E93AB0">
        <w:t>8</w:t>
      </w:r>
      <w:r w:rsidRPr="00E93AB0">
        <w:fldChar w:fldCharType="end"/>
      </w:r>
      <w:r>
        <w:t xml:space="preserve">, </w:t>
      </w:r>
      <w:r w:rsidRPr="00E93AB0">
        <w:fldChar w:fldCharType="begin"/>
      </w:r>
      <w:r w:rsidRPr="00E93AB0">
        <w:instrText xml:space="preserve">REF paragraph00017 \h \* CharFormat </w:instrText>
      </w:r>
      <w:r w:rsidRPr="00E93AB0">
        <w:fldChar w:fldCharType="separate"/>
      </w:r>
      <w:r w:rsidRPr="00E93AB0">
        <w:t>17</w:t>
      </w:r>
      <w:r w:rsidRPr="00E93AB0">
        <w:fldChar w:fldCharType="end"/>
      </w:r>
      <w:r>
        <w:t xml:space="preserve"> și </w:t>
      </w:r>
      <w:r w:rsidRPr="00E93AB0">
        <w:fldChar w:fldCharType="begin"/>
      </w:r>
      <w:r w:rsidRPr="00E93AB0">
        <w:instrText xml:space="preserve">REF paragraph00021 \h \* CharFormat </w:instrText>
      </w:r>
      <w:r w:rsidRPr="00E93AB0">
        <w:fldChar w:fldCharType="separate"/>
      </w:r>
      <w:r w:rsidRPr="00E93AB0">
        <w:t>21</w:t>
      </w:r>
      <w:r w:rsidRPr="00E93AB0">
        <w:fldChar w:fldCharType="end"/>
      </w:r>
      <w:r>
        <w:t xml:space="preserve">). Nici argumentul reclamantei, susținut de probe, că starea sa medicală nu se îmbunătățise din 2016 (a se vedea supra, pct. </w:t>
      </w:r>
      <w:r w:rsidRPr="00E93AB0">
        <w:fldChar w:fldCharType="begin"/>
      </w:r>
      <w:r w:rsidRPr="00E93AB0">
        <w:instrText xml:space="preserve">REF paragraph00011 \h \* CharFormat </w:instrText>
      </w:r>
      <w:r w:rsidRPr="00E93AB0">
        <w:fldChar w:fldCharType="separate"/>
      </w:r>
      <w:r w:rsidRPr="00E93AB0">
        <w:t>11</w:t>
      </w:r>
      <w:r w:rsidRPr="00E93AB0">
        <w:fldChar w:fldCharType="end"/>
      </w:r>
      <w:r>
        <w:t>-</w:t>
      </w:r>
      <w:r w:rsidRPr="00E93AB0">
        <w:fldChar w:fldCharType="begin"/>
      </w:r>
      <w:r w:rsidRPr="00E93AB0">
        <w:instrText xml:space="preserve">REF paragraph00012 \h \* CharFormat </w:instrText>
      </w:r>
      <w:r w:rsidRPr="00E93AB0">
        <w:fldChar w:fldCharType="separate"/>
      </w:r>
      <w:r w:rsidRPr="00E93AB0">
        <w:t>12</w:t>
      </w:r>
      <w:r w:rsidRPr="00E93AB0">
        <w:fldChar w:fldCharType="end"/>
      </w:r>
      <w:r>
        <w:t xml:space="preserve"> și </w:t>
      </w:r>
      <w:r w:rsidRPr="00E93AB0">
        <w:fldChar w:fldCharType="begin"/>
      </w:r>
      <w:r w:rsidRPr="00E93AB0">
        <w:instrText xml:space="preserve">REF paragraph00018 \h \* CharFormat </w:instrText>
      </w:r>
      <w:r w:rsidRPr="00E93AB0">
        <w:fldChar w:fldCharType="separate"/>
      </w:r>
      <w:r w:rsidRPr="00E93AB0">
        <w:t>18</w:t>
      </w:r>
      <w:r w:rsidRPr="00E93AB0">
        <w:fldChar w:fldCharType="end"/>
      </w:r>
      <w:r>
        <w:t>-</w:t>
      </w:r>
      <w:r w:rsidRPr="00E93AB0">
        <w:fldChar w:fldCharType="begin"/>
      </w:r>
      <w:r w:rsidRPr="00E93AB0">
        <w:instrText xml:space="preserve">REF paragraph00019 \h \* CharFormat </w:instrText>
      </w:r>
      <w:r w:rsidRPr="00E93AB0">
        <w:fldChar w:fldCharType="separate"/>
      </w:r>
      <w:r w:rsidRPr="00E93AB0">
        <w:t>19</w:t>
      </w:r>
      <w:r w:rsidRPr="00E93AB0">
        <w:fldChar w:fldCharType="end"/>
      </w:r>
      <w:r>
        <w:t>) nu a fost luat în considerare de curtea de apel.</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61</w:t>
      </w:r>
      <w:r w:rsidRPr="00E93AB0">
        <w:fldChar w:fldCharType="end"/>
      </w:r>
      <w:r>
        <w:t>.</w:t>
      </w:r>
      <w:r w:rsidR="00F20F09">
        <w:t xml:space="preserve"> </w:t>
      </w:r>
      <w:r>
        <w:t xml:space="preserve">Mai mult, atunci când a constatat că reclamanta necesita asistență parțială, nici Comisia, nici curtea de apel nu au avut în vedere un aranjament </w:t>
      </w:r>
      <w:r>
        <w:lastRenderedPageBreak/>
        <w:t xml:space="preserve">practic alternativ pentru a asigura </w:t>
      </w:r>
      <w:r>
        <w:rPr>
          <w:color w:val="000000"/>
        </w:rPr>
        <w:t>respectarea demnității sale și exercitarea efectivă a dreptului său la autonomie</w:t>
      </w:r>
      <w:r>
        <w:rPr>
          <w:rFonts w:ascii="Arial" w:hAnsi="Arial"/>
          <w:color w:val="000000"/>
        </w:rPr>
        <w:t xml:space="preserve"> </w:t>
      </w:r>
      <w:r>
        <w:t xml:space="preserve">(a se vedea, </w:t>
      </w:r>
      <w:r>
        <w:rPr>
          <w:i/>
        </w:rPr>
        <w:t>mutatis mutandis</w:t>
      </w:r>
      <w:r>
        <w:t xml:space="preserve">, </w:t>
      </w:r>
      <w:r>
        <w:rPr>
          <w:i/>
        </w:rPr>
        <w:t>Jivan</w:t>
      </w:r>
      <w:r>
        <w:t xml:space="preserve">, citată anterior, pct. 49). Este adevărat, Comisia a recomandat că reclamanta trebuie să primească în continuare ajutorul familiei (a se vedea supra, pct. </w:t>
      </w:r>
      <w:r w:rsidRPr="00E93AB0">
        <w:fldChar w:fldCharType="begin"/>
      </w:r>
      <w:r w:rsidRPr="00E93AB0">
        <w:instrText xml:space="preserve">REF paragraph00009 \h \* CharFormat </w:instrText>
      </w:r>
      <w:r w:rsidRPr="00E93AB0">
        <w:fldChar w:fldCharType="separate"/>
      </w:r>
      <w:r w:rsidRPr="00E93AB0">
        <w:t>9</w:t>
      </w:r>
      <w:r w:rsidRPr="00E93AB0">
        <w:fldChar w:fldCharType="end"/>
      </w:r>
      <w:r>
        <w:t xml:space="preserve">), iar în raportul anchetei sociale se observa că ea primea acest sprijin (a se vedea supra, pct. </w:t>
      </w:r>
      <w:r w:rsidRPr="00E93AB0">
        <w:fldChar w:fldCharType="begin"/>
      </w:r>
      <w:r w:rsidRPr="00E93AB0">
        <w:instrText xml:space="preserve">REF paragraph00017 \h \* CharFormat  \* MERGEFORMAT </w:instrText>
      </w:r>
      <w:r w:rsidRPr="00E93AB0">
        <w:fldChar w:fldCharType="separate"/>
      </w:r>
      <w:r w:rsidRPr="00E93AB0">
        <w:t>17</w:t>
      </w:r>
      <w:r w:rsidRPr="00E93AB0">
        <w:fldChar w:fldCharType="end"/>
      </w:r>
      <w:r>
        <w:t xml:space="preserve"> și </w:t>
      </w:r>
      <w:r w:rsidRPr="00E93AB0">
        <w:fldChar w:fldCharType="begin"/>
      </w:r>
      <w:r w:rsidRPr="00E93AB0">
        <w:instrText xml:space="preserve">REF paragraph00021 \h \* CharFormat  \* MERGEFORMAT </w:instrText>
      </w:r>
      <w:r w:rsidRPr="00E93AB0">
        <w:fldChar w:fldCharType="separate"/>
      </w:r>
      <w:r w:rsidRPr="00E93AB0">
        <w:t>21</w:t>
      </w:r>
      <w:r w:rsidRPr="00E93AB0">
        <w:fldChar w:fldCharType="end"/>
      </w:r>
      <w:r>
        <w:t xml:space="preserve">). Totuși, nici Comisia și nici curtea de apel nu au evaluat calitatea și fiabilitatea acestui ajutor. În lipsa unei evaluări interne aprofundate, Curtea nu poate accepta că sprijinul acordat spontan de membrii familiei ar putea înlocui prestațiile de invaliditate adecvate, astfel cum pare să sugereze Guvernul (a se vedea supra, pct. </w:t>
      </w:r>
      <w:r w:rsidRPr="00E93AB0">
        <w:fldChar w:fldCharType="begin"/>
      </w:r>
      <w:r w:rsidRPr="00E93AB0">
        <w:instrText xml:space="preserve">REF paragraph00046 \h \* CharFormat </w:instrText>
      </w:r>
      <w:r w:rsidRPr="00E93AB0">
        <w:fldChar w:fldCharType="separate"/>
      </w:r>
      <w:r w:rsidRPr="00E93AB0">
        <w:t>46</w:t>
      </w:r>
      <w:r w:rsidRPr="00E93AB0">
        <w:fldChar w:fldCharType="end"/>
      </w:r>
      <w:r>
        <w:t>).</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62</w:t>
      </w:r>
      <w:r w:rsidRPr="00E93AB0">
        <w:fldChar w:fldCharType="end"/>
      </w:r>
      <w:r>
        <w:t>.</w:t>
      </w:r>
      <w:r w:rsidR="00F20F09">
        <w:t xml:space="preserve"> </w:t>
      </w:r>
      <w:r>
        <w:t xml:space="preserve">Sub acest aspect, Curtea subliniază că, în Strategia națională privind drepturile persoanelor cu dizabilități, autoritățile au identificat faptul că, pentru a asigura o viață independentă și integrarea în comunitate a persoanelor cu dizabilități, evaluarea nevoilor unei persoane cu dizabilități trebuie extinsă și trebuie să se țină seama de toate formele de sprijin (a se vedea supra, pct. </w:t>
      </w:r>
      <w:r w:rsidRPr="00E93AB0">
        <w:fldChar w:fldCharType="begin"/>
      </w:r>
      <w:r w:rsidRPr="00E93AB0">
        <w:instrText xml:space="preserve">REF paragraph00029 \h \* CharFormat </w:instrText>
      </w:r>
      <w:r w:rsidRPr="00E93AB0">
        <w:fldChar w:fldCharType="separate"/>
      </w:r>
      <w:r w:rsidRPr="00E93AB0">
        <w:t>29</w:t>
      </w:r>
      <w:r w:rsidRPr="00E93AB0">
        <w:fldChar w:fldCharType="end"/>
      </w:r>
      <w:r>
        <w:t>).</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63</w:t>
      </w:r>
      <w:r w:rsidRPr="00E93AB0">
        <w:fldChar w:fldCharType="end"/>
      </w:r>
      <w:r>
        <w:t>.</w:t>
      </w:r>
      <w:r w:rsidR="00F20F09">
        <w:t xml:space="preserve"> </w:t>
      </w:r>
      <w:r>
        <w:t xml:space="preserve">De asemenea, trebuie reținut că prezenta cauză diferă de situația din cauzele </w:t>
      </w:r>
      <w:proofErr w:type="spellStart"/>
      <w:r>
        <w:rPr>
          <w:i/>
          <w:iCs/>
        </w:rPr>
        <w:t>Sentges</w:t>
      </w:r>
      <w:proofErr w:type="spellEnd"/>
      <w:r>
        <w:t xml:space="preserve"> și </w:t>
      </w:r>
      <w:proofErr w:type="spellStart"/>
      <w:r>
        <w:rPr>
          <w:i/>
          <w:iCs/>
        </w:rPr>
        <w:t>Pentiacova</w:t>
      </w:r>
      <w:proofErr w:type="spellEnd"/>
      <w:r>
        <w:rPr>
          <w:i/>
          <w:iCs/>
        </w:rPr>
        <w:t xml:space="preserve"> și alții</w:t>
      </w:r>
      <w:r>
        <w:t xml:space="preserve"> (ambele citate anterior), referitoare la refuzul statului de a oferi finanțare pentru echipamente și/sau tratamente medicale suplimentare, deși reclamanții dispuneau deja de asistență și tratament gratuite.</w:t>
      </w:r>
      <w:r>
        <w:rPr>
          <w:color w:val="000000"/>
        </w:rPr>
        <w:t xml:space="preserve"> Aceste cauze, declarate inadmisibile de Curte, nu priveau o pierdere gravă a autonomiei, precum cea cu care s-a confruntat reclamanta în speță. </w:t>
      </w:r>
      <w:r>
        <w:t xml:space="preserve">Chestiunea în discuție în speță nu privește alegerea de a acorda îngrijiri de bază sau îngrijiri suplimentare, mai costisitoare – care, fiind un aspect legat de alocarea de către stat a unor resurse limitate, ține de marja de apreciere a statului (a se vedea jurisprudența citată supra, pct. </w:t>
      </w:r>
      <w:r w:rsidRPr="00E93AB0">
        <w:rPr>
          <w:rFonts w:cstheme="minorHAnsi"/>
          <w:color w:val="000000"/>
        </w:rPr>
        <w:fldChar w:fldCharType="begin"/>
      </w:r>
      <w:r w:rsidRPr="00E93AB0">
        <w:rPr>
          <w:rFonts w:cstheme="minorHAnsi"/>
          <w:color w:val="000000"/>
        </w:rPr>
        <w:instrText xml:space="preserve">REF paragraph00048 \h \* CharFormat </w:instrText>
      </w:r>
      <w:r w:rsidRPr="00E93AB0">
        <w:rPr>
          <w:rFonts w:cstheme="minorHAnsi"/>
          <w:color w:val="000000"/>
        </w:rPr>
      </w:r>
      <w:r w:rsidRPr="00E93AB0">
        <w:rPr>
          <w:rFonts w:cstheme="minorHAnsi"/>
          <w:color w:val="000000"/>
        </w:rPr>
        <w:fldChar w:fldCharType="separate"/>
      </w:r>
      <w:r w:rsidRPr="00E93AB0">
        <w:rPr>
          <w:rFonts w:cstheme="minorHAnsi"/>
          <w:color w:val="000000"/>
        </w:rPr>
        <w:t>48</w:t>
      </w:r>
      <w:r w:rsidRPr="00E93AB0">
        <w:rPr>
          <w:rFonts w:cstheme="minorHAnsi"/>
          <w:color w:val="000000"/>
        </w:rPr>
        <w:fldChar w:fldCharType="end"/>
      </w:r>
      <w:r>
        <w:t xml:space="preserve"> și </w:t>
      </w:r>
      <w:proofErr w:type="spellStart"/>
      <w:r>
        <w:rPr>
          <w:i/>
          <w:iCs/>
          <w:color w:val="000000"/>
        </w:rPr>
        <w:t>Pentiacova</w:t>
      </w:r>
      <w:proofErr w:type="spellEnd"/>
      <w:r>
        <w:rPr>
          <w:i/>
          <w:iCs/>
          <w:color w:val="000000"/>
        </w:rPr>
        <w:t xml:space="preserve"> și alții</w:t>
      </w:r>
      <w:r>
        <w:t xml:space="preserve">, citată anterior) –, ci mai degrabă asigurarea unui nivel adecvat de îngrijire și de demnitate, astfel cum prevede legea și în conformitate cu interpretarea acesteia în lumina obiectivelor și principiilor sale (a se vedea, </w:t>
      </w:r>
      <w:r>
        <w:rPr>
          <w:i/>
          <w:color w:val="000000"/>
        </w:rPr>
        <w:t>mutatis mutandis</w:t>
      </w:r>
      <w:r>
        <w:rPr>
          <w:color w:val="000000"/>
        </w:rPr>
        <w:t>,</w:t>
      </w:r>
      <w:r>
        <w:rPr>
          <w:i/>
        </w:rPr>
        <w:t xml:space="preserve"> Jivan</w:t>
      </w:r>
      <w:r>
        <w:t>, citată anterior, pct. 50</w:t>
      </w:r>
      <w:r>
        <w:rPr>
          <w:color w:val="000000"/>
        </w:rPr>
        <w:t>)</w:t>
      </w:r>
      <w:r>
        <w:rPr>
          <w:rFonts w:ascii="Arial" w:hAnsi="Arial"/>
          <w:color w:val="000000"/>
        </w:rPr>
        <w:t>.</w:t>
      </w:r>
    </w:p>
    <w:p w:rsidR="004147A5" w:rsidRPr="00E93AB0" w:rsidRDefault="002167FF" w:rsidP="00E93AB0">
      <w:pPr>
        <w:pStyle w:val="JuPara"/>
      </w:pPr>
      <w:r>
        <w:fldChar w:fldCharType="begin"/>
      </w:r>
      <w:r>
        <w:instrText xml:space="preserve"> SEQ level0 \*arabic \* MERGEFORMAT </w:instrText>
      </w:r>
      <w:r>
        <w:fldChar w:fldCharType="separate"/>
      </w:r>
      <w:r w:rsidR="00E93AB0" w:rsidRPr="00E93AB0">
        <w:t>64</w:t>
      </w:r>
      <w:r>
        <w:fldChar w:fldCharType="end"/>
      </w:r>
      <w:r w:rsidR="00C812AD">
        <w:t>.</w:t>
      </w:r>
      <w:r w:rsidR="00F20F09">
        <w:t xml:space="preserve"> </w:t>
      </w:r>
      <w:r w:rsidR="00C812AD">
        <w:t xml:space="preserve">Ținând seama de miza litigiului pentru reclamantă, precum și de vulnerabilitatea sa generală – care impunea o protecție sporită din partea autorităților (a se vedea jurisprudența citată supra, pct. </w:t>
      </w:r>
      <w:r w:rsidR="00C812AD" w:rsidRPr="00E93AB0">
        <w:fldChar w:fldCharType="begin"/>
      </w:r>
      <w:r w:rsidR="00C812AD" w:rsidRPr="00E93AB0">
        <w:instrText xml:space="preserve">REF paragraph00048 \h \* CharFormat </w:instrText>
      </w:r>
      <w:r w:rsidR="00C812AD" w:rsidRPr="00E93AB0">
        <w:fldChar w:fldCharType="separate"/>
      </w:r>
      <w:r w:rsidR="00E93AB0" w:rsidRPr="00E93AB0">
        <w:t>48</w:t>
      </w:r>
      <w:r w:rsidR="00C812AD" w:rsidRPr="00E93AB0">
        <w:fldChar w:fldCharType="end"/>
      </w:r>
      <w:r w:rsidR="00C812AD">
        <w:t xml:space="preserve"> </w:t>
      </w:r>
      <w:r w:rsidR="00C812AD">
        <w:rPr>
          <w:i/>
        </w:rPr>
        <w:t>in fine</w:t>
      </w:r>
      <w:r w:rsidR="00C812AD">
        <w:t xml:space="preserve">) –, și sub rezerva rolului său subsidiar și a marjei de apreciere a statului pârât, Curtea nu este convinsă că, în deciziile lor, Comisia și curtea de apel au asigurat un echilibru just între interesele publice și private concurente aflate în joc așa după cum prevede art. 8 </w:t>
      </w:r>
      <w:r w:rsidR="00C812AD">
        <w:rPr>
          <w:color w:val="000000"/>
        </w:rPr>
        <w:t xml:space="preserve">(a se vedea, </w:t>
      </w:r>
      <w:r w:rsidR="00C812AD">
        <w:rPr>
          <w:i/>
          <w:color w:val="000000"/>
        </w:rPr>
        <w:t>mutatis mutandis</w:t>
      </w:r>
      <w:r w:rsidR="00C812AD">
        <w:rPr>
          <w:color w:val="000000"/>
        </w:rPr>
        <w:t>,</w:t>
      </w:r>
      <w:r w:rsidR="00C812AD">
        <w:rPr>
          <w:i/>
        </w:rPr>
        <w:t xml:space="preserve"> Jivan</w:t>
      </w:r>
      <w:r w:rsidR="00C812AD">
        <w:t>, citată anterior, pct. 51-52).</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65</w:t>
      </w:r>
      <w:r w:rsidRPr="00E93AB0">
        <w:fldChar w:fldCharType="end"/>
      </w:r>
      <w:r>
        <w:t>.</w:t>
      </w:r>
      <w:r w:rsidR="00F20F09">
        <w:t xml:space="preserve"> </w:t>
      </w:r>
      <w:r>
        <w:t>Pentru aceste motive, Curtea constată că a fost încălcat art. 8 din Convenție.</w:t>
      </w:r>
    </w:p>
    <w:p w:rsidR="004147A5" w:rsidRPr="00E93AB0" w:rsidRDefault="00C812AD" w:rsidP="00E93AB0">
      <w:pPr>
        <w:pStyle w:val="JuHIRoman"/>
      </w:pPr>
      <w:r>
        <w:t>CU PRIVIRE LA APLICAREA ART. 41 DIN CONVENȚIE</w:t>
      </w:r>
    </w:p>
    <w:p w:rsidR="004147A5" w:rsidRPr="00E93AB0" w:rsidRDefault="00C812AD" w:rsidP="00E93AB0">
      <w:pPr>
        <w:pStyle w:val="JuPara"/>
      </w:pPr>
      <w:fldSimple w:instr=" SEQ level0 \*arabic ">
        <w:r w:rsidR="00E93AB0" w:rsidRPr="00E93AB0">
          <w:t>66</w:t>
        </w:r>
      </w:fldSimple>
      <w:r>
        <w:t>.</w:t>
      </w:r>
      <w:r w:rsidR="00F20F09">
        <w:t xml:space="preserve"> </w:t>
      </w:r>
      <w:r>
        <w:t>Art. 41 din Convenție prevede:</w:t>
      </w:r>
    </w:p>
    <w:p w:rsidR="004147A5" w:rsidRPr="00E93AB0" w:rsidRDefault="00C812AD" w:rsidP="00E93AB0">
      <w:pPr>
        <w:pStyle w:val="JuQuot"/>
      </w:pPr>
      <w:r>
        <w:lastRenderedPageBreak/>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4147A5" w:rsidRPr="00E93AB0" w:rsidRDefault="00C812AD" w:rsidP="00E93AB0">
      <w:pPr>
        <w:pStyle w:val="JuHA"/>
        <w:numPr>
          <w:ilvl w:val="2"/>
          <w:numId w:val="1"/>
        </w:numPr>
        <w:ind w:left="510" w:hanging="340"/>
      </w:pPr>
      <w:r>
        <w:t>Prejudiciu</w:t>
      </w:r>
    </w:p>
    <w:p w:rsidR="004147A5" w:rsidRPr="00E93AB0" w:rsidRDefault="00C812AD" w:rsidP="00E93AB0">
      <w:pPr>
        <w:pStyle w:val="JuPara"/>
      </w:pPr>
      <w:fldSimple w:instr=" SEQ level0 \*arabic ">
        <w:r w:rsidR="00E93AB0" w:rsidRPr="00E93AB0">
          <w:t>67</w:t>
        </w:r>
      </w:fldSimple>
      <w:r>
        <w:t>.</w:t>
      </w:r>
      <w:r w:rsidR="00F20F09">
        <w:t xml:space="preserve"> </w:t>
      </w:r>
      <w:r>
        <w:t>Reclamanta a solicitat 50 000 euro (EUR) cu titlu de despăgubire pentru repararea tuturor prejudiciilor suferite.</w:t>
      </w:r>
    </w:p>
    <w:p w:rsidR="004147A5" w:rsidRPr="00E93AB0" w:rsidRDefault="00C812AD" w:rsidP="00E93AB0">
      <w:pPr>
        <w:pStyle w:val="JuPara"/>
      </w:pPr>
      <w:fldSimple w:instr=" SEQ level0 \*arabic ">
        <w:r w:rsidR="00E93AB0" w:rsidRPr="00E93AB0">
          <w:t>68</w:t>
        </w:r>
      </w:fldSimple>
      <w:r>
        <w:t>.</w:t>
      </w:r>
      <w:r w:rsidR="00F20F09">
        <w:t xml:space="preserve"> </w:t>
      </w:r>
      <w:r>
        <w:t>Guvernul a susținut că reclamanta nu a furnizat niciun document în sprijinul pretenției sale privind prejudiciul material și, prin urmare, a solicitat Curții să nu acorde nicio sumă cu acest titlu. A mai susținut că, în ceea ce privește prejudiciul moral, suma solicitată de reclamantă este excesivă și că o constatare a încălcării ar constitui o reparație echitabilă suficientă.</w:t>
      </w:r>
    </w:p>
    <w:p w:rsidR="004147A5" w:rsidRPr="00E93AB0" w:rsidRDefault="00C812AD" w:rsidP="00E93AB0">
      <w:pPr>
        <w:pStyle w:val="JuPara"/>
      </w:pPr>
      <w:r w:rsidRPr="00E93AB0">
        <w:fldChar w:fldCharType="begin"/>
      </w:r>
      <w:r>
        <w:instrText xml:space="preserve"> SEQ level0 \*arabic \* MERGEFORMAT </w:instrText>
      </w:r>
      <w:r w:rsidRPr="00E93AB0">
        <w:fldChar w:fldCharType="separate"/>
      </w:r>
      <w:r w:rsidRPr="00E93AB0">
        <w:t>69</w:t>
      </w:r>
      <w:r w:rsidRPr="00E93AB0">
        <w:fldChar w:fldCharType="end"/>
      </w:r>
      <w:r>
        <w:t>.</w:t>
      </w:r>
      <w:r w:rsidR="00F20F09">
        <w:t xml:space="preserve"> </w:t>
      </w:r>
      <w:r>
        <w:t>În lipsa justificării pretinsului prejudiciu material suferit, Curtea nu poate acorda o sumă cu acest titlu. Totuși, având în vedere natura încălcării constatate și pronunțându-se în echitate, Curtea acordă reclamantei 7 500 EUR cu titlu de despăgubire pentru prejudiciul moral, plus orice sumă ce poate fi datorată cu titlu de impozit.</w:t>
      </w:r>
    </w:p>
    <w:p w:rsidR="004147A5" w:rsidRPr="00E93AB0" w:rsidRDefault="00C812AD" w:rsidP="00E93AB0">
      <w:pPr>
        <w:pStyle w:val="JuHA"/>
        <w:numPr>
          <w:ilvl w:val="2"/>
          <w:numId w:val="1"/>
        </w:numPr>
        <w:ind w:left="510" w:hanging="340"/>
      </w:pPr>
      <w:r>
        <w:t>Cheltuieli de judecată</w:t>
      </w:r>
    </w:p>
    <w:p w:rsidR="004147A5" w:rsidRPr="00E93AB0" w:rsidRDefault="00C812AD" w:rsidP="00E93AB0">
      <w:pPr>
        <w:pStyle w:val="JuPara"/>
      </w:pPr>
      <w:fldSimple w:instr=" SEQ level0 \*arabic ">
        <w:r w:rsidR="00E93AB0" w:rsidRPr="00E93AB0">
          <w:t>70</w:t>
        </w:r>
      </w:fldSimple>
      <w:r>
        <w:t>.</w:t>
      </w:r>
      <w:r w:rsidR="00F20F09">
        <w:t xml:space="preserve"> </w:t>
      </w:r>
      <w:r>
        <w:t>Reclamanta nu a solicitat rambursarea cheltuielilor de judecată.</w:t>
      </w:r>
    </w:p>
    <w:p w:rsidR="004147A5" w:rsidRPr="00E93AB0" w:rsidRDefault="00C812AD" w:rsidP="00E93AB0">
      <w:pPr>
        <w:pStyle w:val="JuPara"/>
      </w:pPr>
      <w:fldSimple w:instr=" SEQ level0 \*arabic ">
        <w:r w:rsidR="00E93AB0" w:rsidRPr="00E93AB0">
          <w:t>71</w:t>
        </w:r>
      </w:fldSimple>
      <w:r>
        <w:t>.</w:t>
      </w:r>
      <w:r w:rsidR="00F20F09">
        <w:t xml:space="preserve"> </w:t>
      </w:r>
      <w:r>
        <w:t>În consecință, Curtea nu trebuie să acorde nicio sumă cu acest titlu.</w:t>
      </w:r>
    </w:p>
    <w:p w:rsidR="004147A5" w:rsidRPr="00E93AB0" w:rsidRDefault="00C812AD" w:rsidP="00E93AB0">
      <w:pPr>
        <w:pStyle w:val="JuHHead"/>
        <w:numPr>
          <w:ilvl w:val="0"/>
          <w:numId w:val="1"/>
        </w:numPr>
      </w:pPr>
      <w:r>
        <w:t>PENTRU ACESTE MOTIVE, CURTEA, ÎN UNANIMITATE,</w:t>
      </w:r>
    </w:p>
    <w:p w:rsidR="004147A5" w:rsidRPr="00E93AB0" w:rsidRDefault="00C812AD" w:rsidP="00E93AB0">
      <w:pPr>
        <w:pStyle w:val="JuList"/>
      </w:pPr>
      <w:r>
        <w:rPr>
          <w:i/>
          <w:iCs/>
        </w:rPr>
        <w:t>Declară</w:t>
      </w:r>
      <w:r>
        <w:t xml:space="preserve"> cererea admisibilă;</w:t>
      </w:r>
    </w:p>
    <w:p w:rsidR="004147A5" w:rsidRPr="00E93AB0" w:rsidRDefault="00C812AD" w:rsidP="00E93AB0">
      <w:pPr>
        <w:pStyle w:val="JuList"/>
      </w:pPr>
      <w:r>
        <w:rPr>
          <w:i/>
        </w:rPr>
        <w:t>Hotărăște</w:t>
      </w:r>
      <w:r>
        <w:t xml:space="preserve"> că a fost încălcat art. 8 din Convenție;</w:t>
      </w:r>
    </w:p>
    <w:p w:rsidR="004147A5" w:rsidRPr="00E93AB0" w:rsidRDefault="00C812AD" w:rsidP="00E93AB0">
      <w:pPr>
        <w:pStyle w:val="JuList"/>
      </w:pPr>
      <w:r>
        <w:rPr>
          <w:i/>
        </w:rPr>
        <w:t>Hotărăște</w:t>
      </w:r>
    </w:p>
    <w:p w:rsidR="004147A5" w:rsidRPr="00E93AB0" w:rsidRDefault="00C812AD" w:rsidP="00E93AB0">
      <w:pPr>
        <w:pStyle w:val="JuLista"/>
      </w:pPr>
      <w:r>
        <w:t>că statul pârât trebuie să plătească reclamantei, în termen de trei luni de la data rămânerii definitive a hotărârii, în conformitate cu art. 44 § 2 din Convenție, suma de 7 500 EUR (șapte mii cinci sute de euro), care trebuie convertită în moneda statului pârât la rata de schimb aplicabilă la data plății, cu titlu de despăgubire pentru prejudiciul moral, plus orice sumă ce poate fi datorată cu titlu de impozit;</w:t>
      </w:r>
    </w:p>
    <w:p w:rsidR="004147A5" w:rsidRPr="00E93AB0" w:rsidRDefault="00C812AD" w:rsidP="00E93AB0">
      <w:pPr>
        <w:pStyle w:val="JuLista"/>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majorată cu trei puncte procentuale;</w:t>
      </w:r>
    </w:p>
    <w:p w:rsidR="004D0EC7" w:rsidRPr="00E93AB0" w:rsidRDefault="00C812AD" w:rsidP="00E93AB0">
      <w:pPr>
        <w:pStyle w:val="JuList"/>
      </w:pPr>
      <w:r>
        <w:rPr>
          <w:i/>
          <w:iCs/>
        </w:rPr>
        <w:lastRenderedPageBreak/>
        <w:t>respinge</w:t>
      </w:r>
      <w:r>
        <w:t xml:space="preserve"> cererea de acordare a unei reparații echitabile pentru celelalte capete de cerere.</w:t>
      </w:r>
    </w:p>
    <w:p w:rsidR="008E3A08" w:rsidRPr="00E93AB0" w:rsidRDefault="00C812AD" w:rsidP="00E93AB0">
      <w:pPr>
        <w:pStyle w:val="JuParaLast"/>
      </w:pPr>
      <w:r>
        <w:t>Redactată în limba engleză și comunicată în scris la 20 februarie 2024, în conformitate cu art. 77 § 2 și § 3 din Regulamentul Curții.</w:t>
      </w:r>
    </w:p>
    <w:p w:rsidR="007E79A4" w:rsidRPr="00E93AB0" w:rsidRDefault="00C812AD" w:rsidP="00E93AB0">
      <w:pPr>
        <w:pStyle w:val="ECHRPlaceholder"/>
        <w:rPr>
          <w:szCs w:val="22"/>
        </w:rPr>
      </w:pPr>
      <w:r>
        <w:tab/>
      </w:r>
    </w:p>
    <w:p w:rsidR="00182EBA" w:rsidRDefault="00C812AD" w:rsidP="00E93AB0">
      <w:pPr>
        <w:pStyle w:val="JuSigned"/>
      </w:pPr>
      <w:r>
        <w:tab/>
        <w:t>Milan Blaško</w:t>
      </w:r>
      <w:r>
        <w:tab/>
        <w:t>Gabriele Kucsko-Stadlmayer</w:t>
      </w:r>
      <w:r>
        <w:br/>
      </w:r>
      <w:r>
        <w:tab/>
        <w:t>Grefier</w:t>
      </w:r>
      <w:r>
        <w:tab/>
        <w:t>Președinte</w:t>
      </w:r>
    </w:p>
    <w:p w:rsidR="00E93AB0" w:rsidRPr="00E93AB0" w:rsidRDefault="00E93AB0" w:rsidP="00E93AB0">
      <w:pPr>
        <w:pStyle w:val="JuPara"/>
      </w:pPr>
    </w:p>
    <w:sectPr w:rsidR="00E93AB0" w:rsidRPr="00E93AB0"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7FF" w:rsidRDefault="002167FF">
      <w:r>
        <w:separator/>
      </w:r>
    </w:p>
  </w:endnote>
  <w:endnote w:type="continuationSeparator" w:id="0">
    <w:p w:rsidR="002167FF" w:rsidRDefault="00216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7A5" w:rsidRPr="00150BFA" w:rsidRDefault="00C812AD" w:rsidP="0020718E">
    <w:pPr>
      <w:jc w:val="center"/>
    </w:pPr>
    <w:r>
      <w:rPr>
        <w:noProof/>
        <w:lang w:eastAsia="ro-RO"/>
      </w:rPr>
      <w:drawing>
        <wp:inline distT="0" distB="0" distL="0" distR="0">
          <wp:extent cx="771525" cy="619125"/>
          <wp:effectExtent l="0" t="0" r="9525" b="9525"/>
          <wp:docPr id="60" name="Picture 6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E67565"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7A5" w:rsidRPr="00150BFA" w:rsidRDefault="00C812AD" w:rsidP="0020718E">
    <w:pPr>
      <w:jc w:val="center"/>
    </w:pPr>
    <w:r>
      <w:rPr>
        <w:noProof/>
        <w:lang w:eastAsia="ro-RO"/>
      </w:rPr>
      <w:drawing>
        <wp:inline distT="0" distB="0" distL="0" distR="0">
          <wp:extent cx="771525" cy="619125"/>
          <wp:effectExtent l="0" t="0" r="9525" b="9525"/>
          <wp:docPr id="62" name="Picture 6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E67565"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C812AD" w:rsidP="009A115C">
    <w:pPr>
      <w:pStyle w:val="JuHeader"/>
    </w:pPr>
    <w:r>
      <w:rPr>
        <w:rStyle w:val="PageNumber"/>
      </w:rPr>
      <w:fldChar w:fldCharType="begin"/>
    </w:r>
    <w:r>
      <w:rPr>
        <w:rStyle w:val="PageNumber"/>
      </w:rPr>
      <w:instrText xml:space="preserve"> PAGE </w:instrText>
    </w:r>
    <w:r>
      <w:rPr>
        <w:rStyle w:val="PageNumber"/>
      </w:rPr>
      <w:fldChar w:fldCharType="separate"/>
    </w:r>
    <w:r w:rsidR="008A7438">
      <w:rPr>
        <w:rStyle w:val="PageNumber"/>
        <w:noProof/>
      </w:rPr>
      <w:t>14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C812AD" w:rsidP="007D3701">
    <w:pPr>
      <w:pStyle w:val="JuHeader"/>
    </w:pPr>
    <w:r>
      <w:fldChar w:fldCharType="begin"/>
    </w:r>
    <w:r>
      <w:instrText xml:space="preserve"> PAGE </w:instrText>
    </w:r>
    <w:r>
      <w:fldChar w:fldCharType="separate"/>
    </w:r>
    <w:r w:rsidR="008A7438">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7FF" w:rsidRPr="00E67565" w:rsidRDefault="002167FF" w:rsidP="0098410D">
      <w:r w:rsidRPr="00E67565">
        <w:separator/>
      </w:r>
    </w:p>
  </w:footnote>
  <w:footnote w:type="continuationSeparator" w:id="0">
    <w:p w:rsidR="002167FF" w:rsidRPr="00E67565" w:rsidRDefault="002167FF" w:rsidP="0098410D">
      <w:r w:rsidRPr="00E67565">
        <w:continuationSeparator/>
      </w:r>
    </w:p>
  </w:footnote>
  <w:footnote w:id="1">
    <w:p w:rsidR="004147A5" w:rsidRPr="001732DE" w:rsidRDefault="00C812AD" w:rsidP="004147A5">
      <w:pPr>
        <w:pStyle w:val="FootnoteText"/>
      </w:pPr>
      <w:r>
        <w:rPr>
          <w:rStyle w:val="FootnoteReference"/>
        </w:rPr>
        <w:footnoteRef/>
      </w:r>
      <w:r>
        <w:rPr>
          <w:rStyle w:val="FootnoteReference"/>
        </w:rPr>
        <w:t xml:space="preserve"> </w:t>
      </w:r>
      <w:r>
        <w:t>A se vedea art. 8 § 3 din Protocolul nr. 15 și pct. 21-22 din Raportul explicativ la Protocolul nr. 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7A5" w:rsidRPr="00A45145" w:rsidRDefault="00C812AD" w:rsidP="00A45145">
    <w:pPr>
      <w:jc w:val="center"/>
    </w:pPr>
    <w:r>
      <w:rPr>
        <w:noProof/>
        <w:lang w:eastAsia="ro-RO"/>
      </w:rPr>
      <w:drawing>
        <wp:inline distT="0" distB="0" distL="0" distR="0">
          <wp:extent cx="2962275" cy="1219200"/>
          <wp:effectExtent l="0" t="0" r="9525" b="0"/>
          <wp:docPr id="59" name="Picture 5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E67565"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6FF" w:rsidRPr="0005536D" w:rsidRDefault="003056FF" w:rsidP="003056FF">
    <w:pPr>
      <w:jc w:val="right"/>
      <w:rPr>
        <w:i/>
      </w:rPr>
    </w:pPr>
    <w:r>
      <w:rPr>
        <w:i/>
      </w:rPr>
      <w:t>Tradus și revizuit de IER (</w:t>
    </w:r>
    <w:hyperlink r:id="rId1" w:history="1">
      <w:r>
        <w:rPr>
          <w:rStyle w:val="Hyperlink"/>
          <w:i/>
        </w:rPr>
        <w:t>http://ier.gov.ro/</w:t>
      </w:r>
    </w:hyperlink>
    <w:r>
      <w:rPr>
        <w:i/>
      </w:rPr>
      <w:t>)</w:t>
    </w:r>
  </w:p>
  <w:p w:rsidR="003056FF" w:rsidRDefault="003056FF" w:rsidP="00A45145">
    <w:pPr>
      <w:jc w:val="center"/>
      <w:rPr>
        <w:noProof/>
        <w:lang w:eastAsia="ro-RO"/>
      </w:rPr>
    </w:pPr>
  </w:p>
  <w:p w:rsidR="004147A5" w:rsidRPr="00A45145" w:rsidRDefault="00C812AD" w:rsidP="00A45145">
    <w:pPr>
      <w:jc w:val="center"/>
    </w:pPr>
    <w:r>
      <w:rPr>
        <w:noProof/>
        <w:lang w:eastAsia="ro-RO"/>
      </w:rPr>
      <w:drawing>
        <wp:inline distT="0" distB="0" distL="0" distR="0">
          <wp:extent cx="2962275" cy="1219200"/>
          <wp:effectExtent l="0" t="0" r="9525" b="0"/>
          <wp:docPr id="61" name="Picture 6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E67565" w:rsidRDefault="009841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4D0EC7" w:rsidRDefault="00C812AD" w:rsidP="004D0EC7">
    <w:pPr>
      <w:pStyle w:val="JuHeader"/>
    </w:pPr>
    <w:r>
      <w:t>HOTĂRÂREA DIACONEASA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82CD5" w:rsidRDefault="00C812AD" w:rsidP="007D3701">
    <w:pPr>
      <w:pStyle w:val="JuHeader"/>
    </w:pPr>
    <w:r>
      <w:t>HOTĂRÂREA DIACONEASA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60A06868">
      <w:start w:val="1"/>
      <w:numFmt w:val="bullet"/>
      <w:pStyle w:val="ListBullet"/>
      <w:lvlText w:val=""/>
      <w:lvlJc w:val="left"/>
      <w:pPr>
        <w:tabs>
          <w:tab w:val="num" w:pos="851"/>
        </w:tabs>
        <w:ind w:left="568" w:firstLine="0"/>
      </w:pPr>
      <w:rPr>
        <w:rFonts w:ascii="Wingdings" w:hAnsi="Wingdings" w:hint="default"/>
        <w:color w:val="808080"/>
        <w:sz w:val="16"/>
      </w:rPr>
    </w:lvl>
    <w:lvl w:ilvl="1" w:tplc="E2766B36" w:tentative="1">
      <w:start w:val="1"/>
      <w:numFmt w:val="bullet"/>
      <w:lvlText w:val="o"/>
      <w:lvlJc w:val="left"/>
      <w:pPr>
        <w:tabs>
          <w:tab w:val="num" w:pos="1724"/>
        </w:tabs>
        <w:ind w:left="1724" w:hanging="360"/>
      </w:pPr>
      <w:rPr>
        <w:rFonts w:ascii="Courier New" w:hAnsi="Courier New" w:cs="Courier New" w:hint="default"/>
      </w:rPr>
    </w:lvl>
    <w:lvl w:ilvl="2" w:tplc="8268376C" w:tentative="1">
      <w:start w:val="1"/>
      <w:numFmt w:val="bullet"/>
      <w:lvlText w:val=""/>
      <w:lvlJc w:val="left"/>
      <w:pPr>
        <w:tabs>
          <w:tab w:val="num" w:pos="2444"/>
        </w:tabs>
        <w:ind w:left="2444" w:hanging="360"/>
      </w:pPr>
      <w:rPr>
        <w:rFonts w:ascii="Wingdings" w:hAnsi="Wingdings" w:hint="default"/>
      </w:rPr>
    </w:lvl>
    <w:lvl w:ilvl="3" w:tplc="75F47E9C" w:tentative="1">
      <w:start w:val="1"/>
      <w:numFmt w:val="bullet"/>
      <w:lvlText w:val=""/>
      <w:lvlJc w:val="left"/>
      <w:pPr>
        <w:tabs>
          <w:tab w:val="num" w:pos="3164"/>
        </w:tabs>
        <w:ind w:left="3164" w:hanging="360"/>
      </w:pPr>
      <w:rPr>
        <w:rFonts w:ascii="Symbol" w:hAnsi="Symbol" w:hint="default"/>
      </w:rPr>
    </w:lvl>
    <w:lvl w:ilvl="4" w:tplc="9A1A7C40" w:tentative="1">
      <w:start w:val="1"/>
      <w:numFmt w:val="bullet"/>
      <w:lvlText w:val="o"/>
      <w:lvlJc w:val="left"/>
      <w:pPr>
        <w:tabs>
          <w:tab w:val="num" w:pos="3884"/>
        </w:tabs>
        <w:ind w:left="3884" w:hanging="360"/>
      </w:pPr>
      <w:rPr>
        <w:rFonts w:ascii="Courier New" w:hAnsi="Courier New" w:cs="Courier New" w:hint="default"/>
      </w:rPr>
    </w:lvl>
    <w:lvl w:ilvl="5" w:tplc="2A9C29CE" w:tentative="1">
      <w:start w:val="1"/>
      <w:numFmt w:val="bullet"/>
      <w:lvlText w:val=""/>
      <w:lvlJc w:val="left"/>
      <w:pPr>
        <w:tabs>
          <w:tab w:val="num" w:pos="4604"/>
        </w:tabs>
        <w:ind w:left="4604" w:hanging="360"/>
      </w:pPr>
      <w:rPr>
        <w:rFonts w:ascii="Wingdings" w:hAnsi="Wingdings" w:hint="default"/>
      </w:rPr>
    </w:lvl>
    <w:lvl w:ilvl="6" w:tplc="1D709482" w:tentative="1">
      <w:start w:val="1"/>
      <w:numFmt w:val="bullet"/>
      <w:lvlText w:val=""/>
      <w:lvlJc w:val="left"/>
      <w:pPr>
        <w:tabs>
          <w:tab w:val="num" w:pos="5324"/>
        </w:tabs>
        <w:ind w:left="5324" w:hanging="360"/>
      </w:pPr>
      <w:rPr>
        <w:rFonts w:ascii="Symbol" w:hAnsi="Symbol" w:hint="default"/>
      </w:rPr>
    </w:lvl>
    <w:lvl w:ilvl="7" w:tplc="BAACEF0C" w:tentative="1">
      <w:start w:val="1"/>
      <w:numFmt w:val="bullet"/>
      <w:lvlText w:val="o"/>
      <w:lvlJc w:val="left"/>
      <w:pPr>
        <w:tabs>
          <w:tab w:val="num" w:pos="6044"/>
        </w:tabs>
        <w:ind w:left="6044" w:hanging="360"/>
      </w:pPr>
      <w:rPr>
        <w:rFonts w:ascii="Courier New" w:hAnsi="Courier New" w:cs="Courier New" w:hint="default"/>
      </w:rPr>
    </w:lvl>
    <w:lvl w:ilvl="8" w:tplc="5C5C98B6"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8"/>
  </w:num>
  <w:num w:numId="2">
    <w:abstractNumId w:val="14"/>
  </w:num>
  <w:num w:numId="3">
    <w:abstractNumId w:val="12"/>
  </w:num>
  <w:num w:numId="4">
    <w:abstractNumId w:val="11"/>
  </w:num>
  <w:num w:numId="5">
    <w:abstractNumId w:val="17"/>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3"/>
  </w:num>
  <w:num w:numId="17">
    <w:abstractNumId w:val="16"/>
  </w:num>
  <w:num w:numId="18">
    <w:abstractNumId w:val="15"/>
  </w:num>
  <w:num w:numId="19">
    <w:abstractNumId w:val="16"/>
  </w:num>
  <w:num w:numId="20">
    <w:abstractNumId w:val="10"/>
  </w:num>
  <w:num w:numId="2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4147A5"/>
    <w:rsid w:val="000041F8"/>
    <w:rsid w:val="000042A8"/>
    <w:rsid w:val="00004308"/>
    <w:rsid w:val="00005BF0"/>
    <w:rsid w:val="0000617D"/>
    <w:rsid w:val="00007154"/>
    <w:rsid w:val="000103AE"/>
    <w:rsid w:val="00011D69"/>
    <w:rsid w:val="00012AD3"/>
    <w:rsid w:val="00015C2D"/>
    <w:rsid w:val="00015F00"/>
    <w:rsid w:val="00022C1D"/>
    <w:rsid w:val="0002592F"/>
    <w:rsid w:val="00031428"/>
    <w:rsid w:val="00034987"/>
    <w:rsid w:val="00041560"/>
    <w:rsid w:val="000602DF"/>
    <w:rsid w:val="00061B05"/>
    <w:rsid w:val="000632D5"/>
    <w:rsid w:val="000644EE"/>
    <w:rsid w:val="000712E3"/>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0BFA"/>
    <w:rsid w:val="001561B6"/>
    <w:rsid w:val="00162A12"/>
    <w:rsid w:val="00166530"/>
    <w:rsid w:val="00170027"/>
    <w:rsid w:val="001732DE"/>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167FF"/>
    <w:rsid w:val="00226C89"/>
    <w:rsid w:val="00230D00"/>
    <w:rsid w:val="00231DF7"/>
    <w:rsid w:val="00231FD1"/>
    <w:rsid w:val="002339E0"/>
    <w:rsid w:val="00233CF8"/>
    <w:rsid w:val="0023575D"/>
    <w:rsid w:val="00236B42"/>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242E"/>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056FF"/>
    <w:rsid w:val="00310622"/>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D3F9C"/>
    <w:rsid w:val="003E6D80"/>
    <w:rsid w:val="003E7BCC"/>
    <w:rsid w:val="003F05FA"/>
    <w:rsid w:val="003F244A"/>
    <w:rsid w:val="003F2517"/>
    <w:rsid w:val="003F30B8"/>
    <w:rsid w:val="003F4C45"/>
    <w:rsid w:val="003F5F7B"/>
    <w:rsid w:val="003F7D64"/>
    <w:rsid w:val="0040433A"/>
    <w:rsid w:val="00414300"/>
    <w:rsid w:val="004147A5"/>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1F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37315"/>
    <w:rsid w:val="00643524"/>
    <w:rsid w:val="0064393B"/>
    <w:rsid w:val="00645CF2"/>
    <w:rsid w:val="006545C4"/>
    <w:rsid w:val="00661971"/>
    <w:rsid w:val="00661CE8"/>
    <w:rsid w:val="006623D9"/>
    <w:rsid w:val="006642A5"/>
    <w:rsid w:val="0066550C"/>
    <w:rsid w:val="00665BD2"/>
    <w:rsid w:val="006716F2"/>
    <w:rsid w:val="00675AF2"/>
    <w:rsid w:val="00682BF2"/>
    <w:rsid w:val="0068476B"/>
    <w:rsid w:val="0068573E"/>
    <w:rsid w:val="006859CE"/>
    <w:rsid w:val="00685EBF"/>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024B"/>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006A"/>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1215A"/>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A7438"/>
    <w:rsid w:val="008B02DC"/>
    <w:rsid w:val="008B092C"/>
    <w:rsid w:val="008B454D"/>
    <w:rsid w:val="008B57CE"/>
    <w:rsid w:val="008C26DE"/>
    <w:rsid w:val="008C6099"/>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75482"/>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4A2B"/>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E0A2E"/>
    <w:rsid w:val="00AE354C"/>
    <w:rsid w:val="00AF12C5"/>
    <w:rsid w:val="00AF4B07"/>
    <w:rsid w:val="00AF6186"/>
    <w:rsid w:val="00AF7A3A"/>
    <w:rsid w:val="00B02587"/>
    <w:rsid w:val="00B049D1"/>
    <w:rsid w:val="00B14793"/>
    <w:rsid w:val="00B153A0"/>
    <w:rsid w:val="00B160DB"/>
    <w:rsid w:val="00B20836"/>
    <w:rsid w:val="00B235BB"/>
    <w:rsid w:val="00B27A44"/>
    <w:rsid w:val="00B30BBF"/>
    <w:rsid w:val="00B33C03"/>
    <w:rsid w:val="00B42305"/>
    <w:rsid w:val="00B4421F"/>
    <w:rsid w:val="00B44E56"/>
    <w:rsid w:val="00B45917"/>
    <w:rsid w:val="00B46543"/>
    <w:rsid w:val="00B47D33"/>
    <w:rsid w:val="00B52BE0"/>
    <w:rsid w:val="00B54133"/>
    <w:rsid w:val="00B55A8D"/>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812AD"/>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2779"/>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4A31"/>
    <w:rsid w:val="00DA7B04"/>
    <w:rsid w:val="00DB36C2"/>
    <w:rsid w:val="00DC00A8"/>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4478"/>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49F7"/>
    <w:rsid w:val="00E90302"/>
    <w:rsid w:val="00E91D05"/>
    <w:rsid w:val="00E9262D"/>
    <w:rsid w:val="00E93AB0"/>
    <w:rsid w:val="00E94245"/>
    <w:rsid w:val="00E95C1E"/>
    <w:rsid w:val="00E97396"/>
    <w:rsid w:val="00EA185E"/>
    <w:rsid w:val="00EA592A"/>
    <w:rsid w:val="00EB14E4"/>
    <w:rsid w:val="00EB32A5"/>
    <w:rsid w:val="00EB34ED"/>
    <w:rsid w:val="00EB447C"/>
    <w:rsid w:val="00EB7BE0"/>
    <w:rsid w:val="00EC315E"/>
    <w:rsid w:val="00EC732F"/>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0F09"/>
    <w:rsid w:val="00F21161"/>
    <w:rsid w:val="00F218EF"/>
    <w:rsid w:val="00F21BC7"/>
    <w:rsid w:val="00F266A2"/>
    <w:rsid w:val="00F32269"/>
    <w:rsid w:val="00F35B7A"/>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F5E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84A2B"/>
    <w:rPr>
      <w:sz w:val="24"/>
      <w:szCs w:val="24"/>
    </w:rPr>
  </w:style>
  <w:style w:type="paragraph" w:styleId="Heading1">
    <w:name w:val="heading 1"/>
    <w:basedOn w:val="Normal"/>
    <w:next w:val="Normal"/>
    <w:link w:val="Heading1Char"/>
    <w:uiPriority w:val="98"/>
    <w:semiHidden/>
    <w:rsid w:val="00A84A2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A84A2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A84A2B"/>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A84A2B"/>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A84A2B"/>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A84A2B"/>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A84A2B"/>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A84A2B"/>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A84A2B"/>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A84A2B"/>
    <w:rPr>
      <w:rFonts w:ascii="Tahoma" w:hAnsi="Tahoma" w:cs="Tahoma"/>
      <w:sz w:val="16"/>
      <w:szCs w:val="16"/>
    </w:rPr>
  </w:style>
  <w:style w:type="character" w:customStyle="1" w:styleId="BalloonTextChar">
    <w:name w:val="Balloon Text Char"/>
    <w:basedOn w:val="DefaultParagraphFont"/>
    <w:link w:val="BalloonText"/>
    <w:uiPriority w:val="98"/>
    <w:semiHidden/>
    <w:rsid w:val="00A84A2B"/>
    <w:rPr>
      <w:rFonts w:ascii="Tahoma" w:hAnsi="Tahoma" w:cs="Tahoma"/>
      <w:sz w:val="16"/>
      <w:szCs w:val="16"/>
      <w:lang w:val="ro-RO"/>
    </w:rPr>
  </w:style>
  <w:style w:type="character" w:styleId="BookTitle">
    <w:name w:val="Book Title"/>
    <w:uiPriority w:val="98"/>
    <w:semiHidden/>
    <w:qFormat/>
    <w:rsid w:val="00A84A2B"/>
    <w:rPr>
      <w:i/>
      <w:iCs/>
      <w:smallCaps/>
      <w:spacing w:val="5"/>
    </w:rPr>
  </w:style>
  <w:style w:type="paragraph" w:customStyle="1" w:styleId="JuHeader">
    <w:name w:val="Ju_Header"/>
    <w:aliases w:val="_Header"/>
    <w:basedOn w:val="Header"/>
    <w:uiPriority w:val="29"/>
    <w:qFormat/>
    <w:rsid w:val="00A84A2B"/>
    <w:pPr>
      <w:tabs>
        <w:tab w:val="clear" w:pos="4536"/>
        <w:tab w:val="clear" w:pos="9072"/>
      </w:tabs>
      <w:jc w:val="center"/>
    </w:pPr>
    <w:rPr>
      <w:sz w:val="18"/>
    </w:rPr>
  </w:style>
  <w:style w:type="paragraph" w:customStyle="1" w:styleId="NormalJustified">
    <w:name w:val="Normal_Justified"/>
    <w:basedOn w:val="Normal"/>
    <w:semiHidden/>
    <w:rsid w:val="00A84A2B"/>
    <w:pPr>
      <w:jc w:val="both"/>
    </w:pPr>
  </w:style>
  <w:style w:type="character" w:styleId="Strong">
    <w:name w:val="Strong"/>
    <w:uiPriority w:val="98"/>
    <w:semiHidden/>
    <w:qFormat/>
    <w:rsid w:val="00A84A2B"/>
    <w:rPr>
      <w:b/>
      <w:bCs/>
    </w:rPr>
  </w:style>
  <w:style w:type="paragraph" w:styleId="NoSpacing">
    <w:name w:val="No Spacing"/>
    <w:basedOn w:val="Normal"/>
    <w:link w:val="NoSpacingChar"/>
    <w:uiPriority w:val="98"/>
    <w:semiHidden/>
    <w:qFormat/>
    <w:rsid w:val="00A84A2B"/>
  </w:style>
  <w:style w:type="character" w:customStyle="1" w:styleId="NoSpacingChar">
    <w:name w:val="No Spacing Char"/>
    <w:basedOn w:val="DefaultParagraphFont"/>
    <w:link w:val="NoSpacing"/>
    <w:uiPriority w:val="98"/>
    <w:rsid w:val="00A84A2B"/>
    <w:rPr>
      <w:sz w:val="24"/>
      <w:szCs w:val="24"/>
      <w:lang w:val="ro-RO"/>
    </w:rPr>
  </w:style>
  <w:style w:type="paragraph" w:customStyle="1" w:styleId="JuQuot">
    <w:name w:val="Ju_Quot"/>
    <w:aliases w:val="_Quote"/>
    <w:basedOn w:val="NormalJustified"/>
    <w:uiPriority w:val="20"/>
    <w:qFormat/>
    <w:rsid w:val="00A84A2B"/>
    <w:pPr>
      <w:spacing w:before="120" w:after="120"/>
      <w:ind w:left="425" w:firstLine="142"/>
    </w:pPr>
    <w:rPr>
      <w:sz w:val="20"/>
    </w:rPr>
  </w:style>
  <w:style w:type="paragraph" w:customStyle="1" w:styleId="DummyStyle">
    <w:name w:val="Dummy_Style"/>
    <w:aliases w:val="_Dummy"/>
    <w:basedOn w:val="Normal"/>
    <w:semiHidden/>
    <w:qFormat/>
    <w:rsid w:val="00A84A2B"/>
    <w:rPr>
      <w:color w:val="00B050"/>
      <w:sz w:val="22"/>
    </w:rPr>
  </w:style>
  <w:style w:type="paragraph" w:customStyle="1" w:styleId="JuList">
    <w:name w:val="Ju_List"/>
    <w:aliases w:val="_List_1"/>
    <w:basedOn w:val="NormalJustified"/>
    <w:uiPriority w:val="23"/>
    <w:qFormat/>
    <w:rsid w:val="00A84A2B"/>
    <w:pPr>
      <w:numPr>
        <w:numId w:val="21"/>
      </w:numPr>
      <w:spacing w:before="280" w:after="60"/>
    </w:pPr>
  </w:style>
  <w:style w:type="paragraph" w:customStyle="1" w:styleId="JuLista">
    <w:name w:val="Ju_List_a"/>
    <w:aliases w:val="_List_2"/>
    <w:basedOn w:val="NormalJustified"/>
    <w:uiPriority w:val="23"/>
    <w:rsid w:val="00A84A2B"/>
    <w:pPr>
      <w:numPr>
        <w:ilvl w:val="1"/>
        <w:numId w:val="21"/>
      </w:numPr>
    </w:pPr>
  </w:style>
  <w:style w:type="paragraph" w:customStyle="1" w:styleId="JuListi">
    <w:name w:val="Ju_List_i"/>
    <w:aliases w:val="_List_3"/>
    <w:basedOn w:val="NormalJustified"/>
    <w:uiPriority w:val="23"/>
    <w:rsid w:val="00A84A2B"/>
    <w:pPr>
      <w:numPr>
        <w:ilvl w:val="2"/>
        <w:numId w:val="21"/>
      </w:numPr>
    </w:pPr>
  </w:style>
  <w:style w:type="paragraph" w:customStyle="1" w:styleId="JuHArticle">
    <w:name w:val="Ju_H_Article"/>
    <w:aliases w:val="_Title_Quote"/>
    <w:basedOn w:val="Normal"/>
    <w:next w:val="JuQuot"/>
    <w:uiPriority w:val="19"/>
    <w:qFormat/>
    <w:rsid w:val="00A84A2B"/>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A84A2B"/>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A84A2B"/>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A84A2B"/>
    <w:pPr>
      <w:keepNext/>
      <w:keepLines/>
      <w:numPr>
        <w:numId w:val="20"/>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A84A2B"/>
    <w:pPr>
      <w:numPr>
        <w:numId w:val="15"/>
      </w:numPr>
    </w:pPr>
  </w:style>
  <w:style w:type="paragraph" w:customStyle="1" w:styleId="JuSigned">
    <w:name w:val="Ju_Signed"/>
    <w:aliases w:val="_Signature"/>
    <w:basedOn w:val="Normal"/>
    <w:next w:val="JuPara"/>
    <w:uiPriority w:val="31"/>
    <w:qFormat/>
    <w:rsid w:val="00A84A2B"/>
    <w:pPr>
      <w:tabs>
        <w:tab w:val="center" w:pos="1418"/>
        <w:tab w:val="center" w:pos="5954"/>
      </w:tabs>
      <w:spacing w:before="720"/>
    </w:pPr>
  </w:style>
  <w:style w:type="paragraph" w:styleId="Title">
    <w:name w:val="Title"/>
    <w:basedOn w:val="Normal"/>
    <w:next w:val="Normal"/>
    <w:link w:val="TitleChar"/>
    <w:uiPriority w:val="98"/>
    <w:semiHidden/>
    <w:qFormat/>
    <w:rsid w:val="00A84A2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A84A2B"/>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A84A2B"/>
    <w:pPr>
      <w:numPr>
        <w:numId w:val="16"/>
      </w:numPr>
    </w:pPr>
  </w:style>
  <w:style w:type="numbering" w:customStyle="1" w:styleId="ECHRA1StyleNumberedList">
    <w:name w:val="ECHR_A1_Style_Numbered_List"/>
    <w:basedOn w:val="NoList"/>
    <w:rsid w:val="00A84A2B"/>
    <w:pPr>
      <w:numPr>
        <w:numId w:val="17"/>
      </w:numPr>
    </w:pPr>
  </w:style>
  <w:style w:type="table" w:customStyle="1" w:styleId="ECHRTable2019">
    <w:name w:val="ECHR_Table_2019"/>
    <w:basedOn w:val="TableNormal"/>
    <w:uiPriority w:val="99"/>
    <w:rsid w:val="00A84A2B"/>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A84A2B"/>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A84A2B"/>
    <w:pPr>
      <w:keepNext/>
      <w:keepLines/>
      <w:numPr>
        <w:ilvl w:val="1"/>
        <w:numId w:val="2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A84A2B"/>
    <w:pPr>
      <w:keepNext/>
      <w:keepLines/>
      <w:numPr>
        <w:ilvl w:val="2"/>
        <w:numId w:val="2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A84A2B"/>
    <w:pPr>
      <w:keepNext/>
      <w:keepLines/>
      <w:numPr>
        <w:ilvl w:val="3"/>
        <w:numId w:val="20"/>
      </w:numPr>
      <w:spacing w:before="100" w:beforeAutospacing="1" w:after="120"/>
      <w:jc w:val="both"/>
    </w:pPr>
    <w:rPr>
      <w:b w:val="0"/>
      <w:color w:val="auto"/>
      <w:sz w:val="24"/>
    </w:rPr>
  </w:style>
  <w:style w:type="paragraph" w:styleId="Header">
    <w:name w:val="header"/>
    <w:basedOn w:val="Normal"/>
    <w:link w:val="HeaderChar"/>
    <w:uiPriority w:val="98"/>
    <w:semiHidden/>
    <w:rsid w:val="00A84A2B"/>
    <w:pPr>
      <w:tabs>
        <w:tab w:val="center" w:pos="4536"/>
        <w:tab w:val="right" w:pos="9072"/>
      </w:tabs>
    </w:pPr>
  </w:style>
  <w:style w:type="character" w:customStyle="1" w:styleId="HeaderChar">
    <w:name w:val="Header Char"/>
    <w:basedOn w:val="DefaultParagraphFont"/>
    <w:link w:val="Header"/>
    <w:uiPriority w:val="98"/>
    <w:semiHidden/>
    <w:rsid w:val="00A84A2B"/>
    <w:rPr>
      <w:sz w:val="24"/>
      <w:szCs w:val="24"/>
      <w:lang w:val="ro-RO"/>
    </w:rPr>
  </w:style>
  <w:style w:type="character" w:customStyle="1" w:styleId="Heading1Char">
    <w:name w:val="Heading 1 Char"/>
    <w:basedOn w:val="DefaultParagraphFont"/>
    <w:link w:val="Heading1"/>
    <w:uiPriority w:val="98"/>
    <w:rsid w:val="00A84A2B"/>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A84A2B"/>
    <w:pPr>
      <w:keepNext/>
      <w:keepLines/>
      <w:numPr>
        <w:ilvl w:val="4"/>
        <w:numId w:val="20"/>
      </w:numPr>
      <w:spacing w:before="100" w:beforeAutospacing="1" w:after="120"/>
      <w:jc w:val="both"/>
    </w:pPr>
    <w:rPr>
      <w:color w:val="auto"/>
      <w:sz w:val="20"/>
    </w:rPr>
  </w:style>
  <w:style w:type="paragraph" w:customStyle="1" w:styleId="JuHi">
    <w:name w:val="Ju_H_i"/>
    <w:aliases w:val="_Head_6"/>
    <w:basedOn w:val="Heading6"/>
    <w:next w:val="JuPara"/>
    <w:uiPriority w:val="17"/>
    <w:rsid w:val="00A84A2B"/>
    <w:pPr>
      <w:keepNext/>
      <w:keepLines/>
      <w:numPr>
        <w:ilvl w:val="5"/>
        <w:numId w:val="2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A84A2B"/>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A84A2B"/>
    <w:pPr>
      <w:keepNext/>
      <w:keepLines/>
      <w:numPr>
        <w:ilvl w:val="6"/>
        <w:numId w:val="2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A84A2B"/>
    <w:pPr>
      <w:keepNext/>
      <w:keepLines/>
      <w:numPr>
        <w:ilvl w:val="7"/>
        <w:numId w:val="20"/>
      </w:numPr>
      <w:spacing w:before="100" w:beforeAutospacing="1" w:after="120"/>
      <w:jc w:val="both"/>
    </w:pPr>
    <w:rPr>
      <w:i/>
    </w:rPr>
  </w:style>
  <w:style w:type="character" w:customStyle="1" w:styleId="Heading3Char">
    <w:name w:val="Heading 3 Char"/>
    <w:basedOn w:val="DefaultParagraphFont"/>
    <w:link w:val="Heading3"/>
    <w:uiPriority w:val="98"/>
    <w:semiHidden/>
    <w:rsid w:val="00A84A2B"/>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A84A2B"/>
    <w:pPr>
      <w:keepNext/>
      <w:keepLines/>
      <w:spacing w:before="240" w:after="240"/>
      <w:ind w:firstLine="284"/>
    </w:pPr>
  </w:style>
  <w:style w:type="paragraph" w:customStyle="1" w:styleId="JuJudges">
    <w:name w:val="Ju_Judges"/>
    <w:aliases w:val="_Judges"/>
    <w:basedOn w:val="Normal"/>
    <w:uiPriority w:val="32"/>
    <w:qFormat/>
    <w:rsid w:val="00A84A2B"/>
    <w:pPr>
      <w:tabs>
        <w:tab w:val="left" w:pos="567"/>
        <w:tab w:val="left" w:pos="1134"/>
      </w:tabs>
    </w:pPr>
  </w:style>
  <w:style w:type="character" w:customStyle="1" w:styleId="Heading4Char">
    <w:name w:val="Heading 4 Char"/>
    <w:basedOn w:val="DefaultParagraphFont"/>
    <w:link w:val="Heading4"/>
    <w:uiPriority w:val="98"/>
    <w:semiHidden/>
    <w:rsid w:val="00A84A2B"/>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A84A2B"/>
    <w:pPr>
      <w:tabs>
        <w:tab w:val="center" w:pos="6407"/>
      </w:tabs>
      <w:spacing w:before="720"/>
      <w:jc w:val="right"/>
    </w:pPr>
  </w:style>
  <w:style w:type="character" w:customStyle="1" w:styleId="Heading5Char">
    <w:name w:val="Heading 5 Char"/>
    <w:basedOn w:val="DefaultParagraphFont"/>
    <w:link w:val="Heading5"/>
    <w:uiPriority w:val="98"/>
    <w:semiHidden/>
    <w:rsid w:val="00A84A2B"/>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A84A2B"/>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A84A2B"/>
    <w:rPr>
      <w:caps w:val="0"/>
      <w:smallCaps/>
    </w:rPr>
  </w:style>
  <w:style w:type="character" w:styleId="SubtleEmphasis">
    <w:name w:val="Subtle Emphasis"/>
    <w:uiPriority w:val="98"/>
    <w:semiHidden/>
    <w:qFormat/>
    <w:rsid w:val="00A84A2B"/>
    <w:rPr>
      <w:i/>
      <w:iCs/>
    </w:rPr>
  </w:style>
  <w:style w:type="table" w:customStyle="1" w:styleId="ECHRTable">
    <w:name w:val="ECHR_Table"/>
    <w:basedOn w:val="TableNormal"/>
    <w:rsid w:val="00A84A2B"/>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A84A2B"/>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A84A2B"/>
    <w:rPr>
      <w:b/>
      <w:bCs/>
      <w:i/>
      <w:iCs/>
      <w:spacing w:val="10"/>
      <w:bdr w:val="none" w:sz="0" w:space="0" w:color="auto"/>
      <w:shd w:val="clear" w:color="auto" w:fill="auto"/>
    </w:rPr>
  </w:style>
  <w:style w:type="paragraph" w:styleId="Footer0">
    <w:name w:val="footer"/>
    <w:basedOn w:val="Normal"/>
    <w:link w:val="FooterChar"/>
    <w:uiPriority w:val="98"/>
    <w:semiHidden/>
    <w:rsid w:val="00A84A2B"/>
    <w:pPr>
      <w:tabs>
        <w:tab w:val="center" w:pos="3686"/>
        <w:tab w:val="right" w:pos="7371"/>
      </w:tabs>
    </w:pPr>
  </w:style>
  <w:style w:type="character" w:customStyle="1" w:styleId="FooterChar">
    <w:name w:val="Footer Char"/>
    <w:basedOn w:val="DefaultParagraphFont"/>
    <w:link w:val="Footer0"/>
    <w:uiPriority w:val="98"/>
    <w:semiHidden/>
    <w:rsid w:val="00A84A2B"/>
    <w:rPr>
      <w:sz w:val="24"/>
      <w:szCs w:val="24"/>
      <w:lang w:val="ro-RO"/>
    </w:rPr>
  </w:style>
  <w:style w:type="character" w:styleId="FootnoteReference">
    <w:name w:val="footnote reference"/>
    <w:basedOn w:val="DefaultParagraphFont"/>
    <w:uiPriority w:val="98"/>
    <w:semiHidden/>
    <w:rsid w:val="00A84A2B"/>
    <w:rPr>
      <w:vertAlign w:val="superscript"/>
    </w:rPr>
  </w:style>
  <w:style w:type="paragraph" w:styleId="FootnoteText">
    <w:name w:val="footnote text"/>
    <w:basedOn w:val="NormalJustified"/>
    <w:link w:val="FootnoteTextChar"/>
    <w:uiPriority w:val="98"/>
    <w:semiHidden/>
    <w:rsid w:val="00A84A2B"/>
    <w:rPr>
      <w:sz w:val="20"/>
      <w:szCs w:val="20"/>
    </w:rPr>
  </w:style>
  <w:style w:type="character" w:customStyle="1" w:styleId="FootnoteTextChar">
    <w:name w:val="Footnote Text Char"/>
    <w:basedOn w:val="DefaultParagraphFont"/>
    <w:link w:val="FootnoteText"/>
    <w:uiPriority w:val="98"/>
    <w:semiHidden/>
    <w:rsid w:val="00A84A2B"/>
    <w:rPr>
      <w:sz w:val="20"/>
      <w:szCs w:val="20"/>
      <w:lang w:val="ro-RO"/>
    </w:rPr>
  </w:style>
  <w:style w:type="character" w:customStyle="1" w:styleId="Heading6Char">
    <w:name w:val="Heading 6 Char"/>
    <w:basedOn w:val="DefaultParagraphFont"/>
    <w:link w:val="Heading6"/>
    <w:uiPriority w:val="98"/>
    <w:semiHidden/>
    <w:rsid w:val="00A84A2B"/>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A84A2B"/>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A84A2B"/>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A84A2B"/>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A84A2B"/>
    <w:rPr>
      <w:color w:val="0072BC" w:themeColor="hyperlink"/>
      <w:u w:val="single"/>
    </w:rPr>
  </w:style>
  <w:style w:type="character" w:styleId="IntenseEmphasis">
    <w:name w:val="Intense Emphasis"/>
    <w:uiPriority w:val="98"/>
    <w:semiHidden/>
    <w:qFormat/>
    <w:rsid w:val="00A84A2B"/>
    <w:rPr>
      <w:b/>
      <w:bCs/>
    </w:rPr>
  </w:style>
  <w:style w:type="paragraph" w:styleId="IntenseQuote">
    <w:name w:val="Intense Quote"/>
    <w:basedOn w:val="Normal"/>
    <w:next w:val="Normal"/>
    <w:link w:val="IntenseQuoteChar"/>
    <w:uiPriority w:val="98"/>
    <w:semiHidden/>
    <w:qFormat/>
    <w:rsid w:val="00A84A2B"/>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A84A2B"/>
    <w:rPr>
      <w:b/>
      <w:bCs/>
      <w:i/>
      <w:iCs/>
      <w:sz w:val="24"/>
      <w:szCs w:val="24"/>
      <w:lang w:val="ro-RO" w:bidi="en-US"/>
    </w:rPr>
  </w:style>
  <w:style w:type="character" w:styleId="IntenseReference">
    <w:name w:val="Intense Reference"/>
    <w:uiPriority w:val="98"/>
    <w:semiHidden/>
    <w:qFormat/>
    <w:rsid w:val="00A84A2B"/>
    <w:rPr>
      <w:smallCaps/>
      <w:spacing w:val="5"/>
      <w:u w:val="single"/>
    </w:rPr>
  </w:style>
  <w:style w:type="paragraph" w:styleId="ListParagraph">
    <w:name w:val="List Paragraph"/>
    <w:basedOn w:val="Normal"/>
    <w:uiPriority w:val="98"/>
    <w:semiHidden/>
    <w:qFormat/>
    <w:rsid w:val="00A84A2B"/>
    <w:pPr>
      <w:ind w:left="720"/>
      <w:contextualSpacing/>
    </w:pPr>
  </w:style>
  <w:style w:type="table" w:customStyle="1" w:styleId="LtrTableAddress">
    <w:name w:val="Ltr_Table_Address"/>
    <w:aliases w:val="ECHR_Ltr_Table_Address"/>
    <w:basedOn w:val="TableNormal"/>
    <w:uiPriority w:val="99"/>
    <w:rsid w:val="00A84A2B"/>
    <w:rPr>
      <w:sz w:val="24"/>
      <w:szCs w:val="24"/>
    </w:rPr>
    <w:tblPr>
      <w:tblInd w:w="5103" w:type="dxa"/>
    </w:tblPr>
  </w:style>
  <w:style w:type="paragraph" w:styleId="Quote">
    <w:name w:val="Quote"/>
    <w:basedOn w:val="Normal"/>
    <w:next w:val="Normal"/>
    <w:link w:val="QuoteChar"/>
    <w:uiPriority w:val="98"/>
    <w:semiHidden/>
    <w:qFormat/>
    <w:rsid w:val="00A84A2B"/>
    <w:pPr>
      <w:spacing w:before="200"/>
      <w:ind w:left="360" w:right="360"/>
    </w:pPr>
    <w:rPr>
      <w:i/>
      <w:iCs/>
      <w:lang w:bidi="en-US"/>
    </w:rPr>
  </w:style>
  <w:style w:type="character" w:customStyle="1" w:styleId="QuoteChar">
    <w:name w:val="Quote Char"/>
    <w:basedOn w:val="DefaultParagraphFont"/>
    <w:link w:val="Quote"/>
    <w:uiPriority w:val="98"/>
    <w:rsid w:val="00A84A2B"/>
    <w:rPr>
      <w:i/>
      <w:iCs/>
      <w:sz w:val="24"/>
      <w:szCs w:val="24"/>
      <w:lang w:val="ro-RO" w:bidi="en-US"/>
    </w:rPr>
  </w:style>
  <w:style w:type="character" w:styleId="SubtleReference">
    <w:name w:val="Subtle Reference"/>
    <w:uiPriority w:val="98"/>
    <w:semiHidden/>
    <w:qFormat/>
    <w:rsid w:val="00A84A2B"/>
    <w:rPr>
      <w:smallCaps/>
    </w:rPr>
  </w:style>
  <w:style w:type="table" w:styleId="TableGrid">
    <w:name w:val="Table Grid"/>
    <w:basedOn w:val="TableNormal"/>
    <w:uiPriority w:val="59"/>
    <w:semiHidden/>
    <w:rsid w:val="00A84A2B"/>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A84A2B"/>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A84A2B"/>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A84A2B"/>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A84A2B"/>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A84A2B"/>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A84A2B"/>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A84A2B"/>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A84A2B"/>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A84A2B"/>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A84A2B"/>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A84A2B"/>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A84A2B"/>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A84A2B"/>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A84A2B"/>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A84A2B"/>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A84A2B"/>
    <w:pPr>
      <w:numPr>
        <w:numId w:val="2"/>
      </w:numPr>
    </w:pPr>
  </w:style>
  <w:style w:type="paragraph" w:customStyle="1" w:styleId="JuPara">
    <w:name w:val="Ju_Para"/>
    <w:aliases w:val="_Para"/>
    <w:basedOn w:val="NormalJustified"/>
    <w:link w:val="JuParaChar"/>
    <w:uiPriority w:val="4"/>
    <w:qFormat/>
    <w:rsid w:val="00A84A2B"/>
    <w:pPr>
      <w:ind w:firstLine="284"/>
    </w:pPr>
  </w:style>
  <w:style w:type="numbering" w:styleId="1ai">
    <w:name w:val="Outline List 1"/>
    <w:basedOn w:val="NoList"/>
    <w:uiPriority w:val="99"/>
    <w:semiHidden/>
    <w:unhideWhenUsed/>
    <w:rsid w:val="00A84A2B"/>
    <w:pPr>
      <w:numPr>
        <w:numId w:val="3"/>
      </w:numPr>
    </w:pPr>
  </w:style>
  <w:style w:type="table" w:customStyle="1" w:styleId="ECHRTableSimpleBox">
    <w:name w:val="ECHR_Table_Simple_Box"/>
    <w:basedOn w:val="TableNormal"/>
    <w:uiPriority w:val="99"/>
    <w:rsid w:val="00A84A2B"/>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A84A2B"/>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A84A2B"/>
    <w:pPr>
      <w:numPr>
        <w:numId w:val="4"/>
      </w:numPr>
    </w:pPr>
  </w:style>
  <w:style w:type="table" w:customStyle="1" w:styleId="ECHRTableForInternalUse">
    <w:name w:val="ECHR_Table_For_Internal_Use"/>
    <w:basedOn w:val="TableNormal"/>
    <w:uiPriority w:val="99"/>
    <w:rsid w:val="00A84A2B"/>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A84A2B"/>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A84A2B"/>
  </w:style>
  <w:style w:type="paragraph" w:styleId="BlockText">
    <w:name w:val="Block Text"/>
    <w:basedOn w:val="Normal"/>
    <w:uiPriority w:val="98"/>
    <w:semiHidden/>
    <w:rsid w:val="00A84A2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A84A2B"/>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A84A2B"/>
    <w:pPr>
      <w:spacing w:after="120"/>
    </w:pPr>
  </w:style>
  <w:style w:type="character" w:customStyle="1" w:styleId="BodyTextChar">
    <w:name w:val="Body Text Char"/>
    <w:basedOn w:val="DefaultParagraphFont"/>
    <w:link w:val="BodyText"/>
    <w:uiPriority w:val="98"/>
    <w:semiHidden/>
    <w:rsid w:val="00A84A2B"/>
    <w:rPr>
      <w:sz w:val="24"/>
      <w:szCs w:val="24"/>
      <w:lang w:val="ro-RO"/>
    </w:rPr>
  </w:style>
  <w:style w:type="table" w:customStyle="1" w:styleId="ECHRTableOddBanded">
    <w:name w:val="ECHR_Table_Odd_Banded"/>
    <w:basedOn w:val="TableNormal"/>
    <w:uiPriority w:val="99"/>
    <w:rsid w:val="00A84A2B"/>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A84A2B"/>
    <w:pPr>
      <w:spacing w:after="120" w:line="480" w:lineRule="auto"/>
    </w:pPr>
  </w:style>
  <w:style w:type="table" w:customStyle="1" w:styleId="ECHRHeaderTableReduced">
    <w:name w:val="ECHR_Header_Table_Reduced"/>
    <w:basedOn w:val="TableNormal"/>
    <w:uiPriority w:val="99"/>
    <w:rsid w:val="00A84A2B"/>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A84A2B"/>
    <w:pPr>
      <w:ind w:firstLine="284"/>
    </w:pPr>
    <w:rPr>
      <w:b/>
    </w:rPr>
  </w:style>
  <w:style w:type="character" w:styleId="PageNumber">
    <w:name w:val="page number"/>
    <w:uiPriority w:val="98"/>
    <w:semiHidden/>
    <w:rsid w:val="00A84A2B"/>
    <w:rPr>
      <w:sz w:val="18"/>
    </w:rPr>
  </w:style>
  <w:style w:type="paragraph" w:styleId="ListBullet">
    <w:name w:val="List Bullet"/>
    <w:basedOn w:val="Normal"/>
    <w:uiPriority w:val="98"/>
    <w:semiHidden/>
    <w:rsid w:val="00A84A2B"/>
    <w:pPr>
      <w:numPr>
        <w:numId w:val="5"/>
      </w:numPr>
    </w:pPr>
  </w:style>
  <w:style w:type="paragraph" w:styleId="ListBullet3">
    <w:name w:val="List Bullet 3"/>
    <w:basedOn w:val="Normal"/>
    <w:uiPriority w:val="98"/>
    <w:semiHidden/>
    <w:rsid w:val="00A84A2B"/>
    <w:pPr>
      <w:numPr>
        <w:numId w:val="7"/>
      </w:numPr>
      <w:contextualSpacing/>
    </w:pPr>
  </w:style>
  <w:style w:type="character" w:customStyle="1" w:styleId="BodyText2Char">
    <w:name w:val="Body Text 2 Char"/>
    <w:basedOn w:val="DefaultParagraphFont"/>
    <w:link w:val="BodyText2"/>
    <w:uiPriority w:val="98"/>
    <w:semiHidden/>
    <w:rsid w:val="00A84A2B"/>
    <w:rPr>
      <w:sz w:val="24"/>
      <w:szCs w:val="24"/>
      <w:lang w:val="ro-RO"/>
    </w:rPr>
  </w:style>
  <w:style w:type="paragraph" w:styleId="BodyText3">
    <w:name w:val="Body Text 3"/>
    <w:basedOn w:val="Normal"/>
    <w:link w:val="BodyText3Char"/>
    <w:uiPriority w:val="98"/>
    <w:semiHidden/>
    <w:rsid w:val="00A84A2B"/>
    <w:pPr>
      <w:spacing w:after="120"/>
    </w:pPr>
    <w:rPr>
      <w:sz w:val="16"/>
      <w:szCs w:val="16"/>
    </w:rPr>
  </w:style>
  <w:style w:type="character" w:customStyle="1" w:styleId="BodyText3Char">
    <w:name w:val="Body Text 3 Char"/>
    <w:basedOn w:val="DefaultParagraphFont"/>
    <w:link w:val="BodyText3"/>
    <w:uiPriority w:val="98"/>
    <w:semiHidden/>
    <w:rsid w:val="00A84A2B"/>
    <w:rPr>
      <w:sz w:val="16"/>
      <w:szCs w:val="16"/>
      <w:lang w:val="ro-RO"/>
    </w:rPr>
  </w:style>
  <w:style w:type="paragraph" w:styleId="BodyTextFirstIndent">
    <w:name w:val="Body Text First Indent"/>
    <w:basedOn w:val="BodyText"/>
    <w:link w:val="BodyTextFirstIndentChar"/>
    <w:uiPriority w:val="98"/>
    <w:semiHidden/>
    <w:rsid w:val="00A84A2B"/>
    <w:pPr>
      <w:spacing w:after="0"/>
      <w:ind w:firstLine="360"/>
    </w:pPr>
  </w:style>
  <w:style w:type="character" w:customStyle="1" w:styleId="BodyTextFirstIndentChar">
    <w:name w:val="Body Text First Indent Char"/>
    <w:basedOn w:val="BodyTextChar"/>
    <w:link w:val="BodyTextFirstIndent"/>
    <w:uiPriority w:val="98"/>
    <w:semiHidden/>
    <w:rsid w:val="00A84A2B"/>
    <w:rPr>
      <w:sz w:val="24"/>
      <w:szCs w:val="24"/>
      <w:lang w:val="ro-RO"/>
    </w:rPr>
  </w:style>
  <w:style w:type="paragraph" w:styleId="BodyTextIndent">
    <w:name w:val="Body Text Indent"/>
    <w:basedOn w:val="Normal"/>
    <w:link w:val="BodyTextIndentChar"/>
    <w:uiPriority w:val="98"/>
    <w:semiHidden/>
    <w:rsid w:val="00A84A2B"/>
    <w:pPr>
      <w:spacing w:after="120"/>
      <w:ind w:left="283"/>
    </w:pPr>
  </w:style>
  <w:style w:type="character" w:customStyle="1" w:styleId="BodyTextIndentChar">
    <w:name w:val="Body Text Indent Char"/>
    <w:basedOn w:val="DefaultParagraphFont"/>
    <w:link w:val="BodyTextIndent"/>
    <w:uiPriority w:val="98"/>
    <w:semiHidden/>
    <w:rsid w:val="00A84A2B"/>
    <w:rPr>
      <w:sz w:val="24"/>
      <w:szCs w:val="24"/>
      <w:lang w:val="ro-RO"/>
    </w:rPr>
  </w:style>
  <w:style w:type="paragraph" w:styleId="BodyTextFirstIndent2">
    <w:name w:val="Body Text First Indent 2"/>
    <w:basedOn w:val="BodyTextIndent"/>
    <w:link w:val="BodyTextFirstIndent2Char"/>
    <w:uiPriority w:val="98"/>
    <w:semiHidden/>
    <w:rsid w:val="00A84A2B"/>
    <w:pPr>
      <w:spacing w:after="0"/>
      <w:ind w:left="360" w:firstLine="360"/>
    </w:pPr>
  </w:style>
  <w:style w:type="character" w:customStyle="1" w:styleId="BodyTextFirstIndent2Char">
    <w:name w:val="Body Text First Indent 2 Char"/>
    <w:basedOn w:val="BodyTextIndentChar"/>
    <w:link w:val="BodyTextFirstIndent2"/>
    <w:uiPriority w:val="98"/>
    <w:semiHidden/>
    <w:rsid w:val="00A84A2B"/>
    <w:rPr>
      <w:sz w:val="24"/>
      <w:szCs w:val="24"/>
      <w:lang w:val="ro-RO"/>
    </w:rPr>
  </w:style>
  <w:style w:type="paragraph" w:styleId="BodyTextIndent2">
    <w:name w:val="Body Text Indent 2"/>
    <w:basedOn w:val="Normal"/>
    <w:link w:val="BodyTextIndent2Char"/>
    <w:uiPriority w:val="98"/>
    <w:semiHidden/>
    <w:rsid w:val="00A84A2B"/>
    <w:pPr>
      <w:spacing w:after="120" w:line="480" w:lineRule="auto"/>
      <w:ind w:left="283"/>
    </w:pPr>
  </w:style>
  <w:style w:type="character" w:customStyle="1" w:styleId="BodyTextIndent2Char">
    <w:name w:val="Body Text Indent 2 Char"/>
    <w:basedOn w:val="DefaultParagraphFont"/>
    <w:link w:val="BodyTextIndent2"/>
    <w:uiPriority w:val="98"/>
    <w:semiHidden/>
    <w:rsid w:val="00A84A2B"/>
    <w:rPr>
      <w:sz w:val="24"/>
      <w:szCs w:val="24"/>
      <w:lang w:val="ro-RO"/>
    </w:rPr>
  </w:style>
  <w:style w:type="paragraph" w:styleId="BodyTextIndent3">
    <w:name w:val="Body Text Indent 3"/>
    <w:basedOn w:val="Normal"/>
    <w:link w:val="BodyTextIndent3Char"/>
    <w:uiPriority w:val="98"/>
    <w:semiHidden/>
    <w:rsid w:val="00A84A2B"/>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A84A2B"/>
    <w:rPr>
      <w:sz w:val="16"/>
      <w:szCs w:val="16"/>
      <w:lang w:val="ro-RO"/>
    </w:rPr>
  </w:style>
  <w:style w:type="paragraph" w:styleId="Caption">
    <w:name w:val="caption"/>
    <w:basedOn w:val="Normal"/>
    <w:next w:val="Normal"/>
    <w:uiPriority w:val="98"/>
    <w:semiHidden/>
    <w:qFormat/>
    <w:rsid w:val="00A84A2B"/>
    <w:pPr>
      <w:spacing w:after="200"/>
    </w:pPr>
    <w:rPr>
      <w:b/>
      <w:bCs/>
      <w:color w:val="0072BC" w:themeColor="accent1"/>
      <w:sz w:val="18"/>
      <w:szCs w:val="18"/>
    </w:rPr>
  </w:style>
  <w:style w:type="paragraph" w:styleId="Closing">
    <w:name w:val="Closing"/>
    <w:basedOn w:val="Normal"/>
    <w:link w:val="ClosingChar"/>
    <w:uiPriority w:val="98"/>
    <w:semiHidden/>
    <w:rsid w:val="00A84A2B"/>
    <w:pPr>
      <w:ind w:left="4252"/>
    </w:pPr>
  </w:style>
  <w:style w:type="character" w:customStyle="1" w:styleId="ClosingChar">
    <w:name w:val="Closing Char"/>
    <w:basedOn w:val="DefaultParagraphFont"/>
    <w:link w:val="Closing"/>
    <w:uiPriority w:val="98"/>
    <w:semiHidden/>
    <w:rsid w:val="00A84A2B"/>
    <w:rPr>
      <w:sz w:val="24"/>
      <w:szCs w:val="24"/>
      <w:lang w:val="ro-RO"/>
    </w:rPr>
  </w:style>
  <w:style w:type="table" w:styleId="ColorfulGrid">
    <w:name w:val="Colorful Grid"/>
    <w:basedOn w:val="TableNormal"/>
    <w:uiPriority w:val="73"/>
    <w:semiHidden/>
    <w:rsid w:val="00A84A2B"/>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A84A2B"/>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A84A2B"/>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A84A2B"/>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A84A2B"/>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A84A2B"/>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A84A2B"/>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A84A2B"/>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84A2B"/>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A84A2B"/>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A84A2B"/>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A84A2B"/>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A84A2B"/>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A84A2B"/>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A84A2B"/>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84A2B"/>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84A2B"/>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84A2B"/>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A84A2B"/>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84A2B"/>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84A2B"/>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A84A2B"/>
    <w:rPr>
      <w:sz w:val="16"/>
      <w:szCs w:val="16"/>
    </w:rPr>
  </w:style>
  <w:style w:type="paragraph" w:styleId="CommentText">
    <w:name w:val="annotation text"/>
    <w:basedOn w:val="Normal"/>
    <w:link w:val="CommentTextChar"/>
    <w:uiPriority w:val="98"/>
    <w:semiHidden/>
    <w:rsid w:val="00A84A2B"/>
    <w:rPr>
      <w:sz w:val="20"/>
      <w:szCs w:val="20"/>
    </w:rPr>
  </w:style>
  <w:style w:type="character" w:customStyle="1" w:styleId="CommentTextChar">
    <w:name w:val="Comment Text Char"/>
    <w:basedOn w:val="DefaultParagraphFont"/>
    <w:link w:val="CommentText"/>
    <w:uiPriority w:val="98"/>
    <w:semiHidden/>
    <w:rsid w:val="00A84A2B"/>
    <w:rPr>
      <w:sz w:val="20"/>
      <w:szCs w:val="20"/>
      <w:lang w:val="ro-RO"/>
    </w:rPr>
  </w:style>
  <w:style w:type="paragraph" w:styleId="CommentSubject">
    <w:name w:val="annotation subject"/>
    <w:basedOn w:val="CommentText"/>
    <w:next w:val="CommentText"/>
    <w:link w:val="CommentSubjectChar"/>
    <w:uiPriority w:val="98"/>
    <w:semiHidden/>
    <w:rsid w:val="00A84A2B"/>
    <w:rPr>
      <w:b/>
      <w:bCs/>
    </w:rPr>
  </w:style>
  <w:style w:type="character" w:customStyle="1" w:styleId="CommentSubjectChar">
    <w:name w:val="Comment Subject Char"/>
    <w:basedOn w:val="CommentTextChar"/>
    <w:link w:val="CommentSubject"/>
    <w:uiPriority w:val="98"/>
    <w:semiHidden/>
    <w:rsid w:val="00A84A2B"/>
    <w:rPr>
      <w:b/>
      <w:bCs/>
      <w:sz w:val="20"/>
      <w:szCs w:val="20"/>
      <w:lang w:val="ro-RO"/>
    </w:rPr>
  </w:style>
  <w:style w:type="table" w:styleId="DarkList">
    <w:name w:val="Dark List"/>
    <w:basedOn w:val="TableNormal"/>
    <w:uiPriority w:val="70"/>
    <w:semiHidden/>
    <w:rsid w:val="00A84A2B"/>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84A2B"/>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A84A2B"/>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A84A2B"/>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A84A2B"/>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A84A2B"/>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A84A2B"/>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A84A2B"/>
  </w:style>
  <w:style w:type="character" w:customStyle="1" w:styleId="DateChar">
    <w:name w:val="Date Char"/>
    <w:basedOn w:val="DefaultParagraphFont"/>
    <w:link w:val="Date"/>
    <w:uiPriority w:val="98"/>
    <w:semiHidden/>
    <w:rsid w:val="00A84A2B"/>
    <w:rPr>
      <w:sz w:val="24"/>
      <w:szCs w:val="24"/>
      <w:lang w:val="ro-RO"/>
    </w:rPr>
  </w:style>
  <w:style w:type="paragraph" w:styleId="DocumentMap">
    <w:name w:val="Document Map"/>
    <w:basedOn w:val="Normal"/>
    <w:link w:val="DocumentMapChar"/>
    <w:uiPriority w:val="98"/>
    <w:semiHidden/>
    <w:rsid w:val="00A84A2B"/>
    <w:rPr>
      <w:rFonts w:ascii="Tahoma" w:hAnsi="Tahoma" w:cs="Tahoma"/>
      <w:sz w:val="16"/>
      <w:szCs w:val="16"/>
    </w:rPr>
  </w:style>
  <w:style w:type="character" w:customStyle="1" w:styleId="DocumentMapChar">
    <w:name w:val="Document Map Char"/>
    <w:basedOn w:val="DefaultParagraphFont"/>
    <w:link w:val="DocumentMap"/>
    <w:uiPriority w:val="98"/>
    <w:semiHidden/>
    <w:rsid w:val="00A84A2B"/>
    <w:rPr>
      <w:rFonts w:ascii="Tahoma" w:hAnsi="Tahoma" w:cs="Tahoma"/>
      <w:sz w:val="16"/>
      <w:szCs w:val="16"/>
      <w:lang w:val="ro-RO"/>
    </w:rPr>
  </w:style>
  <w:style w:type="paragraph" w:styleId="E-mailSignature">
    <w:name w:val="E-mail Signature"/>
    <w:basedOn w:val="Normal"/>
    <w:link w:val="E-mailSignatureChar"/>
    <w:uiPriority w:val="98"/>
    <w:semiHidden/>
    <w:rsid w:val="00A84A2B"/>
  </w:style>
  <w:style w:type="character" w:customStyle="1" w:styleId="E-mailSignatureChar">
    <w:name w:val="E-mail Signature Char"/>
    <w:basedOn w:val="DefaultParagraphFont"/>
    <w:link w:val="E-mailSignature"/>
    <w:uiPriority w:val="98"/>
    <w:semiHidden/>
    <w:rsid w:val="00A84A2B"/>
    <w:rPr>
      <w:sz w:val="24"/>
      <w:szCs w:val="24"/>
      <w:lang w:val="ro-RO"/>
    </w:rPr>
  </w:style>
  <w:style w:type="character" w:styleId="EndnoteReference">
    <w:name w:val="endnote reference"/>
    <w:basedOn w:val="DefaultParagraphFont"/>
    <w:uiPriority w:val="98"/>
    <w:semiHidden/>
    <w:rsid w:val="00A84A2B"/>
    <w:rPr>
      <w:vertAlign w:val="superscript"/>
    </w:rPr>
  </w:style>
  <w:style w:type="paragraph" w:styleId="EndnoteText">
    <w:name w:val="endnote text"/>
    <w:basedOn w:val="Normal"/>
    <w:link w:val="EndnoteTextChar"/>
    <w:uiPriority w:val="98"/>
    <w:semiHidden/>
    <w:rsid w:val="00A84A2B"/>
    <w:rPr>
      <w:sz w:val="20"/>
      <w:szCs w:val="20"/>
    </w:rPr>
  </w:style>
  <w:style w:type="character" w:customStyle="1" w:styleId="EndnoteTextChar">
    <w:name w:val="Endnote Text Char"/>
    <w:basedOn w:val="DefaultParagraphFont"/>
    <w:link w:val="EndnoteText"/>
    <w:uiPriority w:val="98"/>
    <w:semiHidden/>
    <w:rsid w:val="00A84A2B"/>
    <w:rPr>
      <w:sz w:val="20"/>
      <w:szCs w:val="20"/>
      <w:lang w:val="ro-RO"/>
    </w:rPr>
  </w:style>
  <w:style w:type="paragraph" w:styleId="EnvelopeAddress">
    <w:name w:val="envelope address"/>
    <w:basedOn w:val="Normal"/>
    <w:uiPriority w:val="98"/>
    <w:semiHidden/>
    <w:rsid w:val="00A84A2B"/>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A84A2B"/>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A84A2B"/>
    <w:rPr>
      <w:color w:val="7030A0" w:themeColor="followedHyperlink"/>
      <w:u w:val="single"/>
    </w:rPr>
  </w:style>
  <w:style w:type="character" w:styleId="HTMLAcronym">
    <w:name w:val="HTML Acronym"/>
    <w:basedOn w:val="DefaultParagraphFont"/>
    <w:uiPriority w:val="98"/>
    <w:semiHidden/>
    <w:rsid w:val="00A84A2B"/>
  </w:style>
  <w:style w:type="paragraph" w:styleId="HTMLAddress">
    <w:name w:val="HTML Address"/>
    <w:basedOn w:val="Normal"/>
    <w:link w:val="HTMLAddressChar"/>
    <w:uiPriority w:val="98"/>
    <w:semiHidden/>
    <w:rsid w:val="00A84A2B"/>
    <w:rPr>
      <w:i/>
      <w:iCs/>
    </w:rPr>
  </w:style>
  <w:style w:type="character" w:customStyle="1" w:styleId="HTMLAddressChar">
    <w:name w:val="HTML Address Char"/>
    <w:basedOn w:val="DefaultParagraphFont"/>
    <w:link w:val="HTMLAddress"/>
    <w:uiPriority w:val="98"/>
    <w:semiHidden/>
    <w:rsid w:val="00A84A2B"/>
    <w:rPr>
      <w:i/>
      <w:iCs/>
      <w:sz w:val="24"/>
      <w:szCs w:val="24"/>
      <w:lang w:val="ro-RO"/>
    </w:rPr>
  </w:style>
  <w:style w:type="character" w:styleId="HTMLCite">
    <w:name w:val="HTML Cite"/>
    <w:basedOn w:val="DefaultParagraphFont"/>
    <w:uiPriority w:val="98"/>
    <w:semiHidden/>
    <w:rsid w:val="00A84A2B"/>
    <w:rPr>
      <w:i/>
      <w:iCs/>
    </w:rPr>
  </w:style>
  <w:style w:type="character" w:styleId="HTMLCode">
    <w:name w:val="HTML Code"/>
    <w:basedOn w:val="DefaultParagraphFont"/>
    <w:uiPriority w:val="98"/>
    <w:semiHidden/>
    <w:rsid w:val="00A84A2B"/>
    <w:rPr>
      <w:rFonts w:ascii="Consolas" w:hAnsi="Consolas" w:cs="Consolas"/>
      <w:sz w:val="20"/>
      <w:szCs w:val="20"/>
    </w:rPr>
  </w:style>
  <w:style w:type="character" w:styleId="HTMLDefinition">
    <w:name w:val="HTML Definition"/>
    <w:basedOn w:val="DefaultParagraphFont"/>
    <w:uiPriority w:val="98"/>
    <w:semiHidden/>
    <w:rsid w:val="00A84A2B"/>
    <w:rPr>
      <w:i/>
      <w:iCs/>
    </w:rPr>
  </w:style>
  <w:style w:type="character" w:styleId="HTMLKeyboard">
    <w:name w:val="HTML Keyboard"/>
    <w:basedOn w:val="DefaultParagraphFont"/>
    <w:uiPriority w:val="98"/>
    <w:semiHidden/>
    <w:rsid w:val="00A84A2B"/>
    <w:rPr>
      <w:rFonts w:ascii="Consolas" w:hAnsi="Consolas" w:cs="Consolas"/>
      <w:sz w:val="20"/>
      <w:szCs w:val="20"/>
    </w:rPr>
  </w:style>
  <w:style w:type="paragraph" w:styleId="HTMLPreformatted">
    <w:name w:val="HTML Preformatted"/>
    <w:basedOn w:val="Normal"/>
    <w:link w:val="HTMLPreformattedChar"/>
    <w:uiPriority w:val="98"/>
    <w:semiHidden/>
    <w:rsid w:val="00A84A2B"/>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A84A2B"/>
    <w:rPr>
      <w:rFonts w:ascii="Consolas" w:hAnsi="Consolas" w:cs="Consolas"/>
      <w:sz w:val="20"/>
      <w:szCs w:val="20"/>
      <w:lang w:val="ro-RO"/>
    </w:rPr>
  </w:style>
  <w:style w:type="character" w:styleId="HTMLSample">
    <w:name w:val="HTML Sample"/>
    <w:basedOn w:val="DefaultParagraphFont"/>
    <w:uiPriority w:val="98"/>
    <w:semiHidden/>
    <w:rsid w:val="00A84A2B"/>
    <w:rPr>
      <w:rFonts w:ascii="Consolas" w:hAnsi="Consolas" w:cs="Consolas"/>
      <w:sz w:val="24"/>
      <w:szCs w:val="24"/>
    </w:rPr>
  </w:style>
  <w:style w:type="character" w:styleId="HTMLTypewriter">
    <w:name w:val="HTML Typewriter"/>
    <w:basedOn w:val="DefaultParagraphFont"/>
    <w:uiPriority w:val="98"/>
    <w:semiHidden/>
    <w:rsid w:val="00A84A2B"/>
    <w:rPr>
      <w:rFonts w:ascii="Consolas" w:hAnsi="Consolas" w:cs="Consolas"/>
      <w:sz w:val="20"/>
      <w:szCs w:val="20"/>
    </w:rPr>
  </w:style>
  <w:style w:type="character" w:styleId="HTMLVariable">
    <w:name w:val="HTML Variable"/>
    <w:basedOn w:val="DefaultParagraphFont"/>
    <w:uiPriority w:val="98"/>
    <w:semiHidden/>
    <w:rsid w:val="00A84A2B"/>
    <w:rPr>
      <w:i/>
      <w:iCs/>
    </w:rPr>
  </w:style>
  <w:style w:type="paragraph" w:styleId="Index1">
    <w:name w:val="index 1"/>
    <w:basedOn w:val="Normal"/>
    <w:next w:val="Normal"/>
    <w:autoRedefine/>
    <w:uiPriority w:val="98"/>
    <w:semiHidden/>
    <w:rsid w:val="00A84A2B"/>
    <w:pPr>
      <w:ind w:left="240" w:hanging="240"/>
    </w:pPr>
  </w:style>
  <w:style w:type="paragraph" w:styleId="Index2">
    <w:name w:val="index 2"/>
    <w:basedOn w:val="Normal"/>
    <w:next w:val="Normal"/>
    <w:autoRedefine/>
    <w:uiPriority w:val="98"/>
    <w:semiHidden/>
    <w:rsid w:val="00A84A2B"/>
    <w:pPr>
      <w:ind w:left="480" w:hanging="240"/>
    </w:pPr>
  </w:style>
  <w:style w:type="paragraph" w:styleId="Index3">
    <w:name w:val="index 3"/>
    <w:basedOn w:val="Normal"/>
    <w:next w:val="Normal"/>
    <w:autoRedefine/>
    <w:uiPriority w:val="98"/>
    <w:semiHidden/>
    <w:rsid w:val="00A84A2B"/>
    <w:pPr>
      <w:ind w:left="720" w:hanging="240"/>
    </w:pPr>
  </w:style>
  <w:style w:type="paragraph" w:styleId="Index4">
    <w:name w:val="index 4"/>
    <w:basedOn w:val="Normal"/>
    <w:next w:val="Normal"/>
    <w:autoRedefine/>
    <w:uiPriority w:val="98"/>
    <w:semiHidden/>
    <w:rsid w:val="00A84A2B"/>
    <w:pPr>
      <w:ind w:left="960" w:hanging="240"/>
    </w:pPr>
  </w:style>
  <w:style w:type="paragraph" w:styleId="Index5">
    <w:name w:val="index 5"/>
    <w:basedOn w:val="Normal"/>
    <w:next w:val="Normal"/>
    <w:autoRedefine/>
    <w:uiPriority w:val="98"/>
    <w:semiHidden/>
    <w:rsid w:val="00A84A2B"/>
    <w:pPr>
      <w:ind w:left="1200" w:hanging="240"/>
    </w:pPr>
  </w:style>
  <w:style w:type="paragraph" w:styleId="Index6">
    <w:name w:val="index 6"/>
    <w:basedOn w:val="Normal"/>
    <w:next w:val="Normal"/>
    <w:autoRedefine/>
    <w:uiPriority w:val="98"/>
    <w:semiHidden/>
    <w:rsid w:val="00A84A2B"/>
    <w:pPr>
      <w:ind w:left="1440" w:hanging="240"/>
    </w:pPr>
  </w:style>
  <w:style w:type="paragraph" w:styleId="Index7">
    <w:name w:val="index 7"/>
    <w:basedOn w:val="Normal"/>
    <w:next w:val="Normal"/>
    <w:autoRedefine/>
    <w:uiPriority w:val="98"/>
    <w:semiHidden/>
    <w:rsid w:val="00A84A2B"/>
    <w:pPr>
      <w:ind w:left="1680" w:hanging="240"/>
    </w:pPr>
  </w:style>
  <w:style w:type="paragraph" w:styleId="Index8">
    <w:name w:val="index 8"/>
    <w:basedOn w:val="Normal"/>
    <w:next w:val="Normal"/>
    <w:autoRedefine/>
    <w:uiPriority w:val="98"/>
    <w:semiHidden/>
    <w:rsid w:val="00A84A2B"/>
    <w:pPr>
      <w:ind w:left="1920" w:hanging="240"/>
    </w:pPr>
  </w:style>
  <w:style w:type="paragraph" w:styleId="Index9">
    <w:name w:val="index 9"/>
    <w:basedOn w:val="Normal"/>
    <w:next w:val="Normal"/>
    <w:autoRedefine/>
    <w:uiPriority w:val="98"/>
    <w:semiHidden/>
    <w:rsid w:val="00A84A2B"/>
    <w:pPr>
      <w:ind w:left="2160" w:hanging="240"/>
    </w:pPr>
  </w:style>
  <w:style w:type="paragraph" w:styleId="IndexHeading">
    <w:name w:val="index heading"/>
    <w:basedOn w:val="Normal"/>
    <w:next w:val="Index1"/>
    <w:uiPriority w:val="98"/>
    <w:semiHidden/>
    <w:rsid w:val="00A84A2B"/>
    <w:rPr>
      <w:rFonts w:asciiTheme="majorHAnsi" w:eastAsiaTheme="majorEastAsia" w:hAnsiTheme="majorHAnsi" w:cstheme="majorBidi"/>
      <w:b/>
      <w:bCs/>
    </w:rPr>
  </w:style>
  <w:style w:type="table" w:styleId="LightGrid">
    <w:name w:val="Light Grid"/>
    <w:basedOn w:val="TableNormal"/>
    <w:uiPriority w:val="62"/>
    <w:semiHidden/>
    <w:rsid w:val="00A84A2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84A2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A84A2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A84A2B"/>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A84A2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A84A2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A84A2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A84A2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84A2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A84A2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A84A2B"/>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A84A2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A84A2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A84A2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A84A2B"/>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84A2B"/>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A84A2B"/>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A84A2B"/>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A84A2B"/>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A84A2B"/>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A84A2B"/>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A84A2B"/>
  </w:style>
  <w:style w:type="paragraph" w:styleId="List">
    <w:name w:val="List"/>
    <w:basedOn w:val="Normal"/>
    <w:uiPriority w:val="98"/>
    <w:semiHidden/>
    <w:rsid w:val="00A84A2B"/>
    <w:pPr>
      <w:ind w:left="283" w:hanging="283"/>
      <w:contextualSpacing/>
    </w:pPr>
  </w:style>
  <w:style w:type="paragraph" w:styleId="List2">
    <w:name w:val="List 2"/>
    <w:basedOn w:val="Normal"/>
    <w:uiPriority w:val="98"/>
    <w:semiHidden/>
    <w:rsid w:val="00A84A2B"/>
    <w:pPr>
      <w:ind w:left="566" w:hanging="283"/>
      <w:contextualSpacing/>
    </w:pPr>
  </w:style>
  <w:style w:type="paragraph" w:styleId="List3">
    <w:name w:val="List 3"/>
    <w:basedOn w:val="Normal"/>
    <w:uiPriority w:val="98"/>
    <w:semiHidden/>
    <w:rsid w:val="00A84A2B"/>
    <w:pPr>
      <w:ind w:left="849" w:hanging="283"/>
      <w:contextualSpacing/>
    </w:pPr>
  </w:style>
  <w:style w:type="paragraph" w:styleId="List4">
    <w:name w:val="List 4"/>
    <w:basedOn w:val="Normal"/>
    <w:uiPriority w:val="98"/>
    <w:semiHidden/>
    <w:rsid w:val="00A84A2B"/>
    <w:pPr>
      <w:ind w:left="1132" w:hanging="283"/>
      <w:contextualSpacing/>
    </w:pPr>
  </w:style>
  <w:style w:type="paragraph" w:styleId="List5">
    <w:name w:val="List 5"/>
    <w:basedOn w:val="Normal"/>
    <w:uiPriority w:val="98"/>
    <w:semiHidden/>
    <w:rsid w:val="00A84A2B"/>
    <w:pPr>
      <w:ind w:left="1415" w:hanging="283"/>
      <w:contextualSpacing/>
    </w:pPr>
  </w:style>
  <w:style w:type="paragraph" w:styleId="ListBullet2">
    <w:name w:val="List Bullet 2"/>
    <w:basedOn w:val="Normal"/>
    <w:uiPriority w:val="98"/>
    <w:semiHidden/>
    <w:rsid w:val="00A84A2B"/>
    <w:pPr>
      <w:numPr>
        <w:numId w:val="6"/>
      </w:numPr>
      <w:contextualSpacing/>
    </w:pPr>
  </w:style>
  <w:style w:type="paragraph" w:styleId="ListBullet4">
    <w:name w:val="List Bullet 4"/>
    <w:basedOn w:val="Normal"/>
    <w:uiPriority w:val="98"/>
    <w:semiHidden/>
    <w:rsid w:val="00A84A2B"/>
    <w:pPr>
      <w:numPr>
        <w:numId w:val="8"/>
      </w:numPr>
      <w:contextualSpacing/>
    </w:pPr>
  </w:style>
  <w:style w:type="paragraph" w:styleId="ListBullet5">
    <w:name w:val="List Bullet 5"/>
    <w:basedOn w:val="Normal"/>
    <w:uiPriority w:val="98"/>
    <w:semiHidden/>
    <w:rsid w:val="00A84A2B"/>
    <w:pPr>
      <w:numPr>
        <w:numId w:val="9"/>
      </w:numPr>
      <w:contextualSpacing/>
    </w:pPr>
  </w:style>
  <w:style w:type="paragraph" w:styleId="ListContinue">
    <w:name w:val="List Continue"/>
    <w:basedOn w:val="Normal"/>
    <w:uiPriority w:val="98"/>
    <w:semiHidden/>
    <w:rsid w:val="00A84A2B"/>
    <w:pPr>
      <w:spacing w:after="120"/>
      <w:ind w:left="283"/>
      <w:contextualSpacing/>
    </w:pPr>
  </w:style>
  <w:style w:type="paragraph" w:styleId="ListContinue2">
    <w:name w:val="List Continue 2"/>
    <w:basedOn w:val="Normal"/>
    <w:uiPriority w:val="98"/>
    <w:semiHidden/>
    <w:rsid w:val="00A84A2B"/>
    <w:pPr>
      <w:spacing w:after="120"/>
      <w:ind w:left="566"/>
      <w:contextualSpacing/>
    </w:pPr>
  </w:style>
  <w:style w:type="paragraph" w:styleId="ListContinue3">
    <w:name w:val="List Continue 3"/>
    <w:basedOn w:val="Normal"/>
    <w:uiPriority w:val="98"/>
    <w:semiHidden/>
    <w:rsid w:val="00A84A2B"/>
    <w:pPr>
      <w:spacing w:after="120"/>
      <w:ind w:left="849"/>
      <w:contextualSpacing/>
    </w:pPr>
  </w:style>
  <w:style w:type="paragraph" w:styleId="ListContinue4">
    <w:name w:val="List Continue 4"/>
    <w:basedOn w:val="Normal"/>
    <w:uiPriority w:val="98"/>
    <w:semiHidden/>
    <w:rsid w:val="00A84A2B"/>
    <w:pPr>
      <w:spacing w:after="120"/>
      <w:ind w:left="1132"/>
      <w:contextualSpacing/>
    </w:pPr>
  </w:style>
  <w:style w:type="paragraph" w:styleId="ListContinue5">
    <w:name w:val="List Continue 5"/>
    <w:basedOn w:val="Normal"/>
    <w:uiPriority w:val="98"/>
    <w:semiHidden/>
    <w:rsid w:val="00A84A2B"/>
    <w:pPr>
      <w:spacing w:after="120"/>
      <w:ind w:left="1415"/>
      <w:contextualSpacing/>
    </w:pPr>
  </w:style>
  <w:style w:type="paragraph" w:styleId="ListNumber">
    <w:name w:val="List Number"/>
    <w:basedOn w:val="Normal"/>
    <w:uiPriority w:val="98"/>
    <w:semiHidden/>
    <w:rsid w:val="00A84A2B"/>
    <w:pPr>
      <w:numPr>
        <w:numId w:val="10"/>
      </w:numPr>
      <w:contextualSpacing/>
    </w:pPr>
  </w:style>
  <w:style w:type="paragraph" w:styleId="ListNumber2">
    <w:name w:val="List Number 2"/>
    <w:basedOn w:val="Normal"/>
    <w:uiPriority w:val="98"/>
    <w:semiHidden/>
    <w:rsid w:val="00A84A2B"/>
    <w:pPr>
      <w:numPr>
        <w:numId w:val="11"/>
      </w:numPr>
      <w:contextualSpacing/>
    </w:pPr>
  </w:style>
  <w:style w:type="paragraph" w:styleId="ListNumber3">
    <w:name w:val="List Number 3"/>
    <w:basedOn w:val="Normal"/>
    <w:uiPriority w:val="98"/>
    <w:semiHidden/>
    <w:rsid w:val="00A84A2B"/>
    <w:pPr>
      <w:numPr>
        <w:numId w:val="12"/>
      </w:numPr>
      <w:contextualSpacing/>
    </w:pPr>
  </w:style>
  <w:style w:type="paragraph" w:styleId="ListNumber4">
    <w:name w:val="List Number 4"/>
    <w:basedOn w:val="Normal"/>
    <w:uiPriority w:val="98"/>
    <w:semiHidden/>
    <w:rsid w:val="00A84A2B"/>
    <w:pPr>
      <w:numPr>
        <w:numId w:val="13"/>
      </w:numPr>
      <w:contextualSpacing/>
    </w:pPr>
  </w:style>
  <w:style w:type="paragraph" w:styleId="ListNumber5">
    <w:name w:val="List Number 5"/>
    <w:basedOn w:val="Normal"/>
    <w:uiPriority w:val="98"/>
    <w:semiHidden/>
    <w:rsid w:val="00A84A2B"/>
    <w:pPr>
      <w:numPr>
        <w:numId w:val="14"/>
      </w:numPr>
      <w:contextualSpacing/>
    </w:pPr>
  </w:style>
  <w:style w:type="paragraph" w:styleId="MacroText">
    <w:name w:val="macro"/>
    <w:link w:val="MacroTextChar"/>
    <w:uiPriority w:val="98"/>
    <w:semiHidden/>
    <w:rsid w:val="00A84A2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A84A2B"/>
    <w:rPr>
      <w:rFonts w:ascii="Consolas" w:eastAsiaTheme="minorEastAsia" w:hAnsi="Consolas" w:cs="Consolas"/>
      <w:sz w:val="20"/>
      <w:szCs w:val="20"/>
    </w:rPr>
  </w:style>
  <w:style w:type="table" w:styleId="MediumGrid1">
    <w:name w:val="Medium Grid 1"/>
    <w:basedOn w:val="TableNormal"/>
    <w:uiPriority w:val="67"/>
    <w:semiHidden/>
    <w:rsid w:val="00A84A2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84A2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A84A2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A84A2B"/>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A84A2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A84A2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A84A2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A84A2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A84A2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A84A2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A84A2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A84A2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A84A2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A84A2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A84A2B"/>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84A2B"/>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A84A2B"/>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A84A2B"/>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A84A2B"/>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A84A2B"/>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A84A2B"/>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84A2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A84A2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84A2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84A2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84A2B"/>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84A2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84A2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84A2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84A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84A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84A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84A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84A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84A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84A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A84A2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A84A2B"/>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A84A2B"/>
    <w:rPr>
      <w:rFonts w:ascii="Times New Roman" w:hAnsi="Times New Roman" w:cs="Times New Roman"/>
    </w:rPr>
  </w:style>
  <w:style w:type="paragraph" w:styleId="NormalIndent">
    <w:name w:val="Normal Indent"/>
    <w:basedOn w:val="Normal"/>
    <w:uiPriority w:val="98"/>
    <w:semiHidden/>
    <w:rsid w:val="00A84A2B"/>
    <w:pPr>
      <w:ind w:left="720"/>
    </w:pPr>
  </w:style>
  <w:style w:type="paragraph" w:styleId="NoteHeading">
    <w:name w:val="Note Heading"/>
    <w:basedOn w:val="Normal"/>
    <w:next w:val="Normal"/>
    <w:link w:val="NoteHeadingChar"/>
    <w:uiPriority w:val="98"/>
    <w:semiHidden/>
    <w:rsid w:val="00A84A2B"/>
  </w:style>
  <w:style w:type="character" w:customStyle="1" w:styleId="NoteHeadingChar">
    <w:name w:val="Note Heading Char"/>
    <w:basedOn w:val="DefaultParagraphFont"/>
    <w:link w:val="NoteHeading"/>
    <w:uiPriority w:val="98"/>
    <w:semiHidden/>
    <w:rsid w:val="00A84A2B"/>
    <w:rPr>
      <w:sz w:val="24"/>
      <w:szCs w:val="24"/>
      <w:lang w:val="ro-RO"/>
    </w:rPr>
  </w:style>
  <w:style w:type="character" w:styleId="PlaceholderText">
    <w:name w:val="Placeholder Text"/>
    <w:basedOn w:val="DefaultParagraphFont"/>
    <w:uiPriority w:val="98"/>
    <w:semiHidden/>
    <w:rsid w:val="00A84A2B"/>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A84A2B"/>
    <w:rPr>
      <w:rFonts w:ascii="Consolas" w:hAnsi="Consolas" w:cs="Consolas"/>
      <w:sz w:val="21"/>
      <w:szCs w:val="21"/>
    </w:rPr>
  </w:style>
  <w:style w:type="character" w:customStyle="1" w:styleId="PlainTextChar">
    <w:name w:val="Plain Text Char"/>
    <w:basedOn w:val="DefaultParagraphFont"/>
    <w:link w:val="PlainText"/>
    <w:uiPriority w:val="98"/>
    <w:semiHidden/>
    <w:rsid w:val="00A84A2B"/>
    <w:rPr>
      <w:rFonts w:ascii="Consolas" w:hAnsi="Consolas" w:cs="Consolas"/>
      <w:sz w:val="21"/>
      <w:szCs w:val="21"/>
      <w:lang w:val="ro-RO"/>
    </w:rPr>
  </w:style>
  <w:style w:type="paragraph" w:styleId="Salutation">
    <w:name w:val="Salutation"/>
    <w:basedOn w:val="Normal"/>
    <w:next w:val="Normal"/>
    <w:link w:val="SalutationChar"/>
    <w:uiPriority w:val="98"/>
    <w:semiHidden/>
    <w:rsid w:val="00A84A2B"/>
  </w:style>
  <w:style w:type="character" w:customStyle="1" w:styleId="SalutationChar">
    <w:name w:val="Salutation Char"/>
    <w:basedOn w:val="DefaultParagraphFont"/>
    <w:link w:val="Salutation"/>
    <w:uiPriority w:val="98"/>
    <w:semiHidden/>
    <w:rsid w:val="00A84A2B"/>
    <w:rPr>
      <w:sz w:val="24"/>
      <w:szCs w:val="24"/>
      <w:lang w:val="ro-RO"/>
    </w:rPr>
  </w:style>
  <w:style w:type="paragraph" w:styleId="Signature">
    <w:name w:val="Signature"/>
    <w:basedOn w:val="Normal"/>
    <w:link w:val="SignatureChar"/>
    <w:uiPriority w:val="98"/>
    <w:semiHidden/>
    <w:rsid w:val="00A84A2B"/>
    <w:pPr>
      <w:ind w:left="4252"/>
    </w:pPr>
  </w:style>
  <w:style w:type="character" w:customStyle="1" w:styleId="SignatureChar">
    <w:name w:val="Signature Char"/>
    <w:basedOn w:val="DefaultParagraphFont"/>
    <w:link w:val="Signature"/>
    <w:uiPriority w:val="98"/>
    <w:semiHidden/>
    <w:rsid w:val="00A84A2B"/>
    <w:rPr>
      <w:sz w:val="24"/>
      <w:szCs w:val="24"/>
      <w:lang w:val="ro-RO"/>
    </w:rPr>
  </w:style>
  <w:style w:type="table" w:styleId="Table3Deffects1">
    <w:name w:val="Table 3D effects 1"/>
    <w:basedOn w:val="TableNormal"/>
    <w:uiPriority w:val="99"/>
    <w:semiHidden/>
    <w:unhideWhenUsed/>
    <w:rsid w:val="00A84A2B"/>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84A2B"/>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84A2B"/>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84A2B"/>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84A2B"/>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84A2B"/>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84A2B"/>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84A2B"/>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84A2B"/>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84A2B"/>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84A2B"/>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84A2B"/>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84A2B"/>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84A2B"/>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84A2B"/>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84A2B"/>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84A2B"/>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84A2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84A2B"/>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84A2B"/>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84A2B"/>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84A2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84A2B"/>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84A2B"/>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84A2B"/>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84A2B"/>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84A2B"/>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84A2B"/>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84A2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84A2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84A2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84A2B"/>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84A2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A84A2B"/>
    <w:pPr>
      <w:ind w:left="240" w:hanging="240"/>
    </w:pPr>
  </w:style>
  <w:style w:type="paragraph" w:styleId="TableofFigures">
    <w:name w:val="table of figures"/>
    <w:basedOn w:val="Normal"/>
    <w:next w:val="Normal"/>
    <w:uiPriority w:val="98"/>
    <w:semiHidden/>
    <w:rsid w:val="00A84A2B"/>
  </w:style>
  <w:style w:type="table" w:styleId="TableProfessional">
    <w:name w:val="Table Professional"/>
    <w:basedOn w:val="TableNormal"/>
    <w:uiPriority w:val="99"/>
    <w:semiHidden/>
    <w:unhideWhenUsed/>
    <w:rsid w:val="00A84A2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84A2B"/>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84A2B"/>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84A2B"/>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84A2B"/>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84A2B"/>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84A2B"/>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84A2B"/>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84A2B"/>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84A2B"/>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A84A2B"/>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A84A2B"/>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A84A2B"/>
    <w:pPr>
      <w:spacing w:after="100"/>
      <w:ind w:left="1680"/>
    </w:pPr>
  </w:style>
  <w:style w:type="paragraph" w:styleId="TOC9">
    <w:name w:val="toc 9"/>
    <w:basedOn w:val="Normal"/>
    <w:next w:val="Normal"/>
    <w:autoRedefine/>
    <w:uiPriority w:val="98"/>
    <w:semiHidden/>
    <w:rsid w:val="00A84A2B"/>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A84A2B"/>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A84A2B"/>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A84A2B"/>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A84A2B"/>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A84A2B"/>
    <w:pPr>
      <w:numPr>
        <w:numId w:val="18"/>
      </w:numPr>
      <w:spacing w:before="60" w:after="60"/>
    </w:pPr>
  </w:style>
  <w:style w:type="paragraph" w:customStyle="1" w:styleId="ECHRBullet2">
    <w:name w:val="ECHR_Bullet_2"/>
    <w:aliases w:val="_Bul_2"/>
    <w:basedOn w:val="ECHRBullet1"/>
    <w:uiPriority w:val="23"/>
    <w:semiHidden/>
    <w:rsid w:val="00A84A2B"/>
    <w:pPr>
      <w:numPr>
        <w:ilvl w:val="1"/>
      </w:numPr>
    </w:pPr>
  </w:style>
  <w:style w:type="paragraph" w:customStyle="1" w:styleId="ECHRBullet3">
    <w:name w:val="ECHR_Bullet_3"/>
    <w:aliases w:val="_Bul_3"/>
    <w:basedOn w:val="ECHRBullet2"/>
    <w:uiPriority w:val="23"/>
    <w:semiHidden/>
    <w:rsid w:val="00A84A2B"/>
    <w:pPr>
      <w:numPr>
        <w:ilvl w:val="2"/>
      </w:numPr>
    </w:pPr>
  </w:style>
  <w:style w:type="paragraph" w:customStyle="1" w:styleId="ECHRBullet4">
    <w:name w:val="ECHR_Bullet_4"/>
    <w:aliases w:val="_Bul_4"/>
    <w:basedOn w:val="ECHRBullet3"/>
    <w:uiPriority w:val="23"/>
    <w:semiHidden/>
    <w:rsid w:val="00A84A2B"/>
    <w:pPr>
      <w:numPr>
        <w:ilvl w:val="3"/>
      </w:numPr>
    </w:pPr>
  </w:style>
  <w:style w:type="paragraph" w:customStyle="1" w:styleId="ECHRConfidential">
    <w:name w:val="ECHR_Confidential"/>
    <w:aliases w:val="_Confidential"/>
    <w:basedOn w:val="Normal"/>
    <w:next w:val="Normal"/>
    <w:uiPriority w:val="42"/>
    <w:semiHidden/>
    <w:qFormat/>
    <w:rsid w:val="00A84A2B"/>
    <w:pPr>
      <w:jc w:val="right"/>
    </w:pPr>
    <w:rPr>
      <w:color w:val="C00000"/>
      <w:sz w:val="20"/>
    </w:rPr>
  </w:style>
  <w:style w:type="paragraph" w:customStyle="1" w:styleId="ECHRDecisionBody">
    <w:name w:val="ECHR_Decision_Body"/>
    <w:aliases w:val="_Decision_Body"/>
    <w:basedOn w:val="NormalJustified"/>
    <w:uiPriority w:val="54"/>
    <w:semiHidden/>
    <w:rsid w:val="00A84A2B"/>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A84A2B"/>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A84A2B"/>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A84A2B"/>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A84A2B"/>
    <w:pPr>
      <w:jc w:val="right"/>
    </w:pPr>
    <w:rPr>
      <w:sz w:val="20"/>
    </w:rPr>
  </w:style>
  <w:style w:type="paragraph" w:customStyle="1" w:styleId="ECHRHeaderRefIt">
    <w:name w:val="ECHR_Header_Ref_It"/>
    <w:aliases w:val="_Ref_Ital"/>
    <w:basedOn w:val="Normal"/>
    <w:next w:val="ECHRHeaderDate"/>
    <w:uiPriority w:val="43"/>
    <w:qFormat/>
    <w:rsid w:val="00A84A2B"/>
    <w:pPr>
      <w:jc w:val="right"/>
    </w:pPr>
    <w:rPr>
      <w:i/>
      <w:sz w:val="20"/>
    </w:rPr>
  </w:style>
  <w:style w:type="paragraph" w:customStyle="1" w:styleId="ECHRHeading9">
    <w:name w:val="ECHR_Heading_9"/>
    <w:aliases w:val="_Head_9"/>
    <w:basedOn w:val="Heading9"/>
    <w:uiPriority w:val="17"/>
    <w:semiHidden/>
    <w:rsid w:val="00A84A2B"/>
    <w:pPr>
      <w:keepNext/>
      <w:keepLines/>
      <w:numPr>
        <w:ilvl w:val="8"/>
        <w:numId w:val="2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A84A2B"/>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A84A2B"/>
    <w:pPr>
      <w:numPr>
        <w:numId w:val="19"/>
      </w:numPr>
      <w:spacing w:before="60" w:after="60"/>
    </w:pPr>
  </w:style>
  <w:style w:type="paragraph" w:customStyle="1" w:styleId="ECHRNumberedList2">
    <w:name w:val="ECHR_Numbered_List_2"/>
    <w:aliases w:val="_Num_2"/>
    <w:basedOn w:val="ECHRNumberedList1"/>
    <w:uiPriority w:val="23"/>
    <w:semiHidden/>
    <w:rsid w:val="00A84A2B"/>
    <w:pPr>
      <w:numPr>
        <w:ilvl w:val="1"/>
      </w:numPr>
    </w:pPr>
  </w:style>
  <w:style w:type="paragraph" w:customStyle="1" w:styleId="ECHRNumberedList3">
    <w:name w:val="ECHR_Numbered_List_3"/>
    <w:aliases w:val="_Num_3"/>
    <w:basedOn w:val="ECHRNumberedList2"/>
    <w:uiPriority w:val="23"/>
    <w:semiHidden/>
    <w:rsid w:val="00A84A2B"/>
    <w:pPr>
      <w:numPr>
        <w:ilvl w:val="2"/>
      </w:numPr>
    </w:pPr>
  </w:style>
  <w:style w:type="paragraph" w:customStyle="1" w:styleId="ECHRParaHanging">
    <w:name w:val="ECHR_Para_Hanging"/>
    <w:aliases w:val="_Hanging"/>
    <w:basedOn w:val="NormalJustified"/>
    <w:uiPriority w:val="8"/>
    <w:semiHidden/>
    <w:qFormat/>
    <w:rsid w:val="00A84A2B"/>
    <w:pPr>
      <w:ind w:left="567" w:hanging="567"/>
    </w:pPr>
  </w:style>
  <w:style w:type="paragraph" w:customStyle="1" w:styleId="ECHRParaIndent">
    <w:name w:val="ECHR_Para_Indent"/>
    <w:aliases w:val="_Indent"/>
    <w:basedOn w:val="NormalJustified"/>
    <w:uiPriority w:val="7"/>
    <w:semiHidden/>
    <w:qFormat/>
    <w:rsid w:val="00A84A2B"/>
    <w:pPr>
      <w:spacing w:before="120" w:after="120"/>
      <w:ind w:left="284"/>
    </w:pPr>
  </w:style>
  <w:style w:type="character" w:customStyle="1" w:styleId="ECHRRed">
    <w:name w:val="ECHR_Red"/>
    <w:aliases w:val="_Red"/>
    <w:basedOn w:val="DefaultParagraphFont"/>
    <w:uiPriority w:val="15"/>
    <w:semiHidden/>
    <w:qFormat/>
    <w:rsid w:val="00A84A2B"/>
    <w:rPr>
      <w:color w:val="C00000" w:themeColor="accent2"/>
    </w:rPr>
  </w:style>
  <w:style w:type="paragraph" w:customStyle="1" w:styleId="DecList">
    <w:name w:val="Dec_List"/>
    <w:aliases w:val="_List"/>
    <w:basedOn w:val="JuList"/>
    <w:uiPriority w:val="22"/>
    <w:rsid w:val="00A84A2B"/>
    <w:pPr>
      <w:numPr>
        <w:numId w:val="0"/>
      </w:numPr>
      <w:ind w:left="284"/>
    </w:pPr>
  </w:style>
  <w:style w:type="table" w:customStyle="1" w:styleId="ECHRTable2">
    <w:name w:val="ECHR_Table_2"/>
    <w:basedOn w:val="TableNormal"/>
    <w:uiPriority w:val="99"/>
    <w:rsid w:val="00A84A2B"/>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A84A2B"/>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A84A2B"/>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A84A2B"/>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A84A2B"/>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A84A2B"/>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A84A2B"/>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A84A2B"/>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A84A2B"/>
    <w:pPr>
      <w:outlineLvl w:val="0"/>
    </w:pPr>
  </w:style>
  <w:style w:type="paragraph" w:customStyle="1" w:styleId="ECHRTitleTOC1">
    <w:name w:val="ECHR_Title_TOC_1"/>
    <w:aliases w:val="_Title_L_TOC"/>
    <w:basedOn w:val="ECHRTitle1"/>
    <w:next w:val="Normal"/>
    <w:uiPriority w:val="27"/>
    <w:semiHidden/>
    <w:qFormat/>
    <w:rsid w:val="00A84A2B"/>
    <w:pPr>
      <w:outlineLvl w:val="0"/>
    </w:pPr>
  </w:style>
  <w:style w:type="paragraph" w:customStyle="1" w:styleId="ECHRPlaceholder">
    <w:name w:val="ECHR_Placeholder"/>
    <w:aliases w:val="_Placeholder"/>
    <w:basedOn w:val="JuSigned"/>
    <w:uiPriority w:val="31"/>
    <w:rsid w:val="00A84A2B"/>
    <w:rPr>
      <w:color w:val="FFFFFF"/>
    </w:rPr>
  </w:style>
  <w:style w:type="paragraph" w:customStyle="1" w:styleId="ECHRSpacer">
    <w:name w:val="ECHR_Spacer"/>
    <w:aliases w:val="_Spacer"/>
    <w:basedOn w:val="Normal"/>
    <w:uiPriority w:val="45"/>
    <w:semiHidden/>
    <w:rsid w:val="00A84A2B"/>
    <w:rPr>
      <w:sz w:val="4"/>
    </w:rPr>
  </w:style>
  <w:style w:type="table" w:customStyle="1" w:styleId="ECHRTableGrey">
    <w:name w:val="ECHR_Table_Grey"/>
    <w:basedOn w:val="TableNormal"/>
    <w:uiPriority w:val="99"/>
    <w:rsid w:val="00A84A2B"/>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A84A2B"/>
    <w:rPr>
      <w:color w:val="605E5C"/>
      <w:shd w:val="clear" w:color="auto" w:fill="E1DFDD"/>
    </w:rPr>
  </w:style>
  <w:style w:type="character" w:customStyle="1" w:styleId="JuParaChar">
    <w:name w:val="Ju_Para Char"/>
    <w:aliases w:val="_Para Char"/>
    <w:link w:val="JuPara"/>
    <w:uiPriority w:val="4"/>
    <w:rsid w:val="004147A5"/>
    <w:rPr>
      <w:sz w:val="24"/>
      <w:szCs w:val="24"/>
      <w:lang w:val="ro-RO"/>
    </w:rPr>
  </w:style>
  <w:style w:type="table" w:styleId="GridTable1Light">
    <w:name w:val="Grid Table 1 Light"/>
    <w:basedOn w:val="TableNormal"/>
    <w:uiPriority w:val="46"/>
    <w:semiHidden/>
    <w:rsid w:val="004147A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4147A5"/>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4147A5"/>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4147A5"/>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4147A5"/>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4147A5"/>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4147A5"/>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4147A5"/>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4147A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4147A5"/>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4147A5"/>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4147A5"/>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4147A5"/>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4147A5"/>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4147A5"/>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4147A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4147A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4147A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4147A5"/>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4147A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4147A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4147A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4147A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4147A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4147A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4147A5"/>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4147A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4147A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4147A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4147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4147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4147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4147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4147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4147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4147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4147A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4147A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4147A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4147A5"/>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4147A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4147A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4147A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4147A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4147A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4147A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4147A5"/>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4147A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4147A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4147A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4147A5"/>
    <w:rPr>
      <w:color w:val="2B579A"/>
      <w:shd w:val="clear" w:color="auto" w:fill="E1DFDD"/>
    </w:rPr>
  </w:style>
  <w:style w:type="table" w:styleId="ListTable1Light">
    <w:name w:val="List Table 1 Light"/>
    <w:basedOn w:val="TableNormal"/>
    <w:uiPriority w:val="46"/>
    <w:semiHidden/>
    <w:rsid w:val="004147A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4147A5"/>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4147A5"/>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4147A5"/>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4147A5"/>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4147A5"/>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4147A5"/>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4147A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4147A5"/>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4147A5"/>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4147A5"/>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4147A5"/>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4147A5"/>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4147A5"/>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4147A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4147A5"/>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4147A5"/>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4147A5"/>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4147A5"/>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4147A5"/>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4147A5"/>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4147A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4147A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4147A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4147A5"/>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4147A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4147A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4147A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4147A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4147A5"/>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4147A5"/>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4147A5"/>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4147A5"/>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4147A5"/>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4147A5"/>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4147A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4147A5"/>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4147A5"/>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4147A5"/>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4147A5"/>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4147A5"/>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4147A5"/>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4147A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4147A5"/>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4147A5"/>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4147A5"/>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4147A5"/>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4147A5"/>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4147A5"/>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4147A5"/>
    <w:rPr>
      <w:color w:val="2B579A"/>
      <w:shd w:val="clear" w:color="auto" w:fill="E1DFDD"/>
    </w:rPr>
  </w:style>
  <w:style w:type="table" w:styleId="PlainTable1">
    <w:name w:val="Plain Table 1"/>
    <w:basedOn w:val="TableNormal"/>
    <w:uiPriority w:val="41"/>
    <w:semiHidden/>
    <w:rsid w:val="004147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4147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4147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4147A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4147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4147A5"/>
    <w:rPr>
      <w:u w:val="dotted"/>
    </w:rPr>
  </w:style>
  <w:style w:type="character" w:customStyle="1" w:styleId="SmartLink">
    <w:name w:val="Smart Link"/>
    <w:basedOn w:val="DefaultParagraphFont"/>
    <w:uiPriority w:val="99"/>
    <w:semiHidden/>
    <w:unhideWhenUsed/>
    <w:rsid w:val="004147A5"/>
    <w:rPr>
      <w:color w:val="0000FF"/>
      <w:u w:val="single"/>
      <w:shd w:val="clear" w:color="auto" w:fill="F3F2F1"/>
    </w:rPr>
  </w:style>
  <w:style w:type="table" w:styleId="TableGridLight">
    <w:name w:val="Grid Table Light"/>
    <w:basedOn w:val="TableNormal"/>
    <w:uiPriority w:val="40"/>
    <w:semiHidden/>
    <w:rsid w:val="004147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4147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66F39-4BF2-4B7B-9C12-22FC1B3C3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6542</Words>
  <Characters>37948</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44402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2024-05-24T13:11:00Z</dcterms:created>
  <dcterms:modified xsi:type="dcterms:W3CDTF">2024-07-12T13:14:00Z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1682664</vt:lpwstr>
  </property>
  <property fmtid="{D5CDD505-2E9C-101B-9397-08002B2CF9AE}" pid="3" name="cstLanguage">
    <vt:i4>2057</vt:i4>
  </property>
  <property fmtid="{D5CDD505-2E9C-101B-9397-08002B2CF9AE}" pid="4" name="RegisteredNo">
    <vt:lpwstr>53162/21</vt:lpwstr>
  </property>
</Properties>
</file>