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779BBA" w14:textId="77777777" w:rsidR="0037131B" w:rsidRPr="007048F8" w:rsidRDefault="007048F8" w:rsidP="009E1878">
      <w:pPr>
        <w:pStyle w:val="DecHCase"/>
        <w:keepNext w:val="0"/>
        <w:keepLines w:val="0"/>
        <w:rPr>
          <w:sz w:val="28"/>
        </w:rPr>
      </w:pPr>
      <w:r>
        <w:rPr>
          <w:sz w:val="28"/>
        </w:rPr>
        <w:t>CURTEA EUROPEANĂ A DREPTURILOR OMULUI</w:t>
      </w:r>
    </w:p>
    <w:p w14:paraId="249E0BDC" w14:textId="77777777" w:rsidR="0098410D" w:rsidRPr="009E1878" w:rsidRDefault="00E25332" w:rsidP="009E1878">
      <w:pPr>
        <w:pStyle w:val="DecHTitle"/>
        <w:keepNext w:val="0"/>
        <w:keepLines w:val="0"/>
      </w:pPr>
      <w:r>
        <w:t>SECȚIA A CINCEA</w:t>
      </w:r>
    </w:p>
    <w:p w14:paraId="5E39AFDE" w14:textId="77777777" w:rsidR="0098410D" w:rsidRPr="009E1878" w:rsidRDefault="00A06E3E" w:rsidP="004930A0">
      <w:pPr>
        <w:pStyle w:val="JuTitle"/>
        <w:keepNext w:val="0"/>
        <w:keepLines w:val="0"/>
        <w:spacing w:before="1200"/>
      </w:pPr>
      <w:r>
        <w:t>CAUZA KUPINSKI</w:t>
      </w:r>
      <w:r w:rsidR="00245537">
        <w:t xml:space="preserve"> ÎMPOTRIVA UCRAINEI</w:t>
      </w:r>
    </w:p>
    <w:p w14:paraId="661CB349" w14:textId="77777777" w:rsidR="0035114C" w:rsidRPr="009E1878" w:rsidRDefault="0035114C" w:rsidP="009E1878">
      <w:pPr>
        <w:pStyle w:val="ECHRCoverTitle4"/>
        <w:keepNext w:val="0"/>
        <w:keepLines w:val="0"/>
      </w:pPr>
      <w:r>
        <w:t>(Cererea nr. 5084/18)</w:t>
      </w:r>
    </w:p>
    <w:p w14:paraId="7616D6FA" w14:textId="77777777" w:rsidR="0035114C" w:rsidRPr="009E1878" w:rsidRDefault="0035114C" w:rsidP="009E1878">
      <w:pPr>
        <w:pStyle w:val="DecHCase"/>
        <w:keepNext w:val="0"/>
        <w:keepLines w:val="0"/>
      </w:pPr>
    </w:p>
    <w:p w14:paraId="65421E64" w14:textId="77777777" w:rsidR="0035114C" w:rsidRPr="009E1878" w:rsidRDefault="0035114C" w:rsidP="004930A0">
      <w:pPr>
        <w:pStyle w:val="DecHCase"/>
        <w:keepNext w:val="0"/>
        <w:keepLines w:val="0"/>
        <w:spacing w:after="120"/>
      </w:pPr>
    </w:p>
    <w:p w14:paraId="3494DFFC" w14:textId="77777777" w:rsidR="0098410D" w:rsidRPr="009E1878" w:rsidRDefault="00245537" w:rsidP="004930A0">
      <w:pPr>
        <w:pStyle w:val="DecHCase"/>
        <w:keepNext w:val="0"/>
        <w:keepLines w:val="0"/>
        <w:spacing w:after="360"/>
      </w:pPr>
      <w:r>
        <w:t>HOTĂRÂRE</w:t>
      </w:r>
    </w:p>
    <w:p w14:paraId="4E61917A" w14:textId="77777777" w:rsidR="002660CA" w:rsidRPr="009E1878" w:rsidRDefault="002660CA" w:rsidP="009E1878">
      <w:pPr>
        <w:pBdr>
          <w:top w:val="single" w:sz="4" w:space="1" w:color="auto"/>
          <w:left w:val="single" w:sz="4" w:space="4" w:color="auto"/>
          <w:bottom w:val="single" w:sz="4" w:space="1" w:color="auto"/>
          <w:right w:val="single" w:sz="4" w:space="4" w:color="auto"/>
        </w:pBdr>
        <w:jc w:val="both"/>
      </w:pPr>
      <w:r>
        <w:t>Art. 7 • Art. 3 • Pedeapsă mai severă • Pedeapsă inumană sau degradantă • Schimbarea, la transferarea deținutului, a pedepsei reductibile a detențiunii pe viață, pronunțată într-un stat străin, cu pedeapsa ireductibilă a detențiunii pe viață, din cauza inexistenței, în legislația statului de origine al reclamantului, a liberării condiționate pentru persoanele condamnate la pedeapsa detențiunii pe viață • Modificarea semnificativă de către instanțele naționale a sferei de aplicare a pedepsei, excedând simplele măsuri de executare și determinând, astfel, aplicarea art. 7</w:t>
      </w:r>
    </w:p>
    <w:p w14:paraId="1016C160" w14:textId="77777777" w:rsidR="002660CA" w:rsidRPr="009E1878" w:rsidRDefault="002660CA" w:rsidP="004930A0">
      <w:pPr>
        <w:pStyle w:val="DecHCase"/>
        <w:keepNext w:val="0"/>
        <w:keepLines w:val="0"/>
        <w:spacing w:after="240"/>
      </w:pPr>
    </w:p>
    <w:p w14:paraId="5405415D" w14:textId="77777777" w:rsidR="0098410D" w:rsidRPr="009E1878" w:rsidRDefault="00245537" w:rsidP="009E1878">
      <w:pPr>
        <w:pStyle w:val="DecHCase"/>
        <w:keepNext w:val="0"/>
        <w:keepLines w:val="0"/>
      </w:pPr>
      <w:r>
        <w:t>STRASBOURG</w:t>
      </w:r>
    </w:p>
    <w:p w14:paraId="68A95D2E" w14:textId="77777777" w:rsidR="0098410D" w:rsidRPr="009E1878" w:rsidRDefault="00E25332" w:rsidP="009E1878">
      <w:pPr>
        <w:pStyle w:val="DecHCase"/>
        <w:keepNext w:val="0"/>
        <w:keepLines w:val="0"/>
      </w:pPr>
      <w:r>
        <w:t>10 noiembrie 2022</w:t>
      </w:r>
    </w:p>
    <w:p w14:paraId="4468AA18" w14:textId="77777777" w:rsidR="0098410D" w:rsidRPr="009E1878" w:rsidRDefault="007B421F" w:rsidP="009E1878">
      <w:pPr>
        <w:pStyle w:val="DecHCase"/>
        <w:keepNext w:val="0"/>
        <w:keepLines w:val="0"/>
      </w:pPr>
    </w:p>
    <w:p w14:paraId="7E522246" w14:textId="77777777" w:rsidR="004930A0" w:rsidRDefault="004930A0" w:rsidP="004930A0">
      <w:pPr>
        <w:pStyle w:val="jucase0"/>
        <w:ind w:firstLine="0"/>
        <w:jc w:val="center"/>
        <w:rPr>
          <w:color w:val="FF0000"/>
          <w:sz w:val="28"/>
          <w:szCs w:val="28"/>
          <w:u w:val="single"/>
        </w:rPr>
      </w:pPr>
      <w:bookmarkStart w:id="1" w:name="_Hlk59706592"/>
      <w:bookmarkStart w:id="2" w:name="_Hlk59704667"/>
      <w:r>
        <w:rPr>
          <w:color w:val="FF0000"/>
          <w:sz w:val="28"/>
          <w:u w:val="single"/>
        </w:rPr>
        <w:t>DEFINITIVĂ</w:t>
      </w:r>
    </w:p>
    <w:p w14:paraId="2FF9C32E" w14:textId="77777777" w:rsidR="004930A0" w:rsidRPr="00D04090" w:rsidRDefault="004930A0" w:rsidP="004930A0">
      <w:pPr>
        <w:pStyle w:val="jucase0"/>
        <w:ind w:firstLine="0"/>
        <w:jc w:val="center"/>
        <w:rPr>
          <w:b w:val="0"/>
          <w:bCs w:val="0"/>
          <w:color w:val="FF0000"/>
          <w:u w:val="single"/>
        </w:rPr>
      </w:pPr>
    </w:p>
    <w:p w14:paraId="1BC176FB" w14:textId="77777777" w:rsidR="004930A0" w:rsidRPr="00E974D6" w:rsidRDefault="004930A0" w:rsidP="004930A0">
      <w:pPr>
        <w:pStyle w:val="jucase0"/>
        <w:ind w:firstLine="0"/>
        <w:jc w:val="center"/>
        <w:rPr>
          <w:b w:val="0"/>
          <w:color w:val="FF0000"/>
          <w:sz w:val="28"/>
          <w:szCs w:val="28"/>
        </w:rPr>
      </w:pPr>
      <w:r>
        <w:rPr>
          <w:b w:val="0"/>
          <w:color w:val="FF0000"/>
          <w:sz w:val="28"/>
        </w:rPr>
        <w:t>10/02/2023</w:t>
      </w:r>
    </w:p>
    <w:p w14:paraId="67FE48A8" w14:textId="77777777" w:rsidR="004930A0" w:rsidRPr="00261F46" w:rsidRDefault="004930A0" w:rsidP="004930A0">
      <w:pPr>
        <w:pStyle w:val="jupara0"/>
        <w:ind w:firstLine="0"/>
        <w:jc w:val="center"/>
      </w:pPr>
    </w:p>
    <w:p w14:paraId="21364E31" w14:textId="77777777" w:rsidR="002422B6" w:rsidRPr="009E1878" w:rsidRDefault="004930A0" w:rsidP="009E1878">
      <w:pPr>
        <w:jc w:val="center"/>
        <w:rPr>
          <w:i/>
          <w:sz w:val="22"/>
        </w:rPr>
      </w:pPr>
      <w:r>
        <w:rPr>
          <w:i/>
          <w:sz w:val="22"/>
        </w:rPr>
        <w:t xml:space="preserve">Hotărârea a rămas definitivă în condițiile prevăzute la art. 44 § 2 din Convenție. </w:t>
      </w:r>
      <w:r>
        <w:rPr>
          <w:i/>
          <w:sz w:val="22"/>
        </w:rPr>
        <w:br/>
        <w:t>Poate suferi modificări de formă.</w:t>
      </w:r>
      <w:bookmarkEnd w:id="1"/>
      <w:bookmarkEnd w:id="2"/>
    </w:p>
    <w:p w14:paraId="3B627CA0" w14:textId="77777777" w:rsidR="0098410D" w:rsidRPr="009E1878" w:rsidRDefault="007B421F" w:rsidP="009E1878">
      <w:pPr>
        <w:sectPr w:rsidR="0098410D" w:rsidRPr="009E1878" w:rsidSect="00E801A1">
          <w:headerReference w:type="default" r:id="rId12"/>
          <w:footerReference w:type="default" r:id="rId13"/>
          <w:headerReference w:type="first" r:id="rId14"/>
          <w:footerReference w:type="first" r:id="rId15"/>
          <w:footnotePr>
            <w:numRestart w:val="eachSect"/>
          </w:footnotePr>
          <w:endnotePr>
            <w:numFmt w:val="decimal"/>
            <w:numRestart w:val="eachSect"/>
          </w:endnotePr>
          <w:pgSz w:w="11906" w:h="16838" w:code="9"/>
          <w:pgMar w:top="1134" w:right="1134" w:bottom="1134" w:left="1701" w:header="1701" w:footer="720" w:gutter="0"/>
          <w:pgNumType w:start="1"/>
          <w:cols w:space="720"/>
          <w:noEndnote/>
          <w:titlePg/>
          <w:docGrid w:linePitch="326"/>
        </w:sectPr>
      </w:pPr>
    </w:p>
    <w:p w14:paraId="4C53E343" w14:textId="77777777" w:rsidR="0098410D" w:rsidRPr="009E1878" w:rsidRDefault="00245537" w:rsidP="009E1878">
      <w:pPr>
        <w:pStyle w:val="JuCase"/>
      </w:pPr>
      <w:r>
        <w:lastRenderedPageBreak/>
        <w:t xml:space="preserve">În cauza </w:t>
      </w:r>
      <w:proofErr w:type="spellStart"/>
      <w:r>
        <w:t>Kupinski</w:t>
      </w:r>
      <w:proofErr w:type="spellEnd"/>
      <w:r>
        <w:t xml:space="preserve"> împotriva Ucrainei,</w:t>
      </w:r>
    </w:p>
    <w:p w14:paraId="494252B6" w14:textId="77777777" w:rsidR="00605A74" w:rsidRPr="009E1878" w:rsidRDefault="00605A74" w:rsidP="009E1878">
      <w:pPr>
        <w:pStyle w:val="JuPara"/>
      </w:pPr>
      <w:r>
        <w:t>Curtea Europeană a Drepturilor Omului (Secția a cincea), reunită într-o cameră compusă din:</w:t>
      </w:r>
    </w:p>
    <w:p w14:paraId="106BF400" w14:textId="77777777" w:rsidR="007C541D" w:rsidRPr="009E1878" w:rsidRDefault="007C541D" w:rsidP="009E1878">
      <w:pPr>
        <w:pStyle w:val="JuJudges"/>
        <w:rPr>
          <w:i/>
        </w:rPr>
      </w:pPr>
      <w:r>
        <w:tab/>
      </w:r>
      <w:proofErr w:type="spellStart"/>
      <w:r>
        <w:t>Síofra</w:t>
      </w:r>
      <w:proofErr w:type="spellEnd"/>
      <w:r>
        <w:t xml:space="preserve"> </w:t>
      </w:r>
      <w:proofErr w:type="spellStart"/>
      <w:r>
        <w:t>O’Leary</w:t>
      </w:r>
      <w:proofErr w:type="spellEnd"/>
      <w:r>
        <w:rPr>
          <w:i/>
        </w:rPr>
        <w:t>, președinte,</w:t>
      </w:r>
    </w:p>
    <w:p w14:paraId="187C5C59" w14:textId="77777777" w:rsidR="007C541D" w:rsidRPr="009E1878" w:rsidRDefault="007C541D" w:rsidP="009E1878">
      <w:pPr>
        <w:pStyle w:val="JuJudges"/>
        <w:rPr>
          <w:i/>
        </w:rPr>
      </w:pPr>
      <w:r>
        <w:tab/>
      </w:r>
      <w:proofErr w:type="spellStart"/>
      <w:r>
        <w:t>Stéphanie</w:t>
      </w:r>
      <w:proofErr w:type="spellEnd"/>
      <w:r>
        <w:t xml:space="preserve"> </w:t>
      </w:r>
      <w:proofErr w:type="spellStart"/>
      <w:r>
        <w:t>Mourou-Vikström</w:t>
      </w:r>
      <w:proofErr w:type="spellEnd"/>
      <w:r>
        <w:rPr>
          <w:i/>
        </w:rPr>
        <w:t>,</w:t>
      </w:r>
    </w:p>
    <w:p w14:paraId="75EF8C95" w14:textId="77777777" w:rsidR="007C541D" w:rsidRPr="009E1878" w:rsidRDefault="007C541D" w:rsidP="009E1878">
      <w:pPr>
        <w:pStyle w:val="JuJudges"/>
        <w:rPr>
          <w:i/>
        </w:rPr>
      </w:pPr>
      <w:r>
        <w:tab/>
      </w:r>
      <w:proofErr w:type="spellStart"/>
      <w:r>
        <w:t>Lətif</w:t>
      </w:r>
      <w:proofErr w:type="spellEnd"/>
      <w:r>
        <w:t xml:space="preserve"> </w:t>
      </w:r>
      <w:proofErr w:type="spellStart"/>
      <w:r>
        <w:t>Hüseynov</w:t>
      </w:r>
      <w:proofErr w:type="spellEnd"/>
      <w:r>
        <w:rPr>
          <w:i/>
        </w:rPr>
        <w:t>,</w:t>
      </w:r>
    </w:p>
    <w:p w14:paraId="01F1308F" w14:textId="77777777" w:rsidR="007C541D" w:rsidRPr="009E1878" w:rsidRDefault="007C541D" w:rsidP="009E1878">
      <w:pPr>
        <w:pStyle w:val="JuJudges"/>
        <w:rPr>
          <w:i/>
        </w:rPr>
      </w:pPr>
      <w:r>
        <w:tab/>
      </w:r>
      <w:proofErr w:type="spellStart"/>
      <w:r>
        <w:t>Lado</w:t>
      </w:r>
      <w:proofErr w:type="spellEnd"/>
      <w:r>
        <w:t xml:space="preserve"> </w:t>
      </w:r>
      <w:proofErr w:type="spellStart"/>
      <w:r>
        <w:t>Chanturia</w:t>
      </w:r>
      <w:proofErr w:type="spellEnd"/>
      <w:r>
        <w:rPr>
          <w:i/>
        </w:rPr>
        <w:t>,</w:t>
      </w:r>
    </w:p>
    <w:p w14:paraId="1CE09E51" w14:textId="77777777" w:rsidR="007C541D" w:rsidRPr="009E1878" w:rsidRDefault="007C541D" w:rsidP="009E1878">
      <w:pPr>
        <w:pStyle w:val="JuJudges"/>
        <w:rPr>
          <w:i/>
        </w:rPr>
      </w:pPr>
      <w:r>
        <w:tab/>
      </w:r>
      <w:proofErr w:type="spellStart"/>
      <w:r>
        <w:t>Arnfinn</w:t>
      </w:r>
      <w:proofErr w:type="spellEnd"/>
      <w:r>
        <w:t xml:space="preserve"> </w:t>
      </w:r>
      <w:proofErr w:type="spellStart"/>
      <w:r>
        <w:t>Bårdsen</w:t>
      </w:r>
      <w:proofErr w:type="spellEnd"/>
      <w:r>
        <w:rPr>
          <w:i/>
        </w:rPr>
        <w:t>,</w:t>
      </w:r>
    </w:p>
    <w:p w14:paraId="70263E06" w14:textId="77777777" w:rsidR="007C541D" w:rsidRPr="009E1878" w:rsidRDefault="007C541D" w:rsidP="009E1878">
      <w:pPr>
        <w:pStyle w:val="JuJudges"/>
        <w:rPr>
          <w:i/>
        </w:rPr>
      </w:pPr>
      <w:r>
        <w:tab/>
      </w:r>
      <w:proofErr w:type="spellStart"/>
      <w:r>
        <w:t>Mattias</w:t>
      </w:r>
      <w:proofErr w:type="spellEnd"/>
      <w:r>
        <w:t xml:space="preserve"> </w:t>
      </w:r>
      <w:proofErr w:type="spellStart"/>
      <w:r>
        <w:t>Guyomar</w:t>
      </w:r>
      <w:proofErr w:type="spellEnd"/>
      <w:r>
        <w:rPr>
          <w:i/>
        </w:rPr>
        <w:t>,</w:t>
      </w:r>
    </w:p>
    <w:p w14:paraId="062670A8" w14:textId="77777777" w:rsidR="007C541D" w:rsidRPr="009E1878" w:rsidRDefault="00731D45" w:rsidP="009E1878">
      <w:pPr>
        <w:pStyle w:val="JuJudges"/>
        <w:rPr>
          <w:i/>
        </w:rPr>
      </w:pPr>
      <w:r>
        <w:tab/>
      </w:r>
      <w:proofErr w:type="spellStart"/>
      <w:r>
        <w:t>Mi</w:t>
      </w:r>
      <w:r w:rsidR="007C541D">
        <w:t>kola</w:t>
      </w:r>
      <w:proofErr w:type="spellEnd"/>
      <w:r w:rsidR="007C541D">
        <w:t xml:space="preserve"> </w:t>
      </w:r>
      <w:proofErr w:type="spellStart"/>
      <w:r w:rsidR="007C541D">
        <w:t>Gnatovsk</w:t>
      </w:r>
      <w:r>
        <w:t>i</w:t>
      </w:r>
      <w:proofErr w:type="spellEnd"/>
      <w:r w:rsidR="007C541D">
        <w:rPr>
          <w:i/>
        </w:rPr>
        <w:t>, judecători,</w:t>
      </w:r>
    </w:p>
    <w:p w14:paraId="0BBC95E8" w14:textId="77777777" w:rsidR="00605A74" w:rsidRPr="009E1878" w:rsidRDefault="00605A74" w:rsidP="009E1878">
      <w:pPr>
        <w:pStyle w:val="JuPara"/>
        <w:ind w:firstLine="0"/>
        <w:rPr>
          <w:i/>
          <w:iCs/>
        </w:rPr>
      </w:pPr>
      <w:r>
        <w:t xml:space="preserve">și Victor </w:t>
      </w:r>
      <w:proofErr w:type="spellStart"/>
      <w:r>
        <w:t>Solove</w:t>
      </w:r>
      <w:r w:rsidR="00731D45">
        <w:t>i</w:t>
      </w:r>
      <w:r>
        <w:t>tchik</w:t>
      </w:r>
      <w:proofErr w:type="spellEnd"/>
      <w:r>
        <w:t xml:space="preserve">, </w:t>
      </w:r>
      <w:r>
        <w:rPr>
          <w:i/>
        </w:rPr>
        <w:t>grefier de secție,</w:t>
      </w:r>
    </w:p>
    <w:p w14:paraId="5CCF9396" w14:textId="77777777" w:rsidR="00605A74" w:rsidRPr="009E1878" w:rsidRDefault="00605A74" w:rsidP="009E1878">
      <w:pPr>
        <w:pStyle w:val="JuPara"/>
      </w:pPr>
      <w:r>
        <w:t>având în vedere:</w:t>
      </w:r>
    </w:p>
    <w:p w14:paraId="225DC513" w14:textId="77777777" w:rsidR="00605A74" w:rsidRPr="009E1878" w:rsidRDefault="00605A74" w:rsidP="009E1878">
      <w:pPr>
        <w:pStyle w:val="JuPara"/>
      </w:pPr>
      <w:r>
        <w:t xml:space="preserve">cererea (nr. 5084/18) îndreptată împotriva Ucrainei, prin care un resortisant al acestui stat, domnul Serghei </w:t>
      </w:r>
      <w:proofErr w:type="spellStart"/>
      <w:r>
        <w:t>Onisievici</w:t>
      </w:r>
      <w:proofErr w:type="spellEnd"/>
      <w:r>
        <w:t xml:space="preserve"> </w:t>
      </w:r>
      <w:proofErr w:type="spellStart"/>
      <w:r>
        <w:t>Kupinski</w:t>
      </w:r>
      <w:proofErr w:type="spellEnd"/>
      <w:r>
        <w:t xml:space="preserve"> („reclamantul”), a sesizat Curtea la 15 ianuarie 2018, în temeiul art. 34 din Convenția pentru apărarea drepturilor omului și a libertăților fundamentale („Convenția”);</w:t>
      </w:r>
    </w:p>
    <w:p w14:paraId="025E2CBE" w14:textId="77777777" w:rsidR="00605A74" w:rsidRPr="009E1878" w:rsidRDefault="00605A74" w:rsidP="009E1878">
      <w:pPr>
        <w:pStyle w:val="JuPara"/>
      </w:pPr>
      <w:r>
        <w:t>decizia de a comunica guvernului ucrainean („Guvernul”) capetele de cerere privind caracterul ireductibil al pedepsei detențiunii pe viață a reclamantului în temeiul art. 3 și 7 din Convenție și de a declara celelalte capete de cerere inadmisibile;</w:t>
      </w:r>
    </w:p>
    <w:p w14:paraId="71E72965" w14:textId="77777777" w:rsidR="00605A74" w:rsidRPr="009E1878" w:rsidRDefault="00605A74" w:rsidP="009E1878">
      <w:pPr>
        <w:pStyle w:val="JuPara"/>
      </w:pPr>
      <w:r>
        <w:t>observațiile părților;</w:t>
      </w:r>
      <w:r>
        <w:rPr>
          <w:rStyle w:val="JuITMark"/>
          <w:shd w:val="clear" w:color="auto" w:fill="auto"/>
        </w:rPr>
        <w:t>​</w:t>
      </w:r>
    </w:p>
    <w:p w14:paraId="4C2C069F" w14:textId="77777777" w:rsidR="00605A74" w:rsidRPr="009E1878" w:rsidRDefault="00605A74" w:rsidP="009E1878">
      <w:pPr>
        <w:pStyle w:val="JuPara"/>
      </w:pPr>
      <w:r>
        <w:t>după ce a deliberat în camera de consiliu, la 4 octombrie 2022,</w:t>
      </w:r>
    </w:p>
    <w:p w14:paraId="5006E724" w14:textId="77777777" w:rsidR="00605A74" w:rsidRPr="009E1878" w:rsidRDefault="00605A74" w:rsidP="009E1878">
      <w:pPr>
        <w:pStyle w:val="JuPara"/>
      </w:pPr>
      <w:r>
        <w:t>pronunță prezenta hotărâre, adoptată la aceeași dată:</w:t>
      </w:r>
    </w:p>
    <w:p w14:paraId="33DE20B4" w14:textId="77777777" w:rsidR="00605A74" w:rsidRPr="009E1878" w:rsidRDefault="00605A74" w:rsidP="009E1878">
      <w:pPr>
        <w:pStyle w:val="JuHHead"/>
        <w:numPr>
          <w:ilvl w:val="0"/>
          <w:numId w:val="0"/>
        </w:numPr>
      </w:pPr>
      <w:r>
        <w:t>INTRODUCERE</w:t>
      </w:r>
    </w:p>
    <w:p w14:paraId="6B995DF3" w14:textId="77777777" w:rsidR="00605A74" w:rsidRPr="009E1878" w:rsidRDefault="007B421F" w:rsidP="009E1878">
      <w:pPr>
        <w:pStyle w:val="JuPara"/>
      </w:pPr>
      <w:r>
        <w:fldChar w:fldCharType="begin"/>
      </w:r>
      <w:r>
        <w:instrText xml:space="preserve"> SEQ level0 \*arabic </w:instrText>
      </w:r>
      <w:r>
        <w:fldChar w:fldCharType="separate"/>
      </w:r>
      <w:r w:rsidR="009E1878" w:rsidRPr="009E1878">
        <w:t>1</w:t>
      </w:r>
      <w:r>
        <w:fldChar w:fldCharType="end"/>
      </w:r>
      <w:r w:rsidR="00605A74">
        <w:t xml:space="preserve">. Reclamantul s-a plâns că pedeapsa reductibilă a detențiunii pe viață, care i-a fost aplicată de instanțele maghiare, a fost schimbată de către instanțele ucrainene cu pedeapsa ireductibilă de </w:t>
      </w:r>
      <w:r w:rsidR="00605A74">
        <w:rPr>
          <w:i/>
        </w:rPr>
        <w:t>facto</w:t>
      </w:r>
      <w:r w:rsidR="00605A74">
        <w:t xml:space="preserve"> a detențiunii pe viață, cu încălcarea art. 7 din Convenție. Acesta s-a plâns, de asemenea, că pedeapsa ireductibilă a detențiunii pe viață, care i-a fost aplicată, era contrară art. 3 din Convenție.</w:t>
      </w:r>
    </w:p>
    <w:p w14:paraId="75B614D5" w14:textId="77777777" w:rsidR="00605A74" w:rsidRPr="009E1878" w:rsidRDefault="00605A74" w:rsidP="009E1878">
      <w:pPr>
        <w:pStyle w:val="JuHHead"/>
      </w:pPr>
      <w:r>
        <w:t>ÎN FAPT</w:t>
      </w:r>
    </w:p>
    <w:p w14:paraId="654A1C66" w14:textId="77777777" w:rsidR="00605A74" w:rsidRPr="009E1878" w:rsidRDefault="007B421F" w:rsidP="009E1878">
      <w:pPr>
        <w:pStyle w:val="JuPara"/>
        <w:rPr>
          <w:spacing w:val="-10"/>
        </w:rPr>
      </w:pPr>
      <w:r>
        <w:fldChar w:fldCharType="begin"/>
      </w:r>
      <w:r>
        <w:instrText xml:space="preserve"> SEQ level0 \*arabic </w:instrText>
      </w:r>
      <w:r>
        <w:fldChar w:fldCharType="separate"/>
      </w:r>
      <w:r w:rsidR="009E1878" w:rsidRPr="009E1878">
        <w:t>2</w:t>
      </w:r>
      <w:r>
        <w:fldChar w:fldCharType="end"/>
      </w:r>
      <w:r w:rsidR="00605A74">
        <w:t xml:space="preserve">. Reclamantul s-a născut în 1973 și, în prezent, execută pedeapsa detențiunii pe viață în Colonia Corecțională </w:t>
      </w:r>
      <w:proofErr w:type="spellStart"/>
      <w:r w:rsidR="00605A74">
        <w:t>Izeaslav</w:t>
      </w:r>
      <w:proofErr w:type="spellEnd"/>
      <w:r w:rsidR="00605A74">
        <w:t xml:space="preserve"> din Ucraina. Reclamantul a fost reprezentat de doamna O. O. </w:t>
      </w:r>
      <w:proofErr w:type="spellStart"/>
      <w:r w:rsidR="00605A74">
        <w:t>Proțenko</w:t>
      </w:r>
      <w:proofErr w:type="spellEnd"/>
      <w:r w:rsidR="00605A74">
        <w:t xml:space="preserve">, doamna A. G. </w:t>
      </w:r>
      <w:proofErr w:type="spellStart"/>
      <w:r w:rsidR="00605A74">
        <w:t>Kozmenko</w:t>
      </w:r>
      <w:proofErr w:type="spellEnd"/>
      <w:r w:rsidR="00605A74">
        <w:t xml:space="preserve">, doamna V. P. </w:t>
      </w:r>
      <w:proofErr w:type="spellStart"/>
      <w:r w:rsidR="00605A74">
        <w:t>Lebid</w:t>
      </w:r>
      <w:proofErr w:type="spellEnd"/>
      <w:r w:rsidR="00605A74">
        <w:t xml:space="preserve"> și domnul M. O. </w:t>
      </w:r>
      <w:proofErr w:type="spellStart"/>
      <w:r w:rsidR="00605A74">
        <w:t>Tarahkalo</w:t>
      </w:r>
      <w:proofErr w:type="spellEnd"/>
      <w:r w:rsidR="00605A74">
        <w:t>, avocați în Kiev, Ucraina.</w:t>
      </w:r>
    </w:p>
    <w:p w14:paraId="673059FB" w14:textId="77777777" w:rsidR="00605A74" w:rsidRPr="009E1878" w:rsidRDefault="007B421F" w:rsidP="009E1878">
      <w:pPr>
        <w:pStyle w:val="JuPara"/>
      </w:pPr>
      <w:r>
        <w:fldChar w:fldCharType="begin"/>
      </w:r>
      <w:r>
        <w:instrText xml:space="preserve"> SEQ level0 \*arabic </w:instrText>
      </w:r>
      <w:r>
        <w:fldChar w:fldCharType="separate"/>
      </w:r>
      <w:r w:rsidR="009E1878" w:rsidRPr="009E1878">
        <w:t>3</w:t>
      </w:r>
      <w:r>
        <w:fldChar w:fldCharType="end"/>
      </w:r>
      <w:r w:rsidR="00605A74">
        <w:t>. Guvernul a fost reprezentat de agentul guvernamental ad interim/în exercițiu, doamna O.V. </w:t>
      </w:r>
      <w:proofErr w:type="spellStart"/>
      <w:r w:rsidR="00605A74">
        <w:t>Davidciuc</w:t>
      </w:r>
      <w:proofErr w:type="spellEnd"/>
      <w:r w:rsidR="00605A74">
        <w:t>, din cadrul Ministerului Justiției.</w:t>
      </w:r>
    </w:p>
    <w:p w14:paraId="44F8E5B9" w14:textId="77777777" w:rsidR="00605A74" w:rsidRPr="009E1878" w:rsidRDefault="007B421F" w:rsidP="009E1878">
      <w:pPr>
        <w:pStyle w:val="JuPara"/>
      </w:pPr>
      <w:r>
        <w:fldChar w:fldCharType="begin"/>
      </w:r>
      <w:r>
        <w:instrText xml:space="preserve"> SEQ level0 \*arabic </w:instrText>
      </w:r>
      <w:r>
        <w:fldChar w:fldCharType="separate"/>
      </w:r>
      <w:r w:rsidR="009E1878" w:rsidRPr="009E1878">
        <w:t>4</w:t>
      </w:r>
      <w:r>
        <w:fldChar w:fldCharType="end"/>
      </w:r>
      <w:r w:rsidR="00605A74">
        <w:t>. Faptele cauzei pot fi rezumate după cum urmează.</w:t>
      </w:r>
    </w:p>
    <w:p w14:paraId="1B91C77F" w14:textId="77777777" w:rsidR="00605A74" w:rsidRPr="009E1878" w:rsidRDefault="007B421F" w:rsidP="009E1878">
      <w:pPr>
        <w:pStyle w:val="JuPara"/>
      </w:pPr>
      <w:r>
        <w:fldChar w:fldCharType="begin"/>
      </w:r>
      <w:r>
        <w:instrText xml:space="preserve"> SEQ level0 \*arabic </w:instrText>
      </w:r>
      <w:r>
        <w:fldChar w:fldCharType="separate"/>
      </w:r>
      <w:r w:rsidR="009E1878" w:rsidRPr="009E1878">
        <w:t>5</w:t>
      </w:r>
      <w:r>
        <w:fldChar w:fldCharType="end"/>
      </w:r>
      <w:r w:rsidR="00605A74">
        <w:t>. La 8 decembrie 1999, reclamantul a fost arestat în Ungaria sub suspiciunea de a fi săvârșit un dublu omor împreună cu domnul K.</w:t>
      </w:r>
    </w:p>
    <w:p w14:paraId="429F0C15" w14:textId="77777777" w:rsidR="00605A74" w:rsidRPr="009E1878" w:rsidRDefault="00731D45" w:rsidP="009E1878">
      <w:pPr>
        <w:pStyle w:val="JuPara"/>
      </w:pPr>
      <w:fldSimple w:instr=" SEQ level0 \*arabic \* MERGEFORMAT ">
        <w:r w:rsidR="009E1878" w:rsidRPr="009E1878">
          <w:rPr>
            <w:noProof/>
          </w:rPr>
          <w:t>6</w:t>
        </w:r>
      </w:fldSimple>
      <w:r w:rsidR="007048F8">
        <w:t xml:space="preserve">. La 21 martie 2002, Tribunalul districtual din </w:t>
      </w:r>
      <w:proofErr w:type="spellStart"/>
      <w:r w:rsidR="007048F8">
        <w:t>Békés</w:t>
      </w:r>
      <w:proofErr w:type="spellEnd"/>
      <w:r w:rsidR="007048F8">
        <w:t xml:space="preserve"> (Ungaria) a stabilit vinovăția reclamantului și a complicelui acestuia, K., pentru asociere </w:t>
      </w:r>
      <w:r w:rsidR="007048F8">
        <w:rPr>
          <w:rFonts w:asciiTheme="majorHAnsi" w:hAnsiTheme="majorHAnsi"/>
          <w:color w:val="000000"/>
        </w:rPr>
        <w:t>pentru săvârșirea unui dublu omor cu premeditare, în vederea obținerii de câștiguri personale</w:t>
      </w:r>
      <w:r w:rsidR="007048F8">
        <w:t>, infracțiunea fiind săvârșită la 11 noiembrie 1999. Reclamantul a fost condamnat la detențiune pe viață, cu posibilitatea liberării condiționate după executarea a 20 de ani de închisoare, și s-a dispus expulzarea sa.</w:t>
      </w:r>
    </w:p>
    <w:p w14:paraId="6A9F5D44" w14:textId="77777777" w:rsidR="00605A74" w:rsidRPr="009E1878" w:rsidRDefault="00731D45" w:rsidP="009E1878">
      <w:pPr>
        <w:pStyle w:val="JuPara"/>
      </w:pPr>
      <w:fldSimple w:instr=" SEQ level0 \*arabic \* MERGEFORMAT ">
        <w:r w:rsidR="009E1878" w:rsidRPr="009E1878">
          <w:rPr>
            <w:noProof/>
          </w:rPr>
          <w:t>7</w:t>
        </w:r>
      </w:fldSimple>
      <w:r w:rsidR="007048F8">
        <w:t>. La 21 august 2003, Curtea de Apel Szeged (Ungaria) a confirmat hotărârea din 21 martie 2002.</w:t>
      </w:r>
    </w:p>
    <w:p w14:paraId="7EC9D929" w14:textId="77777777" w:rsidR="00605A74" w:rsidRPr="009E1878" w:rsidRDefault="00731D45" w:rsidP="009E1878">
      <w:pPr>
        <w:pStyle w:val="JuPara"/>
      </w:pPr>
      <w:fldSimple w:instr=" SEQ level0 \*arabic \* MERGEFORMAT ">
        <w:r w:rsidR="009E1878" w:rsidRPr="009E1878">
          <w:rPr>
            <w:noProof/>
          </w:rPr>
          <w:t>8</w:t>
        </w:r>
      </w:fldSimple>
      <w:r w:rsidR="007048F8">
        <w:t>. La 6 mai 2004, Ministerul Justiției din Ungaria a inițiat procedura de transferare a reclamantului în Ucraina, țara sa de origine, pentru executarea pedepsei, în temeiul Convenției europene din 21 martie 1983 asupra transferării persoanelor condamnate („Convenția din 1983”). Această procedură, care necesita consimțământul reclamantului, a eșuat din cauza lipsei acestui consimțământ.</w:t>
      </w:r>
    </w:p>
    <w:p w14:paraId="209CE379" w14:textId="77777777" w:rsidR="00605A74" w:rsidRPr="009E1878" w:rsidRDefault="00731D45" w:rsidP="009E1878">
      <w:pPr>
        <w:pStyle w:val="JuPara"/>
      </w:pPr>
      <w:fldSimple w:instr=" SEQ level0 \*arabic \* MERGEFORMAT ">
        <w:r w:rsidR="009E1878" w:rsidRPr="009E1878">
          <w:rPr>
            <w:noProof/>
          </w:rPr>
          <w:t>9</w:t>
        </w:r>
      </w:fldSimple>
      <w:r w:rsidR="007048F8">
        <w:t xml:space="preserve">. La 23 ianuarie 2006, Ministerul Justiției din Ungaria a inițiat o altă procedură de transferare a reclamantului în Ucraina, în temeiul Protocolului adițional la Convenția europeană asupra transferării persoanelor condamnate din 1983. Această procedură nu necesita consimțământul persoanei care urma să fie transferată (infra, pct. </w:t>
      </w:r>
      <w:r w:rsidR="00605A74" w:rsidRPr="009E1878">
        <w:fldChar w:fldCharType="begin"/>
      </w:r>
      <w:r w:rsidR="00605A74" w:rsidRPr="009E1878">
        <w:instrText xml:space="preserve"> REF paragraph00034 \h  \* CharFormat </w:instrText>
      </w:r>
      <w:r w:rsidR="00605A74" w:rsidRPr="009E1878">
        <w:fldChar w:fldCharType="separate"/>
      </w:r>
      <w:r w:rsidR="009E1878" w:rsidRPr="009E1878">
        <w:t>34</w:t>
      </w:r>
      <w:r w:rsidR="00605A74" w:rsidRPr="009E1878">
        <w:fldChar w:fldCharType="end"/>
      </w:r>
      <w:r w:rsidR="007048F8">
        <w:t>).</w:t>
      </w:r>
    </w:p>
    <w:p w14:paraId="3DCF49E3" w14:textId="77777777" w:rsidR="00605A74" w:rsidRPr="009E1878" w:rsidRDefault="00731D45" w:rsidP="009E1878">
      <w:pPr>
        <w:pStyle w:val="JuPara"/>
      </w:pPr>
      <w:fldSimple w:instr=" SEQ level0 \*arabic \* MERGEFORMAT ">
        <w:bookmarkStart w:id="3" w:name="paragraph00010"/>
        <w:r w:rsidR="009E1878" w:rsidRPr="009E1878">
          <w:rPr>
            <w:noProof/>
          </w:rPr>
          <w:t>10</w:t>
        </w:r>
        <w:bookmarkEnd w:id="3"/>
      </w:fldSimple>
      <w:r w:rsidR="007048F8">
        <w:t>. La 8 mai 2007, reclamantul a fost transferat în Ucraina.</w:t>
      </w:r>
    </w:p>
    <w:p w14:paraId="54525464" w14:textId="77777777" w:rsidR="00605A74" w:rsidRPr="009E1878" w:rsidRDefault="00731D45" w:rsidP="009E1878">
      <w:pPr>
        <w:pStyle w:val="JuPara"/>
      </w:pPr>
      <w:fldSimple w:instr=" SEQ level0 \*arabic \* MERGEFORMAT ">
        <w:r w:rsidR="009E1878" w:rsidRPr="009E1878">
          <w:rPr>
            <w:noProof/>
          </w:rPr>
          <w:t>11</w:t>
        </w:r>
      </w:fldSimple>
      <w:r w:rsidR="007048F8">
        <w:t>. La 14 iunie 2007, cererea de executare a pedepsei reclamantului a fost trimisă Curții Supreme a Ucrainei.</w:t>
      </w:r>
    </w:p>
    <w:p w14:paraId="757C72BE" w14:textId="77777777" w:rsidR="00605A74" w:rsidRPr="009E1878" w:rsidRDefault="00731D45" w:rsidP="009E1878">
      <w:pPr>
        <w:pStyle w:val="JuPara"/>
      </w:pPr>
      <w:fldSimple w:instr=" SEQ level0 \*arabic \* MERGEFORMAT ">
        <w:bookmarkStart w:id="4" w:name="paragraph00012"/>
        <w:r w:rsidR="009E1878" w:rsidRPr="009E1878">
          <w:rPr>
            <w:noProof/>
          </w:rPr>
          <w:t>12</w:t>
        </w:r>
        <w:bookmarkEnd w:id="4"/>
      </w:fldSimple>
      <w:r w:rsidR="007048F8">
        <w:t xml:space="preserve">. La 26 septembrie 2007, Curtea de Apel Regională </w:t>
      </w:r>
      <w:proofErr w:type="spellStart"/>
      <w:r w:rsidR="007048F8">
        <w:t>Zakarpattia</w:t>
      </w:r>
      <w:proofErr w:type="spellEnd"/>
      <w:r w:rsidR="007048F8">
        <w:t xml:space="preserve"> a recunoscut pedeapsa aplicată reclamantului de instanțele maghiare. Instanța de apel a constatat că încadrarea faptelor săvârșite de reclamant corespundea pe deplin elementelor constitutive ale infracțiunii prevăzute la art. 93 din Codul penal din 1960 și că faptele erau sancționate cu pedeapsa cu moartea, o pedeapsă mai severă decât detențiunea pe viață. În plus, a reținut că, la momentul schimbării pedepsei reclamantului, era în vigoare noul Cod penal din 2001, iar art. 115 din acest cod prevedea detențiunea pe viață pentru aceeași infracțiune. Astfel, instanța a stabilit vinovăția reclamantului în temeiul art. 115 alin. (2) pct. 1, 6 și 12 din Codul penal din 2001, care prevedea detențiunea pe viață. De asemenea, a observat că, deși art. 115 alin. (2) pct. 6 prevedea pedeapsa complementară a confiscării bunurilor, o astfel de pedeapsă nu a fost impusă în cadrul sentinței inițiale. Prin urmare, nici instanța de apel nu i-a aplicat această pedeapsă reclamantului, astfel încât să nu îi agraveze situația. Pedeapsa finală impusă a fost, astfel, detențiunea pe viață fără confiscarea bunurilor și cu posibilitatea de a solicita liberarea condiționată după executarea a 20 de ani.</w:t>
      </w:r>
    </w:p>
    <w:p w14:paraId="424ACAE0" w14:textId="77777777" w:rsidR="00605A74" w:rsidRPr="009E1878" w:rsidRDefault="00731D45" w:rsidP="009E1878">
      <w:pPr>
        <w:pStyle w:val="JuPara"/>
      </w:pPr>
      <w:fldSimple w:instr=" SEQ level0 \*arabic \* MERGEFORMAT ">
        <w:bookmarkStart w:id="5" w:name="paragraph00013"/>
        <w:r w:rsidR="009E1878" w:rsidRPr="009E1878">
          <w:rPr>
            <w:noProof/>
          </w:rPr>
          <w:t>13</w:t>
        </w:r>
        <w:bookmarkEnd w:id="5"/>
      </w:fldSimple>
      <w:r w:rsidR="007048F8">
        <w:t>. La 20 decembrie 2007, Curtea Supremă a menținut, cu modificări minore, hotărârea din 26 septembrie 2007. Aceasta a confirmat că pedeapsa aplicată reclamantului era detențiunea pe viață fără confiscarea de bunuri și cu posibilitatea de a solicita liberarea condiționată după executarea a 20 de ani.</w:t>
      </w:r>
    </w:p>
    <w:p w14:paraId="4A55C3EC" w14:textId="77777777" w:rsidR="00605A74" w:rsidRPr="009E1878" w:rsidRDefault="00731D45" w:rsidP="009E1878">
      <w:pPr>
        <w:pStyle w:val="JuPara"/>
      </w:pPr>
      <w:fldSimple w:instr=" SEQ level0 \*arabic \* MERGEFORMAT ">
        <w:bookmarkStart w:id="6" w:name="paragraph00014"/>
        <w:r w:rsidR="009E1878" w:rsidRPr="009E1878">
          <w:rPr>
            <w:noProof/>
          </w:rPr>
          <w:t>14</w:t>
        </w:r>
        <w:bookmarkEnd w:id="6"/>
      </w:fldSimple>
      <w:r w:rsidR="007048F8">
        <w:t xml:space="preserve">. Prin hotărârea din 11 noiembrie 2016, Tribunalul districtual </w:t>
      </w:r>
      <w:proofErr w:type="spellStart"/>
      <w:r w:rsidR="007048F8">
        <w:t>Izeaslav</w:t>
      </w:r>
      <w:proofErr w:type="spellEnd"/>
      <w:r w:rsidR="007048F8">
        <w:t xml:space="preserve"> al regiunii </w:t>
      </w:r>
      <w:proofErr w:type="spellStart"/>
      <w:r w:rsidR="007048F8">
        <w:t>Hmelnîțki</w:t>
      </w:r>
      <w:proofErr w:type="spellEnd"/>
      <w:r w:rsidR="007048F8">
        <w:t xml:space="preserve"> (tribunalul districtual) a respins cererea reclamantului de liberare condiționată. Instanța a reținut că reclamantul își executa pedeapsa în conformitate cu legislația ucraineană, care nu prevedea liberarea condiționată a persoanelor condamnate la pedeapsa detențiunii pe viață.</w:t>
      </w:r>
    </w:p>
    <w:p w14:paraId="574A18B0" w14:textId="77777777" w:rsidR="00605A74" w:rsidRPr="009E1878" w:rsidRDefault="00731D45" w:rsidP="009E1878">
      <w:pPr>
        <w:pStyle w:val="JuPara"/>
      </w:pPr>
      <w:fldSimple w:instr=" SEQ level0 \*arabic \* MERGEFORMAT ">
        <w:r w:rsidR="009E1878" w:rsidRPr="009E1878">
          <w:rPr>
            <w:noProof/>
          </w:rPr>
          <w:t>15</w:t>
        </w:r>
      </w:fldSimple>
      <w:r w:rsidR="007048F8">
        <w:t xml:space="preserve">. La 17 ianuarie 2017, Curtea de Apel </w:t>
      </w:r>
      <w:proofErr w:type="spellStart"/>
      <w:r w:rsidR="007048F8">
        <w:t>Hmelnîțki</w:t>
      </w:r>
      <w:proofErr w:type="spellEnd"/>
      <w:r w:rsidR="007048F8">
        <w:t xml:space="preserve"> (curtea de apel) a admis parțial apelul declarat de reclamant împotriva hotărârii din 11 noiembrie 2016 pentru încălcări procedurale și a trimis cauza spre reexaminare în fața instanței de fond.</w:t>
      </w:r>
    </w:p>
    <w:p w14:paraId="50A1FD9D" w14:textId="77777777" w:rsidR="00605A74" w:rsidRPr="009E1878" w:rsidRDefault="00731D45" w:rsidP="009E1878">
      <w:pPr>
        <w:pStyle w:val="JuPara"/>
      </w:pPr>
      <w:fldSimple w:instr=" SEQ level0 \*arabic \* MERGEFORMAT ">
        <w:r w:rsidR="009E1878" w:rsidRPr="009E1878">
          <w:rPr>
            <w:noProof/>
          </w:rPr>
          <w:t>16</w:t>
        </w:r>
      </w:fldSimple>
      <w:r w:rsidR="007048F8">
        <w:t xml:space="preserve">. La 11 mai 2017, tribunalul districtual a respins cererea reclamantului de liberare condiționată. Pe lângă raționamentul său anterior (supra, pct. </w:t>
      </w:r>
      <w:r w:rsidR="00605A74" w:rsidRPr="009E1878">
        <w:fldChar w:fldCharType="begin"/>
      </w:r>
      <w:r w:rsidR="00605A74" w:rsidRPr="009E1878">
        <w:instrText xml:space="preserve"> REF paragraph00014 \h  \* CharFormat </w:instrText>
      </w:r>
      <w:r w:rsidR="00605A74" w:rsidRPr="009E1878">
        <w:fldChar w:fldCharType="separate"/>
      </w:r>
      <w:r w:rsidR="009E1878" w:rsidRPr="009E1878">
        <w:t>14</w:t>
      </w:r>
      <w:r w:rsidR="00605A74" w:rsidRPr="009E1878">
        <w:fldChar w:fldCharType="end"/>
      </w:r>
      <w:r w:rsidR="007048F8">
        <w:t>), instanța a subliniat că, potrivit informațiilor furnizate de oficialii închisorii, comportamentul reclamantului demonstra că nu se îndreptase și că, în dreptul intern, nu era prevăzută nicio procedură pentru liberarea sa condiționată.</w:t>
      </w:r>
    </w:p>
    <w:p w14:paraId="718B5C87" w14:textId="77777777" w:rsidR="00605A74" w:rsidRPr="009E1878" w:rsidRDefault="00731D45" w:rsidP="009E1878">
      <w:pPr>
        <w:pStyle w:val="JuPara"/>
      </w:pPr>
      <w:fldSimple w:instr=" SEQ level0 \*arabic \* MERGEFORMAT ">
        <w:bookmarkStart w:id="7" w:name="paragraph00017"/>
        <w:r w:rsidR="009E1878" w:rsidRPr="009E1878">
          <w:rPr>
            <w:noProof/>
          </w:rPr>
          <w:t>17</w:t>
        </w:r>
        <w:bookmarkEnd w:id="7"/>
      </w:fldSimple>
      <w:r w:rsidR="007048F8">
        <w:t>. La 17 iulie 2017, curtea de apel a confirmat decizia instanței de fond. A reținut, printre altele, că reclamantul considera că instanța de fond acționase contrar Convenției din 1983, care interzicea „agravarea pedepsei”. Curtea de apel nu a răspuns la acest argument, concentrându-se, în cadrul raționamentului său, pe faptul că reclamantul nu a demonstrat faptul că comportamentul său dovedea că se îndreptase.</w:t>
      </w:r>
    </w:p>
    <w:p w14:paraId="0A69A7D9" w14:textId="77777777" w:rsidR="00605A74" w:rsidRPr="009E1878" w:rsidRDefault="00731D45" w:rsidP="009E1878">
      <w:pPr>
        <w:pStyle w:val="JuPara"/>
      </w:pPr>
      <w:fldSimple w:instr=" SEQ level0 \*arabic \* MERGEFORMAT ">
        <w:bookmarkStart w:id="8" w:name="paragraph00018"/>
        <w:r w:rsidR="009E1878" w:rsidRPr="009E1878">
          <w:rPr>
            <w:noProof/>
          </w:rPr>
          <w:t>18</w:t>
        </w:r>
        <w:bookmarkEnd w:id="8"/>
      </w:fldSimple>
      <w:r w:rsidR="007048F8">
        <w:t>. La 14 mai 2018, tribunalul districtual a respins cererea reclamantului de liberare condiționată din aceleași motive menționate în hotărârea sa anterioară. La 26 iulie 2018, curtea de apel a confirmat decizia din 14 mai 2018, din lipsă de probe care să demonstreze că reclamantul se îndreptase.</w:t>
      </w:r>
    </w:p>
    <w:p w14:paraId="1258EC9A" w14:textId="77777777" w:rsidR="00605A74" w:rsidRPr="009E1878" w:rsidRDefault="00731D45" w:rsidP="009E1878">
      <w:pPr>
        <w:pStyle w:val="JuPara"/>
      </w:pPr>
      <w:fldSimple w:instr=" SEQ level0 \*arabic \* MERGEFORMAT ">
        <w:r w:rsidR="009E1878" w:rsidRPr="009E1878">
          <w:rPr>
            <w:noProof/>
          </w:rPr>
          <w:t>19</w:t>
        </w:r>
      </w:fldSimple>
      <w:r w:rsidR="007048F8">
        <w:t>. Prin hotărârile tribunalului districtual din 17 august 2016 și 26 iunie 2018, perioadele de arest preventiv executate de reclamant în Ungaria (8 decembrie 1999-21 august 2003) și, respectiv, în Ucraina (8 mai 2007-20 decembrie 2008) au fost recalculate ca două zile de închisoare pentru o zi de arest preventiv, în temeiul legislației în vigoare la momentul respectiv.</w:t>
      </w:r>
    </w:p>
    <w:p w14:paraId="78798F55" w14:textId="77777777" w:rsidR="00605A74" w:rsidRPr="009E1878" w:rsidRDefault="00731D45" w:rsidP="009E1878">
      <w:pPr>
        <w:pStyle w:val="JuPara"/>
      </w:pPr>
      <w:fldSimple w:instr=" SEQ level0 \*arabic \* MERGEFORMAT ">
        <w:r w:rsidR="009E1878" w:rsidRPr="009E1878">
          <w:rPr>
            <w:noProof/>
          </w:rPr>
          <w:t>20</w:t>
        </w:r>
      </w:fldSimple>
      <w:r w:rsidR="007048F8">
        <w:t>. La 8 februarie 2019, tribunalul districtual a examinat cererea reclamantului de punere în libertate, pe motiv că pedeapsa închisorii fusese executată. Instanța a respins cererea pe motiv că pedeapsa inițială impusă de instanțele maghiare nu a stabilit durata maximă a detenției reclamantului, ci a prevăzut posibilitatea ca acesta să solicite liberarea condiționată după executarea a 20 de ani de închisoare. Această decizie a fost confirmată de curtea de apel la 9 aprilie 2019.</w:t>
      </w:r>
    </w:p>
    <w:p w14:paraId="6A7CA357" w14:textId="77777777" w:rsidR="00605A74" w:rsidRPr="009E1878" w:rsidRDefault="00731D45" w:rsidP="009E1878">
      <w:pPr>
        <w:pStyle w:val="JuPara"/>
      </w:pPr>
      <w:fldSimple w:instr=" SEQ level0 \*arabic \* MERGEFORMAT ">
        <w:r w:rsidR="009E1878" w:rsidRPr="009E1878">
          <w:rPr>
            <w:noProof/>
          </w:rPr>
          <w:t>21</w:t>
        </w:r>
      </w:fldSimple>
      <w:r w:rsidR="007048F8">
        <w:t>. La 23 septembrie 2019, tribunalul districtual a refuzat să examineze o nouă cerere de punere în libertate formulată de reclamant, pe motiv că această cerere era identică celei examinate la 8 februarie 2019. Decizia instanței de fond a fost confirmată de curtea de apel la 19 noiembrie 2019.</w:t>
      </w:r>
    </w:p>
    <w:p w14:paraId="4A933D5C" w14:textId="77777777" w:rsidR="00605A74" w:rsidRPr="009E1878" w:rsidRDefault="00731D45" w:rsidP="009E1878">
      <w:pPr>
        <w:pStyle w:val="JuPara"/>
      </w:pPr>
      <w:fldSimple w:instr=" SEQ level0 \*arabic \* MERGEFORMAT ">
        <w:r w:rsidR="009E1878" w:rsidRPr="009E1878">
          <w:rPr>
            <w:noProof/>
          </w:rPr>
          <w:t>22</w:t>
        </w:r>
      </w:fldSimple>
      <w:r w:rsidR="007048F8">
        <w:t>. La 11 decembrie 2019, tribunalul districtual a refuzat, din nou, să examineze o nouă cerere de punere în libertate formulată de reclamant și, la 20 mai 2020, această hotărâre a fost menținută de curtea de apel.</w:t>
      </w:r>
    </w:p>
    <w:p w14:paraId="0DA5DCD3" w14:textId="77777777" w:rsidR="00605A74" w:rsidRPr="009E1878" w:rsidRDefault="00731D45" w:rsidP="009E1878">
      <w:pPr>
        <w:pStyle w:val="JuPara"/>
      </w:pPr>
      <w:fldSimple w:instr=" SEQ level0 \*arabic \* MERGEFORMAT ">
        <w:r w:rsidR="009E1878" w:rsidRPr="009E1878">
          <w:rPr>
            <w:noProof/>
          </w:rPr>
          <w:t>23</w:t>
        </w:r>
      </w:fldSimple>
      <w:r w:rsidR="007048F8">
        <w:t>. La 27 aprilie 2021, tribunalul districtual a respins cererea reclamantului de liberare condiționată sau de comutare a pedepsei rămase de executat. La 29 iulie 2021, curtea de apel a confirmat decizia instanței de fond, reiterând faptul că dreptul intern relevant nu prevedea liberarea condiționată sau comutarea pedepsei rămase de executat pentru persoanele condamnate la pedeapsa detențiunii pe viață.</w:t>
      </w:r>
    </w:p>
    <w:p w14:paraId="2F153B6F" w14:textId="77777777" w:rsidR="00605A74" w:rsidRPr="009E1878" w:rsidRDefault="00605A74" w:rsidP="009E1878">
      <w:pPr>
        <w:pStyle w:val="JuHHead"/>
      </w:pPr>
      <w:r>
        <w:t>CADRUL JURIDIC INTERN ȘI INTERNAȚIONAL RELEVANT</w:t>
      </w:r>
    </w:p>
    <w:p w14:paraId="5C95CE50" w14:textId="77777777" w:rsidR="00605A74" w:rsidRPr="009E1878" w:rsidRDefault="00605A74" w:rsidP="009E1878">
      <w:pPr>
        <w:pStyle w:val="JuHIRoman"/>
      </w:pPr>
      <w:r>
        <w:t>Legislația relevantă din Ungaria</w:t>
      </w:r>
    </w:p>
    <w:p w14:paraId="7A18CDB8" w14:textId="77777777" w:rsidR="00605A74" w:rsidRPr="009E1878" w:rsidRDefault="00605A74" w:rsidP="009E1878">
      <w:pPr>
        <w:pStyle w:val="JuPara"/>
        <w:rPr>
          <w:rFonts w:ascii="Arial" w:hAnsi="Arial" w:cs="Arial"/>
          <w:sz w:val="17"/>
          <w:szCs w:val="17"/>
        </w:rPr>
      </w:pPr>
      <w:r w:rsidRPr="009E1878">
        <w:rPr>
          <w:rFonts w:eastAsiaTheme="minorEastAsia"/>
        </w:rPr>
        <w:fldChar w:fldCharType="begin"/>
      </w:r>
      <w:r w:rsidRPr="009E1878">
        <w:rPr>
          <w:rFonts w:eastAsiaTheme="minorEastAsia"/>
        </w:rPr>
        <w:instrText xml:space="preserve"> SEQ level0 \*arabic \* MERGEFORMAT </w:instrText>
      </w:r>
      <w:r w:rsidRPr="009E1878">
        <w:rPr>
          <w:rFonts w:eastAsiaTheme="minorEastAsia"/>
        </w:rPr>
        <w:fldChar w:fldCharType="separate"/>
      </w:r>
      <w:bookmarkStart w:id="9" w:name="paragraph00024"/>
      <w:r w:rsidR="009E1878" w:rsidRPr="009E1878">
        <w:rPr>
          <w:rFonts w:eastAsiaTheme="minorEastAsia"/>
        </w:rPr>
        <w:t>24</w:t>
      </w:r>
      <w:bookmarkEnd w:id="9"/>
      <w:r w:rsidRPr="009E1878">
        <w:rPr>
          <w:rFonts w:eastAsiaTheme="minorEastAsia"/>
        </w:rPr>
        <w:fldChar w:fldCharType="end"/>
      </w:r>
      <w:r>
        <w:t>. Legea nr. IV din 1978 privind Codul penal (în vigoare de la 1 martie 1999 până la 30 iunie 2013, când a fost înlocuită de Legea nr. C din 2012 privind Codul penal) prevedea următoarele:</w:t>
      </w:r>
    </w:p>
    <w:p w14:paraId="2498F2F2" w14:textId="77777777" w:rsidR="00605A74" w:rsidRPr="009E1878" w:rsidRDefault="00605A74" w:rsidP="009E1878">
      <w:pPr>
        <w:pStyle w:val="JuHArticle"/>
      </w:pPr>
      <w:r>
        <w:t>Pedeapsa cu închisoarea</w:t>
      </w:r>
    </w:p>
    <w:p w14:paraId="1AAD055C" w14:textId="77777777" w:rsidR="00605A74" w:rsidRPr="009E1878" w:rsidRDefault="00605A74" w:rsidP="009E1878">
      <w:pPr>
        <w:pStyle w:val="JuHArticle"/>
        <w:rPr>
          <w:rFonts w:asciiTheme="majorHAnsi" w:eastAsiaTheme="minorEastAsia" w:hAnsiTheme="majorHAnsi" w:cstheme="majorHAnsi"/>
          <w:color w:val="000000"/>
        </w:rPr>
      </w:pPr>
      <w:r>
        <w:rPr>
          <w:rFonts w:asciiTheme="majorHAnsi" w:hAnsiTheme="majorHAnsi"/>
          <w:color w:val="000000"/>
        </w:rPr>
        <w:t>Articolul 40</w:t>
      </w:r>
    </w:p>
    <w:p w14:paraId="7AB34CEC" w14:textId="77777777" w:rsidR="00605A74" w:rsidRPr="009E1878" w:rsidRDefault="00605A74" w:rsidP="009E1878">
      <w:pPr>
        <w:pStyle w:val="JuQuot"/>
      </w:pPr>
      <w:r>
        <w:t>„1. Pedeapsa cu închisoarea constă în privarea de libertate pe viață sau pe durată determinată.</w:t>
      </w:r>
    </w:p>
    <w:p w14:paraId="4B9AE3E8" w14:textId="77777777" w:rsidR="00605A74" w:rsidRPr="009E1878" w:rsidRDefault="00605A74" w:rsidP="009E1878">
      <w:pPr>
        <w:pStyle w:val="JuQuot"/>
      </w:pPr>
      <w:r>
        <w:t>[...]</w:t>
      </w:r>
    </w:p>
    <w:p w14:paraId="102623F6" w14:textId="77777777" w:rsidR="00605A74" w:rsidRPr="009E1878" w:rsidRDefault="00605A74" w:rsidP="009E1878">
      <w:pPr>
        <w:pStyle w:val="JuHArticle"/>
      </w:pPr>
      <w:r>
        <w:t>Liberarea condiționată</w:t>
      </w:r>
    </w:p>
    <w:p w14:paraId="223E3E54" w14:textId="77777777" w:rsidR="00605A74" w:rsidRPr="009E1878" w:rsidRDefault="00605A74" w:rsidP="009E1878">
      <w:pPr>
        <w:pStyle w:val="JuHArticle"/>
        <w:rPr>
          <w:rFonts w:asciiTheme="majorHAnsi" w:eastAsiaTheme="minorEastAsia" w:hAnsiTheme="majorHAnsi" w:cstheme="majorHAnsi"/>
          <w:color w:val="000000"/>
        </w:rPr>
      </w:pPr>
      <w:r>
        <w:rPr>
          <w:rFonts w:asciiTheme="majorHAnsi" w:hAnsiTheme="majorHAnsi"/>
          <w:color w:val="000000"/>
        </w:rPr>
        <w:t>Articolul 47/A</w:t>
      </w:r>
    </w:p>
    <w:p w14:paraId="48E9EB91" w14:textId="77777777" w:rsidR="00605A74" w:rsidRPr="009E1878" w:rsidRDefault="00605A74" w:rsidP="009E1878">
      <w:pPr>
        <w:pStyle w:val="JuQuot"/>
        <w:rPr>
          <w:sz w:val="17"/>
          <w:szCs w:val="17"/>
        </w:rPr>
      </w:pPr>
      <w:r>
        <w:t>„1. În cazul în care se aplică pedeapsa detențiunii pe viață, instanța stabilește în cadrul hotărârii data cea mai timpurie la care persoana în cauză poate beneficia de acordarea liberării condiționate sau exclude beneficiul de acordare a liberării condiționate.</w:t>
      </w:r>
    </w:p>
    <w:p w14:paraId="50FEE55A" w14:textId="77777777" w:rsidR="00605A74" w:rsidRPr="009E1878" w:rsidRDefault="00605A74" w:rsidP="009E1878">
      <w:pPr>
        <w:pStyle w:val="JuQuot"/>
      </w:pPr>
      <w:r>
        <w:t>2. În cazul în care nu este exclus beneficiul de acordare a liberării condiționate, data cea mai timpurie la care este posibilă liberarea condiționată este după executarea unei pedepse de 20 de ani sau după o perioadă de cel puțin 30 de ani, în cazul în care pedeapsa detențiunii pe viață a fost aplicată pentru o infracțiune imprescriptibilă.</w:t>
      </w:r>
    </w:p>
    <w:p w14:paraId="5DB19911" w14:textId="77777777" w:rsidR="00605A74" w:rsidRPr="009E1878" w:rsidRDefault="00731D45" w:rsidP="009E1878">
      <w:pPr>
        <w:pStyle w:val="JuPara"/>
      </w:pPr>
      <w:fldSimple w:instr=" SEQ level0 \*arabic \* MERGEFORMAT ">
        <w:bookmarkStart w:id="10" w:name="paragraph00025"/>
        <w:r w:rsidR="009E1878" w:rsidRPr="009E1878">
          <w:rPr>
            <w:noProof/>
          </w:rPr>
          <w:t>25</w:t>
        </w:r>
        <w:bookmarkEnd w:id="10"/>
      </w:fldSimple>
      <w:r w:rsidR="007048F8">
        <w:t>. Părțile relevante din Legea nr. C din 2012 privind Codul penal (în vigoare de la 1 iulie 2013) se citesc după cum urmează:</w:t>
      </w:r>
    </w:p>
    <w:p w14:paraId="014A062F" w14:textId="77777777" w:rsidR="00605A74" w:rsidRPr="009E1878" w:rsidRDefault="00605A74" w:rsidP="009E1878">
      <w:pPr>
        <w:pStyle w:val="JuHArticle"/>
      </w:pPr>
      <w:r>
        <w:t>Pedeapsa cu închisoarea</w:t>
      </w:r>
    </w:p>
    <w:p w14:paraId="0FDBE6DC" w14:textId="77777777" w:rsidR="00605A74" w:rsidRPr="009E1878" w:rsidRDefault="00605A74" w:rsidP="009E1878">
      <w:pPr>
        <w:pStyle w:val="JuHArticle"/>
      </w:pPr>
      <w:r>
        <w:t>Articolul 34</w:t>
      </w:r>
    </w:p>
    <w:p w14:paraId="023438BB" w14:textId="77777777" w:rsidR="00605A74" w:rsidRPr="009E1878" w:rsidRDefault="00605A74" w:rsidP="009E1878">
      <w:pPr>
        <w:pStyle w:val="JuQuot"/>
      </w:pPr>
      <w:r>
        <w:t>„Pedeapsa cu închisoarea poate consta în privarea de libertate pe durată determinată sau detențiunea pe viață.”</w:t>
      </w:r>
    </w:p>
    <w:p w14:paraId="2870FC65" w14:textId="77777777" w:rsidR="00605A74" w:rsidRPr="009E1878" w:rsidRDefault="00605A74" w:rsidP="009E1878">
      <w:pPr>
        <w:pStyle w:val="JuHArticle"/>
      </w:pPr>
      <w:r>
        <w:t>Liberarea condiționată în cazul pedepsei detențiunii pe viață</w:t>
      </w:r>
    </w:p>
    <w:p w14:paraId="118F6F19" w14:textId="77777777" w:rsidR="00605A74" w:rsidRPr="009E1878" w:rsidRDefault="00605A74" w:rsidP="009E1878">
      <w:pPr>
        <w:pStyle w:val="JuHArticle"/>
      </w:pPr>
      <w:r>
        <w:t>Articolul 42</w:t>
      </w:r>
    </w:p>
    <w:p w14:paraId="46A5CDFD" w14:textId="77777777" w:rsidR="00605A74" w:rsidRPr="009E1878" w:rsidRDefault="00605A74" w:rsidP="009E1878">
      <w:pPr>
        <w:pStyle w:val="JuQuot"/>
      </w:pPr>
      <w:r>
        <w:t>„În cazul în care se aplică pedeapsa detențiunii pe viață, instanța menționează data cea mai timpurie la care persoana în cauză este eligibilă pentru acordarea liberării condiționate sau exclude total eligibilitatea pentru acordarea liberării condiționate.”</w:t>
      </w:r>
    </w:p>
    <w:p w14:paraId="61DC3212" w14:textId="77777777" w:rsidR="00605A74" w:rsidRPr="009E1878" w:rsidRDefault="00605A74" w:rsidP="009E1878">
      <w:pPr>
        <w:pStyle w:val="JuHIRoman"/>
      </w:pPr>
      <w:r>
        <w:t>Dreptul și practica relevante din Ucraina</w:t>
      </w:r>
    </w:p>
    <w:p w14:paraId="5779C5E3" w14:textId="77777777" w:rsidR="00605A74" w:rsidRPr="009E1878" w:rsidRDefault="00605A74" w:rsidP="009E1878">
      <w:pPr>
        <w:pStyle w:val="JuHA"/>
      </w:pPr>
      <w:r>
        <w:t>Codul penal din 1960</w:t>
      </w:r>
    </w:p>
    <w:p w14:paraId="75A97E23" w14:textId="77777777" w:rsidR="00605A74" w:rsidRPr="009E1878" w:rsidRDefault="007B421F" w:rsidP="009E1878">
      <w:pPr>
        <w:pStyle w:val="JuPara"/>
      </w:pPr>
      <w:r>
        <w:fldChar w:fldCharType="begin"/>
      </w:r>
      <w:r>
        <w:instrText xml:space="preserve"> SEQ level0 \*arabic </w:instrText>
      </w:r>
      <w:r>
        <w:fldChar w:fldCharType="separate"/>
      </w:r>
      <w:r w:rsidR="009E1878" w:rsidRPr="009E1878">
        <w:t>26</w:t>
      </w:r>
      <w:r>
        <w:fldChar w:fldCharType="end"/>
      </w:r>
      <w:r w:rsidR="00605A74">
        <w:t>. Dispozițiile relevante ale Codului (astfel cum erau redactate înainte de 29 decembrie 1999) prevedeau următoarele:</w:t>
      </w:r>
    </w:p>
    <w:p w14:paraId="0258FB68" w14:textId="77777777" w:rsidR="00605A74" w:rsidRPr="009E1878" w:rsidRDefault="00605A74" w:rsidP="009E1878">
      <w:pPr>
        <w:pStyle w:val="JuHArticle"/>
      </w:pPr>
      <w:r>
        <w:t>Articolul 93 – Omorul deosebit de grav</w:t>
      </w:r>
    </w:p>
    <w:p w14:paraId="2AB16D78" w14:textId="77777777" w:rsidR="00605A74" w:rsidRPr="009E1878" w:rsidRDefault="00605A74" w:rsidP="009E1878">
      <w:pPr>
        <w:pStyle w:val="JuQuot"/>
      </w:pPr>
      <w:r>
        <w:t>„Omorul comis: a) pentru a obține un câștig [...] d) asupra a două sau mai multe persoane [...] j) cu premeditare, de către un grup de persoane sau de către un grup organizat</w:t>
      </w:r>
    </w:p>
    <w:p w14:paraId="73C16045" w14:textId="77777777" w:rsidR="00605A74" w:rsidRPr="009E1878" w:rsidRDefault="00605A74" w:rsidP="009E1878">
      <w:pPr>
        <w:pStyle w:val="JuQuot"/>
      </w:pPr>
      <w:r>
        <w:t>se pedepsește cu închisoare de la 8 la 15 ani sau cu pedeapsa cu moartea și, în cazurile prevăzute la litera a), cu confiscarea bunurilor.”</w:t>
      </w:r>
    </w:p>
    <w:p w14:paraId="5C973971" w14:textId="77777777" w:rsidR="00605A74" w:rsidRPr="009E1878" w:rsidRDefault="007B421F" w:rsidP="009E1878">
      <w:pPr>
        <w:pStyle w:val="JuPara"/>
      </w:pPr>
      <w:r>
        <w:fldChar w:fldCharType="begin"/>
      </w:r>
      <w:r>
        <w:instrText xml:space="preserve"> SEQ level0 \*arabic </w:instrText>
      </w:r>
      <w:r>
        <w:fldChar w:fldCharType="separate"/>
      </w:r>
      <w:r w:rsidR="009E1878" w:rsidRPr="009E1878">
        <w:t>27</w:t>
      </w:r>
      <w:r>
        <w:fldChar w:fldCharType="end"/>
      </w:r>
      <w:r w:rsidR="00605A74">
        <w:t xml:space="preserve">. Prin decizia din 29 decembrie 1999, Curtea Constituțională a Ucrainei a abolit pedeapsa cu moartea, iar Parlamentul a adoptat Legea nr. 1483 din 22 februarie 2000 de modificare a Codului penal; pedeapsa cu moartea, ca pedeapsă prevăzută pentru unele infracțiuni, a fost înlocuită cu pedeapsa detențiunii pe viață. Modificările au intrat în vigoare la 29 martie 2000 (a se vedea, pentru mai multe detalii, </w:t>
      </w:r>
      <w:proofErr w:type="spellStart"/>
      <w:r w:rsidR="00605A74">
        <w:rPr>
          <w:i/>
          <w:iCs/>
        </w:rPr>
        <w:t>Ruban</w:t>
      </w:r>
      <w:proofErr w:type="spellEnd"/>
      <w:r w:rsidR="00605A74">
        <w:rPr>
          <w:i/>
          <w:iCs/>
        </w:rPr>
        <w:t xml:space="preserve"> împotriva Ucrainei</w:t>
      </w:r>
      <w:r w:rsidR="00605A74">
        <w:t>, nr. 8927/11, pct. 20-22, 12 iulie 2016).</w:t>
      </w:r>
    </w:p>
    <w:p w14:paraId="30837FFD" w14:textId="77777777" w:rsidR="00605A74" w:rsidRPr="009E1878" w:rsidRDefault="00605A74" w:rsidP="009E1878">
      <w:pPr>
        <w:pStyle w:val="JuHA"/>
      </w:pPr>
      <w:r>
        <w:t>Codul penal din 2001</w:t>
      </w:r>
    </w:p>
    <w:p w14:paraId="3FD1E1E1" w14:textId="77777777" w:rsidR="00605A74" w:rsidRPr="009E1878" w:rsidRDefault="00731D45" w:rsidP="009E1878">
      <w:pPr>
        <w:pStyle w:val="JuPara"/>
      </w:pPr>
      <w:fldSimple w:instr=" SEQ level0 \*arabic \* MERGEFORMAT ">
        <w:bookmarkStart w:id="11" w:name="paragraph00028"/>
        <w:r w:rsidR="009E1878" w:rsidRPr="009E1878">
          <w:rPr>
            <w:noProof/>
          </w:rPr>
          <w:t>28</w:t>
        </w:r>
        <w:bookmarkEnd w:id="11"/>
      </w:fldSimple>
      <w:r w:rsidR="007048F8">
        <w:t>. La 5 aprilie 2001, Parlamentul a adoptat un nou Cod penal, care a intrat în vigoare la 1 septembrie 2001. Dispozițiile relevante din cod, astfel cum au fost redactate inițial, aveau următorul cuprins:</w:t>
      </w:r>
    </w:p>
    <w:p w14:paraId="71D34DD3" w14:textId="77777777" w:rsidR="00605A74" w:rsidRPr="009E1878" w:rsidRDefault="00605A74" w:rsidP="009E1878">
      <w:pPr>
        <w:pStyle w:val="JuHArticle"/>
      </w:pPr>
      <w:r>
        <w:t>Articolul 5</w:t>
      </w:r>
    </w:p>
    <w:p w14:paraId="525D96BB" w14:textId="77777777" w:rsidR="00605A74" w:rsidRPr="009E1878" w:rsidRDefault="00605A74" w:rsidP="009E1878">
      <w:pPr>
        <w:pStyle w:val="JuHArticle"/>
      </w:pPr>
      <w:r>
        <w:t>Efectul retroactiv al legii în ceea ce privește răspunderea penală</w:t>
      </w:r>
    </w:p>
    <w:p w14:paraId="6B6C602B" w14:textId="77777777" w:rsidR="00605A74" w:rsidRPr="009E1878" w:rsidRDefault="00605A74" w:rsidP="009E1878">
      <w:pPr>
        <w:pStyle w:val="JuQuot"/>
      </w:pPr>
      <w:r>
        <w:t>„1. O lege privind răspunderea penală, care dezincriminează o faptă, atenuează răspunderea penală sau îmbunătățește în orice mod situația unei persoane are efect retroactiv; aceasta se aplică persoanelor care au comis fapta relevantă înainte de intrarea în vigoare a unei astfel de legi, inclusiv persoanelor care se află în executarea pedepsei sau celor care și-au încheiat executarea pedepsei, dar au cazier judiciar [...]”</w:t>
      </w:r>
    </w:p>
    <w:p w14:paraId="37B24277" w14:textId="77777777" w:rsidR="00605A74" w:rsidRPr="009E1878" w:rsidRDefault="00605A74" w:rsidP="009E1878">
      <w:pPr>
        <w:pStyle w:val="JuHArticle"/>
      </w:pPr>
      <w:r>
        <w:t>Articolul 81</w:t>
      </w:r>
    </w:p>
    <w:p w14:paraId="4CAC97FC" w14:textId="77777777" w:rsidR="00605A74" w:rsidRPr="009E1878" w:rsidRDefault="00605A74" w:rsidP="009E1878">
      <w:pPr>
        <w:pStyle w:val="JuHArticle"/>
      </w:pPr>
      <w:r>
        <w:t>Liberarea condiționată</w:t>
      </w:r>
    </w:p>
    <w:p w14:paraId="144F86B3" w14:textId="77777777" w:rsidR="00605A74" w:rsidRPr="009E1878" w:rsidRDefault="00605A74" w:rsidP="009E1878">
      <w:pPr>
        <w:pStyle w:val="JuQuot"/>
      </w:pPr>
      <w:r>
        <w:t>„1. Liberarea condiționată poate fi aplicată persoanelor condamnate la muncă corecțională, restrângeri legate de obligațiile de serviciu, în cazul ofițerilor militari, restrângerea libertății, privarea de libertate într-un batalion penal, în cazul ofițerilor militari, sau pedeapsa închisorii [pe durată determinată] [...]</w:t>
      </w:r>
    </w:p>
    <w:p w14:paraId="49EF46EF" w14:textId="77777777" w:rsidR="00605A74" w:rsidRPr="009E1878" w:rsidRDefault="00605A74" w:rsidP="009E1878">
      <w:pPr>
        <w:pStyle w:val="JuQuot"/>
      </w:pPr>
      <w:r>
        <w:lastRenderedPageBreak/>
        <w:t>2. Liberarea condiționată se aplică în cazul în care persoana condamnată dă dovadă de un comportament decent și diligență în munca depusă pentru a se îndrepta [...]”</w:t>
      </w:r>
    </w:p>
    <w:p w14:paraId="7B812AB8" w14:textId="77777777" w:rsidR="00605A74" w:rsidRPr="009E1878" w:rsidRDefault="00605A74" w:rsidP="009E1878">
      <w:pPr>
        <w:pStyle w:val="JuHArticle"/>
      </w:pPr>
      <w:r>
        <w:t>Articolul 115</w:t>
      </w:r>
    </w:p>
    <w:p w14:paraId="2550C444" w14:textId="77777777" w:rsidR="00605A74" w:rsidRPr="009E1878" w:rsidRDefault="00605A74" w:rsidP="009E1878">
      <w:pPr>
        <w:pStyle w:val="JuHArticle"/>
      </w:pPr>
      <w:r>
        <w:t>Omorul</w:t>
      </w:r>
    </w:p>
    <w:p w14:paraId="26861C14" w14:textId="77777777" w:rsidR="00605A74" w:rsidRPr="009E1878" w:rsidRDefault="00605A74" w:rsidP="009E1878">
      <w:pPr>
        <w:pStyle w:val="JuQuot"/>
      </w:pPr>
      <w:r>
        <w:t>„1. Omorul – și anume cauzarea în mod ilegal și intenționat a morții unei alte persoane – se pedepsește cu închisoare de la șapte la cincisprezece ani.</w:t>
      </w:r>
    </w:p>
    <w:p w14:paraId="01EFE7A9" w14:textId="77777777" w:rsidR="00605A74" w:rsidRPr="009E1878" w:rsidRDefault="00605A74" w:rsidP="009E1878">
      <w:pPr>
        <w:pStyle w:val="JuQuot"/>
      </w:pPr>
      <w:r>
        <w:t>2. Omorul [...] (1) săvârșit asupra a două sau mai multe persoane; [...] (6) săvârșit în vederea obținerii de câștiguri personale; [...] (12) săvârșit de un grup de persoane în urma unei conspirații prealabile; [...] se pedepsește cu închisoare de la zece la cincisprezece ani sau cu detențiune pe viață, cu confiscarea bunurilor, în [oricare din situațiile] prevăzute la pct. 6 al alin. (2) din prezentul articol.”</w:t>
      </w:r>
    </w:p>
    <w:p w14:paraId="6B97014E" w14:textId="77777777" w:rsidR="00605A74" w:rsidRPr="009E1878" w:rsidRDefault="00605A74" w:rsidP="009E1878">
      <w:pPr>
        <w:pStyle w:val="JuHA"/>
      </w:pPr>
      <w:r>
        <w:t>Codul de procedură penală din 1960</w:t>
      </w:r>
    </w:p>
    <w:p w14:paraId="1B19EF0C" w14:textId="77777777" w:rsidR="00605A74" w:rsidRPr="009E1878" w:rsidRDefault="00731D45" w:rsidP="009E1878">
      <w:pPr>
        <w:pStyle w:val="JuPara"/>
      </w:pPr>
      <w:fldSimple w:instr=" SEQ level0 \*arabic \* MERGEFORMAT ">
        <w:r w:rsidR="009E1878" w:rsidRPr="009E1878">
          <w:rPr>
            <w:noProof/>
          </w:rPr>
          <w:t>29</w:t>
        </w:r>
      </w:fldSimple>
      <w:r w:rsidR="007048F8">
        <w:t>. Codul din 1960, care era în vigoare la momentul transferării reclamantului, nu prevedea nicio procedură specifică în ceea ce privește executarea pedepselor pronunțate în alte state. Acesta conținea, la art. 31, o dispoziție generală privind cooperarea internațională, care avea următorul cuprins:</w:t>
      </w:r>
    </w:p>
    <w:p w14:paraId="4CF46485" w14:textId="77777777" w:rsidR="00605A74" w:rsidRPr="009E1878" w:rsidRDefault="00605A74" w:rsidP="009E1878">
      <w:pPr>
        <w:pStyle w:val="JuQuot"/>
      </w:pPr>
      <w:r>
        <w:t>„Procedura de comunicare între instanțe, procurori, anchetatori și organele de anchetă și instituțiile relevante ale statelor străine, precum și procedura de îndeplinire a comisiilor rogatorii, se stabilesc în legislația Ucrainei și tratatele internaționale la care Ucraina este parte.”</w:t>
      </w:r>
    </w:p>
    <w:p w14:paraId="56C10EE4" w14:textId="77777777" w:rsidR="00605A74" w:rsidRPr="009E1878" w:rsidRDefault="00605A74" w:rsidP="009E1878">
      <w:pPr>
        <w:pStyle w:val="JuHA"/>
      </w:pPr>
      <w:r>
        <w:t>Codul de procedură penală din 2012</w:t>
      </w:r>
    </w:p>
    <w:p w14:paraId="47653318" w14:textId="77777777" w:rsidR="00605A74" w:rsidRPr="009E1878" w:rsidRDefault="00731D45" w:rsidP="009E1878">
      <w:pPr>
        <w:pStyle w:val="JuPara"/>
      </w:pPr>
      <w:fldSimple w:instr=" SEQ level0 \*arabic \* MERGEFORMAT ">
        <w:r w:rsidR="009E1878" w:rsidRPr="009E1878">
          <w:rPr>
            <w:noProof/>
          </w:rPr>
          <w:t>30</w:t>
        </w:r>
      </w:fldSimple>
      <w:r w:rsidR="007048F8">
        <w:t>. Codul din 2012 conținea un capitol separat privind asistența judiciară internațională, care prevedea, printre altele:</w:t>
      </w:r>
    </w:p>
    <w:p w14:paraId="1065F9A3" w14:textId="77777777" w:rsidR="00605A74" w:rsidRPr="009E1878" w:rsidRDefault="00605A74" w:rsidP="009E1878">
      <w:pPr>
        <w:pStyle w:val="JuHArticle"/>
        <w:rPr>
          <w:rFonts w:eastAsia="Times New Roman"/>
        </w:rPr>
      </w:pPr>
      <w:r>
        <w:t>Articolul 611</w:t>
      </w:r>
    </w:p>
    <w:p w14:paraId="3326947E" w14:textId="77777777" w:rsidR="00605A74" w:rsidRPr="009E1878" w:rsidRDefault="00605A74" w:rsidP="009E1878">
      <w:pPr>
        <w:pStyle w:val="JuHArticle"/>
        <w:rPr>
          <w:rFonts w:eastAsia="Times New Roman"/>
        </w:rPr>
      </w:pPr>
      <w:r>
        <w:t>Condițiile executării pedepsei aplicate unei persoane condamnate care a făcut obiectul unui transfer</w:t>
      </w:r>
    </w:p>
    <w:p w14:paraId="6A1B7B0A" w14:textId="77777777" w:rsidR="00605A74" w:rsidRPr="009E1878" w:rsidRDefault="00605A74" w:rsidP="009E1878">
      <w:pPr>
        <w:pStyle w:val="JuQuot"/>
        <w:rPr>
          <w:rFonts w:eastAsia="Times New Roman"/>
        </w:rPr>
      </w:pPr>
      <w:r>
        <w:t>„[...] 2. Pedeapsa aplicată unei persoane care a făcut obiectul unui transfer, condamnată de o instanță a unui stat străin, se execută în Ucraina în conformitate cu legislația Ucrainei care reglementează executarea pedepselor penale. Consecințele juridice pentru condamnatul transferat în Ucraina, în ceea ce privește executarea pedepsei sale, sunt aceleași ca și pentru persoanele condamnate în Ucraina pentru săvârșirea unei infracțiuni similare.</w:t>
      </w:r>
    </w:p>
    <w:p w14:paraId="3B4C2399" w14:textId="77777777" w:rsidR="00605A74" w:rsidRPr="009E1878" w:rsidRDefault="00605A74" w:rsidP="009E1878">
      <w:pPr>
        <w:pStyle w:val="JuQuot"/>
        <w:rPr>
          <w:rFonts w:eastAsia="Times New Roman"/>
        </w:rPr>
      </w:pPr>
      <w:r>
        <w:t>3. O persoană transferată în Ucraina pentru continuarea executării pedepsei sale poate face obiectul liberării condiționate, amnistiei sau grațierii în conformitate cu procedura stabilită de legislație [...]”</w:t>
      </w:r>
    </w:p>
    <w:p w14:paraId="72FE6CCF" w14:textId="77777777" w:rsidR="00605A74" w:rsidRPr="009E1878" w:rsidRDefault="00605A74" w:rsidP="009E1878">
      <w:pPr>
        <w:pStyle w:val="JuHA"/>
      </w:pPr>
      <w:r>
        <w:t>Decizia din 16 septembrie 2021 a Curții Constituționale a Ucrainei cu privire la revizuirea sentinței unei persoane condamnate la detențiune pe viață</w:t>
      </w:r>
    </w:p>
    <w:p w14:paraId="25A1454D" w14:textId="77777777" w:rsidR="00605A74" w:rsidRPr="009E1878" w:rsidRDefault="00731D45" w:rsidP="009E1878">
      <w:pPr>
        <w:pStyle w:val="JuPara"/>
      </w:pPr>
      <w:fldSimple w:instr=" SEQ level0 \*arabic \* MERGEFORMAT ">
        <w:bookmarkStart w:id="12" w:name="paragraph00031"/>
        <w:r w:rsidR="009E1878" w:rsidRPr="009E1878">
          <w:rPr>
            <w:noProof/>
          </w:rPr>
          <w:t>31</w:t>
        </w:r>
        <w:bookmarkEnd w:id="12"/>
      </w:fldSimple>
      <w:r w:rsidR="007048F8">
        <w:t xml:space="preserve">. Făcând referire, printre altele, la jurisprudența Curții, Curtea Constituțională a declarat că art. 81 alin. (1) din Codul penal (supra, pct. </w:t>
      </w:r>
      <w:r w:rsidR="00605A74" w:rsidRPr="009E1878">
        <w:fldChar w:fldCharType="begin"/>
      </w:r>
      <w:r w:rsidR="00605A74" w:rsidRPr="009E1878">
        <w:instrText xml:space="preserve"> REF paragraph00028 \h  \* CharFormat </w:instrText>
      </w:r>
      <w:r w:rsidR="00605A74" w:rsidRPr="009E1878">
        <w:fldChar w:fldCharType="separate"/>
      </w:r>
      <w:r w:rsidR="009E1878" w:rsidRPr="009E1878">
        <w:t>28</w:t>
      </w:r>
      <w:r w:rsidR="00605A74" w:rsidRPr="009E1878">
        <w:fldChar w:fldCharType="end"/>
      </w:r>
      <w:r w:rsidR="007048F8">
        <w:t>) este neconstituțional, în măsura în care nu permitea aplicarea acestuia în cazul persoanelor condamnate la detențiune pe viață.</w:t>
      </w:r>
    </w:p>
    <w:p w14:paraId="36EC5771" w14:textId="77777777" w:rsidR="00605A74" w:rsidRPr="009E1878" w:rsidRDefault="00605A74" w:rsidP="009E1878">
      <w:pPr>
        <w:pStyle w:val="JuHA"/>
      </w:pPr>
      <w:r>
        <w:t>Decizia Marii Camere a Curții Supreme a Ucrainei din 8 iulie 2020 în cauza nr. 1-42/2004</w:t>
      </w:r>
    </w:p>
    <w:p w14:paraId="23E353EF" w14:textId="77777777" w:rsidR="00605A74" w:rsidRPr="009E1878" w:rsidRDefault="00605A74" w:rsidP="009E1878">
      <w:pPr>
        <w:pStyle w:val="JuPara"/>
      </w:pPr>
      <w:r w:rsidRPr="009E1878">
        <w:rPr>
          <w:rStyle w:val="JuParaChar"/>
        </w:rPr>
        <w:fldChar w:fldCharType="begin"/>
      </w:r>
      <w:r w:rsidRPr="009E1878">
        <w:rPr>
          <w:rStyle w:val="JuParaChar"/>
        </w:rPr>
        <w:instrText xml:space="preserve"> SEQ level0 \*arabic \* MERGEFORMAT </w:instrText>
      </w:r>
      <w:r w:rsidRPr="009E1878">
        <w:rPr>
          <w:rStyle w:val="JuParaChar"/>
        </w:rPr>
        <w:fldChar w:fldCharType="separate"/>
      </w:r>
      <w:bookmarkStart w:id="13" w:name="paragraph00032"/>
      <w:r w:rsidR="009E1878" w:rsidRPr="009E1878">
        <w:rPr>
          <w:rStyle w:val="JuParaChar"/>
        </w:rPr>
        <w:t>32</w:t>
      </w:r>
      <w:bookmarkEnd w:id="13"/>
      <w:r w:rsidRPr="009E1878">
        <w:rPr>
          <w:rStyle w:val="JuParaChar"/>
        </w:rPr>
        <w:fldChar w:fldCharType="end"/>
      </w:r>
      <w:r>
        <w:rPr>
          <w:rStyle w:val="JuParaChar"/>
        </w:rPr>
        <w:t xml:space="preserve">. În 2019, Curtea a constatat o încălcare a art. 3 din Convenție în </w:t>
      </w:r>
      <w:r>
        <w:rPr>
          <w:rStyle w:val="JuParaChar"/>
          <w:i/>
        </w:rPr>
        <w:t xml:space="preserve">cauza </w:t>
      </w:r>
      <w:proofErr w:type="spellStart"/>
      <w:r>
        <w:rPr>
          <w:rStyle w:val="JuParaChar"/>
          <w:i/>
        </w:rPr>
        <w:t>Petuhov</w:t>
      </w:r>
      <w:proofErr w:type="spellEnd"/>
      <w:r>
        <w:rPr>
          <w:rStyle w:val="JuParaChar"/>
          <w:i/>
        </w:rPr>
        <w:t xml:space="preserve"> împotriva Ucrainei (nr. 2)</w:t>
      </w:r>
      <w:r>
        <w:rPr>
          <w:rStyle w:val="JuParaChar"/>
        </w:rPr>
        <w:t xml:space="preserve"> (nr. 41216/13, 12 martie 2019) în ceea ce privește asistența medicală insuficientă acordată domnului </w:t>
      </w:r>
      <w:proofErr w:type="spellStart"/>
      <w:r>
        <w:rPr>
          <w:rStyle w:val="JuParaChar"/>
        </w:rPr>
        <w:t>Petuhov</w:t>
      </w:r>
      <w:proofErr w:type="spellEnd"/>
      <w:r>
        <w:rPr>
          <w:rStyle w:val="JuParaChar"/>
        </w:rPr>
        <w:t xml:space="preserve"> și caracterul ireductibil al pedepsei detențiunii pe viață la care fusese condamnat. Domnul </w:t>
      </w:r>
      <w:proofErr w:type="spellStart"/>
      <w:r>
        <w:rPr>
          <w:rStyle w:val="JuParaChar"/>
        </w:rPr>
        <w:t>Petuhov</w:t>
      </w:r>
      <w:proofErr w:type="spellEnd"/>
      <w:r>
        <w:rPr>
          <w:rStyle w:val="JuParaChar"/>
        </w:rPr>
        <w:t xml:space="preserve"> a solicitat reexaminarea cauzei sale în fața Curții </w:t>
      </w:r>
      <w:r>
        <w:rPr>
          <w:rStyle w:val="JuParaChar"/>
        </w:rPr>
        <w:lastRenderedPageBreak/>
        <w:t xml:space="preserve">Supreme, pe baza hotărârii Curții. Marea Cameră a Curții Supreme i-a respins cererea. În special, în ceea ce privește caracterul ireductibil al pedepsei detențiunii pe viață, Marea Cameră a Curții Supreme a făcut referire la concluziile Curții în temeiul art. 46 din Convenție [a se vedea citatul din hotărârea în cauza </w:t>
      </w:r>
      <w:proofErr w:type="spellStart"/>
      <w:r>
        <w:rPr>
          <w:rStyle w:val="JuParaChar"/>
          <w:i/>
        </w:rPr>
        <w:t>Petuhov</w:t>
      </w:r>
      <w:proofErr w:type="spellEnd"/>
      <w:r>
        <w:rPr>
          <w:rStyle w:val="JuParaChar"/>
          <w:i/>
        </w:rPr>
        <w:t xml:space="preserve"> (nr. 2)</w:t>
      </w:r>
      <w:r>
        <w:rPr>
          <w:rStyle w:val="JuParaChar"/>
        </w:rPr>
        <w:t xml:space="preserve"> de la punctul </w:t>
      </w:r>
      <w:r w:rsidRPr="009E1878">
        <w:rPr>
          <w:rStyle w:val="JuParaChar"/>
        </w:rPr>
        <w:fldChar w:fldCharType="begin"/>
      </w:r>
      <w:r w:rsidRPr="009E1878">
        <w:rPr>
          <w:rStyle w:val="JuParaChar"/>
        </w:rPr>
        <w:instrText xml:space="preserve"> REF paragraph00040 \h  \* CharFormat </w:instrText>
      </w:r>
      <w:r w:rsidRPr="009E1878">
        <w:rPr>
          <w:rStyle w:val="JuParaChar"/>
        </w:rPr>
      </w:r>
      <w:r w:rsidRPr="009E1878">
        <w:rPr>
          <w:rStyle w:val="JuParaChar"/>
        </w:rPr>
        <w:fldChar w:fldCharType="separate"/>
      </w:r>
      <w:r w:rsidR="009E1878" w:rsidRPr="009E1878">
        <w:rPr>
          <w:rStyle w:val="JuParaChar"/>
        </w:rPr>
        <w:t>40</w:t>
      </w:r>
      <w:r w:rsidRPr="009E1878">
        <w:rPr>
          <w:rStyle w:val="JuParaChar"/>
        </w:rPr>
        <w:fldChar w:fldCharType="end"/>
      </w:r>
      <w:r>
        <w:rPr>
          <w:rStyle w:val="JuParaChar"/>
        </w:rPr>
        <w:t xml:space="preserve"> de mai jos) și a subliniat:</w:t>
      </w:r>
    </w:p>
    <w:p w14:paraId="6317AF0B" w14:textId="77777777" w:rsidR="00605A74" w:rsidRPr="009E1878" w:rsidRDefault="00605A74" w:rsidP="009E1878">
      <w:pPr>
        <w:pStyle w:val="JuQuot"/>
      </w:pPr>
      <w:r>
        <w:t>„78. În legislația națională a Ucrainei, astfel cum a arătat Curtea Europeană a Drepturilor Omului, există o lacună legislativă semnificativă în ceea ce privește reglementarea posibilității de liberare condiționată a persoanelor condamnate la pedeapsa detențiunii pe viață. Cu toate acestea, îmbunătățirea actelor juridice normative, prin adoptarea de legi și introducerea de modificări și completări la acestea, este prerogativa ramurii legislative a puterii și nu ține de competențele niciunei instanțe, indiferent de gradul de jurisdicție. În fapt, este important să se facă o distincție între competențele organului legislativ și cele ale organelor judiciare în procesul de administrare a justiției.</w:t>
      </w:r>
    </w:p>
    <w:p w14:paraId="1EA3342E" w14:textId="77777777" w:rsidR="00605A74" w:rsidRPr="009E1878" w:rsidRDefault="00605A74" w:rsidP="009E1878">
      <w:pPr>
        <w:pStyle w:val="JuQuot"/>
      </w:pPr>
      <w:r>
        <w:t>79. Singurul organ legislativ din Ucraina este Rada Supremă (</w:t>
      </w:r>
      <w:proofErr w:type="spellStart"/>
      <w:r>
        <w:rPr>
          <w:i/>
        </w:rPr>
        <w:t>Verhovna</w:t>
      </w:r>
      <w:proofErr w:type="spellEnd"/>
      <w:r>
        <w:rPr>
          <w:i/>
        </w:rPr>
        <w:t xml:space="preserve"> Rada)</w:t>
      </w:r>
      <w:r>
        <w:t xml:space="preserve"> a Ucrainei [Parlamentul ucrainean] [...]</w:t>
      </w:r>
    </w:p>
    <w:p w14:paraId="761593DC" w14:textId="77777777" w:rsidR="00605A74" w:rsidRPr="009E1878" w:rsidRDefault="00605A74" w:rsidP="009E1878">
      <w:pPr>
        <w:pStyle w:val="JuQuot"/>
      </w:pPr>
      <w:r>
        <w:t xml:space="preserve">80. Având în vedere faptul că, la momentul examinării [cauzei] de către Marea Cameră a Curții Supreme a Ucrainei, organul legislativ nu introdusese modificările necesare în legislația națională, în executarea hotărârii Curții Europene a Drepturilor Omului [în] cauza </w:t>
      </w:r>
      <w:proofErr w:type="spellStart"/>
      <w:r>
        <w:rPr>
          <w:i/>
        </w:rPr>
        <w:t>Petuhov</w:t>
      </w:r>
      <w:proofErr w:type="spellEnd"/>
      <w:r>
        <w:t xml:space="preserve"> </w:t>
      </w:r>
      <w:r>
        <w:rPr>
          <w:i/>
          <w:iCs/>
        </w:rPr>
        <w:t xml:space="preserve">împotriva </w:t>
      </w:r>
      <w:r>
        <w:rPr>
          <w:i/>
        </w:rPr>
        <w:t>Ucrainei (nr. 2)</w:t>
      </w:r>
      <w:r>
        <w:t xml:space="preserve">, [și] că nu există nicio definiție normativă a procedurii și a condițiilor de revizuire a pedepsei detențiunii pe viață, Curtea Supremă se află în imposibilitatea de a examina problema revizuirii pedepsei detențiunii pe viață, aplicată [domnului] V.S. </w:t>
      </w:r>
      <w:proofErr w:type="spellStart"/>
      <w:r>
        <w:t>Petuhov</w:t>
      </w:r>
      <w:proofErr w:type="spellEnd"/>
      <w:r>
        <w:t>, astfel cum solicită recurentul.”</w:t>
      </w:r>
    </w:p>
    <w:p w14:paraId="34D6663E" w14:textId="77777777" w:rsidR="00605A74" w:rsidRPr="009E1878" w:rsidRDefault="00605A74" w:rsidP="009E1878">
      <w:pPr>
        <w:pStyle w:val="JuHIRoman"/>
      </w:pPr>
      <w:r>
        <w:t>Dreptul internațional relevant</w:t>
      </w:r>
    </w:p>
    <w:p w14:paraId="201D342A" w14:textId="77777777" w:rsidR="00605A74" w:rsidRPr="009E1878" w:rsidRDefault="00605A74" w:rsidP="009E1878">
      <w:pPr>
        <w:pStyle w:val="JuHA"/>
      </w:pPr>
      <w:r>
        <w:t>Convenția asupra transferării persoanelor condamnate (Seria de Tratate Europene nr. 112)</w:t>
      </w:r>
    </w:p>
    <w:p w14:paraId="1B66E85B" w14:textId="77777777" w:rsidR="00605A74" w:rsidRPr="009E1878" w:rsidRDefault="007B421F" w:rsidP="009E1878">
      <w:pPr>
        <w:pStyle w:val="JuPara"/>
      </w:pPr>
      <w:r>
        <w:fldChar w:fldCharType="begin"/>
      </w:r>
      <w:r>
        <w:instrText xml:space="preserve"> SEQ level0 \*arabic </w:instrText>
      </w:r>
      <w:r>
        <w:fldChar w:fldCharType="separate"/>
      </w:r>
      <w:bookmarkStart w:id="14" w:name="paragraph00033"/>
      <w:r w:rsidR="009E1878" w:rsidRPr="009E1878">
        <w:t>33</w:t>
      </w:r>
      <w:bookmarkEnd w:id="14"/>
      <w:r>
        <w:fldChar w:fldCharType="end"/>
      </w:r>
      <w:r w:rsidR="00605A74">
        <w:t>. Dispozițiile relevante ale Convenției se citesc astfel:</w:t>
      </w:r>
    </w:p>
    <w:p w14:paraId="55ECAE45" w14:textId="77777777" w:rsidR="00605A74" w:rsidRPr="009E1878" w:rsidRDefault="00605A74" w:rsidP="009E1878">
      <w:pPr>
        <w:pStyle w:val="JuHArticle"/>
      </w:pPr>
      <w:r>
        <w:t>Articolul 9 – Consecințele transferării pentru statul de executare</w:t>
      </w:r>
    </w:p>
    <w:p w14:paraId="73E66448" w14:textId="77777777" w:rsidR="00605A74" w:rsidRPr="009E1878" w:rsidRDefault="00605A74" w:rsidP="009E1878">
      <w:pPr>
        <w:pStyle w:val="JuQuot"/>
      </w:pPr>
      <w:r>
        <w:t>„1. Autoritățile competente ale statului de executare sunt datoare:</w:t>
      </w:r>
    </w:p>
    <w:p w14:paraId="68A2087A" w14:textId="77777777" w:rsidR="00605A74" w:rsidRPr="009E1878" w:rsidRDefault="00605A74" w:rsidP="009E1878">
      <w:pPr>
        <w:pStyle w:val="JuQuot"/>
      </w:pPr>
      <w:r>
        <w:t>a) fie să continue executarea condamnării imediat sau în baza unei hotărâri judiciare sau administrative, în condițiile enunțate la art. 10;</w:t>
      </w:r>
    </w:p>
    <w:p w14:paraId="2B2C26EF" w14:textId="77777777" w:rsidR="00605A74" w:rsidRPr="009E1878" w:rsidRDefault="00605A74" w:rsidP="009E1878">
      <w:pPr>
        <w:pStyle w:val="JuQuot"/>
      </w:pPr>
      <w:r>
        <w:t>b) fie să schimbe condamnarea, printr-o hotărâre a acestui stat, data într-o procedură judiciară sau administrativă, înlocuind astfel sancțiunea aplicată în statul de condamnare printr-o sancțiune prevăzută în legislația statului de executare pentru aceeași infracțiune, în condițiile enunțate la art. 11.</w:t>
      </w:r>
    </w:p>
    <w:p w14:paraId="57DE66E7" w14:textId="77777777" w:rsidR="00605A74" w:rsidRPr="009E1878" w:rsidRDefault="00605A74" w:rsidP="009E1878">
      <w:pPr>
        <w:pStyle w:val="JuQuot"/>
      </w:pPr>
      <w:r>
        <w:t>[...]</w:t>
      </w:r>
    </w:p>
    <w:p w14:paraId="0A1EA215" w14:textId="77777777" w:rsidR="00605A74" w:rsidRPr="009E1878" w:rsidRDefault="00605A74" w:rsidP="009E1878">
      <w:pPr>
        <w:pStyle w:val="JuQuot"/>
      </w:pPr>
      <w:r>
        <w:t>3. Executarea condamnării este guvernată de legea statului de executare și acest stat este singurul competent pentru a lua toate hotărârile corespunzătoare [...]”</w:t>
      </w:r>
    </w:p>
    <w:p w14:paraId="543CC443" w14:textId="77777777" w:rsidR="00605A74" w:rsidRPr="009E1878" w:rsidRDefault="00605A74" w:rsidP="009E1878">
      <w:pPr>
        <w:pStyle w:val="JuHArticle"/>
      </w:pPr>
      <w:r>
        <w:t>Articolul 10 – Continuarea executării</w:t>
      </w:r>
    </w:p>
    <w:p w14:paraId="3A4226DE" w14:textId="77777777" w:rsidR="00605A74" w:rsidRPr="009E1878" w:rsidRDefault="00605A74" w:rsidP="009E1878">
      <w:pPr>
        <w:pStyle w:val="JuQuot"/>
      </w:pPr>
      <w:r>
        <w:t>„1. În caz de continuare a executării, statul de executare este legat de natura juridică și durata sancțiunii ața cum rezultă ele din condamnare.</w:t>
      </w:r>
    </w:p>
    <w:p w14:paraId="16D9D50A" w14:textId="77777777" w:rsidR="00605A74" w:rsidRPr="009E1878" w:rsidRDefault="00605A74" w:rsidP="009E1878">
      <w:pPr>
        <w:pStyle w:val="JuQuot"/>
      </w:pPr>
      <w:r>
        <w:t>2. Totuși, dacă natura sau durata acestei sancțiuni este incompatibilă cu legislația statului de executare, sau dacă legislația acestui stat o impune, statul de executare poate, prin hotărâre judiciară sau administrativă, să adapteze aceasta sancțiune la pedeapsa ori măsura prevăzută de propria sa lege pentru infracțiuni de aceeași natură. Această pedeapsă sau măsură corespunde, atât cât este posibil, în ceea ce privește natura sa, celei aplicate prin condamnarea de executat. Ea nu poate să agraveze, prin natura sau durata sa, sancțiunea pronunțată în statul de condamnare, nici să depășească maximul prevăzut prin legea statului de executare.”</w:t>
      </w:r>
    </w:p>
    <w:p w14:paraId="3DCE9190" w14:textId="77777777" w:rsidR="00605A74" w:rsidRPr="009E1878" w:rsidRDefault="00605A74" w:rsidP="009E1878">
      <w:pPr>
        <w:pStyle w:val="JuHArticle"/>
      </w:pPr>
      <w:r>
        <w:t>Articolul 11 – Schimbarea condamnării</w:t>
      </w:r>
    </w:p>
    <w:p w14:paraId="38B30C3E" w14:textId="77777777" w:rsidR="00605A74" w:rsidRPr="009E1878" w:rsidRDefault="00605A74" w:rsidP="009E1878">
      <w:pPr>
        <w:pStyle w:val="JuQuot"/>
      </w:pPr>
      <w:r>
        <w:t>„1. În cazul schimbării condamnării, se aplică procedura prevăzută de legislația statului de executare. Din momentul schimbării, autoritatea competentă:</w:t>
      </w:r>
    </w:p>
    <w:p w14:paraId="47E97293" w14:textId="77777777" w:rsidR="00605A74" w:rsidRPr="009E1878" w:rsidRDefault="00605A74" w:rsidP="009E1878">
      <w:pPr>
        <w:pStyle w:val="JuQuot"/>
      </w:pPr>
      <w:r>
        <w:lastRenderedPageBreak/>
        <w:t>a) va fi legată de constatarea faptelor în măsura în care acestea figurează în mod explicit sau implicit în hotărârea pronunțată în statul de condamnare;</w:t>
      </w:r>
    </w:p>
    <w:p w14:paraId="61DD5940" w14:textId="77777777" w:rsidR="00605A74" w:rsidRPr="009E1878" w:rsidRDefault="00605A74" w:rsidP="009E1878">
      <w:pPr>
        <w:pStyle w:val="JuQuot"/>
      </w:pPr>
      <w:r>
        <w:t>b) nu va putea schimba o sancțiune privativă de libertate printr-o sancțiune pecuniară;</w:t>
      </w:r>
    </w:p>
    <w:p w14:paraId="03B5E304" w14:textId="77777777" w:rsidR="00605A74" w:rsidRPr="009E1878" w:rsidRDefault="00605A74" w:rsidP="009E1878">
      <w:pPr>
        <w:pStyle w:val="JuQuot"/>
      </w:pPr>
      <w:r>
        <w:t>c) va deduce integral din pedeapsă perioada de privațiune de libertate deja executată de către condamnat; și</w:t>
      </w:r>
    </w:p>
    <w:p w14:paraId="73D2C01B" w14:textId="77777777" w:rsidR="00605A74" w:rsidRPr="009E1878" w:rsidRDefault="00605A74" w:rsidP="009E1878">
      <w:pPr>
        <w:pStyle w:val="JuQuot"/>
      </w:pPr>
      <w:r>
        <w:t>d) nu va agrava situația penală a condamnatului și nu va fi ținută de limita inferioară a sancțiunii eventual prevăzute de legislația statului de condamnare pentru infracțiunea sau infracțiunile săvârșite [...]”</w:t>
      </w:r>
    </w:p>
    <w:p w14:paraId="7720B9BA" w14:textId="77777777" w:rsidR="00605A74" w:rsidRPr="009E1878" w:rsidRDefault="00605A74" w:rsidP="009E1878">
      <w:pPr>
        <w:pStyle w:val="JuHA"/>
      </w:pPr>
      <w:r>
        <w:t>Protocolul adițional la Convenția europeană asupra transferării persoanelor condamnate (Seria de Tratate Europene nr. 167)</w:t>
      </w:r>
    </w:p>
    <w:p w14:paraId="3D820065" w14:textId="77777777" w:rsidR="00605A74" w:rsidRPr="009E1878" w:rsidRDefault="00731D45" w:rsidP="009E1878">
      <w:pPr>
        <w:pStyle w:val="JuPara"/>
      </w:pPr>
      <w:fldSimple w:instr=" SEQ level0 \*arabic \* MERGEFORMAT ">
        <w:bookmarkStart w:id="15" w:name="paragraph00034"/>
        <w:r w:rsidR="009E1878" w:rsidRPr="009E1878">
          <w:rPr>
            <w:noProof/>
          </w:rPr>
          <w:t>34</w:t>
        </w:r>
        <w:bookmarkEnd w:id="15"/>
      </w:fldSimple>
      <w:r w:rsidR="007048F8">
        <w:t>. Dispozițiile relevante ale protocolului prevăd:</w:t>
      </w:r>
    </w:p>
    <w:p w14:paraId="3F55E4DA" w14:textId="77777777" w:rsidR="00605A74" w:rsidRPr="009E1878" w:rsidRDefault="00605A74" w:rsidP="009E1878">
      <w:pPr>
        <w:pStyle w:val="JuHArticle"/>
      </w:pPr>
      <w:r>
        <w:t>Articolul 3 – Persoane condamnate cărora li s-a aplicat măsura expulzării sau aceea a conducerii la frontieră</w:t>
      </w:r>
    </w:p>
    <w:p w14:paraId="5D3967F2" w14:textId="77777777" w:rsidR="00605A74" w:rsidRPr="009E1878" w:rsidRDefault="00605A74" w:rsidP="009E1878">
      <w:pPr>
        <w:pStyle w:val="JuQuot"/>
      </w:pPr>
      <w:r>
        <w:t>„1. Statul de executare poate, la cererea statului de condamnare, sub rezerva aplicării prevederilor acestui articol, să își dea acordul pentru transferarea unei persoane condamnate fără consimțământul acesteia din urmă, atunci când condamnarea pronunțată împotriva acesteia sau o hotărâre administrativă luată ca urmare a acestei condamnări conține o măsură de expulzare ori de conducere la frontieră sau orice altă măsură, în virtutea căreia acestei persoane, odată pusă în libertate, nu îi va mai fi permis să rămână pe teritoriul statului de condamnare [...]”</w:t>
      </w:r>
    </w:p>
    <w:p w14:paraId="7E558634" w14:textId="77777777" w:rsidR="00605A74" w:rsidRPr="009E1878" w:rsidRDefault="00605A74" w:rsidP="009E1878">
      <w:pPr>
        <w:pStyle w:val="JuHHead"/>
        <w:numPr>
          <w:ilvl w:val="0"/>
          <w:numId w:val="2"/>
        </w:numPr>
        <w:tabs>
          <w:tab w:val="num" w:pos="340"/>
        </w:tabs>
        <w:ind w:left="340" w:hanging="340"/>
      </w:pPr>
      <w:r>
        <w:t>ÎN DREPT</w:t>
      </w:r>
    </w:p>
    <w:p w14:paraId="320A6A2F" w14:textId="77777777" w:rsidR="00605A74" w:rsidRPr="009E1878" w:rsidRDefault="00605A74" w:rsidP="009E1878">
      <w:pPr>
        <w:pStyle w:val="JuHIRoman"/>
        <w:numPr>
          <w:ilvl w:val="1"/>
          <w:numId w:val="3"/>
        </w:numPr>
        <w:ind w:left="0" w:firstLine="0"/>
      </w:pPr>
      <w:r>
        <w:t>CU PRIVIRE LA PRETINSA ÎNCĂLCARE A ART. 3 DIN CONVENȚIE</w:t>
      </w:r>
    </w:p>
    <w:p w14:paraId="54985920" w14:textId="77777777" w:rsidR="00605A74" w:rsidRPr="009E1878" w:rsidRDefault="007B421F" w:rsidP="009E1878">
      <w:pPr>
        <w:pStyle w:val="JuPara"/>
      </w:pPr>
      <w:r>
        <w:fldChar w:fldCharType="begin"/>
      </w:r>
      <w:r>
        <w:instrText xml:space="preserve"> SEQ level0 \*arabic </w:instrText>
      </w:r>
      <w:r>
        <w:fldChar w:fldCharType="separate"/>
      </w:r>
      <w:r w:rsidR="009E1878" w:rsidRPr="009E1878">
        <w:t>35</w:t>
      </w:r>
      <w:r>
        <w:fldChar w:fldCharType="end"/>
      </w:r>
      <w:r w:rsidR="00605A74">
        <w:t>. Reclamantul s-a plâns că pedeapsa ireductibilă a detențiunii pe viață care i-a fost aplicată era incompatibilă cu art. 3 din Convenție, care prevede următoarele:</w:t>
      </w:r>
    </w:p>
    <w:p w14:paraId="73A00879" w14:textId="77777777" w:rsidR="00605A74" w:rsidRPr="009E1878" w:rsidRDefault="00605A74" w:rsidP="009E1878">
      <w:pPr>
        <w:pStyle w:val="JuQuot"/>
      </w:pPr>
      <w:r>
        <w:t>„Nimeni nu poate fi supus torturii, nici pedepselor sau tratamentelor inumane ori degradante.”</w:t>
      </w:r>
    </w:p>
    <w:p w14:paraId="5D7200B8" w14:textId="77777777" w:rsidR="00605A74" w:rsidRPr="009E1878" w:rsidRDefault="00605A74" w:rsidP="009E1878">
      <w:pPr>
        <w:pStyle w:val="JuHA"/>
      </w:pPr>
      <w:r>
        <w:t>Cu privire la admisibilitate</w:t>
      </w:r>
    </w:p>
    <w:p w14:paraId="799268EF" w14:textId="77777777" w:rsidR="00605A74" w:rsidRPr="009E1878" w:rsidRDefault="007B421F" w:rsidP="009E1878">
      <w:pPr>
        <w:pStyle w:val="JuPara"/>
      </w:pPr>
      <w:r>
        <w:fldChar w:fldCharType="begin"/>
      </w:r>
      <w:r>
        <w:instrText xml:space="preserve"> SEQ level0 \*arabic </w:instrText>
      </w:r>
      <w:r>
        <w:fldChar w:fldCharType="separate"/>
      </w:r>
      <w:r w:rsidR="009E1878" w:rsidRPr="009E1878">
        <w:t>36</w:t>
      </w:r>
      <w:r>
        <w:fldChar w:fldCharType="end"/>
      </w:r>
      <w:r w:rsidR="00605A74">
        <w:t>. Curtea constată că această plângere nu este nici vădit nefondată, nici inadmisibilă pentru alte motive enumerate la art. 35 din Convenție. Prin urmare, trebuie să fie declarată admisibilă.</w:t>
      </w:r>
    </w:p>
    <w:p w14:paraId="00D08DB7" w14:textId="77777777" w:rsidR="00605A74" w:rsidRPr="009E1878" w:rsidRDefault="00605A74" w:rsidP="009E1878">
      <w:pPr>
        <w:pStyle w:val="JuHA"/>
      </w:pPr>
      <w:r>
        <w:t>Cu privire la fond</w:t>
      </w:r>
    </w:p>
    <w:p w14:paraId="5BD966BE" w14:textId="77777777" w:rsidR="00605A74" w:rsidRPr="009E1878" w:rsidRDefault="00605A74" w:rsidP="009E1878">
      <w:pPr>
        <w:pStyle w:val="JuH1"/>
      </w:pPr>
      <w:r>
        <w:t>Argumentele părților</w:t>
      </w:r>
    </w:p>
    <w:p w14:paraId="3E4768E2" w14:textId="77777777" w:rsidR="00605A74" w:rsidRPr="009E1878" w:rsidRDefault="007B421F" w:rsidP="009E1878">
      <w:pPr>
        <w:pStyle w:val="JuPara"/>
      </w:pPr>
      <w:r>
        <w:fldChar w:fldCharType="begin"/>
      </w:r>
      <w:r>
        <w:instrText xml:space="preserve"> SEQ level0 \*arabic </w:instrText>
      </w:r>
      <w:r>
        <w:fldChar w:fldCharType="separate"/>
      </w:r>
      <w:r w:rsidR="009E1878" w:rsidRPr="009E1878">
        <w:t>37</w:t>
      </w:r>
      <w:r>
        <w:fldChar w:fldCharType="end"/>
      </w:r>
      <w:r w:rsidR="00605A74">
        <w:t xml:space="preserve">. Reclamantul a făcut referire la jurisprudența Curții cu privire la incompatibilitatea pedepsei ireductibile a detențiunii pe viață cu cerințele art. 3 din Convenție [a făcut trimitere la cauza </w:t>
      </w:r>
      <w:proofErr w:type="spellStart"/>
      <w:r w:rsidR="00605A74">
        <w:rPr>
          <w:i/>
        </w:rPr>
        <w:t>Vinter</w:t>
      </w:r>
      <w:proofErr w:type="spellEnd"/>
      <w:r w:rsidR="00605A74">
        <w:rPr>
          <w:i/>
        </w:rPr>
        <w:t xml:space="preserve"> și alții împotriva Regatului Unit </w:t>
      </w:r>
      <w:r w:rsidR="00605A74">
        <w:rPr>
          <w:snapToGrid w:val="0"/>
        </w:rPr>
        <w:t>(MC), nr. 66069/09</w:t>
      </w:r>
      <w:r w:rsidR="00605A74">
        <w:t xml:space="preserve"> și alte 2 cereri, pct. 124-30, CEDO 2013 (extrase)] precum și la constatările Curții cu privire la aceeași chestiune în contextul ucrainean [a făcut referire la cauza </w:t>
      </w:r>
      <w:proofErr w:type="spellStart"/>
      <w:r w:rsidR="00605A74">
        <w:rPr>
          <w:i/>
        </w:rPr>
        <w:t>Petuhov</w:t>
      </w:r>
      <w:proofErr w:type="spellEnd"/>
      <w:r w:rsidR="00605A74">
        <w:rPr>
          <w:i/>
        </w:rPr>
        <w:t xml:space="preserve"> (nr. 2), </w:t>
      </w:r>
      <w:r w:rsidR="00605A74">
        <w:t xml:space="preserve">citată anterior, pct. 169-87]. El a susținut că Marea Cameră a Curții Supreme a constatat, în decizia din 8 iulie 2020, că lipsa unui cadru de reglementare pentru aplicarea procedurii de liberare condiționată a persoanelor condamnate la pedeapsa detențiunii pe viață constituie un obstacol în calea examinării unor astfel de cereri de liberare condiționată de către instanțele ucrainene (supra, pct. </w:t>
      </w:r>
      <w:r w:rsidR="00605A74" w:rsidRPr="009E1878">
        <w:fldChar w:fldCharType="begin"/>
      </w:r>
      <w:r w:rsidR="00605A74" w:rsidRPr="009E1878">
        <w:instrText xml:space="preserve"> REF paragraph00032 \h  \* CharFormat </w:instrText>
      </w:r>
      <w:r w:rsidR="00605A74" w:rsidRPr="009E1878">
        <w:fldChar w:fldCharType="separate"/>
      </w:r>
      <w:r w:rsidR="009E1878" w:rsidRPr="009E1878">
        <w:t>32</w:t>
      </w:r>
      <w:r w:rsidR="00605A74" w:rsidRPr="009E1878">
        <w:fldChar w:fldCharType="end"/>
      </w:r>
      <w:r w:rsidR="00605A74">
        <w:t xml:space="preserve">). În plus, acesta a susținut că decizia Curții Constituționale din 16 septembrie 2021, în care dispoziția relevantă din Codul penal a fost declarată neconstituțională, în măsura în care nu permitea aplicarea acesteia în cazul persoanelor condamnate la detențiune pe viață, nu era suficientă, în </w:t>
      </w:r>
      <w:r w:rsidR="00605A74">
        <w:lastRenderedPageBreak/>
        <w:t xml:space="preserve">sine, pentru a rezolva problema, în lipsa unor modificări legislative suplimentare, în scopul introducerii procedurii și normelor relevante. În cele din urmă, acesta a argumentat că posibilitatea de a formula o cerere de liberare condiționată în Ungaria nu putea fi considerată o cale de atac practică și eficientă din mai multe motive, în special din cauza faptului că, în temeiul dispoziției relevante din Convenția din 1983, executarea pedepsei sale era guvernată de Ucraina în calitate de stat de executare [articolul 9 alineatul (3) din Convenția din 1983, citată supra, pct. </w:t>
      </w:r>
      <w:r w:rsidR="00605A74" w:rsidRPr="009E1878">
        <w:fldChar w:fldCharType="begin"/>
      </w:r>
      <w:r w:rsidR="00605A74" w:rsidRPr="009E1878">
        <w:instrText xml:space="preserve"> REF paragraph00033 \h  \* CharFormat </w:instrText>
      </w:r>
      <w:r w:rsidR="00605A74" w:rsidRPr="009E1878">
        <w:fldChar w:fldCharType="separate"/>
      </w:r>
      <w:r w:rsidR="009E1878" w:rsidRPr="009E1878">
        <w:t>33</w:t>
      </w:r>
      <w:r w:rsidR="00605A74" w:rsidRPr="009E1878">
        <w:fldChar w:fldCharType="end"/>
      </w:r>
      <w:r w:rsidR="00605A74">
        <w:t>].</w:t>
      </w:r>
    </w:p>
    <w:p w14:paraId="548F6D95" w14:textId="77777777" w:rsidR="00605A74" w:rsidRPr="009E1878" w:rsidRDefault="007B421F" w:rsidP="009E1878">
      <w:pPr>
        <w:pStyle w:val="JuPara"/>
      </w:pPr>
      <w:r>
        <w:fldChar w:fldCharType="begin"/>
      </w:r>
      <w:r>
        <w:instrText xml:space="preserve"> SEQ level0 \*arabic </w:instrText>
      </w:r>
      <w:r>
        <w:fldChar w:fldCharType="separate"/>
      </w:r>
      <w:bookmarkStart w:id="16" w:name="paragraph00038"/>
      <w:r w:rsidR="009E1878" w:rsidRPr="009E1878">
        <w:t>38</w:t>
      </w:r>
      <w:bookmarkEnd w:id="16"/>
      <w:r>
        <w:fldChar w:fldCharType="end"/>
      </w:r>
      <w:r w:rsidR="00605A74">
        <w:t>. Guvernul a susținut că autoritățile ucrainene s-au limitat să execute sentința pronunțată de instanțele maghiare și nu s-au pronunțat cu privire la vinovăția reclamantului. Acesta a argumentat că transferul reclamantului a avut loc în conformitate cu alte tratate internaționale, nu în baza Convenției, și că nu era de competența Curții să examineze conformitatea transferului reclamantului cu aceste tratate. Acesta a mai afirmat că legislația ucraineană nu prevedea posibilitatea ca persoanele care au fost condamnate la pedeapsa detențiunii pe viață să solicite liberarea condiționată și amnistia, dar că aceste persoane puteau solicita o grațiere prezidențială. Guvernul a susținut că reclamantul ar fi putut să adreseze cererea sa de liberare condiționată autorităților maghiare, ceea ce nu a făcut. De asemenea, a susținut că decizia privind recunoașterea pedepsei reclamantului în Ucraina nu a modificat pedeapsa reclamantului, iar Ucraina era responsabilă doar în ceea ce privește modul de executare a hotărârii pronunțate împotriva reclamantului. Guvernul a susținut că nu au fost încălcate drepturile reclamantului garantate de art. 3 din Convenție.</w:t>
      </w:r>
    </w:p>
    <w:p w14:paraId="1D6BD1E9" w14:textId="77777777" w:rsidR="00605A74" w:rsidRPr="009E1878" w:rsidRDefault="00605A74" w:rsidP="009E1878">
      <w:pPr>
        <w:pStyle w:val="JuH1"/>
      </w:pPr>
      <w:r>
        <w:t>Motivarea Curții</w:t>
      </w:r>
    </w:p>
    <w:p w14:paraId="4C6096E2" w14:textId="77777777" w:rsidR="00605A74" w:rsidRPr="009E1878" w:rsidRDefault="00731D45" w:rsidP="009E1878">
      <w:pPr>
        <w:pStyle w:val="JuPara"/>
      </w:pPr>
      <w:fldSimple w:instr=" SEQ level0 \*arabic \* MERGEFORMAT ">
        <w:r w:rsidR="009E1878" w:rsidRPr="009E1878">
          <w:rPr>
            <w:noProof/>
          </w:rPr>
          <w:t>39</w:t>
        </w:r>
      </w:fldSimple>
      <w:r w:rsidR="007048F8">
        <w:t>. În ceea ce privește argumentul Guvernului potrivit căruia reclamantul ar putea solicita liberarea condiționată autorităților maghiare, Curtea constată că Guvernul nu a precizat temeiul juridic pe baza căruia s-ar putea face acest lucru. În plus, independent de orice alte motive, este dificil de înțeles în ce fel și pe ce bază executarea pedepsei reclamantului în Ucraina, precum și comportamentul și atitudinea acestuia pe parcursul detenției sale în închisoarea ucraineană ar putea fi evaluate în mod corespunzător de reprezentanții celuilalt stat, chiar dacă sentința împotriva sa a fost pronunțată în acest stat. Curtea consideră că încălcarea art. 3 de care se plânge reclamantul este imputabilă Ucrainei și respinge argumentul Guvernului.</w:t>
      </w:r>
    </w:p>
    <w:p w14:paraId="308941A1" w14:textId="77777777" w:rsidR="00605A74" w:rsidRPr="009E1878" w:rsidRDefault="007B421F" w:rsidP="009E1878">
      <w:pPr>
        <w:pStyle w:val="JuPara"/>
      </w:pPr>
      <w:r>
        <w:fldChar w:fldCharType="begin"/>
      </w:r>
      <w:r>
        <w:instrText xml:space="preserve"> SEQ level0 \*arabic </w:instrText>
      </w:r>
      <w:r>
        <w:fldChar w:fldCharType="separate"/>
      </w:r>
      <w:bookmarkStart w:id="17" w:name="paragraph00040"/>
      <w:r w:rsidR="009E1878" w:rsidRPr="009E1878">
        <w:t>40</w:t>
      </w:r>
      <w:bookmarkEnd w:id="17"/>
      <w:r>
        <w:fldChar w:fldCharType="end"/>
      </w:r>
      <w:r w:rsidR="00605A74">
        <w:t>. Curtea reiterează faptul că pedeapsa ireductibilă a detențiunii pe viață nu este compatibilă cu cerințele art. 3. Curtea face referire la principiile generale consacrate în jurisprudența sa referitoare la acest aspect [</w:t>
      </w:r>
      <w:proofErr w:type="spellStart"/>
      <w:r w:rsidR="00605A74">
        <w:rPr>
          <w:i/>
        </w:rPr>
        <w:t>Vinter</w:t>
      </w:r>
      <w:proofErr w:type="spellEnd"/>
      <w:r w:rsidR="00605A74">
        <w:rPr>
          <w:i/>
        </w:rPr>
        <w:t xml:space="preserve"> și alții</w:t>
      </w:r>
      <w:r w:rsidR="00605A74">
        <w:rPr>
          <w:snapToGrid w:val="0"/>
        </w:rPr>
        <w:t>, citată anterior</w:t>
      </w:r>
      <w:r w:rsidR="00605A74">
        <w:t xml:space="preserve">, pct. 103-22; </w:t>
      </w:r>
      <w:proofErr w:type="spellStart"/>
      <w:r w:rsidR="00605A74">
        <w:rPr>
          <w:i/>
        </w:rPr>
        <w:t>Hutchinson</w:t>
      </w:r>
      <w:proofErr w:type="spellEnd"/>
      <w:r w:rsidR="00605A74">
        <w:rPr>
          <w:i/>
        </w:rPr>
        <w:t xml:space="preserve"> împotriva Regatului Unit</w:t>
      </w:r>
      <w:r w:rsidR="00605A74">
        <w:rPr>
          <w:snapToGrid w:val="0"/>
        </w:rPr>
        <w:t xml:space="preserve"> </w:t>
      </w:r>
      <w:r w:rsidR="00605A74">
        <w:t xml:space="preserve">(MC), nr. 57592/08, pct. 42-45, 17 ianuarie 2017], precum și la aprecierea detaliată a legislației și practicii ucrainene din hotărârea în cauza </w:t>
      </w:r>
      <w:proofErr w:type="spellStart"/>
      <w:r w:rsidR="00605A74">
        <w:rPr>
          <w:i/>
        </w:rPr>
        <w:t>Petuhov</w:t>
      </w:r>
      <w:proofErr w:type="spellEnd"/>
      <w:r w:rsidR="00605A74">
        <w:rPr>
          <w:i/>
        </w:rPr>
        <w:t xml:space="preserve"> (nr. 2) </w:t>
      </w:r>
      <w:r w:rsidR="00605A74">
        <w:t>(citată anterior, pct. 168-87), care este la fel de relevantă pentru prezenta cauză. La punctul 194 din hotărârea pronunțată în cauza sus-menționată, Curtea a constatat în special:</w:t>
      </w:r>
    </w:p>
    <w:p w14:paraId="1CA79C0D" w14:textId="77777777" w:rsidR="00264E00" w:rsidRPr="009E1878" w:rsidRDefault="00605A74" w:rsidP="009E1878">
      <w:pPr>
        <w:pStyle w:val="JuQuot"/>
      </w:pPr>
      <w:r>
        <w:t>„194. [...] prezenta cauză, în măsura în care privește caracterul ireductibil al unei pedepse cu detențiunea pe viață, dezvăluie existența unei probleme sistemice care impune punerea în aplicare a unor măsuri cu caracter general. Natura încălcării constatate în temeiul art. 3 din Convenție sugerează că, pentru executarea corespunzătoare a prezentei hotărâri, statul pârât ar fi obligat să realizeze o reformă a sistemului de revizuire a pedepsei detențiunii pe viață. Mecanismul unei astfel de revizuiri ar trebui să garanteze examinarea, în fiecare caz particular, a aspectului dacă este justificată menținerea în detenție din motive penologice legitime și ar trebui să le permită persoanelor condamnate la pedeapsa detențiunii pe viață să prevadă, cu un anumit grad de precizie, ce trebuie să facă pentru a fi eligibile pentru punerea în libertate și în ce condiții, în conformitate cu standardele dezvoltate în jurisprudența Curții.”</w:t>
      </w:r>
    </w:p>
    <w:p w14:paraId="651A5B0A" w14:textId="77777777" w:rsidR="00605A74" w:rsidRPr="009E1878" w:rsidRDefault="00731D45" w:rsidP="009E1878">
      <w:pPr>
        <w:pStyle w:val="JuPara"/>
      </w:pPr>
      <w:fldSimple w:instr=" SEQ level0 \*arabic \* MERGEFORMAT ">
        <w:r w:rsidR="009E1878" w:rsidRPr="009E1878">
          <w:rPr>
            <w:noProof/>
          </w:rPr>
          <w:t>41</w:t>
        </w:r>
      </w:fldSimple>
      <w:r w:rsidR="007048F8">
        <w:t xml:space="preserve">. În speță, spre deosebire de cauza </w:t>
      </w:r>
      <w:proofErr w:type="spellStart"/>
      <w:r w:rsidR="007048F8">
        <w:rPr>
          <w:i/>
        </w:rPr>
        <w:t>Petuhov</w:t>
      </w:r>
      <w:proofErr w:type="spellEnd"/>
      <w:r w:rsidR="007048F8">
        <w:rPr>
          <w:i/>
        </w:rPr>
        <w:t xml:space="preserve"> (nr. 2)</w:t>
      </w:r>
      <w:r w:rsidR="007048F8">
        <w:t xml:space="preserve">, pedeapsa detențiunii pe viață aplicată reclamantului nu a fost rezultatul unei condamnări pronunțate de instanțele ucrainene, ci a fost impusă de acestea ca urmare a transferului său din Ungaria în Ucraina în scopul executării pedepsei. Cu toate acestea, din hotărârile pronunțate de instanțele ucrainene în cauza </w:t>
      </w:r>
      <w:r w:rsidR="007048F8">
        <w:lastRenderedPageBreak/>
        <w:t xml:space="preserve">reclamantului (supra, pct. </w:t>
      </w:r>
      <w:r w:rsidR="00605A74" w:rsidRPr="009E1878">
        <w:fldChar w:fldCharType="begin"/>
      </w:r>
      <w:r w:rsidR="00605A74" w:rsidRPr="009E1878">
        <w:instrText xml:space="preserve"> REF paragraph00014 \h  \* CharFormat  \* MERGEFORMAT </w:instrText>
      </w:r>
      <w:r w:rsidR="00605A74" w:rsidRPr="009E1878">
        <w:fldChar w:fldCharType="separate"/>
      </w:r>
      <w:r w:rsidR="009E1878" w:rsidRPr="009E1878">
        <w:t>14</w:t>
      </w:r>
      <w:r w:rsidR="00605A74" w:rsidRPr="009E1878">
        <w:fldChar w:fldCharType="end"/>
      </w:r>
      <w:r w:rsidR="007048F8">
        <w:t>-</w:t>
      </w:r>
      <w:r w:rsidR="00605A74" w:rsidRPr="009E1878">
        <w:fldChar w:fldCharType="begin"/>
      </w:r>
      <w:r w:rsidR="00605A74" w:rsidRPr="009E1878">
        <w:instrText xml:space="preserve"> REF paragraph00017 \h  \* CharFormat  \* MERGEFORMAT </w:instrText>
      </w:r>
      <w:r w:rsidR="00605A74" w:rsidRPr="009E1878">
        <w:fldChar w:fldCharType="separate"/>
      </w:r>
      <w:r w:rsidR="009E1878" w:rsidRPr="009E1878">
        <w:t>17</w:t>
      </w:r>
      <w:r w:rsidR="00605A74" w:rsidRPr="009E1878">
        <w:fldChar w:fldCharType="end"/>
      </w:r>
      <w:r w:rsidR="007048F8">
        <w:t>) reiese că această diferență nu a afectat în niciun fel situația juridică și practică a reclamantului și, prin urmare, pedeapsa aplicată acestuia este considerată ireductibilă în temeiul legislației ucrainene actuale.</w:t>
      </w:r>
    </w:p>
    <w:p w14:paraId="3F2370F0" w14:textId="77777777" w:rsidR="00264E00" w:rsidRPr="009E1878" w:rsidRDefault="00731D45" w:rsidP="009E1878">
      <w:pPr>
        <w:pStyle w:val="JuPara"/>
      </w:pPr>
      <w:fldSimple w:instr=" SEQ level0 \*arabic \* MERGEFORMAT ">
        <w:bookmarkStart w:id="18" w:name="paragraph00042"/>
        <w:r w:rsidR="009E1878" w:rsidRPr="009E1878">
          <w:rPr>
            <w:noProof/>
          </w:rPr>
          <w:t>42</w:t>
        </w:r>
        <w:bookmarkEnd w:id="18"/>
      </w:fldSimple>
      <w:r w:rsidR="007048F8">
        <w:t xml:space="preserve">. Astfel cum a recunoscut Guvernul, legislația ucraineană nu prevedea posibilitatea ca persoanele condamnate la pedeapsa detențiunii pe viață să beneficieze de liberarea condiționată (supra, pct. </w:t>
      </w:r>
      <w:r w:rsidR="00605A74" w:rsidRPr="009E1878">
        <w:fldChar w:fldCharType="begin"/>
      </w:r>
      <w:r w:rsidR="00605A74" w:rsidRPr="009E1878">
        <w:instrText xml:space="preserve"> REF paragraph00038 \h  \* CharFormat </w:instrText>
      </w:r>
      <w:r w:rsidR="00605A74" w:rsidRPr="009E1878">
        <w:fldChar w:fldCharType="separate"/>
      </w:r>
      <w:r w:rsidR="009E1878" w:rsidRPr="009E1878">
        <w:t>38</w:t>
      </w:r>
      <w:r w:rsidR="00605A74" w:rsidRPr="009E1878">
        <w:fldChar w:fldCharType="end"/>
      </w:r>
      <w:r w:rsidR="007048F8">
        <w:t xml:space="preserve">). Este adevărat că, în decizia din 16 septembrie 2021, Curtea Constituțională a Ucrainei a declarat neconstituționale dispozițiile art. 81 din Codul penal referitoare la liberarea condiționată, în măsura în care acestea nu se aplică persoanelor condamnate la pedeapsa detențiunii pe viață (supra, pct. </w:t>
      </w:r>
      <w:r w:rsidR="00605A74" w:rsidRPr="009E1878">
        <w:fldChar w:fldCharType="begin"/>
      </w:r>
      <w:r w:rsidR="00605A74" w:rsidRPr="009E1878">
        <w:instrText xml:space="preserve"> REF paragraph00031 \h  \* CharFormat  \* MERGEFORMAT </w:instrText>
      </w:r>
      <w:r w:rsidR="00605A74" w:rsidRPr="009E1878">
        <w:fldChar w:fldCharType="separate"/>
      </w:r>
      <w:r w:rsidR="009E1878" w:rsidRPr="009E1878">
        <w:t>31</w:t>
      </w:r>
      <w:r w:rsidR="00605A74" w:rsidRPr="009E1878">
        <w:fldChar w:fldCharType="end"/>
      </w:r>
      <w:r w:rsidR="007048F8">
        <w:t xml:space="preserve">). Cu toate acestea, procedura și modul de aplicare a normei privind liberarea condiționată a persoanelor condamnate la pedeapsa detențiunii pe viață nu fuseseră stabilite încă și, în lipsa unor astfel de norme și proceduri, instanțele naționale au considerat că nu aveau competența să se pronunțe cu privire la liberarea condiționată a persoanelor condamnate la pedeapsa detențiunii pe viață, fapt reflectat în hotărârea Marii Camere a Curții Supreme în cauza domnului </w:t>
      </w:r>
      <w:proofErr w:type="spellStart"/>
      <w:r w:rsidR="007048F8">
        <w:t>Petuhov</w:t>
      </w:r>
      <w:proofErr w:type="spellEnd"/>
      <w:r w:rsidR="007048F8">
        <w:t xml:space="preserve"> (supra, pct. </w:t>
      </w:r>
      <w:r w:rsidR="00605A74" w:rsidRPr="009E1878">
        <w:fldChar w:fldCharType="begin"/>
      </w:r>
      <w:r w:rsidR="00605A74" w:rsidRPr="009E1878">
        <w:instrText xml:space="preserve"> REF paragraph00032 \h  \* CharFormat </w:instrText>
      </w:r>
      <w:r w:rsidR="00605A74" w:rsidRPr="009E1878">
        <w:fldChar w:fldCharType="separate"/>
      </w:r>
      <w:r w:rsidR="009E1878" w:rsidRPr="009E1878">
        <w:t>32</w:t>
      </w:r>
      <w:r w:rsidR="00605A74" w:rsidRPr="009E1878">
        <w:fldChar w:fldCharType="end"/>
      </w:r>
      <w:r w:rsidR="007048F8">
        <w:t xml:space="preserve">). Prin urmare, situația reclamantului nu s-a schimbat, în sensul art. 3, odată cu adoptarea deciziei Curții Constituționale din 16 septembrie 2021, privită individual; în plus, decizia respectivă a fost pronunțată la mai mult de trei ani de la introducerea cererii acestuia și după respingerea a numeroase cereri de punere în libertate formulate de acesta. Astfel, raționamentul Curții în cauza </w:t>
      </w:r>
      <w:proofErr w:type="spellStart"/>
      <w:r w:rsidR="007048F8">
        <w:t>Petuhov</w:t>
      </w:r>
      <w:proofErr w:type="spellEnd"/>
      <w:r w:rsidR="007048F8">
        <w:t xml:space="preserve"> </w:t>
      </w:r>
      <w:r w:rsidR="007048F8">
        <w:rPr>
          <w:i/>
        </w:rPr>
        <w:t>(nr. 2)</w:t>
      </w:r>
      <w:r w:rsidR="007048F8">
        <w:t xml:space="preserve"> (citată anterior, pct. 168-187 și 194) este la fel de relevant pentru prezenta cauză.</w:t>
      </w:r>
    </w:p>
    <w:p w14:paraId="4DB08D04" w14:textId="77777777" w:rsidR="00605A74" w:rsidRPr="009E1878" w:rsidRDefault="007B421F" w:rsidP="009E1878">
      <w:pPr>
        <w:pStyle w:val="JuPara"/>
      </w:pPr>
      <w:r>
        <w:fldChar w:fldCharType="begin"/>
      </w:r>
      <w:r>
        <w:instrText xml:space="preserve"> SEQ level0 \*arabic </w:instrText>
      </w:r>
      <w:r>
        <w:fldChar w:fldCharType="separate"/>
      </w:r>
      <w:r w:rsidR="009E1878" w:rsidRPr="009E1878">
        <w:t>43</w:t>
      </w:r>
      <w:r>
        <w:fldChar w:fldCharType="end"/>
      </w:r>
      <w:r w:rsidR="00605A74">
        <w:t>. Prin urmare, a fost încălcat art. 3 din Convenție.</w:t>
      </w:r>
    </w:p>
    <w:p w14:paraId="091EA687" w14:textId="77777777" w:rsidR="00605A74" w:rsidRPr="009E1878" w:rsidRDefault="00605A74" w:rsidP="009E1878">
      <w:pPr>
        <w:pStyle w:val="JuHIRoman"/>
        <w:tabs>
          <w:tab w:val="left" w:pos="567"/>
          <w:tab w:val="left" w:pos="680"/>
        </w:tabs>
        <w:ind w:left="397" w:hanging="397"/>
      </w:pPr>
      <w:r>
        <w:t>CU PRIVIRE LA PRETINSA ÎNCĂLCARE A ART. 7 DIN CONVENȚIE</w:t>
      </w:r>
    </w:p>
    <w:p w14:paraId="77E734DF" w14:textId="77777777" w:rsidR="00605A74" w:rsidRPr="009E1878" w:rsidRDefault="007B421F" w:rsidP="009E1878">
      <w:pPr>
        <w:pStyle w:val="JuPara"/>
      </w:pPr>
      <w:r>
        <w:fldChar w:fldCharType="begin"/>
      </w:r>
      <w:r>
        <w:instrText xml:space="preserve"> SEQ level0 \*arabic </w:instrText>
      </w:r>
      <w:r>
        <w:fldChar w:fldCharType="separate"/>
      </w:r>
      <w:r w:rsidR="009E1878" w:rsidRPr="009E1878">
        <w:t>44</w:t>
      </w:r>
      <w:r>
        <w:fldChar w:fldCharType="end"/>
      </w:r>
      <w:r w:rsidR="00605A74">
        <w:t xml:space="preserve">. Reclamantul s-a plâns că, deși instanțele maghiare l-au condamnat la pedeapsa reductibilă a detențiunii pe viață, instanțele ucrainene au înlocuit această sentință cu ceea ce s-a dovedit a fi o pedeapsă ireductibilă de </w:t>
      </w:r>
      <w:r w:rsidR="00605A74">
        <w:rPr>
          <w:i/>
        </w:rPr>
        <w:t xml:space="preserve">facto </w:t>
      </w:r>
      <w:r w:rsidR="00605A74">
        <w:t>a detențiunii pe viață, care era o pedeapsă mai severă, încălcând art. 7 din Convenție, care prevede următoarele:</w:t>
      </w:r>
    </w:p>
    <w:p w14:paraId="7BE4592D" w14:textId="77777777" w:rsidR="00605A74" w:rsidRPr="009E1878" w:rsidRDefault="00605A74" w:rsidP="009E1878">
      <w:pPr>
        <w:pStyle w:val="JuQuot"/>
      </w:pPr>
      <w:r>
        <w:t>„1. Nimeni nu poate fi condamnat pentru o acțiune sau o omisiune care, în momentul în care a fost săvârșită, nu constituia o infracțiune, potrivit dreptului național și internațional. De asemenea, nu se poate aplica o pedeapsă mai severă decât aceea care era aplicabilă în momentul săvârșirii infracțiunii.</w:t>
      </w:r>
    </w:p>
    <w:p w14:paraId="023E1175" w14:textId="77777777" w:rsidR="00605A74" w:rsidRPr="009E1878" w:rsidRDefault="00605A74" w:rsidP="009E1878">
      <w:pPr>
        <w:pStyle w:val="JuQuot"/>
      </w:pPr>
      <w:r>
        <w:t>2. Prezentul articol nu va aduce atingere judecării și pedepsirii unei persoane vinovate de o acțiune sau de o omisiune care, în momentul săvârșirii sale, era considerată infracțiune potrivit principiilor generale de drept recunoscute de națiunile civilizate.”</w:t>
      </w:r>
    </w:p>
    <w:p w14:paraId="22305D98" w14:textId="77777777" w:rsidR="00605A74" w:rsidRPr="009E1878" w:rsidRDefault="00605A74" w:rsidP="009E1878">
      <w:pPr>
        <w:pStyle w:val="JuHA"/>
      </w:pPr>
      <w:r>
        <w:t>Cu privire la admisibilitate</w:t>
      </w:r>
    </w:p>
    <w:p w14:paraId="34834A84" w14:textId="77777777" w:rsidR="00605A74" w:rsidRPr="009E1878" w:rsidRDefault="00605A74" w:rsidP="009E1878">
      <w:pPr>
        <w:pStyle w:val="JuH1"/>
      </w:pPr>
      <w:r>
        <w:t>Aplicabilitatea art. 7</w:t>
      </w:r>
    </w:p>
    <w:p w14:paraId="2BCE8092" w14:textId="77777777" w:rsidR="00605A74" w:rsidRPr="009E1878" w:rsidRDefault="007B421F" w:rsidP="009E1878">
      <w:pPr>
        <w:pStyle w:val="JuPara"/>
      </w:pPr>
      <w:r>
        <w:fldChar w:fldCharType="begin"/>
      </w:r>
      <w:r>
        <w:instrText xml:space="preserve"> SEQ level0 \*arabic </w:instrText>
      </w:r>
      <w:r>
        <w:fldChar w:fldCharType="separate"/>
      </w:r>
      <w:bookmarkStart w:id="19" w:name="paragraph00045"/>
      <w:r w:rsidR="009E1878" w:rsidRPr="009E1878">
        <w:t>45</w:t>
      </w:r>
      <w:bookmarkEnd w:id="19"/>
      <w:r>
        <w:fldChar w:fldCharType="end"/>
      </w:r>
      <w:r w:rsidR="00605A74">
        <w:t xml:space="preserve">. Guvernul a susținut că, prin alinierea hotărârii instanței maghiare la legislația ucraineană, decizia Curții de Apel Regionale </w:t>
      </w:r>
      <w:proofErr w:type="spellStart"/>
      <w:r w:rsidR="00605A74">
        <w:t>Zakarpattia</w:t>
      </w:r>
      <w:proofErr w:type="spellEnd"/>
      <w:r w:rsidR="00605A74">
        <w:t xml:space="preserve"> din 26 septembrie 2007 nu a impus reclamantului o pedeapsă. Acesta a făcut referire la jurisprudența Curții potrivit căreia deciziile de transfer, pronunțate fie în statul de condamnare, fie în statul de executare, nu intră sub incidența art. 7 din Convenție, care nu se aplică executării unei pedepse [Guvernul a citat hotărârea în cauza </w:t>
      </w:r>
      <w:proofErr w:type="spellStart"/>
      <w:r w:rsidR="00605A74">
        <w:rPr>
          <w:i/>
          <w:iCs/>
        </w:rPr>
        <w:t>Ciok</w:t>
      </w:r>
      <w:proofErr w:type="spellEnd"/>
      <w:r w:rsidR="00605A74">
        <w:t xml:space="preserve"> împotriva </w:t>
      </w:r>
      <w:r w:rsidR="00605A74">
        <w:rPr>
          <w:i/>
        </w:rPr>
        <w:t>Poloniei</w:t>
      </w:r>
      <w:r w:rsidR="00605A74">
        <w:t xml:space="preserve"> (dec.), nr. 498/10, pct. 32-33, 23 octombrie 2012, cu trimiterile suplimentare]. Acesta a susținut că art. 7 nu era aplicabil în speță.</w:t>
      </w:r>
    </w:p>
    <w:p w14:paraId="2C2739FB" w14:textId="77777777" w:rsidR="00605A74" w:rsidRPr="009E1878" w:rsidRDefault="007B421F" w:rsidP="009E1878">
      <w:pPr>
        <w:pStyle w:val="JuPara"/>
      </w:pPr>
      <w:r>
        <w:fldChar w:fldCharType="begin"/>
      </w:r>
      <w:r>
        <w:instrText xml:space="preserve"> SEQ level0 \*arabic </w:instrText>
      </w:r>
      <w:r>
        <w:fldChar w:fldCharType="separate"/>
      </w:r>
      <w:r w:rsidR="009E1878" w:rsidRPr="009E1878">
        <w:t>46</w:t>
      </w:r>
      <w:r>
        <w:fldChar w:fldCharType="end"/>
      </w:r>
      <w:r w:rsidR="00605A74">
        <w:t xml:space="preserve">. Reclamantul a susținut că înlocuirea pedepsei reductibile a detențiunii pe viață, la care a fost condamnat, cu pedeapsa ireductibilă </w:t>
      </w:r>
      <w:r w:rsidR="00605A74">
        <w:rPr>
          <w:i/>
        </w:rPr>
        <w:t>de facto</w:t>
      </w:r>
      <w:r w:rsidR="00605A74">
        <w:t xml:space="preserve"> a detențiunii pe viață a afectat sfera de aplicare a pedepsei și a condus la impunerea, în cazul său, a unei pedepse mai puțin favorabile El a susținut că, în legislația maghiară, se face distincție între pedeapsa reductibilă (a detențiunii </w:t>
      </w:r>
      <w:r w:rsidR="00605A74">
        <w:lastRenderedPageBreak/>
        <w:t xml:space="preserve">pe viață) și pedeapsa ireductibilă a detențiunii pe viață (supra, pct. </w:t>
      </w:r>
      <w:r w:rsidR="00605A74" w:rsidRPr="009E1878">
        <w:fldChar w:fldCharType="begin"/>
      </w:r>
      <w:r w:rsidR="00605A74" w:rsidRPr="009E1878">
        <w:instrText xml:space="preserve"> REF paragraph00024 \h  \* CharFormat </w:instrText>
      </w:r>
      <w:r w:rsidR="00605A74" w:rsidRPr="009E1878">
        <w:fldChar w:fldCharType="separate"/>
      </w:r>
      <w:r w:rsidR="009E1878" w:rsidRPr="009E1878">
        <w:t>24</w:t>
      </w:r>
      <w:r w:rsidR="00605A74" w:rsidRPr="009E1878">
        <w:fldChar w:fldCharType="end"/>
      </w:r>
      <w:r w:rsidR="00605A74">
        <w:t xml:space="preserve"> și </w:t>
      </w:r>
      <w:r w:rsidR="00605A74" w:rsidRPr="009E1878">
        <w:fldChar w:fldCharType="begin"/>
      </w:r>
      <w:r w:rsidR="00605A74" w:rsidRPr="009E1878">
        <w:instrText xml:space="preserve"> REF paragraph00025 \h  \* CharFormat </w:instrText>
      </w:r>
      <w:r w:rsidR="00605A74" w:rsidRPr="009E1878">
        <w:fldChar w:fldCharType="separate"/>
      </w:r>
      <w:r w:rsidR="009E1878" w:rsidRPr="009E1878">
        <w:t>25</w:t>
      </w:r>
      <w:r w:rsidR="00605A74" w:rsidRPr="009E1878">
        <w:fldChar w:fldCharType="end"/>
      </w:r>
      <w:r w:rsidR="00605A74">
        <w:t>) și că, având în vedere că autoritățile maghiare i-au impus o pedeapsă reductibilă, autoritățile ucrainene au agravat situația sa prin înlocuirea pedepsei respective cu ceea ce s-a dovedit a fi pedeapsa ireductibilă a detențiunii pe viață.</w:t>
      </w:r>
    </w:p>
    <w:p w14:paraId="77E81CF5" w14:textId="77777777" w:rsidR="00264E00" w:rsidRPr="009E1878" w:rsidRDefault="00731D45" w:rsidP="009E1878">
      <w:pPr>
        <w:pStyle w:val="JuPara"/>
      </w:pPr>
      <w:fldSimple w:instr=" SEQ level0 \*arabic \* MERGEFORMAT ">
        <w:bookmarkStart w:id="20" w:name="paragraph00047"/>
        <w:r w:rsidR="009E1878" w:rsidRPr="009E1878">
          <w:rPr>
            <w:noProof/>
          </w:rPr>
          <w:t>47</w:t>
        </w:r>
        <w:bookmarkEnd w:id="20"/>
      </w:fldSimple>
      <w:r w:rsidR="007048F8">
        <w:t>. Curtea reiterează faptul că, în jurisprudența sa consacrată, se face o distincție între o măsură care constituie în esență o „pedeapsă” și o măsură care privește „executarea” sau „punerea în executare” a unei „pedepse” [a se vedea</w:t>
      </w:r>
      <w:r w:rsidR="007048F8">
        <w:rPr>
          <w:rFonts w:ascii="Arial" w:hAnsi="Arial"/>
          <w:color w:val="000000"/>
        </w:rPr>
        <w:t xml:space="preserve"> </w:t>
      </w:r>
      <w:proofErr w:type="spellStart"/>
      <w:r w:rsidR="007048F8">
        <w:rPr>
          <w:i/>
        </w:rPr>
        <w:t>Kafkaris</w:t>
      </w:r>
      <w:proofErr w:type="spellEnd"/>
      <w:r w:rsidR="007048F8">
        <w:rPr>
          <w:i/>
        </w:rPr>
        <w:t xml:space="preserve"> </w:t>
      </w:r>
      <w:r w:rsidR="007048F8">
        <w:rPr>
          <w:i/>
          <w:iCs/>
        </w:rPr>
        <w:t>împotriva Ciprului</w:t>
      </w:r>
      <w:r w:rsidR="007048F8">
        <w:t xml:space="preserve"> (MC), nr. 21906/04, pct. 142, CEDO 2008, și </w:t>
      </w:r>
      <w:proofErr w:type="spellStart"/>
      <w:r w:rsidR="007048F8">
        <w:rPr>
          <w:i/>
        </w:rPr>
        <w:t>Del</w:t>
      </w:r>
      <w:proofErr w:type="spellEnd"/>
      <w:r w:rsidR="007048F8">
        <w:rPr>
          <w:i/>
        </w:rPr>
        <w:t xml:space="preserve"> </w:t>
      </w:r>
      <w:proofErr w:type="spellStart"/>
      <w:r w:rsidR="007048F8">
        <w:rPr>
          <w:i/>
        </w:rPr>
        <w:t>Río</w:t>
      </w:r>
      <w:proofErr w:type="spellEnd"/>
      <w:r w:rsidR="007048F8">
        <w:rPr>
          <w:i/>
        </w:rPr>
        <w:t xml:space="preserve"> Prada </w:t>
      </w:r>
      <w:r w:rsidR="007048F8">
        <w:rPr>
          <w:i/>
          <w:iCs/>
        </w:rPr>
        <w:t>împotriva Spaniei</w:t>
      </w:r>
      <w:r w:rsidR="007048F8">
        <w:t xml:space="preserve"> (MC), nr. 42750/09, pct. 83, CEDO 2013, cu trimiterile citate]. Indiferent dacă o cauză a avut ca obiect modificarea regimului de liberare condiționată de pe teritoriul unei țări sau dacă modificarea unui astfel regim a avut loc în urma transferului unor deținuți, Curtea a hotărât în mod constant că un astfel de regim se referă la executarea unei pedepse și, astfel, exclude aplicarea art. 7 (a se vedea </w:t>
      </w:r>
      <w:proofErr w:type="spellStart"/>
      <w:r w:rsidR="007048F8">
        <w:rPr>
          <w:i/>
        </w:rPr>
        <w:t>Kafkaris</w:t>
      </w:r>
      <w:proofErr w:type="spellEnd"/>
      <w:r w:rsidR="007048F8">
        <w:t xml:space="preserve">, citată anterior, pct. 142; </w:t>
      </w:r>
      <w:r w:rsidR="007048F8">
        <w:rPr>
          <w:i/>
        </w:rPr>
        <w:t>Grava împotriva Italiei</w:t>
      </w:r>
      <w:r w:rsidR="007048F8">
        <w:t>, nr. 43522/98, pct. 51, 10 iulie 2003; și</w:t>
      </w:r>
      <w:r w:rsidR="007048F8">
        <w:rPr>
          <w:i/>
        </w:rPr>
        <w:t xml:space="preserve"> </w:t>
      </w:r>
      <w:proofErr w:type="spellStart"/>
      <w:r w:rsidR="007048F8">
        <w:rPr>
          <w:i/>
        </w:rPr>
        <w:t>Ciok</w:t>
      </w:r>
      <w:proofErr w:type="spellEnd"/>
      <w:r w:rsidR="007048F8">
        <w:t>, citată anterior, pct. 34).</w:t>
      </w:r>
    </w:p>
    <w:p w14:paraId="1EABEDD9" w14:textId="77777777" w:rsidR="00264E00" w:rsidRPr="009E1878" w:rsidRDefault="007B421F" w:rsidP="009E1878">
      <w:pPr>
        <w:pStyle w:val="JuPara"/>
        <w:rPr>
          <w:spacing w:val="-4"/>
        </w:rPr>
      </w:pPr>
      <w:r>
        <w:fldChar w:fldCharType="begin"/>
      </w:r>
      <w:r>
        <w:instrText xml:space="preserve"> SEQ level0 \*arabic \* MERGEFORMAT </w:instrText>
      </w:r>
      <w:r>
        <w:fldChar w:fldCharType="separate"/>
      </w:r>
      <w:bookmarkStart w:id="21" w:name="paragraph00048"/>
      <w:r w:rsidR="009E1878" w:rsidRPr="009E1878">
        <w:t>48</w:t>
      </w:r>
      <w:bookmarkEnd w:id="21"/>
      <w:r>
        <w:fldChar w:fldCharType="end"/>
      </w:r>
      <w:r w:rsidR="00605A74">
        <w:t>. În special, în cauzele care priveau transferul unor deținuți, Curtea a hotărât că, în pofida faptului că perspectivele de acordare a liberării condiționate în statul de executare erau mai puțin favorabile decât în statul de condamnare, deciziile de transfer rămâneau în sfera de aplicare a executării pedepselor și nu constituiau o „pedeapsă” în sine, în sensul art. 7 [</w:t>
      </w:r>
      <w:proofErr w:type="spellStart"/>
      <w:r w:rsidR="00605A74">
        <w:rPr>
          <w:i/>
        </w:rPr>
        <w:t>Csoszánszki</w:t>
      </w:r>
      <w:proofErr w:type="spellEnd"/>
      <w:r w:rsidR="00605A74">
        <w:t xml:space="preserve"> </w:t>
      </w:r>
      <w:r w:rsidR="00605A74">
        <w:rPr>
          <w:i/>
          <w:iCs/>
        </w:rPr>
        <w:t xml:space="preserve">împotriva Suediei </w:t>
      </w:r>
      <w:r w:rsidR="00605A74">
        <w:t xml:space="preserve">(dec.), nr. 22318/02, 27 iunie 2006, și </w:t>
      </w:r>
      <w:r w:rsidR="00605A74">
        <w:rPr>
          <w:i/>
        </w:rPr>
        <w:t xml:space="preserve">Szabó </w:t>
      </w:r>
      <w:r w:rsidR="00605A74">
        <w:rPr>
          <w:i/>
          <w:iCs/>
        </w:rPr>
        <w:t>împotriva Suediei</w:t>
      </w:r>
      <w:r w:rsidR="00605A74">
        <w:t xml:space="preserve"> (dec.), nr. 28578/03, 27 iunie 2006]. Curtea a ajuns la aceeași concluzie în ceea ce privește deciziile de schimbare a pedepselor în statul de executare, atunci când pedeapsa a rămas aceeași, deși normele privind liberarea condiționată din statul de executare erau mai stricte decât în statul de condamnare [a se vedea </w:t>
      </w:r>
      <w:r w:rsidR="00605A74">
        <w:rPr>
          <w:i/>
        </w:rPr>
        <w:t>Müller împotriva Republicii</w:t>
      </w:r>
      <w:r w:rsidR="00605A74">
        <w:t xml:space="preserve"> </w:t>
      </w:r>
      <w:r w:rsidR="00605A74">
        <w:rPr>
          <w:i/>
          <w:iCs/>
        </w:rPr>
        <w:t>Cehe</w:t>
      </w:r>
      <w:r w:rsidR="00605A74">
        <w:t xml:space="preserve"> (dec.), nr. 48058/09, 6 septembrie 2011].</w:t>
      </w:r>
    </w:p>
    <w:p w14:paraId="44D067A3" w14:textId="77777777" w:rsidR="00605A74" w:rsidRPr="009E1878" w:rsidRDefault="00605A74" w:rsidP="009E1878">
      <w:pPr>
        <w:pStyle w:val="JuPara"/>
        <w:rPr>
          <w:rFonts w:ascii="Arial" w:hAnsi="Arial" w:cs="Arial"/>
          <w:iCs/>
          <w:color w:val="000000"/>
        </w:rPr>
      </w:pPr>
      <w:r w:rsidRPr="009E1878">
        <w:rPr>
          <w:rFonts w:eastAsia="Times New Roman"/>
        </w:rPr>
        <w:fldChar w:fldCharType="begin"/>
      </w:r>
      <w:r w:rsidRPr="009E1878">
        <w:rPr>
          <w:rFonts w:eastAsia="Times New Roman"/>
        </w:rPr>
        <w:instrText xml:space="preserve"> SEQ level0 \*arabic \* MERGEFORMAT </w:instrText>
      </w:r>
      <w:r w:rsidRPr="009E1878">
        <w:rPr>
          <w:rFonts w:eastAsia="Times New Roman"/>
        </w:rPr>
        <w:fldChar w:fldCharType="separate"/>
      </w:r>
      <w:r w:rsidR="009E1878" w:rsidRPr="009E1878">
        <w:rPr>
          <w:rFonts w:eastAsia="Times New Roman"/>
        </w:rPr>
        <w:t>49</w:t>
      </w:r>
      <w:r w:rsidRPr="009E1878">
        <w:rPr>
          <w:rFonts w:eastAsia="Times New Roman"/>
        </w:rPr>
        <w:fldChar w:fldCharType="end"/>
      </w:r>
      <w:r>
        <w:t xml:space="preserve">. Cu toate acestea, Curtea a recunoscut, de asemenea, că, în practică, este posibil ca distincția dintre o măsură care constituie o „pedeapsă” și o măsură care privește „executarea” sau „punerea în executare” a „pedepsei” să nu fie întotdeauna clară [a se vedea </w:t>
      </w:r>
      <w:proofErr w:type="spellStart"/>
      <w:r>
        <w:rPr>
          <w:i/>
        </w:rPr>
        <w:t>Kafkaris</w:t>
      </w:r>
      <w:proofErr w:type="spellEnd"/>
      <w:r>
        <w:t xml:space="preserve">, pct. 142, și </w:t>
      </w:r>
      <w:proofErr w:type="spellStart"/>
      <w:r>
        <w:rPr>
          <w:i/>
        </w:rPr>
        <w:t>Del</w:t>
      </w:r>
      <w:proofErr w:type="spellEnd"/>
      <w:r>
        <w:rPr>
          <w:i/>
        </w:rPr>
        <w:t xml:space="preserve"> </w:t>
      </w:r>
      <w:proofErr w:type="spellStart"/>
      <w:r>
        <w:rPr>
          <w:i/>
        </w:rPr>
        <w:t>Río</w:t>
      </w:r>
      <w:proofErr w:type="spellEnd"/>
      <w:r>
        <w:rPr>
          <w:i/>
        </w:rPr>
        <w:t xml:space="preserve"> Prada</w:t>
      </w:r>
      <w:r>
        <w:t xml:space="preserve">, pct. 85]. Noțiunea de „pedeapsă” de la art. 7 este, la fel ca noțiunile de „drepturi și obligații cu caracter civil” și „acuzație în materie penală” de la art. 6 § 1 din Convenție, este autonomă în ceea ce privește domeniul de aplicare. Formularea tezei a doua a art. 7 § 1 indică faptul că punctul de plecare al oricărei aprecieri a existenței unei pedepse este stabilirea faptului dacă măsura în cauză este aplicată ulterior condamnării pentru o „infracțiune”. Alți factori care ar putea fi luați în considerare ca relevanți în această privință sunt natura și scopul măsurii în cauză, încadrarea sa în temeiul dreptului național, procedurile implicate în luarea și punerea în aplicare a măsurii, precum și severitatea acesteia (a se vedea </w:t>
      </w:r>
      <w:proofErr w:type="spellStart"/>
      <w:r>
        <w:rPr>
          <w:i/>
        </w:rPr>
        <w:t>Welch</w:t>
      </w:r>
      <w:proofErr w:type="spellEnd"/>
      <w:r>
        <w:rPr>
          <w:i/>
        </w:rPr>
        <w:t xml:space="preserve"> împotriva Regatului Unit</w:t>
      </w:r>
      <w:r>
        <w:t>, 9 februarie 1995, pct. 27-28, seria A nr. 307</w:t>
      </w:r>
      <w:r>
        <w:noBreakHyphen/>
        <w:t xml:space="preserve">A, și </w:t>
      </w:r>
      <w:proofErr w:type="spellStart"/>
      <w:r>
        <w:rPr>
          <w:i/>
        </w:rPr>
        <w:t>Del</w:t>
      </w:r>
      <w:proofErr w:type="spellEnd"/>
      <w:r>
        <w:rPr>
          <w:i/>
        </w:rPr>
        <w:t xml:space="preserve"> </w:t>
      </w:r>
      <w:proofErr w:type="spellStart"/>
      <w:r>
        <w:rPr>
          <w:i/>
        </w:rPr>
        <w:t>Río</w:t>
      </w:r>
      <w:proofErr w:type="spellEnd"/>
      <w:r>
        <w:rPr>
          <w:i/>
        </w:rPr>
        <w:t xml:space="preserve"> Prada</w:t>
      </w:r>
      <w:r>
        <w:t>, citată anterior, pct. 81-82)</w:t>
      </w:r>
      <w:r>
        <w:rPr>
          <w:rFonts w:ascii="Arial" w:hAnsi="Arial"/>
          <w:color w:val="000000"/>
        </w:rPr>
        <w:t>.</w:t>
      </w:r>
    </w:p>
    <w:p w14:paraId="0A24AED6" w14:textId="77777777" w:rsidR="00605A74" w:rsidRPr="009E1878" w:rsidRDefault="00605A74" w:rsidP="009E1878">
      <w:pPr>
        <w:pStyle w:val="JuPara"/>
        <w:rPr>
          <w:iCs/>
        </w:rPr>
      </w:pPr>
      <w:r w:rsidRPr="009E1878">
        <w:rPr>
          <w:rFonts w:eastAsia="Times New Roman"/>
        </w:rPr>
        <w:fldChar w:fldCharType="begin"/>
      </w:r>
      <w:r w:rsidRPr="009E1878">
        <w:rPr>
          <w:rFonts w:eastAsia="Times New Roman"/>
        </w:rPr>
        <w:instrText xml:space="preserve"> SEQ level0 \*arabic \* MERGEFORMAT </w:instrText>
      </w:r>
      <w:r w:rsidRPr="009E1878">
        <w:rPr>
          <w:rFonts w:eastAsia="Times New Roman"/>
        </w:rPr>
        <w:fldChar w:fldCharType="separate"/>
      </w:r>
      <w:r w:rsidR="009E1878" w:rsidRPr="009E1878">
        <w:rPr>
          <w:rFonts w:eastAsia="Times New Roman"/>
        </w:rPr>
        <w:t>50</w:t>
      </w:r>
      <w:r w:rsidRPr="009E1878">
        <w:rPr>
          <w:rFonts w:eastAsia="Times New Roman"/>
        </w:rPr>
        <w:fldChar w:fldCharType="end"/>
      </w:r>
      <w:r>
        <w:t xml:space="preserve">. Astfel cum s-a arătat în hotărârea în cauza </w:t>
      </w:r>
      <w:proofErr w:type="spellStart"/>
      <w:r>
        <w:rPr>
          <w:i/>
          <w:iCs/>
        </w:rPr>
        <w:t>Del</w:t>
      </w:r>
      <w:proofErr w:type="spellEnd"/>
      <w:r>
        <w:rPr>
          <w:i/>
          <w:iCs/>
        </w:rPr>
        <w:t xml:space="preserve"> </w:t>
      </w:r>
      <w:proofErr w:type="spellStart"/>
      <w:r>
        <w:rPr>
          <w:i/>
          <w:iCs/>
        </w:rPr>
        <w:t>Río</w:t>
      </w:r>
      <w:proofErr w:type="spellEnd"/>
      <w:r>
        <w:rPr>
          <w:i/>
          <w:iCs/>
        </w:rPr>
        <w:t xml:space="preserve"> Prada</w:t>
      </w:r>
      <w:r>
        <w:t xml:space="preserve"> (citată anterior, pct. 89-90):</w:t>
      </w:r>
    </w:p>
    <w:p w14:paraId="3C53FA52" w14:textId="77777777" w:rsidR="00605A74" w:rsidRPr="009E1878" w:rsidRDefault="00605A74" w:rsidP="009E1878">
      <w:pPr>
        <w:pStyle w:val="JuQuot"/>
        <w:rPr>
          <w:rFonts w:eastAsia="Times New Roman"/>
          <w:iCs/>
        </w:rPr>
      </w:pPr>
      <w:r>
        <w:t>„89. [...] Curtea nu exclude posibilitatea ca unele măsuri luate de legiuitor, de autoritățile administrative sau de instanțe ulterior pronunțării unei pedepse definitive sau în timpul executării acesteia să conducă la redefinirea sau modificarea întinderii „pedepsei” aplicate de către instanța care a pronunțat-o. În acest caz, Curtea consideră că măsurile în discuție trebuie să intre sub incidența interdicției retroactivității pedepselor, consacrate de art. 7 § 1</w:t>
      </w:r>
      <w:r>
        <w:rPr>
          <w:i/>
          <w:iCs/>
        </w:rPr>
        <w:t xml:space="preserve"> in fine</w:t>
      </w:r>
      <w:r>
        <w:t xml:space="preserve"> din Convenție. Altminteri, statele ar fi libere să adopte – de exemplu prin modificarea legii sau reinterpretarea normelor stabilite – măsuri care redefinesc retroactiv și în detrimentul condamnatului întinderea pedepsei stabilite, chiar dacă acesta nu putea să prevadă acest lucru în momentul săvârșirii infracțiunii sau al pronunțării pedepsei.  În aceste condiții, art. 7 § 1 ar fi lipsit de orice efect util pentru condamnații cărora li s-a modificat întinderea pedepsei a posteriori </w:t>
      </w:r>
      <w:r w:rsidR="001925D3">
        <w:t>și</w:t>
      </w:r>
      <w:r>
        <w:t xml:space="preserve"> în detrimentul lor. Curtea precizează că asemenea modificări trebuie diferențiate de cele care pot fi aduse modalităților de executare a pedepsei, care nu intră în sfera de aplicare a art. 7 § 1 </w:t>
      </w:r>
      <w:r>
        <w:rPr>
          <w:i/>
          <w:iCs/>
        </w:rPr>
        <w:t>in fine</w:t>
      </w:r>
      <w:r>
        <w:t>.</w:t>
      </w:r>
    </w:p>
    <w:p w14:paraId="7CB6E690" w14:textId="77777777" w:rsidR="00605A74" w:rsidRPr="009E1878" w:rsidRDefault="00605A74" w:rsidP="009E1878">
      <w:pPr>
        <w:pStyle w:val="JuQuot"/>
        <w:rPr>
          <w:rFonts w:eastAsia="Times New Roman"/>
          <w:iCs/>
        </w:rPr>
      </w:pPr>
      <w:r>
        <w:t xml:space="preserve">90. Pentru a se pronunța asupra chestiunii dacă o măsură luată în timpul executării unei pedepse vizează numai modalitățile de executare a acesteia sau, din contră, afectează întinderea acesteia, Curtea trebuie să </w:t>
      </w:r>
      <w:r>
        <w:lastRenderedPageBreak/>
        <w:t>cerceteze în fiecare caz în parte ce anume implica, la vremea respectivă, în realitate în dreptul intern „pedeapsa” stabilită sau, cu alte cuvinte, care era natura intrinsecă a acesteia. Astfel, Curtea trebuie în special să ia în considerare dreptul intern în ansamblu și modul în care acesta era aplicat la vremea respectivă [...]”</w:t>
      </w:r>
    </w:p>
    <w:p w14:paraId="0FB82D28" w14:textId="77777777" w:rsidR="00264E00" w:rsidRPr="009E1878" w:rsidRDefault="007B421F" w:rsidP="009E1878">
      <w:pPr>
        <w:pStyle w:val="JuPara"/>
      </w:pPr>
      <w:r>
        <w:fldChar w:fldCharType="begin"/>
      </w:r>
      <w:r>
        <w:instrText xml:space="preserve"> SEQ level0 \*arabic </w:instrText>
      </w:r>
      <w:r>
        <w:fldChar w:fldCharType="separate"/>
      </w:r>
      <w:r w:rsidR="009E1878" w:rsidRPr="009E1878">
        <w:t>51</w:t>
      </w:r>
      <w:r>
        <w:fldChar w:fldCharType="end"/>
      </w:r>
      <w:r w:rsidR="00605A74">
        <w:t xml:space="preserve">. Curtea observă că, spre deosebire de cauzele în care s-a constatat că modificarea unui regim de liberare condiționată intra exclusiv în domeniul executării unei pedepse (supra, pct. </w:t>
      </w:r>
      <w:r w:rsidR="00605A74" w:rsidRPr="009E1878">
        <w:fldChar w:fldCharType="begin"/>
      </w:r>
      <w:r w:rsidR="00605A74" w:rsidRPr="009E1878">
        <w:instrText xml:space="preserve"> REF paragraph00047 \h  \* CharFormat </w:instrText>
      </w:r>
      <w:r w:rsidR="00605A74" w:rsidRPr="009E1878">
        <w:fldChar w:fldCharType="separate"/>
      </w:r>
      <w:r w:rsidR="009E1878" w:rsidRPr="009E1878">
        <w:t>47</w:t>
      </w:r>
      <w:r w:rsidR="00605A74" w:rsidRPr="009E1878">
        <w:fldChar w:fldCharType="end"/>
      </w:r>
      <w:r w:rsidR="00605A74">
        <w:t xml:space="preserve"> și </w:t>
      </w:r>
      <w:r w:rsidR="00605A74" w:rsidRPr="009E1878">
        <w:fldChar w:fldCharType="begin"/>
      </w:r>
      <w:r w:rsidR="00605A74" w:rsidRPr="009E1878">
        <w:instrText xml:space="preserve"> REF paragraph00048 \h  \* CharFormat </w:instrText>
      </w:r>
      <w:r w:rsidR="00605A74" w:rsidRPr="009E1878">
        <w:fldChar w:fldCharType="separate"/>
      </w:r>
      <w:r w:rsidR="009E1878" w:rsidRPr="009E1878">
        <w:t>48</w:t>
      </w:r>
      <w:r w:rsidR="00605A74" w:rsidRPr="009E1878">
        <w:fldChar w:fldCharType="end"/>
      </w:r>
      <w:r w:rsidR="00605A74">
        <w:t xml:space="preserve">), în speță, transferul reclamantului și, în special, modul în care a fost schimbată pedeapsa acestuia, echivala, în cele din urmă, cu o trecere de la un regim de liberare condiționată la lipsa totală a posibilității de liberare condiționată. Astfel cum a constatat Curtea, pedeapsa reclamantului, aplicată ca urmare a schimbării, este ireductibilă în temeiul legislației ucrainene actuale (supra, pct. </w:t>
      </w:r>
      <w:r w:rsidR="00605A74" w:rsidRPr="009E1878">
        <w:fldChar w:fldCharType="begin"/>
      </w:r>
      <w:r w:rsidR="00605A74" w:rsidRPr="009E1878">
        <w:instrText xml:space="preserve"> REF paragraph00042 \h  \* CharFormat  \* MERGEFORMAT </w:instrText>
      </w:r>
      <w:r w:rsidR="00605A74" w:rsidRPr="009E1878">
        <w:fldChar w:fldCharType="separate"/>
      </w:r>
      <w:r w:rsidR="009E1878" w:rsidRPr="009E1878">
        <w:t>42</w:t>
      </w:r>
      <w:r w:rsidR="00605A74" w:rsidRPr="009E1878">
        <w:fldChar w:fldCharType="end"/>
      </w:r>
      <w:r w:rsidR="00605A74">
        <w:t xml:space="preserve">). Astfel, diferența de principiu dintre prezenta cauză și cauzele anterioare referitoare la transferul deținuților, care sunt menționate la punctul </w:t>
      </w:r>
      <w:r w:rsidR="00605A74" w:rsidRPr="009E1878">
        <w:fldChar w:fldCharType="begin"/>
      </w:r>
      <w:r w:rsidR="00605A74" w:rsidRPr="009E1878">
        <w:instrText xml:space="preserve"> REF paragraph00048 \h  \* CharFormat  \* MERGEFORMAT </w:instrText>
      </w:r>
      <w:r w:rsidR="00605A74" w:rsidRPr="009E1878">
        <w:fldChar w:fldCharType="separate"/>
      </w:r>
      <w:r w:rsidR="009E1878" w:rsidRPr="009E1878">
        <w:t>48</w:t>
      </w:r>
      <w:r w:rsidR="00605A74" w:rsidRPr="009E1878">
        <w:fldChar w:fldCharType="end"/>
      </w:r>
      <w:r w:rsidR="00605A74">
        <w:t xml:space="preserve"> de mai sus, constă în faptul că acestea din urmă priveau condițiile de acordare a liberării condiționate în statul în care a fost transferat deținutul, în timp ce, prezenta cauză privește problema inexistența în legislație a liberării condiționate. Curtea observă, de asemenea, că, astfel cum reiese din dispozițiile relevante ale legislației maghiare, aceasta face distincție între pedeapsa reductibilă și pedeapsa ireductibilă a detențiunii pe viață (supra, pct. </w:t>
      </w:r>
      <w:r w:rsidR="00605A74" w:rsidRPr="009E1878">
        <w:fldChar w:fldCharType="begin"/>
      </w:r>
      <w:r w:rsidR="00605A74" w:rsidRPr="009E1878">
        <w:instrText xml:space="preserve"> REF paragraph00024 \h  \* CharFormat </w:instrText>
      </w:r>
      <w:r w:rsidR="00605A74" w:rsidRPr="009E1878">
        <w:fldChar w:fldCharType="separate"/>
      </w:r>
      <w:r w:rsidR="009E1878" w:rsidRPr="009E1878">
        <w:t>24</w:t>
      </w:r>
      <w:r w:rsidR="00605A74" w:rsidRPr="009E1878">
        <w:fldChar w:fldCharType="end"/>
      </w:r>
      <w:r w:rsidR="00605A74">
        <w:t xml:space="preserve"> și </w:t>
      </w:r>
      <w:r w:rsidR="00605A74" w:rsidRPr="009E1878">
        <w:fldChar w:fldCharType="begin"/>
      </w:r>
      <w:r w:rsidR="00605A74" w:rsidRPr="009E1878">
        <w:instrText xml:space="preserve"> REF paragraph00025 \h  \* CharFormat </w:instrText>
      </w:r>
      <w:r w:rsidR="00605A74" w:rsidRPr="009E1878">
        <w:fldChar w:fldCharType="separate"/>
      </w:r>
      <w:r w:rsidR="009E1878" w:rsidRPr="009E1878">
        <w:t>25</w:t>
      </w:r>
      <w:r w:rsidR="00605A74" w:rsidRPr="009E1878">
        <w:fldChar w:fldCharType="end"/>
      </w:r>
      <w:r w:rsidR="00605A74">
        <w:t>) și le prevede pe ambele. În cazul reclamantului, instanțele naționale din Ungaria au decis în mod explicit să îi impună pedeapsa reductibilă a detențiunii pe viață, și nu pe cea ireductibilă.</w:t>
      </w:r>
    </w:p>
    <w:p w14:paraId="27A92156" w14:textId="77777777" w:rsidR="00605A74" w:rsidRPr="009E1878" w:rsidRDefault="00731D45" w:rsidP="009E1878">
      <w:pPr>
        <w:pStyle w:val="JuPara"/>
      </w:pPr>
      <w:fldSimple w:instr=" SEQ level0 \*arabic \* MERGEFORMAT ">
        <w:r w:rsidR="009E1878" w:rsidRPr="009E1878">
          <w:rPr>
            <w:noProof/>
          </w:rPr>
          <w:t>52</w:t>
        </w:r>
      </w:fldSimple>
      <w:r w:rsidR="007048F8">
        <w:t xml:space="preserve">. În opinia Curții, pedeapsa reductibilă și pedeapsa ireductibilă a detențiunii pe viață diferă în ceea ce privește sfera lor de aplicare, iar diferența a fost suficient de semnificativă pentru ca această Curte să o considere pe prima incompatibilă cu cerințele Convenției [a se vedea </w:t>
      </w:r>
      <w:proofErr w:type="spellStart"/>
      <w:r w:rsidR="007048F8">
        <w:rPr>
          <w:i/>
          <w:iCs/>
        </w:rPr>
        <w:t>Vinter</w:t>
      </w:r>
      <w:proofErr w:type="spellEnd"/>
      <w:r w:rsidR="007048F8">
        <w:rPr>
          <w:i/>
          <w:iCs/>
        </w:rPr>
        <w:t xml:space="preserve"> și alții</w:t>
      </w:r>
      <w:r w:rsidR="007048F8">
        <w:t xml:space="preserve">, citată anterior, pct. 124-130, </w:t>
      </w:r>
      <w:proofErr w:type="spellStart"/>
      <w:r w:rsidR="007048F8">
        <w:rPr>
          <w:i/>
          <w:iCs/>
        </w:rPr>
        <w:t>Petuhov</w:t>
      </w:r>
      <w:proofErr w:type="spellEnd"/>
      <w:r w:rsidR="007048F8">
        <w:rPr>
          <w:i/>
          <w:iCs/>
        </w:rPr>
        <w:t xml:space="preserve"> (nr. 2)</w:t>
      </w:r>
      <w:r w:rsidR="007048F8">
        <w:t xml:space="preserve">, citată anterior, pct. 169-187], în timp ce acesta din urmă a fost considerată compatibilă cu aceste cerințe (a se vedea </w:t>
      </w:r>
      <w:proofErr w:type="spellStart"/>
      <w:r w:rsidR="007048F8">
        <w:rPr>
          <w:i/>
          <w:iCs/>
        </w:rPr>
        <w:t>Hutchinson</w:t>
      </w:r>
      <w:proofErr w:type="spellEnd"/>
      <w:r w:rsidR="007048F8">
        <w:t xml:space="preserve">, citată anterior, pct. 70-72). O astfel de distincție consolidează importanța motivului reabilitării persoanei private de libertate, care este esențial pentru politica penală europeană din prezent, așa cum se reflectă în practica statelor contractante, în standardele relevante adoptate de Consiliul Europei și în materialele internaționale relevante (a se vedea </w:t>
      </w:r>
      <w:proofErr w:type="spellStart"/>
      <w:r w:rsidR="007048F8">
        <w:rPr>
          <w:i/>
        </w:rPr>
        <w:t>Hutchinson</w:t>
      </w:r>
      <w:proofErr w:type="spellEnd"/>
      <w:r w:rsidR="007048F8">
        <w:t>, citată anterior, pct. 42).</w:t>
      </w:r>
    </w:p>
    <w:p w14:paraId="1E70B6DD" w14:textId="77777777" w:rsidR="00605A74" w:rsidRPr="009E1878" w:rsidRDefault="00731D45" w:rsidP="009E1878">
      <w:pPr>
        <w:pStyle w:val="JuPara"/>
      </w:pPr>
      <w:fldSimple w:instr=" SEQ level0 \*arabic \* MERGEFORMAT ">
        <w:r w:rsidR="009E1878" w:rsidRPr="009E1878">
          <w:rPr>
            <w:noProof/>
          </w:rPr>
          <w:t>53</w:t>
        </w:r>
      </w:fldSimple>
      <w:r w:rsidR="007048F8">
        <w:t xml:space="preserve">. Guvernul s-a bazat în mare măsură (supra, pct. </w:t>
      </w:r>
      <w:r w:rsidR="00605A74" w:rsidRPr="009E1878">
        <w:fldChar w:fldCharType="begin"/>
      </w:r>
      <w:r w:rsidR="00605A74" w:rsidRPr="009E1878">
        <w:instrText xml:space="preserve"> REF paragraph00038 \h  \* CharFormat  \* MERGEFORMAT </w:instrText>
      </w:r>
      <w:r w:rsidR="00605A74" w:rsidRPr="009E1878">
        <w:fldChar w:fldCharType="separate"/>
      </w:r>
      <w:r w:rsidR="009E1878" w:rsidRPr="009E1878">
        <w:t>38</w:t>
      </w:r>
      <w:r w:rsidR="00605A74" w:rsidRPr="009E1878">
        <w:fldChar w:fldCharType="end"/>
      </w:r>
      <w:r w:rsidR="007048F8">
        <w:t xml:space="preserve"> și </w:t>
      </w:r>
      <w:r w:rsidR="00605A74" w:rsidRPr="009E1878">
        <w:fldChar w:fldCharType="begin"/>
      </w:r>
      <w:r w:rsidR="00605A74" w:rsidRPr="009E1878">
        <w:instrText xml:space="preserve"> REF paragraph00045 \h  \* CharFormat  \* MERGEFORMAT </w:instrText>
      </w:r>
      <w:r w:rsidR="00605A74" w:rsidRPr="009E1878">
        <w:fldChar w:fldCharType="separate"/>
      </w:r>
      <w:r w:rsidR="009E1878" w:rsidRPr="009E1878">
        <w:t>45</w:t>
      </w:r>
      <w:r w:rsidR="00605A74" w:rsidRPr="009E1878">
        <w:fldChar w:fldCharType="end"/>
      </w:r>
      <w:r w:rsidR="007048F8">
        <w:t>) pe faptul că transferarea reclamantului și schimbarea pedepsei sale au avut loc în temeiul unui alt tratat internațional, și anume Convenția transferării persoanelor condamnate și protocolul adițional la aceasta, și că acesta era responsabil doar de executarea pedepsei prevăzute la art. 9 pct. 3 din convenția menționată (supra, pct. 33). Se pare că a considerat acest fapt deosebit de relevant.</w:t>
      </w:r>
    </w:p>
    <w:p w14:paraId="6523EEDC" w14:textId="77777777" w:rsidR="00605A74" w:rsidRPr="009E1878" w:rsidRDefault="00731D45" w:rsidP="009E1878">
      <w:pPr>
        <w:pStyle w:val="JuPara"/>
      </w:pPr>
      <w:fldSimple w:instr=" SEQ level0 \*arabic \* MERGEFORMAT ">
        <w:r w:rsidR="009E1878" w:rsidRPr="009E1878">
          <w:rPr>
            <w:noProof/>
          </w:rPr>
          <w:t>54</w:t>
        </w:r>
      </w:fldSimple>
      <w:r w:rsidR="007048F8">
        <w:t xml:space="preserve">. Curtea reiterează că nu are competența de a controla respectarea de către părțile contractante a altor instrumente decât Convenția europeană a drepturilor omului și protocoalele sale [a se vedea </w:t>
      </w:r>
      <w:proofErr w:type="spellStart"/>
      <w:r w:rsidR="007048F8">
        <w:rPr>
          <w:i/>
        </w:rPr>
        <w:t>Zehnalová</w:t>
      </w:r>
      <w:proofErr w:type="spellEnd"/>
      <w:r w:rsidR="007048F8">
        <w:rPr>
          <w:i/>
        </w:rPr>
        <w:t xml:space="preserve"> și </w:t>
      </w:r>
      <w:proofErr w:type="spellStart"/>
      <w:r w:rsidR="007048F8">
        <w:rPr>
          <w:i/>
        </w:rPr>
        <w:t>Zehnal</w:t>
      </w:r>
      <w:proofErr w:type="spellEnd"/>
      <w:r w:rsidR="007048F8">
        <w:rPr>
          <w:i/>
        </w:rPr>
        <w:t xml:space="preserve"> împotriva Republicii Cehe</w:t>
      </w:r>
      <w:r w:rsidR="007048F8">
        <w:t xml:space="preserve"> (dec.), nr. 38621/97, CEDO 2002</w:t>
      </w:r>
      <w:r w:rsidR="007048F8">
        <w:noBreakHyphen/>
        <w:t xml:space="preserve">V]. Cu toate acestea, Curtea poate să aprecieze dacă statul își respectă obligațiile impuse de Convenție atunci când pune în aplicare tratatele internaționale privind asistența judiciară (a se vedea, printre multe alte cauze cu privire la extrădare, </w:t>
      </w:r>
      <w:proofErr w:type="spellStart"/>
      <w:r w:rsidR="007048F8">
        <w:rPr>
          <w:i/>
        </w:rPr>
        <w:t>Soldatenko</w:t>
      </w:r>
      <w:proofErr w:type="spellEnd"/>
      <w:r w:rsidR="007048F8">
        <w:rPr>
          <w:i/>
        </w:rPr>
        <w:t xml:space="preserve"> împotriva Ucrainei</w:t>
      </w:r>
      <w:r w:rsidR="007048F8">
        <w:t xml:space="preserve">, nr. 2440/07, 23 octombrie 2008; cu privire la transferul de proceduri în materie penală - </w:t>
      </w:r>
      <w:proofErr w:type="spellStart"/>
      <w:r w:rsidR="007048F8">
        <w:rPr>
          <w:i/>
        </w:rPr>
        <w:t>Garkavi</w:t>
      </w:r>
      <w:proofErr w:type="spellEnd"/>
      <w:r w:rsidR="007048F8">
        <w:rPr>
          <w:i/>
        </w:rPr>
        <w:t xml:space="preserve"> împotriva Ucrainei</w:t>
      </w:r>
      <w:r w:rsidR="007048F8">
        <w:t>, nr. 25978/07, 18 februarie 2010; cu privire la asistența reciprocă în materie penală -</w:t>
      </w:r>
      <w:r w:rsidR="007048F8">
        <w:rPr>
          <w:rFonts w:ascii="Times New Roman" w:hAnsi="Times New Roman"/>
          <w:i/>
        </w:rPr>
        <w:t xml:space="preserve"> </w:t>
      </w:r>
      <w:proofErr w:type="spellStart"/>
      <w:r w:rsidR="007048F8">
        <w:rPr>
          <w:i/>
        </w:rPr>
        <w:t>Zukovski</w:t>
      </w:r>
      <w:proofErr w:type="spellEnd"/>
      <w:r w:rsidR="007048F8">
        <w:rPr>
          <w:i/>
        </w:rPr>
        <w:t xml:space="preserve"> împotriva Ucrainei</w:t>
      </w:r>
      <w:r w:rsidR="007048F8">
        <w:t>, nr. 31240/03, 3 martie 2011)</w:t>
      </w:r>
      <w:r w:rsidR="007048F8">
        <w:rPr>
          <w:rFonts w:ascii="Times New Roman" w:hAnsi="Times New Roman"/>
        </w:rPr>
        <w:t>.</w:t>
      </w:r>
    </w:p>
    <w:p w14:paraId="2E8F5F11" w14:textId="77777777" w:rsidR="00264E00" w:rsidRPr="009E1878" w:rsidRDefault="00731D45" w:rsidP="009E1878">
      <w:pPr>
        <w:pStyle w:val="JuPara"/>
      </w:pPr>
      <w:fldSimple w:instr=" SEQ level0 \*arabic \* MERGEFORMAT ">
        <w:r w:rsidR="009E1878" w:rsidRPr="009E1878">
          <w:rPr>
            <w:noProof/>
          </w:rPr>
          <w:t>55</w:t>
        </w:r>
      </w:fldSimple>
      <w:r w:rsidR="007048F8">
        <w:t>. În ceea ce privește noțiunea autonomă de „pedeapsă”, în sensul art. 7 din Convenție, Curtea nu consideră că interpretarea acesteia ar putea fi substanțial diferită în funcție de situația în care măsura despre care se pretinde că reprezintă o nouă „pedeapsă” a fost rezultatul aplicării dreptului intern sau de situația în care măsura în cauză a implicat, de asemenea, aplicarea unor tratate internaționale care obligă statul pârât.</w:t>
      </w:r>
    </w:p>
    <w:p w14:paraId="4D3ECD4A" w14:textId="77777777" w:rsidR="00605A74" w:rsidRPr="009E1878" w:rsidRDefault="00731D45" w:rsidP="009E1878">
      <w:pPr>
        <w:pStyle w:val="JuPara"/>
      </w:pPr>
      <w:fldSimple w:instr=" SEQ level0 \*arabic \* MERGEFORMAT ">
        <w:r w:rsidR="009E1878" w:rsidRPr="009E1878">
          <w:rPr>
            <w:noProof/>
          </w:rPr>
          <w:t>56</w:t>
        </w:r>
      </w:fldSimple>
      <w:r w:rsidR="007048F8">
        <w:t xml:space="preserve">. Prin urmare, Curtea concluzionează că, prin înlocuirea pedepsei reductibile a detențiunii pe viață aplicată reclamantului cu pedeapsa ireductibilă a detențiunii pe viață, în temeiul dreptului ucrainean, instanțele naționale, în circumstanțele specifice ale prezentei cauze, au </w:t>
      </w:r>
      <w:r w:rsidR="007048F8">
        <w:lastRenderedPageBreak/>
        <w:t>depășit simplele măsuri de executare și au modificat sfera de aplicare a pedepsei reclamantului. Prin urmare, art. 7 este aplicabil în prezenta cauză.</w:t>
      </w:r>
    </w:p>
    <w:p w14:paraId="7D567FF9" w14:textId="77777777" w:rsidR="00605A74" w:rsidRPr="009E1878" w:rsidRDefault="00605A74" w:rsidP="009E1878">
      <w:pPr>
        <w:pStyle w:val="JuH1"/>
      </w:pPr>
      <w:r>
        <w:t>Respectarea termenului prevăzut la art. 35 § 1 din Convenție</w:t>
      </w:r>
    </w:p>
    <w:p w14:paraId="7A786977" w14:textId="77777777" w:rsidR="00605A74" w:rsidRPr="009E1878" w:rsidRDefault="00731D45" w:rsidP="009E1878">
      <w:pPr>
        <w:pStyle w:val="JuPara"/>
      </w:pPr>
      <w:fldSimple w:instr=" SEQ level0 \*arabic \* MERGEFORMAT ">
        <w:r w:rsidR="009E1878" w:rsidRPr="009E1878">
          <w:rPr>
            <w:noProof/>
          </w:rPr>
          <w:t>57</w:t>
        </w:r>
      </w:fldSimple>
      <w:r w:rsidR="007048F8">
        <w:t xml:space="preserve">. Guvernul nu a prezentat observații cu privire la aspectul sus-menționat. În această privință, Curtea reiterează faptul că termenul prevăzut la art. 35 § 1 din Convenție, ce reflectă dorința părților contractante de a împiedica punerea în discuție a deciziilor anterioare după o perioadă nedeterminată, servește nu numai intereselor guvernului pârât, ci și securității juridice ca valoare în sine. Acesta marchează limitele în timp ale controlului efectuat de organele Convenției și indică atât persoanelor particulare, cât și autorităților statului, perioada dincolo de care acest control nu mai este posibil. Prin urmare, Curtea nu poate anula aplicarea acestui termen doar pentru că un guvern nu a formulat o excepție preliminară întemeiată pe acesta [a se vedea </w:t>
      </w:r>
      <w:r w:rsidR="007048F8">
        <w:rPr>
          <w:i/>
        </w:rPr>
        <w:t xml:space="preserve">Walker împotriva Regatului Unit </w:t>
      </w:r>
      <w:r w:rsidR="007048F8">
        <w:t>(dec.), nr. 34979/97, CEDO 2000-I].</w:t>
      </w:r>
    </w:p>
    <w:p w14:paraId="7872FDBA" w14:textId="77777777" w:rsidR="00605A74" w:rsidRPr="009E1878" w:rsidRDefault="00731D45" w:rsidP="009E1878">
      <w:pPr>
        <w:pStyle w:val="JuPara"/>
      </w:pPr>
      <w:fldSimple w:instr=" SEQ level0 \*arabic \* MERGEFORMAT ">
        <w:r w:rsidR="009E1878" w:rsidRPr="009E1878">
          <w:rPr>
            <w:noProof/>
          </w:rPr>
          <w:t>58</w:t>
        </w:r>
      </w:fldSimple>
      <w:r w:rsidR="007048F8">
        <w:t xml:space="preserve">. Transferarea reclamantului în Ucraina și deciziile de schimbare a pedepsei sale inițiale au avut loc în 2007 (supra, pct. </w:t>
      </w:r>
      <w:r w:rsidR="00605A74" w:rsidRPr="009E1878">
        <w:fldChar w:fldCharType="begin"/>
      </w:r>
      <w:r w:rsidR="00605A74" w:rsidRPr="009E1878">
        <w:instrText xml:space="preserve"> REF paragraph00010 \h  \* CharFormat </w:instrText>
      </w:r>
      <w:r w:rsidR="00605A74" w:rsidRPr="009E1878">
        <w:fldChar w:fldCharType="separate"/>
      </w:r>
      <w:r w:rsidR="009E1878" w:rsidRPr="009E1878">
        <w:t>10</w:t>
      </w:r>
      <w:r w:rsidR="00605A74" w:rsidRPr="009E1878">
        <w:fldChar w:fldCharType="end"/>
      </w:r>
      <w:r w:rsidR="007048F8">
        <w:t>-</w:t>
      </w:r>
      <w:r w:rsidR="00605A74" w:rsidRPr="009E1878">
        <w:fldChar w:fldCharType="begin"/>
      </w:r>
      <w:r w:rsidR="00605A74" w:rsidRPr="009E1878">
        <w:instrText xml:space="preserve"> REF paragraph00013 \h  \* CharFormat </w:instrText>
      </w:r>
      <w:r w:rsidR="00605A74" w:rsidRPr="009E1878">
        <w:fldChar w:fldCharType="separate"/>
      </w:r>
      <w:r w:rsidR="009E1878" w:rsidRPr="009E1878">
        <w:t>13</w:t>
      </w:r>
      <w:r w:rsidR="00605A74" w:rsidRPr="009E1878">
        <w:fldChar w:fldCharType="end"/>
      </w:r>
      <w:r w:rsidR="007048F8">
        <w:t xml:space="preserve">), în timp ce cererea a fost depusă în fața Curții la 15 ianuarie 2018. În această privință, Curtea reamintește, </w:t>
      </w:r>
      <w:r w:rsidR="007048F8">
        <w:rPr>
          <w:i/>
        </w:rPr>
        <w:t>mutatis mutandis</w:t>
      </w:r>
      <w:r w:rsidR="007048F8">
        <w:t xml:space="preserve">, jurisprudența sa potrivit căreia, în cazul în care dreptul intern nu prevede niciun mecanism sau nicio posibilitate de revizuire a pedepsei detențiunii pe viață, incompatibilitatea cu art. 3 din acest motiv apare deja în momentul aplicării pedepsei detențiunii pe viață, nu într-o etapă ulterioară a detenției (a se vedea </w:t>
      </w:r>
      <w:proofErr w:type="spellStart"/>
      <w:r w:rsidR="007048F8">
        <w:rPr>
          <w:i/>
        </w:rPr>
        <w:t>Vinter</w:t>
      </w:r>
      <w:proofErr w:type="spellEnd"/>
      <w:r w:rsidR="007048F8">
        <w:rPr>
          <w:i/>
        </w:rPr>
        <w:t xml:space="preserve"> și alții</w:t>
      </w:r>
      <w:r w:rsidR="007048F8">
        <w:t>, citată anterior, pct. 122). În principiu, cele de mai sus ar putea avea implicații asupra datei la care începe să curgă termenul prevăzut la art. 35 § 1 din Convenție în ceea ce privește capetele de cerere formulate în temeiul art. 7.</w:t>
      </w:r>
    </w:p>
    <w:p w14:paraId="6E7CC061" w14:textId="77777777" w:rsidR="00264E00" w:rsidRPr="009E1878" w:rsidRDefault="007B421F" w:rsidP="009E1878">
      <w:pPr>
        <w:pStyle w:val="JuPara"/>
      </w:pPr>
      <w:r>
        <w:fldChar w:fldCharType="begin"/>
      </w:r>
      <w:r>
        <w:instrText xml:space="preserve"> SEQ level0 \*arabic \* MERGEFORMAT </w:instrText>
      </w:r>
      <w:r>
        <w:fldChar w:fldCharType="separate"/>
      </w:r>
      <w:r w:rsidR="009E1878" w:rsidRPr="009E1878">
        <w:t>59</w:t>
      </w:r>
      <w:r>
        <w:fldChar w:fldCharType="end"/>
      </w:r>
      <w:r w:rsidR="007048F8">
        <w:t xml:space="preserve">. Cu toate acestea, în speță, Curtea de Apel Regională </w:t>
      </w:r>
      <w:proofErr w:type="spellStart"/>
      <w:r w:rsidR="007048F8">
        <w:t>Zakarpattia</w:t>
      </w:r>
      <w:proofErr w:type="spellEnd"/>
      <w:r w:rsidR="007048F8">
        <w:t xml:space="preserve">, în hotărârea din 26 septembrie 2007 privind transferul reclamantului, și Curtea Supremă, în decizia din 20 decembrie 2007, au reținut în mod clar că reclamantul avea dreptul de a solicita liberarea condiționată (supra, pct. </w:t>
      </w:r>
      <w:r w:rsidR="00605A74" w:rsidRPr="009E1878">
        <w:fldChar w:fldCharType="begin"/>
      </w:r>
      <w:r w:rsidR="00605A74" w:rsidRPr="009E1878">
        <w:instrText xml:space="preserve"> REF paragraph00012 \h  \* CharFormat  \* MERGEFORMAT </w:instrText>
      </w:r>
      <w:r w:rsidR="00605A74" w:rsidRPr="009E1878">
        <w:fldChar w:fldCharType="separate"/>
      </w:r>
      <w:r w:rsidR="009E1878" w:rsidRPr="009E1878">
        <w:t>12</w:t>
      </w:r>
      <w:r w:rsidR="00605A74" w:rsidRPr="009E1878">
        <w:fldChar w:fldCharType="end"/>
      </w:r>
      <w:r w:rsidR="007048F8">
        <w:t xml:space="preserve"> și </w:t>
      </w:r>
      <w:r w:rsidR="00605A74" w:rsidRPr="009E1878">
        <w:fldChar w:fldCharType="begin"/>
      </w:r>
      <w:r w:rsidR="00605A74" w:rsidRPr="009E1878">
        <w:instrText xml:space="preserve"> REF paragraph00013 \h  \* CharFormat </w:instrText>
      </w:r>
      <w:r w:rsidR="00605A74" w:rsidRPr="009E1878">
        <w:fldChar w:fldCharType="separate"/>
      </w:r>
      <w:r w:rsidR="009E1878" w:rsidRPr="009E1878">
        <w:t>13</w:t>
      </w:r>
      <w:r w:rsidR="00605A74" w:rsidRPr="009E1878">
        <w:fldChar w:fldCharType="end"/>
      </w:r>
      <w:r w:rsidR="007048F8">
        <w:t>). Deși această precizare s-a dovedit a fi lipsită de temei în dreptul ucrainean, nu se poate exclude faptul că reclamantul a fost totuși lăsat să creadă că, în situația sa particulară, ar avea dreptul să fie liberat condiționat, dacă ar fi îndeplinite celelalte condiții relevante, cum ar fi executarea unui număr minim de ani de închisoare.</w:t>
      </w:r>
    </w:p>
    <w:p w14:paraId="42ED3429" w14:textId="77777777" w:rsidR="00605A74" w:rsidRPr="009E1878" w:rsidRDefault="007B421F" w:rsidP="009E1878">
      <w:pPr>
        <w:pStyle w:val="JuPara"/>
      </w:pPr>
      <w:r>
        <w:fldChar w:fldCharType="begin"/>
      </w:r>
      <w:r>
        <w:instrText xml:space="preserve"> SEQ level0 \*arabic \* MERGEFORMAT </w:instrText>
      </w:r>
      <w:r>
        <w:fldChar w:fldCharType="separate"/>
      </w:r>
      <w:r w:rsidR="009E1878" w:rsidRPr="009E1878">
        <w:t>60</w:t>
      </w:r>
      <w:r>
        <w:fldChar w:fldCharType="end"/>
      </w:r>
      <w:r w:rsidR="007048F8">
        <w:t xml:space="preserve">. Instanțele interne l-au privat ulterior de acest drept, prin respingerea cererii sale de liberare condiționată, și nu au ținut seama de argumentul său privind „agravarea pedepsei” (supra, pct. </w:t>
      </w:r>
      <w:r w:rsidR="00605A74" w:rsidRPr="009E1878">
        <w:fldChar w:fldCharType="begin"/>
      </w:r>
      <w:r w:rsidR="00605A74" w:rsidRPr="009E1878">
        <w:instrText xml:space="preserve"> REF paragraph00014 \h  \* CharFormat  \* MERGEFORMAT </w:instrText>
      </w:r>
      <w:r w:rsidR="00605A74" w:rsidRPr="009E1878">
        <w:fldChar w:fldCharType="separate"/>
      </w:r>
      <w:r w:rsidR="009E1878" w:rsidRPr="009E1878">
        <w:t>14</w:t>
      </w:r>
      <w:r w:rsidR="00605A74" w:rsidRPr="009E1878">
        <w:fldChar w:fldCharType="end"/>
      </w:r>
      <w:r w:rsidR="007048F8">
        <w:t>-</w:t>
      </w:r>
      <w:r w:rsidR="00605A74" w:rsidRPr="009E1878">
        <w:fldChar w:fldCharType="begin"/>
      </w:r>
      <w:r w:rsidR="00605A74" w:rsidRPr="009E1878">
        <w:instrText xml:space="preserve"> REF paragraph00017 \h  \* CharFormat  \* MERGEFORMAT </w:instrText>
      </w:r>
      <w:r w:rsidR="00605A74" w:rsidRPr="009E1878">
        <w:fldChar w:fldCharType="separate"/>
      </w:r>
      <w:r w:rsidR="009E1878" w:rsidRPr="009E1878">
        <w:t>17</w:t>
      </w:r>
      <w:r w:rsidR="00605A74" w:rsidRPr="009E1878">
        <w:fldChar w:fldCharType="end"/>
      </w:r>
      <w:r w:rsidR="007048F8">
        <w:t xml:space="preserve">). Instanțele naționale au confirmat că, în legislația ucraineană, nu exista nicio procedură și nici norme privind liberarea condiționată a unei persoane condamnate la pedeapsa detențiunii pe viață, indiferent de faptul că pedeapsa reclamantului era rezultatul înlocuirii unei pedepse pronunțate într-un stat străin. Se pare că argumentele lor, referitoare la nefurnizarea de către reclamant a unor dovezi care să demonstreze că se îndreptase, nu au avut nicio incidență asupra constatării potrivit căreia reclamantul nu avea dreptul să fie liberat condiționat, indiferent de comportamentul său. Procedura privind cererile de liberare condiționată formulate de reclamant, din care acesta ar fi putut, fără îndoială, să își dea seama că orice cerere de punere în libertate nu avea nicio șansă de reușită nici măcar în teorie, ca urmare a prevederilor dreptului național, s-a încheiat la 17 iulie 2017, așadar cu mai puțin de șase luni înainte de depunerea prezentei cereri, la 15 ianuarie 2018. În plus, această procedură și procedura ulterioară din 2018 cu privire la aceeași chestiune (supra, pct. </w:t>
      </w:r>
      <w:r w:rsidR="00605A74" w:rsidRPr="009E1878">
        <w:fldChar w:fldCharType="begin"/>
      </w:r>
      <w:r w:rsidR="00605A74" w:rsidRPr="009E1878">
        <w:instrText xml:space="preserve"> REF paragraph00018 \h  \* CharFormat  \* MERGEFORMAT </w:instrText>
      </w:r>
      <w:r w:rsidR="00605A74" w:rsidRPr="009E1878">
        <w:fldChar w:fldCharType="separate"/>
      </w:r>
      <w:r w:rsidR="009E1878" w:rsidRPr="009E1878">
        <w:t>18</w:t>
      </w:r>
      <w:r w:rsidR="00605A74" w:rsidRPr="009E1878">
        <w:fldChar w:fldCharType="end"/>
      </w:r>
      <w:r w:rsidR="007048F8">
        <w:t>) par să îl fi lăsat pe reclamant să creadă că principalul obstacol în calea punerii sale în libertate era mai degrabă lipsa dovezilor că se îndreptase decât prevederile dreptului intern. Rezultă că reclamantul a depus cererea în timp util.</w:t>
      </w:r>
    </w:p>
    <w:p w14:paraId="20F6EA87" w14:textId="77777777" w:rsidR="00605A74" w:rsidRPr="009E1878" w:rsidRDefault="00605A74" w:rsidP="009E1878">
      <w:pPr>
        <w:pStyle w:val="JuH1"/>
      </w:pPr>
      <w:r>
        <w:lastRenderedPageBreak/>
        <w:t>Concluzie privind admisibilitatea</w:t>
      </w:r>
    </w:p>
    <w:p w14:paraId="3B900A85" w14:textId="77777777" w:rsidR="00605A74" w:rsidRPr="009E1878" w:rsidRDefault="00731D45" w:rsidP="009E1878">
      <w:pPr>
        <w:pStyle w:val="JuPara"/>
      </w:pPr>
      <w:fldSimple w:instr=" SEQ level0 \*arabic \* MERGEFORMAT ">
        <w:r w:rsidR="009E1878" w:rsidRPr="009E1878">
          <w:rPr>
            <w:noProof/>
          </w:rPr>
          <w:t>61</w:t>
        </w:r>
      </w:fldSimple>
      <w:r w:rsidR="007048F8">
        <w:t>. Curtea constată că această plângere nu este nici vădit nefondată, nici inadmisibilă pentru alte motive enumerate la art. 35 din Convenție. Prin urmare, trebuie să fie declarată admisibilă.</w:t>
      </w:r>
    </w:p>
    <w:p w14:paraId="1FF0631D" w14:textId="77777777" w:rsidR="00605A74" w:rsidRPr="009E1878" w:rsidRDefault="00605A74" w:rsidP="009E1878">
      <w:pPr>
        <w:pStyle w:val="JuHA"/>
      </w:pPr>
      <w:r>
        <w:t>Cu privire la fond</w:t>
      </w:r>
    </w:p>
    <w:p w14:paraId="64171E5C" w14:textId="77777777" w:rsidR="00605A74" w:rsidRPr="009E1878" w:rsidRDefault="00731D45" w:rsidP="009E1878">
      <w:pPr>
        <w:pStyle w:val="JuPara"/>
      </w:pPr>
      <w:fldSimple w:instr=" SEQ level0 \*arabic \* MERGEFORMAT ">
        <w:r w:rsidR="009E1878" w:rsidRPr="009E1878">
          <w:rPr>
            <w:noProof/>
          </w:rPr>
          <w:t>62</w:t>
        </w:r>
      </w:fldSimple>
      <w:r w:rsidR="007048F8">
        <w:t>. Reclamantul a considerat că situația lui s-a înrăutățit atunci când pedeapsa reductibilă a detențiunii pe viață a fost înlocuită cu pedeapsa ireductibilă a detențiunii pe viață, care era o pedeapsă mai severă. Acesta a susținut că judecătorii ucraineni ar fi trebuit să cunoască prevederile din dreptul intern și să își dea seama că reclamantul nu are dreptul să solicite liberarea condiționată în temeiul legislației ucrainene. Astfel, în opinia sa, aceștia nu puteau să îi agraveze situația și ar fi trebuit să îl condamne la pedeapsa închisorii pe durată determinată, care era de maximum cincisprezece ani. În schimb, l-au indus în eroare, precizând în hotărârile lor din 2007 că pedeapsa detențiunii pe viață care i se aplicase era reductibilă și că acesta avea posibilitatea de a solicita liberarea condiționată după executarea a douăzeci de ani de închisoare.</w:t>
      </w:r>
    </w:p>
    <w:p w14:paraId="65F48C8E" w14:textId="77777777" w:rsidR="00605A74" w:rsidRPr="009E1878" w:rsidRDefault="00731D45" w:rsidP="009E1878">
      <w:pPr>
        <w:pStyle w:val="JuPara"/>
      </w:pPr>
      <w:fldSimple w:instr=" SEQ level0 \*arabic \* MERGEFORMAT ">
        <w:r w:rsidR="009E1878" w:rsidRPr="009E1878">
          <w:rPr>
            <w:noProof/>
          </w:rPr>
          <w:t>63</w:t>
        </w:r>
      </w:fldSimple>
      <w:r w:rsidR="007048F8">
        <w:t>. Guvernul nu a prezentat observații privind fondul cauzei, considerând că art. 7 nu era aplicabil.</w:t>
      </w:r>
    </w:p>
    <w:p w14:paraId="71C11B52" w14:textId="77777777" w:rsidR="00605A74" w:rsidRPr="009E1878" w:rsidRDefault="00731D45" w:rsidP="009E1878">
      <w:pPr>
        <w:pStyle w:val="JuPara"/>
      </w:pPr>
      <w:fldSimple w:instr=" SEQ level0 \*arabic \* MERGEFORMAT ">
        <w:r w:rsidR="009E1878" w:rsidRPr="009E1878">
          <w:rPr>
            <w:noProof/>
          </w:rPr>
          <w:t>64</w:t>
        </w:r>
      </w:fldSimple>
      <w:r w:rsidR="007048F8">
        <w:t xml:space="preserve">. Curtea observă că pedeapsa „care era aplicabilă la momentul săvârșirii infracțiunii”, în sensul art. 7, era pedeapsa reductibilă a detențiunii pe viață. Curtea consideră că, refuzându-i reclamantului posibilitatea reală de a solicita liberarea condiționată, autoritățile naționale au confirmat că au înlocuit pedeapsa reductibilă aplicată inițial acestuia cu pedeapsa ireductibilă </w:t>
      </w:r>
      <w:r w:rsidR="007048F8">
        <w:rPr>
          <w:i/>
        </w:rPr>
        <w:t>de facto</w:t>
      </w:r>
      <w:r w:rsidR="007048F8">
        <w:t xml:space="preserve"> și </w:t>
      </w:r>
      <w:r w:rsidR="007048F8">
        <w:rPr>
          <w:i/>
          <w:iCs/>
        </w:rPr>
        <w:t>de jure</w:t>
      </w:r>
      <w:r w:rsidR="007048F8">
        <w:t xml:space="preserve"> a detențiunii pe viață și că, astfel, au modificat sfera de aplicare a pedepsei inițiale în detrimentul reclamantului, impunându-i o pedeapsă mai severă. În lumina considerentelor anterioare, Curtea concluzionează că a fost încălcat art. 7 din Convenție.</w:t>
      </w:r>
    </w:p>
    <w:p w14:paraId="1841FCAC" w14:textId="77777777" w:rsidR="00605A74" w:rsidRPr="009E1878" w:rsidRDefault="00605A74" w:rsidP="009E1878">
      <w:pPr>
        <w:pStyle w:val="JuHIRoman"/>
        <w:tabs>
          <w:tab w:val="left" w:pos="567"/>
          <w:tab w:val="left" w:pos="680"/>
        </w:tabs>
        <w:ind w:left="397" w:hanging="397"/>
      </w:pPr>
      <w:r>
        <w:t>CU PRIVIRE LA APLICAREA ART. 41 DIN CONVENȚIE</w:t>
      </w:r>
    </w:p>
    <w:p w14:paraId="36870AE8" w14:textId="77777777" w:rsidR="00605A74" w:rsidRPr="009E1878" w:rsidRDefault="007B421F" w:rsidP="009E1878">
      <w:pPr>
        <w:pStyle w:val="JuPara"/>
        <w:keepNext/>
        <w:keepLines/>
      </w:pPr>
      <w:r>
        <w:fldChar w:fldCharType="begin"/>
      </w:r>
      <w:r>
        <w:instrText xml:space="preserve"> SEQ level0 \*arabic </w:instrText>
      </w:r>
      <w:r>
        <w:fldChar w:fldCharType="separate"/>
      </w:r>
      <w:r w:rsidR="009E1878" w:rsidRPr="009E1878">
        <w:t>65</w:t>
      </w:r>
      <w:r>
        <w:fldChar w:fldCharType="end"/>
      </w:r>
      <w:r w:rsidR="00605A74">
        <w:t>. Art. 41 din Convenție prevede:</w:t>
      </w:r>
    </w:p>
    <w:p w14:paraId="75BA3780" w14:textId="77777777" w:rsidR="00605A74" w:rsidRPr="009E1878" w:rsidRDefault="00605A74" w:rsidP="009E1878">
      <w:pPr>
        <w:pStyle w:val="JuQuot"/>
      </w:pPr>
      <w:r>
        <w:t>„Dacă Curtea declară că a avut loc o încălcare a Convenției sau a protocoalelor sale și dacă dreptul intern al înaltei părți contractante nu permite decât o înlăturare incompletă a consecințelor acestei încălcări, Curtea acordă părții lezate, dacă este cazul, o reparație echitabilă.”</w:t>
      </w:r>
    </w:p>
    <w:p w14:paraId="03F025CF" w14:textId="77777777" w:rsidR="00605A74" w:rsidRPr="009E1878" w:rsidRDefault="00605A74" w:rsidP="009E1878">
      <w:pPr>
        <w:pStyle w:val="JuHA"/>
      </w:pPr>
      <w:r>
        <w:t>Prejudiciu</w:t>
      </w:r>
    </w:p>
    <w:p w14:paraId="2EE736DD" w14:textId="77777777" w:rsidR="00605A74" w:rsidRPr="009E1878" w:rsidRDefault="007B421F" w:rsidP="009E1878">
      <w:pPr>
        <w:pStyle w:val="JuPara"/>
      </w:pPr>
      <w:r>
        <w:fldChar w:fldCharType="begin"/>
      </w:r>
      <w:r>
        <w:instrText xml:space="preserve"> SEQ level0 \*arabic </w:instrText>
      </w:r>
      <w:r>
        <w:fldChar w:fldCharType="separate"/>
      </w:r>
      <w:r w:rsidR="009E1878" w:rsidRPr="009E1878">
        <w:t>66</w:t>
      </w:r>
      <w:r>
        <w:fldChar w:fldCharType="end"/>
      </w:r>
      <w:r w:rsidR="00605A74">
        <w:t>. Reclamantul a solicitat 415 000 de euro (EUR) cu titlu de despăgubire pentru prejudiciul moral.</w:t>
      </w:r>
    </w:p>
    <w:p w14:paraId="77308CC1" w14:textId="77777777" w:rsidR="00605A74" w:rsidRPr="009E1878" w:rsidRDefault="007B421F" w:rsidP="009E1878">
      <w:pPr>
        <w:pStyle w:val="JuPara"/>
      </w:pPr>
      <w:r>
        <w:fldChar w:fldCharType="begin"/>
      </w:r>
      <w:r>
        <w:instrText xml:space="preserve"> SEQ level0 \*arabic </w:instrText>
      </w:r>
      <w:r>
        <w:fldChar w:fldCharType="separate"/>
      </w:r>
      <w:r w:rsidR="009E1878" w:rsidRPr="009E1878">
        <w:t>67</w:t>
      </w:r>
      <w:r>
        <w:fldChar w:fldCharType="end"/>
      </w:r>
      <w:r w:rsidR="00605A74">
        <w:t>. Guvernul a considerat această pretenție nefondată.</w:t>
      </w:r>
    </w:p>
    <w:p w14:paraId="1C94CB77" w14:textId="77777777" w:rsidR="00605A74" w:rsidRPr="009E1878" w:rsidRDefault="007B421F" w:rsidP="009E1878">
      <w:pPr>
        <w:pStyle w:val="JuPara"/>
      </w:pPr>
      <w:r>
        <w:fldChar w:fldCharType="begin"/>
      </w:r>
      <w:r>
        <w:instrText xml:space="preserve"> S</w:instrText>
      </w:r>
      <w:r>
        <w:instrText xml:space="preserve">EQ level0 \*arabic </w:instrText>
      </w:r>
      <w:r>
        <w:fldChar w:fldCharType="separate"/>
      </w:r>
      <w:r w:rsidR="009E1878" w:rsidRPr="009E1878">
        <w:t>68</w:t>
      </w:r>
      <w:r>
        <w:fldChar w:fldCharType="end"/>
      </w:r>
      <w:r w:rsidR="00605A74">
        <w:t>. Curtea apreciază că reclamantul a suferit un prejudiciu moral, dar consideră că suma solicitată este excesivă. Pronunțându-se în echitate, Curtea acordă reclamantului 2 500 EUR cu titlu de despăgubire pentru prejudiciu moral, plus orice sumă ce poate fi datorată cu titlu de impozit.</w:t>
      </w:r>
    </w:p>
    <w:p w14:paraId="134E57BE" w14:textId="77777777" w:rsidR="00605A74" w:rsidRPr="009E1878" w:rsidRDefault="00605A74" w:rsidP="009E1878">
      <w:pPr>
        <w:pStyle w:val="JuHA"/>
      </w:pPr>
      <w:r>
        <w:t>Cheltuieli de judecată</w:t>
      </w:r>
    </w:p>
    <w:p w14:paraId="3F88E0C0" w14:textId="77777777" w:rsidR="00605A74" w:rsidRPr="009E1878" w:rsidRDefault="007B421F" w:rsidP="009E1878">
      <w:pPr>
        <w:pStyle w:val="JuPara"/>
      </w:pPr>
      <w:r>
        <w:fldChar w:fldCharType="begin"/>
      </w:r>
      <w:r>
        <w:instrText xml:space="preserve"> SEQ level0 \*arabic </w:instrText>
      </w:r>
      <w:r>
        <w:fldChar w:fldCharType="separate"/>
      </w:r>
      <w:r w:rsidR="009E1878" w:rsidRPr="009E1878">
        <w:t>69</w:t>
      </w:r>
      <w:r>
        <w:fldChar w:fldCharType="end"/>
      </w:r>
      <w:r w:rsidR="00605A74">
        <w:t>. Reclamantul a solicitat, de asemenea, suma de 6 450 EUR pentru cheltuielile de judecată efectuate în fața Curții.</w:t>
      </w:r>
    </w:p>
    <w:p w14:paraId="0122FF98" w14:textId="77777777" w:rsidR="00605A74" w:rsidRPr="009E1878" w:rsidRDefault="007B421F" w:rsidP="009E1878">
      <w:pPr>
        <w:pStyle w:val="JuPara"/>
      </w:pPr>
      <w:r>
        <w:fldChar w:fldCharType="begin"/>
      </w:r>
      <w:r>
        <w:instrText xml:space="preserve"> SEQ level0 \*arabic </w:instrText>
      </w:r>
      <w:r>
        <w:fldChar w:fldCharType="separate"/>
      </w:r>
      <w:r w:rsidR="009E1878" w:rsidRPr="009E1878">
        <w:t>70</w:t>
      </w:r>
      <w:r>
        <w:fldChar w:fldCharType="end"/>
      </w:r>
      <w:r w:rsidR="00605A74">
        <w:t>. Guvernul a considerat că această pretenție nu a fost formulată suficient de detaliat și că trebuie să fie respinsă.</w:t>
      </w:r>
    </w:p>
    <w:p w14:paraId="36B41587" w14:textId="77777777" w:rsidR="00605A74" w:rsidRPr="009E1878" w:rsidRDefault="00605A74" w:rsidP="009E1878">
      <w:pPr>
        <w:pStyle w:val="JuPara"/>
      </w:pPr>
      <w:r w:rsidRPr="009E1878">
        <w:rPr>
          <w:rFonts w:ascii="Times New Roman" w:eastAsiaTheme="minorEastAsia" w:hAnsi="Times New Roman" w:cs="Times New Roman"/>
        </w:rPr>
        <w:fldChar w:fldCharType="begin"/>
      </w:r>
      <w:r w:rsidRPr="009E1878">
        <w:rPr>
          <w:rFonts w:ascii="Times New Roman" w:eastAsiaTheme="minorEastAsia" w:hAnsi="Times New Roman" w:cs="Times New Roman"/>
        </w:rPr>
        <w:instrText xml:space="preserve"> SEQ level0 \*arabic \* MERGEFORMAT </w:instrText>
      </w:r>
      <w:r w:rsidRPr="009E1878">
        <w:rPr>
          <w:rFonts w:ascii="Times New Roman" w:eastAsiaTheme="minorEastAsia" w:hAnsi="Times New Roman" w:cs="Times New Roman"/>
        </w:rPr>
        <w:fldChar w:fldCharType="separate"/>
      </w:r>
      <w:r w:rsidR="009E1878" w:rsidRPr="009E1878">
        <w:rPr>
          <w:rFonts w:ascii="Times New Roman" w:eastAsiaTheme="minorEastAsia" w:hAnsi="Times New Roman" w:cs="Times New Roman"/>
        </w:rPr>
        <w:t>71</w:t>
      </w:r>
      <w:r w:rsidRPr="009E1878">
        <w:rPr>
          <w:rFonts w:ascii="Times New Roman" w:eastAsiaTheme="minorEastAsia" w:hAnsi="Times New Roman" w:cs="Times New Roman"/>
        </w:rPr>
        <w:fldChar w:fldCharType="end"/>
      </w:r>
      <w:r>
        <w:rPr>
          <w:rFonts w:ascii="Times New Roman" w:hAnsi="Times New Roman"/>
        </w:rPr>
        <w:t xml:space="preserve">. Potrivit jurisprudenței Curții, un reclamant are dreptul la rambursarea cheltuielilor de judecată numai în măsura în care s-a stabilit caracterul real, necesar și rezonabil al acestora. </w:t>
      </w:r>
      <w:r>
        <w:rPr>
          <w:rFonts w:ascii="Times New Roman" w:hAnsi="Times New Roman"/>
        </w:rPr>
        <w:lastRenderedPageBreak/>
        <w:t xml:space="preserve">Curtea subliniază, de asemenea, că, în temeiul art. 60 din Regulamentul Curții, orice cerere de acordare a unei reparații echitabile trebuie detaliată pe rubrici și depusă în scris, împreună cu documentele justificative sau facturile relevante, în caz contrar Camera putând respinge cererea, în tot sau în parte (a se vedea </w:t>
      </w:r>
      <w:proofErr w:type="spellStart"/>
      <w:r>
        <w:rPr>
          <w:rFonts w:ascii="Times New Roman" w:hAnsi="Times New Roman"/>
          <w:i/>
        </w:rPr>
        <w:t>Malik</w:t>
      </w:r>
      <w:proofErr w:type="spellEnd"/>
      <w:r>
        <w:rPr>
          <w:rFonts w:ascii="Times New Roman" w:hAnsi="Times New Roman"/>
          <w:i/>
        </w:rPr>
        <w:t xml:space="preserve"> </w:t>
      </w:r>
      <w:proofErr w:type="spellStart"/>
      <w:r>
        <w:rPr>
          <w:rFonts w:ascii="Times New Roman" w:hAnsi="Times New Roman"/>
          <w:i/>
        </w:rPr>
        <w:t>Babayev</w:t>
      </w:r>
      <w:proofErr w:type="spellEnd"/>
      <w:r>
        <w:rPr>
          <w:rFonts w:ascii="Times New Roman" w:hAnsi="Times New Roman"/>
          <w:i/>
        </w:rPr>
        <w:t xml:space="preserve"> împotriva Azerbaidjanului</w:t>
      </w:r>
      <w:r>
        <w:rPr>
          <w:rFonts w:ascii="Times New Roman" w:hAnsi="Times New Roman"/>
        </w:rPr>
        <w:t>, nr. 30500/11, pct. 97, 1 iunie 2017). În speță, reclamantul a prezentat contractul încheiat cu reprezentanții săi, care conținea doar numărul de ore lucrate pentru pregătirea cauzei reclamantului, precum și onorariile acestora. Contractul prevedea, de asemenea, că onorariile vor fi plătite doar în cazul în care Curtea va acorda suma solicitată. Reclamantul nu a prezentat niciun document care să demonstreze că a plătit sau că avea obligația legală de a plăti onorariile percepute de reprezentanții săi (a se vedea hotărârea</w:t>
      </w:r>
      <w:r>
        <w:rPr>
          <w:rFonts w:ascii="Times New Roman" w:hAnsi="Times New Roman"/>
          <w:i/>
        </w:rPr>
        <w:t xml:space="preserve"> </w:t>
      </w:r>
      <w:proofErr w:type="spellStart"/>
      <w:r>
        <w:rPr>
          <w:rFonts w:ascii="Times New Roman" w:hAnsi="Times New Roman"/>
          <w:i/>
        </w:rPr>
        <w:t>Merabishvili</w:t>
      </w:r>
      <w:proofErr w:type="spellEnd"/>
      <w:r>
        <w:rPr>
          <w:rFonts w:ascii="Times New Roman" w:hAnsi="Times New Roman"/>
        </w:rPr>
        <w:t xml:space="preserve"> </w:t>
      </w:r>
      <w:r>
        <w:rPr>
          <w:rFonts w:ascii="Times New Roman" w:hAnsi="Times New Roman"/>
          <w:i/>
          <w:iCs/>
        </w:rPr>
        <w:t>împotriva Georgiei</w:t>
      </w:r>
      <w:r>
        <w:rPr>
          <w:rFonts w:ascii="Times New Roman" w:hAnsi="Times New Roman"/>
        </w:rPr>
        <w:t>, nr. 72508/13, pct. 372, 28 noiembrie 2017). Prin urmare, Curtea respinge cererea de rambursare a cheltuielilor de judecată.</w:t>
      </w:r>
    </w:p>
    <w:p w14:paraId="35AAB56F" w14:textId="77777777" w:rsidR="00605A74" w:rsidRPr="009E1878" w:rsidRDefault="00605A74" w:rsidP="009E1878">
      <w:pPr>
        <w:pStyle w:val="JuHHead"/>
        <w:numPr>
          <w:ilvl w:val="0"/>
          <w:numId w:val="1"/>
        </w:numPr>
        <w:ind w:left="360" w:hanging="360"/>
      </w:pPr>
      <w:r>
        <w:t>PENTRU ACESTE MOTIVE, CURTEA, ÎN UNANIMITATE,</w:t>
      </w:r>
    </w:p>
    <w:p w14:paraId="70FF3D03" w14:textId="77777777" w:rsidR="00605A74" w:rsidRPr="009E1878" w:rsidRDefault="00605A74" w:rsidP="009E1878">
      <w:pPr>
        <w:pStyle w:val="JuList"/>
      </w:pPr>
      <w:r>
        <w:rPr>
          <w:i/>
        </w:rPr>
        <w:t>declară</w:t>
      </w:r>
      <w:r>
        <w:t xml:space="preserve"> cererea admisibilă;</w:t>
      </w:r>
    </w:p>
    <w:p w14:paraId="0AD48631" w14:textId="77777777" w:rsidR="00605A74" w:rsidRPr="009E1878" w:rsidRDefault="00605A74" w:rsidP="009E1878">
      <w:pPr>
        <w:pStyle w:val="JuList"/>
      </w:pPr>
      <w:r>
        <w:rPr>
          <w:i/>
        </w:rPr>
        <w:t>hotărăște</w:t>
      </w:r>
      <w:r>
        <w:t xml:space="preserve"> că a fost încălcat art. 3 din Convenție;</w:t>
      </w:r>
    </w:p>
    <w:p w14:paraId="162CC112" w14:textId="77777777" w:rsidR="00605A74" w:rsidRPr="009E1878" w:rsidRDefault="00605A74" w:rsidP="009E1878">
      <w:pPr>
        <w:pStyle w:val="JuList"/>
      </w:pPr>
      <w:r>
        <w:rPr>
          <w:i/>
        </w:rPr>
        <w:t>hotărăște</w:t>
      </w:r>
      <w:r>
        <w:rPr>
          <w:color w:val="000000"/>
        </w:rPr>
        <w:t xml:space="preserve"> </w:t>
      </w:r>
      <w:r>
        <w:t>că a fost încălcat art. 7 din Convenție;</w:t>
      </w:r>
    </w:p>
    <w:p w14:paraId="4DF79D04" w14:textId="77777777" w:rsidR="00605A74" w:rsidRPr="009E1878" w:rsidRDefault="00605A74" w:rsidP="009E1878">
      <w:pPr>
        <w:pStyle w:val="JuList"/>
      </w:pPr>
      <w:r>
        <w:rPr>
          <w:i/>
        </w:rPr>
        <w:t>hotărăște</w:t>
      </w:r>
    </w:p>
    <w:p w14:paraId="2F4F7540" w14:textId="77777777" w:rsidR="00605A74" w:rsidRPr="009E1878" w:rsidRDefault="00605A74" w:rsidP="009E1878">
      <w:pPr>
        <w:pStyle w:val="JuLista"/>
      </w:pPr>
      <w:r>
        <w:t>că statul pârât trebuie să plătească reclamantului, în termen de trei luni de la data rămânerii definitive a hotărârii, în conformitate cu art. 44 § 2 din Convenție, suma de 2 500 EUR (două mii cinci sute de euro), care trebuie convertită în moneda națională a statului pârât la rata de schimb aplicabilă la data plății, pentru prejudiciul moral, plus orice sumă ce poate fi datorată cu titlu de impozit;</w:t>
      </w:r>
    </w:p>
    <w:p w14:paraId="1651E714" w14:textId="77777777" w:rsidR="00605A74" w:rsidRPr="009E1878" w:rsidRDefault="00605A74" w:rsidP="009E1878">
      <w:pPr>
        <w:pStyle w:val="JuLista"/>
      </w:pPr>
      <w:r>
        <w:t>că, de la expirarea termenului de trei luni menționat și până la efectuarea plății, aceste sume trebuie majorate cu o dobândă simplă, la o rată anuală egală cu rata dobânzii facilității de împrumut marginal practicată de Banca Centrală Europeană, majorată cu trei puncte procentuale;</w:t>
      </w:r>
    </w:p>
    <w:p w14:paraId="5F1AA109" w14:textId="77777777" w:rsidR="00605A74" w:rsidRPr="009E1878" w:rsidRDefault="00605A74" w:rsidP="009E1878">
      <w:pPr>
        <w:pStyle w:val="JuList"/>
      </w:pPr>
      <w:r>
        <w:rPr>
          <w:i/>
        </w:rPr>
        <w:t xml:space="preserve">respinge </w:t>
      </w:r>
      <w:r>
        <w:t>cererea de acordare a unei reparații echitabile pentru celelalte capete de cerere.</w:t>
      </w:r>
    </w:p>
    <w:p w14:paraId="1BA0CE02" w14:textId="77777777" w:rsidR="00605A74" w:rsidRPr="009E1878" w:rsidRDefault="00605A74" w:rsidP="009E1878">
      <w:pPr>
        <w:pStyle w:val="JuParaLast"/>
      </w:pPr>
      <w:r>
        <w:t>Redactată în limba engleză, apoi comunicată în scris la 10 noiembrie 2022, în temeiul art. 77 § 2 și 3 din Regulamentul Curții.</w:t>
      </w:r>
    </w:p>
    <w:p w14:paraId="030BE03F" w14:textId="77777777" w:rsidR="00605A74" w:rsidRPr="009E1878" w:rsidRDefault="00605A74" w:rsidP="009E1878">
      <w:pPr>
        <w:pStyle w:val="JuSigned"/>
      </w:pPr>
      <w:r>
        <w:tab/>
        <w:t xml:space="preserve">Victor </w:t>
      </w:r>
      <w:proofErr w:type="spellStart"/>
      <w:r>
        <w:t>Soloveytchik</w:t>
      </w:r>
      <w:proofErr w:type="spellEnd"/>
      <w:r>
        <w:tab/>
      </w:r>
      <w:proofErr w:type="spellStart"/>
      <w:r>
        <w:t>Síofra</w:t>
      </w:r>
      <w:proofErr w:type="spellEnd"/>
      <w:r>
        <w:t xml:space="preserve"> </w:t>
      </w:r>
      <w:proofErr w:type="spellStart"/>
      <w:r>
        <w:t>O’Leary</w:t>
      </w:r>
      <w:proofErr w:type="spellEnd"/>
      <w:r>
        <w:br/>
      </w:r>
      <w:r>
        <w:tab/>
        <w:t>Grefier</w:t>
      </w:r>
      <w:r>
        <w:tab/>
        <w:t>Președinte</w:t>
      </w:r>
    </w:p>
    <w:sectPr w:rsidR="00605A74" w:rsidRPr="009E1878" w:rsidSect="00E801A1">
      <w:headerReference w:type="even" r:id="rId16"/>
      <w:headerReference w:type="default" r:id="rId17"/>
      <w:footerReference w:type="even" r:id="rId18"/>
      <w:footerReference w:type="default" r:id="rId19"/>
      <w:footnotePr>
        <w:numRestart w:val="eachSect"/>
      </w:footnotePr>
      <w:endnotePr>
        <w:numFmt w:val="decimal"/>
        <w:numRestart w:val="eachSect"/>
      </w:endnotePr>
      <w:pgSz w:w="11906" w:h="16838" w:code="9"/>
      <w:pgMar w:top="1134" w:right="1134" w:bottom="1134" w:left="1701" w:header="1701"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EF750B" w14:textId="77777777" w:rsidR="00A55CAA" w:rsidRPr="00E25332" w:rsidRDefault="00A55CAA">
      <w:r w:rsidRPr="00E25332">
        <w:separator/>
      </w:r>
    </w:p>
  </w:endnote>
  <w:endnote w:type="continuationSeparator" w:id="0">
    <w:p w14:paraId="6C1995A6" w14:textId="77777777" w:rsidR="00A55CAA" w:rsidRPr="00E25332" w:rsidRDefault="00A55CAA">
      <w:r w:rsidRPr="00E253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B35C1" w14:textId="77777777" w:rsidR="00E25332" w:rsidRPr="00150BFA" w:rsidRDefault="00E25332" w:rsidP="0020718E">
    <w:pPr>
      <w:jc w:val="center"/>
    </w:pPr>
    <w:r>
      <w:rPr>
        <w:noProof/>
        <w:lang w:val="en-US"/>
      </w:rPr>
      <w:drawing>
        <wp:inline distT="0" distB="0" distL="0" distR="0" wp14:anchorId="382610A3" wp14:editId="27591BED">
          <wp:extent cx="771525" cy="619125"/>
          <wp:effectExtent l="0" t="0" r="9525" b="9525"/>
          <wp:docPr id="33" name="Picture 3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14:paraId="6469F1F8" w14:textId="77777777" w:rsidR="0098410D" w:rsidRPr="00E25332" w:rsidRDefault="007B421F" w:rsidP="00AF12C5">
    <w:pPr>
      <w:pStyle w:val="Footer0"/>
      <w:jc w:val="center"/>
      <w:rPr>
        <w:sz w:val="4"/>
        <w:szCs w:val="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E6718" w14:textId="77777777" w:rsidR="00E25332" w:rsidRPr="00150BFA" w:rsidRDefault="00E25332" w:rsidP="0020718E">
    <w:pPr>
      <w:jc w:val="center"/>
    </w:pPr>
    <w:r>
      <w:rPr>
        <w:noProof/>
        <w:lang w:val="en-US"/>
      </w:rPr>
      <w:drawing>
        <wp:inline distT="0" distB="0" distL="0" distR="0" wp14:anchorId="33D7FC0E" wp14:editId="7FED722F">
          <wp:extent cx="771525" cy="619125"/>
          <wp:effectExtent l="0" t="0" r="9525" b="9525"/>
          <wp:docPr id="35" name="Picture 35"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14:paraId="0DE5CAD4" w14:textId="77777777" w:rsidR="000E4A04" w:rsidRPr="00E25332" w:rsidRDefault="000E4A04" w:rsidP="004671FE">
    <w:pPr>
      <w:pStyle w:val="Footer0"/>
      <w:jc w:val="center"/>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13499" w14:textId="77777777" w:rsidR="00C26D3D" w:rsidRDefault="00E25332" w:rsidP="009746AB">
    <w:pPr>
      <w:pStyle w:val="JuHeader"/>
    </w:pPr>
    <w:r>
      <w:rPr>
        <w:rStyle w:val="PageNumber"/>
      </w:rPr>
      <w:fldChar w:fldCharType="begin"/>
    </w:r>
    <w:r>
      <w:rPr>
        <w:rStyle w:val="PageNumber"/>
      </w:rPr>
      <w:instrText xml:space="preserve"> PAGE </w:instrText>
    </w:r>
    <w:r>
      <w:rPr>
        <w:rStyle w:val="PageNumber"/>
      </w:rPr>
      <w:fldChar w:fldCharType="separate"/>
    </w:r>
    <w:r w:rsidR="00731D45">
      <w:rPr>
        <w:rStyle w:val="PageNumber"/>
        <w:noProof/>
      </w:rPr>
      <w:t>14</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A59E7" w14:textId="77777777" w:rsidR="00C26D3D" w:rsidRPr="000B7195" w:rsidRDefault="00E25332" w:rsidP="00F90F9E">
    <w:pPr>
      <w:pStyle w:val="JuHeader"/>
    </w:pPr>
    <w:r>
      <w:rPr>
        <w:rStyle w:val="PageNumber"/>
      </w:rPr>
      <w:fldChar w:fldCharType="begin"/>
    </w:r>
    <w:r>
      <w:rPr>
        <w:rStyle w:val="PageNumber"/>
      </w:rPr>
      <w:instrText xml:space="preserve"> PAGE </w:instrText>
    </w:r>
    <w:r>
      <w:rPr>
        <w:rStyle w:val="PageNumber"/>
      </w:rPr>
      <w:fldChar w:fldCharType="separate"/>
    </w:r>
    <w:r w:rsidR="00731D45">
      <w:rPr>
        <w:rStyle w:val="PageNumber"/>
        <w:noProof/>
      </w:rPr>
      <w:t>13</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6893B" w14:textId="77777777" w:rsidR="00A55CAA" w:rsidRPr="00E25332" w:rsidRDefault="00A55CAA" w:rsidP="0098410D">
      <w:bookmarkStart w:id="0" w:name="_Hlk137543258"/>
      <w:bookmarkEnd w:id="0"/>
      <w:r w:rsidRPr="00E25332">
        <w:separator/>
      </w:r>
    </w:p>
  </w:footnote>
  <w:footnote w:type="continuationSeparator" w:id="0">
    <w:p w14:paraId="5B8F1CCA" w14:textId="77777777" w:rsidR="00A55CAA" w:rsidRPr="00E25332" w:rsidRDefault="00A55CAA" w:rsidP="0098410D">
      <w:r w:rsidRPr="00E2533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04332" w14:textId="77777777" w:rsidR="00E25332" w:rsidRPr="00A45145" w:rsidRDefault="00E25332" w:rsidP="00A45145">
    <w:pPr>
      <w:jc w:val="center"/>
    </w:pPr>
    <w:r>
      <w:rPr>
        <w:noProof/>
        <w:lang w:val="en-US"/>
      </w:rPr>
      <w:drawing>
        <wp:inline distT="0" distB="0" distL="0" distR="0" wp14:anchorId="0A5A9CC8" wp14:editId="513D4FAA">
          <wp:extent cx="2962275" cy="1219200"/>
          <wp:effectExtent l="0" t="0" r="9525" b="0"/>
          <wp:docPr id="32" name="Picture 32"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3C5E7862" w14:textId="77777777" w:rsidR="0098410D" w:rsidRPr="00E25332" w:rsidRDefault="007B421F" w:rsidP="00B14793">
    <w:pPr>
      <w:jc w:val="center"/>
      <w:rPr>
        <w:sz w:val="4"/>
        <w:szCs w:val="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2A59B" w14:textId="41166B5C" w:rsidR="007B421F" w:rsidRDefault="007B421F" w:rsidP="007B421F">
    <w:pPr>
      <w:jc w:val="right"/>
      <w:rPr>
        <w:i/>
      </w:rPr>
    </w:pPr>
    <w:r>
      <w:rPr>
        <w:i/>
      </w:rPr>
      <w:t>Tradus și revizuit de IER (</w:t>
    </w:r>
    <w:hyperlink r:id="rId1" w:history="1">
      <w:r w:rsidRPr="00DC417E">
        <w:rPr>
          <w:rStyle w:val="Hyperlink"/>
          <w:i/>
        </w:rPr>
        <w:t>http://ier.gov.ro/</w:t>
      </w:r>
    </w:hyperlink>
    <w:r>
      <w:rPr>
        <w:i/>
      </w:rPr>
      <w:t>)</w:t>
    </w:r>
  </w:p>
  <w:p w14:paraId="2167DED9" w14:textId="77777777" w:rsidR="007B421F" w:rsidRPr="007B6E0D" w:rsidRDefault="007B421F" w:rsidP="007B421F">
    <w:pPr>
      <w:jc w:val="right"/>
      <w:rPr>
        <w:i/>
        <w:noProof/>
      </w:rPr>
    </w:pPr>
  </w:p>
  <w:p w14:paraId="4B3E5511" w14:textId="4C92007F" w:rsidR="00E25332" w:rsidRPr="00A45145" w:rsidRDefault="007B421F" w:rsidP="00A45145">
    <w:pPr>
      <w:jc w:val="center"/>
    </w:pPr>
    <w:r>
      <w:rPr>
        <w:noProof/>
        <w:lang w:val="en-US"/>
      </w:rPr>
      <w:drawing>
        <wp:inline distT="0" distB="0" distL="0" distR="0" wp14:anchorId="1829F144" wp14:editId="1C196B1D">
          <wp:extent cx="2962275" cy="1219200"/>
          <wp:effectExtent l="0" t="0" r="9525" b="0"/>
          <wp:docPr id="34" name="Picture 34"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31524598" w14:textId="77777777" w:rsidR="0098410D" w:rsidRPr="00E25332" w:rsidRDefault="007B421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FAC7C" w14:textId="77777777" w:rsidR="00C26D3D" w:rsidRPr="004D0EC7" w:rsidRDefault="00E25332" w:rsidP="004D0EC7">
    <w:pPr>
      <w:pStyle w:val="JuHeader"/>
    </w:pPr>
    <w:r>
      <w:t>HOTĂRÂREA KUPINSKYY ÎMPOTRIVA UCRAINEI</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06732" w14:textId="77777777" w:rsidR="00C26D3D" w:rsidRPr="00882CD5" w:rsidRDefault="00E25332" w:rsidP="00882CD5">
    <w:pPr>
      <w:pStyle w:val="JuHeader"/>
    </w:pPr>
    <w:r>
      <w:t>HOTĂRÂREA KUPINSKYY ÎMPOTRIVA UCRAINEI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48F2261"/>
    <w:multiLevelType w:val="multilevel"/>
    <w:tmpl w:val="C8FE6436"/>
    <w:numStyleLink w:val="ECHRA1StyleList"/>
  </w:abstractNum>
  <w:abstractNum w:abstractNumId="10" w15:restartNumberingAfterBreak="0">
    <w:nsid w:val="0C0F5BFC"/>
    <w:multiLevelType w:val="multilevel"/>
    <w:tmpl w:val="E2B270DC"/>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1"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D5546B"/>
    <w:multiLevelType w:val="multilevel"/>
    <w:tmpl w:val="C8FE6436"/>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1021" w:hanging="34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6"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7" w15:restartNumberingAfterBreak="0">
    <w:nsid w:val="56B9429C"/>
    <w:multiLevelType w:val="multilevel"/>
    <w:tmpl w:val="EAA66700"/>
    <w:lvl w:ilvl="0">
      <w:start w:val="1"/>
      <w:numFmt w:val="none"/>
      <w:suff w:val="nothing"/>
      <w:lvlText w:val=""/>
      <w:lvlJc w:val="left"/>
      <w:pPr>
        <w:ind w:left="0" w:firstLine="0"/>
      </w:pPr>
      <w:rPr>
        <w:rFonts w:hint="default"/>
      </w:rPr>
    </w:lvl>
    <w:lvl w:ilvl="1">
      <w:start w:val="1"/>
      <w:numFmt w:val="upperRoman"/>
      <w:suff w:val="space"/>
      <w:lvlText w:val="%2."/>
      <w:lvlJc w:val="left"/>
      <w:pPr>
        <w:ind w:left="357" w:hanging="357"/>
      </w:pPr>
      <w:rPr>
        <w:rFonts w:hint="default"/>
        <w:sz w:val="24"/>
      </w:rPr>
    </w:lvl>
    <w:lvl w:ilvl="2">
      <w:start w:val="1"/>
      <w:numFmt w:val="upperLetter"/>
      <w:lvlText w:val="%3."/>
      <w:lvlJc w:val="left"/>
      <w:pPr>
        <w:ind w:left="584" w:hanging="352"/>
      </w:pPr>
      <w:rPr>
        <w:rFonts w:hint="default"/>
      </w:rPr>
    </w:lvl>
    <w:lvl w:ilvl="3">
      <w:start w:val="1"/>
      <w:numFmt w:val="decimal"/>
      <w:lvlText w:val="%4."/>
      <w:lvlJc w:val="left"/>
      <w:pPr>
        <w:ind w:left="731" w:hanging="300"/>
      </w:pPr>
      <w:rPr>
        <w:rFonts w:hint="default"/>
      </w:rPr>
    </w:lvl>
    <w:lvl w:ilvl="4">
      <w:start w:val="1"/>
      <w:numFmt w:val="lowerLetter"/>
      <w:lvlText w:val="(%5)"/>
      <w:lvlJc w:val="left"/>
      <w:pPr>
        <w:ind w:left="975" w:hanging="340"/>
      </w:pPr>
      <w:rPr>
        <w:rFonts w:hint="default"/>
      </w:rPr>
    </w:lvl>
    <w:lvl w:ilvl="5">
      <w:start w:val="1"/>
      <w:numFmt w:val="lowerRoman"/>
      <w:suff w:val="space"/>
      <w:lvlText w:val="(%6)"/>
      <w:lvlJc w:val="left"/>
      <w:pPr>
        <w:ind w:left="1191" w:hanging="358"/>
      </w:pPr>
      <w:rPr>
        <w:rFonts w:hint="default"/>
      </w:rPr>
    </w:lvl>
    <w:lvl w:ilvl="6">
      <w:start w:val="1"/>
      <w:numFmt w:val="lowerLetter"/>
      <w:lvlText w:val="(%7)"/>
      <w:lvlJc w:val="left"/>
      <w:pPr>
        <w:ind w:left="1372" w:hanging="334"/>
      </w:pPr>
      <w:rPr>
        <w:rFonts w:ascii="Symbol" w:hAnsi="Symbol" w:hint="default"/>
        <w:sz w:val="20"/>
      </w:rPr>
    </w:lvl>
    <w:lvl w:ilvl="7">
      <w:start w:val="1"/>
      <w:numFmt w:val="bullet"/>
      <w:lvlText w:val="‒"/>
      <w:lvlJc w:val="left"/>
      <w:pPr>
        <w:ind w:left="1304" w:hanging="68"/>
      </w:pPr>
      <w:rPr>
        <w:rFonts w:ascii="Calibri" w:hAnsi="Calibri" w:hint="default"/>
        <w:color w:val="auto"/>
      </w:rPr>
    </w:lvl>
    <w:lvl w:ilvl="8">
      <w:start w:val="1"/>
      <w:numFmt w:val="none"/>
      <w:lvlText w:val="%9"/>
      <w:lvlJc w:val="right"/>
      <w:pPr>
        <w:ind w:left="7313" w:hanging="180"/>
      </w:pPr>
      <w:rPr>
        <w:rFonts w:hint="default"/>
      </w:rPr>
    </w:lvl>
  </w:abstractNum>
  <w:abstractNum w:abstractNumId="18" w15:restartNumberingAfterBreak="0">
    <w:nsid w:val="67FD1241"/>
    <w:multiLevelType w:val="hybridMultilevel"/>
    <w:tmpl w:val="F6D86CC2"/>
    <w:lvl w:ilvl="0" w:tplc="B48280C0">
      <w:start w:val="1"/>
      <w:numFmt w:val="bullet"/>
      <w:pStyle w:val="ListBullet"/>
      <w:lvlText w:val=""/>
      <w:lvlJc w:val="left"/>
      <w:pPr>
        <w:tabs>
          <w:tab w:val="num" w:pos="851"/>
        </w:tabs>
        <w:ind w:left="568" w:firstLine="0"/>
      </w:pPr>
      <w:rPr>
        <w:rFonts w:ascii="Wingdings" w:hAnsi="Wingdings" w:hint="default"/>
        <w:color w:val="808080"/>
        <w:sz w:val="16"/>
      </w:rPr>
    </w:lvl>
    <w:lvl w:ilvl="1" w:tplc="C1985C2A" w:tentative="1">
      <w:start w:val="1"/>
      <w:numFmt w:val="bullet"/>
      <w:lvlText w:val="o"/>
      <w:lvlJc w:val="left"/>
      <w:pPr>
        <w:tabs>
          <w:tab w:val="num" w:pos="1724"/>
        </w:tabs>
        <w:ind w:left="1724" w:hanging="360"/>
      </w:pPr>
      <w:rPr>
        <w:rFonts w:ascii="Courier New" w:hAnsi="Courier New" w:cs="Courier New" w:hint="default"/>
      </w:rPr>
    </w:lvl>
    <w:lvl w:ilvl="2" w:tplc="3DA2FBC0" w:tentative="1">
      <w:start w:val="1"/>
      <w:numFmt w:val="bullet"/>
      <w:lvlText w:val=""/>
      <w:lvlJc w:val="left"/>
      <w:pPr>
        <w:tabs>
          <w:tab w:val="num" w:pos="2444"/>
        </w:tabs>
        <w:ind w:left="2444" w:hanging="360"/>
      </w:pPr>
      <w:rPr>
        <w:rFonts w:ascii="Wingdings" w:hAnsi="Wingdings" w:hint="default"/>
      </w:rPr>
    </w:lvl>
    <w:lvl w:ilvl="3" w:tplc="ADB6CB3E" w:tentative="1">
      <w:start w:val="1"/>
      <w:numFmt w:val="bullet"/>
      <w:lvlText w:val=""/>
      <w:lvlJc w:val="left"/>
      <w:pPr>
        <w:tabs>
          <w:tab w:val="num" w:pos="3164"/>
        </w:tabs>
        <w:ind w:left="3164" w:hanging="360"/>
      </w:pPr>
      <w:rPr>
        <w:rFonts w:ascii="Symbol" w:hAnsi="Symbol" w:hint="default"/>
      </w:rPr>
    </w:lvl>
    <w:lvl w:ilvl="4" w:tplc="85882FC6" w:tentative="1">
      <w:start w:val="1"/>
      <w:numFmt w:val="bullet"/>
      <w:lvlText w:val="o"/>
      <w:lvlJc w:val="left"/>
      <w:pPr>
        <w:tabs>
          <w:tab w:val="num" w:pos="3884"/>
        </w:tabs>
        <w:ind w:left="3884" w:hanging="360"/>
      </w:pPr>
      <w:rPr>
        <w:rFonts w:ascii="Courier New" w:hAnsi="Courier New" w:cs="Courier New" w:hint="default"/>
      </w:rPr>
    </w:lvl>
    <w:lvl w:ilvl="5" w:tplc="3C446AE4" w:tentative="1">
      <w:start w:val="1"/>
      <w:numFmt w:val="bullet"/>
      <w:lvlText w:val=""/>
      <w:lvlJc w:val="left"/>
      <w:pPr>
        <w:tabs>
          <w:tab w:val="num" w:pos="4604"/>
        </w:tabs>
        <w:ind w:left="4604" w:hanging="360"/>
      </w:pPr>
      <w:rPr>
        <w:rFonts w:ascii="Wingdings" w:hAnsi="Wingdings" w:hint="default"/>
      </w:rPr>
    </w:lvl>
    <w:lvl w:ilvl="6" w:tplc="11067B92" w:tentative="1">
      <w:start w:val="1"/>
      <w:numFmt w:val="bullet"/>
      <w:lvlText w:val=""/>
      <w:lvlJc w:val="left"/>
      <w:pPr>
        <w:tabs>
          <w:tab w:val="num" w:pos="5324"/>
        </w:tabs>
        <w:ind w:left="5324" w:hanging="360"/>
      </w:pPr>
      <w:rPr>
        <w:rFonts w:ascii="Symbol" w:hAnsi="Symbol" w:hint="default"/>
      </w:rPr>
    </w:lvl>
    <w:lvl w:ilvl="7" w:tplc="FE746D40" w:tentative="1">
      <w:start w:val="1"/>
      <w:numFmt w:val="bullet"/>
      <w:lvlText w:val="o"/>
      <w:lvlJc w:val="left"/>
      <w:pPr>
        <w:tabs>
          <w:tab w:val="num" w:pos="6044"/>
        </w:tabs>
        <w:ind w:left="6044" w:hanging="360"/>
      </w:pPr>
      <w:rPr>
        <w:rFonts w:ascii="Courier New" w:hAnsi="Courier New" w:cs="Courier New" w:hint="default"/>
      </w:rPr>
    </w:lvl>
    <w:lvl w:ilvl="8" w:tplc="A3743A34" w:tentative="1">
      <w:start w:val="1"/>
      <w:numFmt w:val="bullet"/>
      <w:lvlText w:val=""/>
      <w:lvlJc w:val="left"/>
      <w:pPr>
        <w:tabs>
          <w:tab w:val="num" w:pos="6764"/>
        </w:tabs>
        <w:ind w:left="6764" w:hanging="360"/>
      </w:pPr>
      <w:rPr>
        <w:rFonts w:ascii="Wingdings" w:hAnsi="Wingdings" w:hint="default"/>
      </w:rPr>
    </w:lvl>
  </w:abstractNum>
  <w:abstractNum w:abstractNumId="19" w15:restartNumberingAfterBreak="0">
    <w:nsid w:val="7D35409C"/>
    <w:multiLevelType w:val="multilevel"/>
    <w:tmpl w:val="EAA66700"/>
    <w:lvl w:ilvl="0">
      <w:start w:val="1"/>
      <w:numFmt w:val="none"/>
      <w:suff w:val="nothing"/>
      <w:lvlText w:val=""/>
      <w:lvlJc w:val="left"/>
      <w:pPr>
        <w:ind w:left="0" w:firstLine="0"/>
      </w:pPr>
      <w:rPr>
        <w:rFonts w:hint="default"/>
      </w:rPr>
    </w:lvl>
    <w:lvl w:ilvl="1">
      <w:start w:val="1"/>
      <w:numFmt w:val="upperRoman"/>
      <w:suff w:val="space"/>
      <w:lvlText w:val="%2."/>
      <w:lvlJc w:val="left"/>
      <w:pPr>
        <w:ind w:left="357" w:hanging="357"/>
      </w:pPr>
      <w:rPr>
        <w:rFonts w:hint="default"/>
        <w:sz w:val="24"/>
      </w:rPr>
    </w:lvl>
    <w:lvl w:ilvl="2">
      <w:start w:val="1"/>
      <w:numFmt w:val="upperLetter"/>
      <w:lvlText w:val="%3."/>
      <w:lvlJc w:val="left"/>
      <w:pPr>
        <w:ind w:left="584" w:hanging="352"/>
      </w:pPr>
      <w:rPr>
        <w:rFonts w:hint="default"/>
      </w:rPr>
    </w:lvl>
    <w:lvl w:ilvl="3">
      <w:start w:val="1"/>
      <w:numFmt w:val="decimal"/>
      <w:lvlText w:val="%4."/>
      <w:lvlJc w:val="left"/>
      <w:pPr>
        <w:ind w:left="731" w:hanging="300"/>
      </w:pPr>
      <w:rPr>
        <w:rFonts w:hint="default"/>
      </w:rPr>
    </w:lvl>
    <w:lvl w:ilvl="4">
      <w:start w:val="1"/>
      <w:numFmt w:val="lowerLetter"/>
      <w:lvlText w:val="(%5)"/>
      <w:lvlJc w:val="left"/>
      <w:pPr>
        <w:ind w:left="975" w:hanging="340"/>
      </w:pPr>
      <w:rPr>
        <w:rFonts w:hint="default"/>
      </w:rPr>
    </w:lvl>
    <w:lvl w:ilvl="5">
      <w:start w:val="1"/>
      <w:numFmt w:val="lowerRoman"/>
      <w:suff w:val="space"/>
      <w:lvlText w:val="(%6)"/>
      <w:lvlJc w:val="left"/>
      <w:pPr>
        <w:ind w:left="1191" w:hanging="358"/>
      </w:pPr>
      <w:rPr>
        <w:rFonts w:hint="default"/>
      </w:rPr>
    </w:lvl>
    <w:lvl w:ilvl="6">
      <w:start w:val="1"/>
      <w:numFmt w:val="lowerLetter"/>
      <w:lvlText w:val="(%7)"/>
      <w:lvlJc w:val="left"/>
      <w:pPr>
        <w:ind w:left="1372" w:hanging="334"/>
      </w:pPr>
      <w:rPr>
        <w:rFonts w:ascii="Symbol" w:hAnsi="Symbol" w:hint="default"/>
        <w:sz w:val="20"/>
      </w:rPr>
    </w:lvl>
    <w:lvl w:ilvl="7">
      <w:start w:val="1"/>
      <w:numFmt w:val="bullet"/>
      <w:lvlText w:val="‒"/>
      <w:lvlJc w:val="left"/>
      <w:pPr>
        <w:ind w:left="1304" w:hanging="68"/>
      </w:pPr>
      <w:rPr>
        <w:rFonts w:ascii="Calibri" w:hAnsi="Calibri" w:hint="default"/>
        <w:color w:val="auto"/>
      </w:rPr>
    </w:lvl>
    <w:lvl w:ilvl="8">
      <w:start w:val="1"/>
      <w:numFmt w:val="none"/>
      <w:lvlText w:val="%9"/>
      <w:lvlJc w:val="right"/>
      <w:pPr>
        <w:ind w:left="7313" w:hanging="180"/>
      </w:pPr>
      <w:rPr>
        <w:rFonts w:hint="default"/>
      </w:rPr>
    </w:lvl>
  </w:abstractNum>
  <w:num w:numId="1" w16cid:durableId="2002191252">
    <w:abstractNumId w:val="19"/>
  </w:num>
  <w:num w:numId="2" w16cid:durableId="21321693">
    <w:abstractNumId w:val="17"/>
  </w:num>
  <w:num w:numId="3" w16cid:durableId="13788909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16879978">
    <w:abstractNumId w:val="14"/>
  </w:num>
  <w:num w:numId="5" w16cid:durableId="385301982">
    <w:abstractNumId w:val="12"/>
  </w:num>
  <w:num w:numId="6" w16cid:durableId="702440741">
    <w:abstractNumId w:val="11"/>
  </w:num>
  <w:num w:numId="7" w16cid:durableId="546335143">
    <w:abstractNumId w:val="18"/>
  </w:num>
  <w:num w:numId="8" w16cid:durableId="1593508155">
    <w:abstractNumId w:val="7"/>
  </w:num>
  <w:num w:numId="9" w16cid:durableId="1756902957">
    <w:abstractNumId w:val="6"/>
  </w:num>
  <w:num w:numId="10" w16cid:durableId="2046983267">
    <w:abstractNumId w:val="5"/>
  </w:num>
  <w:num w:numId="11" w16cid:durableId="1521698111">
    <w:abstractNumId w:val="4"/>
  </w:num>
  <w:num w:numId="12" w16cid:durableId="453594807">
    <w:abstractNumId w:val="8"/>
  </w:num>
  <w:num w:numId="13" w16cid:durableId="36122086">
    <w:abstractNumId w:val="3"/>
  </w:num>
  <w:num w:numId="14" w16cid:durableId="2042702112">
    <w:abstractNumId w:val="2"/>
  </w:num>
  <w:num w:numId="15" w16cid:durableId="2065450117">
    <w:abstractNumId w:val="1"/>
  </w:num>
  <w:num w:numId="16" w16cid:durableId="1206911374">
    <w:abstractNumId w:val="0"/>
  </w:num>
  <w:num w:numId="17" w16cid:durableId="1807163764">
    <w:abstractNumId w:val="15"/>
  </w:num>
  <w:num w:numId="18" w16cid:durableId="38825997">
    <w:abstractNumId w:val="13"/>
  </w:num>
  <w:num w:numId="19" w16cid:durableId="1088502708">
    <w:abstractNumId w:val="16"/>
  </w:num>
  <w:num w:numId="20" w16cid:durableId="1504859407">
    <w:abstractNumId w:val="15"/>
  </w:num>
  <w:num w:numId="21" w16cid:durableId="1535075310">
    <w:abstractNumId w:val="16"/>
  </w:num>
  <w:num w:numId="22" w16cid:durableId="1879051390">
    <w:abstractNumId w:val="10"/>
  </w:num>
  <w:num w:numId="23" w16cid:durableId="754788531">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hdrShapeDefaults>
    <o:shapedefaults v:ext="edit" spidmax="6145"/>
  </w:hdrShapeDefaults>
  <w:footnotePr>
    <w:numRestart w:val="eachSect"/>
    <w:footnote w:id="-1"/>
    <w:footnote w:id="0"/>
  </w:footnotePr>
  <w:endnotePr>
    <w:numFmt w:val="decimal"/>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plicationsApp" w:val="1"/>
    <w:docVar w:name="EMM" w:val="0"/>
    <w:docVar w:name="NBEMMDOC" w:val="0"/>
    <w:docVar w:name="Plural" w:val="0"/>
  </w:docVars>
  <w:rsids>
    <w:rsidRoot w:val="00E25332"/>
    <w:rsid w:val="00034C1A"/>
    <w:rsid w:val="00046799"/>
    <w:rsid w:val="000B2732"/>
    <w:rsid w:val="000E4A04"/>
    <w:rsid w:val="00114D50"/>
    <w:rsid w:val="00156888"/>
    <w:rsid w:val="001833A7"/>
    <w:rsid w:val="001925D3"/>
    <w:rsid w:val="001E058B"/>
    <w:rsid w:val="00245537"/>
    <w:rsid w:val="00264E00"/>
    <w:rsid w:val="002660CA"/>
    <w:rsid w:val="00285613"/>
    <w:rsid w:val="0031081E"/>
    <w:rsid w:val="0035114C"/>
    <w:rsid w:val="003518A0"/>
    <w:rsid w:val="0037131B"/>
    <w:rsid w:val="00445D59"/>
    <w:rsid w:val="004526F5"/>
    <w:rsid w:val="00461AA4"/>
    <w:rsid w:val="004671FE"/>
    <w:rsid w:val="004930A0"/>
    <w:rsid w:val="00493625"/>
    <w:rsid w:val="00505E2C"/>
    <w:rsid w:val="005076DD"/>
    <w:rsid w:val="00561ED1"/>
    <w:rsid w:val="005643A4"/>
    <w:rsid w:val="00590BA1"/>
    <w:rsid w:val="005C7083"/>
    <w:rsid w:val="00605A74"/>
    <w:rsid w:val="00636517"/>
    <w:rsid w:val="006D71F6"/>
    <w:rsid w:val="006E32EE"/>
    <w:rsid w:val="007048F8"/>
    <w:rsid w:val="00724A24"/>
    <w:rsid w:val="00731D45"/>
    <w:rsid w:val="007B421F"/>
    <w:rsid w:val="007C541D"/>
    <w:rsid w:val="00835580"/>
    <w:rsid w:val="0085091D"/>
    <w:rsid w:val="00863957"/>
    <w:rsid w:val="00897E8D"/>
    <w:rsid w:val="0096197A"/>
    <w:rsid w:val="009746AB"/>
    <w:rsid w:val="009E1878"/>
    <w:rsid w:val="00A06E3E"/>
    <w:rsid w:val="00A55CAA"/>
    <w:rsid w:val="00AF3F17"/>
    <w:rsid w:val="00B27E1C"/>
    <w:rsid w:val="00B731E9"/>
    <w:rsid w:val="00BB123C"/>
    <w:rsid w:val="00C15467"/>
    <w:rsid w:val="00D4508E"/>
    <w:rsid w:val="00E25332"/>
    <w:rsid w:val="00E622A8"/>
    <w:rsid w:val="00E801A1"/>
    <w:rsid w:val="00EA4643"/>
    <w:rsid w:val="00ED148D"/>
    <w:rsid w:val="00EF3305"/>
    <w:rsid w:val="00F55300"/>
    <w:rsid w:val="00F73617"/>
    <w:rsid w:val="00F90F9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3712D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6">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iPriority="99"/>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uiPriority="99"/>
    <w:lsdException w:name="Table Subtle 2" w:semiHidden="1" w:uiPriority="99" w:unhideWhenUsed="1"/>
    <w:lsdException w:name="Table Web 1" w:semiHidden="1" w:uiPriority="99" w:unhideWhenUsed="1"/>
    <w:lsdException w:name="Table Web 2" w:uiPriority="99"/>
    <w:lsdException w:name="Table Web 3" w:uiPriority="99"/>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rsid w:val="002660CA"/>
    <w:rPr>
      <w:sz w:val="24"/>
      <w:szCs w:val="24"/>
    </w:rPr>
  </w:style>
  <w:style w:type="paragraph" w:styleId="Heading1">
    <w:name w:val="heading 1"/>
    <w:basedOn w:val="Normal"/>
    <w:next w:val="Normal"/>
    <w:link w:val="Heading1Char"/>
    <w:uiPriority w:val="98"/>
    <w:semiHidden/>
    <w:rsid w:val="002660CA"/>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2660CA"/>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2660CA"/>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2660CA"/>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2660CA"/>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2660CA"/>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2660CA"/>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2660CA"/>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2660CA"/>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2660CA"/>
    <w:rPr>
      <w:rFonts w:ascii="Tahoma" w:hAnsi="Tahoma" w:cs="Tahoma"/>
      <w:sz w:val="16"/>
      <w:szCs w:val="16"/>
    </w:rPr>
  </w:style>
  <w:style w:type="character" w:customStyle="1" w:styleId="BalloonTextChar">
    <w:name w:val="Balloon Text Char"/>
    <w:basedOn w:val="DefaultParagraphFont"/>
    <w:link w:val="BalloonText"/>
    <w:uiPriority w:val="98"/>
    <w:semiHidden/>
    <w:rsid w:val="002660CA"/>
    <w:rPr>
      <w:rFonts w:ascii="Tahoma" w:hAnsi="Tahoma" w:cs="Tahoma"/>
      <w:sz w:val="16"/>
      <w:szCs w:val="16"/>
      <w:lang w:val="ro-RO"/>
    </w:rPr>
  </w:style>
  <w:style w:type="character" w:styleId="BookTitle">
    <w:name w:val="Book Title"/>
    <w:uiPriority w:val="98"/>
    <w:semiHidden/>
    <w:qFormat/>
    <w:rsid w:val="002660CA"/>
    <w:rPr>
      <w:i/>
      <w:iCs/>
      <w:smallCaps/>
      <w:spacing w:val="5"/>
    </w:rPr>
  </w:style>
  <w:style w:type="paragraph" w:customStyle="1" w:styleId="JuHeader">
    <w:name w:val="Ju_Header"/>
    <w:aliases w:val="_Header"/>
    <w:basedOn w:val="Header"/>
    <w:uiPriority w:val="29"/>
    <w:qFormat/>
    <w:rsid w:val="002660CA"/>
    <w:pPr>
      <w:tabs>
        <w:tab w:val="clear" w:pos="4536"/>
        <w:tab w:val="clear" w:pos="9072"/>
      </w:tabs>
      <w:jc w:val="center"/>
    </w:pPr>
    <w:rPr>
      <w:sz w:val="18"/>
    </w:rPr>
  </w:style>
  <w:style w:type="paragraph" w:customStyle="1" w:styleId="NormalJustified">
    <w:name w:val="Normal_Justified"/>
    <w:basedOn w:val="Normal"/>
    <w:semiHidden/>
    <w:rsid w:val="002660CA"/>
    <w:pPr>
      <w:jc w:val="both"/>
    </w:pPr>
  </w:style>
  <w:style w:type="character" w:styleId="Strong">
    <w:name w:val="Strong"/>
    <w:uiPriority w:val="98"/>
    <w:semiHidden/>
    <w:qFormat/>
    <w:rsid w:val="002660CA"/>
    <w:rPr>
      <w:b/>
      <w:bCs/>
    </w:rPr>
  </w:style>
  <w:style w:type="paragraph" w:styleId="NoSpacing">
    <w:name w:val="No Spacing"/>
    <w:basedOn w:val="Normal"/>
    <w:link w:val="NoSpacingChar"/>
    <w:uiPriority w:val="98"/>
    <w:semiHidden/>
    <w:qFormat/>
    <w:rsid w:val="002660CA"/>
  </w:style>
  <w:style w:type="character" w:customStyle="1" w:styleId="NoSpacingChar">
    <w:name w:val="No Spacing Char"/>
    <w:basedOn w:val="DefaultParagraphFont"/>
    <w:link w:val="NoSpacing"/>
    <w:uiPriority w:val="98"/>
    <w:semiHidden/>
    <w:rsid w:val="002660CA"/>
    <w:rPr>
      <w:sz w:val="24"/>
      <w:szCs w:val="24"/>
      <w:lang w:val="ro-RO"/>
    </w:rPr>
  </w:style>
  <w:style w:type="paragraph" w:customStyle="1" w:styleId="JuQuot">
    <w:name w:val="Ju_Quot"/>
    <w:aliases w:val="_Quote"/>
    <w:basedOn w:val="NormalJustified"/>
    <w:link w:val="JuQuotChar"/>
    <w:uiPriority w:val="20"/>
    <w:qFormat/>
    <w:rsid w:val="002660CA"/>
    <w:pPr>
      <w:spacing w:before="120" w:after="120"/>
      <w:ind w:left="425" w:firstLine="142"/>
    </w:pPr>
    <w:rPr>
      <w:sz w:val="20"/>
    </w:rPr>
  </w:style>
  <w:style w:type="paragraph" w:customStyle="1" w:styleId="ECHRBullet1">
    <w:name w:val="ECHR_Bullet_1"/>
    <w:aliases w:val="_Bul_1"/>
    <w:basedOn w:val="NormalJustified"/>
    <w:uiPriority w:val="23"/>
    <w:semiHidden/>
    <w:qFormat/>
    <w:rsid w:val="002660CA"/>
    <w:pPr>
      <w:numPr>
        <w:numId w:val="20"/>
      </w:numPr>
      <w:spacing w:before="60" w:after="60"/>
    </w:pPr>
  </w:style>
  <w:style w:type="paragraph" w:customStyle="1" w:styleId="JuList">
    <w:name w:val="Ju_List"/>
    <w:aliases w:val="_List_1"/>
    <w:basedOn w:val="NormalJustified"/>
    <w:uiPriority w:val="23"/>
    <w:qFormat/>
    <w:rsid w:val="002660CA"/>
    <w:pPr>
      <w:numPr>
        <w:numId w:val="23"/>
      </w:numPr>
      <w:spacing w:before="280" w:after="60"/>
    </w:pPr>
  </w:style>
  <w:style w:type="paragraph" w:customStyle="1" w:styleId="JuLista">
    <w:name w:val="Ju_List_a"/>
    <w:aliases w:val="_List_2"/>
    <w:basedOn w:val="NormalJustified"/>
    <w:uiPriority w:val="23"/>
    <w:rsid w:val="002660CA"/>
    <w:pPr>
      <w:numPr>
        <w:ilvl w:val="1"/>
        <w:numId w:val="23"/>
      </w:numPr>
    </w:pPr>
  </w:style>
  <w:style w:type="paragraph" w:customStyle="1" w:styleId="JuListi">
    <w:name w:val="Ju_List_i"/>
    <w:aliases w:val="_List_3"/>
    <w:basedOn w:val="NormalJustified"/>
    <w:uiPriority w:val="23"/>
    <w:rsid w:val="002660CA"/>
    <w:pPr>
      <w:numPr>
        <w:ilvl w:val="2"/>
        <w:numId w:val="23"/>
      </w:numPr>
    </w:pPr>
  </w:style>
  <w:style w:type="paragraph" w:customStyle="1" w:styleId="JuHArticle">
    <w:name w:val="Ju_H_Article"/>
    <w:aliases w:val="_Title_Quote"/>
    <w:basedOn w:val="Normal"/>
    <w:next w:val="JuQuot"/>
    <w:uiPriority w:val="19"/>
    <w:qFormat/>
    <w:rsid w:val="002660CA"/>
    <w:pPr>
      <w:keepNext/>
      <w:spacing w:before="100" w:beforeAutospacing="1" w:after="120"/>
      <w:contextualSpacing/>
      <w:jc w:val="center"/>
    </w:pPr>
    <w:rPr>
      <w:b/>
      <w:sz w:val="20"/>
    </w:rPr>
  </w:style>
  <w:style w:type="paragraph" w:customStyle="1" w:styleId="JuParaLast">
    <w:name w:val="Ju_Para_Last"/>
    <w:aliases w:val="_Para_Spaced"/>
    <w:basedOn w:val="NormalJustified"/>
    <w:uiPriority w:val="5"/>
    <w:qFormat/>
    <w:rsid w:val="002660CA"/>
    <w:pPr>
      <w:keepNext/>
      <w:keepLines/>
      <w:spacing w:before="240" w:after="240"/>
      <w:ind w:firstLine="284"/>
    </w:pPr>
  </w:style>
  <w:style w:type="paragraph" w:customStyle="1" w:styleId="DecHTitle">
    <w:name w:val="Dec_H_Title"/>
    <w:aliases w:val="_Title_1"/>
    <w:basedOn w:val="JuPara"/>
    <w:next w:val="JuPara"/>
    <w:uiPriority w:val="38"/>
    <w:qFormat/>
    <w:rsid w:val="002660CA"/>
    <w:pPr>
      <w:keepNext/>
      <w:keepLines/>
      <w:spacing w:after="240"/>
      <w:ind w:firstLine="0"/>
      <w:jc w:val="center"/>
      <w:outlineLvl w:val="0"/>
    </w:pPr>
    <w:rPr>
      <w:rFonts w:asciiTheme="majorHAnsi" w:hAnsiTheme="majorHAnsi"/>
      <w:sz w:val="28"/>
    </w:rPr>
  </w:style>
  <w:style w:type="paragraph" w:customStyle="1" w:styleId="JuHHead">
    <w:name w:val="Ju_H_Head"/>
    <w:aliases w:val="_Head_1"/>
    <w:basedOn w:val="Heading1"/>
    <w:next w:val="JuPara"/>
    <w:uiPriority w:val="17"/>
    <w:qFormat/>
    <w:rsid w:val="002660CA"/>
    <w:pPr>
      <w:keepNext/>
      <w:keepLines/>
      <w:numPr>
        <w:numId w:val="22"/>
      </w:numPr>
      <w:spacing w:before="100" w:beforeAutospacing="1" w:after="240"/>
      <w:contextualSpacing w:val="0"/>
      <w:jc w:val="both"/>
    </w:pPr>
    <w:rPr>
      <w:b w:val="0"/>
      <w:caps/>
      <w:color w:val="auto"/>
    </w:rPr>
  </w:style>
  <w:style w:type="paragraph" w:customStyle="1" w:styleId="JuTitle">
    <w:name w:val="Ju_Title"/>
    <w:aliases w:val="_Title_2"/>
    <w:basedOn w:val="Normal"/>
    <w:next w:val="JuPara"/>
    <w:uiPriority w:val="38"/>
    <w:qFormat/>
    <w:rsid w:val="002660CA"/>
    <w:pPr>
      <w:keepNext/>
      <w:keepLines/>
      <w:spacing w:before="1320" w:after="280"/>
      <w:contextualSpacing/>
      <w:jc w:val="center"/>
    </w:pPr>
    <w:rPr>
      <w:b/>
    </w:rPr>
  </w:style>
  <w:style w:type="paragraph" w:customStyle="1" w:styleId="ECHRCoverTitle4">
    <w:name w:val="ECHR_Cover_Title_4"/>
    <w:aliases w:val="_Title_4"/>
    <w:basedOn w:val="JuPara"/>
    <w:next w:val="JuPara"/>
    <w:uiPriority w:val="38"/>
    <w:qFormat/>
    <w:rsid w:val="002660CA"/>
    <w:pPr>
      <w:keepNext/>
      <w:keepLines/>
      <w:tabs>
        <w:tab w:val="right" w:pos="7938"/>
      </w:tabs>
      <w:ind w:firstLine="0"/>
      <w:jc w:val="center"/>
    </w:pPr>
    <w:rPr>
      <w:i/>
    </w:rPr>
  </w:style>
  <w:style w:type="paragraph" w:styleId="Title">
    <w:name w:val="Title"/>
    <w:basedOn w:val="Normal"/>
    <w:next w:val="Normal"/>
    <w:link w:val="TitleChar"/>
    <w:uiPriority w:val="98"/>
    <w:semiHidden/>
    <w:qFormat/>
    <w:rsid w:val="002660CA"/>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2660CA"/>
    <w:rPr>
      <w:rFonts w:asciiTheme="majorHAnsi" w:eastAsiaTheme="majorEastAsia" w:hAnsiTheme="majorHAnsi" w:cstheme="majorBidi"/>
      <w:spacing w:val="5"/>
      <w:sz w:val="52"/>
      <w:szCs w:val="52"/>
      <w:lang w:val="ro-RO" w:bidi="en-US"/>
    </w:rPr>
  </w:style>
  <w:style w:type="numbering" w:customStyle="1" w:styleId="ECHRA1StyleBulletedSquare">
    <w:name w:val="ECHR_A1_Style_Bulleted_Square"/>
    <w:basedOn w:val="NoList"/>
    <w:rsid w:val="002660CA"/>
    <w:pPr>
      <w:numPr>
        <w:numId w:val="17"/>
      </w:numPr>
    </w:pPr>
  </w:style>
  <w:style w:type="numbering" w:customStyle="1" w:styleId="ECHRA1StyleList">
    <w:name w:val="ECHR_A1_Style_List"/>
    <w:basedOn w:val="NoList"/>
    <w:uiPriority w:val="99"/>
    <w:rsid w:val="002660CA"/>
    <w:pPr>
      <w:numPr>
        <w:numId w:val="18"/>
      </w:numPr>
    </w:pPr>
  </w:style>
  <w:style w:type="numbering" w:customStyle="1" w:styleId="ECHRA1StyleNumberedList">
    <w:name w:val="ECHR_A1_Style_Numbered_List"/>
    <w:basedOn w:val="NoList"/>
    <w:rsid w:val="002660CA"/>
    <w:pPr>
      <w:numPr>
        <w:numId w:val="19"/>
      </w:numPr>
    </w:pPr>
  </w:style>
  <w:style w:type="table" w:customStyle="1" w:styleId="ECHRTable2019">
    <w:name w:val="ECHR_Table_2019"/>
    <w:basedOn w:val="TableNormal"/>
    <w:uiPriority w:val="99"/>
    <w:rsid w:val="002660CA"/>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paragraph" w:customStyle="1" w:styleId="Footer">
    <w:name w:val="_Footer"/>
    <w:aliases w:val="Footer_"/>
    <w:basedOn w:val="Footer0"/>
    <w:uiPriority w:val="57"/>
    <w:semiHidden/>
    <w:rsid w:val="00861A27"/>
    <w:rPr>
      <w:sz w:val="8"/>
    </w:rPr>
  </w:style>
  <w:style w:type="paragraph" w:customStyle="1" w:styleId="JuHIRoman">
    <w:name w:val="Ju_H_I_Roman"/>
    <w:aliases w:val="_Head_2"/>
    <w:basedOn w:val="Heading2"/>
    <w:next w:val="JuPara"/>
    <w:uiPriority w:val="17"/>
    <w:qFormat/>
    <w:rsid w:val="002660CA"/>
    <w:pPr>
      <w:keepNext/>
      <w:keepLines/>
      <w:numPr>
        <w:ilvl w:val="1"/>
        <w:numId w:val="22"/>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2660CA"/>
    <w:pPr>
      <w:keepNext/>
      <w:keepLines/>
      <w:numPr>
        <w:ilvl w:val="2"/>
        <w:numId w:val="22"/>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2660CA"/>
    <w:pPr>
      <w:keepNext/>
      <w:keepLines/>
      <w:numPr>
        <w:ilvl w:val="3"/>
        <w:numId w:val="22"/>
      </w:numPr>
      <w:spacing w:before="100" w:beforeAutospacing="1" w:after="120"/>
      <w:jc w:val="both"/>
    </w:pPr>
    <w:rPr>
      <w:b w:val="0"/>
      <w:color w:val="auto"/>
      <w:sz w:val="24"/>
    </w:rPr>
  </w:style>
  <w:style w:type="paragraph" w:styleId="Header">
    <w:name w:val="header"/>
    <w:basedOn w:val="Normal"/>
    <w:link w:val="HeaderChar"/>
    <w:uiPriority w:val="98"/>
    <w:semiHidden/>
    <w:rsid w:val="002660CA"/>
    <w:pPr>
      <w:tabs>
        <w:tab w:val="center" w:pos="4536"/>
        <w:tab w:val="right" w:pos="9072"/>
      </w:tabs>
    </w:pPr>
  </w:style>
  <w:style w:type="character" w:customStyle="1" w:styleId="HeaderChar">
    <w:name w:val="Header Char"/>
    <w:basedOn w:val="DefaultParagraphFont"/>
    <w:link w:val="Header"/>
    <w:uiPriority w:val="98"/>
    <w:semiHidden/>
    <w:rsid w:val="002660CA"/>
    <w:rPr>
      <w:sz w:val="24"/>
      <w:szCs w:val="24"/>
      <w:lang w:val="ro-RO"/>
    </w:rPr>
  </w:style>
  <w:style w:type="character" w:customStyle="1" w:styleId="Heading1Char">
    <w:name w:val="Heading 1 Char"/>
    <w:basedOn w:val="DefaultParagraphFont"/>
    <w:link w:val="Heading1"/>
    <w:uiPriority w:val="98"/>
    <w:semiHidden/>
    <w:rsid w:val="002660CA"/>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JuPara"/>
    <w:uiPriority w:val="17"/>
    <w:rsid w:val="002660CA"/>
    <w:pPr>
      <w:keepNext/>
      <w:keepLines/>
      <w:numPr>
        <w:ilvl w:val="4"/>
        <w:numId w:val="22"/>
      </w:numPr>
      <w:spacing w:before="100" w:beforeAutospacing="1" w:after="120"/>
      <w:jc w:val="both"/>
    </w:pPr>
    <w:rPr>
      <w:color w:val="auto"/>
      <w:sz w:val="20"/>
    </w:rPr>
  </w:style>
  <w:style w:type="paragraph" w:customStyle="1" w:styleId="JuHi">
    <w:name w:val="Ju_H_i"/>
    <w:aliases w:val="_Head_6"/>
    <w:basedOn w:val="Heading6"/>
    <w:next w:val="JuPara"/>
    <w:uiPriority w:val="17"/>
    <w:rsid w:val="002660CA"/>
    <w:pPr>
      <w:keepNext/>
      <w:keepLines/>
      <w:numPr>
        <w:ilvl w:val="5"/>
        <w:numId w:val="22"/>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2660CA"/>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JuPara"/>
    <w:uiPriority w:val="17"/>
    <w:rsid w:val="002660CA"/>
    <w:pPr>
      <w:keepNext/>
      <w:keepLines/>
      <w:numPr>
        <w:ilvl w:val="6"/>
        <w:numId w:val="22"/>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2660CA"/>
    <w:pPr>
      <w:keepNext/>
      <w:keepLines/>
      <w:numPr>
        <w:ilvl w:val="7"/>
        <w:numId w:val="22"/>
      </w:numPr>
      <w:spacing w:before="100" w:beforeAutospacing="1" w:after="120"/>
      <w:jc w:val="both"/>
    </w:pPr>
    <w:rPr>
      <w:i/>
    </w:rPr>
  </w:style>
  <w:style w:type="character" w:customStyle="1" w:styleId="Heading3Char">
    <w:name w:val="Heading 3 Char"/>
    <w:basedOn w:val="DefaultParagraphFont"/>
    <w:link w:val="Heading3"/>
    <w:uiPriority w:val="98"/>
    <w:semiHidden/>
    <w:rsid w:val="002660CA"/>
    <w:rPr>
      <w:rFonts w:asciiTheme="majorHAnsi" w:eastAsiaTheme="majorEastAsia" w:hAnsiTheme="majorHAnsi" w:cstheme="majorBidi"/>
      <w:b/>
      <w:bCs/>
      <w:color w:val="5F5F5F"/>
      <w:lang w:val="ro-RO"/>
    </w:rPr>
  </w:style>
  <w:style w:type="paragraph" w:customStyle="1" w:styleId="JuCourt">
    <w:name w:val="Ju_Court"/>
    <w:aliases w:val="_Court_Names"/>
    <w:basedOn w:val="Normal"/>
    <w:next w:val="Normal"/>
    <w:uiPriority w:val="32"/>
    <w:qFormat/>
    <w:rsid w:val="002660CA"/>
    <w:pPr>
      <w:tabs>
        <w:tab w:val="left" w:pos="907"/>
        <w:tab w:val="left" w:pos="1701"/>
        <w:tab w:val="right" w:pos="7371"/>
      </w:tabs>
      <w:spacing w:before="240"/>
      <w:ind w:left="397" w:hanging="397"/>
    </w:pPr>
    <w:rPr>
      <w:lang w:bidi="en-US"/>
    </w:rPr>
  </w:style>
  <w:style w:type="paragraph" w:customStyle="1" w:styleId="JuJudges">
    <w:name w:val="Ju_Judges"/>
    <w:aliases w:val="_Judges"/>
    <w:basedOn w:val="Normal"/>
    <w:uiPriority w:val="32"/>
    <w:qFormat/>
    <w:rsid w:val="002660CA"/>
    <w:pPr>
      <w:tabs>
        <w:tab w:val="left" w:pos="567"/>
        <w:tab w:val="left" w:pos="1134"/>
      </w:tabs>
    </w:pPr>
  </w:style>
  <w:style w:type="character" w:customStyle="1" w:styleId="Heading4Char">
    <w:name w:val="Heading 4 Char"/>
    <w:basedOn w:val="DefaultParagraphFont"/>
    <w:link w:val="Heading4"/>
    <w:uiPriority w:val="98"/>
    <w:semiHidden/>
    <w:rsid w:val="002660CA"/>
    <w:rPr>
      <w:rFonts w:asciiTheme="majorHAnsi" w:eastAsiaTheme="majorEastAsia" w:hAnsiTheme="majorHAnsi" w:cstheme="majorBidi"/>
      <w:b/>
      <w:bCs/>
      <w:i/>
      <w:iCs/>
      <w:color w:val="777777"/>
      <w:lang w:val="ro-RO"/>
    </w:rPr>
  </w:style>
  <w:style w:type="paragraph" w:customStyle="1" w:styleId="JuInitialled">
    <w:name w:val="Ju_Initialled"/>
    <w:aliases w:val="_Right"/>
    <w:basedOn w:val="Normal"/>
    <w:uiPriority w:val="30"/>
    <w:qFormat/>
    <w:rsid w:val="002660CA"/>
    <w:pPr>
      <w:tabs>
        <w:tab w:val="center" w:pos="6407"/>
      </w:tabs>
      <w:spacing w:before="720"/>
      <w:jc w:val="right"/>
    </w:pPr>
  </w:style>
  <w:style w:type="character" w:customStyle="1" w:styleId="Heading5Char">
    <w:name w:val="Heading 5 Char"/>
    <w:basedOn w:val="DefaultParagraphFont"/>
    <w:link w:val="Heading5"/>
    <w:uiPriority w:val="98"/>
    <w:semiHidden/>
    <w:rsid w:val="002660CA"/>
    <w:rPr>
      <w:rFonts w:asciiTheme="majorHAnsi" w:eastAsiaTheme="majorEastAsia" w:hAnsiTheme="majorHAnsi" w:cstheme="majorBidi"/>
      <w:b/>
      <w:bCs/>
      <w:color w:val="808080"/>
      <w:lang w:val="ro-RO"/>
    </w:rPr>
  </w:style>
  <w:style w:type="character" w:customStyle="1" w:styleId="JuITMark">
    <w:name w:val="Ju_ITMark"/>
    <w:aliases w:val="_ITMark"/>
    <w:basedOn w:val="DefaultParagraphFont"/>
    <w:uiPriority w:val="54"/>
    <w:qFormat/>
    <w:rsid w:val="002660CA"/>
    <w:rPr>
      <w:vanish w:val="0"/>
      <w:color w:val="auto"/>
      <w:sz w:val="14"/>
      <w:bdr w:val="none" w:sz="0" w:space="0" w:color="auto"/>
      <w:shd w:val="clear" w:color="auto" w:fill="BEE5FF" w:themeFill="background1" w:themeFillTint="33"/>
    </w:rPr>
  </w:style>
  <w:style w:type="character" w:customStyle="1" w:styleId="JUNAMES">
    <w:name w:val="JU_NAMES"/>
    <w:aliases w:val="_Ju_Names"/>
    <w:uiPriority w:val="33"/>
    <w:qFormat/>
    <w:rsid w:val="002660CA"/>
    <w:rPr>
      <w:caps w:val="0"/>
      <w:smallCaps/>
    </w:rPr>
  </w:style>
  <w:style w:type="character" w:styleId="SubtleEmphasis">
    <w:name w:val="Subtle Emphasis"/>
    <w:uiPriority w:val="98"/>
    <w:semiHidden/>
    <w:qFormat/>
    <w:rsid w:val="002660CA"/>
    <w:rPr>
      <w:i/>
      <w:iCs/>
    </w:rPr>
  </w:style>
  <w:style w:type="paragraph" w:customStyle="1" w:styleId="JuSigned">
    <w:name w:val="Ju_Signed"/>
    <w:aliases w:val="_Signature"/>
    <w:basedOn w:val="Normal"/>
    <w:next w:val="JuPara"/>
    <w:uiPriority w:val="31"/>
    <w:qFormat/>
    <w:rsid w:val="002660CA"/>
    <w:pPr>
      <w:tabs>
        <w:tab w:val="center" w:pos="1418"/>
        <w:tab w:val="center" w:pos="5954"/>
      </w:tabs>
      <w:spacing w:before="720"/>
    </w:pPr>
  </w:style>
  <w:style w:type="table" w:customStyle="1" w:styleId="ECHRTable">
    <w:name w:val="ECHR_Table"/>
    <w:basedOn w:val="TableNormal"/>
    <w:rsid w:val="002660CA"/>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2660CA"/>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character" w:styleId="Emphasis">
    <w:name w:val="Emphasis"/>
    <w:uiPriority w:val="98"/>
    <w:semiHidden/>
    <w:qFormat/>
    <w:rsid w:val="002660CA"/>
    <w:rPr>
      <w:b/>
      <w:bCs/>
      <w:i/>
      <w:iCs/>
      <w:spacing w:val="10"/>
      <w:bdr w:val="none" w:sz="0" w:space="0" w:color="auto"/>
      <w:shd w:val="clear" w:color="auto" w:fill="auto"/>
    </w:rPr>
  </w:style>
  <w:style w:type="paragraph" w:styleId="Footer0">
    <w:name w:val="footer"/>
    <w:basedOn w:val="Normal"/>
    <w:link w:val="FooterChar"/>
    <w:uiPriority w:val="98"/>
    <w:semiHidden/>
    <w:rsid w:val="002660CA"/>
    <w:pPr>
      <w:tabs>
        <w:tab w:val="center" w:pos="3686"/>
        <w:tab w:val="right" w:pos="7371"/>
      </w:tabs>
    </w:pPr>
  </w:style>
  <w:style w:type="character" w:customStyle="1" w:styleId="FooterChar">
    <w:name w:val="Footer Char"/>
    <w:basedOn w:val="DefaultParagraphFont"/>
    <w:link w:val="Footer0"/>
    <w:uiPriority w:val="98"/>
    <w:semiHidden/>
    <w:rsid w:val="002660CA"/>
    <w:rPr>
      <w:sz w:val="24"/>
      <w:szCs w:val="24"/>
      <w:lang w:val="ro-RO"/>
    </w:rPr>
  </w:style>
  <w:style w:type="character" w:styleId="FootnoteReference">
    <w:name w:val="footnote reference"/>
    <w:basedOn w:val="DefaultParagraphFont"/>
    <w:uiPriority w:val="98"/>
    <w:semiHidden/>
    <w:rsid w:val="002660CA"/>
    <w:rPr>
      <w:vertAlign w:val="superscript"/>
    </w:rPr>
  </w:style>
  <w:style w:type="paragraph" w:styleId="FootnoteText">
    <w:name w:val="footnote text"/>
    <w:basedOn w:val="NormalJustified"/>
    <w:link w:val="FootnoteTextChar"/>
    <w:uiPriority w:val="98"/>
    <w:semiHidden/>
    <w:rsid w:val="002660CA"/>
    <w:rPr>
      <w:sz w:val="20"/>
      <w:szCs w:val="20"/>
    </w:rPr>
  </w:style>
  <w:style w:type="character" w:customStyle="1" w:styleId="FootnoteTextChar">
    <w:name w:val="Footnote Text Char"/>
    <w:basedOn w:val="DefaultParagraphFont"/>
    <w:link w:val="FootnoteText"/>
    <w:uiPriority w:val="98"/>
    <w:semiHidden/>
    <w:rsid w:val="002660CA"/>
    <w:rPr>
      <w:sz w:val="20"/>
      <w:szCs w:val="20"/>
      <w:lang w:val="ro-RO"/>
    </w:rPr>
  </w:style>
  <w:style w:type="character" w:customStyle="1" w:styleId="Heading6Char">
    <w:name w:val="Heading 6 Char"/>
    <w:basedOn w:val="DefaultParagraphFont"/>
    <w:link w:val="Heading6"/>
    <w:uiPriority w:val="98"/>
    <w:semiHidden/>
    <w:rsid w:val="002660CA"/>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2660CA"/>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2660CA"/>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2660CA"/>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8"/>
    <w:semiHidden/>
    <w:rsid w:val="002660CA"/>
    <w:rPr>
      <w:color w:val="0072BC" w:themeColor="hyperlink"/>
      <w:u w:val="single"/>
    </w:rPr>
  </w:style>
  <w:style w:type="character" w:styleId="IntenseEmphasis">
    <w:name w:val="Intense Emphasis"/>
    <w:uiPriority w:val="98"/>
    <w:semiHidden/>
    <w:qFormat/>
    <w:rsid w:val="002660CA"/>
    <w:rPr>
      <w:b/>
      <w:bCs/>
    </w:rPr>
  </w:style>
  <w:style w:type="paragraph" w:styleId="IntenseQuote">
    <w:name w:val="Intense Quote"/>
    <w:basedOn w:val="Normal"/>
    <w:next w:val="Normal"/>
    <w:link w:val="IntenseQuoteChar"/>
    <w:uiPriority w:val="98"/>
    <w:semiHidden/>
    <w:qFormat/>
    <w:rsid w:val="002660CA"/>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2660CA"/>
    <w:rPr>
      <w:b/>
      <w:bCs/>
      <w:i/>
      <w:iCs/>
      <w:sz w:val="24"/>
      <w:szCs w:val="24"/>
      <w:lang w:val="ro-RO" w:bidi="en-US"/>
    </w:rPr>
  </w:style>
  <w:style w:type="character" w:styleId="IntenseReference">
    <w:name w:val="Intense Reference"/>
    <w:uiPriority w:val="98"/>
    <w:semiHidden/>
    <w:qFormat/>
    <w:rsid w:val="002660CA"/>
    <w:rPr>
      <w:smallCaps/>
      <w:spacing w:val="5"/>
      <w:u w:val="single"/>
    </w:rPr>
  </w:style>
  <w:style w:type="paragraph" w:styleId="ListParagraph">
    <w:name w:val="List Paragraph"/>
    <w:basedOn w:val="Normal"/>
    <w:uiPriority w:val="98"/>
    <w:semiHidden/>
    <w:qFormat/>
    <w:rsid w:val="002660CA"/>
    <w:pPr>
      <w:ind w:left="720"/>
      <w:contextualSpacing/>
    </w:pPr>
  </w:style>
  <w:style w:type="table" w:customStyle="1" w:styleId="LtrTableAddress">
    <w:name w:val="Ltr_Table_Address"/>
    <w:aliases w:val="ECHR_Ltr_Table_Address"/>
    <w:basedOn w:val="TableNormal"/>
    <w:uiPriority w:val="99"/>
    <w:rsid w:val="002660CA"/>
    <w:rPr>
      <w:sz w:val="24"/>
      <w:szCs w:val="24"/>
    </w:rPr>
    <w:tblPr>
      <w:tblInd w:w="5103" w:type="dxa"/>
    </w:tblPr>
  </w:style>
  <w:style w:type="paragraph" w:styleId="Quote">
    <w:name w:val="Quote"/>
    <w:basedOn w:val="Normal"/>
    <w:next w:val="Normal"/>
    <w:link w:val="QuoteChar"/>
    <w:uiPriority w:val="98"/>
    <w:semiHidden/>
    <w:qFormat/>
    <w:rsid w:val="002660CA"/>
    <w:pPr>
      <w:spacing w:before="200"/>
      <w:ind w:left="360" w:right="360"/>
    </w:pPr>
    <w:rPr>
      <w:i/>
      <w:iCs/>
      <w:lang w:bidi="en-US"/>
    </w:rPr>
  </w:style>
  <w:style w:type="character" w:customStyle="1" w:styleId="QuoteChar">
    <w:name w:val="Quote Char"/>
    <w:basedOn w:val="DefaultParagraphFont"/>
    <w:link w:val="Quote"/>
    <w:uiPriority w:val="98"/>
    <w:semiHidden/>
    <w:rsid w:val="002660CA"/>
    <w:rPr>
      <w:i/>
      <w:iCs/>
      <w:sz w:val="24"/>
      <w:szCs w:val="24"/>
      <w:lang w:val="ro-RO" w:bidi="en-US"/>
    </w:rPr>
  </w:style>
  <w:style w:type="character" w:styleId="SubtleReference">
    <w:name w:val="Subtle Reference"/>
    <w:uiPriority w:val="98"/>
    <w:semiHidden/>
    <w:qFormat/>
    <w:rsid w:val="002660CA"/>
    <w:rPr>
      <w:smallCaps/>
    </w:rPr>
  </w:style>
  <w:style w:type="table" w:styleId="TableGrid">
    <w:name w:val="Table Grid"/>
    <w:basedOn w:val="TableNormal"/>
    <w:uiPriority w:val="59"/>
    <w:semiHidden/>
    <w:rsid w:val="002660CA"/>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2660CA"/>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2660CA"/>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2660CA"/>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2660CA"/>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2660CA"/>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2660CA"/>
    <w:pPr>
      <w:keepNext/>
      <w:keepLines/>
      <w:spacing w:before="240"/>
      <w:contextualSpacing/>
      <w:jc w:val="center"/>
    </w:pPr>
    <w:rPr>
      <w:rFonts w:asciiTheme="majorHAnsi" w:hAnsiTheme="majorHAnsi"/>
      <w:b/>
      <w:color w:val="474747" w:themeColor="accent3" w:themeShade="BF"/>
      <w:sz w:val="28"/>
    </w:rPr>
  </w:style>
  <w:style w:type="table" w:customStyle="1" w:styleId="UGTable">
    <w:name w:val="UG_Table"/>
    <w:aliases w:val="ECHR_UG_Table"/>
    <w:basedOn w:val="TableNormal"/>
    <w:uiPriority w:val="99"/>
    <w:rsid w:val="002660CA"/>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2660CA"/>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2660CA"/>
    <w:rPr>
      <w:color w:val="000000" w:themeColor="text1"/>
      <w:sz w:val="18"/>
      <w:szCs w:val="24"/>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2660CA"/>
    <w:rPr>
      <w:color w:val="000000" w:themeColor="text1"/>
      <w:sz w:val="24"/>
      <w:szCs w:val="24"/>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2660CA"/>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basedOn w:val="TableNormal"/>
    <w:uiPriority w:val="99"/>
    <w:rsid w:val="002660CA"/>
    <w:rPr>
      <w:sz w:val="24"/>
      <w:szCs w:val="24"/>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2660CA"/>
    <w:pPr>
      <w:keepNext/>
      <w:keepLines/>
      <w:spacing w:before="240"/>
      <w:contextualSpacing/>
      <w:jc w:val="center"/>
    </w:pPr>
    <w:rPr>
      <w:rFonts w:asciiTheme="majorHAnsi" w:eastAsiaTheme="majorEastAsia" w:hAnsiTheme="majorHAnsi" w:cstheme="majorBidi"/>
      <w:b/>
      <w:bCs/>
      <w:color w:val="474747" w:themeColor="accent3" w:themeShade="BF"/>
      <w:sz w:val="28"/>
    </w:rPr>
  </w:style>
  <w:style w:type="paragraph" w:styleId="Subtitle">
    <w:name w:val="Subtitle"/>
    <w:basedOn w:val="Normal"/>
    <w:next w:val="Normal"/>
    <w:link w:val="SubtitleChar"/>
    <w:uiPriority w:val="98"/>
    <w:semiHidden/>
    <w:qFormat/>
    <w:rsid w:val="002660CA"/>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semiHidden/>
    <w:rsid w:val="002660CA"/>
    <w:rPr>
      <w:rFonts w:asciiTheme="majorHAnsi" w:eastAsiaTheme="majorEastAsia" w:hAnsiTheme="majorHAnsi" w:cstheme="majorBidi"/>
      <w:i/>
      <w:iCs/>
      <w:spacing w:val="13"/>
      <w:sz w:val="24"/>
      <w:szCs w:val="24"/>
      <w:lang w:val="ro-RO" w:bidi="en-US"/>
    </w:rPr>
  </w:style>
  <w:style w:type="numbering" w:styleId="111111">
    <w:name w:val="Outline List 2"/>
    <w:basedOn w:val="NoList"/>
    <w:uiPriority w:val="99"/>
    <w:semiHidden/>
    <w:unhideWhenUsed/>
    <w:rsid w:val="002660CA"/>
    <w:pPr>
      <w:numPr>
        <w:numId w:val="4"/>
      </w:numPr>
    </w:pPr>
  </w:style>
  <w:style w:type="paragraph" w:customStyle="1" w:styleId="JuPara">
    <w:name w:val="Ju_Para"/>
    <w:aliases w:val="_Para"/>
    <w:basedOn w:val="NormalJustified"/>
    <w:link w:val="JuParaChar"/>
    <w:uiPriority w:val="4"/>
    <w:qFormat/>
    <w:rsid w:val="002660CA"/>
    <w:pPr>
      <w:ind w:firstLine="284"/>
    </w:pPr>
  </w:style>
  <w:style w:type="numbering" w:styleId="1ai">
    <w:name w:val="Outline List 1"/>
    <w:basedOn w:val="NoList"/>
    <w:uiPriority w:val="99"/>
    <w:semiHidden/>
    <w:unhideWhenUsed/>
    <w:rsid w:val="002660CA"/>
    <w:pPr>
      <w:numPr>
        <w:numId w:val="5"/>
      </w:numPr>
    </w:pPr>
  </w:style>
  <w:style w:type="table" w:customStyle="1" w:styleId="ECHRTableSimpleBox">
    <w:name w:val="ECHR_Table_Simple_Box"/>
    <w:basedOn w:val="TableNormal"/>
    <w:uiPriority w:val="99"/>
    <w:rsid w:val="002660CA"/>
    <w:rPr>
      <w:sz w:val="24"/>
      <w:szCs w:val="24"/>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2660CA"/>
    <w:rPr>
      <w:sz w:val="24"/>
      <w:szCs w:val="24"/>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ArticleSection">
    <w:name w:val="Outline List 3"/>
    <w:basedOn w:val="NoList"/>
    <w:uiPriority w:val="99"/>
    <w:semiHidden/>
    <w:unhideWhenUsed/>
    <w:rsid w:val="002660CA"/>
    <w:pPr>
      <w:numPr>
        <w:numId w:val="6"/>
      </w:numPr>
    </w:pPr>
  </w:style>
  <w:style w:type="table" w:customStyle="1" w:styleId="ECHRTableForInternalUse">
    <w:name w:val="ECHR_Table_For_Internal_Use"/>
    <w:basedOn w:val="TableNormal"/>
    <w:uiPriority w:val="99"/>
    <w:rsid w:val="002660CA"/>
    <w:rPr>
      <w:color w:val="636363"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2660CA"/>
    <w:rPr>
      <w:sz w:val="24"/>
      <w:szCs w:val="24"/>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2660CA"/>
  </w:style>
  <w:style w:type="paragraph" w:styleId="BlockText">
    <w:name w:val="Block Text"/>
    <w:basedOn w:val="Normal"/>
    <w:uiPriority w:val="98"/>
    <w:semiHidden/>
    <w:rsid w:val="002660CA"/>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2660CA"/>
    <w:rPr>
      <w:sz w:val="24"/>
      <w:szCs w:val="24"/>
    </w:rPr>
    <w:tblPr>
      <w:tblInd w:w="-1474"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2660CA"/>
    <w:pPr>
      <w:spacing w:after="120"/>
    </w:pPr>
  </w:style>
  <w:style w:type="character" w:customStyle="1" w:styleId="BodyTextChar">
    <w:name w:val="Body Text Char"/>
    <w:basedOn w:val="DefaultParagraphFont"/>
    <w:link w:val="BodyText"/>
    <w:uiPriority w:val="98"/>
    <w:semiHidden/>
    <w:rsid w:val="002660CA"/>
    <w:rPr>
      <w:sz w:val="24"/>
      <w:szCs w:val="24"/>
      <w:lang w:val="ro-RO"/>
    </w:rPr>
  </w:style>
  <w:style w:type="table" w:customStyle="1" w:styleId="ECHRTableOddBanded">
    <w:name w:val="ECHR_Table_Odd_Banded"/>
    <w:basedOn w:val="TableNormal"/>
    <w:uiPriority w:val="99"/>
    <w:rsid w:val="002660CA"/>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2660CA"/>
    <w:pPr>
      <w:spacing w:after="120" w:line="480" w:lineRule="auto"/>
    </w:pPr>
  </w:style>
  <w:style w:type="table" w:customStyle="1" w:styleId="ECHRHeaderTableReduced">
    <w:name w:val="ECHR_Header_Table_Reduced"/>
    <w:basedOn w:val="TableNormal"/>
    <w:uiPriority w:val="99"/>
    <w:rsid w:val="002660CA"/>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Justified"/>
    <w:next w:val="JuPara"/>
    <w:uiPriority w:val="32"/>
    <w:rsid w:val="002660CA"/>
    <w:pPr>
      <w:ind w:firstLine="284"/>
    </w:pPr>
    <w:rPr>
      <w:b/>
    </w:rPr>
  </w:style>
  <w:style w:type="character" w:styleId="PageNumber">
    <w:name w:val="page number"/>
    <w:uiPriority w:val="98"/>
    <w:semiHidden/>
    <w:rsid w:val="002660CA"/>
    <w:rPr>
      <w:sz w:val="18"/>
    </w:rPr>
  </w:style>
  <w:style w:type="paragraph" w:styleId="ListBullet">
    <w:name w:val="List Bullet"/>
    <w:basedOn w:val="Normal"/>
    <w:uiPriority w:val="98"/>
    <w:semiHidden/>
    <w:rsid w:val="002660CA"/>
    <w:pPr>
      <w:numPr>
        <w:numId w:val="7"/>
      </w:numPr>
    </w:pPr>
  </w:style>
  <w:style w:type="paragraph" w:styleId="ListBullet3">
    <w:name w:val="List Bullet 3"/>
    <w:basedOn w:val="Normal"/>
    <w:uiPriority w:val="98"/>
    <w:semiHidden/>
    <w:rsid w:val="002660CA"/>
    <w:pPr>
      <w:numPr>
        <w:numId w:val="9"/>
      </w:numPr>
      <w:contextualSpacing/>
    </w:pPr>
  </w:style>
  <w:style w:type="character" w:customStyle="1" w:styleId="BodyText2Char">
    <w:name w:val="Body Text 2 Char"/>
    <w:basedOn w:val="DefaultParagraphFont"/>
    <w:link w:val="BodyText2"/>
    <w:uiPriority w:val="98"/>
    <w:semiHidden/>
    <w:rsid w:val="002660CA"/>
    <w:rPr>
      <w:sz w:val="24"/>
      <w:szCs w:val="24"/>
      <w:lang w:val="ro-RO"/>
    </w:rPr>
  </w:style>
  <w:style w:type="paragraph" w:styleId="BodyText3">
    <w:name w:val="Body Text 3"/>
    <w:basedOn w:val="Normal"/>
    <w:link w:val="BodyText3Char"/>
    <w:uiPriority w:val="98"/>
    <w:semiHidden/>
    <w:rsid w:val="002660CA"/>
    <w:pPr>
      <w:spacing w:after="120"/>
    </w:pPr>
    <w:rPr>
      <w:sz w:val="16"/>
      <w:szCs w:val="16"/>
    </w:rPr>
  </w:style>
  <w:style w:type="character" w:customStyle="1" w:styleId="BodyText3Char">
    <w:name w:val="Body Text 3 Char"/>
    <w:basedOn w:val="DefaultParagraphFont"/>
    <w:link w:val="BodyText3"/>
    <w:uiPriority w:val="98"/>
    <w:semiHidden/>
    <w:rsid w:val="002660CA"/>
    <w:rPr>
      <w:sz w:val="16"/>
      <w:szCs w:val="16"/>
      <w:lang w:val="ro-RO"/>
    </w:rPr>
  </w:style>
  <w:style w:type="paragraph" w:styleId="BodyTextFirstIndent">
    <w:name w:val="Body Text First Indent"/>
    <w:basedOn w:val="BodyText"/>
    <w:link w:val="BodyTextFirstIndentChar"/>
    <w:uiPriority w:val="98"/>
    <w:semiHidden/>
    <w:rsid w:val="002660CA"/>
    <w:pPr>
      <w:spacing w:after="0"/>
      <w:ind w:firstLine="360"/>
    </w:pPr>
  </w:style>
  <w:style w:type="character" w:customStyle="1" w:styleId="BodyTextFirstIndentChar">
    <w:name w:val="Body Text First Indent Char"/>
    <w:basedOn w:val="BodyTextChar"/>
    <w:link w:val="BodyTextFirstIndent"/>
    <w:uiPriority w:val="98"/>
    <w:semiHidden/>
    <w:rsid w:val="002660CA"/>
    <w:rPr>
      <w:sz w:val="24"/>
      <w:szCs w:val="24"/>
      <w:lang w:val="ro-RO"/>
    </w:rPr>
  </w:style>
  <w:style w:type="paragraph" w:styleId="BodyTextIndent">
    <w:name w:val="Body Text Indent"/>
    <w:basedOn w:val="Normal"/>
    <w:link w:val="BodyTextIndentChar"/>
    <w:uiPriority w:val="98"/>
    <w:semiHidden/>
    <w:rsid w:val="002660CA"/>
    <w:pPr>
      <w:spacing w:after="120"/>
      <w:ind w:left="283"/>
    </w:pPr>
  </w:style>
  <w:style w:type="character" w:customStyle="1" w:styleId="BodyTextIndentChar">
    <w:name w:val="Body Text Indent Char"/>
    <w:basedOn w:val="DefaultParagraphFont"/>
    <w:link w:val="BodyTextIndent"/>
    <w:uiPriority w:val="98"/>
    <w:semiHidden/>
    <w:rsid w:val="002660CA"/>
    <w:rPr>
      <w:sz w:val="24"/>
      <w:szCs w:val="24"/>
      <w:lang w:val="ro-RO"/>
    </w:rPr>
  </w:style>
  <w:style w:type="paragraph" w:styleId="BodyTextFirstIndent2">
    <w:name w:val="Body Text First Indent 2"/>
    <w:basedOn w:val="BodyTextIndent"/>
    <w:link w:val="BodyTextFirstIndent2Char"/>
    <w:uiPriority w:val="98"/>
    <w:semiHidden/>
    <w:rsid w:val="002660CA"/>
    <w:pPr>
      <w:spacing w:after="0"/>
      <w:ind w:left="360" w:firstLine="360"/>
    </w:pPr>
  </w:style>
  <w:style w:type="character" w:customStyle="1" w:styleId="BodyTextFirstIndent2Char">
    <w:name w:val="Body Text First Indent 2 Char"/>
    <w:basedOn w:val="BodyTextIndentChar"/>
    <w:link w:val="BodyTextFirstIndent2"/>
    <w:uiPriority w:val="98"/>
    <w:semiHidden/>
    <w:rsid w:val="002660CA"/>
    <w:rPr>
      <w:sz w:val="24"/>
      <w:szCs w:val="24"/>
      <w:lang w:val="ro-RO"/>
    </w:rPr>
  </w:style>
  <w:style w:type="paragraph" w:styleId="BodyTextIndent2">
    <w:name w:val="Body Text Indent 2"/>
    <w:basedOn w:val="Normal"/>
    <w:link w:val="BodyTextIndent2Char"/>
    <w:uiPriority w:val="98"/>
    <w:semiHidden/>
    <w:rsid w:val="002660CA"/>
    <w:pPr>
      <w:spacing w:after="120" w:line="480" w:lineRule="auto"/>
      <w:ind w:left="283"/>
    </w:pPr>
  </w:style>
  <w:style w:type="character" w:customStyle="1" w:styleId="BodyTextIndent2Char">
    <w:name w:val="Body Text Indent 2 Char"/>
    <w:basedOn w:val="DefaultParagraphFont"/>
    <w:link w:val="BodyTextIndent2"/>
    <w:uiPriority w:val="98"/>
    <w:semiHidden/>
    <w:rsid w:val="002660CA"/>
    <w:rPr>
      <w:sz w:val="24"/>
      <w:szCs w:val="24"/>
      <w:lang w:val="ro-RO"/>
    </w:rPr>
  </w:style>
  <w:style w:type="paragraph" w:styleId="BodyTextIndent3">
    <w:name w:val="Body Text Indent 3"/>
    <w:basedOn w:val="Normal"/>
    <w:link w:val="BodyTextIndent3Char"/>
    <w:uiPriority w:val="98"/>
    <w:semiHidden/>
    <w:rsid w:val="002660CA"/>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2660CA"/>
    <w:rPr>
      <w:sz w:val="16"/>
      <w:szCs w:val="16"/>
      <w:lang w:val="ro-RO"/>
    </w:rPr>
  </w:style>
  <w:style w:type="paragraph" w:styleId="Caption">
    <w:name w:val="caption"/>
    <w:basedOn w:val="Normal"/>
    <w:next w:val="Normal"/>
    <w:uiPriority w:val="98"/>
    <w:semiHidden/>
    <w:qFormat/>
    <w:rsid w:val="002660CA"/>
    <w:pPr>
      <w:spacing w:after="200"/>
    </w:pPr>
    <w:rPr>
      <w:b/>
      <w:bCs/>
      <w:color w:val="0072BC" w:themeColor="accent1"/>
      <w:sz w:val="18"/>
      <w:szCs w:val="18"/>
    </w:rPr>
  </w:style>
  <w:style w:type="paragraph" w:styleId="Closing">
    <w:name w:val="Closing"/>
    <w:basedOn w:val="Normal"/>
    <w:link w:val="ClosingChar"/>
    <w:uiPriority w:val="98"/>
    <w:semiHidden/>
    <w:rsid w:val="002660CA"/>
    <w:pPr>
      <w:ind w:left="4252"/>
    </w:pPr>
  </w:style>
  <w:style w:type="character" w:customStyle="1" w:styleId="ClosingChar">
    <w:name w:val="Closing Char"/>
    <w:basedOn w:val="DefaultParagraphFont"/>
    <w:link w:val="Closing"/>
    <w:uiPriority w:val="98"/>
    <w:semiHidden/>
    <w:rsid w:val="002660CA"/>
    <w:rPr>
      <w:sz w:val="24"/>
      <w:szCs w:val="24"/>
      <w:lang w:val="ro-RO"/>
    </w:rPr>
  </w:style>
  <w:style w:type="table" w:styleId="ColorfulGrid">
    <w:name w:val="Colorful Grid"/>
    <w:basedOn w:val="TableNormal"/>
    <w:uiPriority w:val="73"/>
    <w:semiHidden/>
    <w:rsid w:val="002660CA"/>
    <w:rPr>
      <w:color w:val="000000" w:themeColor="text1"/>
      <w:sz w:val="24"/>
      <w:szCs w:val="24"/>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2660CA"/>
    <w:rPr>
      <w:color w:val="000000" w:themeColor="text1"/>
      <w:sz w:val="24"/>
      <w:szCs w:val="24"/>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2660CA"/>
    <w:rPr>
      <w:color w:val="000000" w:themeColor="text1"/>
      <w:sz w:val="24"/>
      <w:szCs w:val="24"/>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2660CA"/>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2660CA"/>
    <w:rPr>
      <w:color w:val="000000" w:themeColor="text1"/>
      <w:sz w:val="24"/>
      <w:szCs w:val="24"/>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2660CA"/>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2660CA"/>
    <w:rPr>
      <w:color w:val="000000" w:themeColor="text1"/>
      <w:sz w:val="24"/>
      <w:szCs w:val="24"/>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2660CA"/>
    <w:rPr>
      <w:color w:val="000000" w:themeColor="text1"/>
      <w:sz w:val="24"/>
      <w:szCs w:val="24"/>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2660CA"/>
    <w:rPr>
      <w:color w:val="000000" w:themeColor="text1"/>
      <w:sz w:val="24"/>
      <w:szCs w:val="24"/>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2660CA"/>
    <w:rPr>
      <w:color w:val="000000" w:themeColor="text1"/>
      <w:sz w:val="24"/>
      <w:szCs w:val="24"/>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2660CA"/>
    <w:rPr>
      <w:color w:val="000000" w:themeColor="text1"/>
      <w:sz w:val="24"/>
      <w:szCs w:val="24"/>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2660CA"/>
    <w:rPr>
      <w:color w:val="000000" w:themeColor="text1"/>
      <w:sz w:val="24"/>
      <w:szCs w:val="24"/>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2660CA"/>
    <w:rPr>
      <w:color w:val="000000" w:themeColor="text1"/>
      <w:sz w:val="24"/>
      <w:szCs w:val="24"/>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2660CA"/>
    <w:rPr>
      <w:color w:val="000000" w:themeColor="text1"/>
      <w:sz w:val="24"/>
      <w:szCs w:val="24"/>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2660CA"/>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2660CA"/>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2660CA"/>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2660CA"/>
    <w:rPr>
      <w:color w:val="000000" w:themeColor="text1"/>
      <w:sz w:val="24"/>
      <w:szCs w:val="24"/>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2660CA"/>
    <w:rPr>
      <w:color w:val="000000" w:themeColor="text1"/>
      <w:sz w:val="24"/>
      <w:szCs w:val="24"/>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2660CA"/>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2660CA"/>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8"/>
    <w:semiHidden/>
    <w:rsid w:val="002660CA"/>
    <w:rPr>
      <w:sz w:val="20"/>
      <w:szCs w:val="20"/>
      <w:lang w:val="ro-RO"/>
    </w:rPr>
  </w:style>
  <w:style w:type="paragraph" w:styleId="CommentSubject">
    <w:name w:val="annotation subject"/>
    <w:basedOn w:val="CommentText"/>
    <w:next w:val="CommentText"/>
    <w:link w:val="CommentSubjectChar"/>
    <w:uiPriority w:val="98"/>
    <w:semiHidden/>
    <w:rsid w:val="002660CA"/>
    <w:rPr>
      <w:b/>
      <w:bCs/>
    </w:rPr>
  </w:style>
  <w:style w:type="character" w:customStyle="1" w:styleId="CommentSubjectChar">
    <w:name w:val="Comment Subject Char"/>
    <w:basedOn w:val="CommentTextChar"/>
    <w:link w:val="CommentSubject"/>
    <w:uiPriority w:val="98"/>
    <w:semiHidden/>
    <w:rsid w:val="002660CA"/>
    <w:rPr>
      <w:b/>
      <w:bCs/>
      <w:sz w:val="20"/>
      <w:szCs w:val="20"/>
      <w:lang w:val="ro-RO"/>
    </w:rPr>
  </w:style>
  <w:style w:type="table" w:styleId="DarkList">
    <w:name w:val="Dark List"/>
    <w:basedOn w:val="TableNormal"/>
    <w:uiPriority w:val="70"/>
    <w:semiHidden/>
    <w:rsid w:val="002660CA"/>
    <w:rPr>
      <w:color w:val="0072BC"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2660CA"/>
    <w:rPr>
      <w:color w:val="0072BC"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2660CA"/>
    <w:rPr>
      <w:color w:val="0072BC"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2660CA"/>
    <w:rPr>
      <w:color w:val="0072BC" w:themeColor="background1"/>
      <w:sz w:val="24"/>
      <w:szCs w:val="24"/>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2660CA"/>
    <w:rPr>
      <w:color w:val="0072BC"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2660CA"/>
    <w:rPr>
      <w:color w:val="0072BC"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2660CA"/>
    <w:rPr>
      <w:color w:val="0072BC"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2660CA"/>
  </w:style>
  <w:style w:type="character" w:customStyle="1" w:styleId="DateChar">
    <w:name w:val="Date Char"/>
    <w:basedOn w:val="DefaultParagraphFont"/>
    <w:link w:val="Date"/>
    <w:uiPriority w:val="98"/>
    <w:semiHidden/>
    <w:rsid w:val="002660CA"/>
    <w:rPr>
      <w:sz w:val="24"/>
      <w:szCs w:val="24"/>
      <w:lang w:val="ro-RO"/>
    </w:rPr>
  </w:style>
  <w:style w:type="paragraph" w:styleId="DocumentMap">
    <w:name w:val="Document Map"/>
    <w:basedOn w:val="Normal"/>
    <w:link w:val="DocumentMapChar"/>
    <w:uiPriority w:val="98"/>
    <w:semiHidden/>
    <w:rsid w:val="002660CA"/>
    <w:rPr>
      <w:rFonts w:ascii="Tahoma" w:hAnsi="Tahoma" w:cs="Tahoma"/>
      <w:sz w:val="16"/>
      <w:szCs w:val="16"/>
    </w:rPr>
  </w:style>
  <w:style w:type="character" w:customStyle="1" w:styleId="DocumentMapChar">
    <w:name w:val="Document Map Char"/>
    <w:basedOn w:val="DefaultParagraphFont"/>
    <w:link w:val="DocumentMap"/>
    <w:uiPriority w:val="98"/>
    <w:semiHidden/>
    <w:rsid w:val="002660CA"/>
    <w:rPr>
      <w:rFonts w:ascii="Tahoma" w:hAnsi="Tahoma" w:cs="Tahoma"/>
      <w:sz w:val="16"/>
      <w:szCs w:val="16"/>
      <w:lang w:val="ro-RO"/>
    </w:rPr>
  </w:style>
  <w:style w:type="paragraph" w:styleId="E-mailSignature">
    <w:name w:val="E-mail Signature"/>
    <w:basedOn w:val="Normal"/>
    <w:link w:val="E-mailSignatureChar"/>
    <w:uiPriority w:val="98"/>
    <w:semiHidden/>
    <w:rsid w:val="002660CA"/>
  </w:style>
  <w:style w:type="character" w:customStyle="1" w:styleId="E-mailSignatureChar">
    <w:name w:val="E-mail Signature Char"/>
    <w:basedOn w:val="DefaultParagraphFont"/>
    <w:link w:val="E-mailSignature"/>
    <w:uiPriority w:val="98"/>
    <w:semiHidden/>
    <w:rsid w:val="002660CA"/>
    <w:rPr>
      <w:sz w:val="24"/>
      <w:szCs w:val="24"/>
      <w:lang w:val="ro-RO"/>
    </w:rPr>
  </w:style>
  <w:style w:type="character" w:styleId="EndnoteReference">
    <w:name w:val="endnote reference"/>
    <w:basedOn w:val="DefaultParagraphFont"/>
    <w:uiPriority w:val="98"/>
    <w:semiHidden/>
    <w:rsid w:val="002660CA"/>
    <w:rPr>
      <w:vertAlign w:val="superscript"/>
    </w:rPr>
  </w:style>
  <w:style w:type="paragraph" w:styleId="EndnoteText">
    <w:name w:val="endnote text"/>
    <w:basedOn w:val="Normal"/>
    <w:link w:val="EndnoteTextChar"/>
    <w:uiPriority w:val="98"/>
    <w:semiHidden/>
    <w:rsid w:val="002660CA"/>
    <w:rPr>
      <w:sz w:val="20"/>
      <w:szCs w:val="20"/>
    </w:rPr>
  </w:style>
  <w:style w:type="character" w:customStyle="1" w:styleId="EndnoteTextChar">
    <w:name w:val="Endnote Text Char"/>
    <w:basedOn w:val="DefaultParagraphFont"/>
    <w:link w:val="EndnoteText"/>
    <w:uiPriority w:val="98"/>
    <w:semiHidden/>
    <w:rsid w:val="002660CA"/>
    <w:rPr>
      <w:sz w:val="20"/>
      <w:szCs w:val="20"/>
      <w:lang w:val="ro-RO"/>
    </w:rPr>
  </w:style>
  <w:style w:type="paragraph" w:styleId="EnvelopeAddress">
    <w:name w:val="envelope address"/>
    <w:basedOn w:val="Normal"/>
    <w:uiPriority w:val="98"/>
    <w:semiHidden/>
    <w:rsid w:val="002660CA"/>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2660CA"/>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2660CA"/>
    <w:rPr>
      <w:color w:val="7030A0" w:themeColor="followedHyperlink"/>
      <w:u w:val="single"/>
    </w:rPr>
  </w:style>
  <w:style w:type="character" w:styleId="HTMLAcronym">
    <w:name w:val="HTML Acronym"/>
    <w:basedOn w:val="DefaultParagraphFont"/>
    <w:uiPriority w:val="98"/>
    <w:semiHidden/>
    <w:rsid w:val="002660CA"/>
  </w:style>
  <w:style w:type="paragraph" w:styleId="HTMLAddress">
    <w:name w:val="HTML Address"/>
    <w:basedOn w:val="Normal"/>
    <w:link w:val="HTMLAddressChar"/>
    <w:uiPriority w:val="98"/>
    <w:semiHidden/>
    <w:rsid w:val="002660CA"/>
    <w:rPr>
      <w:i/>
      <w:iCs/>
    </w:rPr>
  </w:style>
  <w:style w:type="character" w:customStyle="1" w:styleId="HTMLAddressChar">
    <w:name w:val="HTML Address Char"/>
    <w:basedOn w:val="DefaultParagraphFont"/>
    <w:link w:val="HTMLAddress"/>
    <w:uiPriority w:val="98"/>
    <w:semiHidden/>
    <w:rsid w:val="002660CA"/>
    <w:rPr>
      <w:i/>
      <w:iCs/>
      <w:sz w:val="24"/>
      <w:szCs w:val="24"/>
      <w:lang w:val="ro-RO"/>
    </w:rPr>
  </w:style>
  <w:style w:type="character" w:styleId="HTMLCite">
    <w:name w:val="HTML Cite"/>
    <w:basedOn w:val="DefaultParagraphFont"/>
    <w:uiPriority w:val="98"/>
    <w:semiHidden/>
    <w:rsid w:val="002660CA"/>
    <w:rPr>
      <w:i/>
      <w:iCs/>
    </w:rPr>
  </w:style>
  <w:style w:type="character" w:styleId="HTMLCode">
    <w:name w:val="HTML Code"/>
    <w:basedOn w:val="DefaultParagraphFont"/>
    <w:uiPriority w:val="98"/>
    <w:semiHidden/>
    <w:rsid w:val="002660CA"/>
    <w:rPr>
      <w:rFonts w:ascii="Consolas" w:hAnsi="Consolas" w:cs="Consolas"/>
      <w:sz w:val="20"/>
      <w:szCs w:val="20"/>
    </w:rPr>
  </w:style>
  <w:style w:type="character" w:styleId="HTMLDefinition">
    <w:name w:val="HTML Definition"/>
    <w:basedOn w:val="DefaultParagraphFont"/>
    <w:uiPriority w:val="98"/>
    <w:semiHidden/>
    <w:rsid w:val="002660CA"/>
    <w:rPr>
      <w:i/>
      <w:iCs/>
    </w:rPr>
  </w:style>
  <w:style w:type="character" w:styleId="HTMLKeyboard">
    <w:name w:val="HTML Keyboard"/>
    <w:basedOn w:val="DefaultParagraphFont"/>
    <w:uiPriority w:val="98"/>
    <w:semiHidden/>
    <w:rsid w:val="002660CA"/>
    <w:rPr>
      <w:rFonts w:ascii="Consolas" w:hAnsi="Consolas" w:cs="Consolas"/>
      <w:sz w:val="20"/>
      <w:szCs w:val="20"/>
    </w:rPr>
  </w:style>
  <w:style w:type="paragraph" w:styleId="HTMLPreformatted">
    <w:name w:val="HTML Preformatted"/>
    <w:basedOn w:val="Normal"/>
    <w:link w:val="HTMLPreformattedChar"/>
    <w:uiPriority w:val="98"/>
    <w:semiHidden/>
    <w:rsid w:val="002660CA"/>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2660CA"/>
    <w:rPr>
      <w:rFonts w:ascii="Consolas" w:hAnsi="Consolas" w:cs="Consolas"/>
      <w:sz w:val="20"/>
      <w:szCs w:val="20"/>
      <w:lang w:val="ro-RO"/>
    </w:rPr>
  </w:style>
  <w:style w:type="character" w:styleId="HTMLSample">
    <w:name w:val="HTML Sample"/>
    <w:basedOn w:val="DefaultParagraphFont"/>
    <w:uiPriority w:val="98"/>
    <w:semiHidden/>
    <w:rsid w:val="002660CA"/>
    <w:rPr>
      <w:rFonts w:ascii="Consolas" w:hAnsi="Consolas" w:cs="Consolas"/>
      <w:sz w:val="24"/>
      <w:szCs w:val="24"/>
    </w:rPr>
  </w:style>
  <w:style w:type="character" w:styleId="HTMLTypewriter">
    <w:name w:val="HTML Typewriter"/>
    <w:basedOn w:val="DefaultParagraphFont"/>
    <w:uiPriority w:val="98"/>
    <w:semiHidden/>
    <w:rsid w:val="002660CA"/>
    <w:rPr>
      <w:rFonts w:ascii="Consolas" w:hAnsi="Consolas" w:cs="Consolas"/>
      <w:sz w:val="20"/>
      <w:szCs w:val="20"/>
    </w:rPr>
  </w:style>
  <w:style w:type="character" w:styleId="HTMLVariable">
    <w:name w:val="HTML Variable"/>
    <w:basedOn w:val="DefaultParagraphFont"/>
    <w:uiPriority w:val="98"/>
    <w:semiHidden/>
    <w:rsid w:val="002660CA"/>
    <w:rPr>
      <w:i/>
      <w:iCs/>
    </w:rPr>
  </w:style>
  <w:style w:type="paragraph" w:styleId="Index1">
    <w:name w:val="index 1"/>
    <w:basedOn w:val="Normal"/>
    <w:next w:val="Normal"/>
    <w:autoRedefine/>
    <w:uiPriority w:val="98"/>
    <w:semiHidden/>
    <w:rsid w:val="002660CA"/>
    <w:pPr>
      <w:ind w:left="240" w:hanging="240"/>
    </w:pPr>
  </w:style>
  <w:style w:type="paragraph" w:styleId="Index2">
    <w:name w:val="index 2"/>
    <w:basedOn w:val="Normal"/>
    <w:next w:val="Normal"/>
    <w:autoRedefine/>
    <w:uiPriority w:val="98"/>
    <w:semiHidden/>
    <w:rsid w:val="002660CA"/>
    <w:pPr>
      <w:ind w:left="480" w:hanging="240"/>
    </w:pPr>
  </w:style>
  <w:style w:type="paragraph" w:styleId="Index3">
    <w:name w:val="index 3"/>
    <w:basedOn w:val="Normal"/>
    <w:next w:val="Normal"/>
    <w:autoRedefine/>
    <w:uiPriority w:val="98"/>
    <w:semiHidden/>
    <w:rsid w:val="002660CA"/>
    <w:pPr>
      <w:ind w:left="720" w:hanging="240"/>
    </w:pPr>
  </w:style>
  <w:style w:type="paragraph" w:styleId="Index4">
    <w:name w:val="index 4"/>
    <w:basedOn w:val="Normal"/>
    <w:next w:val="Normal"/>
    <w:autoRedefine/>
    <w:uiPriority w:val="98"/>
    <w:semiHidden/>
    <w:rsid w:val="002660CA"/>
    <w:pPr>
      <w:ind w:left="960" w:hanging="240"/>
    </w:pPr>
  </w:style>
  <w:style w:type="paragraph" w:styleId="Index5">
    <w:name w:val="index 5"/>
    <w:basedOn w:val="Normal"/>
    <w:next w:val="Normal"/>
    <w:autoRedefine/>
    <w:uiPriority w:val="98"/>
    <w:semiHidden/>
    <w:rsid w:val="002660CA"/>
    <w:pPr>
      <w:ind w:left="1200" w:hanging="240"/>
    </w:pPr>
  </w:style>
  <w:style w:type="paragraph" w:styleId="Index6">
    <w:name w:val="index 6"/>
    <w:basedOn w:val="Normal"/>
    <w:next w:val="Normal"/>
    <w:autoRedefine/>
    <w:uiPriority w:val="98"/>
    <w:semiHidden/>
    <w:rsid w:val="002660CA"/>
    <w:pPr>
      <w:ind w:left="1440" w:hanging="240"/>
    </w:pPr>
  </w:style>
  <w:style w:type="paragraph" w:styleId="Index7">
    <w:name w:val="index 7"/>
    <w:basedOn w:val="Normal"/>
    <w:next w:val="Normal"/>
    <w:autoRedefine/>
    <w:uiPriority w:val="98"/>
    <w:semiHidden/>
    <w:rsid w:val="002660CA"/>
    <w:pPr>
      <w:ind w:left="1680" w:hanging="240"/>
    </w:pPr>
  </w:style>
  <w:style w:type="paragraph" w:styleId="Index8">
    <w:name w:val="index 8"/>
    <w:basedOn w:val="Normal"/>
    <w:next w:val="Normal"/>
    <w:autoRedefine/>
    <w:uiPriority w:val="98"/>
    <w:semiHidden/>
    <w:rsid w:val="002660CA"/>
    <w:pPr>
      <w:ind w:left="1920" w:hanging="240"/>
    </w:pPr>
  </w:style>
  <w:style w:type="paragraph" w:styleId="Index9">
    <w:name w:val="index 9"/>
    <w:basedOn w:val="Normal"/>
    <w:next w:val="Normal"/>
    <w:autoRedefine/>
    <w:uiPriority w:val="98"/>
    <w:semiHidden/>
    <w:rsid w:val="002660CA"/>
    <w:pPr>
      <w:ind w:left="2160" w:hanging="240"/>
    </w:pPr>
  </w:style>
  <w:style w:type="paragraph" w:styleId="IndexHeading">
    <w:name w:val="index heading"/>
    <w:basedOn w:val="Normal"/>
    <w:next w:val="Index1"/>
    <w:uiPriority w:val="98"/>
    <w:semiHidden/>
    <w:rsid w:val="002660CA"/>
    <w:rPr>
      <w:rFonts w:asciiTheme="majorHAnsi" w:eastAsiaTheme="majorEastAsia" w:hAnsiTheme="majorHAnsi" w:cstheme="majorBidi"/>
      <w:b/>
      <w:bCs/>
    </w:rPr>
  </w:style>
  <w:style w:type="table" w:styleId="LightGrid">
    <w:name w:val="Light Grid"/>
    <w:basedOn w:val="TableNormal"/>
    <w:uiPriority w:val="62"/>
    <w:semiHidden/>
    <w:rsid w:val="002660CA"/>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2660CA"/>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2660CA"/>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2660CA"/>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2660CA"/>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2660CA"/>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2660CA"/>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2660CA"/>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2660CA"/>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2660CA"/>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2660CA"/>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2660CA"/>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2660CA"/>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2660CA"/>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2660CA"/>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2660CA"/>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2660CA"/>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2660CA"/>
    <w:rPr>
      <w:color w:val="474747" w:themeColor="accent3" w:themeShade="BF"/>
      <w:sz w:val="24"/>
      <w:szCs w:val="24"/>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2660CA"/>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2660CA"/>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2660CA"/>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2660CA"/>
  </w:style>
  <w:style w:type="paragraph" w:styleId="List">
    <w:name w:val="List"/>
    <w:basedOn w:val="Normal"/>
    <w:uiPriority w:val="98"/>
    <w:semiHidden/>
    <w:rsid w:val="002660CA"/>
    <w:pPr>
      <w:ind w:left="283" w:hanging="283"/>
      <w:contextualSpacing/>
    </w:pPr>
  </w:style>
  <w:style w:type="paragraph" w:styleId="List2">
    <w:name w:val="List 2"/>
    <w:basedOn w:val="Normal"/>
    <w:uiPriority w:val="98"/>
    <w:semiHidden/>
    <w:rsid w:val="002660CA"/>
    <w:pPr>
      <w:ind w:left="566" w:hanging="283"/>
      <w:contextualSpacing/>
    </w:pPr>
  </w:style>
  <w:style w:type="paragraph" w:styleId="List3">
    <w:name w:val="List 3"/>
    <w:basedOn w:val="Normal"/>
    <w:uiPriority w:val="98"/>
    <w:semiHidden/>
    <w:rsid w:val="002660CA"/>
    <w:pPr>
      <w:ind w:left="849" w:hanging="283"/>
      <w:contextualSpacing/>
    </w:pPr>
  </w:style>
  <w:style w:type="paragraph" w:styleId="List4">
    <w:name w:val="List 4"/>
    <w:basedOn w:val="Normal"/>
    <w:uiPriority w:val="98"/>
    <w:semiHidden/>
    <w:rsid w:val="002660CA"/>
    <w:pPr>
      <w:ind w:left="1132" w:hanging="283"/>
      <w:contextualSpacing/>
    </w:pPr>
  </w:style>
  <w:style w:type="paragraph" w:styleId="List5">
    <w:name w:val="List 5"/>
    <w:basedOn w:val="Normal"/>
    <w:uiPriority w:val="98"/>
    <w:semiHidden/>
    <w:rsid w:val="002660CA"/>
    <w:pPr>
      <w:ind w:left="1415" w:hanging="283"/>
      <w:contextualSpacing/>
    </w:pPr>
  </w:style>
  <w:style w:type="paragraph" w:styleId="ListBullet2">
    <w:name w:val="List Bullet 2"/>
    <w:basedOn w:val="Normal"/>
    <w:uiPriority w:val="98"/>
    <w:semiHidden/>
    <w:rsid w:val="002660CA"/>
    <w:pPr>
      <w:numPr>
        <w:numId w:val="8"/>
      </w:numPr>
      <w:contextualSpacing/>
    </w:pPr>
  </w:style>
  <w:style w:type="paragraph" w:styleId="ListBullet4">
    <w:name w:val="List Bullet 4"/>
    <w:basedOn w:val="Normal"/>
    <w:uiPriority w:val="98"/>
    <w:semiHidden/>
    <w:rsid w:val="002660CA"/>
    <w:pPr>
      <w:numPr>
        <w:numId w:val="10"/>
      </w:numPr>
      <w:contextualSpacing/>
    </w:pPr>
  </w:style>
  <w:style w:type="paragraph" w:styleId="ListBullet5">
    <w:name w:val="List Bullet 5"/>
    <w:basedOn w:val="Normal"/>
    <w:uiPriority w:val="98"/>
    <w:semiHidden/>
    <w:rsid w:val="002660CA"/>
    <w:pPr>
      <w:numPr>
        <w:numId w:val="11"/>
      </w:numPr>
      <w:contextualSpacing/>
    </w:pPr>
  </w:style>
  <w:style w:type="paragraph" w:styleId="ListContinue">
    <w:name w:val="List Continue"/>
    <w:basedOn w:val="Normal"/>
    <w:uiPriority w:val="98"/>
    <w:semiHidden/>
    <w:rsid w:val="002660CA"/>
    <w:pPr>
      <w:spacing w:after="120"/>
      <w:ind w:left="283"/>
      <w:contextualSpacing/>
    </w:pPr>
  </w:style>
  <w:style w:type="paragraph" w:styleId="ListContinue2">
    <w:name w:val="List Continue 2"/>
    <w:basedOn w:val="Normal"/>
    <w:uiPriority w:val="98"/>
    <w:semiHidden/>
    <w:rsid w:val="002660CA"/>
    <w:pPr>
      <w:spacing w:after="120"/>
      <w:ind w:left="566"/>
      <w:contextualSpacing/>
    </w:pPr>
  </w:style>
  <w:style w:type="paragraph" w:styleId="ListContinue3">
    <w:name w:val="List Continue 3"/>
    <w:basedOn w:val="Normal"/>
    <w:uiPriority w:val="98"/>
    <w:semiHidden/>
    <w:rsid w:val="002660CA"/>
    <w:pPr>
      <w:spacing w:after="120"/>
      <w:ind w:left="849"/>
      <w:contextualSpacing/>
    </w:pPr>
  </w:style>
  <w:style w:type="paragraph" w:styleId="ListContinue4">
    <w:name w:val="List Continue 4"/>
    <w:basedOn w:val="Normal"/>
    <w:uiPriority w:val="98"/>
    <w:semiHidden/>
    <w:rsid w:val="002660CA"/>
    <w:pPr>
      <w:spacing w:after="120"/>
      <w:ind w:left="1132"/>
      <w:contextualSpacing/>
    </w:pPr>
  </w:style>
  <w:style w:type="paragraph" w:styleId="ListContinue5">
    <w:name w:val="List Continue 5"/>
    <w:basedOn w:val="Normal"/>
    <w:uiPriority w:val="98"/>
    <w:semiHidden/>
    <w:rsid w:val="002660CA"/>
    <w:pPr>
      <w:spacing w:after="120"/>
      <w:ind w:left="1415"/>
      <w:contextualSpacing/>
    </w:pPr>
  </w:style>
  <w:style w:type="paragraph" w:styleId="ListNumber">
    <w:name w:val="List Number"/>
    <w:basedOn w:val="Normal"/>
    <w:uiPriority w:val="98"/>
    <w:semiHidden/>
    <w:rsid w:val="002660CA"/>
    <w:pPr>
      <w:numPr>
        <w:numId w:val="12"/>
      </w:numPr>
      <w:contextualSpacing/>
    </w:pPr>
  </w:style>
  <w:style w:type="paragraph" w:styleId="ListNumber2">
    <w:name w:val="List Number 2"/>
    <w:basedOn w:val="Normal"/>
    <w:uiPriority w:val="98"/>
    <w:semiHidden/>
    <w:rsid w:val="002660CA"/>
    <w:pPr>
      <w:numPr>
        <w:numId w:val="13"/>
      </w:numPr>
      <w:contextualSpacing/>
    </w:pPr>
  </w:style>
  <w:style w:type="paragraph" w:styleId="ListNumber3">
    <w:name w:val="List Number 3"/>
    <w:basedOn w:val="Normal"/>
    <w:uiPriority w:val="98"/>
    <w:semiHidden/>
    <w:rsid w:val="002660CA"/>
    <w:pPr>
      <w:numPr>
        <w:numId w:val="14"/>
      </w:numPr>
      <w:contextualSpacing/>
    </w:pPr>
  </w:style>
  <w:style w:type="paragraph" w:styleId="ListNumber4">
    <w:name w:val="List Number 4"/>
    <w:basedOn w:val="Normal"/>
    <w:uiPriority w:val="98"/>
    <w:semiHidden/>
    <w:rsid w:val="002660CA"/>
    <w:pPr>
      <w:numPr>
        <w:numId w:val="15"/>
      </w:numPr>
      <w:contextualSpacing/>
    </w:pPr>
  </w:style>
  <w:style w:type="paragraph" w:styleId="ListNumber5">
    <w:name w:val="List Number 5"/>
    <w:basedOn w:val="Normal"/>
    <w:uiPriority w:val="98"/>
    <w:semiHidden/>
    <w:rsid w:val="002660CA"/>
    <w:pPr>
      <w:numPr>
        <w:numId w:val="16"/>
      </w:numPr>
      <w:contextualSpacing/>
    </w:pPr>
  </w:style>
  <w:style w:type="paragraph" w:styleId="MacroText">
    <w:name w:val="macro"/>
    <w:link w:val="MacroTextChar"/>
    <w:uiPriority w:val="98"/>
    <w:semiHidden/>
    <w:rsid w:val="002660CA"/>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2660CA"/>
    <w:rPr>
      <w:rFonts w:ascii="Consolas" w:eastAsiaTheme="minorEastAsia" w:hAnsi="Consolas" w:cs="Consolas"/>
      <w:sz w:val="20"/>
      <w:szCs w:val="20"/>
    </w:rPr>
  </w:style>
  <w:style w:type="table" w:styleId="MediumGrid1">
    <w:name w:val="Medium Grid 1"/>
    <w:basedOn w:val="TableNormal"/>
    <w:uiPriority w:val="67"/>
    <w:semiHidden/>
    <w:rsid w:val="002660CA"/>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2660CA"/>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2660CA"/>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2660CA"/>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2660CA"/>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2660CA"/>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2660CA"/>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2660CA"/>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2660CA"/>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2660CA"/>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2660CA"/>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2660CA"/>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2660CA"/>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2660CA"/>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2660CA"/>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2660CA"/>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2660CA"/>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2660CA"/>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2660CA"/>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2660CA"/>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2660CA"/>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2660CA"/>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2660CA"/>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2660CA"/>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2660CA"/>
    <w:rPr>
      <w:color w:val="000000" w:themeColor="text1"/>
      <w:sz w:val="24"/>
      <w:szCs w:val="24"/>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2660CA"/>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2660CA"/>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2660CA"/>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2660CA"/>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2660CA"/>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2660CA"/>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2660CA"/>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2660CA"/>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2660CA"/>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2660CA"/>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2660CA"/>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2660CA"/>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2660CA"/>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2660CA"/>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2660CA"/>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2660CA"/>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2660CA"/>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2660CA"/>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2660CA"/>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2660CA"/>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2660CA"/>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2660CA"/>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2660CA"/>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2660CA"/>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2660C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2660CA"/>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2660CA"/>
    <w:rPr>
      <w:rFonts w:ascii="Times New Roman" w:hAnsi="Times New Roman" w:cs="Times New Roman"/>
    </w:rPr>
  </w:style>
  <w:style w:type="paragraph" w:styleId="NormalIndent">
    <w:name w:val="Normal Indent"/>
    <w:basedOn w:val="Normal"/>
    <w:uiPriority w:val="98"/>
    <w:semiHidden/>
    <w:rsid w:val="002660CA"/>
    <w:pPr>
      <w:ind w:left="720"/>
    </w:pPr>
  </w:style>
  <w:style w:type="paragraph" w:customStyle="1" w:styleId="ECHRBullet2">
    <w:name w:val="ECHR_Bullet_2"/>
    <w:aliases w:val="_Bul_2"/>
    <w:basedOn w:val="ECHRBullet1"/>
    <w:uiPriority w:val="23"/>
    <w:semiHidden/>
    <w:rsid w:val="002660CA"/>
    <w:pPr>
      <w:numPr>
        <w:ilvl w:val="1"/>
      </w:numPr>
    </w:pPr>
  </w:style>
  <w:style w:type="paragraph" w:customStyle="1" w:styleId="ECHRBullet3">
    <w:name w:val="ECHR_Bullet_3"/>
    <w:aliases w:val="_Bul_3"/>
    <w:basedOn w:val="ECHRBullet2"/>
    <w:uiPriority w:val="23"/>
    <w:semiHidden/>
    <w:rsid w:val="002660CA"/>
    <w:pPr>
      <w:numPr>
        <w:ilvl w:val="2"/>
      </w:numPr>
    </w:pPr>
  </w:style>
  <w:style w:type="character" w:styleId="PlaceholderText">
    <w:name w:val="Placeholder Text"/>
    <w:basedOn w:val="DefaultParagraphFont"/>
    <w:uiPriority w:val="98"/>
    <w:semiHidden/>
    <w:rsid w:val="002660CA"/>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2660CA"/>
    <w:rPr>
      <w:rFonts w:ascii="Consolas" w:hAnsi="Consolas" w:cs="Consolas"/>
      <w:sz w:val="21"/>
      <w:szCs w:val="21"/>
    </w:rPr>
  </w:style>
  <w:style w:type="character" w:customStyle="1" w:styleId="PlainTextChar">
    <w:name w:val="Plain Text Char"/>
    <w:basedOn w:val="DefaultParagraphFont"/>
    <w:link w:val="PlainText"/>
    <w:uiPriority w:val="98"/>
    <w:semiHidden/>
    <w:rsid w:val="002660CA"/>
    <w:rPr>
      <w:rFonts w:ascii="Consolas" w:hAnsi="Consolas" w:cs="Consolas"/>
      <w:sz w:val="21"/>
      <w:szCs w:val="21"/>
      <w:lang w:val="ro-RO"/>
    </w:rPr>
  </w:style>
  <w:style w:type="paragraph" w:styleId="Salutation">
    <w:name w:val="Salutation"/>
    <w:basedOn w:val="Normal"/>
    <w:next w:val="Normal"/>
    <w:link w:val="SalutationChar"/>
    <w:uiPriority w:val="98"/>
    <w:semiHidden/>
    <w:rsid w:val="002660CA"/>
  </w:style>
  <w:style w:type="character" w:customStyle="1" w:styleId="SalutationChar">
    <w:name w:val="Salutation Char"/>
    <w:basedOn w:val="DefaultParagraphFont"/>
    <w:link w:val="Salutation"/>
    <w:uiPriority w:val="98"/>
    <w:semiHidden/>
    <w:rsid w:val="002660CA"/>
    <w:rPr>
      <w:sz w:val="24"/>
      <w:szCs w:val="24"/>
      <w:lang w:val="ro-RO"/>
    </w:rPr>
  </w:style>
  <w:style w:type="paragraph" w:styleId="Signature">
    <w:name w:val="Signature"/>
    <w:basedOn w:val="Normal"/>
    <w:link w:val="SignatureChar"/>
    <w:uiPriority w:val="98"/>
    <w:semiHidden/>
    <w:rsid w:val="002660CA"/>
    <w:pPr>
      <w:ind w:left="4252"/>
    </w:pPr>
  </w:style>
  <w:style w:type="character" w:customStyle="1" w:styleId="SignatureChar">
    <w:name w:val="Signature Char"/>
    <w:basedOn w:val="DefaultParagraphFont"/>
    <w:link w:val="Signature"/>
    <w:uiPriority w:val="98"/>
    <w:semiHidden/>
    <w:rsid w:val="002660CA"/>
    <w:rPr>
      <w:sz w:val="24"/>
      <w:szCs w:val="24"/>
      <w:lang w:val="ro-RO"/>
    </w:rPr>
  </w:style>
  <w:style w:type="table" w:styleId="Table3Deffects1">
    <w:name w:val="Table 3D effects 1"/>
    <w:basedOn w:val="TableNormal"/>
    <w:uiPriority w:val="99"/>
    <w:semiHidden/>
    <w:unhideWhenUsed/>
    <w:rsid w:val="002660CA"/>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660CA"/>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660CA"/>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660CA"/>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660CA"/>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660CA"/>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660CA"/>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660CA"/>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660CA"/>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660CA"/>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660CA"/>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660CA"/>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660CA"/>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660CA"/>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660CA"/>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660CA"/>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660CA"/>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660CA"/>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660CA"/>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660CA"/>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660CA"/>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660CA"/>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660CA"/>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660CA"/>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660CA"/>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660CA"/>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660CA"/>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660CA"/>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660CA"/>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660CA"/>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660CA"/>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660CA"/>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660CA"/>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2660CA"/>
    <w:pPr>
      <w:ind w:left="240" w:hanging="240"/>
    </w:pPr>
  </w:style>
  <w:style w:type="paragraph" w:styleId="TableofFigures">
    <w:name w:val="table of figures"/>
    <w:basedOn w:val="Normal"/>
    <w:next w:val="Normal"/>
    <w:uiPriority w:val="98"/>
    <w:semiHidden/>
    <w:rsid w:val="002660CA"/>
  </w:style>
  <w:style w:type="table" w:styleId="TableProfessional">
    <w:name w:val="Table Professional"/>
    <w:basedOn w:val="TableNormal"/>
    <w:uiPriority w:val="99"/>
    <w:semiHidden/>
    <w:unhideWhenUsed/>
    <w:rsid w:val="002660CA"/>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660CA"/>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660CA"/>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660CA"/>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660CA"/>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660CA"/>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660CA"/>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660CA"/>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660CA"/>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660CA"/>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2660CA"/>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2660CA"/>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2660CA"/>
    <w:pPr>
      <w:spacing w:after="100"/>
      <w:ind w:left="1680"/>
    </w:pPr>
  </w:style>
  <w:style w:type="paragraph" w:styleId="TOC9">
    <w:name w:val="toc 9"/>
    <w:basedOn w:val="Normal"/>
    <w:next w:val="Normal"/>
    <w:autoRedefine/>
    <w:uiPriority w:val="98"/>
    <w:semiHidden/>
    <w:rsid w:val="002660CA"/>
    <w:pPr>
      <w:spacing w:after="100"/>
      <w:ind w:left="1920"/>
    </w:pPr>
  </w:style>
  <w:style w:type="paragraph" w:customStyle="1" w:styleId="ECHRFooter">
    <w:name w:val="ECHR_Footer"/>
    <w:aliases w:val="Footer_ECHR"/>
    <w:basedOn w:val="Footer0"/>
    <w:uiPriority w:val="57"/>
    <w:semiHidden/>
    <w:rsid w:val="0064393B"/>
    <w:rPr>
      <w:sz w:val="8"/>
    </w:rPr>
  </w:style>
  <w:style w:type="paragraph" w:customStyle="1" w:styleId="ECHRFooterLine">
    <w:name w:val="ECHR_Footer_Line"/>
    <w:aliases w:val="_Footer_Line"/>
    <w:basedOn w:val="Normal"/>
    <w:next w:val="Normal"/>
    <w:uiPriority w:val="30"/>
    <w:semiHidden/>
    <w:rsid w:val="002660CA"/>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2660CA"/>
    <w:pPr>
      <w:keepNext/>
      <w:keepLines/>
      <w:spacing w:after="280"/>
      <w:ind w:firstLine="0"/>
      <w:jc w:val="center"/>
    </w:pPr>
    <w:rPr>
      <w:rFonts w:asciiTheme="majorHAnsi" w:hAnsiTheme="majorHAnsi"/>
    </w:rPr>
  </w:style>
  <w:style w:type="paragraph" w:customStyle="1" w:styleId="ECHRBullet4">
    <w:name w:val="ECHR_Bullet_4"/>
    <w:aliases w:val="_Bul_4"/>
    <w:basedOn w:val="ECHRBullet3"/>
    <w:uiPriority w:val="23"/>
    <w:semiHidden/>
    <w:rsid w:val="002660CA"/>
    <w:pPr>
      <w:numPr>
        <w:ilvl w:val="3"/>
      </w:numPr>
    </w:pPr>
  </w:style>
  <w:style w:type="paragraph" w:customStyle="1" w:styleId="ECHRConfidential">
    <w:name w:val="ECHR_Confidential"/>
    <w:aliases w:val="_Confidential"/>
    <w:basedOn w:val="Normal"/>
    <w:next w:val="Normal"/>
    <w:uiPriority w:val="42"/>
    <w:semiHidden/>
    <w:qFormat/>
    <w:rsid w:val="002660CA"/>
    <w:pPr>
      <w:jc w:val="right"/>
    </w:pPr>
    <w:rPr>
      <w:color w:val="C00000"/>
      <w:sz w:val="20"/>
    </w:rPr>
  </w:style>
  <w:style w:type="paragraph" w:customStyle="1" w:styleId="ECHRDecisionBody">
    <w:name w:val="ECHR_Decision_Body"/>
    <w:aliases w:val="_Decision_Body"/>
    <w:basedOn w:val="NormalJustified"/>
    <w:uiPriority w:val="54"/>
    <w:semiHidden/>
    <w:rsid w:val="002660CA"/>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2660CA"/>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2660CA"/>
    <w:rPr>
      <w:rFonts w:ascii="Arial" w:hAnsi="Arial"/>
      <w:i/>
      <w:color w:val="002856"/>
      <w:sz w:val="32"/>
      <w:szCs w:val="24"/>
      <w:lang w:val="ro-RO"/>
    </w:rPr>
  </w:style>
  <w:style w:type="paragraph" w:customStyle="1" w:styleId="DummyStyle">
    <w:name w:val="Dummy_Style"/>
    <w:aliases w:val="_Dummy"/>
    <w:basedOn w:val="Normal"/>
    <w:semiHidden/>
    <w:qFormat/>
    <w:rsid w:val="002660CA"/>
    <w:rPr>
      <w:color w:val="00B050"/>
      <w:sz w:val="22"/>
    </w:rPr>
  </w:style>
  <w:style w:type="paragraph" w:customStyle="1" w:styleId="ECHRFooterLineLandscape">
    <w:name w:val="ECHR_Footer_Line_Landscape"/>
    <w:aliases w:val="_Footer_Line_Landscape"/>
    <w:basedOn w:val="Normal"/>
    <w:uiPriority w:val="30"/>
    <w:semiHidden/>
    <w:rsid w:val="002660CA"/>
    <w:pPr>
      <w:pBdr>
        <w:top w:val="single" w:sz="8" w:space="1" w:color="7F7F7F" w:themeColor="text1" w:themeTint="80"/>
      </w:pBdr>
      <w:tabs>
        <w:tab w:val="center" w:pos="6146"/>
        <w:tab w:val="right" w:pos="12293"/>
      </w:tabs>
      <w:ind w:left="-1474" w:right="-1474"/>
    </w:pPr>
    <w:rPr>
      <w:color w:val="474747" w:themeColor="accent3" w:themeShade="BF"/>
      <w:sz w:val="22"/>
    </w:rPr>
  </w:style>
  <w:style w:type="paragraph" w:customStyle="1" w:styleId="ECHRParaHanging">
    <w:name w:val="ECHR_Para_Hanging"/>
    <w:aliases w:val="_Hanging"/>
    <w:basedOn w:val="NormalJustified"/>
    <w:uiPriority w:val="8"/>
    <w:semiHidden/>
    <w:qFormat/>
    <w:rsid w:val="002660CA"/>
    <w:pPr>
      <w:ind w:left="567" w:hanging="567"/>
    </w:pPr>
  </w:style>
  <w:style w:type="paragraph" w:customStyle="1" w:styleId="ECHRHeading9">
    <w:name w:val="ECHR_Heading_9"/>
    <w:aliases w:val="_Head_9"/>
    <w:basedOn w:val="Heading9"/>
    <w:uiPriority w:val="17"/>
    <w:semiHidden/>
    <w:rsid w:val="002660CA"/>
    <w:pPr>
      <w:keepNext/>
      <w:keepLines/>
      <w:numPr>
        <w:ilvl w:val="8"/>
        <w:numId w:val="22"/>
      </w:numPr>
      <w:spacing w:before="100" w:beforeAutospacing="1"/>
      <w:contextualSpacing/>
      <w:jc w:val="both"/>
    </w:pPr>
    <w:rPr>
      <w:i w:val="0"/>
      <w:sz w:val="18"/>
    </w:rPr>
  </w:style>
  <w:style w:type="paragraph" w:customStyle="1" w:styleId="ECHRHeaderLandscape">
    <w:name w:val="ECHR_Header_Landscape"/>
    <w:aliases w:val="_Header_Landscape"/>
    <w:basedOn w:val="JuHeader"/>
    <w:uiPriority w:val="29"/>
    <w:rsid w:val="002660CA"/>
    <w:pPr>
      <w:tabs>
        <w:tab w:val="center" w:pos="6146"/>
        <w:tab w:val="right" w:pos="13778"/>
      </w:tabs>
      <w:ind w:left="-1474" w:right="-1474"/>
    </w:pPr>
  </w:style>
  <w:style w:type="paragraph" w:customStyle="1" w:styleId="ECHRParaIndent">
    <w:name w:val="ECHR_Para_Indent"/>
    <w:aliases w:val="_Indent"/>
    <w:basedOn w:val="NormalJustified"/>
    <w:uiPriority w:val="7"/>
    <w:semiHidden/>
    <w:qFormat/>
    <w:rsid w:val="002660CA"/>
    <w:pPr>
      <w:spacing w:before="120" w:after="120"/>
      <w:ind w:left="284"/>
    </w:pPr>
  </w:style>
  <w:style w:type="paragraph" w:customStyle="1" w:styleId="ECHRLine">
    <w:name w:val="ECHR_Line"/>
    <w:aliases w:val="_Line"/>
    <w:basedOn w:val="NormalJustified"/>
    <w:next w:val="Normal"/>
    <w:uiPriority w:val="46"/>
    <w:semiHidden/>
    <w:rsid w:val="002660CA"/>
    <w:pPr>
      <w:pBdr>
        <w:bottom w:val="single" w:sz="12" w:space="1" w:color="949494" w:themeColor="text2" w:themeShade="BF"/>
      </w:pBdr>
      <w:spacing w:after="120"/>
    </w:pPr>
    <w:rPr>
      <w:sz w:val="12"/>
    </w:rPr>
  </w:style>
  <w:style w:type="paragraph" w:customStyle="1" w:styleId="DecList">
    <w:name w:val="Dec_List"/>
    <w:aliases w:val="_List"/>
    <w:basedOn w:val="JuList"/>
    <w:uiPriority w:val="22"/>
    <w:rsid w:val="002660CA"/>
    <w:pPr>
      <w:numPr>
        <w:numId w:val="0"/>
      </w:numPr>
      <w:ind w:left="284"/>
    </w:pPr>
  </w:style>
  <w:style w:type="paragraph" w:customStyle="1" w:styleId="ECHRNumberedList1">
    <w:name w:val="ECHR_Numbered_List_1"/>
    <w:aliases w:val="_Num_1"/>
    <w:basedOn w:val="NormalJustified"/>
    <w:uiPriority w:val="23"/>
    <w:semiHidden/>
    <w:qFormat/>
    <w:rsid w:val="002660CA"/>
    <w:pPr>
      <w:numPr>
        <w:numId w:val="21"/>
      </w:numPr>
      <w:spacing w:before="60" w:after="60"/>
    </w:pPr>
  </w:style>
  <w:style w:type="paragraph" w:customStyle="1" w:styleId="ECHRNumberedList2">
    <w:name w:val="ECHR_Numbered_List_2"/>
    <w:aliases w:val="_Num_2"/>
    <w:basedOn w:val="ECHRNumberedList1"/>
    <w:uiPriority w:val="23"/>
    <w:semiHidden/>
    <w:rsid w:val="002660CA"/>
    <w:pPr>
      <w:numPr>
        <w:ilvl w:val="1"/>
      </w:numPr>
    </w:pPr>
  </w:style>
  <w:style w:type="paragraph" w:customStyle="1" w:styleId="ECHRNumberedList3">
    <w:name w:val="ECHR_Numbered_List_3"/>
    <w:aliases w:val="_Num_3"/>
    <w:basedOn w:val="ECHRNumberedList2"/>
    <w:uiPriority w:val="23"/>
    <w:semiHidden/>
    <w:rsid w:val="002660CA"/>
    <w:pPr>
      <w:numPr>
        <w:ilvl w:val="2"/>
      </w:numPr>
    </w:pPr>
  </w:style>
  <w:style w:type="paragraph" w:customStyle="1" w:styleId="ECHRPlaceholder">
    <w:name w:val="ECHR_Placeholder"/>
    <w:aliases w:val="_Placeholder"/>
    <w:basedOn w:val="JuSigned"/>
    <w:uiPriority w:val="31"/>
    <w:rsid w:val="002660CA"/>
    <w:rPr>
      <w:color w:val="FFFFFF"/>
    </w:rPr>
  </w:style>
  <w:style w:type="character" w:customStyle="1" w:styleId="ECHRRed">
    <w:name w:val="ECHR_Red"/>
    <w:aliases w:val="_Red"/>
    <w:basedOn w:val="DefaultParagraphFont"/>
    <w:uiPriority w:val="15"/>
    <w:semiHidden/>
    <w:qFormat/>
    <w:rsid w:val="002660CA"/>
    <w:rPr>
      <w:color w:val="C00000" w:themeColor="accent2"/>
    </w:rPr>
  </w:style>
  <w:style w:type="paragraph" w:customStyle="1" w:styleId="ECHRHeaderDate">
    <w:name w:val="ECHR_Header_Date"/>
    <w:aliases w:val="_Ref_Date"/>
    <w:basedOn w:val="Normal"/>
    <w:uiPriority w:val="44"/>
    <w:semiHidden/>
    <w:qFormat/>
    <w:rsid w:val="002660CA"/>
    <w:pPr>
      <w:jc w:val="right"/>
    </w:pPr>
    <w:rPr>
      <w:sz w:val="20"/>
    </w:rPr>
  </w:style>
  <w:style w:type="paragraph" w:customStyle="1" w:styleId="ECHRHeaderRefIt">
    <w:name w:val="ECHR_Header_Ref_It"/>
    <w:aliases w:val="_Ref_Ital"/>
    <w:basedOn w:val="Normal"/>
    <w:next w:val="ECHRHeaderDate"/>
    <w:uiPriority w:val="43"/>
    <w:qFormat/>
    <w:rsid w:val="002660CA"/>
    <w:pPr>
      <w:jc w:val="right"/>
    </w:pPr>
    <w:rPr>
      <w:i/>
      <w:sz w:val="20"/>
    </w:rPr>
  </w:style>
  <w:style w:type="paragraph" w:customStyle="1" w:styleId="ECHRSpacer">
    <w:name w:val="ECHR_Spacer"/>
    <w:aliases w:val="_Spacer"/>
    <w:basedOn w:val="Normal"/>
    <w:uiPriority w:val="45"/>
    <w:semiHidden/>
    <w:rsid w:val="002660CA"/>
    <w:rPr>
      <w:sz w:val="4"/>
    </w:rPr>
  </w:style>
  <w:style w:type="paragraph" w:customStyle="1" w:styleId="ECHRTitleCentre1">
    <w:name w:val="ECHR_Title_Centre_1"/>
    <w:aliases w:val="_Title_C_1"/>
    <w:basedOn w:val="Normal"/>
    <w:next w:val="Normal"/>
    <w:uiPriority w:val="26"/>
    <w:semiHidden/>
    <w:qFormat/>
    <w:rsid w:val="002660CA"/>
    <w:pPr>
      <w:keepNext/>
      <w:keepLines/>
      <w:spacing w:before="240"/>
      <w:contextualSpacing/>
      <w:jc w:val="center"/>
    </w:pPr>
    <w:rPr>
      <w:rFonts w:asciiTheme="majorHAnsi" w:hAnsiTheme="majorHAnsi"/>
      <w:b/>
      <w:color w:val="2F2F2F" w:themeColor="accent3" w:themeShade="80"/>
      <w:sz w:val="32"/>
    </w:rPr>
  </w:style>
  <w:style w:type="paragraph" w:customStyle="1" w:styleId="ECHRTitleCentre2">
    <w:name w:val="ECHR_Title_Centre_2"/>
    <w:aliases w:val="_Title_C_2"/>
    <w:basedOn w:val="Normal"/>
    <w:next w:val="Normal"/>
    <w:uiPriority w:val="26"/>
    <w:semiHidden/>
    <w:qFormat/>
    <w:rsid w:val="002660CA"/>
    <w:pPr>
      <w:keepNext/>
      <w:keepLines/>
      <w:spacing w:before="240"/>
      <w:contextualSpacing/>
      <w:jc w:val="center"/>
    </w:pPr>
    <w:rPr>
      <w:rFonts w:asciiTheme="majorHAnsi" w:hAnsiTheme="majorHAnsi"/>
      <w:b/>
      <w:color w:val="474747" w:themeColor="accent3" w:themeShade="BF"/>
      <w:sz w:val="28"/>
    </w:rPr>
  </w:style>
  <w:style w:type="paragraph" w:customStyle="1" w:styleId="ECHRTitleCentre3">
    <w:name w:val="ECHR_Title_Centre_3"/>
    <w:aliases w:val="_Title_C_3"/>
    <w:basedOn w:val="Normal"/>
    <w:next w:val="Normal"/>
    <w:uiPriority w:val="26"/>
    <w:qFormat/>
    <w:rsid w:val="002660CA"/>
    <w:pPr>
      <w:keepNext/>
      <w:keepLines/>
      <w:spacing w:before="240"/>
      <w:contextualSpacing/>
      <w:jc w:val="center"/>
    </w:pPr>
    <w:rPr>
      <w:rFonts w:asciiTheme="majorHAnsi" w:hAnsiTheme="majorHAnsi"/>
      <w:b/>
      <w:color w:val="474747" w:themeColor="accent3" w:themeShade="BF"/>
    </w:rPr>
  </w:style>
  <w:style w:type="paragraph" w:customStyle="1" w:styleId="ECHRTitleCentreTOC1">
    <w:name w:val="ECHR_Title_Centre_TOC_1"/>
    <w:aliases w:val="_Title_C_TOC"/>
    <w:basedOn w:val="ECHRTitleCentre1"/>
    <w:next w:val="Normal"/>
    <w:uiPriority w:val="25"/>
    <w:semiHidden/>
    <w:qFormat/>
    <w:rsid w:val="002660CA"/>
    <w:pPr>
      <w:outlineLvl w:val="0"/>
    </w:pPr>
  </w:style>
  <w:style w:type="paragraph" w:customStyle="1" w:styleId="ECHRTitle1">
    <w:name w:val="ECHR_Title_1"/>
    <w:aliases w:val="_Title_L_1"/>
    <w:basedOn w:val="Normal"/>
    <w:next w:val="Normal"/>
    <w:uiPriority w:val="28"/>
    <w:semiHidden/>
    <w:qFormat/>
    <w:rsid w:val="002660CA"/>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Normal"/>
    <w:uiPriority w:val="28"/>
    <w:semiHidden/>
    <w:qFormat/>
    <w:rsid w:val="002660CA"/>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_Title_L_3"/>
    <w:basedOn w:val="Normal"/>
    <w:next w:val="Normal"/>
    <w:uiPriority w:val="28"/>
    <w:semiHidden/>
    <w:qFormat/>
    <w:rsid w:val="002660CA"/>
    <w:pPr>
      <w:keepNext/>
      <w:keepLines/>
      <w:spacing w:before="240"/>
      <w:contextualSpacing/>
    </w:pPr>
    <w:rPr>
      <w:rFonts w:asciiTheme="majorHAnsi" w:hAnsiTheme="majorHAnsi"/>
      <w:b/>
      <w:color w:val="474747" w:themeColor="accent3" w:themeShade="BF"/>
    </w:rPr>
  </w:style>
  <w:style w:type="paragraph" w:customStyle="1" w:styleId="ECHRTitleTOC1">
    <w:name w:val="ECHR_Title_TOC_1"/>
    <w:aliases w:val="_Title_L_TOC"/>
    <w:basedOn w:val="ECHRTitle1"/>
    <w:next w:val="Normal"/>
    <w:uiPriority w:val="27"/>
    <w:semiHidden/>
    <w:qFormat/>
    <w:rsid w:val="002660CA"/>
    <w:pPr>
      <w:outlineLvl w:val="0"/>
    </w:pPr>
  </w:style>
  <w:style w:type="table" w:customStyle="1" w:styleId="ECHRTable2">
    <w:name w:val="ECHR_Table_2"/>
    <w:basedOn w:val="TableNormal"/>
    <w:uiPriority w:val="99"/>
    <w:rsid w:val="002660CA"/>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2660CA"/>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table" w:customStyle="1" w:styleId="ECHRTableGrey">
    <w:name w:val="ECHR_Table_Grey"/>
    <w:basedOn w:val="TableNormal"/>
    <w:uiPriority w:val="99"/>
    <w:rsid w:val="002660CA"/>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paragraph" w:styleId="NoteHeading">
    <w:name w:val="Note Heading"/>
    <w:basedOn w:val="Normal"/>
    <w:next w:val="Normal"/>
    <w:link w:val="NoteHeadingChar"/>
    <w:uiPriority w:val="98"/>
    <w:semiHidden/>
    <w:rsid w:val="002660CA"/>
  </w:style>
  <w:style w:type="character" w:customStyle="1" w:styleId="NoteHeadingChar">
    <w:name w:val="Note Heading Char"/>
    <w:basedOn w:val="DefaultParagraphFont"/>
    <w:link w:val="NoteHeading"/>
    <w:uiPriority w:val="98"/>
    <w:semiHidden/>
    <w:rsid w:val="002660CA"/>
    <w:rPr>
      <w:sz w:val="24"/>
      <w:szCs w:val="24"/>
      <w:lang w:val="ro-RO"/>
    </w:rPr>
  </w:style>
  <w:style w:type="table" w:styleId="GridTable1Light">
    <w:name w:val="Grid Table 1 Light"/>
    <w:basedOn w:val="TableNormal"/>
    <w:uiPriority w:val="46"/>
    <w:semiHidden/>
    <w:rsid w:val="00F5530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F55300"/>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F55300"/>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F55300"/>
    <w:tblPr>
      <w:tblStyleRowBandSize w:val="1"/>
      <w:tblStyleColBandSize w:val="1"/>
      <w:tblBorders>
        <w:top w:val="single" w:sz="4" w:space="0" w:color="BFBFBF" w:themeColor="accent3" w:themeTint="66"/>
        <w:left w:val="single" w:sz="4" w:space="0" w:color="BFBFBF" w:themeColor="accent3" w:themeTint="66"/>
        <w:bottom w:val="single" w:sz="4" w:space="0" w:color="BFBFBF" w:themeColor="accent3" w:themeTint="66"/>
        <w:right w:val="single" w:sz="4" w:space="0" w:color="BFBFBF" w:themeColor="accent3" w:themeTint="66"/>
        <w:insideH w:val="single" w:sz="4" w:space="0" w:color="BFBFBF" w:themeColor="accent3" w:themeTint="66"/>
        <w:insideV w:val="single" w:sz="4" w:space="0" w:color="BFBFBF" w:themeColor="accent3" w:themeTint="66"/>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2" w:space="0" w:color="9F9F9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F55300"/>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F55300"/>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F55300"/>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F55300"/>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0072BC" w:themeFill="background1"/>
      </w:tcPr>
    </w:tblStylePr>
    <w:tblStylePr w:type="lastRow">
      <w:rPr>
        <w:b/>
        <w:bCs/>
      </w:rPr>
      <w:tblPr/>
      <w:tcPr>
        <w:tcBorders>
          <w:top w:val="double" w:sz="2" w:space="0" w:color="666666" w:themeColor="tex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F55300"/>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0072BC" w:themeFill="background1"/>
      </w:tcPr>
    </w:tblStylePr>
    <w:tblStylePr w:type="lastRow">
      <w:rPr>
        <w:b/>
        <w:bCs/>
      </w:rPr>
      <w:tblPr/>
      <w:tcPr>
        <w:tcBorders>
          <w:top w:val="double" w:sz="2" w:space="0" w:color="3DB2FF" w:themeColor="accen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semiHidden/>
    <w:rsid w:val="00F55300"/>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0072BC" w:themeFill="background1"/>
      </w:tcPr>
    </w:tblStylePr>
    <w:tblStylePr w:type="lastRow">
      <w:rPr>
        <w:b/>
        <w:bCs/>
      </w:rPr>
      <w:tblPr/>
      <w:tcPr>
        <w:tcBorders>
          <w:top w:val="double" w:sz="2" w:space="0" w:color="FF4040" w:themeColor="accent2"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semiHidden/>
    <w:rsid w:val="00F55300"/>
    <w:tblPr>
      <w:tblStyleRowBandSize w:val="1"/>
      <w:tblStyleColBandSize w:val="1"/>
      <w:tblBorders>
        <w:top w:val="single" w:sz="2" w:space="0" w:color="9F9F9F" w:themeColor="accent3" w:themeTint="99"/>
        <w:bottom w:val="single" w:sz="2" w:space="0" w:color="9F9F9F" w:themeColor="accent3" w:themeTint="99"/>
        <w:insideH w:val="single" w:sz="2" w:space="0" w:color="9F9F9F" w:themeColor="accent3" w:themeTint="99"/>
        <w:insideV w:val="single" w:sz="2" w:space="0" w:color="9F9F9F" w:themeColor="accent3" w:themeTint="99"/>
      </w:tblBorders>
    </w:tblPr>
    <w:tblStylePr w:type="firstRow">
      <w:rPr>
        <w:b/>
        <w:bCs/>
      </w:rPr>
      <w:tblPr/>
      <w:tcPr>
        <w:tcBorders>
          <w:top w:val="nil"/>
          <w:bottom w:val="single" w:sz="12" w:space="0" w:color="9F9F9F" w:themeColor="accent3" w:themeTint="99"/>
          <w:insideH w:val="nil"/>
          <w:insideV w:val="nil"/>
        </w:tcBorders>
        <w:shd w:val="clear" w:color="auto" w:fill="0072BC" w:themeFill="background1"/>
      </w:tcPr>
    </w:tblStylePr>
    <w:tblStylePr w:type="lastRow">
      <w:rPr>
        <w:b/>
        <w:bCs/>
      </w:rPr>
      <w:tblPr/>
      <w:tcPr>
        <w:tcBorders>
          <w:top w:val="double" w:sz="2" w:space="0" w:color="9F9F9F" w:themeColor="accent3"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2-Accent4">
    <w:name w:val="Grid Table 2 Accent 4"/>
    <w:basedOn w:val="TableNormal"/>
    <w:uiPriority w:val="47"/>
    <w:semiHidden/>
    <w:rsid w:val="00F55300"/>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0072BC" w:themeFill="background1"/>
      </w:tcPr>
    </w:tblStylePr>
    <w:tblStylePr w:type="lastRow">
      <w:rPr>
        <w:b/>
        <w:bCs/>
      </w:rPr>
      <w:tblPr/>
      <w:tcPr>
        <w:tcBorders>
          <w:top w:val="double" w:sz="2" w:space="0" w:color="C0C0C0" w:themeColor="accent4"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semiHidden/>
    <w:rsid w:val="00F55300"/>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0072BC" w:themeFill="background1"/>
      </w:tcPr>
    </w:tblStylePr>
    <w:tblStylePr w:type="lastRow">
      <w:rPr>
        <w:b/>
        <w:bCs/>
      </w:rPr>
      <w:tblPr/>
      <w:tcPr>
        <w:tcBorders>
          <w:top w:val="double" w:sz="2" w:space="0" w:color="9F9F9F" w:themeColor="accent5"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semiHidden/>
    <w:rsid w:val="00F55300"/>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0072BC" w:themeFill="background1"/>
      </w:tcPr>
    </w:tblStylePr>
    <w:tblStylePr w:type="lastRow">
      <w:rPr>
        <w:b/>
        <w:bCs/>
      </w:rPr>
      <w:tblPr/>
      <w:tcPr>
        <w:tcBorders>
          <w:top w:val="double" w:sz="2" w:space="0" w:color="949494" w:themeColor="accent6"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semiHidden/>
    <w:rsid w:val="00F5530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F55300"/>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semiHidden/>
    <w:rsid w:val="00F55300"/>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semiHidden/>
    <w:rsid w:val="00F55300"/>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3-Accent4">
    <w:name w:val="Grid Table 3 Accent 4"/>
    <w:basedOn w:val="TableNormal"/>
    <w:uiPriority w:val="48"/>
    <w:semiHidden/>
    <w:rsid w:val="00F55300"/>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semiHidden/>
    <w:rsid w:val="00F55300"/>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semiHidden/>
    <w:rsid w:val="00F55300"/>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semiHidden/>
    <w:rsid w:val="00F5530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F55300"/>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semiHidden/>
    <w:rsid w:val="00F55300"/>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semiHidden/>
    <w:rsid w:val="00F55300"/>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cBorders>
        <w:shd w:val="clear" w:color="auto" w:fill="5F5F5F" w:themeFill="accent3"/>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4-Accent4">
    <w:name w:val="Grid Table 4 Accent 4"/>
    <w:basedOn w:val="TableNormal"/>
    <w:uiPriority w:val="49"/>
    <w:semiHidden/>
    <w:rsid w:val="00F55300"/>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semiHidden/>
    <w:rsid w:val="00F55300"/>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semiHidden/>
    <w:rsid w:val="00F55300"/>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semiHidden/>
    <w:rsid w:val="00F55300"/>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CCCCCC" w:themeFill="tex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0000" w:themeFill="tex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0000" w:themeFill="tex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0000" w:themeFill="tex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F55300"/>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BEE5FF" w:themeFill="accen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72BC" w:themeFill="accen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72BC" w:themeFill="accen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72BC" w:themeFill="accen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semiHidden/>
    <w:rsid w:val="00F55300"/>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FFBFBF" w:themeFill="accent2"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C00000" w:themeFill="accent2"/>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C00000" w:themeFill="accent2"/>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C00000" w:themeFill="accent2"/>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semiHidden/>
    <w:rsid w:val="00F55300"/>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3"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3"/>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3"/>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3"/>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3"/>
      </w:tcPr>
    </w:tblStylePr>
    <w:tblStylePr w:type="band1Vert">
      <w:tblPr/>
      <w:tcPr>
        <w:shd w:val="clear" w:color="auto" w:fill="BFBFBF" w:themeFill="accent3" w:themeFillTint="66"/>
      </w:tcPr>
    </w:tblStylePr>
    <w:tblStylePr w:type="band1Horz">
      <w:tblPr/>
      <w:tcPr>
        <w:shd w:val="clear" w:color="auto" w:fill="BFBFBF" w:themeFill="accent3" w:themeFillTint="66"/>
      </w:tcPr>
    </w:tblStylePr>
  </w:style>
  <w:style w:type="table" w:styleId="GridTable5Dark-Accent4">
    <w:name w:val="Grid Table 5 Dark Accent 4"/>
    <w:basedOn w:val="TableNormal"/>
    <w:uiPriority w:val="50"/>
    <w:semiHidden/>
    <w:rsid w:val="00F55300"/>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EAEAEA" w:themeFill="accent4"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969696" w:themeFill="accent4"/>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969696" w:themeFill="accent4"/>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969696" w:themeFill="accent4"/>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semiHidden/>
    <w:rsid w:val="00F55300"/>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5"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5"/>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5"/>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5"/>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semiHidden/>
    <w:rsid w:val="00F55300"/>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BDBDB" w:themeFill="accent6"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4D4D4D" w:themeFill="accent6"/>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4D4D4D" w:themeFill="accent6"/>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4D4D4D" w:themeFill="accent6"/>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semiHidden/>
    <w:rsid w:val="00F55300"/>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F55300"/>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semiHidden/>
    <w:rsid w:val="00F55300"/>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semiHidden/>
    <w:rsid w:val="00F55300"/>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6Colorful-Accent4">
    <w:name w:val="Grid Table 6 Colorful Accent 4"/>
    <w:basedOn w:val="TableNormal"/>
    <w:uiPriority w:val="51"/>
    <w:semiHidden/>
    <w:rsid w:val="00F55300"/>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semiHidden/>
    <w:rsid w:val="00F55300"/>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semiHidden/>
    <w:rsid w:val="00F55300"/>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semiHidden/>
    <w:rsid w:val="00F55300"/>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F55300"/>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semiHidden/>
    <w:rsid w:val="00F55300"/>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semiHidden/>
    <w:rsid w:val="00F55300"/>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7Colorful-Accent4">
    <w:name w:val="Grid Table 7 Colorful Accent 4"/>
    <w:basedOn w:val="TableNormal"/>
    <w:uiPriority w:val="52"/>
    <w:semiHidden/>
    <w:rsid w:val="00F55300"/>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semiHidden/>
    <w:rsid w:val="00F55300"/>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semiHidden/>
    <w:rsid w:val="00F55300"/>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1">
    <w:name w:val="Hashtag1"/>
    <w:basedOn w:val="DefaultParagraphFont"/>
    <w:uiPriority w:val="99"/>
    <w:semiHidden/>
    <w:unhideWhenUsed/>
    <w:rsid w:val="00F55300"/>
    <w:rPr>
      <w:color w:val="2B579A"/>
      <w:shd w:val="clear" w:color="auto" w:fill="E1DFDD"/>
    </w:rPr>
  </w:style>
  <w:style w:type="table" w:styleId="ListTable1Light">
    <w:name w:val="List Table 1 Light"/>
    <w:basedOn w:val="TableNormal"/>
    <w:uiPriority w:val="46"/>
    <w:semiHidden/>
    <w:rsid w:val="00F55300"/>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F55300"/>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semiHidden/>
    <w:rsid w:val="00F55300"/>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semiHidden/>
    <w:rsid w:val="00F55300"/>
    <w:tblPr>
      <w:tblStyleRowBandSize w:val="1"/>
      <w:tblStyleColBandSize w:val="1"/>
    </w:tblPr>
    <w:tblStylePr w:type="firstRow">
      <w:rPr>
        <w:b/>
        <w:bCs/>
      </w:rPr>
      <w:tblPr/>
      <w:tcPr>
        <w:tcBorders>
          <w:bottom w:val="single" w:sz="4" w:space="0" w:color="9F9F9F" w:themeColor="accent3" w:themeTint="99"/>
        </w:tcBorders>
      </w:tcPr>
    </w:tblStylePr>
    <w:tblStylePr w:type="lastRow">
      <w:rPr>
        <w:b/>
        <w:bCs/>
      </w:rPr>
      <w:tblPr/>
      <w:tcPr>
        <w:tcBorders>
          <w:top w:val="sing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1Light-Accent4">
    <w:name w:val="List Table 1 Light Accent 4"/>
    <w:basedOn w:val="TableNormal"/>
    <w:uiPriority w:val="46"/>
    <w:semiHidden/>
    <w:rsid w:val="00F55300"/>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semiHidden/>
    <w:rsid w:val="00F55300"/>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semiHidden/>
    <w:rsid w:val="00F55300"/>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semiHidden/>
    <w:rsid w:val="00F55300"/>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F55300"/>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semiHidden/>
    <w:rsid w:val="00F55300"/>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semiHidden/>
    <w:rsid w:val="00F55300"/>
    <w:tblPr>
      <w:tblStyleRowBandSize w:val="1"/>
      <w:tblStyleColBandSize w:val="1"/>
      <w:tblBorders>
        <w:top w:val="single" w:sz="4" w:space="0" w:color="9F9F9F" w:themeColor="accent3" w:themeTint="99"/>
        <w:bottom w:val="single" w:sz="4" w:space="0" w:color="9F9F9F" w:themeColor="accent3" w:themeTint="99"/>
        <w:insideH w:val="single" w:sz="4" w:space="0" w:color="9F9F9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2-Accent4">
    <w:name w:val="List Table 2 Accent 4"/>
    <w:basedOn w:val="TableNormal"/>
    <w:uiPriority w:val="47"/>
    <w:semiHidden/>
    <w:rsid w:val="00F55300"/>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semiHidden/>
    <w:rsid w:val="00F55300"/>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semiHidden/>
    <w:rsid w:val="00F55300"/>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semiHidden/>
    <w:rsid w:val="00F55300"/>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0072BC"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F55300"/>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0072BC"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semiHidden/>
    <w:rsid w:val="00F55300"/>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0072BC"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semiHidden/>
    <w:rsid w:val="00F55300"/>
    <w:tblPr>
      <w:tblStyleRowBandSize w:val="1"/>
      <w:tblStyleColBandSize w:val="1"/>
      <w:tblBorders>
        <w:top w:val="single" w:sz="4" w:space="0" w:color="5F5F5F" w:themeColor="accent3"/>
        <w:left w:val="single" w:sz="4" w:space="0" w:color="5F5F5F" w:themeColor="accent3"/>
        <w:bottom w:val="single" w:sz="4" w:space="0" w:color="5F5F5F" w:themeColor="accent3"/>
        <w:right w:val="single" w:sz="4" w:space="0" w:color="5F5F5F" w:themeColor="accent3"/>
      </w:tblBorders>
    </w:tblPr>
    <w:tblStylePr w:type="firstRow">
      <w:rPr>
        <w:b/>
        <w:bCs/>
        <w:color w:val="0072BC" w:themeColor="background1"/>
      </w:rPr>
      <w:tblPr/>
      <w:tcPr>
        <w:shd w:val="clear" w:color="auto" w:fill="5F5F5F" w:themeFill="accent3"/>
      </w:tcPr>
    </w:tblStylePr>
    <w:tblStylePr w:type="lastRow">
      <w:rPr>
        <w:b/>
        <w:bCs/>
      </w:rPr>
      <w:tblPr/>
      <w:tcPr>
        <w:tcBorders>
          <w:top w:val="double" w:sz="4" w:space="0" w:color="5F5F5F" w:themeColor="accent3"/>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3"/>
          <w:right w:val="single" w:sz="4" w:space="0" w:color="5F5F5F" w:themeColor="accent3"/>
        </w:tcBorders>
      </w:tcPr>
    </w:tblStylePr>
    <w:tblStylePr w:type="band1Horz">
      <w:tblPr/>
      <w:tcPr>
        <w:tcBorders>
          <w:top w:val="single" w:sz="4" w:space="0" w:color="5F5F5F" w:themeColor="accent3"/>
          <w:bottom w:val="single" w:sz="4" w:space="0" w:color="5F5F5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3"/>
          <w:left w:val="nil"/>
        </w:tcBorders>
      </w:tcPr>
    </w:tblStylePr>
    <w:tblStylePr w:type="swCell">
      <w:tblPr/>
      <w:tcPr>
        <w:tcBorders>
          <w:top w:val="double" w:sz="4" w:space="0" w:color="5F5F5F" w:themeColor="accent3"/>
          <w:right w:val="nil"/>
        </w:tcBorders>
      </w:tcPr>
    </w:tblStylePr>
  </w:style>
  <w:style w:type="table" w:styleId="ListTable3-Accent4">
    <w:name w:val="List Table 3 Accent 4"/>
    <w:basedOn w:val="TableNormal"/>
    <w:uiPriority w:val="48"/>
    <w:semiHidden/>
    <w:rsid w:val="00F55300"/>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0072BC"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semiHidden/>
    <w:rsid w:val="00F55300"/>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0072BC"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semiHidden/>
    <w:rsid w:val="00F55300"/>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0072BC"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semiHidden/>
    <w:rsid w:val="00F5530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F55300"/>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semiHidden/>
    <w:rsid w:val="00F55300"/>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semiHidden/>
    <w:rsid w:val="00F55300"/>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tcBorders>
        <w:shd w:val="clear" w:color="auto" w:fill="5F5F5F" w:themeFill="accent3"/>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4-Accent4">
    <w:name w:val="List Table 4 Accent 4"/>
    <w:basedOn w:val="TableNormal"/>
    <w:uiPriority w:val="49"/>
    <w:semiHidden/>
    <w:rsid w:val="00F55300"/>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semiHidden/>
    <w:rsid w:val="00F55300"/>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semiHidden/>
    <w:rsid w:val="00F55300"/>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semiHidden/>
    <w:rsid w:val="00F55300"/>
    <w:rPr>
      <w:color w:val="0072BC"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F55300"/>
    <w:rPr>
      <w:color w:val="0072BC" w:themeColor="background1"/>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F55300"/>
    <w:rPr>
      <w:color w:val="0072BC" w:themeColor="background1"/>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F55300"/>
    <w:rPr>
      <w:color w:val="0072BC" w:themeColor="background1"/>
    </w:rPr>
    <w:tblPr>
      <w:tblStyleRowBandSize w:val="1"/>
      <w:tblStyleColBandSize w:val="1"/>
      <w:tblBorders>
        <w:top w:val="single" w:sz="24" w:space="0" w:color="5F5F5F" w:themeColor="accent3"/>
        <w:left w:val="single" w:sz="24" w:space="0" w:color="5F5F5F" w:themeColor="accent3"/>
        <w:bottom w:val="single" w:sz="24" w:space="0" w:color="5F5F5F" w:themeColor="accent3"/>
        <w:right w:val="single" w:sz="24" w:space="0" w:color="5F5F5F" w:themeColor="accent3"/>
      </w:tblBorders>
    </w:tblPr>
    <w:tcPr>
      <w:shd w:val="clear" w:color="auto" w:fill="5F5F5F" w:themeFill="accent3"/>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F55300"/>
    <w:rPr>
      <w:color w:val="0072BC" w:themeColor="background1"/>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F55300"/>
    <w:rPr>
      <w:color w:val="0072BC"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F55300"/>
    <w:rPr>
      <w:color w:val="0072BC"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F55300"/>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F55300"/>
    <w:rPr>
      <w:color w:val="00548C" w:themeColor="accent1" w:themeShade="BF"/>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semiHidden/>
    <w:rsid w:val="00F55300"/>
    <w:rPr>
      <w:color w:val="8F0000" w:themeColor="accent2" w:themeShade="BF"/>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semiHidden/>
    <w:rsid w:val="00F55300"/>
    <w:rPr>
      <w:color w:val="474747" w:themeColor="accent3" w:themeShade="BF"/>
    </w:rPr>
    <w:tblPr>
      <w:tblStyleRowBandSize w:val="1"/>
      <w:tblStyleColBandSize w:val="1"/>
      <w:tblBorders>
        <w:top w:val="single" w:sz="4" w:space="0" w:color="5F5F5F" w:themeColor="accent3"/>
        <w:bottom w:val="single" w:sz="4" w:space="0" w:color="5F5F5F" w:themeColor="accent3"/>
      </w:tblBorders>
    </w:tblPr>
    <w:tblStylePr w:type="firstRow">
      <w:rPr>
        <w:b/>
        <w:bCs/>
      </w:rPr>
      <w:tblPr/>
      <w:tcPr>
        <w:tcBorders>
          <w:bottom w:val="single" w:sz="4" w:space="0" w:color="5F5F5F" w:themeColor="accent3"/>
        </w:tcBorders>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6Colorful-Accent4">
    <w:name w:val="List Table 6 Colorful Accent 4"/>
    <w:basedOn w:val="TableNormal"/>
    <w:uiPriority w:val="51"/>
    <w:semiHidden/>
    <w:rsid w:val="00F55300"/>
    <w:rPr>
      <w:color w:val="707070" w:themeColor="accent4" w:themeShade="BF"/>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semiHidden/>
    <w:rsid w:val="00F55300"/>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semiHidden/>
    <w:rsid w:val="00F55300"/>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semiHidden/>
    <w:rsid w:val="00F55300"/>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F55300"/>
    <w:rPr>
      <w:color w:val="00548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F55300"/>
    <w:rPr>
      <w:color w:val="8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F55300"/>
    <w:rPr>
      <w:color w:val="47474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3"/>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3"/>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3"/>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3"/>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F55300"/>
    <w:rPr>
      <w:color w:val="7070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F55300"/>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F55300"/>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1">
    <w:name w:val="Mention1"/>
    <w:basedOn w:val="DefaultParagraphFont"/>
    <w:uiPriority w:val="99"/>
    <w:semiHidden/>
    <w:unhideWhenUsed/>
    <w:rsid w:val="00F55300"/>
    <w:rPr>
      <w:color w:val="2B579A"/>
      <w:shd w:val="clear" w:color="auto" w:fill="E1DFDD"/>
    </w:rPr>
  </w:style>
  <w:style w:type="table" w:styleId="PlainTable1">
    <w:name w:val="Plain Table 1"/>
    <w:basedOn w:val="TableNormal"/>
    <w:uiPriority w:val="41"/>
    <w:semiHidden/>
    <w:rsid w:val="00F55300"/>
    <w:tblPr>
      <w:tblStyleRowBandSize w:val="1"/>
      <w:tblStyleColBandSize w:val="1"/>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tblStylePr w:type="firstRow">
      <w:rPr>
        <w:b/>
        <w:bCs/>
      </w:rPr>
    </w:tblStylePr>
    <w:tblStylePr w:type="lastRow">
      <w:rPr>
        <w:b/>
        <w:bCs/>
      </w:rPr>
      <w:tblPr/>
      <w:tcPr>
        <w:tcBorders>
          <w:top w:val="double" w:sz="4" w:space="0" w:color="00548C" w:themeColor="background1" w:themeShade="BF"/>
        </w:tcBorders>
      </w:tc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2">
    <w:name w:val="Plain Table 2"/>
    <w:basedOn w:val="TableNormal"/>
    <w:uiPriority w:val="42"/>
    <w:semiHidden/>
    <w:rsid w:val="00F5530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F55300"/>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F5530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5">
    <w:name w:val="Plain Table 5"/>
    <w:basedOn w:val="TableNormal"/>
    <w:uiPriority w:val="45"/>
    <w:semiHidden/>
    <w:rsid w:val="00F55300"/>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0072BC" w:themeFill="background1"/>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1">
    <w:name w:val="Smart Hyperlink1"/>
    <w:basedOn w:val="DefaultParagraphFont"/>
    <w:uiPriority w:val="99"/>
    <w:semiHidden/>
    <w:unhideWhenUsed/>
    <w:rsid w:val="00F55300"/>
    <w:rPr>
      <w:u w:val="dotted"/>
    </w:rPr>
  </w:style>
  <w:style w:type="character" w:customStyle="1" w:styleId="SmartLink1">
    <w:name w:val="SmartLink1"/>
    <w:basedOn w:val="DefaultParagraphFont"/>
    <w:uiPriority w:val="99"/>
    <w:semiHidden/>
    <w:unhideWhenUsed/>
    <w:rsid w:val="00F55300"/>
    <w:rPr>
      <w:color w:val="0000FF"/>
      <w:u w:val="single"/>
      <w:shd w:val="clear" w:color="auto" w:fill="F3F2F1"/>
    </w:rPr>
  </w:style>
  <w:style w:type="table" w:styleId="TableGridLight">
    <w:name w:val="Grid Table Light"/>
    <w:basedOn w:val="TableNormal"/>
    <w:uiPriority w:val="40"/>
    <w:semiHidden/>
    <w:rsid w:val="00F55300"/>
    <w:tblPr>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style>
  <w:style w:type="character" w:customStyle="1" w:styleId="UnresolvedMention1">
    <w:name w:val="Unresolved Mention1"/>
    <w:basedOn w:val="DefaultParagraphFont"/>
    <w:uiPriority w:val="99"/>
    <w:semiHidden/>
    <w:unhideWhenUsed/>
    <w:rsid w:val="002660CA"/>
    <w:rPr>
      <w:color w:val="605E5C"/>
      <w:shd w:val="clear" w:color="auto" w:fill="E1DFDD"/>
    </w:rPr>
  </w:style>
  <w:style w:type="character" w:customStyle="1" w:styleId="JuParaChar">
    <w:name w:val="Ju_Para Char"/>
    <w:aliases w:val="_Para Char"/>
    <w:link w:val="JuPara"/>
    <w:uiPriority w:val="4"/>
    <w:rsid w:val="00E25332"/>
    <w:rPr>
      <w:sz w:val="24"/>
      <w:szCs w:val="24"/>
      <w:lang w:val="ro-RO"/>
    </w:rPr>
  </w:style>
  <w:style w:type="paragraph" w:customStyle="1" w:styleId="JuList4">
    <w:name w:val="Ju_List_4"/>
    <w:aliases w:val="N_Bul_4"/>
    <w:basedOn w:val="JuListi"/>
    <w:uiPriority w:val="19"/>
    <w:rsid w:val="00605A74"/>
    <w:pPr>
      <w:numPr>
        <w:ilvl w:val="0"/>
        <w:numId w:val="0"/>
      </w:numPr>
      <w:tabs>
        <w:tab w:val="num" w:pos="1701"/>
      </w:tabs>
      <w:spacing w:before="60" w:after="60" w:line="240" w:lineRule="exact"/>
      <w:ind w:left="1703" w:hanging="284"/>
      <w:contextualSpacing/>
    </w:pPr>
    <w:rPr>
      <w:sz w:val="22"/>
      <w:lang w:eastAsia="fr-FR"/>
    </w:rPr>
  </w:style>
  <w:style w:type="character" w:customStyle="1" w:styleId="JuQuotChar">
    <w:name w:val="Ju_Quot Char"/>
    <w:basedOn w:val="DefaultParagraphFont"/>
    <w:link w:val="JuQuot"/>
    <w:uiPriority w:val="20"/>
    <w:rsid w:val="00605A74"/>
    <w:rPr>
      <w:sz w:val="20"/>
      <w:szCs w:val="24"/>
      <w:lang w:val="ro-RO"/>
    </w:rPr>
  </w:style>
  <w:style w:type="character" w:customStyle="1" w:styleId="JuParaCar">
    <w:name w:val="Ju_Para Car"/>
    <w:basedOn w:val="DefaultParagraphFont"/>
    <w:uiPriority w:val="12"/>
    <w:rsid w:val="00605A74"/>
    <w:rPr>
      <w:rFonts w:ascii="Times New Roman" w:eastAsia="Times New Roman" w:hAnsi="Times New Roman" w:cs="Times New Roman"/>
      <w:sz w:val="24"/>
      <w:szCs w:val="20"/>
      <w:lang w:val="ro-RO" w:eastAsia="fr-FR"/>
    </w:rPr>
  </w:style>
  <w:style w:type="paragraph" w:styleId="Revision">
    <w:name w:val="Revision"/>
    <w:hidden/>
    <w:uiPriority w:val="99"/>
    <w:semiHidden/>
    <w:rsid w:val="00605A74"/>
    <w:rPr>
      <w:sz w:val="24"/>
      <w:szCs w:val="24"/>
    </w:rPr>
  </w:style>
  <w:style w:type="paragraph" w:customStyle="1" w:styleId="jupara0">
    <w:name w:val="jupara"/>
    <w:basedOn w:val="Normal"/>
    <w:rsid w:val="004930A0"/>
    <w:pPr>
      <w:ind w:firstLine="284"/>
      <w:jc w:val="both"/>
    </w:pPr>
    <w:rPr>
      <w:rFonts w:ascii="Times New Roman" w:eastAsia="Times New Roman" w:hAnsi="Times New Roman" w:cs="Times New Roman"/>
      <w:lang w:eastAsia="en-GB"/>
    </w:rPr>
  </w:style>
  <w:style w:type="paragraph" w:customStyle="1" w:styleId="jucase0">
    <w:name w:val="jucase"/>
    <w:basedOn w:val="Normal"/>
    <w:rsid w:val="004930A0"/>
    <w:pPr>
      <w:ind w:firstLine="284"/>
      <w:jc w:val="both"/>
    </w:pPr>
    <w:rPr>
      <w:rFonts w:ascii="Times New Roman" w:eastAsia="Times New Roman" w:hAnsi="Times New Roman" w:cs="Times New Roman"/>
      <w:b/>
      <w:bCs/>
      <w:lang w:eastAsia="en-GB"/>
    </w:rPr>
  </w:style>
  <w:style w:type="character" w:styleId="UnresolvedMention">
    <w:name w:val="Unresolved Mention"/>
    <w:basedOn w:val="DefaultParagraphFont"/>
    <w:uiPriority w:val="99"/>
    <w:semiHidden/>
    <w:unhideWhenUsed/>
    <w:rsid w:val="007B42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ier.gov.ro/" TargetMode="External"/></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1 6 " ? > < T e m p l a t e   x m l n s : x s i = " h t t p : / / w w w . w 3 . o r g / 2 0 0 1 / X M L S c h e m a - i n s t a n c e "   x m l n s : x s d = " h t t p : / / w w w . w 3 . o r g / 2 0 0 1 / X M L S c h e m a "   x m l n s = " h t t p : / / e c h r . c o e . i n t / t e m p l a t e / m e t a d a t a " >  
     < C o d e > D 2 . 0 < / C o d e >  
     < T i t l e > D E 2 . 0 a   J U D   S e c t i o n   -   C o v e r   p a g e   ( i f   c o n v e r s i o n   m a c r o   d o e s   n o t   w o r k ) < / T i t l e >  
     < L a n g u a g e s >  
         < s t r i n g > E N G < / s t r i n g >  
     < / L a n g u a g e s >  
     < T y p e > D O C < / T y p e >  
     < C a t e g o r y > A R R < / C a t e g o r y >  
     < D e s c r i p t i o n > D E 2 . 0 a   J U D   S e c t i o n   -   C o v e r   p a g e   ( i f   c o n v e r s i o n   m a c r o   d o e s   n o t   w o r k ) . < / D e s c r i p t i o n >  
     < I n s t r u c t i o n s / >  
     < W a r n i n g s / >  
     < I s L e g a l T e m p l a t e > t r u e < / I s L e g a l T e m p l a t e >  
     < I n d e x D a t e   x s i : n i l = " t r u e " / >  
     < E d i t D a t e   x s i : n i l = " t r u e " / >  
     < T a g s >  
         < s t r i n g > J U D < / s t r i n g >  
         < s t r i n g > c o v e r < / s t r i n g >  
     < / T a g s >  
     < C r i t e r i a G r o u p s >  
         < C r i t e r i a G r o u p >  
             < C r i t e r i a S e r i e s >  
                 < C r i t e r i a S e r i e >  
                     < P r o p e r t y > S o P < / P r o p e r t y >  
                     < V a l u e s >  
                         < s t r i n g > C * < / s t r i n g >  
                         < s t r i n g > D * < / s t r i n g >  
                     < / V a l u e s >  
                 < / C r i t e r i a S e r i e >  
                 < C r i t e r i a S e r i e >  
                     < P r o p e r t y > E v e n t s < / P r o p e r t y >  
                     < V a l u e s >  
                         < s t r i n g > A R R E T * < / s t r i n g >  
                     < / V a l u e s >  
                 < / C r i t e r i a S e r i e >  
             < / C r i t e r i a S e r i e s >  
         < / C r i t e r i a G r o u p >  
     < / C r i t e r i a G r o u p s >  
 < / T e m p l a t e > 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9504C9-06FD-40E0-8EC2-E587314158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B1A483F-4C83-4576-8A17-83A546ABE028}">
  <ds:schemaRefs>
    <ds:schemaRef ds:uri="http://www.w3.org/2001/XMLSchema"/>
    <ds:schemaRef ds:uri="http://echr.coe.int/template/metadata"/>
  </ds:schemaRefs>
</ds:datastoreItem>
</file>

<file path=customXml/itemProps3.xml><?xml version="1.0" encoding="utf-8"?>
<ds:datastoreItem xmlns:ds="http://schemas.openxmlformats.org/officeDocument/2006/customXml" ds:itemID="{8DBC72D0-D23A-4E36-8D5B-8012393168E4}">
  <ds:schemaRefs>
    <ds:schemaRef ds:uri="http://schemas.openxmlformats.org/officeDocument/2006/bibliography"/>
  </ds:schemaRefs>
</ds:datastoreItem>
</file>

<file path=customXml/itemProps4.xml><?xml version="1.0" encoding="utf-8"?>
<ds:datastoreItem xmlns:ds="http://schemas.openxmlformats.org/officeDocument/2006/customXml" ds:itemID="{0335F68A-1932-485F-B87B-9739D9755A7B}">
  <ds:schemaRefs>
    <ds:schemaRef ds:uri="http://schemas.microsoft.com/sharepoint/v3/contenttype/forms"/>
  </ds:schemaRefs>
</ds:datastoreItem>
</file>

<file path=customXml/itemProps5.xml><?xml version="1.0" encoding="utf-8"?>
<ds:datastoreItem xmlns:ds="http://schemas.openxmlformats.org/officeDocument/2006/customXml" ds:itemID="{6D4135F1-B2FD-48DB-97CB-1B3192FB94A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7964</Words>
  <Characters>46195</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DE2.0a</vt:lpstr>
    </vt:vector>
  </TitlesOfParts>
  <Manager/>
  <Company/>
  <LinksUpToDate>false</LinksUpToDate>
  <CharactersWithSpaces>54051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JUD</dc:subject>
  <dc:creator/>
  <cp:lastModifiedBy/>
  <cp:revision>1</cp:revision>
  <dcterms:created xsi:type="dcterms:W3CDTF">2023-03-16T13:09:00Z</dcterms:created>
  <dcterms:modified xsi:type="dcterms:W3CDTF">2023-06-13T07:07:00Z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2057</vt:i4>
  </property>
  <property fmtid="{D5CDD505-2E9C-101B-9397-08002B2CF9AE}" pid="3" name="RegisteredNo">
    <vt:lpwstr>5084/18</vt:lpwstr>
  </property>
  <property fmtid="{D5CDD505-2E9C-101B-9397-08002B2CF9AE}" pid="4" name="CASEID">
    <vt:lpwstr>1363115</vt:lpwstr>
  </property>
  <property fmtid="{D5CDD505-2E9C-101B-9397-08002B2CF9AE}" pid="5" name="ContentTypeId">
    <vt:lpwstr>0x010100558EB02BDB9E204AB350EDD385B68E10</vt:lpwstr>
  </property>
</Properties>
</file>