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89DB40" w14:textId="77777777" w:rsidR="00751477" w:rsidRPr="009F4EAD" w:rsidRDefault="00BD6A65" w:rsidP="00EC62D9">
      <w:pPr>
        <w:pStyle w:val="PCFUpdate"/>
        <w:tabs>
          <w:tab w:val="left" w:pos="3119"/>
        </w:tabs>
      </w:pPr>
      <w:r>
        <w:t>Martie</w:t>
      </w:r>
      <w:r w:rsidR="007038B5">
        <w:t xml:space="preserve"> 2023</w:t>
      </w:r>
    </w:p>
    <w:p w14:paraId="1BACEF15" w14:textId="77777777" w:rsidR="00751477" w:rsidRPr="009F4EAD" w:rsidRDefault="007038B5" w:rsidP="00751477">
      <w:pPr>
        <w:pStyle w:val="PCFUpdate"/>
      </w:pPr>
      <w:r>
        <w:t>Această fișă nu este exhaustivă și nu obligă Curtea</w:t>
      </w:r>
    </w:p>
    <w:p w14:paraId="545CC162" w14:textId="77777777" w:rsidR="004E46FA" w:rsidRPr="009F4EAD" w:rsidRDefault="004E46FA" w:rsidP="00751477"/>
    <w:p w14:paraId="0573B4C1" w14:textId="77777777" w:rsidR="00751477" w:rsidRPr="009F4EAD" w:rsidRDefault="007038B5" w:rsidP="00751477">
      <w:pPr>
        <w:pStyle w:val="PCFCountrytitle"/>
        <w:rPr>
          <w:sz w:val="42"/>
          <w:szCs w:val="42"/>
        </w:rPr>
      </w:pPr>
      <w:r>
        <w:rPr>
          <w:sz w:val="42"/>
        </w:rPr>
        <w:t>Schimbări climatice</w:t>
      </w:r>
    </w:p>
    <w:p w14:paraId="42EA1606" w14:textId="77777777" w:rsidR="00B34993" w:rsidRDefault="007038B5" w:rsidP="00B34993">
      <w:pPr>
        <w:pStyle w:val="PCFHeaderCaseGrey"/>
        <w:pBdr>
          <w:top w:val="dotted" w:sz="4" w:space="1" w:color="auto"/>
          <w:left w:val="dotted" w:sz="4" w:space="4" w:color="auto"/>
          <w:bottom w:val="dotted" w:sz="4" w:space="1" w:color="auto"/>
          <w:right w:val="dotted" w:sz="4" w:space="4" w:color="auto"/>
        </w:pBdr>
        <w:spacing w:before="240"/>
        <w:contextualSpacing w:val="0"/>
        <w:jc w:val="both"/>
        <w:rPr>
          <w:b w:val="0"/>
          <w:color w:val="404040"/>
          <w:szCs w:val="20"/>
        </w:rPr>
      </w:pPr>
      <w:r>
        <w:t xml:space="preserve">Deși </w:t>
      </w:r>
      <w:hyperlink r:id="rId8" w:history="1">
        <w:r>
          <w:rPr>
            <w:rStyle w:val="Hyperlink"/>
            <w:b w:val="0"/>
          </w:rPr>
          <w:t>Convenția europeană a drepturilor omului</w:t>
        </w:r>
      </w:hyperlink>
      <w:r w:rsidR="00BD6A65">
        <w:t xml:space="preserve"> </w:t>
      </w:r>
      <w:r>
        <w:t>nu consacră ca atare dreptul la un mediu înconjurător sănătos, Curtea Europeană a Drepturilor Omului a fost chemată să își dezvolte jurisprudența în materie de mediu datorită faptului că exercitarea anumitor drepturi prevăzute de Convenție poate fi subminată de degradarea mediului și de expunerea la riscuri de mediu.</w:t>
      </w:r>
    </w:p>
    <w:p w14:paraId="295BA9B7" w14:textId="77777777" w:rsidR="005B2D0F" w:rsidRDefault="007038B5" w:rsidP="005B2D0F">
      <w:pPr>
        <w:pStyle w:val="PCFHeaderCaseGrey"/>
        <w:pBdr>
          <w:top w:val="dotted" w:sz="4" w:space="1" w:color="auto"/>
          <w:left w:val="dotted" w:sz="4" w:space="4" w:color="auto"/>
          <w:bottom w:val="dotted" w:sz="4" w:space="1" w:color="auto"/>
          <w:right w:val="dotted" w:sz="4" w:space="4" w:color="auto"/>
        </w:pBdr>
        <w:contextualSpacing w:val="0"/>
        <w:jc w:val="both"/>
        <w:rPr>
          <w:b w:val="0"/>
          <w:color w:val="404040"/>
          <w:szCs w:val="20"/>
        </w:rPr>
      </w:pPr>
      <w:r>
        <w:rPr>
          <w:b w:val="0"/>
          <w:color w:val="404040"/>
        </w:rPr>
        <w:t>Curtea nu s-a pronunțat încă cu privire la problema acțiunii statului în domeniul schimbărilor climatice. În prezent, în fața Marii Camere a Curții există trei cauze privind acest aspect.</w:t>
      </w:r>
    </w:p>
    <w:p w14:paraId="3C8A9A89" w14:textId="77777777" w:rsidR="00751477" w:rsidRDefault="007038B5" w:rsidP="005B2D0F">
      <w:pPr>
        <w:pStyle w:val="PCFHeader2"/>
        <w:spacing w:before="180" w:after="120"/>
        <w:jc w:val="both"/>
        <w:rPr>
          <w:noProof/>
          <w:color w:val="595959"/>
          <w:szCs w:val="28"/>
        </w:rPr>
      </w:pPr>
      <w:r>
        <w:rPr>
          <w:color w:val="595959"/>
        </w:rPr>
        <w:t>Cauze pendinte în fața Marii Camere a Curții</w:t>
      </w:r>
    </w:p>
    <w:p w14:paraId="2C57576E" w14:textId="77777777" w:rsidR="00580745" w:rsidRPr="00C3465C" w:rsidRDefault="007038B5" w:rsidP="002B2FFC">
      <w:pPr>
        <w:pStyle w:val="PCFPara"/>
        <w:pBdr>
          <w:top w:val="dotted" w:sz="2" w:space="1" w:color="auto"/>
          <w:left w:val="dotted" w:sz="2" w:space="4" w:color="auto"/>
          <w:bottom w:val="dotted" w:sz="2" w:space="1" w:color="auto"/>
          <w:right w:val="dotted" w:sz="2" w:space="4" w:color="auto"/>
        </w:pBdr>
        <w:spacing w:after="60"/>
        <w:rPr>
          <w:color w:val="ED7D31"/>
        </w:rPr>
      </w:pPr>
      <w:r>
        <w:rPr>
          <w:color w:val="ED7D31"/>
        </w:rPr>
        <w:t xml:space="preserve">La 11 ianuarie 2023, Marea Cameră a organizat o ședință de procedură în cele trei cauze privind clima aflate pe rolul său – </w:t>
      </w:r>
      <w:r>
        <w:rPr>
          <w:i/>
          <w:iCs/>
          <w:color w:val="ED7D31"/>
        </w:rPr>
        <w:t>Verein Klimaseniorinnen Schweiz și alții împotriva Elveției</w:t>
      </w:r>
      <w:r>
        <w:rPr>
          <w:color w:val="ED7D31"/>
        </w:rPr>
        <w:t xml:space="preserve">, </w:t>
      </w:r>
      <w:r>
        <w:rPr>
          <w:i/>
          <w:iCs/>
          <w:color w:val="ED7D31"/>
        </w:rPr>
        <w:t>Carême împotriva Franței</w:t>
      </w:r>
      <w:r>
        <w:rPr>
          <w:color w:val="ED7D31"/>
        </w:rPr>
        <w:t xml:space="preserve"> și </w:t>
      </w:r>
      <w:r>
        <w:rPr>
          <w:i/>
          <w:iCs/>
          <w:color w:val="ED7D31"/>
        </w:rPr>
        <w:t>Duarte Agostinho și alții împotriva Portugaliei și a altor 32 de state</w:t>
      </w:r>
      <w:r>
        <w:rPr>
          <w:color w:val="ED7D31"/>
        </w:rPr>
        <w:t>. În această ședință s-a decis ca, după încheierea etapei scrise a procedurilor, etapa orală a soluționării cauzelor să fie eșalonată.</w:t>
      </w:r>
    </w:p>
    <w:p w14:paraId="2DC1F2C0" w14:textId="77777777" w:rsidR="00580745" w:rsidRPr="00C3465C" w:rsidRDefault="007038B5" w:rsidP="002B2FFC">
      <w:pPr>
        <w:pStyle w:val="PCFPara"/>
        <w:pBdr>
          <w:top w:val="dotted" w:sz="2" w:space="1" w:color="auto"/>
          <w:left w:val="dotted" w:sz="2" w:space="4" w:color="auto"/>
          <w:bottom w:val="dotted" w:sz="2" w:space="1" w:color="auto"/>
          <w:right w:val="dotted" w:sz="2" w:space="4" w:color="auto"/>
        </w:pBdr>
        <w:spacing w:after="120"/>
        <w:rPr>
          <w:color w:val="ED7D31"/>
        </w:rPr>
      </w:pPr>
      <w:r>
        <w:rPr>
          <w:color w:val="ED7D31"/>
        </w:rPr>
        <w:t xml:space="preserve">O audiere în cauzele </w:t>
      </w:r>
      <w:r>
        <w:rPr>
          <w:i/>
          <w:iCs/>
          <w:color w:val="ED7D31"/>
        </w:rPr>
        <w:t>Verein Klimaseniorinnen Schweiz și alții</w:t>
      </w:r>
      <w:r>
        <w:rPr>
          <w:color w:val="ED7D31"/>
        </w:rPr>
        <w:t xml:space="preserve"> și </w:t>
      </w:r>
      <w:r>
        <w:rPr>
          <w:i/>
          <w:iCs/>
          <w:color w:val="ED7D31"/>
        </w:rPr>
        <w:t>Carême</w:t>
      </w:r>
      <w:r>
        <w:rPr>
          <w:color w:val="ED7D31"/>
        </w:rPr>
        <w:t xml:space="preserve"> va avea loc la 29 martie 2023, iar o audiere în cauza </w:t>
      </w:r>
      <w:r>
        <w:rPr>
          <w:i/>
          <w:iCs/>
          <w:color w:val="ED7D31"/>
        </w:rPr>
        <w:t>Duarte Agostinho și alții</w:t>
      </w:r>
      <w:r>
        <w:rPr>
          <w:color w:val="ED7D31"/>
        </w:rPr>
        <w:t xml:space="preserve"> va avea loc ulterior în fața aceleiași compuneri a Marii Camere. Data exactă a audierii cauzei</w:t>
      </w:r>
      <w:r>
        <w:rPr>
          <w:i/>
          <w:color w:val="ED7D31"/>
        </w:rPr>
        <w:t xml:space="preserve"> Duarte Agostinho și alții</w:t>
      </w:r>
      <w:r>
        <w:rPr>
          <w:color w:val="ED7D31"/>
        </w:rPr>
        <w:t xml:space="preserve"> va fi stabilită ulterior, obiectivul fiind ca aceasta să aibă loc imediat după vacanța judiciară din vara anului 2023.</w:t>
      </w:r>
    </w:p>
    <w:bookmarkStart w:id="0" w:name="_Hlk102126023"/>
    <w:p w14:paraId="048A76C9" w14:textId="77777777" w:rsidR="00994374" w:rsidRPr="009E6E7A" w:rsidRDefault="007038B5" w:rsidP="005B2D0F">
      <w:pPr>
        <w:pStyle w:val="PCFHeaderCase"/>
        <w:contextualSpacing w:val="0"/>
        <w:jc w:val="both"/>
      </w:pPr>
      <w:r>
        <w:fldChar w:fldCharType="begin"/>
      </w:r>
      <w:r>
        <w:rPr>
          <w:rStyle w:val="Hyperlink"/>
        </w:rPr>
        <w:instrText xml:space="preserve"> HYPERLINK "https://hudoc.echr.coe.int/eng-press?%20i%20=%20003-7322460-9989782" </w:instrText>
      </w:r>
      <w:r>
        <w:fldChar w:fldCharType="separate"/>
      </w:r>
      <w:r>
        <w:rPr>
          <w:rStyle w:val="Hyperlink"/>
        </w:rPr>
        <w:t>Verein KlimaSeniorinnen Schweiz ș</w:t>
      </w:r>
      <w:bookmarkStart w:id="1" w:name="_Hlt102126039"/>
      <w:bookmarkStart w:id="2" w:name="_Hlt102126040"/>
      <w:r>
        <w:rPr>
          <w:rStyle w:val="Hyperlink"/>
        </w:rPr>
        <w:t>i</w:t>
      </w:r>
      <w:bookmarkEnd w:id="1"/>
      <w:bookmarkEnd w:id="2"/>
      <w:r>
        <w:rPr>
          <w:rStyle w:val="Hyperlink"/>
        </w:rPr>
        <w:t xml:space="preserve"> alții împotriva Elveției (cererea nr. 53600/20)</w:t>
      </w:r>
      <w:r>
        <w:fldChar w:fldCharType="end"/>
      </w:r>
    </w:p>
    <w:p w14:paraId="4EFBB7FD" w14:textId="77777777" w:rsidR="00994374" w:rsidRPr="00994374" w:rsidRDefault="007038B5" w:rsidP="005B2D0F">
      <w:pPr>
        <w:pStyle w:val="PCFHeaderDate"/>
        <w:jc w:val="both"/>
      </w:pPr>
      <w:r>
        <w:t>Desesizare în favoarea Marii Camere în aprilie 2022</w:t>
      </w:r>
    </w:p>
    <w:p w14:paraId="29CE3CE1" w14:textId="77777777" w:rsidR="00994374" w:rsidRPr="00994374" w:rsidRDefault="007038B5" w:rsidP="005B2D0F">
      <w:pPr>
        <w:pStyle w:val="PCFPara"/>
      </w:pPr>
      <w:bookmarkStart w:id="3" w:name="_Hlk126306864"/>
      <w:r>
        <w:t>Această cauză, care a fost introdusă de o asociație elvețiană și de membrii acesteia, un grup de persoane în vârstă preocupate de consecințele încălzirii globale asupra condițiilor lor de viață și a sănătății, se referă la o plângere privind diverse deficiențe ale autorităților elvețiene în domeniul protecției climei.</w:t>
      </w:r>
      <w:r w:rsidR="00C51FF2">
        <w:t xml:space="preserve"> </w:t>
      </w:r>
      <w:r>
        <w:t>Reclamanții susțin, în special, că statul pârât nu și-a îndeplinit obligațiile pozitive de a proteja în mod efectiv viața (art. 2 din Convenție) și de a asigura respectarea vieții lor private și de familie, inclusiv a domiciliului acestora (art. 8 din Convenție). Aceștia se plâng, de asemenea, că nu au avut acces la o instanță în sensul art. 6 (dreptul la un proces echitabil) din Convenție, precum și de încălcarea art. 13 (dreptul la un recurs efectiv) din Convenție, susținând că nu dispun de nicio cale de atac efectivă internă privind pretinsele încălcări ale art. 2 și art. 8.</w:t>
      </w:r>
    </w:p>
    <w:bookmarkEnd w:id="3"/>
    <w:p w14:paraId="680240A7" w14:textId="77777777" w:rsidR="00580745" w:rsidRDefault="007038B5" w:rsidP="005B2D0F">
      <w:pPr>
        <w:pStyle w:val="PCFViolation"/>
      </w:pPr>
      <w:r>
        <w:t xml:space="preserve">Camera </w:t>
      </w:r>
      <w:bookmarkStart w:id="4" w:name="_Hlk105511634"/>
      <w:r>
        <w:t>căreia i-a fost repartizată această cauză s-a desesizat în favoarea Marii Camere la 26 aprilie 2022.</w:t>
      </w:r>
      <w:bookmarkEnd w:id="4"/>
      <w:r>
        <w:t xml:space="preserve"> </w:t>
      </w:r>
    </w:p>
    <w:p w14:paraId="39773A5C" w14:textId="77777777" w:rsidR="00BD6A65" w:rsidRDefault="007038B5" w:rsidP="005B2D0F">
      <w:pPr>
        <w:pStyle w:val="PCFViolation"/>
      </w:pPr>
      <w:r>
        <w:t>Un număr mare de terți intervenienți, inclusiv state membre, au participat la faza scrisă a procedurii.</w:t>
      </w:r>
      <w:r w:rsidR="00BD6A65">
        <w:t xml:space="preserve"> </w:t>
      </w:r>
    </w:p>
    <w:p w14:paraId="2E06A048" w14:textId="77777777" w:rsidR="00994374" w:rsidRPr="00F05ABF" w:rsidRDefault="00BD6A65" w:rsidP="005B2D0F">
      <w:pPr>
        <w:pStyle w:val="PCFViolation"/>
      </w:pPr>
      <w:r>
        <w:lastRenderedPageBreak/>
        <w:t xml:space="preserve">La 29 martie 2023, </w:t>
      </w:r>
      <w:r w:rsidR="005A4031">
        <w:t>Marea Cameră</w:t>
      </w:r>
      <w:r>
        <w:t xml:space="preserve"> </w:t>
      </w:r>
      <w:r w:rsidR="005A4031">
        <w:t>a ținut o ședință în cauză.</w:t>
      </w:r>
    </w:p>
    <w:bookmarkStart w:id="5" w:name="_Hlk105511734"/>
    <w:p w14:paraId="4F3FC139" w14:textId="77777777" w:rsidR="00167682" w:rsidRPr="009A4082" w:rsidRDefault="007038B5" w:rsidP="005B2D0F">
      <w:pPr>
        <w:pStyle w:val="PCFHeaderCase"/>
      </w:pPr>
      <w:r>
        <w:fldChar w:fldCharType="begin"/>
      </w:r>
      <w:r>
        <w:rPr>
          <w:rStyle w:val="Hyperlink"/>
        </w:rPr>
        <w:instrText xml:space="preserve"> HYPERLINK "https://hudoc.echr.coe.int/eng-press?%20i%20=%20003-7353639-10043718" </w:instrText>
      </w:r>
      <w:r>
        <w:fldChar w:fldCharType="separate"/>
      </w:r>
      <w:r>
        <w:rPr>
          <w:rStyle w:val="Hyperlink"/>
        </w:rPr>
        <w:t>Carême împotriva Franței (nr. 7189/21)</w:t>
      </w:r>
      <w:r>
        <w:fldChar w:fldCharType="end"/>
      </w:r>
    </w:p>
    <w:p w14:paraId="5BE48418" w14:textId="77777777" w:rsidR="00167682" w:rsidRPr="00167682" w:rsidRDefault="007038B5" w:rsidP="005B2D0F">
      <w:pPr>
        <w:pStyle w:val="PCFHeaderDate"/>
      </w:pPr>
      <w:r>
        <w:t>Desesizare în favoarea Marii Camere în mai 2022</w:t>
      </w:r>
    </w:p>
    <w:p w14:paraId="68AC6522" w14:textId="77777777" w:rsidR="00167682" w:rsidRPr="00167682" w:rsidRDefault="007038B5" w:rsidP="005B2D0F">
      <w:pPr>
        <w:pStyle w:val="PCFPara"/>
      </w:pPr>
      <w:r>
        <w:t>Această cauză privește o plângere formulată de un rezident și de un fost primar al municipalității Grande-Synthe, care susțin că Franța nu a luat măsuri suficiente pentru a preveni schimbările climatice și că această neîndeplinire a obligațiilor sale implică o încălcare a dreptului la viață (art. 2 din Convenție) și a dreptului la respectarea vieții private și de familie (art. 8 din Convenție).</w:t>
      </w:r>
    </w:p>
    <w:bookmarkEnd w:id="5"/>
    <w:p w14:paraId="38B0B014" w14:textId="77777777" w:rsidR="005A4031" w:rsidRDefault="007038B5" w:rsidP="005A4031">
      <w:pPr>
        <w:pStyle w:val="PCFViolation"/>
      </w:pPr>
      <w:r>
        <w:t>Camera căreia i-a fost repartizată această cauză s-a desesizat în favoarea Marii Camere la 31 mai 2022.</w:t>
      </w:r>
      <w:r w:rsidR="005A4031">
        <w:t xml:space="preserve"> </w:t>
      </w:r>
    </w:p>
    <w:p w14:paraId="6D5FCA3A" w14:textId="77777777" w:rsidR="005A4031" w:rsidRPr="00F05ABF" w:rsidRDefault="005A4031" w:rsidP="005A4031">
      <w:pPr>
        <w:pStyle w:val="PCFViolation"/>
      </w:pPr>
      <w:r>
        <w:t>La 29 martie 2023, Marea Cameră a ținut o ședință în cauză.</w:t>
      </w:r>
    </w:p>
    <w:p w14:paraId="0EDE008B" w14:textId="77777777" w:rsidR="00A15784" w:rsidRPr="009E231C" w:rsidRDefault="007038B5" w:rsidP="005B2D0F">
      <w:pPr>
        <w:pStyle w:val="PCFHeaderCase"/>
        <w:jc w:val="both"/>
      </w:pPr>
      <w:hyperlink r:id="rId9" w:history="1">
        <w:r>
          <w:rPr>
            <w:rStyle w:val="Hyperlink"/>
          </w:rPr>
          <w:t>Duarte Agostinho și alții împotriva Portugaliei și a altor 32 de state</w:t>
        </w:r>
        <w:r>
          <w:rPr>
            <w:rStyle w:val="FootnoteReference"/>
            <w:color w:val="0072BC"/>
            <w:u w:val="single"/>
          </w:rPr>
          <w:footnoteReference w:id="1"/>
        </w:r>
        <w:r>
          <w:rPr>
            <w:rStyle w:val="Hyperlink"/>
          </w:rPr>
          <w:t xml:space="preserve"> (nr. 39371/20)</w:t>
        </w:r>
      </w:hyperlink>
      <w:r>
        <w:t xml:space="preserve"> </w:t>
      </w:r>
    </w:p>
    <w:p w14:paraId="75C79681" w14:textId="77777777" w:rsidR="00A15784" w:rsidRPr="009E231C" w:rsidRDefault="007038B5" w:rsidP="005B2D0F">
      <w:pPr>
        <w:pStyle w:val="PCFHeaderDate"/>
        <w:jc w:val="both"/>
      </w:pPr>
      <w:r>
        <w:t>Desesizare în favoarea Marii Camere în iunie 2022</w:t>
      </w:r>
    </w:p>
    <w:p w14:paraId="04E5D40B" w14:textId="77777777" w:rsidR="00A15784" w:rsidRPr="009E231C" w:rsidRDefault="007038B5" w:rsidP="005B2D0F">
      <w:pPr>
        <w:pStyle w:val="PCFPara"/>
      </w:pPr>
      <w:r>
        <w:t xml:space="preserve">Prezenta cauză privește emisiile poluante de gaze cu efect de seră din 33 de state membre care, în opinia reclamanților – resortisanți portughezi cu vârste cuprinse între 10 și 23 de ani – contribuie la fenomenul încălzirii globale, având ca rezultat, printre altele, valuri de căldură care afectează condițiile de viață și sănătatea reclamanților.  Reclamanții se plâng, în special, de faptul că cele 33 de state în cauză nu își îndeplinesc obligațiile pozitive în temeiul art. 2 (dreptul la viață) și al art. 8 (dreptul la respectarea vieții private și de familie) din Convenție, interpretate în lumina angajamentelor asumate în temeiul </w:t>
      </w:r>
      <w:hyperlink r:id="rId10" w:history="1">
        <w:r>
          <w:rPr>
            <w:rStyle w:val="Hyperlink"/>
          </w:rPr>
          <w:t>Acordului de la Paris</w:t>
        </w:r>
      </w:hyperlink>
      <w:r>
        <w:t xml:space="preserve"> din 2015 privind schimbările climatice (COP 21). Aceștia invocă, de asemenea, o încălcare a art. 14 (interzicerea discriminării) coroborat cu art. 2 și/sau cu art. 8 din Convenție, susținând că încălzirea globală afectează în mod special generația lor și că, având în vedere vârsta lor, ingerința în drepturile lor este mai mare decât în cazul generațiilor mai în vârstă.</w:t>
      </w:r>
    </w:p>
    <w:p w14:paraId="0004632C" w14:textId="77777777" w:rsidR="00580745" w:rsidRDefault="007038B5" w:rsidP="005B2D0F">
      <w:pPr>
        <w:pStyle w:val="PCFViolation"/>
      </w:pPr>
      <w:r>
        <w:t xml:space="preserve">Camera căreia i-a fost repartizată această cauză s-a desesizat în favoarea Marii Camere la 29 iunie 2022. </w:t>
      </w:r>
    </w:p>
    <w:p w14:paraId="435D32CD" w14:textId="77777777" w:rsidR="00A15784" w:rsidRDefault="007038B5" w:rsidP="005B2D0F">
      <w:pPr>
        <w:pStyle w:val="PCFViolation"/>
      </w:pPr>
      <w:r>
        <w:t>Un număr mare de terți intervenienți au participat, de asemenea, la etapa scrisă a procedurii.</w:t>
      </w:r>
    </w:p>
    <w:p w14:paraId="6972B591" w14:textId="77777777" w:rsidR="002B2FFC" w:rsidRDefault="007038B5" w:rsidP="002B2FFC">
      <w:pPr>
        <w:pStyle w:val="PCFHeader2"/>
        <w:spacing w:before="180" w:after="120"/>
        <w:jc w:val="both"/>
        <w:rPr>
          <w:noProof/>
          <w:color w:val="595959"/>
          <w:szCs w:val="28"/>
        </w:rPr>
      </w:pPr>
      <w:r>
        <w:rPr>
          <w:color w:val="595959"/>
        </w:rPr>
        <w:t>Alte cauze decât cele pendinte în fața Marii Camere</w:t>
      </w:r>
    </w:p>
    <w:p w14:paraId="70AC743C" w14:textId="77777777" w:rsidR="002B2FFC" w:rsidRPr="00C3465C" w:rsidRDefault="007038B5" w:rsidP="001F16AB">
      <w:pPr>
        <w:pBdr>
          <w:top w:val="dotted" w:sz="2" w:space="1" w:color="auto"/>
          <w:left w:val="dotted" w:sz="2" w:space="4" w:color="auto"/>
          <w:bottom w:val="dotted" w:sz="2" w:space="1" w:color="auto"/>
          <w:right w:val="dotted" w:sz="2" w:space="4" w:color="auto"/>
        </w:pBdr>
        <w:spacing w:before="60"/>
        <w:rPr>
          <w:color w:val="ED7D31"/>
        </w:rPr>
      </w:pPr>
      <w:bookmarkStart w:id="7" w:name="_Hlk127280742"/>
      <w:bookmarkEnd w:id="0"/>
      <w:r>
        <w:rPr>
          <w:color w:val="ED7D31"/>
        </w:rPr>
        <w:t>Între septembrie 2022 și februarie 2023, Curtea a ținut o serie de ședințe de procedură privind alte cereri decât cele pendinte în fața Marii Camere, referitoare la schimbări climatice.</w:t>
      </w:r>
    </w:p>
    <w:p w14:paraId="22F4059A" w14:textId="77777777" w:rsidR="002B2FFC" w:rsidRPr="00C3465C" w:rsidRDefault="007038B5" w:rsidP="002B2FFC">
      <w:pPr>
        <w:pBdr>
          <w:top w:val="dotted" w:sz="2" w:space="1" w:color="auto"/>
          <w:left w:val="dotted" w:sz="2" w:space="4" w:color="auto"/>
          <w:bottom w:val="dotted" w:sz="2" w:space="1" w:color="auto"/>
          <w:right w:val="dotted" w:sz="2" w:space="4" w:color="auto"/>
        </w:pBdr>
        <w:spacing w:before="60"/>
        <w:rPr>
          <w:color w:val="ED7D31"/>
        </w:rPr>
      </w:pPr>
      <w:r>
        <w:rPr>
          <w:color w:val="ED7D31"/>
        </w:rPr>
        <w:t xml:space="preserve">Curtea a decis să amâne examinarea a șase </w:t>
      </w:r>
      <w:r w:rsidR="005A4031">
        <w:rPr>
          <w:color w:val="ED7D31"/>
        </w:rPr>
        <w:t>cauze</w:t>
      </w:r>
      <w:r>
        <w:rPr>
          <w:color w:val="ED7D31"/>
        </w:rPr>
        <w:t xml:space="preserve"> până când Marea Cameră se va pronunța în cauzele privind schimbările climatice cu care a fost sesizată.</w:t>
      </w:r>
    </w:p>
    <w:p w14:paraId="0687BCB1" w14:textId="77777777" w:rsidR="00B26CA9" w:rsidRPr="00C3465C" w:rsidRDefault="007038B5" w:rsidP="001F16AB">
      <w:pPr>
        <w:pBdr>
          <w:top w:val="dotted" w:sz="2" w:space="1" w:color="auto"/>
          <w:left w:val="dotted" w:sz="2" w:space="4" w:color="auto"/>
          <w:bottom w:val="dotted" w:sz="2" w:space="1" w:color="auto"/>
          <w:right w:val="dotted" w:sz="2" w:space="4" w:color="auto"/>
        </w:pBdr>
        <w:spacing w:before="60" w:after="60"/>
        <w:rPr>
          <w:color w:val="ED7D31"/>
        </w:rPr>
      </w:pPr>
      <w:r>
        <w:rPr>
          <w:color w:val="ED7D31"/>
        </w:rPr>
        <w:t>De asemenea, a declarat inadmisibile alte două cereri.</w:t>
      </w:r>
    </w:p>
    <w:p w14:paraId="205E7A51" w14:textId="77777777" w:rsidR="00B26CA9" w:rsidRPr="0015718E" w:rsidRDefault="005A4031" w:rsidP="00BD6A65">
      <w:pPr>
        <w:widowControl w:val="0"/>
        <w:spacing w:before="180" w:after="120"/>
        <w:rPr>
          <w:i/>
          <w:iCs/>
          <w:noProof/>
          <w:color w:val="595959"/>
          <w:sz w:val="28"/>
          <w:szCs w:val="28"/>
        </w:rPr>
      </w:pPr>
      <w:r>
        <w:rPr>
          <w:i/>
          <w:color w:val="595959"/>
          <w:sz w:val="28"/>
        </w:rPr>
        <w:t>Cauze</w:t>
      </w:r>
      <w:r w:rsidR="007038B5">
        <w:rPr>
          <w:i/>
          <w:color w:val="595959"/>
          <w:sz w:val="28"/>
        </w:rPr>
        <w:t xml:space="preserve"> amânate</w:t>
      </w:r>
    </w:p>
    <w:bookmarkEnd w:id="7"/>
    <w:p w14:paraId="638728C0" w14:textId="77777777" w:rsidR="0015718E" w:rsidRPr="008704E4" w:rsidRDefault="007038B5" w:rsidP="00BD6A65">
      <w:pPr>
        <w:pStyle w:val="PCFHeaderCase"/>
        <w:keepNext w:val="0"/>
        <w:widowControl w:val="0"/>
        <w:jc w:val="both"/>
        <w:rPr>
          <w:color w:val="0072BC"/>
          <w:u w:val="single"/>
        </w:rPr>
      </w:pPr>
      <w:r>
        <w:rPr>
          <w:color w:val="0072BC"/>
          <w:u w:val="single"/>
        </w:rPr>
        <w:t>Uricchiov împotriva Italiei și a altor 31 de state</w:t>
      </w:r>
      <w:r>
        <w:rPr>
          <w:rStyle w:val="FootnoteReference"/>
          <w:bCs/>
          <w:i/>
          <w:iCs/>
          <w:color w:val="0072BC"/>
          <w:u w:val="single"/>
        </w:rPr>
        <w:footnoteReference w:id="2"/>
      </w:r>
      <w:r>
        <w:rPr>
          <w:color w:val="0072BC"/>
          <w:u w:val="single"/>
        </w:rPr>
        <w:t xml:space="preserve"> (cererea nr. 14615/21) și De Conto împotriva Italiei și a altor 32 de state</w:t>
      </w:r>
      <w:r>
        <w:rPr>
          <w:rStyle w:val="FootnoteReference"/>
          <w:bCs/>
          <w:i/>
          <w:iCs/>
          <w:color w:val="0072BC"/>
          <w:u w:val="single"/>
        </w:rPr>
        <w:footnoteReference w:id="3"/>
      </w:r>
      <w:r>
        <w:rPr>
          <w:color w:val="0072BC"/>
          <w:u w:val="single"/>
        </w:rPr>
        <w:t xml:space="preserve"> (nr. 14620/21)</w:t>
      </w:r>
    </w:p>
    <w:p w14:paraId="533337D9" w14:textId="77777777" w:rsidR="0015718E" w:rsidRPr="0015718E" w:rsidRDefault="007038B5" w:rsidP="00BD6A65">
      <w:pPr>
        <w:widowControl w:val="0"/>
        <w:spacing w:before="60"/>
        <w:jc w:val="left"/>
        <w:rPr>
          <w:color w:val="808080"/>
          <w:sz w:val="18"/>
        </w:rPr>
      </w:pPr>
      <w:r>
        <w:rPr>
          <w:color w:val="808080"/>
          <w:sz w:val="18"/>
        </w:rPr>
        <w:lastRenderedPageBreak/>
        <w:t>Cereri depuse la Curte în martie 2021</w:t>
      </w:r>
    </w:p>
    <w:p w14:paraId="6EF26176" w14:textId="77777777" w:rsidR="0015718E" w:rsidRPr="0015718E" w:rsidRDefault="007038B5" w:rsidP="00BD6A65">
      <w:pPr>
        <w:pStyle w:val="PCFPara"/>
        <w:widowControl w:val="0"/>
      </w:pPr>
      <w:r>
        <w:t>Aceste cereri au fost depuse de doi tineri care s-au plâns, în temeiul art. 2 (dreptul la viață), al art. 8 (dreptul la respectarea vieții private și de familie), al art. 13 (dreptul la un recurs efectiv) și al art. 14 (interzicerea discriminării) din Convenție, că emisiile de gaze cu efect de seră din 33 de state membre au provocat o încălzire globală, care a avut ca rezultat, printre altele, evenimente meteorologice extreme precum valuri de căldură și furtuni, care au afectat condițiile de viață ale reclamanților și sănătatea lor mintală.</w:t>
      </w:r>
    </w:p>
    <w:p w14:paraId="6391DFB4" w14:textId="77777777" w:rsidR="0015718E" w:rsidRPr="00D62E02" w:rsidRDefault="007038B5" w:rsidP="0015718E">
      <w:pPr>
        <w:pStyle w:val="PCFHeaderCase"/>
        <w:rPr>
          <w:color w:val="0072BC"/>
          <w:u w:val="single"/>
        </w:rPr>
      </w:pPr>
      <w:r>
        <w:rPr>
          <w:color w:val="0072BC"/>
          <w:u w:val="single"/>
        </w:rPr>
        <w:t>Müllner împotriva Austriei (nr. 18859/21)</w:t>
      </w:r>
    </w:p>
    <w:p w14:paraId="6E3FF5B2" w14:textId="77777777" w:rsidR="0015718E" w:rsidRPr="0015718E" w:rsidRDefault="007038B5" w:rsidP="0015718E">
      <w:pPr>
        <w:keepNext/>
        <w:spacing w:before="60"/>
        <w:jc w:val="left"/>
        <w:rPr>
          <w:color w:val="808080"/>
          <w:sz w:val="18"/>
        </w:rPr>
      </w:pPr>
      <w:bookmarkStart w:id="8" w:name="_Hlk127289967"/>
      <w:r>
        <w:rPr>
          <w:color w:val="808080"/>
          <w:sz w:val="18"/>
        </w:rPr>
        <w:t xml:space="preserve">Cerere depusă la Curte în </w:t>
      </w:r>
      <w:r w:rsidR="005A4031">
        <w:rPr>
          <w:color w:val="808080"/>
          <w:sz w:val="18"/>
        </w:rPr>
        <w:t>aprilie</w:t>
      </w:r>
      <w:r>
        <w:rPr>
          <w:color w:val="808080"/>
          <w:sz w:val="18"/>
        </w:rPr>
        <w:t xml:space="preserve"> 2021</w:t>
      </w:r>
      <w:bookmarkEnd w:id="8"/>
    </w:p>
    <w:p w14:paraId="26C1B0CA" w14:textId="77777777" w:rsidR="0015718E" w:rsidRPr="0015718E" w:rsidRDefault="007038B5" w:rsidP="0015718E">
      <w:pPr>
        <w:pStyle w:val="PCFPara"/>
      </w:pPr>
      <w:r>
        <w:t xml:space="preserve">Cauza a fost inițiată de o persoană care suferă de o afecțiune medicală care o obligă să se deplaseze într-un scaun cu rotile atunci când este supusă unor temperaturi de 30 de grade Celsius sau mai mari. Reclamantul se plânge, invocând art. 2 (dreptul la viață), art. 6 (dreptul la un proces echitabil), art. 8 (dreptul la respectarea vieții private și de familie) și art. 13 (dreptul la un recurs efectiv) din Convenție, că Austria nu a instituit un cadru legislativ și administrativ corespunzător pentru atingerea obiectivului prevăzut de </w:t>
      </w:r>
      <w:hyperlink r:id="rId11" w:history="1">
        <w:r>
          <w:rPr>
            <w:rStyle w:val="Hyperlink"/>
          </w:rPr>
          <w:t>Acordul</w:t>
        </w:r>
        <w:bookmarkStart w:id="9" w:name="_Hlt127288702"/>
        <w:bookmarkStart w:id="10" w:name="_Hlt127288703"/>
        <w:bookmarkStart w:id="11" w:name="_Hlt127288752"/>
        <w:bookmarkStart w:id="12" w:name="_Hlt127288753"/>
        <w:bookmarkEnd w:id="11"/>
        <w:bookmarkEnd w:id="12"/>
        <w:r w:rsidR="005A4031">
          <w:rPr>
            <w:rStyle w:val="Hyperlink"/>
          </w:rPr>
          <w:t xml:space="preserve"> </w:t>
        </w:r>
        <w:r>
          <w:rPr>
            <w:rStyle w:val="Hyperlink"/>
          </w:rPr>
          <w:t xml:space="preserve">de la </w:t>
        </w:r>
        <w:bookmarkEnd w:id="9"/>
        <w:bookmarkEnd w:id="10"/>
        <w:r>
          <w:rPr>
            <w:rStyle w:val="Hyperlink"/>
          </w:rPr>
          <w:t>Paris</w:t>
        </w:r>
      </w:hyperlink>
      <w:r>
        <w:t xml:space="preserve"> de a limita creșterea temperaturii medii globale la 1,5 grade Celsius peste nivelurile preindustriale, și că aceasta nu a reușit în mod sistematic să-și îndeplinească obiectivele naționale în ceea ce privește reducerea efectivă a emisiilor de gaze cu efect de seră.</w:t>
      </w:r>
    </w:p>
    <w:p w14:paraId="6FA80A6D" w14:textId="77777777" w:rsidR="0015718E" w:rsidRPr="00D62E02" w:rsidRDefault="007038B5" w:rsidP="0015718E">
      <w:pPr>
        <w:pStyle w:val="PCFHeaderCase"/>
        <w:rPr>
          <w:color w:val="0072BC"/>
          <w:u w:val="single"/>
        </w:rPr>
      </w:pPr>
      <w:hyperlink r:id="rId12" w:history="1">
        <w:r>
          <w:rPr>
            <w:rStyle w:val="Hyperlink"/>
          </w:rPr>
          <w:t>Greenpeace Nordic și alții împotriva Norvegiei (nr. 34068/21)</w:t>
        </w:r>
      </w:hyperlink>
    </w:p>
    <w:p w14:paraId="1CA4D7A9" w14:textId="77777777" w:rsidR="0015718E" w:rsidRPr="0015718E" w:rsidRDefault="007038B5" w:rsidP="0015718E">
      <w:pPr>
        <w:keepNext/>
        <w:spacing w:before="60"/>
        <w:jc w:val="left"/>
        <w:rPr>
          <w:color w:val="808080"/>
          <w:sz w:val="18"/>
        </w:rPr>
      </w:pPr>
      <w:r>
        <w:rPr>
          <w:color w:val="808080"/>
          <w:sz w:val="18"/>
        </w:rPr>
        <w:t xml:space="preserve">Cerere comunicată </w:t>
      </w:r>
      <w:r w:rsidR="005A4031">
        <w:rPr>
          <w:color w:val="808080"/>
          <w:sz w:val="18"/>
        </w:rPr>
        <w:t>g</w:t>
      </w:r>
      <w:r>
        <w:rPr>
          <w:color w:val="808080"/>
          <w:sz w:val="18"/>
        </w:rPr>
        <w:t xml:space="preserve">uvernului </w:t>
      </w:r>
      <w:r w:rsidR="005A4031">
        <w:rPr>
          <w:color w:val="808080"/>
          <w:sz w:val="18"/>
        </w:rPr>
        <w:t>norvegian</w:t>
      </w:r>
      <w:r>
        <w:rPr>
          <w:color w:val="808080"/>
          <w:sz w:val="18"/>
        </w:rPr>
        <w:t xml:space="preserve"> în decembrie 2021</w:t>
      </w:r>
    </w:p>
    <w:p w14:paraId="7AF21CC6" w14:textId="77777777" w:rsidR="0015718E" w:rsidRPr="0015718E" w:rsidRDefault="007038B5" w:rsidP="0015718E">
      <w:pPr>
        <w:pStyle w:val="PCFPara"/>
      </w:pPr>
      <w:r>
        <w:t xml:space="preserve">Cauza a fost inițiată de două organizații neguvernamentale (ONG-uri) și de șase persoane afiliate. Reclamanții se plâng, invocând art. 2 (dreptul la viață), art. 8 (dreptul la respectarea vieții private și de familie), art. 13 (dreptul la un recurs efectiv) și art. 14 (interzicerea discriminării) din Convenție, cu privire la procedurile judiciare de control în care ONG-urile reclamante nu au reușit să obțină o hotărâre care să anuleze o decizie a guvernului norvegian de acordare a unor licențe de explorare petrolieră pentru platoul continental norvegian. </w:t>
      </w:r>
    </w:p>
    <w:p w14:paraId="3546C27B" w14:textId="77777777" w:rsidR="0015718E" w:rsidRPr="0015718E" w:rsidRDefault="007038B5" w:rsidP="00D62E02">
      <w:pPr>
        <w:pStyle w:val="PCFViolation"/>
      </w:pPr>
      <w:r>
        <w:t xml:space="preserve">Prezenta cauză a fost </w:t>
      </w:r>
      <w:hyperlink r:id="rId13" w:history="1">
        <w:r w:rsidRPr="005A4031">
          <w:rPr>
            <w:rStyle w:val="Hyperlink"/>
            <w:u w:val="none"/>
          </w:rPr>
          <w:t>notificată</w:t>
        </w:r>
      </w:hyperlink>
      <w:r>
        <w:t xml:space="preserve"> părților („comunicată”) de Curte la 16 decembrie 2021.</w:t>
      </w:r>
    </w:p>
    <w:p w14:paraId="769FA78C" w14:textId="77777777" w:rsidR="0015718E" w:rsidRPr="002D6B96" w:rsidRDefault="007038B5" w:rsidP="00D43274">
      <w:pPr>
        <w:pStyle w:val="PCFHeaderCase"/>
        <w:jc w:val="both"/>
        <w:rPr>
          <w:color w:val="0072BC"/>
          <w:u w:val="single"/>
        </w:rPr>
      </w:pPr>
      <w:r>
        <w:rPr>
          <w:color w:val="0072BC"/>
          <w:u w:val="single"/>
        </w:rPr>
        <w:t>Campania pentru climat a bunicilor norvegieni și alții împotriva Norvegiei (nr. 19026/21)</w:t>
      </w:r>
    </w:p>
    <w:p w14:paraId="65EB8EE8" w14:textId="77777777" w:rsidR="0015718E" w:rsidRPr="0015718E" w:rsidRDefault="007038B5" w:rsidP="0015718E">
      <w:pPr>
        <w:keepNext/>
        <w:spacing w:before="60"/>
        <w:jc w:val="left"/>
        <w:rPr>
          <w:color w:val="808080"/>
          <w:sz w:val="18"/>
        </w:rPr>
      </w:pPr>
      <w:r>
        <w:rPr>
          <w:color w:val="808080"/>
          <w:sz w:val="18"/>
        </w:rPr>
        <w:t>Cerer</w:t>
      </w:r>
      <w:r w:rsidR="005A4031">
        <w:rPr>
          <w:color w:val="808080"/>
          <w:sz w:val="18"/>
        </w:rPr>
        <w:t>e</w:t>
      </w:r>
      <w:r>
        <w:rPr>
          <w:color w:val="808080"/>
          <w:sz w:val="18"/>
        </w:rPr>
        <w:t xml:space="preserve"> depus</w:t>
      </w:r>
      <w:r w:rsidR="005A4031">
        <w:rPr>
          <w:color w:val="808080"/>
          <w:sz w:val="18"/>
        </w:rPr>
        <w:t>ă</w:t>
      </w:r>
      <w:r>
        <w:rPr>
          <w:color w:val="808080"/>
          <w:sz w:val="18"/>
        </w:rPr>
        <w:t xml:space="preserve"> la Curte în martie 2021 </w:t>
      </w:r>
    </w:p>
    <w:p w14:paraId="18D64D99" w14:textId="77777777" w:rsidR="0015718E" w:rsidRPr="002D6B96" w:rsidRDefault="007038B5" w:rsidP="0015718E">
      <w:pPr>
        <w:pStyle w:val="PCFPara"/>
      </w:pPr>
      <w:r>
        <w:t xml:space="preserve">Prezenta cauză se referă la aceeași procedură internă ca și cauza </w:t>
      </w:r>
      <w:r>
        <w:rPr>
          <w:i/>
        </w:rPr>
        <w:t>Greenpeace Nordic și alții</w:t>
      </w:r>
      <w:r>
        <w:t xml:space="preserve"> (a se vedea supra). Reclamantele sunt organizații neguvernamentale.</w:t>
      </w:r>
    </w:p>
    <w:p w14:paraId="706BAEF6" w14:textId="77777777" w:rsidR="0015718E" w:rsidRPr="004B738B" w:rsidRDefault="007038B5" w:rsidP="00D43274">
      <w:pPr>
        <w:pStyle w:val="PCFHeaderCase"/>
        <w:jc w:val="both"/>
        <w:rPr>
          <w:color w:val="0072BC"/>
          <w:u w:val="single"/>
        </w:rPr>
      </w:pPr>
      <w:r>
        <w:rPr>
          <w:color w:val="0072BC"/>
          <w:u w:val="single"/>
        </w:rPr>
        <w:t>Soubeste și alte patru cereri împotriva Austriei și a altor 11 state</w:t>
      </w:r>
      <w:r>
        <w:rPr>
          <w:rStyle w:val="FootnoteReference"/>
          <w:bCs/>
          <w:color w:val="0072BC"/>
          <w:u w:val="single"/>
        </w:rPr>
        <w:footnoteReference w:id="4"/>
      </w:r>
      <w:r>
        <w:rPr>
          <w:color w:val="0072BC"/>
          <w:u w:val="single"/>
        </w:rPr>
        <w:t xml:space="preserve"> (nr. 31925/22, 31932/22, 31938/22, 31943/22 și 31947/22)</w:t>
      </w:r>
    </w:p>
    <w:p w14:paraId="6E23FF09" w14:textId="77777777" w:rsidR="0015718E" w:rsidRPr="0015718E" w:rsidRDefault="007038B5" w:rsidP="0015718E">
      <w:pPr>
        <w:keepNext/>
        <w:spacing w:before="60"/>
        <w:jc w:val="left"/>
        <w:rPr>
          <w:color w:val="808080"/>
          <w:sz w:val="18"/>
        </w:rPr>
      </w:pPr>
      <w:r>
        <w:rPr>
          <w:color w:val="808080"/>
          <w:sz w:val="18"/>
        </w:rPr>
        <w:t>Cereri depuse la Curte în iunie 2022</w:t>
      </w:r>
    </w:p>
    <w:p w14:paraId="75FBFD38" w14:textId="77777777" w:rsidR="0015718E" w:rsidRPr="0015718E" w:rsidRDefault="007038B5" w:rsidP="0015718E">
      <w:pPr>
        <w:pStyle w:val="PCFPara"/>
      </w:pPr>
      <w:r>
        <w:t xml:space="preserve">Aceste cauze au fost formulate de cinci persoane fizice din Franța, Cipru, Belgia, Germania și Elveția. Reclamantele se plâng, invocând art. 2 (dreptul la viață), art. 3 (interzicerea tratamentelor inumane ori degradante), art. 8 (dreptul la respectarea vieții private și de familie) și art. 14 (interzicerea discriminării) din Convenție, de faptul că </w:t>
      </w:r>
      <w:hyperlink r:id="rId14" w:history="1">
        <w:r>
          <w:rPr>
            <w:rStyle w:val="Hyperlink"/>
          </w:rPr>
          <w:t>Tratatul privind Carta Energiei</w:t>
        </w:r>
      </w:hyperlink>
      <w:r>
        <w:t xml:space="preserve"> împiedică statele pârâte să ia măsuri imediate împotriva schimbărilor climatice, ceea ce face imposibil ca acestea să atingă obiectivele de temperatură ale </w:t>
      </w:r>
      <w:hyperlink r:id="rId15" w:history="1">
        <w:r>
          <w:rPr>
            <w:rStyle w:val="Hyperlink"/>
          </w:rPr>
          <w:t>Acordului de la Paris</w:t>
        </w:r>
      </w:hyperlink>
      <w:r>
        <w:t>.</w:t>
      </w:r>
    </w:p>
    <w:p w14:paraId="5F2E3E69" w14:textId="77777777" w:rsidR="0015718E" w:rsidRPr="002D6B96" w:rsidRDefault="007038B5" w:rsidP="0015718E">
      <w:pPr>
        <w:pStyle w:val="PCFHeaderCase"/>
        <w:rPr>
          <w:color w:val="0072BC"/>
          <w:u w:val="single"/>
        </w:rPr>
      </w:pPr>
      <w:r>
        <w:rPr>
          <w:color w:val="0072BC"/>
          <w:u w:val="single"/>
        </w:rPr>
        <w:t>Engels împotriva Germaniei (nr. 46906/22)</w:t>
      </w:r>
    </w:p>
    <w:p w14:paraId="0C1D1FBC" w14:textId="77777777" w:rsidR="0015718E" w:rsidRPr="0015718E" w:rsidRDefault="007038B5" w:rsidP="0015718E">
      <w:pPr>
        <w:keepNext/>
        <w:spacing w:before="60"/>
        <w:jc w:val="left"/>
        <w:rPr>
          <w:color w:val="808080"/>
          <w:sz w:val="18"/>
        </w:rPr>
      </w:pPr>
      <w:r>
        <w:rPr>
          <w:color w:val="808080"/>
          <w:sz w:val="18"/>
        </w:rPr>
        <w:t>Cerere depusă la Curte în septembrie 2022</w:t>
      </w:r>
    </w:p>
    <w:p w14:paraId="54571DC0" w14:textId="77777777" w:rsidR="0015718E" w:rsidRPr="0015718E" w:rsidRDefault="007038B5" w:rsidP="0015718E">
      <w:pPr>
        <w:pStyle w:val="PCFPara"/>
      </w:pPr>
      <w:r>
        <w:t xml:space="preserve">Cererea a fost introdusă de nouă adolescenți și tineri adulți. Reclamanții se plâng, invocând art. 2 (dreptul la viață) și art. 8 (dreptul la respectarea vieții private și de familie) din Convenție, de faptul că noile obiective ale </w:t>
      </w:r>
      <w:hyperlink r:id="rId16" w:history="1">
        <w:r>
          <w:rPr>
            <w:rStyle w:val="Hyperlink"/>
          </w:rPr>
          <w:t xml:space="preserve">Legii federale privind protecția </w:t>
        </w:r>
        <w:r>
          <w:rPr>
            <w:rStyle w:val="Hyperlink"/>
          </w:rPr>
          <w:lastRenderedPageBreak/>
          <w:t>climei</w:t>
        </w:r>
      </w:hyperlink>
      <w:r>
        <w:t xml:space="preserve">, în versiunea sa modificată care a intrat în vigoare la 31 august 2021, sunt insuficiente pentru a reduce emisiile de gaze cu efect de seră la nivelul necesar pentru atingerea obiectivelor de temperatură ale </w:t>
      </w:r>
      <w:hyperlink r:id="rId17" w:history="1">
        <w:r>
          <w:rPr>
            <w:rStyle w:val="Hyperlink"/>
          </w:rPr>
          <w:t>Acordului de la Paris</w:t>
        </w:r>
      </w:hyperlink>
      <w:r>
        <w:t>.</w:t>
      </w:r>
    </w:p>
    <w:p w14:paraId="2D1D4045" w14:textId="77777777" w:rsidR="0015718E" w:rsidRPr="0015718E" w:rsidRDefault="007038B5" w:rsidP="004D0ED6">
      <w:pPr>
        <w:keepNext/>
        <w:spacing w:before="180" w:after="120"/>
        <w:rPr>
          <w:i/>
          <w:iCs/>
          <w:noProof/>
          <w:color w:val="595959"/>
          <w:sz w:val="28"/>
          <w:szCs w:val="28"/>
        </w:rPr>
      </w:pPr>
      <w:r>
        <w:rPr>
          <w:i/>
          <w:color w:val="595959"/>
          <w:sz w:val="28"/>
        </w:rPr>
        <w:t>Cauze declarate inadmisibile</w:t>
      </w:r>
    </w:p>
    <w:p w14:paraId="563751A9" w14:textId="77777777" w:rsidR="0015718E" w:rsidRPr="0015718E" w:rsidRDefault="007038B5" w:rsidP="004D0ED6">
      <w:pPr>
        <w:keepNext/>
        <w:pBdr>
          <w:top w:val="dotted" w:sz="2" w:space="1" w:color="auto"/>
          <w:left w:val="dotted" w:sz="2" w:space="4" w:color="auto"/>
          <w:bottom w:val="dotted" w:sz="2" w:space="1" w:color="auto"/>
          <w:right w:val="dotted" w:sz="2" w:space="4" w:color="auto"/>
        </w:pBdr>
        <w:spacing w:before="60"/>
        <w:rPr>
          <w:color w:val="EC7F12"/>
        </w:rPr>
      </w:pPr>
      <w:r>
        <w:rPr>
          <w:color w:val="EC7F12"/>
        </w:rPr>
        <w:t>Curtea a declarat inadmisibile cele două cereri de mai jos pe motiv că reclamanții nu au fost suficient de afectați de pretinsa încălcare a Convenției sau a Protocoalelor acesteia pentru a pretinde că sunt victime ale unei încălcări în sensul art. 34 (dreptul la o cerere individuală) din Convenție. Aceste decizii au fost luate în cadrul unor complete formate din judecător unic și, respectiv, dintr-un comitet, în cadrul unei proceduri scrise nepublice.</w:t>
      </w:r>
    </w:p>
    <w:p w14:paraId="23449BE2" w14:textId="77777777" w:rsidR="0015718E" w:rsidRPr="00D43274" w:rsidRDefault="007038B5" w:rsidP="0015718E">
      <w:pPr>
        <w:pStyle w:val="PCFHeaderCase"/>
        <w:rPr>
          <w:color w:val="0072BC"/>
          <w:u w:val="single"/>
        </w:rPr>
      </w:pPr>
      <w:bookmarkStart w:id="13" w:name="_Hlk127280815"/>
      <w:r>
        <w:rPr>
          <w:color w:val="0072BC"/>
          <w:u w:val="single"/>
        </w:rPr>
        <w:t>Humane Being și alții împotriva Regatului Unit (nr. 36959/22)</w:t>
      </w:r>
    </w:p>
    <w:p w14:paraId="1A1CFEA0" w14:textId="77777777" w:rsidR="0015718E" w:rsidRPr="0015718E" w:rsidRDefault="007038B5" w:rsidP="0015718E">
      <w:pPr>
        <w:pStyle w:val="PCFHeaderDate"/>
      </w:pPr>
      <w:r>
        <w:t>1 decembrie 2022 (decizie privind inadmisibilitatea)</w:t>
      </w:r>
    </w:p>
    <w:p w14:paraId="65610B93" w14:textId="77777777" w:rsidR="0015718E" w:rsidRPr="0015718E" w:rsidRDefault="007038B5" w:rsidP="0015718E">
      <w:pPr>
        <w:pStyle w:val="PCFPara"/>
      </w:pPr>
      <w:r>
        <w:t>Cauza a fost introdusă de o organizație non-profit care conduce campania „Scrap Factory Farming”. Reclamanții s-au plâns, invocând art. 2 (dreptul la viață), art. 3 (interzicerea tratamentelor inumane sau degradante) și art. 8 (dreptul la respectarea vieții private și de familie) din Convenție, că Regatul Unit nu a reglementat și nu a luat toate măsurile necesare pentru a proteja împotriva riscurilor legate de agricultura industrială.</w:t>
      </w:r>
    </w:p>
    <w:p w14:paraId="5706033B" w14:textId="77777777" w:rsidR="0015718E" w:rsidRPr="00D43274" w:rsidRDefault="007038B5" w:rsidP="0015718E">
      <w:pPr>
        <w:pStyle w:val="PCFHeaderCase"/>
        <w:rPr>
          <w:color w:val="0072BC"/>
          <w:u w:val="single"/>
        </w:rPr>
      </w:pPr>
      <w:r>
        <w:rPr>
          <w:color w:val="0072BC"/>
          <w:u w:val="single"/>
        </w:rPr>
        <w:t xml:space="preserve">Plan B. Earth și alții împotriva Regatului Unit (nr. 35057/22) </w:t>
      </w:r>
    </w:p>
    <w:p w14:paraId="1CB6DFCD" w14:textId="77777777" w:rsidR="0015718E" w:rsidRPr="0015718E" w:rsidRDefault="007038B5" w:rsidP="0015718E">
      <w:pPr>
        <w:pStyle w:val="PCFHeaderDate"/>
      </w:pPr>
      <w:r>
        <w:t>1</w:t>
      </w:r>
      <w:r w:rsidR="005A4031">
        <w:t>3</w:t>
      </w:r>
      <w:r>
        <w:t xml:space="preserve"> decembrie 2022 (decizie privind inadmisibilitatea)</w:t>
      </w:r>
    </w:p>
    <w:p w14:paraId="2EB48E7F" w14:textId="77777777" w:rsidR="0015718E" w:rsidRPr="0015718E" w:rsidRDefault="007038B5" w:rsidP="0015718E">
      <w:pPr>
        <w:pStyle w:val="PCFPara"/>
      </w:pPr>
      <w:r>
        <w:t>Reclamanții sunt o organizație neguvernamentală și patru persoane fizice. Aceștia s-au plâns, invocând art. 2 (dreptul la viață), art. 3 (interzicerea tratamentelor inumane ori degradante), art. 8 (dreptul la respectarea vieții private și de familie) și art. 14 (interzicerea discriminării) din Convenție, că Regatul Unit nu a luat măsuri practice și eficiente pentru a combate amenințarea extremă a schimbărilor climatice provocate de om. De asemenea, s-au plâns, invocând art. 6 (dreptul la un proces echitabil) și art. 13 (dreptul la un recurs efectiv) din Convenție, că li s-a refuzat o audiere completă a cauzei lor în fața instanțelor interne.</w:t>
      </w:r>
    </w:p>
    <w:bookmarkEnd w:id="13"/>
    <w:p w14:paraId="5FCB5B80" w14:textId="77777777" w:rsidR="00CF7A6B" w:rsidRPr="001247EB" w:rsidRDefault="005A4031" w:rsidP="00CF7A6B">
      <w:pPr>
        <w:pStyle w:val="PCFHeader1"/>
      </w:pPr>
      <w:r>
        <w:t>Texte și documente</w:t>
      </w:r>
    </w:p>
    <w:p w14:paraId="178234A4" w14:textId="77777777" w:rsidR="00CF7A6B" w:rsidRPr="001247EB" w:rsidRDefault="007038B5" w:rsidP="00CF7A6B">
      <w:pPr>
        <w:keepNext/>
        <w:autoSpaceDE w:val="0"/>
        <w:autoSpaceDN w:val="0"/>
        <w:adjustRightInd w:val="0"/>
        <w:spacing w:before="120"/>
        <w:rPr>
          <w:rFonts w:cs="Arial"/>
          <w:szCs w:val="20"/>
        </w:rPr>
      </w:pPr>
      <w:r>
        <w:t>A se vedea, în special:</w:t>
      </w:r>
    </w:p>
    <w:p w14:paraId="792A23B5" w14:textId="77777777" w:rsidR="0029159E" w:rsidRPr="00E96709" w:rsidRDefault="0029159E" w:rsidP="00CF7A6B">
      <w:pPr>
        <w:autoSpaceDE w:val="0"/>
        <w:autoSpaceDN w:val="0"/>
        <w:adjustRightInd w:val="0"/>
        <w:rPr>
          <w:rFonts w:cs="Arial"/>
          <w:sz w:val="6"/>
          <w:szCs w:val="6"/>
        </w:rPr>
      </w:pPr>
    </w:p>
    <w:p w14:paraId="60A8D66E" w14:textId="77777777" w:rsidR="0029159E" w:rsidRPr="0063738B" w:rsidRDefault="005A4031" w:rsidP="0029159E">
      <w:pPr>
        <w:widowControl w:val="0"/>
        <w:numPr>
          <w:ilvl w:val="0"/>
          <w:numId w:val="25"/>
        </w:numPr>
        <w:tabs>
          <w:tab w:val="clear" w:pos="720"/>
          <w:tab w:val="num" w:pos="567"/>
        </w:tabs>
        <w:autoSpaceDE w:val="0"/>
        <w:autoSpaceDN w:val="0"/>
        <w:adjustRightInd w:val="0"/>
        <w:ind w:left="567" w:hanging="425"/>
        <w:rPr>
          <w:bCs/>
        </w:rPr>
      </w:pPr>
      <w:r>
        <w:t xml:space="preserve">Fișa tematică </w:t>
      </w:r>
      <w:hyperlink r:id="rId18" w:history="1">
        <w:r w:rsidR="007038B5">
          <w:rPr>
            <w:rStyle w:val="Hyperlink"/>
            <w:b/>
          </w:rPr>
          <w:t>„Mediu”</w:t>
        </w:r>
      </w:hyperlink>
      <w:r w:rsidR="007038B5">
        <w:t xml:space="preserve"> </w:t>
      </w:r>
    </w:p>
    <w:p w14:paraId="48372795" w14:textId="77777777" w:rsidR="00075F89" w:rsidRDefault="007038B5" w:rsidP="0029159E">
      <w:pPr>
        <w:numPr>
          <w:ilvl w:val="0"/>
          <w:numId w:val="25"/>
        </w:numPr>
        <w:tabs>
          <w:tab w:val="clear" w:pos="720"/>
          <w:tab w:val="num" w:pos="567"/>
        </w:tabs>
        <w:autoSpaceDE w:val="0"/>
        <w:autoSpaceDN w:val="0"/>
        <w:adjustRightInd w:val="0"/>
        <w:spacing w:before="60"/>
        <w:ind w:left="567" w:hanging="425"/>
        <w:rPr>
          <w:rFonts w:cs="Arial"/>
          <w:szCs w:val="20"/>
        </w:rPr>
      </w:pPr>
      <w:hyperlink r:id="rId19" w:history="1">
        <w:r>
          <w:rPr>
            <w:rStyle w:val="Hyperlink"/>
            <w:b/>
          </w:rPr>
          <w:t>Ghid privi</w:t>
        </w:r>
        <w:r>
          <w:rPr>
            <w:rStyle w:val="Hyperlink"/>
            <w:b/>
          </w:rPr>
          <w:t>n</w:t>
        </w:r>
        <w:r>
          <w:rPr>
            <w:rStyle w:val="Hyperlink"/>
            <w:b/>
          </w:rPr>
          <w:t>d jurisprudența referitoare la dispozițiile Convenției europene a drepturilor omului – Mediu</w:t>
        </w:r>
      </w:hyperlink>
      <w:r>
        <w:t xml:space="preserve"> (</w:t>
      </w:r>
      <w:r>
        <w:rPr>
          <w:i/>
        </w:rPr>
        <w:t>în franceză</w:t>
      </w:r>
      <w:r>
        <w:t xml:space="preserve">), Curtea Europeană a Drepturilor Omului, 2021. </w:t>
      </w:r>
    </w:p>
    <w:p w14:paraId="06F64F02" w14:textId="77777777" w:rsidR="003543B5" w:rsidRPr="001247EB" w:rsidRDefault="007038B5" w:rsidP="0029159E">
      <w:pPr>
        <w:numPr>
          <w:ilvl w:val="0"/>
          <w:numId w:val="25"/>
        </w:numPr>
        <w:tabs>
          <w:tab w:val="clear" w:pos="720"/>
          <w:tab w:val="num" w:pos="567"/>
        </w:tabs>
        <w:autoSpaceDE w:val="0"/>
        <w:autoSpaceDN w:val="0"/>
        <w:adjustRightInd w:val="0"/>
        <w:spacing w:before="60"/>
        <w:ind w:left="567" w:hanging="425"/>
        <w:rPr>
          <w:rFonts w:cs="Arial"/>
          <w:szCs w:val="20"/>
        </w:rPr>
      </w:pPr>
      <w:hyperlink r:id="rId20" w:history="1">
        <w:r>
          <w:rPr>
            <w:rStyle w:val="Hyperlink"/>
            <w:b/>
          </w:rPr>
          <w:t>Pagina de internet</w:t>
        </w:r>
      </w:hyperlink>
      <w:r>
        <w:t xml:space="preserve"> a Consiliului Europei „Protecting the environment using human rights law”.</w:t>
      </w:r>
    </w:p>
    <w:p w14:paraId="3241A4F8" w14:textId="77777777" w:rsidR="00751477" w:rsidRPr="009F4EAD" w:rsidRDefault="00751477" w:rsidP="00751477">
      <w:pPr>
        <w:pStyle w:val="PCFHorizontalLine"/>
        <w:spacing w:before="0"/>
        <w:rPr>
          <w:szCs w:val="20"/>
          <w:lang w:eastAsia="fr-FR"/>
        </w:rPr>
      </w:pPr>
    </w:p>
    <w:p w14:paraId="1B627C23" w14:textId="77777777" w:rsidR="00751477" w:rsidRPr="009F4EAD" w:rsidRDefault="007038B5" w:rsidP="00751477">
      <w:pPr>
        <w:pStyle w:val="PCFContact"/>
      </w:pPr>
      <w:r>
        <w:t xml:space="preserve">Contact </w:t>
      </w:r>
      <w:r w:rsidR="003B4FD0">
        <w:t>presă</w:t>
      </w:r>
      <w:r>
        <w:t xml:space="preserve">: </w:t>
      </w:r>
    </w:p>
    <w:p w14:paraId="2C410D7A" w14:textId="77777777" w:rsidR="0029159E" w:rsidRDefault="007038B5" w:rsidP="0029159E">
      <w:pPr>
        <w:pStyle w:val="PCFContact"/>
        <w:rPr>
          <w:b w:val="0"/>
        </w:rPr>
      </w:pPr>
      <w:r>
        <w:rPr>
          <w:b w:val="0"/>
        </w:rPr>
        <w:t xml:space="preserve">Tel.: +33 (0)3 90 21 42 08 </w:t>
      </w:r>
    </w:p>
    <w:sectPr w:rsidR="0029159E" w:rsidSect="00845615">
      <w:headerReference w:type="default" r:id="rId21"/>
      <w:footerReference w:type="default" r:id="rId22"/>
      <w:headerReference w:type="first" r:id="rId23"/>
      <w:footerReference w:type="first" r:id="rId24"/>
      <w:pgSz w:w="11906" w:h="16838" w:code="9"/>
      <w:pgMar w:top="1440" w:right="1440" w:bottom="1440" w:left="1440" w:header="720" w:footer="454" w:gutter="0"/>
      <w:cols w:space="567"/>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FE9547" w14:textId="77777777" w:rsidR="000F001B" w:rsidRDefault="000F001B">
      <w:r>
        <w:separator/>
      </w:r>
    </w:p>
  </w:endnote>
  <w:endnote w:type="continuationSeparator" w:id="0">
    <w:p w14:paraId="4BB3F2D0" w14:textId="77777777" w:rsidR="000F001B" w:rsidRDefault="000F0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854789" w14:textId="77777777" w:rsidR="00792B16" w:rsidRDefault="007038B5" w:rsidP="00B92054">
    <w:pPr>
      <w:pStyle w:val="Footer"/>
      <w:jc w:val="center"/>
    </w:pPr>
    <w:r>
      <w:fldChar w:fldCharType="begin"/>
    </w:r>
    <w:r>
      <w:instrText xml:space="preserve"> PAGE </w:instrText>
    </w:r>
    <w:r>
      <w:fldChar w:fldCharType="separate"/>
    </w:r>
    <w:r w:rsidR="000656F8">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F32375" w14:textId="4AC89527" w:rsidR="00792B16" w:rsidRPr="007F0B94" w:rsidRDefault="00E6182D" w:rsidP="007F0B94">
    <w:pPr>
      <w:pStyle w:val="Footer"/>
      <w:jc w:val="center"/>
      <w:rPr>
        <w:szCs w:val="4"/>
      </w:rPr>
    </w:pPr>
    <w:r>
      <w:rPr>
        <w:noProof/>
      </w:rPr>
      <w:drawing>
        <wp:inline distT="0" distB="0" distL="0" distR="0" wp14:anchorId="2F3D038A" wp14:editId="58D05137">
          <wp:extent cx="765810" cy="609600"/>
          <wp:effectExtent l="0" t="0" r="0" b="0"/>
          <wp:docPr id="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5810" cy="6096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AED517" w14:textId="77777777" w:rsidR="000F001B" w:rsidRDefault="000F001B">
      <w:r>
        <w:separator/>
      </w:r>
    </w:p>
  </w:footnote>
  <w:footnote w:type="continuationSeparator" w:id="0">
    <w:p w14:paraId="693B63EB" w14:textId="77777777" w:rsidR="000F001B" w:rsidRDefault="000F001B">
      <w:r>
        <w:continuationSeparator/>
      </w:r>
    </w:p>
  </w:footnote>
  <w:footnote w:id="1">
    <w:p w14:paraId="52BD8F50" w14:textId="77777777" w:rsidR="00A15784" w:rsidRPr="00BD6A65" w:rsidRDefault="007038B5" w:rsidP="00A15784">
      <w:pPr>
        <w:pStyle w:val="FootnoteText"/>
        <w:rPr>
          <w:sz w:val="16"/>
          <w:szCs w:val="16"/>
        </w:rPr>
      </w:pPr>
      <w:r w:rsidRPr="00BD6A65">
        <w:rPr>
          <w:rStyle w:val="FootnoteReference"/>
          <w:sz w:val="16"/>
          <w:szCs w:val="16"/>
        </w:rPr>
        <w:footnoteRef/>
      </w:r>
      <w:r w:rsidRPr="00BD6A65">
        <w:rPr>
          <w:sz w:val="16"/>
          <w:szCs w:val="16"/>
        </w:rPr>
        <w:t xml:space="preserve">. </w:t>
      </w:r>
      <w:bookmarkStart w:id="6" w:name="_Hlk120712109"/>
      <w:r w:rsidRPr="00BD6A65">
        <w:rPr>
          <w:sz w:val="16"/>
          <w:szCs w:val="16"/>
        </w:rPr>
        <w:t xml:space="preserve">Austria, Belgia, Bulgaria, Elveția, Cipru, Croația, Danemarca, Estonia, Federația Rusă (N.B.: la 16 septembrie 2022, Federația Rusă a încetat să mai fie parte la Convenția Europeană a Drepturilor Omului), Finlanda, Franța, Germania, Grecia, Irlanda, Italia, Lituania, Luxemburg, Letonia, Malta, Marea Britanie, Norvegia, Polonia, Republica Cehă, România, Slovacia, Slovenia, Spania, Suedia, Turcia, Țările de Jos, Ucraina, Ungaria. </w:t>
      </w:r>
      <w:bookmarkEnd w:id="6"/>
    </w:p>
  </w:footnote>
  <w:footnote w:id="2">
    <w:p w14:paraId="4D2FC328" w14:textId="77777777" w:rsidR="00B26CA9" w:rsidRPr="00BD6A65" w:rsidRDefault="007038B5" w:rsidP="00B26CA9">
      <w:pPr>
        <w:pStyle w:val="FootnoteText"/>
        <w:rPr>
          <w:sz w:val="16"/>
          <w:szCs w:val="16"/>
        </w:rPr>
      </w:pPr>
      <w:r w:rsidRPr="00BD6A65">
        <w:rPr>
          <w:rStyle w:val="FootnoteReference"/>
          <w:sz w:val="16"/>
          <w:szCs w:val="16"/>
        </w:rPr>
        <w:footnoteRef/>
      </w:r>
      <w:r w:rsidRPr="00BD6A65">
        <w:rPr>
          <w:sz w:val="16"/>
          <w:szCs w:val="16"/>
        </w:rPr>
        <w:t>. Austria, Belgia, Bulgaria, Elveția, Cipru, Croația, Danemarca, Estonia, Federația Rusă (N.B.: la 16 septembrie 2022, Federația Rusă a încetat să mai fie parte la Convenția Europeană a Drepturilor Omului), Finlanda, Franța, Germania, Grecia, Lituania, Luxemburg, Letonia, Malta, Marea Britanie, Norvegia, Polonia, Regatul Unit, Republica Cehă, România, Spania, Țările de Jos, Slovacia, Slovenia, Suedia, Turcia, Ucraina, Ungaria.</w:t>
      </w:r>
    </w:p>
  </w:footnote>
  <w:footnote w:id="3">
    <w:p w14:paraId="3C5EC03B" w14:textId="77777777" w:rsidR="00B26CA9" w:rsidRPr="00BD6A65" w:rsidRDefault="007038B5" w:rsidP="00B26CA9">
      <w:pPr>
        <w:pStyle w:val="FootnoteText"/>
        <w:rPr>
          <w:sz w:val="16"/>
          <w:szCs w:val="16"/>
        </w:rPr>
      </w:pPr>
      <w:r w:rsidRPr="00BD6A65">
        <w:rPr>
          <w:rStyle w:val="FootnoteReference"/>
          <w:sz w:val="16"/>
          <w:szCs w:val="16"/>
        </w:rPr>
        <w:footnoteRef/>
      </w:r>
      <w:r w:rsidRPr="00BD6A65">
        <w:rPr>
          <w:sz w:val="16"/>
          <w:szCs w:val="16"/>
        </w:rPr>
        <w:t>. Austria, Belgia, Bulgaria, Cipru, Croația, Danemarca, Estonia, Finlanda, Franța, Germania, Grecia, Letonia, Lituania, Luxemburg, Malta, Norvegia, Polonia, Portugalia, Regatul Unit, Republica Cehă, România, Rusia (</w:t>
      </w:r>
      <w:r w:rsidRPr="00BD6A65">
        <w:rPr>
          <w:i/>
          <w:sz w:val="16"/>
          <w:szCs w:val="16"/>
        </w:rPr>
        <w:t>N.B.</w:t>
      </w:r>
      <w:r w:rsidRPr="00BD6A65">
        <w:rPr>
          <w:sz w:val="16"/>
          <w:szCs w:val="16"/>
        </w:rPr>
        <w:t>: la 16 septembrie 2022, Federația Rusă a încetat să mai fie parte la Convenția europeană a drepturilor omului), Slovacia, Slovenia, Spania, Suedia, Elveția, Turcia, Țările de Jos, Ucraina și Ungaria.</w:t>
      </w:r>
    </w:p>
  </w:footnote>
  <w:footnote w:id="4">
    <w:p w14:paraId="1A016416" w14:textId="77777777" w:rsidR="004B738B" w:rsidRPr="00BD6A65" w:rsidRDefault="007038B5" w:rsidP="004B738B">
      <w:pPr>
        <w:rPr>
          <w:sz w:val="16"/>
          <w:szCs w:val="16"/>
        </w:rPr>
      </w:pPr>
      <w:r w:rsidRPr="00BD6A65">
        <w:rPr>
          <w:rStyle w:val="FootnoteReference"/>
          <w:sz w:val="16"/>
          <w:szCs w:val="16"/>
        </w:rPr>
        <w:footnoteRef/>
      </w:r>
      <w:r w:rsidRPr="00BD6A65">
        <w:rPr>
          <w:sz w:val="16"/>
          <w:szCs w:val="16"/>
        </w:rPr>
        <w:t>. Belgia, Cipru, Danemarca, Elveția, Franța, German</w:t>
      </w:r>
      <w:r w:rsidR="005A4031">
        <w:rPr>
          <w:sz w:val="16"/>
          <w:szCs w:val="16"/>
        </w:rPr>
        <w:t>ia, Grecia, Luxemburg, Suedia,</w:t>
      </w:r>
      <w:r w:rsidRPr="00BD6A65">
        <w:rPr>
          <w:sz w:val="16"/>
          <w:szCs w:val="16"/>
        </w:rPr>
        <w:t xml:space="preserve"> Regatul Unit și Țările de Jos.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80" w:type="dxa"/>
      <w:tblInd w:w="-732" w:type="dxa"/>
      <w:tblBorders>
        <w:top w:val="single" w:sz="4" w:space="0" w:color="FFFFFF"/>
        <w:left w:val="single" w:sz="4" w:space="0" w:color="FFFFFF"/>
        <w:bottom w:val="single" w:sz="4" w:space="0" w:color="FFFFFF"/>
        <w:right w:val="single" w:sz="4" w:space="0" w:color="FFFFFF"/>
        <w:insideV w:val="single" w:sz="4" w:space="0" w:color="FFFFFF"/>
      </w:tblBorders>
      <w:tblLook w:val="01E0" w:firstRow="1" w:lastRow="1" w:firstColumn="1" w:lastColumn="1" w:noHBand="0" w:noVBand="0"/>
    </w:tblPr>
    <w:tblGrid>
      <w:gridCol w:w="6060"/>
      <w:gridCol w:w="4620"/>
    </w:tblGrid>
    <w:tr w:rsidR="007038B5" w14:paraId="3CD306C5" w14:textId="77777777" w:rsidTr="00CA15BD">
      <w:tc>
        <w:tcPr>
          <w:tcW w:w="6061" w:type="dxa"/>
          <w:shd w:val="clear" w:color="auto" w:fill="auto"/>
          <w:vAlign w:val="bottom"/>
        </w:tcPr>
        <w:p w14:paraId="5C12C558" w14:textId="77777777" w:rsidR="00792B16" w:rsidRPr="00845615" w:rsidRDefault="007038B5" w:rsidP="00352397">
          <w:r>
            <w:t>Fișă tematică – Schimbări climatice</w:t>
          </w:r>
        </w:p>
      </w:tc>
      <w:tc>
        <w:tcPr>
          <w:tcW w:w="4621" w:type="dxa"/>
          <w:shd w:val="clear" w:color="auto" w:fill="auto"/>
          <w:vAlign w:val="bottom"/>
        </w:tcPr>
        <w:p w14:paraId="5729B748" w14:textId="245F3121" w:rsidR="00792B16" w:rsidRPr="00CA15BD" w:rsidRDefault="00E6182D" w:rsidP="00CA15BD">
          <w:pPr>
            <w:jc w:val="right"/>
            <w:rPr>
              <w:sz w:val="4"/>
              <w:szCs w:val="4"/>
            </w:rPr>
          </w:pPr>
          <w:r>
            <w:rPr>
              <w:noProof/>
              <w:sz w:val="4"/>
            </w:rPr>
            <w:drawing>
              <wp:inline distT="0" distB="0" distL="0" distR="0" wp14:anchorId="4DC630DD" wp14:editId="5FF7114A">
                <wp:extent cx="1408430" cy="3708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08430" cy="370840"/>
                        </a:xfrm>
                        <a:prstGeom prst="rect">
                          <a:avLst/>
                        </a:prstGeom>
                        <a:noFill/>
                        <a:ln>
                          <a:noFill/>
                        </a:ln>
                      </pic:spPr>
                    </pic:pic>
                  </a:graphicData>
                </a:graphic>
              </wp:inline>
            </w:drawing>
          </w:r>
        </w:p>
        <w:p w14:paraId="766917B9" w14:textId="77777777" w:rsidR="00792B16" w:rsidRPr="00CA15BD" w:rsidRDefault="00792B16" w:rsidP="00CA15BD">
          <w:pPr>
            <w:pStyle w:val="Header"/>
            <w:jc w:val="right"/>
            <w:rPr>
              <w:sz w:val="4"/>
              <w:szCs w:val="4"/>
            </w:rPr>
          </w:pPr>
        </w:p>
        <w:p w14:paraId="38C01ADB" w14:textId="77777777" w:rsidR="00792B16" w:rsidRPr="00CA15BD" w:rsidRDefault="00792B16" w:rsidP="00CA15BD">
          <w:pPr>
            <w:pStyle w:val="Header"/>
            <w:jc w:val="right"/>
            <w:rPr>
              <w:sz w:val="4"/>
              <w:szCs w:val="4"/>
            </w:rPr>
          </w:pPr>
        </w:p>
      </w:tc>
    </w:tr>
  </w:tbl>
  <w:p w14:paraId="06B78AC9" w14:textId="19BCE39D" w:rsidR="00792B16" w:rsidRPr="00A1295B" w:rsidRDefault="00E6182D" w:rsidP="00845615">
    <w:pPr>
      <w:rPr>
        <w:sz w:val="4"/>
        <w:szCs w:val="4"/>
      </w:rPr>
    </w:pPr>
    <w:r>
      <w:rPr>
        <w:noProof/>
        <w:sz w:val="4"/>
      </w:rPr>
      <mc:AlternateContent>
        <mc:Choice Requires="wps">
          <w:drawing>
            <wp:anchor distT="0" distB="0" distL="114300" distR="114300" simplePos="0" relativeHeight="251657216" behindDoc="0" locked="0" layoutInCell="1" allowOverlap="1" wp14:anchorId="474D5B76" wp14:editId="3CAED20C">
              <wp:simplePos x="0" y="0"/>
              <wp:positionH relativeFrom="column">
                <wp:posOffset>-448945</wp:posOffset>
              </wp:positionH>
              <wp:positionV relativeFrom="paragraph">
                <wp:posOffset>34290</wp:posOffset>
              </wp:positionV>
              <wp:extent cx="6629400" cy="0"/>
              <wp:effectExtent l="8255" t="5715" r="10795" b="13335"/>
              <wp:wrapNone/>
              <wp:docPr id="6"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29400"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15B030" id="Line 2"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35pt,2.7pt" to="486.65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" strokecolor="gray"/>
          </w:pict>
        </mc:Fallback>
      </mc:AlternateContent>
    </w:r>
  </w:p>
  <w:p w14:paraId="4A5404FB" w14:textId="77777777" w:rsidR="00792B16" w:rsidRPr="00BD5A66" w:rsidRDefault="00792B16" w:rsidP="00845615">
    <w:pPr>
      <w:pStyle w:val="Header"/>
      <w:rPr>
        <w:szCs w:val="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49" w:type="dxa"/>
      <w:tblInd w:w="-743"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7372"/>
      <w:gridCol w:w="2977"/>
    </w:tblGrid>
    <w:tr w:rsidR="007038B5" w14:paraId="60E5D929" w14:textId="77777777" w:rsidTr="003B4FD0">
      <w:tc>
        <w:tcPr>
          <w:tcW w:w="7372" w:type="dxa"/>
          <w:shd w:val="clear" w:color="auto" w:fill="auto"/>
          <w:vAlign w:val="bottom"/>
        </w:tcPr>
        <w:p w14:paraId="7FD7188F" w14:textId="77777777" w:rsidR="003B4FD0" w:rsidRPr="007B37B6" w:rsidRDefault="003B4FD0" w:rsidP="003B4FD0">
          <w:pPr>
            <w:spacing w:before="28" w:line="212" w:lineRule="exact"/>
            <w:ind w:left="284"/>
            <w:rPr>
              <w:rFonts w:ascii="Trebuchet MS" w:hAnsi="Trebuchet MS"/>
              <w:szCs w:val="20"/>
              <w:lang w:val="en-US"/>
            </w:rPr>
          </w:pPr>
          <w:r w:rsidRPr="007B37B6">
            <w:rPr>
              <w:rFonts w:ascii="Trebuchet MS" w:hAnsi="Trebuchet MS"/>
              <w:szCs w:val="20"/>
              <w:lang w:val="en-US"/>
            </w:rPr>
            <w:t xml:space="preserve">© </w:t>
          </w:r>
          <w:hyperlink r:id="rId1" w:history="1">
            <w:r w:rsidRPr="007B37B6">
              <w:rPr>
                <w:rStyle w:val="Hyperlink"/>
                <w:rFonts w:ascii="Trebuchet MS" w:hAnsi="Trebuchet MS"/>
                <w:szCs w:val="20"/>
                <w:lang w:val="en-US"/>
              </w:rPr>
              <w:t>Institutul European din România</w:t>
            </w:r>
          </w:hyperlink>
          <w:r w:rsidRPr="007B37B6">
            <w:rPr>
              <w:rFonts w:ascii="Trebuchet MS" w:hAnsi="Trebuchet MS"/>
              <w:szCs w:val="20"/>
              <w:lang w:val="en-US"/>
            </w:rPr>
            <w:t xml:space="preserve"> – Această traducere nu obligă Curtea.</w:t>
          </w:r>
        </w:p>
        <w:p w14:paraId="79D611FE" w14:textId="77777777" w:rsidR="003B4FD0" w:rsidRPr="007B37B6" w:rsidRDefault="003B4FD0" w:rsidP="003B4FD0">
          <w:pPr>
            <w:spacing w:before="28" w:line="212" w:lineRule="exact"/>
            <w:ind w:left="284" w:right="-1278"/>
            <w:rPr>
              <w:rFonts w:ascii="Trebuchet MS" w:hAnsi="Trebuchet MS"/>
              <w:szCs w:val="20"/>
              <w:lang w:val="en-US"/>
            </w:rPr>
          </w:pPr>
          <w:r w:rsidRPr="007B37B6">
            <w:rPr>
              <w:rFonts w:ascii="Trebuchet MS" w:hAnsi="Trebuchet MS"/>
              <w:szCs w:val="20"/>
              <w:lang w:val="en-US"/>
            </w:rPr>
            <w:t>© European Institute of Romania - This translation does not bind the Court.</w:t>
          </w:r>
        </w:p>
        <w:p w14:paraId="247D3AC8" w14:textId="77777777" w:rsidR="003B4FD0" w:rsidRDefault="003B4FD0" w:rsidP="003B4FD0">
          <w:pPr>
            <w:spacing w:before="28" w:after="120" w:line="212" w:lineRule="exact"/>
            <w:ind w:left="284"/>
            <w:rPr>
              <w:rFonts w:ascii="Trebuchet MS" w:hAnsi="Trebuchet MS"/>
              <w:szCs w:val="20"/>
              <w:lang w:val="fr-FR"/>
            </w:rPr>
          </w:pPr>
          <w:r w:rsidRPr="0070081D">
            <w:rPr>
              <w:rFonts w:ascii="Trebuchet MS" w:hAnsi="Trebuchet MS"/>
              <w:szCs w:val="20"/>
              <w:lang w:val="fr-FR"/>
            </w:rPr>
            <w:t>© Institut européen de Roumanie - Cette traduction ne lie pas la Cour.</w:t>
          </w:r>
        </w:p>
        <w:p w14:paraId="7344C7B8" w14:textId="77777777" w:rsidR="003B4FD0" w:rsidRDefault="003B4FD0" w:rsidP="003B4FD0">
          <w:pPr>
            <w:spacing w:before="28" w:after="120" w:line="212" w:lineRule="exact"/>
            <w:ind w:left="284"/>
            <w:rPr>
              <w:rFonts w:ascii="Trebuchet MS" w:hAnsi="Trebuchet MS"/>
              <w:szCs w:val="20"/>
              <w:lang w:val="fr-FR"/>
            </w:rPr>
          </w:pPr>
        </w:p>
        <w:p w14:paraId="30AEDF79" w14:textId="3B5EE64F" w:rsidR="00792B16" w:rsidRPr="00CA15BD" w:rsidRDefault="00E6182D">
          <w:pPr>
            <w:rPr>
              <w:sz w:val="8"/>
              <w:szCs w:val="8"/>
            </w:rPr>
          </w:pPr>
          <w:r>
            <w:rPr>
              <w:noProof/>
              <w:sz w:val="8"/>
            </w:rPr>
            <w:drawing>
              <wp:inline distT="0" distB="0" distL="0" distR="0" wp14:anchorId="7DBA9B26" wp14:editId="5E95FEDA">
                <wp:extent cx="2388870" cy="88963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88870" cy="889635"/>
                        </a:xfrm>
                        <a:prstGeom prst="rect">
                          <a:avLst/>
                        </a:prstGeom>
                        <a:noFill/>
                        <a:ln>
                          <a:noFill/>
                        </a:ln>
                      </pic:spPr>
                    </pic:pic>
                  </a:graphicData>
                </a:graphic>
              </wp:inline>
            </w:drawing>
          </w:r>
        </w:p>
        <w:p w14:paraId="3FBFE1B9" w14:textId="77777777" w:rsidR="00792B16" w:rsidRPr="00CA15BD" w:rsidRDefault="00792B16" w:rsidP="00B53E8C">
          <w:pPr>
            <w:rPr>
              <w:sz w:val="4"/>
              <w:szCs w:val="4"/>
            </w:rPr>
          </w:pPr>
        </w:p>
        <w:p w14:paraId="3F435BF6" w14:textId="77777777" w:rsidR="00792B16" w:rsidRPr="00CA15BD" w:rsidRDefault="00792B16" w:rsidP="00E96541">
          <w:pPr>
            <w:rPr>
              <w:sz w:val="4"/>
              <w:szCs w:val="4"/>
            </w:rPr>
          </w:pPr>
        </w:p>
      </w:tc>
      <w:tc>
        <w:tcPr>
          <w:tcW w:w="2977" w:type="dxa"/>
          <w:shd w:val="clear" w:color="auto" w:fill="auto"/>
          <w:vAlign w:val="bottom"/>
        </w:tcPr>
        <w:p w14:paraId="162BB979" w14:textId="1A5A1D07" w:rsidR="00792B16" w:rsidRPr="00CA15BD" w:rsidRDefault="00E6182D" w:rsidP="00CA15BD">
          <w:pPr>
            <w:jc w:val="right"/>
            <w:rPr>
              <w:sz w:val="4"/>
              <w:szCs w:val="4"/>
            </w:rPr>
          </w:pPr>
          <w:bookmarkStart w:id="14" w:name="OLE_LINK3"/>
          <w:bookmarkStart w:id="15" w:name="OLE_LINK4"/>
          <w:r>
            <w:rPr>
              <w:noProof/>
              <w:sz w:val="4"/>
            </w:rPr>
            <w:drawing>
              <wp:inline distT="0" distB="0" distL="0" distR="0" wp14:anchorId="7ADF0679" wp14:editId="33B0A296">
                <wp:extent cx="1408430" cy="37084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408430" cy="370840"/>
                        </a:xfrm>
                        <a:prstGeom prst="rect">
                          <a:avLst/>
                        </a:prstGeom>
                        <a:noFill/>
                        <a:ln>
                          <a:noFill/>
                        </a:ln>
                      </pic:spPr>
                    </pic:pic>
                  </a:graphicData>
                </a:graphic>
              </wp:inline>
            </w:drawing>
          </w:r>
        </w:p>
        <w:p w14:paraId="267706EA" w14:textId="77777777" w:rsidR="00792B16" w:rsidRPr="00CA15BD" w:rsidRDefault="00792B16" w:rsidP="00B53E8C">
          <w:pPr>
            <w:pStyle w:val="ITDHeaderDate"/>
            <w:rPr>
              <w:szCs w:val="4"/>
            </w:rPr>
          </w:pPr>
        </w:p>
        <w:bookmarkEnd w:id="14"/>
        <w:bookmarkEnd w:id="15"/>
        <w:p w14:paraId="3F50FC13" w14:textId="77777777" w:rsidR="00792B16" w:rsidRDefault="00792B16" w:rsidP="00E96541">
          <w:pPr>
            <w:pStyle w:val="ITDHeaderDate"/>
          </w:pPr>
        </w:p>
        <w:p w14:paraId="20E3402B" w14:textId="77777777" w:rsidR="00792B16" w:rsidRDefault="00792B16" w:rsidP="00E96541">
          <w:pPr>
            <w:pStyle w:val="ITDHeaderDate"/>
          </w:pPr>
        </w:p>
        <w:p w14:paraId="49216E3D" w14:textId="77777777" w:rsidR="00792B16" w:rsidRPr="00F5689A" w:rsidRDefault="00792B16" w:rsidP="008523CF">
          <w:pPr>
            <w:pStyle w:val="ITDHeaderDate"/>
          </w:pPr>
        </w:p>
        <w:p w14:paraId="228EF1FA" w14:textId="77777777" w:rsidR="00792B16" w:rsidRPr="00D11225" w:rsidRDefault="007038B5" w:rsidP="003B4FD0">
          <w:pPr>
            <w:pStyle w:val="ITDHeaderDate"/>
            <w:ind w:hanging="392"/>
          </w:pPr>
          <w:r>
            <w:t>Fișă tematică – Schimbări climatice</w:t>
          </w:r>
        </w:p>
      </w:tc>
    </w:tr>
    <w:tr w:rsidR="007038B5" w14:paraId="283ECBD0" w14:textId="77777777" w:rsidTr="003B4FD0">
      <w:tc>
        <w:tcPr>
          <w:tcW w:w="7372" w:type="dxa"/>
          <w:shd w:val="clear" w:color="auto" w:fill="auto"/>
          <w:vAlign w:val="bottom"/>
        </w:tcPr>
        <w:p w14:paraId="6CC8F5D3" w14:textId="77777777" w:rsidR="00D3355A" w:rsidRPr="00CA15BD" w:rsidRDefault="00D3355A">
          <w:pPr>
            <w:rPr>
              <w:sz w:val="8"/>
              <w:szCs w:val="8"/>
            </w:rPr>
          </w:pPr>
        </w:p>
      </w:tc>
      <w:tc>
        <w:tcPr>
          <w:tcW w:w="2977" w:type="dxa"/>
          <w:shd w:val="clear" w:color="auto" w:fill="auto"/>
          <w:vAlign w:val="bottom"/>
        </w:tcPr>
        <w:p w14:paraId="748B8A1F" w14:textId="77777777" w:rsidR="00D3355A" w:rsidRPr="00CA15BD" w:rsidRDefault="00D3355A" w:rsidP="00CA15BD">
          <w:pPr>
            <w:jc w:val="right"/>
            <w:rPr>
              <w:sz w:val="4"/>
              <w:szCs w:val="4"/>
            </w:rPr>
          </w:pPr>
        </w:p>
      </w:tc>
    </w:tr>
  </w:tbl>
  <w:p w14:paraId="0C1DAA7B" w14:textId="4F74E5EA" w:rsidR="00792B16" w:rsidRPr="00180EAE" w:rsidRDefault="00E6182D" w:rsidP="00845615">
    <w:pPr>
      <w:pStyle w:val="Header"/>
      <w:rPr>
        <w:sz w:val="4"/>
        <w:szCs w:val="4"/>
      </w:rPr>
    </w:pPr>
    <w:r>
      <w:rPr>
        <w:noProof/>
        <w:sz w:val="4"/>
      </w:rPr>
      <mc:AlternateContent>
        <mc:Choice Requires="wps">
          <w:drawing>
            <wp:anchor distT="0" distB="0" distL="114300" distR="114300" simplePos="0" relativeHeight="251658240" behindDoc="0" locked="0" layoutInCell="1" allowOverlap="1" wp14:anchorId="590851F5" wp14:editId="374AE661">
              <wp:simplePos x="0" y="0"/>
              <wp:positionH relativeFrom="column">
                <wp:align>center</wp:align>
              </wp:positionH>
              <wp:positionV relativeFrom="paragraph">
                <wp:posOffset>22225</wp:posOffset>
              </wp:positionV>
              <wp:extent cx="6629400" cy="0"/>
              <wp:effectExtent l="9525" t="12700" r="9525" b="6350"/>
              <wp:wrapNone/>
              <wp:docPr id="5"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29400"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E54E20" id="Line 5" o:spid="_x0000_s1026" style="position:absolute;z-index:251658240;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 from="0,1.75pt" to="522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" strokecolor="gray"/>
          </w:pict>
        </mc:Fallback>
      </mc:AlternateContent>
    </w:r>
  </w:p>
  <w:p w14:paraId="6921E1D6" w14:textId="77777777" w:rsidR="00792B16" w:rsidRPr="00845615" w:rsidRDefault="00792B16" w:rsidP="00845615">
    <w:pPr>
      <w:pStyle w:val="Header"/>
      <w:rPr>
        <w:szCs w:val="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3302493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159EC70E"/>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A1E0A492"/>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2CA0622C"/>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B790A802"/>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2D2E8EC2"/>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6F3CD43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E19A6D98"/>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621A0A28"/>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70AE5768"/>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0546B6EE"/>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55003EB"/>
    <w:multiLevelType w:val="multilevel"/>
    <w:tmpl w:val="CCE4DD00"/>
    <w:lvl w:ilvl="0">
      <w:start w:val="1"/>
      <w:numFmt w:val="decimal"/>
      <w:lvlText w:val="%1."/>
      <w:lvlJc w:val="left"/>
      <w:pPr>
        <w:tabs>
          <w:tab w:val="num" w:pos="567"/>
        </w:tabs>
        <w:ind w:left="567" w:hanging="567"/>
      </w:pPr>
      <w:rPr>
        <w:rFonts w:hint="default"/>
      </w:rPr>
    </w:lvl>
    <w:lvl w:ilvl="1">
      <w:start w:val="1"/>
      <w:numFmt w:val="decimal"/>
      <w:isLgl/>
      <w:lvlText w:val="%1.%2."/>
      <w:lvlJc w:val="left"/>
      <w:pPr>
        <w:tabs>
          <w:tab w:val="num" w:pos="1418"/>
        </w:tabs>
        <w:ind w:left="1418" w:hanging="851"/>
      </w:pPr>
      <w:rPr>
        <w:rFonts w:hint="default"/>
      </w:rPr>
    </w:lvl>
    <w:lvl w:ilvl="2">
      <w:start w:val="1"/>
      <w:numFmt w:val="decimal"/>
      <w:lvlText w:val="%1.%2.%3."/>
      <w:lvlJc w:val="left"/>
      <w:pPr>
        <w:tabs>
          <w:tab w:val="num" w:pos="2552"/>
        </w:tabs>
        <w:ind w:left="2552" w:hanging="113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07310147"/>
    <w:multiLevelType w:val="hybridMultilevel"/>
    <w:tmpl w:val="A20E676C"/>
    <w:lvl w:ilvl="0">
      <w:numFmt w:val="bullet"/>
      <w:lvlText w:val="-"/>
      <w:lvlJc w:val="left"/>
      <w:pPr>
        <w:tabs>
          <w:tab w:val="num" w:pos="720"/>
        </w:tabs>
        <w:ind w:left="720" w:hanging="360"/>
      </w:pPr>
      <w:rPr>
        <w:rFonts w:ascii="Verdana" w:eastAsia="Times New Roman" w:hAnsi="Verdana" w:cs="Aria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9F34F42"/>
    <w:multiLevelType w:val="multilevel"/>
    <w:tmpl w:val="1F488F16"/>
    <w:lvl w:ilvl="0">
      <w:start w:val="1"/>
      <w:numFmt w:val="decimal"/>
      <w:lvlText w:val="%1."/>
      <w:lvlJc w:val="left"/>
      <w:pPr>
        <w:tabs>
          <w:tab w:val="num" w:pos="567"/>
        </w:tabs>
        <w:ind w:left="567" w:hanging="567"/>
      </w:pPr>
      <w:rPr>
        <w:rFonts w:hint="default"/>
      </w:rPr>
    </w:lvl>
    <w:lvl w:ilvl="1">
      <w:start w:val="1"/>
      <w:numFmt w:val="decimal"/>
      <w:pStyle w:val="Heading2"/>
      <w:isLgl/>
      <w:lvlText w:val="%1.%2."/>
      <w:lvlJc w:val="left"/>
      <w:pPr>
        <w:tabs>
          <w:tab w:val="num" w:pos="792"/>
        </w:tabs>
        <w:ind w:left="792" w:hanging="432"/>
      </w:pPr>
      <w:rPr>
        <w:rFonts w:hint="default"/>
      </w:rPr>
    </w:lvl>
    <w:lvl w:ilvl="2">
      <w:start w:val="1"/>
      <w:numFmt w:val="decimal"/>
      <w:pStyle w:val="Heading3"/>
      <w:lvlText w:val="%1.%2.%3."/>
      <w:lvlJc w:val="left"/>
      <w:pPr>
        <w:tabs>
          <w:tab w:val="num" w:pos="1440"/>
        </w:tabs>
        <w:ind w:left="1224" w:hanging="504"/>
      </w:pPr>
      <w:rPr>
        <w:rFonts w:hint="default"/>
      </w:rPr>
    </w:lvl>
    <w:lvl w:ilvl="3">
      <w:start w:val="1"/>
      <w:numFmt w:val="lowerLetter"/>
      <w:pStyle w:val="Heading4"/>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15:restartNumberingAfterBreak="0">
    <w:nsid w:val="1767052D"/>
    <w:multiLevelType w:val="multilevel"/>
    <w:tmpl w:val="5EE8711A"/>
    <w:numStyleLink w:val="StyleBulletedSquare"/>
  </w:abstractNum>
  <w:abstractNum w:abstractNumId="15" w15:restartNumberingAfterBreak="0">
    <w:nsid w:val="227404EF"/>
    <w:multiLevelType w:val="hybridMultilevel"/>
    <w:tmpl w:val="8438F010"/>
    <w:lvl w:ilvl="0">
      <w:start w:val="31"/>
      <w:numFmt w:val="decimal"/>
      <w:lvlText w:val="%1"/>
      <w:lvlJc w:val="left"/>
      <w:pPr>
        <w:tabs>
          <w:tab w:val="num" w:pos="765"/>
        </w:tabs>
        <w:ind w:left="765" w:hanging="405"/>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6" w15:restartNumberingAfterBreak="0">
    <w:nsid w:val="33853BE5"/>
    <w:multiLevelType w:val="hybridMultilevel"/>
    <w:tmpl w:val="A41690E6"/>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FA02989"/>
    <w:multiLevelType w:val="hybridMultilevel"/>
    <w:tmpl w:val="5EE8711A"/>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989571C"/>
    <w:multiLevelType w:val="multilevel"/>
    <w:tmpl w:val="5EE8711A"/>
    <w:styleLink w:val="StyleBulletedSquare"/>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E7673FE"/>
    <w:multiLevelType w:val="multilevel"/>
    <w:tmpl w:val="5EE8711A"/>
    <w:numStyleLink w:val="StyleBulletedSquare"/>
  </w:abstractNum>
  <w:num w:numId="1" w16cid:durableId="647327197">
    <w:abstractNumId w:val="18"/>
  </w:num>
  <w:num w:numId="2" w16cid:durableId="2011907508">
    <w:abstractNumId w:val="16"/>
  </w:num>
  <w:num w:numId="3" w16cid:durableId="1291011476">
    <w:abstractNumId w:val="10"/>
  </w:num>
  <w:num w:numId="4" w16cid:durableId="12735451">
    <w:abstractNumId w:val="8"/>
  </w:num>
  <w:num w:numId="5" w16cid:durableId="934629030">
    <w:abstractNumId w:val="7"/>
  </w:num>
  <w:num w:numId="6" w16cid:durableId="1922909955">
    <w:abstractNumId w:val="6"/>
  </w:num>
  <w:num w:numId="7" w16cid:durableId="128400215">
    <w:abstractNumId w:val="5"/>
  </w:num>
  <w:num w:numId="8" w16cid:durableId="670064822">
    <w:abstractNumId w:val="9"/>
  </w:num>
  <w:num w:numId="9" w16cid:durableId="1993681370">
    <w:abstractNumId w:val="4"/>
  </w:num>
  <w:num w:numId="10" w16cid:durableId="1540122843">
    <w:abstractNumId w:val="3"/>
  </w:num>
  <w:num w:numId="11" w16cid:durableId="1658802846">
    <w:abstractNumId w:val="2"/>
  </w:num>
  <w:num w:numId="12" w16cid:durableId="1033966360">
    <w:abstractNumId w:val="1"/>
  </w:num>
  <w:num w:numId="13" w16cid:durableId="1006441431">
    <w:abstractNumId w:val="17"/>
  </w:num>
  <w:num w:numId="14" w16cid:durableId="1338918511">
    <w:abstractNumId w:val="19"/>
  </w:num>
  <w:num w:numId="15" w16cid:durableId="1369530971">
    <w:abstractNumId w:val="14"/>
  </w:num>
  <w:num w:numId="16" w16cid:durableId="31852692">
    <w:abstractNumId w:val="11"/>
  </w:num>
  <w:num w:numId="17" w16cid:durableId="1006517925">
    <w:abstractNumId w:val="11"/>
  </w:num>
  <w:num w:numId="18" w16cid:durableId="180971398">
    <w:abstractNumId w:val="11"/>
  </w:num>
  <w:num w:numId="19" w16cid:durableId="1201280470">
    <w:abstractNumId w:val="13"/>
  </w:num>
  <w:num w:numId="20" w16cid:durableId="1451246361">
    <w:abstractNumId w:val="13"/>
  </w:num>
  <w:num w:numId="21" w16cid:durableId="1348872492">
    <w:abstractNumId w:val="13"/>
  </w:num>
  <w:num w:numId="22" w16cid:durableId="1197232022">
    <w:abstractNumId w:val="18"/>
  </w:num>
  <w:num w:numId="23" w16cid:durableId="2092044654">
    <w:abstractNumId w:val="15"/>
  </w:num>
  <w:num w:numId="24" w16cid:durableId="1429158539">
    <w:abstractNumId w:val="0"/>
  </w:num>
  <w:num w:numId="25" w16cid:durableId="55628064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removePersonalInformatio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isplayHorizontalDrawingGridEvery w:val="2"/>
  <w:displayVerticalDrawingGridEvery w:val="2"/>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1EC"/>
    <w:rsid w:val="00001819"/>
    <w:rsid w:val="00001952"/>
    <w:rsid w:val="00001BC4"/>
    <w:rsid w:val="0000552D"/>
    <w:rsid w:val="00006702"/>
    <w:rsid w:val="000073DD"/>
    <w:rsid w:val="00010EB3"/>
    <w:rsid w:val="00010FF2"/>
    <w:rsid w:val="000130AF"/>
    <w:rsid w:val="00013A4E"/>
    <w:rsid w:val="00014092"/>
    <w:rsid w:val="000140A1"/>
    <w:rsid w:val="00015EF9"/>
    <w:rsid w:val="0002065A"/>
    <w:rsid w:val="0002087E"/>
    <w:rsid w:val="00021D1F"/>
    <w:rsid w:val="00022AF7"/>
    <w:rsid w:val="00024098"/>
    <w:rsid w:val="000300DC"/>
    <w:rsid w:val="000311CA"/>
    <w:rsid w:val="00032767"/>
    <w:rsid w:val="00033AE5"/>
    <w:rsid w:val="00033B8A"/>
    <w:rsid w:val="000363D3"/>
    <w:rsid w:val="00036DBA"/>
    <w:rsid w:val="000377A6"/>
    <w:rsid w:val="000408C9"/>
    <w:rsid w:val="00040E9D"/>
    <w:rsid w:val="00042975"/>
    <w:rsid w:val="00042FFD"/>
    <w:rsid w:val="00044B79"/>
    <w:rsid w:val="00050739"/>
    <w:rsid w:val="00053E72"/>
    <w:rsid w:val="000546A2"/>
    <w:rsid w:val="000548DA"/>
    <w:rsid w:val="000555B8"/>
    <w:rsid w:val="00061643"/>
    <w:rsid w:val="0006219C"/>
    <w:rsid w:val="00062BDD"/>
    <w:rsid w:val="00064D30"/>
    <w:rsid w:val="000656F8"/>
    <w:rsid w:val="00065C05"/>
    <w:rsid w:val="0006677A"/>
    <w:rsid w:val="00066F87"/>
    <w:rsid w:val="00067ED6"/>
    <w:rsid w:val="000707EA"/>
    <w:rsid w:val="00075F89"/>
    <w:rsid w:val="0007784C"/>
    <w:rsid w:val="00080284"/>
    <w:rsid w:val="00081DCF"/>
    <w:rsid w:val="00087701"/>
    <w:rsid w:val="00090284"/>
    <w:rsid w:val="000912EC"/>
    <w:rsid w:val="00091686"/>
    <w:rsid w:val="000921D4"/>
    <w:rsid w:val="00096691"/>
    <w:rsid w:val="00097B26"/>
    <w:rsid w:val="000A005F"/>
    <w:rsid w:val="000A0C83"/>
    <w:rsid w:val="000A10D7"/>
    <w:rsid w:val="000A5E7A"/>
    <w:rsid w:val="000A6B6C"/>
    <w:rsid w:val="000A7AB6"/>
    <w:rsid w:val="000B01B0"/>
    <w:rsid w:val="000B1386"/>
    <w:rsid w:val="000B26B8"/>
    <w:rsid w:val="000B28A5"/>
    <w:rsid w:val="000B300E"/>
    <w:rsid w:val="000B46C9"/>
    <w:rsid w:val="000B5712"/>
    <w:rsid w:val="000B69D4"/>
    <w:rsid w:val="000C3424"/>
    <w:rsid w:val="000C4EAB"/>
    <w:rsid w:val="000C50BF"/>
    <w:rsid w:val="000C5A35"/>
    <w:rsid w:val="000C7518"/>
    <w:rsid w:val="000D1AE3"/>
    <w:rsid w:val="000D239F"/>
    <w:rsid w:val="000D636C"/>
    <w:rsid w:val="000E0B80"/>
    <w:rsid w:val="000E1906"/>
    <w:rsid w:val="000E32CC"/>
    <w:rsid w:val="000E3905"/>
    <w:rsid w:val="000F001B"/>
    <w:rsid w:val="000F1064"/>
    <w:rsid w:val="000F54BF"/>
    <w:rsid w:val="000F6733"/>
    <w:rsid w:val="000F6B2E"/>
    <w:rsid w:val="000F6C19"/>
    <w:rsid w:val="000F6FFC"/>
    <w:rsid w:val="00100766"/>
    <w:rsid w:val="00100A86"/>
    <w:rsid w:val="00101255"/>
    <w:rsid w:val="00101D68"/>
    <w:rsid w:val="00102170"/>
    <w:rsid w:val="001064B0"/>
    <w:rsid w:val="001104D4"/>
    <w:rsid w:val="00111FBC"/>
    <w:rsid w:val="0011256B"/>
    <w:rsid w:val="0011393C"/>
    <w:rsid w:val="00113E26"/>
    <w:rsid w:val="00113F0A"/>
    <w:rsid w:val="001145EF"/>
    <w:rsid w:val="00117126"/>
    <w:rsid w:val="0012283B"/>
    <w:rsid w:val="00122FAC"/>
    <w:rsid w:val="001240C4"/>
    <w:rsid w:val="001247EB"/>
    <w:rsid w:val="00125ED0"/>
    <w:rsid w:val="0012624A"/>
    <w:rsid w:val="00127FFE"/>
    <w:rsid w:val="00131155"/>
    <w:rsid w:val="001325CE"/>
    <w:rsid w:val="00133261"/>
    <w:rsid w:val="001378C7"/>
    <w:rsid w:val="0014106D"/>
    <w:rsid w:val="00142090"/>
    <w:rsid w:val="001457AF"/>
    <w:rsid w:val="0014714E"/>
    <w:rsid w:val="0015009D"/>
    <w:rsid w:val="00150AFD"/>
    <w:rsid w:val="001529B2"/>
    <w:rsid w:val="00154247"/>
    <w:rsid w:val="001560DD"/>
    <w:rsid w:val="00156F7D"/>
    <w:rsid w:val="0015718E"/>
    <w:rsid w:val="00157A01"/>
    <w:rsid w:val="00160726"/>
    <w:rsid w:val="001607C9"/>
    <w:rsid w:val="0016331E"/>
    <w:rsid w:val="001675AB"/>
    <w:rsid w:val="001675DE"/>
    <w:rsid w:val="00167682"/>
    <w:rsid w:val="00167A7E"/>
    <w:rsid w:val="001711C6"/>
    <w:rsid w:val="00174680"/>
    <w:rsid w:val="00174741"/>
    <w:rsid w:val="00177522"/>
    <w:rsid w:val="0017760A"/>
    <w:rsid w:val="00180EAE"/>
    <w:rsid w:val="00181068"/>
    <w:rsid w:val="00182434"/>
    <w:rsid w:val="001830B1"/>
    <w:rsid w:val="00184102"/>
    <w:rsid w:val="0018530B"/>
    <w:rsid w:val="00186595"/>
    <w:rsid w:val="001903D1"/>
    <w:rsid w:val="001908BA"/>
    <w:rsid w:val="001911F6"/>
    <w:rsid w:val="00192AB1"/>
    <w:rsid w:val="0019443B"/>
    <w:rsid w:val="00194D8D"/>
    <w:rsid w:val="001960B0"/>
    <w:rsid w:val="001963F6"/>
    <w:rsid w:val="001A0C1D"/>
    <w:rsid w:val="001A1FDB"/>
    <w:rsid w:val="001A5C35"/>
    <w:rsid w:val="001A7222"/>
    <w:rsid w:val="001B0143"/>
    <w:rsid w:val="001B5CE7"/>
    <w:rsid w:val="001B652F"/>
    <w:rsid w:val="001B7E8C"/>
    <w:rsid w:val="001C0513"/>
    <w:rsid w:val="001C2169"/>
    <w:rsid w:val="001C51D5"/>
    <w:rsid w:val="001D17E9"/>
    <w:rsid w:val="001D1964"/>
    <w:rsid w:val="001D2538"/>
    <w:rsid w:val="001D35B1"/>
    <w:rsid w:val="001D4764"/>
    <w:rsid w:val="001D502B"/>
    <w:rsid w:val="001D58D6"/>
    <w:rsid w:val="001D62DE"/>
    <w:rsid w:val="001D73DE"/>
    <w:rsid w:val="001D7ED3"/>
    <w:rsid w:val="001E1945"/>
    <w:rsid w:val="001E27E1"/>
    <w:rsid w:val="001E2E43"/>
    <w:rsid w:val="001E3823"/>
    <w:rsid w:val="001E3D90"/>
    <w:rsid w:val="001E3EB2"/>
    <w:rsid w:val="001E4494"/>
    <w:rsid w:val="001E70F6"/>
    <w:rsid w:val="001E7724"/>
    <w:rsid w:val="001F0469"/>
    <w:rsid w:val="001F16AB"/>
    <w:rsid w:val="001F24AC"/>
    <w:rsid w:val="001F57B0"/>
    <w:rsid w:val="002023F6"/>
    <w:rsid w:val="00204C42"/>
    <w:rsid w:val="00206602"/>
    <w:rsid w:val="00207EE5"/>
    <w:rsid w:val="002103F8"/>
    <w:rsid w:val="00211488"/>
    <w:rsid w:val="00211C99"/>
    <w:rsid w:val="002145E2"/>
    <w:rsid w:val="00215266"/>
    <w:rsid w:val="002165B0"/>
    <w:rsid w:val="0021745D"/>
    <w:rsid w:val="00221A47"/>
    <w:rsid w:val="00223028"/>
    <w:rsid w:val="00223D6F"/>
    <w:rsid w:val="002248D1"/>
    <w:rsid w:val="00224FEB"/>
    <w:rsid w:val="00225011"/>
    <w:rsid w:val="002276E5"/>
    <w:rsid w:val="00230845"/>
    <w:rsid w:val="00231D4C"/>
    <w:rsid w:val="00232C8D"/>
    <w:rsid w:val="00234344"/>
    <w:rsid w:val="00235F3D"/>
    <w:rsid w:val="002366FE"/>
    <w:rsid w:val="0024261F"/>
    <w:rsid w:val="00251255"/>
    <w:rsid w:val="00251DCB"/>
    <w:rsid w:val="00257414"/>
    <w:rsid w:val="002574FB"/>
    <w:rsid w:val="002579BF"/>
    <w:rsid w:val="0026112B"/>
    <w:rsid w:val="00261363"/>
    <w:rsid w:val="002629A1"/>
    <w:rsid w:val="00263608"/>
    <w:rsid w:val="0026372E"/>
    <w:rsid w:val="0026377D"/>
    <w:rsid w:val="00264696"/>
    <w:rsid w:val="002650B1"/>
    <w:rsid w:val="0026612B"/>
    <w:rsid w:val="00266911"/>
    <w:rsid w:val="002669FF"/>
    <w:rsid w:val="00266A68"/>
    <w:rsid w:val="002675E7"/>
    <w:rsid w:val="00271CAD"/>
    <w:rsid w:val="002733B2"/>
    <w:rsid w:val="00277E3D"/>
    <w:rsid w:val="0028040B"/>
    <w:rsid w:val="002809B7"/>
    <w:rsid w:val="00280CBD"/>
    <w:rsid w:val="00282E00"/>
    <w:rsid w:val="00282F93"/>
    <w:rsid w:val="00283BCA"/>
    <w:rsid w:val="002846F7"/>
    <w:rsid w:val="0029031B"/>
    <w:rsid w:val="00290E82"/>
    <w:rsid w:val="0029159E"/>
    <w:rsid w:val="0029216A"/>
    <w:rsid w:val="00292CD0"/>
    <w:rsid w:val="0029360B"/>
    <w:rsid w:val="002953B0"/>
    <w:rsid w:val="002A2792"/>
    <w:rsid w:val="002A4754"/>
    <w:rsid w:val="002A6419"/>
    <w:rsid w:val="002A6494"/>
    <w:rsid w:val="002A78F9"/>
    <w:rsid w:val="002B2808"/>
    <w:rsid w:val="002B2D0B"/>
    <w:rsid w:val="002B2FFC"/>
    <w:rsid w:val="002B31CA"/>
    <w:rsid w:val="002B4402"/>
    <w:rsid w:val="002B5582"/>
    <w:rsid w:val="002B7681"/>
    <w:rsid w:val="002B7E73"/>
    <w:rsid w:val="002C0667"/>
    <w:rsid w:val="002C0D6F"/>
    <w:rsid w:val="002C0E04"/>
    <w:rsid w:val="002C131F"/>
    <w:rsid w:val="002C4AA3"/>
    <w:rsid w:val="002C59E6"/>
    <w:rsid w:val="002C6D81"/>
    <w:rsid w:val="002C7AF3"/>
    <w:rsid w:val="002D08EF"/>
    <w:rsid w:val="002D3089"/>
    <w:rsid w:val="002D32D6"/>
    <w:rsid w:val="002D44CF"/>
    <w:rsid w:val="002D59E8"/>
    <w:rsid w:val="002D6B96"/>
    <w:rsid w:val="002E2887"/>
    <w:rsid w:val="002E599F"/>
    <w:rsid w:val="002E6409"/>
    <w:rsid w:val="002E6634"/>
    <w:rsid w:val="002E6E46"/>
    <w:rsid w:val="002F564F"/>
    <w:rsid w:val="002F6581"/>
    <w:rsid w:val="00303497"/>
    <w:rsid w:val="00303824"/>
    <w:rsid w:val="00303CDE"/>
    <w:rsid w:val="00307942"/>
    <w:rsid w:val="0031226B"/>
    <w:rsid w:val="00312644"/>
    <w:rsid w:val="00312AFB"/>
    <w:rsid w:val="00312FE1"/>
    <w:rsid w:val="00324470"/>
    <w:rsid w:val="00324BA7"/>
    <w:rsid w:val="003276C7"/>
    <w:rsid w:val="003309D5"/>
    <w:rsid w:val="0033134E"/>
    <w:rsid w:val="00331AD9"/>
    <w:rsid w:val="003352E8"/>
    <w:rsid w:val="003422CB"/>
    <w:rsid w:val="00343DE4"/>
    <w:rsid w:val="00347464"/>
    <w:rsid w:val="00347F13"/>
    <w:rsid w:val="00352397"/>
    <w:rsid w:val="003543B5"/>
    <w:rsid w:val="00355817"/>
    <w:rsid w:val="00357B2E"/>
    <w:rsid w:val="003616E3"/>
    <w:rsid w:val="00361C26"/>
    <w:rsid w:val="003633A7"/>
    <w:rsid w:val="00364300"/>
    <w:rsid w:val="0036596C"/>
    <w:rsid w:val="0036609D"/>
    <w:rsid w:val="00366FC8"/>
    <w:rsid w:val="0036735D"/>
    <w:rsid w:val="00367943"/>
    <w:rsid w:val="00371A41"/>
    <w:rsid w:val="00375896"/>
    <w:rsid w:val="003842C0"/>
    <w:rsid w:val="00384E71"/>
    <w:rsid w:val="00384EA0"/>
    <w:rsid w:val="00391082"/>
    <w:rsid w:val="00394D29"/>
    <w:rsid w:val="0039630B"/>
    <w:rsid w:val="00397BA0"/>
    <w:rsid w:val="003A37C1"/>
    <w:rsid w:val="003A63D1"/>
    <w:rsid w:val="003A6638"/>
    <w:rsid w:val="003A6BE1"/>
    <w:rsid w:val="003A6C92"/>
    <w:rsid w:val="003A774C"/>
    <w:rsid w:val="003B05EE"/>
    <w:rsid w:val="003B1AB6"/>
    <w:rsid w:val="003B2143"/>
    <w:rsid w:val="003B4873"/>
    <w:rsid w:val="003B4ED1"/>
    <w:rsid w:val="003B4FD0"/>
    <w:rsid w:val="003B5160"/>
    <w:rsid w:val="003B6A70"/>
    <w:rsid w:val="003C0E36"/>
    <w:rsid w:val="003C104B"/>
    <w:rsid w:val="003C22DB"/>
    <w:rsid w:val="003C5932"/>
    <w:rsid w:val="003C5ACE"/>
    <w:rsid w:val="003C5C92"/>
    <w:rsid w:val="003C69E1"/>
    <w:rsid w:val="003D57FE"/>
    <w:rsid w:val="003E005D"/>
    <w:rsid w:val="003E0B5C"/>
    <w:rsid w:val="003E205E"/>
    <w:rsid w:val="003E441B"/>
    <w:rsid w:val="003E7173"/>
    <w:rsid w:val="003F034F"/>
    <w:rsid w:val="003F08EB"/>
    <w:rsid w:val="003F1B4C"/>
    <w:rsid w:val="003F3F97"/>
    <w:rsid w:val="003F6A62"/>
    <w:rsid w:val="00400254"/>
    <w:rsid w:val="00400F78"/>
    <w:rsid w:val="00402C3B"/>
    <w:rsid w:val="00404FF7"/>
    <w:rsid w:val="00406B6A"/>
    <w:rsid w:val="00407255"/>
    <w:rsid w:val="00411BB1"/>
    <w:rsid w:val="00415283"/>
    <w:rsid w:val="00416DA8"/>
    <w:rsid w:val="00421FBB"/>
    <w:rsid w:val="004226DC"/>
    <w:rsid w:val="00423D5F"/>
    <w:rsid w:val="0042747F"/>
    <w:rsid w:val="00427AF4"/>
    <w:rsid w:val="00433998"/>
    <w:rsid w:val="00434F0A"/>
    <w:rsid w:val="00437241"/>
    <w:rsid w:val="00437985"/>
    <w:rsid w:val="004429B0"/>
    <w:rsid w:val="00443AF2"/>
    <w:rsid w:val="00444D5D"/>
    <w:rsid w:val="00445E6E"/>
    <w:rsid w:val="00447150"/>
    <w:rsid w:val="00450956"/>
    <w:rsid w:val="00451F99"/>
    <w:rsid w:val="004522DF"/>
    <w:rsid w:val="0045236A"/>
    <w:rsid w:val="00452C2A"/>
    <w:rsid w:val="004549AD"/>
    <w:rsid w:val="00457B8E"/>
    <w:rsid w:val="00461292"/>
    <w:rsid w:val="0046308F"/>
    <w:rsid w:val="00465444"/>
    <w:rsid w:val="00465E5F"/>
    <w:rsid w:val="00466983"/>
    <w:rsid w:val="004716BD"/>
    <w:rsid w:val="004738BE"/>
    <w:rsid w:val="0047486C"/>
    <w:rsid w:val="0047672D"/>
    <w:rsid w:val="0048170A"/>
    <w:rsid w:val="004825F1"/>
    <w:rsid w:val="00483533"/>
    <w:rsid w:val="004836CE"/>
    <w:rsid w:val="00487CD8"/>
    <w:rsid w:val="00490010"/>
    <w:rsid w:val="004903E4"/>
    <w:rsid w:val="00493A8D"/>
    <w:rsid w:val="00494018"/>
    <w:rsid w:val="00494A70"/>
    <w:rsid w:val="004A01EC"/>
    <w:rsid w:val="004A12C3"/>
    <w:rsid w:val="004A1383"/>
    <w:rsid w:val="004A74A3"/>
    <w:rsid w:val="004B23B3"/>
    <w:rsid w:val="004B3959"/>
    <w:rsid w:val="004B5F52"/>
    <w:rsid w:val="004B738B"/>
    <w:rsid w:val="004B7F74"/>
    <w:rsid w:val="004C0C35"/>
    <w:rsid w:val="004C0FCB"/>
    <w:rsid w:val="004C109B"/>
    <w:rsid w:val="004C204E"/>
    <w:rsid w:val="004C4488"/>
    <w:rsid w:val="004C5FFF"/>
    <w:rsid w:val="004C6F04"/>
    <w:rsid w:val="004D0ED6"/>
    <w:rsid w:val="004D2909"/>
    <w:rsid w:val="004D3193"/>
    <w:rsid w:val="004D55EE"/>
    <w:rsid w:val="004D5F9D"/>
    <w:rsid w:val="004D7A7A"/>
    <w:rsid w:val="004E05A3"/>
    <w:rsid w:val="004E1FE9"/>
    <w:rsid w:val="004E2540"/>
    <w:rsid w:val="004E42AC"/>
    <w:rsid w:val="004E46FA"/>
    <w:rsid w:val="004E4997"/>
    <w:rsid w:val="004E620D"/>
    <w:rsid w:val="004E6A73"/>
    <w:rsid w:val="004E6B92"/>
    <w:rsid w:val="004E7386"/>
    <w:rsid w:val="004E77BB"/>
    <w:rsid w:val="004F04E3"/>
    <w:rsid w:val="004F0F72"/>
    <w:rsid w:val="004F1A42"/>
    <w:rsid w:val="004F1CF0"/>
    <w:rsid w:val="004F388E"/>
    <w:rsid w:val="004F4316"/>
    <w:rsid w:val="004F5F65"/>
    <w:rsid w:val="004F6746"/>
    <w:rsid w:val="004F7CBB"/>
    <w:rsid w:val="00500625"/>
    <w:rsid w:val="0050229D"/>
    <w:rsid w:val="00502F23"/>
    <w:rsid w:val="005033AD"/>
    <w:rsid w:val="00503CB3"/>
    <w:rsid w:val="00505964"/>
    <w:rsid w:val="005126DC"/>
    <w:rsid w:val="00513DDD"/>
    <w:rsid w:val="005142C6"/>
    <w:rsid w:val="005144AC"/>
    <w:rsid w:val="00514B4E"/>
    <w:rsid w:val="005153B2"/>
    <w:rsid w:val="005161CF"/>
    <w:rsid w:val="00516936"/>
    <w:rsid w:val="00522D4D"/>
    <w:rsid w:val="005238A2"/>
    <w:rsid w:val="00524711"/>
    <w:rsid w:val="00525110"/>
    <w:rsid w:val="00530C19"/>
    <w:rsid w:val="00533430"/>
    <w:rsid w:val="005336B4"/>
    <w:rsid w:val="0053380A"/>
    <w:rsid w:val="00541CCA"/>
    <w:rsid w:val="005423E0"/>
    <w:rsid w:val="005431EC"/>
    <w:rsid w:val="0054335B"/>
    <w:rsid w:val="00545909"/>
    <w:rsid w:val="00546622"/>
    <w:rsid w:val="00546FC0"/>
    <w:rsid w:val="0055018E"/>
    <w:rsid w:val="005511BB"/>
    <w:rsid w:val="005516C9"/>
    <w:rsid w:val="00551F46"/>
    <w:rsid w:val="00552C48"/>
    <w:rsid w:val="00552F0E"/>
    <w:rsid w:val="00561CE5"/>
    <w:rsid w:val="00563E76"/>
    <w:rsid w:val="0056546C"/>
    <w:rsid w:val="00566F32"/>
    <w:rsid w:val="00570368"/>
    <w:rsid w:val="005737B4"/>
    <w:rsid w:val="0057451F"/>
    <w:rsid w:val="0057671E"/>
    <w:rsid w:val="00580745"/>
    <w:rsid w:val="005840B3"/>
    <w:rsid w:val="005875C9"/>
    <w:rsid w:val="005904A1"/>
    <w:rsid w:val="00590959"/>
    <w:rsid w:val="005914C4"/>
    <w:rsid w:val="005917DD"/>
    <w:rsid w:val="00592CBC"/>
    <w:rsid w:val="00593236"/>
    <w:rsid w:val="00594928"/>
    <w:rsid w:val="00594F56"/>
    <w:rsid w:val="00597D10"/>
    <w:rsid w:val="005A1134"/>
    <w:rsid w:val="005A186A"/>
    <w:rsid w:val="005A18D5"/>
    <w:rsid w:val="005A2A75"/>
    <w:rsid w:val="005A3647"/>
    <w:rsid w:val="005A4031"/>
    <w:rsid w:val="005B0BC9"/>
    <w:rsid w:val="005B2D0F"/>
    <w:rsid w:val="005B6CFE"/>
    <w:rsid w:val="005B7192"/>
    <w:rsid w:val="005C15F6"/>
    <w:rsid w:val="005C211D"/>
    <w:rsid w:val="005C2644"/>
    <w:rsid w:val="005C37F7"/>
    <w:rsid w:val="005C43EA"/>
    <w:rsid w:val="005C4804"/>
    <w:rsid w:val="005C6185"/>
    <w:rsid w:val="005C75C7"/>
    <w:rsid w:val="005D2CB6"/>
    <w:rsid w:val="005D2CE0"/>
    <w:rsid w:val="005D4D10"/>
    <w:rsid w:val="005D5B5A"/>
    <w:rsid w:val="005D77B7"/>
    <w:rsid w:val="005E1A8D"/>
    <w:rsid w:val="005E315E"/>
    <w:rsid w:val="005E4A0E"/>
    <w:rsid w:val="005E78C2"/>
    <w:rsid w:val="005F0DBA"/>
    <w:rsid w:val="005F1BC3"/>
    <w:rsid w:val="005F3141"/>
    <w:rsid w:val="005F3417"/>
    <w:rsid w:val="005F73CB"/>
    <w:rsid w:val="00601441"/>
    <w:rsid w:val="00602BD2"/>
    <w:rsid w:val="006061A9"/>
    <w:rsid w:val="0060621B"/>
    <w:rsid w:val="00606DC7"/>
    <w:rsid w:val="006134FD"/>
    <w:rsid w:val="00613562"/>
    <w:rsid w:val="006135B3"/>
    <w:rsid w:val="006140AD"/>
    <w:rsid w:val="0061549F"/>
    <w:rsid w:val="00615E6A"/>
    <w:rsid w:val="006173E1"/>
    <w:rsid w:val="00620019"/>
    <w:rsid w:val="00622A9A"/>
    <w:rsid w:val="00623065"/>
    <w:rsid w:val="00623E7A"/>
    <w:rsid w:val="0062639C"/>
    <w:rsid w:val="00627CCD"/>
    <w:rsid w:val="00630F67"/>
    <w:rsid w:val="00632B67"/>
    <w:rsid w:val="00635BDE"/>
    <w:rsid w:val="0063738B"/>
    <w:rsid w:val="00637BEE"/>
    <w:rsid w:val="00640D65"/>
    <w:rsid w:val="00641C2F"/>
    <w:rsid w:val="00642588"/>
    <w:rsid w:val="006434DA"/>
    <w:rsid w:val="006437C4"/>
    <w:rsid w:val="00645718"/>
    <w:rsid w:val="00645C53"/>
    <w:rsid w:val="00651D28"/>
    <w:rsid w:val="006541B6"/>
    <w:rsid w:val="00654B61"/>
    <w:rsid w:val="0065706D"/>
    <w:rsid w:val="00657C92"/>
    <w:rsid w:val="0066385F"/>
    <w:rsid w:val="006656D8"/>
    <w:rsid w:val="0066733A"/>
    <w:rsid w:val="006673C0"/>
    <w:rsid w:val="00674CE1"/>
    <w:rsid w:val="006762BB"/>
    <w:rsid w:val="006765A8"/>
    <w:rsid w:val="00682892"/>
    <w:rsid w:val="00683A09"/>
    <w:rsid w:val="006844AE"/>
    <w:rsid w:val="00685759"/>
    <w:rsid w:val="0068739F"/>
    <w:rsid w:val="00692DFC"/>
    <w:rsid w:val="00694689"/>
    <w:rsid w:val="006958E8"/>
    <w:rsid w:val="006A140E"/>
    <w:rsid w:val="006B1CE3"/>
    <w:rsid w:val="006B1D9F"/>
    <w:rsid w:val="006B23A5"/>
    <w:rsid w:val="006B5A38"/>
    <w:rsid w:val="006B7D20"/>
    <w:rsid w:val="006C0242"/>
    <w:rsid w:val="006C1351"/>
    <w:rsid w:val="006C135A"/>
    <w:rsid w:val="006C169F"/>
    <w:rsid w:val="006C1C8F"/>
    <w:rsid w:val="006C252C"/>
    <w:rsid w:val="006C28BF"/>
    <w:rsid w:val="006C47F8"/>
    <w:rsid w:val="006C5415"/>
    <w:rsid w:val="006C6573"/>
    <w:rsid w:val="006C6645"/>
    <w:rsid w:val="006C6A38"/>
    <w:rsid w:val="006C6AC5"/>
    <w:rsid w:val="006D267A"/>
    <w:rsid w:val="006D5A92"/>
    <w:rsid w:val="006D68C4"/>
    <w:rsid w:val="006E019C"/>
    <w:rsid w:val="006E05BF"/>
    <w:rsid w:val="006E22E0"/>
    <w:rsid w:val="006E65E4"/>
    <w:rsid w:val="006E7396"/>
    <w:rsid w:val="006F0E00"/>
    <w:rsid w:val="006F2157"/>
    <w:rsid w:val="006F2F39"/>
    <w:rsid w:val="006F38D8"/>
    <w:rsid w:val="006F70DA"/>
    <w:rsid w:val="0070195E"/>
    <w:rsid w:val="007038B5"/>
    <w:rsid w:val="00706E47"/>
    <w:rsid w:val="007074EB"/>
    <w:rsid w:val="00707A47"/>
    <w:rsid w:val="0071043B"/>
    <w:rsid w:val="00710D46"/>
    <w:rsid w:val="00711F31"/>
    <w:rsid w:val="0071331C"/>
    <w:rsid w:val="00714EDF"/>
    <w:rsid w:val="007166E0"/>
    <w:rsid w:val="00716B1A"/>
    <w:rsid w:val="00717199"/>
    <w:rsid w:val="00717A29"/>
    <w:rsid w:val="007221A4"/>
    <w:rsid w:val="00722809"/>
    <w:rsid w:val="00722B7D"/>
    <w:rsid w:val="00723A96"/>
    <w:rsid w:val="00723CD2"/>
    <w:rsid w:val="00724061"/>
    <w:rsid w:val="00725941"/>
    <w:rsid w:val="00727211"/>
    <w:rsid w:val="00730302"/>
    <w:rsid w:val="0073186E"/>
    <w:rsid w:val="00732575"/>
    <w:rsid w:val="00733BBB"/>
    <w:rsid w:val="00735F5C"/>
    <w:rsid w:val="007360C4"/>
    <w:rsid w:val="00736992"/>
    <w:rsid w:val="00736BC6"/>
    <w:rsid w:val="00737344"/>
    <w:rsid w:val="00737C58"/>
    <w:rsid w:val="00744465"/>
    <w:rsid w:val="00744545"/>
    <w:rsid w:val="00746BCD"/>
    <w:rsid w:val="007474E1"/>
    <w:rsid w:val="00751477"/>
    <w:rsid w:val="0075254C"/>
    <w:rsid w:val="00753ABC"/>
    <w:rsid w:val="00753BA4"/>
    <w:rsid w:val="007571E6"/>
    <w:rsid w:val="007608D2"/>
    <w:rsid w:val="00764709"/>
    <w:rsid w:val="007650AC"/>
    <w:rsid w:val="0076645B"/>
    <w:rsid w:val="00771286"/>
    <w:rsid w:val="00772D0C"/>
    <w:rsid w:val="0077386D"/>
    <w:rsid w:val="007760A3"/>
    <w:rsid w:val="00776432"/>
    <w:rsid w:val="0078104A"/>
    <w:rsid w:val="0078508B"/>
    <w:rsid w:val="007865F3"/>
    <w:rsid w:val="00787897"/>
    <w:rsid w:val="00787CE3"/>
    <w:rsid w:val="00791F7A"/>
    <w:rsid w:val="00792B16"/>
    <w:rsid w:val="007934A5"/>
    <w:rsid w:val="00793F1F"/>
    <w:rsid w:val="007947F2"/>
    <w:rsid w:val="00795035"/>
    <w:rsid w:val="007A0AD9"/>
    <w:rsid w:val="007A3D94"/>
    <w:rsid w:val="007A4F4D"/>
    <w:rsid w:val="007A5445"/>
    <w:rsid w:val="007B2BED"/>
    <w:rsid w:val="007B3C3A"/>
    <w:rsid w:val="007B56BB"/>
    <w:rsid w:val="007B6E38"/>
    <w:rsid w:val="007C3C32"/>
    <w:rsid w:val="007C3E65"/>
    <w:rsid w:val="007C6101"/>
    <w:rsid w:val="007C6E89"/>
    <w:rsid w:val="007D04E0"/>
    <w:rsid w:val="007D068F"/>
    <w:rsid w:val="007D06C3"/>
    <w:rsid w:val="007D11B9"/>
    <w:rsid w:val="007D2277"/>
    <w:rsid w:val="007D2863"/>
    <w:rsid w:val="007D31EB"/>
    <w:rsid w:val="007D3695"/>
    <w:rsid w:val="007D51C2"/>
    <w:rsid w:val="007D6502"/>
    <w:rsid w:val="007D6FAC"/>
    <w:rsid w:val="007E2D3E"/>
    <w:rsid w:val="007E3570"/>
    <w:rsid w:val="007E578A"/>
    <w:rsid w:val="007F0B94"/>
    <w:rsid w:val="007F0DE8"/>
    <w:rsid w:val="007F237F"/>
    <w:rsid w:val="007F2AB5"/>
    <w:rsid w:val="008002D5"/>
    <w:rsid w:val="008011CE"/>
    <w:rsid w:val="00802C71"/>
    <w:rsid w:val="00803AB1"/>
    <w:rsid w:val="008046F3"/>
    <w:rsid w:val="00805D05"/>
    <w:rsid w:val="008075C1"/>
    <w:rsid w:val="008108A2"/>
    <w:rsid w:val="008125BC"/>
    <w:rsid w:val="00813E7A"/>
    <w:rsid w:val="00817876"/>
    <w:rsid w:val="00820682"/>
    <w:rsid w:val="00821785"/>
    <w:rsid w:val="00822D49"/>
    <w:rsid w:val="00824275"/>
    <w:rsid w:val="0082758C"/>
    <w:rsid w:val="008306C1"/>
    <w:rsid w:val="0083123F"/>
    <w:rsid w:val="00831AA2"/>
    <w:rsid w:val="00832D1E"/>
    <w:rsid w:val="0083334C"/>
    <w:rsid w:val="00833A60"/>
    <w:rsid w:val="00833BC6"/>
    <w:rsid w:val="00834BED"/>
    <w:rsid w:val="00837106"/>
    <w:rsid w:val="008410C3"/>
    <w:rsid w:val="00841FA7"/>
    <w:rsid w:val="008420DA"/>
    <w:rsid w:val="00844F93"/>
    <w:rsid w:val="00845615"/>
    <w:rsid w:val="008521F3"/>
    <w:rsid w:val="008523CF"/>
    <w:rsid w:val="00852DB3"/>
    <w:rsid w:val="00853743"/>
    <w:rsid w:val="00857183"/>
    <w:rsid w:val="00860589"/>
    <w:rsid w:val="00860B8A"/>
    <w:rsid w:val="00860C27"/>
    <w:rsid w:val="00860E49"/>
    <w:rsid w:val="00861C7D"/>
    <w:rsid w:val="00861E21"/>
    <w:rsid w:val="00863FC5"/>
    <w:rsid w:val="00866E1E"/>
    <w:rsid w:val="00867CF4"/>
    <w:rsid w:val="0087031F"/>
    <w:rsid w:val="008704E4"/>
    <w:rsid w:val="008711F3"/>
    <w:rsid w:val="008716B4"/>
    <w:rsid w:val="00872CBD"/>
    <w:rsid w:val="00880625"/>
    <w:rsid w:val="008807E6"/>
    <w:rsid w:val="00881F14"/>
    <w:rsid w:val="008822EB"/>
    <w:rsid w:val="0088329D"/>
    <w:rsid w:val="008847DB"/>
    <w:rsid w:val="00887B02"/>
    <w:rsid w:val="0089000D"/>
    <w:rsid w:val="00890E70"/>
    <w:rsid w:val="0089188D"/>
    <w:rsid w:val="00894A12"/>
    <w:rsid w:val="0089540D"/>
    <w:rsid w:val="00896CE1"/>
    <w:rsid w:val="008A28C8"/>
    <w:rsid w:val="008A2E07"/>
    <w:rsid w:val="008A3F63"/>
    <w:rsid w:val="008A4AE3"/>
    <w:rsid w:val="008A5349"/>
    <w:rsid w:val="008A6B6A"/>
    <w:rsid w:val="008A7815"/>
    <w:rsid w:val="008B01F5"/>
    <w:rsid w:val="008B0F7B"/>
    <w:rsid w:val="008B12FC"/>
    <w:rsid w:val="008B1AB0"/>
    <w:rsid w:val="008B44D9"/>
    <w:rsid w:val="008B5871"/>
    <w:rsid w:val="008C0085"/>
    <w:rsid w:val="008C1C2D"/>
    <w:rsid w:val="008C24CE"/>
    <w:rsid w:val="008C2BD1"/>
    <w:rsid w:val="008C4136"/>
    <w:rsid w:val="008C782B"/>
    <w:rsid w:val="008D4F26"/>
    <w:rsid w:val="008D540D"/>
    <w:rsid w:val="008D722F"/>
    <w:rsid w:val="008D73E2"/>
    <w:rsid w:val="008E1AD8"/>
    <w:rsid w:val="008E1C96"/>
    <w:rsid w:val="008E250A"/>
    <w:rsid w:val="008E615A"/>
    <w:rsid w:val="008E7510"/>
    <w:rsid w:val="008F07EA"/>
    <w:rsid w:val="008F0AC7"/>
    <w:rsid w:val="008F116A"/>
    <w:rsid w:val="008F2A77"/>
    <w:rsid w:val="008F4983"/>
    <w:rsid w:val="0090121F"/>
    <w:rsid w:val="00901545"/>
    <w:rsid w:val="0090168A"/>
    <w:rsid w:val="00901776"/>
    <w:rsid w:val="009018FB"/>
    <w:rsid w:val="00902B72"/>
    <w:rsid w:val="00902F9A"/>
    <w:rsid w:val="00904762"/>
    <w:rsid w:val="009078BE"/>
    <w:rsid w:val="00911AE6"/>
    <w:rsid w:val="009134F9"/>
    <w:rsid w:val="00914399"/>
    <w:rsid w:val="009144A8"/>
    <w:rsid w:val="00915A9F"/>
    <w:rsid w:val="00915ACA"/>
    <w:rsid w:val="009171AC"/>
    <w:rsid w:val="00917574"/>
    <w:rsid w:val="00920C0B"/>
    <w:rsid w:val="0092208B"/>
    <w:rsid w:val="0092358F"/>
    <w:rsid w:val="009256AA"/>
    <w:rsid w:val="00925829"/>
    <w:rsid w:val="009333CF"/>
    <w:rsid w:val="00940113"/>
    <w:rsid w:val="0094133E"/>
    <w:rsid w:val="00941A3B"/>
    <w:rsid w:val="0094522A"/>
    <w:rsid w:val="00946EFB"/>
    <w:rsid w:val="0095181D"/>
    <w:rsid w:val="00951B72"/>
    <w:rsid w:val="00953DDC"/>
    <w:rsid w:val="009574CE"/>
    <w:rsid w:val="0095750A"/>
    <w:rsid w:val="00960A3D"/>
    <w:rsid w:val="00960E0F"/>
    <w:rsid w:val="00961332"/>
    <w:rsid w:val="00961CE6"/>
    <w:rsid w:val="00962B8C"/>
    <w:rsid w:val="00964A0F"/>
    <w:rsid w:val="009655FE"/>
    <w:rsid w:val="00970E5B"/>
    <w:rsid w:val="009716E0"/>
    <w:rsid w:val="00975D78"/>
    <w:rsid w:val="00976FF8"/>
    <w:rsid w:val="00981E7A"/>
    <w:rsid w:val="0098695A"/>
    <w:rsid w:val="00986D33"/>
    <w:rsid w:val="0099232A"/>
    <w:rsid w:val="00994374"/>
    <w:rsid w:val="00996DA7"/>
    <w:rsid w:val="00996E99"/>
    <w:rsid w:val="009A0121"/>
    <w:rsid w:val="009A1277"/>
    <w:rsid w:val="009A286B"/>
    <w:rsid w:val="009A4082"/>
    <w:rsid w:val="009A4B42"/>
    <w:rsid w:val="009A7178"/>
    <w:rsid w:val="009B135B"/>
    <w:rsid w:val="009B1A7E"/>
    <w:rsid w:val="009B2960"/>
    <w:rsid w:val="009C0B44"/>
    <w:rsid w:val="009C405E"/>
    <w:rsid w:val="009C527E"/>
    <w:rsid w:val="009C583E"/>
    <w:rsid w:val="009C6299"/>
    <w:rsid w:val="009C644D"/>
    <w:rsid w:val="009C70C0"/>
    <w:rsid w:val="009D036F"/>
    <w:rsid w:val="009D0BC6"/>
    <w:rsid w:val="009D1C53"/>
    <w:rsid w:val="009D2428"/>
    <w:rsid w:val="009D29F8"/>
    <w:rsid w:val="009D3A19"/>
    <w:rsid w:val="009D5815"/>
    <w:rsid w:val="009D7A55"/>
    <w:rsid w:val="009E210C"/>
    <w:rsid w:val="009E231C"/>
    <w:rsid w:val="009E23F6"/>
    <w:rsid w:val="009E3998"/>
    <w:rsid w:val="009E4623"/>
    <w:rsid w:val="009E55CF"/>
    <w:rsid w:val="009E6ABA"/>
    <w:rsid w:val="009E6E7A"/>
    <w:rsid w:val="009E7349"/>
    <w:rsid w:val="009F014A"/>
    <w:rsid w:val="009F085F"/>
    <w:rsid w:val="009F3A21"/>
    <w:rsid w:val="009F4EAD"/>
    <w:rsid w:val="009F6449"/>
    <w:rsid w:val="00A022CE"/>
    <w:rsid w:val="00A03640"/>
    <w:rsid w:val="00A04164"/>
    <w:rsid w:val="00A06770"/>
    <w:rsid w:val="00A10390"/>
    <w:rsid w:val="00A10E2C"/>
    <w:rsid w:val="00A11827"/>
    <w:rsid w:val="00A1295B"/>
    <w:rsid w:val="00A144D7"/>
    <w:rsid w:val="00A15784"/>
    <w:rsid w:val="00A24739"/>
    <w:rsid w:val="00A2546D"/>
    <w:rsid w:val="00A30A2B"/>
    <w:rsid w:val="00A3104B"/>
    <w:rsid w:val="00A3114B"/>
    <w:rsid w:val="00A31F86"/>
    <w:rsid w:val="00A32862"/>
    <w:rsid w:val="00A346CC"/>
    <w:rsid w:val="00A35A45"/>
    <w:rsid w:val="00A362A7"/>
    <w:rsid w:val="00A36619"/>
    <w:rsid w:val="00A3729B"/>
    <w:rsid w:val="00A415B9"/>
    <w:rsid w:val="00A446D7"/>
    <w:rsid w:val="00A47CE2"/>
    <w:rsid w:val="00A47D8F"/>
    <w:rsid w:val="00A50860"/>
    <w:rsid w:val="00A516E6"/>
    <w:rsid w:val="00A526FB"/>
    <w:rsid w:val="00A52BD0"/>
    <w:rsid w:val="00A53CE2"/>
    <w:rsid w:val="00A53E9E"/>
    <w:rsid w:val="00A55D6E"/>
    <w:rsid w:val="00A57158"/>
    <w:rsid w:val="00A5773C"/>
    <w:rsid w:val="00A60B97"/>
    <w:rsid w:val="00A60DDF"/>
    <w:rsid w:val="00A61E71"/>
    <w:rsid w:val="00A66BD6"/>
    <w:rsid w:val="00A66E87"/>
    <w:rsid w:val="00A67D06"/>
    <w:rsid w:val="00A707B2"/>
    <w:rsid w:val="00A7264E"/>
    <w:rsid w:val="00A7619A"/>
    <w:rsid w:val="00A77BAB"/>
    <w:rsid w:val="00A846F0"/>
    <w:rsid w:val="00A84D55"/>
    <w:rsid w:val="00A850C7"/>
    <w:rsid w:val="00A8761B"/>
    <w:rsid w:val="00A90422"/>
    <w:rsid w:val="00A907D0"/>
    <w:rsid w:val="00A909A0"/>
    <w:rsid w:val="00A94B27"/>
    <w:rsid w:val="00A95B7D"/>
    <w:rsid w:val="00A95BF8"/>
    <w:rsid w:val="00A9717C"/>
    <w:rsid w:val="00A972D7"/>
    <w:rsid w:val="00A97B16"/>
    <w:rsid w:val="00A97E36"/>
    <w:rsid w:val="00AA12EE"/>
    <w:rsid w:val="00AA148F"/>
    <w:rsid w:val="00AA1E98"/>
    <w:rsid w:val="00AA2BE5"/>
    <w:rsid w:val="00AA3080"/>
    <w:rsid w:val="00AA43C7"/>
    <w:rsid w:val="00AA5334"/>
    <w:rsid w:val="00AA60F6"/>
    <w:rsid w:val="00AA6314"/>
    <w:rsid w:val="00AA7245"/>
    <w:rsid w:val="00AA7444"/>
    <w:rsid w:val="00AB113F"/>
    <w:rsid w:val="00AB3109"/>
    <w:rsid w:val="00AB4309"/>
    <w:rsid w:val="00AB5032"/>
    <w:rsid w:val="00AC26BF"/>
    <w:rsid w:val="00AC350A"/>
    <w:rsid w:val="00AC4F54"/>
    <w:rsid w:val="00AC55CC"/>
    <w:rsid w:val="00AC694C"/>
    <w:rsid w:val="00AC6E51"/>
    <w:rsid w:val="00AD51CC"/>
    <w:rsid w:val="00AD66C9"/>
    <w:rsid w:val="00AD7541"/>
    <w:rsid w:val="00AE2383"/>
    <w:rsid w:val="00AE40EA"/>
    <w:rsid w:val="00AE583C"/>
    <w:rsid w:val="00AF07FE"/>
    <w:rsid w:val="00AF11AA"/>
    <w:rsid w:val="00AF2A31"/>
    <w:rsid w:val="00AF4188"/>
    <w:rsid w:val="00B02246"/>
    <w:rsid w:val="00B0473B"/>
    <w:rsid w:val="00B10683"/>
    <w:rsid w:val="00B1346F"/>
    <w:rsid w:val="00B13732"/>
    <w:rsid w:val="00B138E1"/>
    <w:rsid w:val="00B1407F"/>
    <w:rsid w:val="00B17AE7"/>
    <w:rsid w:val="00B203DE"/>
    <w:rsid w:val="00B21101"/>
    <w:rsid w:val="00B21B09"/>
    <w:rsid w:val="00B2387F"/>
    <w:rsid w:val="00B26AB4"/>
    <w:rsid w:val="00B26CA9"/>
    <w:rsid w:val="00B34993"/>
    <w:rsid w:val="00B35193"/>
    <w:rsid w:val="00B36807"/>
    <w:rsid w:val="00B36934"/>
    <w:rsid w:val="00B440FC"/>
    <w:rsid w:val="00B44946"/>
    <w:rsid w:val="00B452E0"/>
    <w:rsid w:val="00B45C09"/>
    <w:rsid w:val="00B47E6D"/>
    <w:rsid w:val="00B509B8"/>
    <w:rsid w:val="00B5125F"/>
    <w:rsid w:val="00B51AD2"/>
    <w:rsid w:val="00B51C6C"/>
    <w:rsid w:val="00B53E8C"/>
    <w:rsid w:val="00B54DBC"/>
    <w:rsid w:val="00B5523C"/>
    <w:rsid w:val="00B55868"/>
    <w:rsid w:val="00B55AC1"/>
    <w:rsid w:val="00B61F13"/>
    <w:rsid w:val="00B66D40"/>
    <w:rsid w:val="00B7218E"/>
    <w:rsid w:val="00B72C0F"/>
    <w:rsid w:val="00B7348F"/>
    <w:rsid w:val="00B7369D"/>
    <w:rsid w:val="00B751A8"/>
    <w:rsid w:val="00B76B67"/>
    <w:rsid w:val="00B77E48"/>
    <w:rsid w:val="00B824B4"/>
    <w:rsid w:val="00B829BF"/>
    <w:rsid w:val="00B8570F"/>
    <w:rsid w:val="00B85760"/>
    <w:rsid w:val="00B85930"/>
    <w:rsid w:val="00B9035F"/>
    <w:rsid w:val="00B90D31"/>
    <w:rsid w:val="00B91867"/>
    <w:rsid w:val="00B92054"/>
    <w:rsid w:val="00B92B29"/>
    <w:rsid w:val="00B92C34"/>
    <w:rsid w:val="00B952A7"/>
    <w:rsid w:val="00B97304"/>
    <w:rsid w:val="00BA1C39"/>
    <w:rsid w:val="00BA285D"/>
    <w:rsid w:val="00BA3A47"/>
    <w:rsid w:val="00BA6C38"/>
    <w:rsid w:val="00BA70A1"/>
    <w:rsid w:val="00BA771B"/>
    <w:rsid w:val="00BA7CCB"/>
    <w:rsid w:val="00BB0223"/>
    <w:rsid w:val="00BB1666"/>
    <w:rsid w:val="00BB34F7"/>
    <w:rsid w:val="00BB3AF2"/>
    <w:rsid w:val="00BB7A65"/>
    <w:rsid w:val="00BB7B6E"/>
    <w:rsid w:val="00BC68BA"/>
    <w:rsid w:val="00BC6CAC"/>
    <w:rsid w:val="00BC794A"/>
    <w:rsid w:val="00BD0362"/>
    <w:rsid w:val="00BD0BB2"/>
    <w:rsid w:val="00BD1831"/>
    <w:rsid w:val="00BD471D"/>
    <w:rsid w:val="00BD4DFF"/>
    <w:rsid w:val="00BD5A66"/>
    <w:rsid w:val="00BD62B1"/>
    <w:rsid w:val="00BD650D"/>
    <w:rsid w:val="00BD6A65"/>
    <w:rsid w:val="00BD7344"/>
    <w:rsid w:val="00BD7956"/>
    <w:rsid w:val="00BE0C3D"/>
    <w:rsid w:val="00BE1B49"/>
    <w:rsid w:val="00BE2A3B"/>
    <w:rsid w:val="00BE4334"/>
    <w:rsid w:val="00BE7DF2"/>
    <w:rsid w:val="00BF0AC8"/>
    <w:rsid w:val="00BF0E8A"/>
    <w:rsid w:val="00BF32DE"/>
    <w:rsid w:val="00BF4821"/>
    <w:rsid w:val="00C018A8"/>
    <w:rsid w:val="00C0280F"/>
    <w:rsid w:val="00C0501D"/>
    <w:rsid w:val="00C0625D"/>
    <w:rsid w:val="00C0637D"/>
    <w:rsid w:val="00C071DF"/>
    <w:rsid w:val="00C10A15"/>
    <w:rsid w:val="00C11947"/>
    <w:rsid w:val="00C12CF4"/>
    <w:rsid w:val="00C14091"/>
    <w:rsid w:val="00C142F9"/>
    <w:rsid w:val="00C1504E"/>
    <w:rsid w:val="00C158D7"/>
    <w:rsid w:val="00C17AC6"/>
    <w:rsid w:val="00C17D21"/>
    <w:rsid w:val="00C20FB5"/>
    <w:rsid w:val="00C23FF6"/>
    <w:rsid w:val="00C247A2"/>
    <w:rsid w:val="00C25084"/>
    <w:rsid w:val="00C25581"/>
    <w:rsid w:val="00C25B20"/>
    <w:rsid w:val="00C26314"/>
    <w:rsid w:val="00C26F2E"/>
    <w:rsid w:val="00C3084A"/>
    <w:rsid w:val="00C319BF"/>
    <w:rsid w:val="00C31D52"/>
    <w:rsid w:val="00C3465C"/>
    <w:rsid w:val="00C34FDB"/>
    <w:rsid w:val="00C37114"/>
    <w:rsid w:val="00C40080"/>
    <w:rsid w:val="00C443C0"/>
    <w:rsid w:val="00C44F0E"/>
    <w:rsid w:val="00C45DFF"/>
    <w:rsid w:val="00C4612E"/>
    <w:rsid w:val="00C46A10"/>
    <w:rsid w:val="00C5125F"/>
    <w:rsid w:val="00C51FF2"/>
    <w:rsid w:val="00C52208"/>
    <w:rsid w:val="00C53278"/>
    <w:rsid w:val="00C53657"/>
    <w:rsid w:val="00C54241"/>
    <w:rsid w:val="00C547A2"/>
    <w:rsid w:val="00C55CD0"/>
    <w:rsid w:val="00C5625D"/>
    <w:rsid w:val="00C56B87"/>
    <w:rsid w:val="00C57433"/>
    <w:rsid w:val="00C6008D"/>
    <w:rsid w:val="00C61BF8"/>
    <w:rsid w:val="00C64FCA"/>
    <w:rsid w:val="00C65937"/>
    <w:rsid w:val="00C6680B"/>
    <w:rsid w:val="00C67017"/>
    <w:rsid w:val="00C73A6F"/>
    <w:rsid w:val="00C754C9"/>
    <w:rsid w:val="00C76D2A"/>
    <w:rsid w:val="00C77613"/>
    <w:rsid w:val="00C80630"/>
    <w:rsid w:val="00C80FA1"/>
    <w:rsid w:val="00C8174F"/>
    <w:rsid w:val="00C84EE9"/>
    <w:rsid w:val="00C851B1"/>
    <w:rsid w:val="00C87806"/>
    <w:rsid w:val="00C918B0"/>
    <w:rsid w:val="00C94F6A"/>
    <w:rsid w:val="00C967F7"/>
    <w:rsid w:val="00C97674"/>
    <w:rsid w:val="00C97740"/>
    <w:rsid w:val="00CA00D7"/>
    <w:rsid w:val="00CA06D6"/>
    <w:rsid w:val="00CA15BD"/>
    <w:rsid w:val="00CA458A"/>
    <w:rsid w:val="00CA51DF"/>
    <w:rsid w:val="00CA657E"/>
    <w:rsid w:val="00CB07C8"/>
    <w:rsid w:val="00CB1192"/>
    <w:rsid w:val="00CB353C"/>
    <w:rsid w:val="00CB511F"/>
    <w:rsid w:val="00CB527B"/>
    <w:rsid w:val="00CB5E28"/>
    <w:rsid w:val="00CB5FB0"/>
    <w:rsid w:val="00CB6ED1"/>
    <w:rsid w:val="00CC3414"/>
    <w:rsid w:val="00CC41AC"/>
    <w:rsid w:val="00CC428E"/>
    <w:rsid w:val="00CD0158"/>
    <w:rsid w:val="00CD03B2"/>
    <w:rsid w:val="00CD0690"/>
    <w:rsid w:val="00CD2123"/>
    <w:rsid w:val="00CD3755"/>
    <w:rsid w:val="00CD7C68"/>
    <w:rsid w:val="00CE165C"/>
    <w:rsid w:val="00CE21AD"/>
    <w:rsid w:val="00CE5C77"/>
    <w:rsid w:val="00CE6C46"/>
    <w:rsid w:val="00CE7A58"/>
    <w:rsid w:val="00CF2F9E"/>
    <w:rsid w:val="00CF4F42"/>
    <w:rsid w:val="00CF6BB2"/>
    <w:rsid w:val="00CF7A6B"/>
    <w:rsid w:val="00CF7F34"/>
    <w:rsid w:val="00D0025E"/>
    <w:rsid w:val="00D00AEC"/>
    <w:rsid w:val="00D010EE"/>
    <w:rsid w:val="00D039E4"/>
    <w:rsid w:val="00D046FF"/>
    <w:rsid w:val="00D10386"/>
    <w:rsid w:val="00D11225"/>
    <w:rsid w:val="00D11DCE"/>
    <w:rsid w:val="00D129B9"/>
    <w:rsid w:val="00D12ABA"/>
    <w:rsid w:val="00D14DD3"/>
    <w:rsid w:val="00D14DEA"/>
    <w:rsid w:val="00D15CFB"/>
    <w:rsid w:val="00D171D6"/>
    <w:rsid w:val="00D20262"/>
    <w:rsid w:val="00D2103D"/>
    <w:rsid w:val="00D21C55"/>
    <w:rsid w:val="00D22BBB"/>
    <w:rsid w:val="00D24A0C"/>
    <w:rsid w:val="00D30AED"/>
    <w:rsid w:val="00D30E8C"/>
    <w:rsid w:val="00D30F03"/>
    <w:rsid w:val="00D313E4"/>
    <w:rsid w:val="00D325BA"/>
    <w:rsid w:val="00D3355A"/>
    <w:rsid w:val="00D359B7"/>
    <w:rsid w:val="00D35B76"/>
    <w:rsid w:val="00D3677E"/>
    <w:rsid w:val="00D36BD3"/>
    <w:rsid w:val="00D36F63"/>
    <w:rsid w:val="00D3735A"/>
    <w:rsid w:val="00D43274"/>
    <w:rsid w:val="00D450E2"/>
    <w:rsid w:val="00D470BB"/>
    <w:rsid w:val="00D47B20"/>
    <w:rsid w:val="00D50E5D"/>
    <w:rsid w:val="00D51DA5"/>
    <w:rsid w:val="00D53598"/>
    <w:rsid w:val="00D549A8"/>
    <w:rsid w:val="00D55804"/>
    <w:rsid w:val="00D60FD1"/>
    <w:rsid w:val="00D6218C"/>
    <w:rsid w:val="00D62E02"/>
    <w:rsid w:val="00D64A11"/>
    <w:rsid w:val="00D67255"/>
    <w:rsid w:val="00D71068"/>
    <w:rsid w:val="00D76BC1"/>
    <w:rsid w:val="00D76E90"/>
    <w:rsid w:val="00D776CC"/>
    <w:rsid w:val="00D82725"/>
    <w:rsid w:val="00D86368"/>
    <w:rsid w:val="00D90E13"/>
    <w:rsid w:val="00D92B30"/>
    <w:rsid w:val="00D95019"/>
    <w:rsid w:val="00DA14DF"/>
    <w:rsid w:val="00DA24C9"/>
    <w:rsid w:val="00DA53DC"/>
    <w:rsid w:val="00DA7440"/>
    <w:rsid w:val="00DB12FD"/>
    <w:rsid w:val="00DB1966"/>
    <w:rsid w:val="00DB252A"/>
    <w:rsid w:val="00DB27C3"/>
    <w:rsid w:val="00DB3CE7"/>
    <w:rsid w:val="00DB4CF5"/>
    <w:rsid w:val="00DB559B"/>
    <w:rsid w:val="00DB5966"/>
    <w:rsid w:val="00DB59E4"/>
    <w:rsid w:val="00DB5B84"/>
    <w:rsid w:val="00DB6379"/>
    <w:rsid w:val="00DC47FD"/>
    <w:rsid w:val="00DC55BB"/>
    <w:rsid w:val="00DC5B08"/>
    <w:rsid w:val="00DC627E"/>
    <w:rsid w:val="00DD100D"/>
    <w:rsid w:val="00DD32E8"/>
    <w:rsid w:val="00DD5F4B"/>
    <w:rsid w:val="00DD6E57"/>
    <w:rsid w:val="00DE0823"/>
    <w:rsid w:val="00DE5A92"/>
    <w:rsid w:val="00DE7BFB"/>
    <w:rsid w:val="00DF0C41"/>
    <w:rsid w:val="00DF15AB"/>
    <w:rsid w:val="00DF4BA7"/>
    <w:rsid w:val="00DF75D9"/>
    <w:rsid w:val="00E0053B"/>
    <w:rsid w:val="00E050E6"/>
    <w:rsid w:val="00E07339"/>
    <w:rsid w:val="00E077A1"/>
    <w:rsid w:val="00E079ED"/>
    <w:rsid w:val="00E07C3A"/>
    <w:rsid w:val="00E10376"/>
    <w:rsid w:val="00E10386"/>
    <w:rsid w:val="00E11C48"/>
    <w:rsid w:val="00E11F69"/>
    <w:rsid w:val="00E12EFD"/>
    <w:rsid w:val="00E13D6B"/>
    <w:rsid w:val="00E143FC"/>
    <w:rsid w:val="00E14AA4"/>
    <w:rsid w:val="00E2010C"/>
    <w:rsid w:val="00E21368"/>
    <w:rsid w:val="00E2140B"/>
    <w:rsid w:val="00E246B3"/>
    <w:rsid w:val="00E2473E"/>
    <w:rsid w:val="00E25412"/>
    <w:rsid w:val="00E26980"/>
    <w:rsid w:val="00E26F5E"/>
    <w:rsid w:val="00E313A4"/>
    <w:rsid w:val="00E31F7E"/>
    <w:rsid w:val="00E329D0"/>
    <w:rsid w:val="00E33F70"/>
    <w:rsid w:val="00E3414D"/>
    <w:rsid w:val="00E35C0D"/>
    <w:rsid w:val="00E363E5"/>
    <w:rsid w:val="00E3676C"/>
    <w:rsid w:val="00E437A3"/>
    <w:rsid w:val="00E43BEE"/>
    <w:rsid w:val="00E44C64"/>
    <w:rsid w:val="00E457D5"/>
    <w:rsid w:val="00E46B15"/>
    <w:rsid w:val="00E47050"/>
    <w:rsid w:val="00E47A00"/>
    <w:rsid w:val="00E54EEA"/>
    <w:rsid w:val="00E55A80"/>
    <w:rsid w:val="00E60FC8"/>
    <w:rsid w:val="00E6182D"/>
    <w:rsid w:val="00E63CDC"/>
    <w:rsid w:val="00E644A3"/>
    <w:rsid w:val="00E64AA3"/>
    <w:rsid w:val="00E65703"/>
    <w:rsid w:val="00E67625"/>
    <w:rsid w:val="00E71FF5"/>
    <w:rsid w:val="00E729CC"/>
    <w:rsid w:val="00E74984"/>
    <w:rsid w:val="00E75AA0"/>
    <w:rsid w:val="00E80AA1"/>
    <w:rsid w:val="00E80AC8"/>
    <w:rsid w:val="00E842E6"/>
    <w:rsid w:val="00E844C7"/>
    <w:rsid w:val="00E872EE"/>
    <w:rsid w:val="00E9032B"/>
    <w:rsid w:val="00E93739"/>
    <w:rsid w:val="00E96541"/>
    <w:rsid w:val="00E96709"/>
    <w:rsid w:val="00E9686B"/>
    <w:rsid w:val="00E9714D"/>
    <w:rsid w:val="00EA20AB"/>
    <w:rsid w:val="00EA2410"/>
    <w:rsid w:val="00EA3A65"/>
    <w:rsid w:val="00EA3B93"/>
    <w:rsid w:val="00EA3D8A"/>
    <w:rsid w:val="00EA3F51"/>
    <w:rsid w:val="00EA50DD"/>
    <w:rsid w:val="00EA591B"/>
    <w:rsid w:val="00EA5EE6"/>
    <w:rsid w:val="00EA60E1"/>
    <w:rsid w:val="00EB1062"/>
    <w:rsid w:val="00EB1E2E"/>
    <w:rsid w:val="00EB5523"/>
    <w:rsid w:val="00EB6714"/>
    <w:rsid w:val="00EB6D7B"/>
    <w:rsid w:val="00EC095F"/>
    <w:rsid w:val="00EC3459"/>
    <w:rsid w:val="00EC4B7B"/>
    <w:rsid w:val="00EC503C"/>
    <w:rsid w:val="00EC51AF"/>
    <w:rsid w:val="00EC62D9"/>
    <w:rsid w:val="00EC6861"/>
    <w:rsid w:val="00EC6E6E"/>
    <w:rsid w:val="00ED0032"/>
    <w:rsid w:val="00ED003B"/>
    <w:rsid w:val="00ED3BB5"/>
    <w:rsid w:val="00ED5DD9"/>
    <w:rsid w:val="00EE1855"/>
    <w:rsid w:val="00EE1F0E"/>
    <w:rsid w:val="00EE26D3"/>
    <w:rsid w:val="00EE7023"/>
    <w:rsid w:val="00EF0DA4"/>
    <w:rsid w:val="00EF4850"/>
    <w:rsid w:val="00EF5848"/>
    <w:rsid w:val="00EF5A4E"/>
    <w:rsid w:val="00EF79B1"/>
    <w:rsid w:val="00F020DD"/>
    <w:rsid w:val="00F03024"/>
    <w:rsid w:val="00F03628"/>
    <w:rsid w:val="00F0594C"/>
    <w:rsid w:val="00F05ABF"/>
    <w:rsid w:val="00F07A02"/>
    <w:rsid w:val="00F105A2"/>
    <w:rsid w:val="00F11526"/>
    <w:rsid w:val="00F11D56"/>
    <w:rsid w:val="00F12EDA"/>
    <w:rsid w:val="00F132A6"/>
    <w:rsid w:val="00F1487D"/>
    <w:rsid w:val="00F155FC"/>
    <w:rsid w:val="00F16AF7"/>
    <w:rsid w:val="00F203C5"/>
    <w:rsid w:val="00F21578"/>
    <w:rsid w:val="00F25323"/>
    <w:rsid w:val="00F253E0"/>
    <w:rsid w:val="00F25611"/>
    <w:rsid w:val="00F25B5A"/>
    <w:rsid w:val="00F26A07"/>
    <w:rsid w:val="00F311F6"/>
    <w:rsid w:val="00F31568"/>
    <w:rsid w:val="00F32B83"/>
    <w:rsid w:val="00F3414A"/>
    <w:rsid w:val="00F342A9"/>
    <w:rsid w:val="00F34990"/>
    <w:rsid w:val="00F42398"/>
    <w:rsid w:val="00F4266C"/>
    <w:rsid w:val="00F426F3"/>
    <w:rsid w:val="00F51E43"/>
    <w:rsid w:val="00F5348E"/>
    <w:rsid w:val="00F5504E"/>
    <w:rsid w:val="00F5689A"/>
    <w:rsid w:val="00F57197"/>
    <w:rsid w:val="00F57535"/>
    <w:rsid w:val="00F608D6"/>
    <w:rsid w:val="00F60B59"/>
    <w:rsid w:val="00F60B7C"/>
    <w:rsid w:val="00F61C95"/>
    <w:rsid w:val="00F658BF"/>
    <w:rsid w:val="00F6638A"/>
    <w:rsid w:val="00F66A34"/>
    <w:rsid w:val="00F66D2E"/>
    <w:rsid w:val="00F705A8"/>
    <w:rsid w:val="00F70CBA"/>
    <w:rsid w:val="00F7275A"/>
    <w:rsid w:val="00F747E1"/>
    <w:rsid w:val="00F748AA"/>
    <w:rsid w:val="00F76A4D"/>
    <w:rsid w:val="00F77F20"/>
    <w:rsid w:val="00F80396"/>
    <w:rsid w:val="00F81652"/>
    <w:rsid w:val="00F82927"/>
    <w:rsid w:val="00F839C5"/>
    <w:rsid w:val="00F83CF9"/>
    <w:rsid w:val="00F85347"/>
    <w:rsid w:val="00F85911"/>
    <w:rsid w:val="00F867F7"/>
    <w:rsid w:val="00F868FC"/>
    <w:rsid w:val="00F901BC"/>
    <w:rsid w:val="00F912D6"/>
    <w:rsid w:val="00F95E5F"/>
    <w:rsid w:val="00F970ED"/>
    <w:rsid w:val="00F97D4A"/>
    <w:rsid w:val="00FA1164"/>
    <w:rsid w:val="00FA3A97"/>
    <w:rsid w:val="00FA669E"/>
    <w:rsid w:val="00FB41D7"/>
    <w:rsid w:val="00FB7B77"/>
    <w:rsid w:val="00FC35A1"/>
    <w:rsid w:val="00FC4846"/>
    <w:rsid w:val="00FC5288"/>
    <w:rsid w:val="00FC6426"/>
    <w:rsid w:val="00FC7BE9"/>
    <w:rsid w:val="00FC7D72"/>
    <w:rsid w:val="00FC7DDB"/>
    <w:rsid w:val="00FD07FB"/>
    <w:rsid w:val="00FD1A4A"/>
    <w:rsid w:val="00FD27C5"/>
    <w:rsid w:val="00FD29D7"/>
    <w:rsid w:val="00FD2EE9"/>
    <w:rsid w:val="00FD49FC"/>
    <w:rsid w:val="00FD55F9"/>
    <w:rsid w:val="00FD5F39"/>
    <w:rsid w:val="00FD64BB"/>
    <w:rsid w:val="00FD6630"/>
    <w:rsid w:val="00FE56AD"/>
    <w:rsid w:val="00FE5D0C"/>
    <w:rsid w:val="00FF0638"/>
    <w:rsid w:val="00FF0834"/>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14:docId w14:val="58EDFE4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67682"/>
    <w:pPr>
      <w:jc w:val="both"/>
    </w:pPr>
    <w:rPr>
      <w:rFonts w:ascii="Verdana" w:hAnsi="Verdana"/>
      <w:szCs w:val="24"/>
      <w:lang w:eastAsia="en-GB"/>
    </w:rPr>
  </w:style>
  <w:style w:type="paragraph" w:styleId="Heading1">
    <w:name w:val="heading 1"/>
    <w:basedOn w:val="Normal"/>
    <w:next w:val="Normal"/>
    <w:link w:val="Heading1Char"/>
    <w:qFormat/>
    <w:rsid w:val="00BB7B6E"/>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BB7B6E"/>
    <w:pPr>
      <w:keepNext/>
      <w:numPr>
        <w:ilvl w:val="1"/>
        <w:numId w:val="21"/>
      </w:numPr>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BB7B6E"/>
    <w:pPr>
      <w:keepNext/>
      <w:numPr>
        <w:ilvl w:val="2"/>
        <w:numId w:val="21"/>
      </w:numPr>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BB7B6E"/>
    <w:pPr>
      <w:keepNext/>
      <w:numPr>
        <w:ilvl w:val="3"/>
        <w:numId w:val="21"/>
      </w:numPr>
      <w:spacing w:before="240" w:after="60"/>
      <w:outlineLvl w:val="3"/>
    </w:pPr>
    <w:rPr>
      <w:rFonts w:ascii="Times New Roman" w:hAnsi="Times New Roman"/>
      <w:b/>
      <w:bCs/>
      <w:sz w:val="28"/>
      <w:szCs w:val="28"/>
    </w:rPr>
  </w:style>
  <w:style w:type="character" w:default="1" w:styleId="DefaultParagraphFont">
    <w:name w:val="Default Paragraph Font"/>
    <w:semiHidden/>
    <w:rsid w:val="00BB7B6E"/>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uiPriority w:val="99"/>
    <w:semiHidden/>
    <w:rsid w:val="00BB7B6E"/>
  </w:style>
  <w:style w:type="paragraph" w:styleId="Header">
    <w:name w:val="header"/>
    <w:basedOn w:val="Normal"/>
    <w:link w:val="HeaderChar"/>
    <w:rsid w:val="00BB7B6E"/>
    <w:pPr>
      <w:tabs>
        <w:tab w:val="center" w:pos="4153"/>
        <w:tab w:val="right" w:pos="8306"/>
      </w:tabs>
    </w:pPr>
  </w:style>
  <w:style w:type="paragraph" w:styleId="Footer">
    <w:name w:val="footer"/>
    <w:basedOn w:val="Normal"/>
    <w:link w:val="FooterChar"/>
    <w:rsid w:val="00BB7B6E"/>
    <w:pPr>
      <w:tabs>
        <w:tab w:val="center" w:pos="4153"/>
        <w:tab w:val="right" w:pos="8306"/>
      </w:tabs>
    </w:pPr>
  </w:style>
  <w:style w:type="character" w:styleId="PageNumber">
    <w:name w:val="page number"/>
    <w:rsid w:val="003B5160"/>
    <w:rPr>
      <w:rFonts w:ascii="Verdana" w:hAnsi="Verdana"/>
      <w:sz w:val="20"/>
    </w:rPr>
  </w:style>
  <w:style w:type="table" w:styleId="TableGrid">
    <w:name w:val="Table Grid"/>
    <w:basedOn w:val="TableNormal"/>
    <w:rsid w:val="00BB7B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CFHeader1">
    <w:name w:val="PCF_Header_1"/>
    <w:basedOn w:val="Normal"/>
    <w:next w:val="PCFHeader2"/>
    <w:rsid w:val="00852DB3"/>
    <w:pPr>
      <w:keepNext/>
      <w:pBdr>
        <w:bottom w:val="single" w:sz="12" w:space="4" w:color="999999"/>
      </w:pBdr>
      <w:spacing w:before="240" w:after="120"/>
      <w:contextualSpacing/>
      <w:jc w:val="left"/>
    </w:pPr>
    <w:rPr>
      <w:color w:val="0072BC"/>
      <w:sz w:val="28"/>
    </w:rPr>
  </w:style>
  <w:style w:type="paragraph" w:customStyle="1" w:styleId="PCFHeader2">
    <w:name w:val="PCF_Header_2"/>
    <w:basedOn w:val="Normal"/>
    <w:next w:val="PCFHeaderCase"/>
    <w:rsid w:val="00852DB3"/>
    <w:pPr>
      <w:jc w:val="left"/>
    </w:pPr>
    <w:rPr>
      <w:color w:val="808080"/>
      <w:sz w:val="28"/>
    </w:rPr>
  </w:style>
  <w:style w:type="character" w:styleId="FootnoteReference">
    <w:name w:val="footnote reference"/>
    <w:uiPriority w:val="99"/>
    <w:rsid w:val="00BB7B6E"/>
    <w:rPr>
      <w:vertAlign w:val="superscript"/>
    </w:rPr>
  </w:style>
  <w:style w:type="paragraph" w:styleId="FootnoteText">
    <w:name w:val="footnote text"/>
    <w:basedOn w:val="Normal"/>
    <w:link w:val="FootnoteTextChar"/>
    <w:uiPriority w:val="99"/>
    <w:rsid w:val="00BB7B6E"/>
    <w:rPr>
      <w:szCs w:val="20"/>
    </w:rPr>
  </w:style>
  <w:style w:type="character" w:styleId="Hyperlink">
    <w:name w:val="Hyperlink"/>
    <w:rsid w:val="00100A86"/>
    <w:rPr>
      <w:rFonts w:ascii="Verdana" w:hAnsi="Verdana"/>
      <w:color w:val="0072BC"/>
      <w:u w:val="single"/>
    </w:rPr>
  </w:style>
  <w:style w:type="paragraph" w:customStyle="1" w:styleId="PCFHighlightedCaseIntro">
    <w:name w:val="PCF_Highlighted_Case_Intro"/>
    <w:basedOn w:val="PCFHeaderCaseGrey"/>
    <w:next w:val="PCFHeaderCaseGrey"/>
    <w:rsid w:val="00852DB3"/>
    <w:pPr>
      <w:jc w:val="both"/>
    </w:pPr>
    <w:rPr>
      <w:color w:val="5F5F5F"/>
    </w:rPr>
  </w:style>
  <w:style w:type="character" w:customStyle="1" w:styleId="PCFSmallSpacerChar">
    <w:name w:val="PCF_Small_Spacer Char"/>
    <w:link w:val="PCFSmallSpacer"/>
    <w:rsid w:val="008A5349"/>
    <w:rPr>
      <w:rFonts w:ascii="Verdana" w:hAnsi="Verdana"/>
      <w:sz w:val="4"/>
      <w:szCs w:val="4"/>
      <w:lang w:val="ro-RO" w:eastAsia="en-GB" w:bidi="ar-SA"/>
    </w:rPr>
  </w:style>
  <w:style w:type="paragraph" w:customStyle="1" w:styleId="PCFHeaderThemeAfterbreak">
    <w:name w:val="PCF_ Header_Theme_After_break"/>
    <w:basedOn w:val="PCFHeaderTheme"/>
    <w:next w:val="PCFHeaderCase"/>
    <w:rsid w:val="00852DB3"/>
    <w:pPr>
      <w:spacing w:before="240"/>
    </w:pPr>
  </w:style>
  <w:style w:type="paragraph" w:customStyle="1" w:styleId="PCFSmallSpacer">
    <w:name w:val="PCF_Small_Spacer"/>
    <w:basedOn w:val="Normal"/>
    <w:next w:val="Normal"/>
    <w:link w:val="PCFSmallSpacerChar"/>
    <w:rsid w:val="00852DB3"/>
    <w:rPr>
      <w:sz w:val="4"/>
      <w:szCs w:val="4"/>
    </w:rPr>
  </w:style>
  <w:style w:type="paragraph" w:customStyle="1" w:styleId="PCFParaafterbreak">
    <w:name w:val="PCF_Para_after_break"/>
    <w:basedOn w:val="PCFPara"/>
    <w:next w:val="PCFPara"/>
    <w:rsid w:val="00852DB3"/>
    <w:pPr>
      <w:spacing w:before="240"/>
      <w:contextualSpacing/>
    </w:pPr>
    <w:rPr>
      <w:lang w:eastAsia="fr-FR"/>
    </w:rPr>
  </w:style>
  <w:style w:type="paragraph" w:customStyle="1" w:styleId="PCFViolationAfterbreak">
    <w:name w:val="PCF_Violation_After_break"/>
    <w:basedOn w:val="PCFViolation"/>
    <w:next w:val="PCFHeaderCase"/>
    <w:rsid w:val="00852DB3"/>
    <w:pPr>
      <w:spacing w:before="240"/>
    </w:pPr>
  </w:style>
  <w:style w:type="paragraph" w:customStyle="1" w:styleId="PCFPara">
    <w:name w:val="PCF_Para"/>
    <w:basedOn w:val="Normal"/>
    <w:link w:val="PCFParaChar"/>
    <w:rsid w:val="00852DB3"/>
  </w:style>
  <w:style w:type="paragraph" w:customStyle="1" w:styleId="PCFHeaderTheme">
    <w:name w:val="PCF_Header_Theme"/>
    <w:basedOn w:val="PCFHeaderCase"/>
    <w:rsid w:val="00852DB3"/>
    <w:pPr>
      <w:jc w:val="both"/>
    </w:pPr>
    <w:rPr>
      <w:color w:val="4D4D4D"/>
    </w:rPr>
  </w:style>
  <w:style w:type="paragraph" w:customStyle="1" w:styleId="PCFHeaderCaseGrey">
    <w:name w:val="PCF_Header_Case_Grey"/>
    <w:basedOn w:val="PCFHeaderCase"/>
    <w:link w:val="PCFHeaderCaseGreyChar"/>
    <w:rsid w:val="00852DB3"/>
    <w:pPr>
      <w:shd w:val="clear" w:color="auto" w:fill="F3F3F3"/>
    </w:pPr>
  </w:style>
  <w:style w:type="paragraph" w:customStyle="1" w:styleId="PCFHeaderDateGrey">
    <w:name w:val="PCF_Header_Date_Grey"/>
    <w:basedOn w:val="PCFHeaderDate"/>
    <w:rsid w:val="00852DB3"/>
    <w:pPr>
      <w:shd w:val="clear" w:color="auto" w:fill="F3F3F3"/>
    </w:pPr>
  </w:style>
  <w:style w:type="paragraph" w:customStyle="1" w:styleId="PCFParaGrey">
    <w:name w:val="PCF_Para_Grey"/>
    <w:basedOn w:val="PCFPara"/>
    <w:link w:val="PCFParaGreyChar"/>
    <w:rsid w:val="00852DB3"/>
    <w:pPr>
      <w:shd w:val="clear" w:color="auto" w:fill="F3F3F3"/>
    </w:pPr>
    <w:rPr>
      <w:lang w:eastAsia="fr-FR"/>
    </w:rPr>
  </w:style>
  <w:style w:type="paragraph" w:customStyle="1" w:styleId="PCFViolationGrey">
    <w:name w:val="PCF_Violation_Grey"/>
    <w:basedOn w:val="PCFViolation"/>
    <w:rsid w:val="00852DB3"/>
    <w:pPr>
      <w:shd w:val="clear" w:color="auto" w:fill="F3F3F3"/>
    </w:pPr>
  </w:style>
  <w:style w:type="numbering" w:customStyle="1" w:styleId="StyleBulletedSquare">
    <w:name w:val="Style Bulleted_Square"/>
    <w:basedOn w:val="NoList"/>
    <w:rsid w:val="00BB7B6E"/>
    <w:pPr>
      <w:numPr>
        <w:numId w:val="22"/>
      </w:numPr>
    </w:pPr>
  </w:style>
  <w:style w:type="paragraph" w:customStyle="1" w:styleId="ITDHeaderDate">
    <w:name w:val="ITD_Header_Date"/>
    <w:basedOn w:val="Normal"/>
    <w:next w:val="Normal"/>
    <w:link w:val="ITDHeaderDateChar"/>
    <w:rsid w:val="00266911"/>
    <w:pPr>
      <w:jc w:val="right"/>
    </w:pPr>
    <w:rPr>
      <w:sz w:val="18"/>
      <w:lang w:eastAsia="fr-FR"/>
    </w:rPr>
  </w:style>
  <w:style w:type="paragraph" w:styleId="TOC1">
    <w:name w:val="toc 1"/>
    <w:basedOn w:val="Normal"/>
    <w:next w:val="Normal"/>
    <w:autoRedefine/>
    <w:semiHidden/>
    <w:rsid w:val="00BB7B6E"/>
    <w:pPr>
      <w:tabs>
        <w:tab w:val="right" w:leader="dot" w:pos="7938"/>
      </w:tabs>
      <w:spacing w:line="360" w:lineRule="auto"/>
      <w:ind w:left="1134" w:right="1134"/>
    </w:pPr>
  </w:style>
  <w:style w:type="paragraph" w:styleId="TOC2">
    <w:name w:val="toc 2"/>
    <w:basedOn w:val="Normal"/>
    <w:next w:val="Normal"/>
    <w:autoRedefine/>
    <w:semiHidden/>
    <w:rsid w:val="00BB7B6E"/>
    <w:pPr>
      <w:tabs>
        <w:tab w:val="right" w:leader="dot" w:pos="7938"/>
      </w:tabs>
      <w:spacing w:line="360" w:lineRule="auto"/>
      <w:ind w:left="1418" w:right="1134"/>
    </w:pPr>
  </w:style>
  <w:style w:type="paragraph" w:styleId="TOC3">
    <w:name w:val="toc 3"/>
    <w:basedOn w:val="Normal"/>
    <w:next w:val="Normal"/>
    <w:autoRedefine/>
    <w:semiHidden/>
    <w:rsid w:val="00BB7B6E"/>
    <w:pPr>
      <w:tabs>
        <w:tab w:val="right" w:leader="dot" w:pos="7938"/>
      </w:tabs>
      <w:spacing w:line="360" w:lineRule="auto"/>
      <w:ind w:left="1701" w:right="1134"/>
    </w:pPr>
  </w:style>
  <w:style w:type="paragraph" w:styleId="TOC4">
    <w:name w:val="toc 4"/>
    <w:basedOn w:val="Normal"/>
    <w:next w:val="Normal"/>
    <w:autoRedefine/>
    <w:semiHidden/>
    <w:rsid w:val="00BB7B6E"/>
    <w:pPr>
      <w:tabs>
        <w:tab w:val="right" w:leader="dot" w:pos="7938"/>
      </w:tabs>
      <w:spacing w:line="360" w:lineRule="auto"/>
      <w:ind w:left="1701" w:right="1134"/>
    </w:pPr>
  </w:style>
  <w:style w:type="character" w:customStyle="1" w:styleId="ITDHeaderDateChar">
    <w:name w:val="ITD_Header_Date Char"/>
    <w:link w:val="ITDHeaderDate"/>
    <w:rsid w:val="00266911"/>
    <w:rPr>
      <w:rFonts w:ascii="Verdana" w:hAnsi="Verdana"/>
      <w:sz w:val="18"/>
      <w:szCs w:val="24"/>
      <w:lang w:val="ro-RO" w:eastAsia="fr-FR" w:bidi="ar-SA"/>
    </w:rPr>
  </w:style>
  <w:style w:type="character" w:customStyle="1" w:styleId="normal--char">
    <w:name w:val="normal--char"/>
    <w:basedOn w:val="DefaultParagraphFont"/>
    <w:rsid w:val="00264696"/>
  </w:style>
  <w:style w:type="paragraph" w:customStyle="1" w:styleId="ju-005fpara">
    <w:name w:val="ju-005fpara"/>
    <w:basedOn w:val="Normal"/>
    <w:rsid w:val="00A2546D"/>
    <w:pPr>
      <w:spacing w:before="100" w:beforeAutospacing="1" w:after="100" w:afterAutospacing="1"/>
      <w:jc w:val="left"/>
    </w:pPr>
    <w:rPr>
      <w:rFonts w:ascii="Times New Roman" w:hAnsi="Times New Roman"/>
      <w:sz w:val="24"/>
    </w:rPr>
  </w:style>
  <w:style w:type="paragraph" w:styleId="HTMLPreformatted">
    <w:name w:val="HTML Preformatted"/>
    <w:basedOn w:val="Normal"/>
    <w:link w:val="HTMLPreformattedChar"/>
    <w:rsid w:val="00402C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Cs w:val="20"/>
    </w:rPr>
  </w:style>
  <w:style w:type="paragraph" w:styleId="BalloonText">
    <w:name w:val="Balloon Text"/>
    <w:basedOn w:val="Normal"/>
    <w:link w:val="BalloonTextChar"/>
    <w:semiHidden/>
    <w:rsid w:val="008125BC"/>
    <w:rPr>
      <w:rFonts w:ascii="Tahoma" w:hAnsi="Tahoma" w:cs="Tahoma"/>
      <w:sz w:val="16"/>
      <w:szCs w:val="16"/>
    </w:rPr>
  </w:style>
  <w:style w:type="paragraph" w:customStyle="1" w:styleId="normal0">
    <w:name w:val="normal"/>
    <w:basedOn w:val="Normal"/>
    <w:rsid w:val="00C5625D"/>
    <w:pPr>
      <w:spacing w:before="100" w:beforeAutospacing="1" w:after="100" w:afterAutospacing="1"/>
      <w:jc w:val="left"/>
    </w:pPr>
    <w:rPr>
      <w:rFonts w:ascii="Times New Roman" w:hAnsi="Times New Roman"/>
      <w:sz w:val="24"/>
    </w:rPr>
  </w:style>
  <w:style w:type="character" w:customStyle="1" w:styleId="hyperlink--char">
    <w:name w:val="hyperlink--char"/>
    <w:basedOn w:val="DefaultParagraphFont"/>
    <w:rsid w:val="00E63CDC"/>
  </w:style>
  <w:style w:type="paragraph" w:customStyle="1" w:styleId="ju-005fpara-0020char-0020char-0020char-0020char-0020char-0020char">
    <w:name w:val="ju-005fpara-0020char-0020char-0020char-0020char-0020char-0020char"/>
    <w:basedOn w:val="Normal"/>
    <w:rsid w:val="00D129B9"/>
    <w:pPr>
      <w:spacing w:before="100" w:beforeAutospacing="1" w:after="100" w:afterAutospacing="1"/>
      <w:jc w:val="left"/>
    </w:pPr>
    <w:rPr>
      <w:rFonts w:ascii="Times New Roman" w:hAnsi="Times New Roman"/>
      <w:sz w:val="24"/>
    </w:rPr>
  </w:style>
  <w:style w:type="character" w:customStyle="1" w:styleId="ju-005fpara--char">
    <w:name w:val="ju-005fpara--char"/>
    <w:basedOn w:val="DefaultParagraphFont"/>
    <w:rsid w:val="00D549A8"/>
  </w:style>
  <w:style w:type="character" w:customStyle="1" w:styleId="PCFParaChar">
    <w:name w:val="PCF_Para Char"/>
    <w:link w:val="PCFPara"/>
    <w:rsid w:val="00A362A7"/>
    <w:rPr>
      <w:rFonts w:ascii="Verdana" w:hAnsi="Verdana"/>
      <w:szCs w:val="24"/>
      <w:lang w:val="ro-RO" w:eastAsia="en-GB" w:bidi="ar-SA"/>
    </w:rPr>
  </w:style>
  <w:style w:type="character" w:customStyle="1" w:styleId="PCFHeaderCaseChar">
    <w:name w:val="PCF_Header_Case Char"/>
    <w:link w:val="PCFHeaderCase"/>
    <w:rsid w:val="00D470BB"/>
    <w:rPr>
      <w:rFonts w:ascii="Verdana" w:hAnsi="Verdana"/>
      <w:b/>
      <w:color w:val="808080"/>
      <w:szCs w:val="24"/>
      <w:lang w:val="ro-RO" w:eastAsia="fr-FR" w:bidi="ar-SA"/>
    </w:rPr>
  </w:style>
  <w:style w:type="paragraph" w:customStyle="1" w:styleId="pcfpara0">
    <w:name w:val="pcfpara"/>
    <w:basedOn w:val="Normal"/>
    <w:rsid w:val="002D3089"/>
    <w:pPr>
      <w:spacing w:before="100" w:beforeAutospacing="1" w:after="100" w:afterAutospacing="1"/>
      <w:jc w:val="left"/>
    </w:pPr>
    <w:rPr>
      <w:rFonts w:ascii="Times New Roman" w:hAnsi="Times New Roman"/>
      <w:sz w:val="24"/>
    </w:rPr>
  </w:style>
  <w:style w:type="paragraph" w:customStyle="1" w:styleId="PCFCountrytitle">
    <w:name w:val="PCF_Country_title"/>
    <w:basedOn w:val="Normal"/>
    <w:next w:val="PCFRatificationDate"/>
    <w:rsid w:val="00852DB3"/>
    <w:pPr>
      <w:pBdr>
        <w:bottom w:val="single" w:sz="24" w:space="1" w:color="EAEAEA"/>
      </w:pBdr>
      <w:spacing w:after="120"/>
      <w:contextualSpacing/>
    </w:pPr>
    <w:rPr>
      <w:color w:val="0072BC"/>
      <w:sz w:val="48"/>
    </w:rPr>
  </w:style>
  <w:style w:type="character" w:customStyle="1" w:styleId="PCFParaGreyChar">
    <w:name w:val="PCF_Para_Grey Char"/>
    <w:link w:val="PCFParaGrey"/>
    <w:rsid w:val="00C94F6A"/>
    <w:rPr>
      <w:rFonts w:ascii="Verdana" w:hAnsi="Verdana"/>
      <w:szCs w:val="24"/>
      <w:lang w:val="ro-RO" w:eastAsia="fr-FR" w:bidi="ar-SA"/>
    </w:rPr>
  </w:style>
  <w:style w:type="table" w:customStyle="1" w:styleId="PCFTableStyle">
    <w:name w:val="PCF_Table_Style"/>
    <w:basedOn w:val="TableNormal"/>
    <w:rsid w:val="00852DB3"/>
    <w:pPr>
      <w:jc w:val="right"/>
    </w:pPr>
    <w:rPr>
      <w:rFonts w:ascii="Verdana" w:hAnsi="Verdana"/>
      <w:color w:val="333333"/>
      <w:sz w:val="16"/>
    </w:rPr>
    <w:tblPr>
      <w:tblInd w:w="113"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CellMar>
        <w:left w:w="85" w:type="dxa"/>
        <w:right w:w="85" w:type="dxa"/>
      </w:tblCellMar>
    </w:tblPr>
    <w:tblStylePr w:type="firstRow">
      <w:pPr>
        <w:wordWrap/>
        <w:spacing w:beforeLines="0" w:before="120" w:beforeAutospacing="0" w:afterLines="0" w:after="120" w:afterAutospacing="0" w:line="240" w:lineRule="auto"/>
        <w:contextualSpacing/>
        <w:jc w:val="center"/>
      </w:pPr>
      <w:rPr>
        <w:rFonts w:ascii="Times New Roman" w:hAnsi="Times New Roman"/>
        <w:b/>
        <w:color w:val="FFFFFF"/>
        <w:sz w:val="18"/>
      </w:rPr>
      <w:tblPr/>
      <w:tcPr>
        <w:shd w:val="clear" w:color="auto" w:fill="0072BC"/>
        <w:vAlign w:val="center"/>
      </w:tcPr>
    </w:tblStylePr>
    <w:tblStylePr w:type="firstCol">
      <w:pPr>
        <w:jc w:val="left"/>
      </w:pPr>
    </w:tblStylePr>
  </w:style>
  <w:style w:type="paragraph" w:customStyle="1" w:styleId="PCFTextsmall">
    <w:name w:val="PCF_Text_small"/>
    <w:basedOn w:val="Normal"/>
    <w:rsid w:val="00852DB3"/>
    <w:rPr>
      <w:sz w:val="16"/>
      <w:lang w:eastAsia="fr-FR"/>
    </w:rPr>
  </w:style>
  <w:style w:type="paragraph" w:customStyle="1" w:styleId="PCFViolation">
    <w:name w:val="PCF_Violation"/>
    <w:basedOn w:val="Normal"/>
    <w:next w:val="PCFHeaderCase"/>
    <w:link w:val="PCFViolationChar"/>
    <w:rsid w:val="00852DB3"/>
    <w:rPr>
      <w:color w:val="0072BC"/>
      <w:lang w:eastAsia="fr-FR"/>
    </w:rPr>
  </w:style>
  <w:style w:type="paragraph" w:customStyle="1" w:styleId="Default">
    <w:name w:val="Default"/>
    <w:rsid w:val="00465E5F"/>
    <w:pPr>
      <w:autoSpaceDE w:val="0"/>
      <w:autoSpaceDN w:val="0"/>
      <w:adjustRightInd w:val="0"/>
    </w:pPr>
    <w:rPr>
      <w:rFonts w:ascii="Verdana" w:hAnsi="Verdana" w:cs="Verdana"/>
      <w:color w:val="000000"/>
      <w:sz w:val="24"/>
      <w:szCs w:val="24"/>
      <w:lang w:eastAsia="en-GB"/>
    </w:rPr>
  </w:style>
  <w:style w:type="character" w:customStyle="1" w:styleId="PBodyTextCharChar">
    <w:name w:val="P_Body Text Char Char"/>
    <w:link w:val="PBodyText"/>
    <w:rsid w:val="00D36BD3"/>
    <w:rPr>
      <w:rFonts w:ascii="Verdana" w:hAnsi="Verdana" w:cs="Arial"/>
      <w:lang w:val="ro-RO" w:eastAsia="en-GB" w:bidi="ar-SA"/>
    </w:rPr>
  </w:style>
  <w:style w:type="paragraph" w:customStyle="1" w:styleId="PBodyText">
    <w:name w:val="P_Body Text"/>
    <w:basedOn w:val="Normal"/>
    <w:link w:val="PBodyTextCharChar"/>
    <w:rsid w:val="00D36BD3"/>
    <w:pPr>
      <w:spacing w:before="120" w:after="120"/>
    </w:pPr>
    <w:rPr>
      <w:rFonts w:cs="Arial"/>
      <w:szCs w:val="20"/>
    </w:rPr>
  </w:style>
  <w:style w:type="paragraph" w:customStyle="1" w:styleId="PCFBoxGreyHeader1">
    <w:name w:val="PCF_Box_Grey_Header1"/>
    <w:basedOn w:val="Normal"/>
    <w:next w:val="PCFBoxGreyHeader2"/>
    <w:rsid w:val="00852DB3"/>
    <w:pPr>
      <w:pBdr>
        <w:top w:val="single" w:sz="12" w:space="6" w:color="F8F8F8"/>
        <w:left w:val="single" w:sz="12" w:space="6" w:color="F8F8F8"/>
        <w:bottom w:val="single" w:sz="12" w:space="6" w:color="F8F8F8"/>
        <w:right w:val="single" w:sz="12" w:space="6" w:color="F8F8F8"/>
      </w:pBdr>
      <w:shd w:val="clear" w:color="auto" w:fill="F3F3F3"/>
      <w:spacing w:before="120"/>
      <w:ind w:left="113" w:right="113"/>
      <w:contextualSpacing/>
    </w:pPr>
    <w:rPr>
      <w:b/>
      <w:color w:val="808080"/>
      <w:sz w:val="24"/>
    </w:rPr>
  </w:style>
  <w:style w:type="paragraph" w:customStyle="1" w:styleId="PCFBoxGreyHeader2">
    <w:name w:val="PCF_Box_Grey_Header2"/>
    <w:basedOn w:val="Normal"/>
    <w:next w:val="PCFBoxGreyText"/>
    <w:rsid w:val="00852DB3"/>
    <w:pPr>
      <w:pBdr>
        <w:top w:val="single" w:sz="12" w:space="6" w:color="F8F8F8"/>
        <w:left w:val="single" w:sz="12" w:space="6" w:color="F8F8F8"/>
        <w:bottom w:val="single" w:sz="12" w:space="6" w:color="F8F8F8"/>
        <w:right w:val="single" w:sz="12" w:space="6" w:color="F8F8F8"/>
      </w:pBdr>
      <w:shd w:val="clear" w:color="auto" w:fill="F3F3F3"/>
      <w:spacing w:before="120"/>
      <w:ind w:left="113" w:right="113"/>
    </w:pPr>
    <w:rPr>
      <w:b/>
      <w:color w:val="808080"/>
    </w:rPr>
  </w:style>
  <w:style w:type="paragraph" w:customStyle="1" w:styleId="PRArticles">
    <w:name w:val="PR_Articles"/>
    <w:basedOn w:val="Normal"/>
    <w:next w:val="Normal"/>
    <w:link w:val="PRArticlesChar"/>
    <w:rsid w:val="005033AD"/>
    <w:pPr>
      <w:jc w:val="left"/>
    </w:pPr>
    <w:rPr>
      <w:b/>
      <w:color w:val="333333"/>
      <w:szCs w:val="20"/>
    </w:rPr>
  </w:style>
  <w:style w:type="paragraph" w:customStyle="1" w:styleId="PCFContact">
    <w:name w:val="PCF_Contact"/>
    <w:basedOn w:val="Normal"/>
    <w:rsid w:val="00852DB3"/>
    <w:pPr>
      <w:keepNext/>
      <w:jc w:val="center"/>
    </w:pPr>
    <w:rPr>
      <w:b/>
      <w:color w:val="808080"/>
      <w:lang w:eastAsia="fr-FR"/>
    </w:rPr>
  </w:style>
  <w:style w:type="character" w:customStyle="1" w:styleId="PRArticlesChar">
    <w:name w:val="PR_Articles Char"/>
    <w:link w:val="PRArticles"/>
    <w:rsid w:val="005033AD"/>
    <w:rPr>
      <w:rFonts w:ascii="Verdana" w:hAnsi="Verdana"/>
      <w:b/>
      <w:snapToGrid w:val="0"/>
      <w:color w:val="333333"/>
      <w:szCs w:val="24"/>
      <w:lang w:val="ro-RO" w:eastAsia="en-GB" w:bidi="ar-SA"/>
    </w:rPr>
  </w:style>
  <w:style w:type="character" w:styleId="FollowedHyperlink">
    <w:name w:val="FollowedHyperlink"/>
    <w:rsid w:val="00AA148F"/>
    <w:rPr>
      <w:color w:val="800080"/>
      <w:u w:val="single"/>
    </w:rPr>
  </w:style>
  <w:style w:type="character" w:customStyle="1" w:styleId="PBoxGreyTextCharChar">
    <w:name w:val="P_Box_Grey_Text Char Char"/>
    <w:link w:val="PBoxGreyText"/>
    <w:rsid w:val="005033AD"/>
    <w:rPr>
      <w:rFonts w:ascii="Verdana" w:hAnsi="Verdana"/>
      <w:snapToGrid w:val="0"/>
      <w:szCs w:val="24"/>
      <w:lang w:val="ro-RO" w:eastAsia="en-US" w:bidi="ar-SA"/>
    </w:rPr>
  </w:style>
  <w:style w:type="paragraph" w:customStyle="1" w:styleId="PCFBoxGreyText">
    <w:name w:val="PCF_Box_Grey_Text"/>
    <w:basedOn w:val="Normal"/>
    <w:rsid w:val="00852DB3"/>
    <w:pPr>
      <w:pBdr>
        <w:top w:val="single" w:sz="12" w:space="6" w:color="F8F8F8"/>
        <w:left w:val="single" w:sz="12" w:space="6" w:color="F8F8F8"/>
        <w:bottom w:val="single" w:sz="12" w:space="6" w:color="F8F8F8"/>
        <w:right w:val="single" w:sz="12" w:space="6" w:color="F8F8F8"/>
      </w:pBdr>
      <w:shd w:val="clear" w:color="auto" w:fill="F3F3F3"/>
      <w:ind w:left="113" w:right="113"/>
    </w:pPr>
  </w:style>
  <w:style w:type="paragraph" w:customStyle="1" w:styleId="PBoxGreyText">
    <w:name w:val="P_Box_Grey_Text"/>
    <w:basedOn w:val="Normal"/>
    <w:link w:val="PBoxGreyTextCharChar"/>
    <w:rsid w:val="005033AD"/>
    <w:pPr>
      <w:shd w:val="clear" w:color="auto" w:fill="F3F3F3"/>
    </w:pPr>
    <w:rPr>
      <w:snapToGrid w:val="0"/>
      <w:lang w:eastAsia="en-US"/>
    </w:rPr>
  </w:style>
  <w:style w:type="paragraph" w:customStyle="1" w:styleId="PCFBoxText">
    <w:name w:val="PCF_Box_Text"/>
    <w:basedOn w:val="Normal"/>
    <w:next w:val="Normal"/>
    <w:rsid w:val="00852DB3"/>
    <w:pPr>
      <w:pBdr>
        <w:top w:val="single" w:sz="12" w:space="6" w:color="0072BC"/>
        <w:left w:val="single" w:sz="12" w:space="6" w:color="0072BC"/>
        <w:bottom w:val="single" w:sz="12" w:space="6" w:color="0072BC"/>
        <w:right w:val="single" w:sz="12" w:space="6" w:color="0072BC"/>
      </w:pBdr>
      <w:shd w:val="clear" w:color="auto" w:fill="0072BC"/>
      <w:spacing w:line="360" w:lineRule="auto"/>
      <w:ind w:left="113" w:right="113"/>
    </w:pPr>
    <w:rPr>
      <w:b/>
      <w:color w:val="FFFFFF"/>
    </w:rPr>
  </w:style>
  <w:style w:type="paragraph" w:customStyle="1" w:styleId="PCFHorizontalLine">
    <w:name w:val="PCF_Horizontal_Line"/>
    <w:basedOn w:val="Normal"/>
    <w:next w:val="PCFContact"/>
    <w:rsid w:val="00852DB3"/>
    <w:pPr>
      <w:keepNext/>
      <w:pBdr>
        <w:bottom w:val="single" w:sz="8" w:space="1" w:color="999999"/>
      </w:pBdr>
      <w:spacing w:before="360" w:after="360"/>
    </w:pPr>
  </w:style>
  <w:style w:type="paragraph" w:customStyle="1" w:styleId="PCFHeaderCase">
    <w:name w:val="PCF_Header_Case"/>
    <w:basedOn w:val="Normal"/>
    <w:next w:val="PCFHeaderDate"/>
    <w:link w:val="PCFHeaderCaseChar"/>
    <w:rsid w:val="00852DB3"/>
    <w:pPr>
      <w:keepNext/>
      <w:spacing w:before="120"/>
      <w:contextualSpacing/>
      <w:jc w:val="left"/>
    </w:pPr>
    <w:rPr>
      <w:b/>
      <w:color w:val="808080"/>
      <w:lang w:eastAsia="fr-FR"/>
    </w:rPr>
  </w:style>
  <w:style w:type="paragraph" w:styleId="BodyText">
    <w:name w:val="Body Text"/>
    <w:basedOn w:val="Normal"/>
    <w:link w:val="BodyTextChar"/>
    <w:rsid w:val="0077386D"/>
    <w:pPr>
      <w:spacing w:after="120"/>
    </w:pPr>
  </w:style>
  <w:style w:type="character" w:customStyle="1" w:styleId="PCFHeaderDateChar">
    <w:name w:val="PCF_Header_Date Char"/>
    <w:link w:val="PCFHeaderDate"/>
    <w:rsid w:val="00642588"/>
    <w:rPr>
      <w:rFonts w:ascii="Verdana" w:hAnsi="Verdana"/>
      <w:b/>
      <w:color w:val="808080"/>
      <w:sz w:val="18"/>
      <w:szCs w:val="24"/>
      <w:lang w:val="ro-RO" w:eastAsia="fr-FR" w:bidi="ar-SA"/>
    </w:rPr>
  </w:style>
  <w:style w:type="character" w:customStyle="1" w:styleId="PCFViolationChar">
    <w:name w:val="PCF_Violation Char"/>
    <w:link w:val="PCFViolation"/>
    <w:rsid w:val="00642588"/>
    <w:rPr>
      <w:rFonts w:ascii="Verdana" w:hAnsi="Verdana"/>
      <w:color w:val="0072BC"/>
      <w:szCs w:val="24"/>
      <w:lang w:val="ro-RO" w:eastAsia="fr-FR" w:bidi="ar-SA"/>
    </w:rPr>
  </w:style>
  <w:style w:type="paragraph" w:customStyle="1" w:styleId="PCFHeaderDate">
    <w:name w:val="PCF_Header_Date"/>
    <w:basedOn w:val="PCFHeaderCase"/>
    <w:next w:val="Normal"/>
    <w:link w:val="PCFHeaderDateChar"/>
    <w:rsid w:val="00852DB3"/>
    <w:pPr>
      <w:spacing w:before="60"/>
      <w:contextualSpacing w:val="0"/>
    </w:pPr>
    <w:rPr>
      <w:b w:val="0"/>
      <w:sz w:val="18"/>
    </w:rPr>
  </w:style>
  <w:style w:type="paragraph" w:customStyle="1" w:styleId="PCFUpdate">
    <w:name w:val="PCF_Update"/>
    <w:basedOn w:val="Normal"/>
    <w:next w:val="PCFCountrytitle"/>
    <w:rsid w:val="00852DB3"/>
    <w:pPr>
      <w:jc w:val="right"/>
    </w:pPr>
    <w:rPr>
      <w:color w:val="EC7F12"/>
      <w:sz w:val="18"/>
    </w:rPr>
  </w:style>
  <w:style w:type="paragraph" w:customStyle="1" w:styleId="PCFJudgeBox1">
    <w:name w:val="PCF_Judge_Box_1"/>
    <w:basedOn w:val="PCFBoxGreyHeader2"/>
    <w:next w:val="PCFJudgeBox2"/>
    <w:rsid w:val="00852DB3"/>
  </w:style>
  <w:style w:type="paragraph" w:customStyle="1" w:styleId="PCFJudgeBox2">
    <w:name w:val="PCF_Judge_Box_2"/>
    <w:basedOn w:val="PCFBoxGreyText"/>
    <w:rsid w:val="00852DB3"/>
    <w:pPr>
      <w:spacing w:after="120"/>
    </w:pPr>
    <w:rPr>
      <w:sz w:val="18"/>
    </w:rPr>
  </w:style>
  <w:style w:type="paragraph" w:customStyle="1" w:styleId="PCFHeader1Afterbreak">
    <w:name w:val="PCF_Header_1_After_break"/>
    <w:basedOn w:val="Normal"/>
    <w:rsid w:val="00852DB3"/>
    <w:pPr>
      <w:pBdr>
        <w:bottom w:val="single" w:sz="12" w:space="4" w:color="999999"/>
      </w:pBdr>
      <w:spacing w:after="120"/>
      <w:contextualSpacing/>
      <w:jc w:val="left"/>
    </w:pPr>
    <w:rPr>
      <w:color w:val="0072BC"/>
      <w:sz w:val="28"/>
    </w:rPr>
  </w:style>
  <w:style w:type="paragraph" w:customStyle="1" w:styleId="PCFHeaderCaseAfterbreak">
    <w:name w:val="PCF_Header_Case_After_break"/>
    <w:basedOn w:val="PCFHeaderCase"/>
    <w:next w:val="PCFHeaderDate"/>
    <w:rsid w:val="00852DB3"/>
    <w:pPr>
      <w:spacing w:before="360"/>
    </w:pPr>
  </w:style>
  <w:style w:type="paragraph" w:customStyle="1" w:styleId="PCFRatificationDate">
    <w:name w:val="PCF_RatificationDate"/>
    <w:basedOn w:val="Normal"/>
    <w:next w:val="PCFJudgeBox1"/>
    <w:rsid w:val="00852DB3"/>
    <w:rPr>
      <w:b/>
      <w:color w:val="808080"/>
    </w:rPr>
  </w:style>
  <w:style w:type="character" w:customStyle="1" w:styleId="FootnoteTextChar">
    <w:name w:val="Footnote Text Char"/>
    <w:link w:val="FootnoteText"/>
    <w:uiPriority w:val="99"/>
    <w:rsid w:val="006C135A"/>
    <w:rPr>
      <w:rFonts w:ascii="Verdana" w:hAnsi="Verdana"/>
      <w:lang w:val="ro-RO" w:eastAsia="en-GB"/>
    </w:rPr>
  </w:style>
  <w:style w:type="paragraph" w:styleId="Title">
    <w:name w:val="Title"/>
    <w:basedOn w:val="Normal"/>
    <w:next w:val="Normal"/>
    <w:link w:val="TitleChar"/>
    <w:qFormat/>
    <w:rsid w:val="00204C42"/>
    <w:pPr>
      <w:spacing w:before="240" w:after="60"/>
      <w:jc w:val="center"/>
      <w:outlineLvl w:val="0"/>
    </w:pPr>
    <w:rPr>
      <w:rFonts w:ascii="Cambria" w:hAnsi="Cambria"/>
      <w:b/>
      <w:bCs/>
      <w:kern w:val="28"/>
      <w:sz w:val="32"/>
      <w:szCs w:val="32"/>
    </w:rPr>
  </w:style>
  <w:style w:type="character" w:customStyle="1" w:styleId="TitleChar">
    <w:name w:val="Title Char"/>
    <w:link w:val="Title"/>
    <w:rsid w:val="00204C42"/>
    <w:rPr>
      <w:rFonts w:ascii="Cambria" w:eastAsia="Times New Roman" w:hAnsi="Cambria" w:cs="Times New Roman"/>
      <w:b/>
      <w:bCs/>
      <w:kern w:val="28"/>
      <w:sz w:val="32"/>
      <w:szCs w:val="32"/>
      <w:lang w:val="ro-RO" w:eastAsia="en-GB"/>
    </w:rPr>
  </w:style>
  <w:style w:type="character" w:customStyle="1" w:styleId="sfbbfee58">
    <w:name w:val="sfbbfee58"/>
    <w:rsid w:val="00F839C5"/>
  </w:style>
  <w:style w:type="character" w:customStyle="1" w:styleId="PCFHeaderCaseGreyChar">
    <w:name w:val="PCF_Header_Case_Grey Char"/>
    <w:link w:val="PCFHeaderCaseGrey"/>
    <w:rsid w:val="00D30E8C"/>
    <w:rPr>
      <w:rFonts w:ascii="Verdana" w:hAnsi="Verdana"/>
      <w:b/>
      <w:color w:val="808080"/>
      <w:szCs w:val="24"/>
      <w:shd w:val="clear" w:color="auto" w:fill="F3F3F3"/>
      <w:lang w:val="ro-RO"/>
    </w:rPr>
  </w:style>
  <w:style w:type="paragraph" w:customStyle="1" w:styleId="JuPara">
    <w:name w:val="Ju_Para"/>
    <w:basedOn w:val="Normal"/>
    <w:link w:val="JuParaChar1"/>
    <w:rsid w:val="00DA24C9"/>
    <w:pPr>
      <w:suppressAutoHyphens/>
      <w:ind w:firstLine="284"/>
    </w:pPr>
    <w:rPr>
      <w:rFonts w:ascii="Times New Roman" w:hAnsi="Times New Roman"/>
      <w:sz w:val="24"/>
      <w:szCs w:val="20"/>
      <w:lang w:eastAsia="fr-FR"/>
    </w:rPr>
  </w:style>
  <w:style w:type="character" w:customStyle="1" w:styleId="JuParaChar1">
    <w:name w:val="Ju_Para Char1"/>
    <w:link w:val="JuPara"/>
    <w:rsid w:val="00DA24C9"/>
    <w:rPr>
      <w:sz w:val="24"/>
    </w:rPr>
  </w:style>
  <w:style w:type="paragraph" w:customStyle="1" w:styleId="pcfheadercase0">
    <w:name w:val="pcfheadercase"/>
    <w:basedOn w:val="Normal"/>
    <w:rsid w:val="00DA24C9"/>
    <w:pPr>
      <w:spacing w:before="100" w:beforeAutospacing="1" w:after="100" w:afterAutospacing="1"/>
      <w:jc w:val="left"/>
    </w:pPr>
    <w:rPr>
      <w:rFonts w:ascii="Times New Roman" w:hAnsi="Times New Roman"/>
      <w:sz w:val="24"/>
    </w:rPr>
  </w:style>
  <w:style w:type="character" w:styleId="Strong">
    <w:name w:val="Strong"/>
    <w:qFormat/>
    <w:rsid w:val="00DA24C9"/>
    <w:rPr>
      <w:b/>
      <w:bCs/>
    </w:rPr>
  </w:style>
  <w:style w:type="paragraph" w:customStyle="1" w:styleId="pcfheaderdate0">
    <w:name w:val="pcfheaderdate"/>
    <w:basedOn w:val="Normal"/>
    <w:rsid w:val="00DA24C9"/>
    <w:pPr>
      <w:spacing w:before="100" w:beforeAutospacing="1" w:after="100" w:afterAutospacing="1"/>
      <w:jc w:val="left"/>
    </w:pPr>
    <w:rPr>
      <w:rFonts w:ascii="Times New Roman" w:hAnsi="Times New Roman"/>
      <w:sz w:val="24"/>
    </w:rPr>
  </w:style>
  <w:style w:type="paragraph" w:customStyle="1" w:styleId="pcfviolation0">
    <w:name w:val="pcfviolation"/>
    <w:basedOn w:val="Normal"/>
    <w:rsid w:val="00DA24C9"/>
    <w:pPr>
      <w:spacing w:before="100" w:beforeAutospacing="1" w:after="100" w:afterAutospacing="1"/>
      <w:jc w:val="left"/>
    </w:pPr>
    <w:rPr>
      <w:rFonts w:ascii="Times New Roman" w:hAnsi="Times New Roman"/>
      <w:sz w:val="24"/>
    </w:rPr>
  </w:style>
  <w:style w:type="paragraph" w:customStyle="1" w:styleId="pcfboxgreyheader20">
    <w:name w:val="pcfboxgreyheader2"/>
    <w:basedOn w:val="Normal"/>
    <w:rsid w:val="00DA24C9"/>
    <w:pPr>
      <w:spacing w:before="100" w:beforeAutospacing="1" w:after="100" w:afterAutospacing="1"/>
      <w:jc w:val="left"/>
    </w:pPr>
    <w:rPr>
      <w:rFonts w:ascii="Times New Roman" w:hAnsi="Times New Roman"/>
      <w:sz w:val="24"/>
    </w:rPr>
  </w:style>
  <w:style w:type="paragraph" w:customStyle="1" w:styleId="pcfheadercasegrey0">
    <w:name w:val="pcfheadercasegrey"/>
    <w:basedOn w:val="Normal"/>
    <w:rsid w:val="00DA24C9"/>
    <w:pPr>
      <w:spacing w:before="100" w:beforeAutospacing="1" w:after="100" w:afterAutospacing="1"/>
      <w:jc w:val="left"/>
    </w:pPr>
    <w:rPr>
      <w:rFonts w:ascii="Times New Roman" w:hAnsi="Times New Roman"/>
      <w:sz w:val="24"/>
    </w:rPr>
  </w:style>
  <w:style w:type="paragraph" w:customStyle="1" w:styleId="pcfparagrey0">
    <w:name w:val="pcfparagrey"/>
    <w:basedOn w:val="Normal"/>
    <w:rsid w:val="00DA24C9"/>
    <w:pPr>
      <w:spacing w:before="100" w:beforeAutospacing="1" w:after="100" w:afterAutospacing="1"/>
      <w:jc w:val="left"/>
    </w:pPr>
    <w:rPr>
      <w:rFonts w:ascii="Times New Roman" w:hAnsi="Times New Roman"/>
      <w:sz w:val="24"/>
    </w:rPr>
  </w:style>
  <w:style w:type="paragraph" w:customStyle="1" w:styleId="pcfviolationgrey0">
    <w:name w:val="pcfviolationgrey"/>
    <w:basedOn w:val="Normal"/>
    <w:rsid w:val="00DA24C9"/>
    <w:pPr>
      <w:spacing w:before="100" w:beforeAutospacing="1" w:after="100" w:afterAutospacing="1"/>
      <w:jc w:val="left"/>
    </w:pPr>
    <w:rPr>
      <w:rFonts w:ascii="Times New Roman" w:hAnsi="Times New Roman"/>
      <w:sz w:val="24"/>
    </w:rPr>
  </w:style>
  <w:style w:type="character" w:customStyle="1" w:styleId="column01">
    <w:name w:val="column01"/>
    <w:rsid w:val="00DA24C9"/>
  </w:style>
  <w:style w:type="character" w:customStyle="1" w:styleId="Heading1Char">
    <w:name w:val="Heading 1 Char"/>
    <w:link w:val="Heading1"/>
    <w:rsid w:val="00DA24C9"/>
    <w:rPr>
      <w:rFonts w:ascii="Arial" w:hAnsi="Arial" w:cs="Arial"/>
      <w:b/>
      <w:bCs/>
      <w:kern w:val="32"/>
      <w:sz w:val="32"/>
      <w:szCs w:val="32"/>
      <w:lang w:val="ro-RO" w:eastAsia="en-GB"/>
    </w:rPr>
  </w:style>
  <w:style w:type="character" w:customStyle="1" w:styleId="Heading2Char">
    <w:name w:val="Heading 2 Char"/>
    <w:link w:val="Heading2"/>
    <w:rsid w:val="00DA24C9"/>
    <w:rPr>
      <w:rFonts w:ascii="Arial" w:hAnsi="Arial" w:cs="Arial"/>
      <w:b/>
      <w:bCs/>
      <w:i/>
      <w:iCs/>
      <w:sz w:val="28"/>
      <w:szCs w:val="28"/>
      <w:lang w:val="ro-RO" w:eastAsia="en-GB"/>
    </w:rPr>
  </w:style>
  <w:style w:type="character" w:customStyle="1" w:styleId="Heading3Char">
    <w:name w:val="Heading 3 Char"/>
    <w:link w:val="Heading3"/>
    <w:rsid w:val="00DA24C9"/>
    <w:rPr>
      <w:rFonts w:ascii="Arial" w:hAnsi="Arial" w:cs="Arial"/>
      <w:b/>
      <w:bCs/>
      <w:sz w:val="26"/>
      <w:szCs w:val="26"/>
      <w:lang w:val="ro-RO" w:eastAsia="en-GB"/>
    </w:rPr>
  </w:style>
  <w:style w:type="character" w:customStyle="1" w:styleId="Heading4Char">
    <w:name w:val="Heading 4 Char"/>
    <w:link w:val="Heading4"/>
    <w:rsid w:val="00DA24C9"/>
    <w:rPr>
      <w:b/>
      <w:bCs/>
      <w:sz w:val="28"/>
      <w:szCs w:val="28"/>
      <w:lang w:val="ro-RO" w:eastAsia="en-GB"/>
    </w:rPr>
  </w:style>
  <w:style w:type="character" w:customStyle="1" w:styleId="HeaderChar">
    <w:name w:val="Header Char"/>
    <w:link w:val="Header"/>
    <w:rsid w:val="00DA24C9"/>
    <w:rPr>
      <w:rFonts w:ascii="Verdana" w:hAnsi="Verdana"/>
      <w:szCs w:val="24"/>
      <w:lang w:val="ro-RO" w:eastAsia="en-GB"/>
    </w:rPr>
  </w:style>
  <w:style w:type="character" w:customStyle="1" w:styleId="FooterChar">
    <w:name w:val="Footer Char"/>
    <w:link w:val="Footer"/>
    <w:rsid w:val="00DA24C9"/>
    <w:rPr>
      <w:rFonts w:ascii="Verdana" w:hAnsi="Verdana"/>
      <w:szCs w:val="24"/>
      <w:lang w:val="ro-RO" w:eastAsia="en-GB"/>
    </w:rPr>
  </w:style>
  <w:style w:type="paragraph" w:customStyle="1" w:styleId="Normal1">
    <w:name w:val="Normal1"/>
    <w:basedOn w:val="Normal"/>
    <w:rsid w:val="00DA24C9"/>
    <w:pPr>
      <w:spacing w:before="100" w:beforeAutospacing="1" w:after="100" w:afterAutospacing="1"/>
      <w:jc w:val="left"/>
    </w:pPr>
    <w:rPr>
      <w:rFonts w:ascii="Times New Roman" w:hAnsi="Times New Roman"/>
      <w:sz w:val="24"/>
    </w:rPr>
  </w:style>
  <w:style w:type="character" w:customStyle="1" w:styleId="BalloonTextChar">
    <w:name w:val="Balloon Text Char"/>
    <w:link w:val="BalloonText"/>
    <w:semiHidden/>
    <w:rsid w:val="00DA24C9"/>
    <w:rPr>
      <w:rFonts w:ascii="Tahoma" w:hAnsi="Tahoma" w:cs="Tahoma"/>
      <w:sz w:val="16"/>
      <w:szCs w:val="16"/>
      <w:lang w:val="ro-RO" w:eastAsia="en-GB"/>
    </w:rPr>
  </w:style>
  <w:style w:type="character" w:customStyle="1" w:styleId="BodyTextChar">
    <w:name w:val="Body Text Char"/>
    <w:link w:val="BodyText"/>
    <w:rsid w:val="00DA24C9"/>
    <w:rPr>
      <w:rFonts w:ascii="Verdana" w:hAnsi="Verdana"/>
      <w:szCs w:val="24"/>
      <w:lang w:val="ro-RO" w:eastAsia="en-GB"/>
    </w:rPr>
  </w:style>
  <w:style w:type="character" w:customStyle="1" w:styleId="sae070d1d">
    <w:name w:val="sae070d1d"/>
    <w:rsid w:val="00DA24C9"/>
  </w:style>
  <w:style w:type="character" w:customStyle="1" w:styleId="s4f9e65dahasverticalalignsuper">
    <w:name w:val="s4f9e65da hasverticalalignsuper"/>
    <w:rsid w:val="00DA24C9"/>
  </w:style>
  <w:style w:type="character" w:customStyle="1" w:styleId="sb8d990e2">
    <w:name w:val="sb8d990e2"/>
    <w:rsid w:val="00DA24C9"/>
  </w:style>
  <w:style w:type="paragraph" w:customStyle="1" w:styleId="s746c8714">
    <w:name w:val="s746c8714"/>
    <w:basedOn w:val="Normal"/>
    <w:rsid w:val="00DA24C9"/>
    <w:pPr>
      <w:spacing w:before="100" w:beforeAutospacing="1" w:after="100" w:afterAutospacing="1"/>
      <w:jc w:val="left"/>
    </w:pPr>
    <w:rPr>
      <w:rFonts w:ascii="Times New Roman" w:hAnsi="Times New Roman"/>
      <w:sz w:val="24"/>
    </w:rPr>
  </w:style>
  <w:style w:type="character" w:customStyle="1" w:styleId="sea881cdfhasverticalalignsuper">
    <w:name w:val="sea881cdf hasverticalalignsuper"/>
    <w:rsid w:val="00DA24C9"/>
  </w:style>
  <w:style w:type="character" w:customStyle="1" w:styleId="s6b621b36">
    <w:name w:val="s6b621b36"/>
    <w:rsid w:val="00DA24C9"/>
  </w:style>
  <w:style w:type="paragraph" w:customStyle="1" w:styleId="JuQuot">
    <w:name w:val="Ju_Quot"/>
    <w:basedOn w:val="Normal"/>
    <w:rsid w:val="00DA24C9"/>
    <w:pPr>
      <w:suppressAutoHyphens/>
      <w:spacing w:before="120" w:after="120"/>
      <w:ind w:left="403" w:firstLine="176"/>
    </w:pPr>
    <w:rPr>
      <w:rFonts w:ascii="Times New Roman" w:hAnsi="Times New Roman"/>
      <w:szCs w:val="20"/>
    </w:rPr>
  </w:style>
  <w:style w:type="character" w:styleId="CommentReference">
    <w:name w:val="annotation reference"/>
    <w:rsid w:val="00C0625D"/>
    <w:rPr>
      <w:sz w:val="16"/>
      <w:szCs w:val="16"/>
    </w:rPr>
  </w:style>
  <w:style w:type="paragraph" w:styleId="CommentText">
    <w:name w:val="annotation text"/>
    <w:basedOn w:val="Normal"/>
    <w:link w:val="CommentTextChar"/>
    <w:rsid w:val="00C0625D"/>
    <w:rPr>
      <w:szCs w:val="20"/>
    </w:rPr>
  </w:style>
  <w:style w:type="character" w:customStyle="1" w:styleId="CommentTextChar">
    <w:name w:val="Comment Text Char"/>
    <w:link w:val="CommentText"/>
    <w:rsid w:val="00C0625D"/>
    <w:rPr>
      <w:rFonts w:ascii="Verdana" w:hAnsi="Verdana"/>
      <w:lang w:val="ro-RO" w:eastAsia="en-GB"/>
    </w:rPr>
  </w:style>
  <w:style w:type="paragraph" w:styleId="CommentSubject">
    <w:name w:val="annotation subject"/>
    <w:basedOn w:val="CommentText"/>
    <w:next w:val="CommentText"/>
    <w:link w:val="CommentSubjectChar"/>
    <w:rsid w:val="00C0625D"/>
    <w:rPr>
      <w:b/>
      <w:bCs/>
    </w:rPr>
  </w:style>
  <w:style w:type="character" w:customStyle="1" w:styleId="CommentSubjectChar">
    <w:name w:val="Comment Subject Char"/>
    <w:link w:val="CommentSubject"/>
    <w:rsid w:val="00C0625D"/>
    <w:rPr>
      <w:rFonts w:ascii="Verdana" w:hAnsi="Verdana"/>
      <w:b/>
      <w:bCs/>
      <w:lang w:val="ro-RO" w:eastAsia="en-GB"/>
    </w:rPr>
  </w:style>
  <w:style w:type="character" w:customStyle="1" w:styleId="HTMLPreformattedChar">
    <w:name w:val="HTML Preformatted Char"/>
    <w:link w:val="HTMLPreformatted"/>
    <w:rsid w:val="00751477"/>
    <w:rPr>
      <w:rFonts w:ascii="Courier New" w:hAnsi="Courier New" w:cs="Courier New"/>
      <w:lang w:val="ro-RO" w:eastAsia="en-GB"/>
    </w:rPr>
  </w:style>
  <w:style w:type="character" w:customStyle="1" w:styleId="ju-005fpara-0020char--char">
    <w:name w:val="ju-005fpara-0020char--char"/>
    <w:rsid w:val="00751477"/>
  </w:style>
  <w:style w:type="character" w:styleId="UnresolvedMention">
    <w:name w:val="Unresolved Mention"/>
    <w:uiPriority w:val="99"/>
    <w:semiHidden/>
    <w:unhideWhenUsed/>
    <w:rsid w:val="004C5F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echr.coe.int/Documents/Convention_ENG.pdf" TargetMode="External"/><Relationship Id="rId13" Type="http://schemas.openxmlformats.org/officeDocument/2006/relationships/hyperlink" Target="https://hudoc.echr.coe.int/fre?i=001-214943" TargetMode="External"/><Relationship Id="rId18" Type="http://schemas.openxmlformats.org/officeDocument/2006/relationships/hyperlink" Target="https://echr.coe.int/Documents/FS_Health_ENG.pdf"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hudoc.echr.coe.int/fre?i=001-214943" TargetMode="External"/><Relationship Id="rId17" Type="http://schemas.openxmlformats.org/officeDocument/2006/relationships/hyperlink" Target="https://www.un.org/en/climatechange/paris-agreement"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bmuv.de/en/law/federal-climate-change-act?limit=all&amp;cHash=a90a5fadcfc08f77a7cedbdead2eed09" TargetMode="External"/><Relationship Id="rId20" Type="http://schemas.openxmlformats.org/officeDocument/2006/relationships/hyperlink" Target="https://www.coe.int/en/web/portal/human-rights-environmen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n.org/en/climatechange/paris-agreement"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www.un.org/en/climatechange/paris-agreement" TargetMode="External"/><Relationship Id="rId23" Type="http://schemas.openxmlformats.org/officeDocument/2006/relationships/header" Target="header2.xml"/><Relationship Id="rId10" Type="http://schemas.openxmlformats.org/officeDocument/2006/relationships/hyperlink" Target="https://www.un.org/en/climatechange/paris-agreement" TargetMode="External"/><Relationship Id="rId19" Type="http://schemas.openxmlformats.org/officeDocument/2006/relationships/hyperlink" Target="https://echr.coe.int/Documents/Guide_Environment_FRA.pdf" TargetMode="External"/><Relationship Id="rId4" Type="http://schemas.openxmlformats.org/officeDocument/2006/relationships/settings" Target="settings.xml"/><Relationship Id="rId9" Type="http://schemas.openxmlformats.org/officeDocument/2006/relationships/hyperlink" Target="https://hudoc.echr.coe.int/eng-press?%20i%20=%20003-7374717-10079435" TargetMode="External"/><Relationship Id="rId14" Type="http://schemas.openxmlformats.org/officeDocument/2006/relationships/hyperlink" Target="https://www.energycharter.org/process/energy-charter-treaty-1994/energy-charter-treaty/" TargetMode="External"/><Relationship Id="rId22"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image" Target="media/image2.png"/><Relationship Id="rId1" Type="http://schemas.openxmlformats.org/officeDocument/2006/relationships/hyperlink" Target="http://ier.gov.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D1C155-05A5-49C2-8B81-0228CA3C90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1859</Words>
  <Characters>10784</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FS_Environment_ENG</vt:lpstr>
    </vt:vector>
  </TitlesOfParts>
  <Company/>
  <LinksUpToDate>false</LinksUpToDate>
  <CharactersWithSpaces>12618</CharactersWithSpaces>
  <SharedDoc>false</SharedDoc>
  <HLinks>
    <vt:vector size="96" baseType="variant">
      <vt:variant>
        <vt:i4>2752608</vt:i4>
      </vt:variant>
      <vt:variant>
        <vt:i4>42</vt:i4>
      </vt:variant>
      <vt:variant>
        <vt:i4>0</vt:i4>
      </vt:variant>
      <vt:variant>
        <vt:i4>5</vt:i4>
      </vt:variant>
      <vt:variant>
        <vt:lpwstr>https://www.coe.int/en/web/portal/human-rights-environment</vt:lpwstr>
      </vt:variant>
      <vt:variant>
        <vt:lpwstr/>
      </vt:variant>
      <vt:variant>
        <vt:i4>524293</vt:i4>
      </vt:variant>
      <vt:variant>
        <vt:i4>39</vt:i4>
      </vt:variant>
      <vt:variant>
        <vt:i4>0</vt:i4>
      </vt:variant>
      <vt:variant>
        <vt:i4>5</vt:i4>
      </vt:variant>
      <vt:variant>
        <vt:lpwstr>https://echr.coe.int/Documents/Guide_Environment_FRA.pdf</vt:lpwstr>
      </vt:variant>
      <vt:variant>
        <vt:lpwstr/>
      </vt:variant>
      <vt:variant>
        <vt:i4>2097202</vt:i4>
      </vt:variant>
      <vt:variant>
        <vt:i4>36</vt:i4>
      </vt:variant>
      <vt:variant>
        <vt:i4>0</vt:i4>
      </vt:variant>
      <vt:variant>
        <vt:i4>5</vt:i4>
      </vt:variant>
      <vt:variant>
        <vt:lpwstr>https://echr.coe.int/Documents/FS_Health_ENG.pdf</vt:lpwstr>
      </vt:variant>
      <vt:variant>
        <vt:lpwstr/>
      </vt:variant>
      <vt:variant>
        <vt:i4>8323111</vt:i4>
      </vt:variant>
      <vt:variant>
        <vt:i4>33</vt:i4>
      </vt:variant>
      <vt:variant>
        <vt:i4>0</vt:i4>
      </vt:variant>
      <vt:variant>
        <vt:i4>5</vt:i4>
      </vt:variant>
      <vt:variant>
        <vt:lpwstr>https://www.un.org/en/climatechange/paris-agreement</vt:lpwstr>
      </vt:variant>
      <vt:variant>
        <vt:lpwstr/>
      </vt:variant>
      <vt:variant>
        <vt:i4>7209062</vt:i4>
      </vt:variant>
      <vt:variant>
        <vt:i4>30</vt:i4>
      </vt:variant>
      <vt:variant>
        <vt:i4>0</vt:i4>
      </vt:variant>
      <vt:variant>
        <vt:i4>5</vt:i4>
      </vt:variant>
      <vt:variant>
        <vt:lpwstr>https://www.bmuv.de/en/law/federal-climate-change-act?limit=all&amp;cHash=a90a5fadcfc08f77a7cedbdead2eed09</vt:lpwstr>
      </vt:variant>
      <vt:variant>
        <vt:lpwstr/>
      </vt:variant>
      <vt:variant>
        <vt:i4>8323111</vt:i4>
      </vt:variant>
      <vt:variant>
        <vt:i4>27</vt:i4>
      </vt:variant>
      <vt:variant>
        <vt:i4>0</vt:i4>
      </vt:variant>
      <vt:variant>
        <vt:i4>5</vt:i4>
      </vt:variant>
      <vt:variant>
        <vt:lpwstr>https://www.un.org/en/climatechange/paris-agreement</vt:lpwstr>
      </vt:variant>
      <vt:variant>
        <vt:lpwstr/>
      </vt:variant>
      <vt:variant>
        <vt:i4>3801203</vt:i4>
      </vt:variant>
      <vt:variant>
        <vt:i4>24</vt:i4>
      </vt:variant>
      <vt:variant>
        <vt:i4>0</vt:i4>
      </vt:variant>
      <vt:variant>
        <vt:i4>5</vt:i4>
      </vt:variant>
      <vt:variant>
        <vt:lpwstr>https://www.energycharter.org/process/energy-charter-treaty-1994/energy-charter-treaty/</vt:lpwstr>
      </vt:variant>
      <vt:variant>
        <vt:lpwstr/>
      </vt:variant>
      <vt:variant>
        <vt:i4>7733353</vt:i4>
      </vt:variant>
      <vt:variant>
        <vt:i4>21</vt:i4>
      </vt:variant>
      <vt:variant>
        <vt:i4>0</vt:i4>
      </vt:variant>
      <vt:variant>
        <vt:i4>5</vt:i4>
      </vt:variant>
      <vt:variant>
        <vt:lpwstr>https://hudoc.echr.coe.int/fre?i=001-214943</vt:lpwstr>
      </vt:variant>
      <vt:variant>
        <vt:lpwstr/>
      </vt:variant>
      <vt:variant>
        <vt:i4>7733353</vt:i4>
      </vt:variant>
      <vt:variant>
        <vt:i4>18</vt:i4>
      </vt:variant>
      <vt:variant>
        <vt:i4>0</vt:i4>
      </vt:variant>
      <vt:variant>
        <vt:i4>5</vt:i4>
      </vt:variant>
      <vt:variant>
        <vt:lpwstr>https://hudoc.echr.coe.int/fre?i=001-214943</vt:lpwstr>
      </vt:variant>
      <vt:variant>
        <vt:lpwstr/>
      </vt:variant>
      <vt:variant>
        <vt:i4>8323111</vt:i4>
      </vt:variant>
      <vt:variant>
        <vt:i4>15</vt:i4>
      </vt:variant>
      <vt:variant>
        <vt:i4>0</vt:i4>
      </vt:variant>
      <vt:variant>
        <vt:i4>5</vt:i4>
      </vt:variant>
      <vt:variant>
        <vt:lpwstr>https://www.un.org/en/climatechange/paris-agreement</vt:lpwstr>
      </vt:variant>
      <vt:variant>
        <vt:lpwstr/>
      </vt:variant>
      <vt:variant>
        <vt:i4>8323111</vt:i4>
      </vt:variant>
      <vt:variant>
        <vt:i4>12</vt:i4>
      </vt:variant>
      <vt:variant>
        <vt:i4>0</vt:i4>
      </vt:variant>
      <vt:variant>
        <vt:i4>5</vt:i4>
      </vt:variant>
      <vt:variant>
        <vt:lpwstr>https://www.un.org/en/climatechange/paris-agreement</vt:lpwstr>
      </vt:variant>
      <vt:variant>
        <vt:lpwstr/>
      </vt:variant>
      <vt:variant>
        <vt:i4>6160415</vt:i4>
      </vt:variant>
      <vt:variant>
        <vt:i4>9</vt:i4>
      </vt:variant>
      <vt:variant>
        <vt:i4>0</vt:i4>
      </vt:variant>
      <vt:variant>
        <vt:i4>5</vt:i4>
      </vt:variant>
      <vt:variant>
        <vt:lpwstr>https://hudoc.echr.coe.int/eng-press?%20i%20=%20003-7374717-10079435</vt:lpwstr>
      </vt:variant>
      <vt:variant>
        <vt:lpwstr/>
      </vt:variant>
      <vt:variant>
        <vt:i4>5636122</vt:i4>
      </vt:variant>
      <vt:variant>
        <vt:i4>6</vt:i4>
      </vt:variant>
      <vt:variant>
        <vt:i4>0</vt:i4>
      </vt:variant>
      <vt:variant>
        <vt:i4>5</vt:i4>
      </vt:variant>
      <vt:variant>
        <vt:lpwstr>https://hudoc.echr.coe.int/eng-press?%20i%20=%20003-7353639-10043718</vt:lpwstr>
      </vt:variant>
      <vt:variant>
        <vt:lpwstr/>
      </vt:variant>
      <vt:variant>
        <vt:i4>6357027</vt:i4>
      </vt:variant>
      <vt:variant>
        <vt:i4>3</vt:i4>
      </vt:variant>
      <vt:variant>
        <vt:i4>0</vt:i4>
      </vt:variant>
      <vt:variant>
        <vt:i4>5</vt:i4>
      </vt:variant>
      <vt:variant>
        <vt:lpwstr>https://hudoc.echr.coe.int/eng-press?%20i%20=%20003-7322460-9989782</vt:lpwstr>
      </vt:variant>
      <vt:variant>
        <vt:lpwstr/>
      </vt:variant>
      <vt:variant>
        <vt:i4>4718629</vt:i4>
      </vt:variant>
      <vt:variant>
        <vt:i4>0</vt:i4>
      </vt:variant>
      <vt:variant>
        <vt:i4>0</vt:i4>
      </vt:variant>
      <vt:variant>
        <vt:i4>5</vt:i4>
      </vt:variant>
      <vt:variant>
        <vt:lpwstr>http://www.echr.coe.int/Documents/Convention_ENG.pdf</vt:lpwstr>
      </vt:variant>
      <vt:variant>
        <vt:lpwstr/>
      </vt:variant>
      <vt:variant>
        <vt:i4>8126572</vt:i4>
      </vt:variant>
      <vt:variant>
        <vt:i4>3</vt:i4>
      </vt:variant>
      <vt:variant>
        <vt:i4>0</vt:i4>
      </vt:variant>
      <vt:variant>
        <vt:i4>5</vt:i4>
      </vt:variant>
      <vt:variant>
        <vt:lpwstr>http://ier.gov.ro/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FT_Climate change_March 2023-RO</dc:title>
  <dc:subject>FS_Environment_ENG</dc:subject>
  <dc:creator/>
  <cp:keywords/>
  <cp:lastModifiedBy/>
  <cp:revision>1</cp:revision>
  <cp:lastPrinted>2012-08-19T15:17:00Z</cp:lastPrinted>
  <dcterms:created xsi:type="dcterms:W3CDTF">2023-04-05T10:56:00Z</dcterms:created>
  <dcterms:modified xsi:type="dcterms:W3CDTF">2023-04-05T10:56:00Z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S AutoSave">
    <vt:lpwstr>20230214154238729</vt:lpwstr>
  </property>
  <property fmtid="{D5CDD505-2E9C-101B-9397-08002B2CF9AE}" pid="3" name="OrigTemp">
    <vt:lpwstr>NEW_ Press_Country_Files.dot</vt:lpwstr>
  </property>
</Properties>
</file>