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181" w:rsidRPr="00185181" w:rsidRDefault="00185181" w:rsidP="00E647E5">
      <w:pPr>
        <w:pStyle w:val="DecHTitle"/>
        <w:rPr>
          <w:b/>
        </w:rPr>
      </w:pPr>
      <w:r w:rsidRPr="00185181">
        <w:rPr>
          <w:b/>
        </w:rPr>
        <w:t>CURTEA EUROPEANĂ A DREPTURILOR OMULUI</w:t>
      </w:r>
    </w:p>
    <w:p w:rsidR="00E647E5" w:rsidRPr="00E647E5" w:rsidRDefault="00E647E5" w:rsidP="00E647E5">
      <w:pPr>
        <w:pStyle w:val="DecHTitle"/>
      </w:pPr>
      <w:r>
        <w:t>SECȚIA A PATRA</w:t>
      </w:r>
    </w:p>
    <w:p w:rsidR="00E647E5" w:rsidRPr="00E647E5" w:rsidRDefault="00E647E5" w:rsidP="00E647E5">
      <w:pPr>
        <w:pStyle w:val="DecHTitle"/>
      </w:pPr>
      <w:r>
        <w:t>DECIZIE</w:t>
      </w:r>
    </w:p>
    <w:p w:rsidR="00E647E5" w:rsidRPr="00E647E5" w:rsidRDefault="00E647E5" w:rsidP="00E647E5">
      <w:pPr>
        <w:pStyle w:val="DecHCase"/>
        <w:rPr>
          <w:rStyle w:val="JuITMark"/>
          <w:sz w:val="24"/>
          <w:shd w:val="clear" w:color="auto" w:fill="auto"/>
        </w:rPr>
      </w:pPr>
      <w:r>
        <w:t>Cererea nr. 27768/19</w:t>
      </w:r>
      <w:r>
        <w:br/>
        <w:t>formulată de Asher ELGAR</w:t>
      </w:r>
      <w:r>
        <w:br/>
        <w:t>împotriva României</w:t>
      </w:r>
    </w:p>
    <w:p w:rsidR="00E647E5" w:rsidRPr="00E647E5" w:rsidRDefault="00E647E5" w:rsidP="00E647E5">
      <w:pPr>
        <w:pStyle w:val="JuPara"/>
      </w:pPr>
      <w:r>
        <w:t>Curtea Europeană a Drepturilor Omului (Secția a patra), reunită la 24 iunie 2025 într-un comitet compus din:</w:t>
      </w:r>
    </w:p>
    <w:p w:rsidR="00E647E5" w:rsidRPr="00E647E5" w:rsidRDefault="00E647E5" w:rsidP="00E647E5">
      <w:pPr>
        <w:pStyle w:val="JuJudges"/>
      </w:pPr>
      <w:r>
        <w:tab/>
        <w:t>Ana Maria Guerra Martins</w:t>
      </w:r>
      <w:r>
        <w:rPr>
          <w:i/>
        </w:rPr>
        <w:t>, președinte</w:t>
      </w:r>
      <w:r>
        <w:t>,</w:t>
      </w:r>
      <w:r>
        <w:br/>
      </w:r>
      <w:r>
        <w:tab/>
        <w:t>Anne Louise Bormann,</w:t>
      </w:r>
      <w:r>
        <w:br/>
      </w:r>
      <w:r>
        <w:tab/>
        <w:t>Sebastian Rădulețu</w:t>
      </w:r>
      <w:r>
        <w:rPr>
          <w:i/>
        </w:rPr>
        <w:t>, judecători</w:t>
      </w:r>
      <w:r>
        <w:t>,</w:t>
      </w:r>
      <w:r>
        <w:br/>
        <w:t xml:space="preserve">și Crina Kaufman, </w:t>
      </w:r>
      <w:r>
        <w:rPr>
          <w:i/>
          <w:iCs/>
        </w:rPr>
        <w:t>grefier adjunct de secție a.i.</w:t>
      </w:r>
      <w:r>
        <w:t>,</w:t>
      </w:r>
    </w:p>
    <w:p w:rsidR="00E647E5" w:rsidRPr="00E647E5" w:rsidRDefault="00E647E5" w:rsidP="00E647E5">
      <w:pPr>
        <w:pStyle w:val="JuPara"/>
      </w:pPr>
      <w:r>
        <w:t>Având în vedere:</w:t>
      </w:r>
    </w:p>
    <w:p w:rsidR="00E647E5" w:rsidRPr="00E647E5" w:rsidRDefault="00E647E5" w:rsidP="00E647E5">
      <w:pPr>
        <w:pStyle w:val="JuPara"/>
      </w:pPr>
      <w:r>
        <w:t>cererea nr. 27768/19 îndreptată împotriva României, prin care un resortisant francez, domnul Asher Elgar („reclamantul”), care s-a născut în 1962 și locuiește în București, reprezentat de C.L. Popescu, avocat în București și Paris, a sesizat Curtea la 9 mai 2019, în temeiul art. 34 din Convenția pentru apărarea drepturilor omului și a libertăților fundamentale („Convenția”),</w:t>
      </w:r>
    </w:p>
    <w:p w:rsidR="00E647E5" w:rsidRPr="00E647E5" w:rsidRDefault="00E647E5" w:rsidP="00E647E5">
      <w:pPr>
        <w:pStyle w:val="JuPara"/>
      </w:pPr>
      <w:r>
        <w:t>decizia de a aduce prezenta cerere la cunoștința Guvernului român („Guvernul”), reprezentat de agentul guvernamental, doamna O.F. Ezer, din cadrul Ministerului Afacerilor Externe,</w:t>
      </w:r>
    </w:p>
    <w:p w:rsidR="00E647E5" w:rsidRPr="00E647E5" w:rsidRDefault="00E647E5" w:rsidP="00E647E5">
      <w:pPr>
        <w:pStyle w:val="JuPara"/>
      </w:pPr>
      <w:r>
        <w:t>observațiile părților,</w:t>
      </w:r>
    </w:p>
    <w:p w:rsidR="00E647E5" w:rsidRPr="00E647E5" w:rsidRDefault="00E647E5" w:rsidP="00E647E5">
      <w:pPr>
        <w:pStyle w:val="JuPara"/>
      </w:pPr>
      <w:r>
        <w:t>declarația depusă de Guvernul pârât la 24 aprilie 2023, prin care a solicitat Curții scoaterea de pe rol a cererii, precum și răspunsul reclamantului la această declarație,</w:t>
      </w:r>
    </w:p>
    <w:p w:rsidR="00E647E5" w:rsidRPr="00E647E5" w:rsidRDefault="00E647E5" w:rsidP="00E647E5">
      <w:pPr>
        <w:pStyle w:val="JuPara"/>
      </w:pPr>
      <w:r>
        <w:t>După ce a deliberat în acest sens, pronunță următoarea decizie:</w:t>
      </w:r>
    </w:p>
    <w:p w:rsidR="00E647E5" w:rsidRPr="00E647E5" w:rsidRDefault="00E647E5" w:rsidP="00E647E5">
      <w:pPr>
        <w:pStyle w:val="JuHHead"/>
      </w:pPr>
      <w:r>
        <w:t>FAPTELE ȘI PROCEDURA</w:t>
      </w:r>
    </w:p>
    <w:p w:rsidR="00E647E5" w:rsidRPr="00E647E5" w:rsidRDefault="00185181" w:rsidP="00E647E5">
      <w:pPr>
        <w:pStyle w:val="JuPara"/>
      </w:pPr>
      <w:fldSimple w:instr=" SEQ level0 \*arabic \* MERGEFORMAT ">
        <w:bookmarkStart w:id="0" w:name="paragraph00001"/>
        <w:r w:rsidR="0030402E">
          <w:rPr>
            <w:noProof/>
          </w:rPr>
          <w:t>1</w:t>
        </w:r>
        <w:bookmarkEnd w:id="0"/>
      </w:fldSimple>
      <w:r w:rsidR="00E647E5">
        <w:t xml:space="preserve">.  Prin decizia penală definitivă din 28 martie 2018, Curtea de Apel București l-a condamnat pe reclamant la 4 luni de închisoare pentru comiterea infracțiunii de complicitate la fals în declarații și la 6 luni de închisoare pentru </w:t>
      </w:r>
      <w:r w:rsidR="00E647E5">
        <w:lastRenderedPageBreak/>
        <w:t>comiterea infracțiunii de instigare la executarea fără autorizație de construire, ori cu nerespectarea prevederilor acesteia de lucrări la construcții amplasate în zone construite protejate, stabilite potrivit legii. Curtea de apel a contopit pedepsele, l-a condamnat pe reclamant la pedeapsa închisorii cea mai grea, respectiv 6 luni de închisoare pentru comiterea infracțiunii de instigare la executarea fără autorizație de construire, ori cu nerespectarea prevederilor acesteia de lucrări la construcții amplasate în zone construite protejate, stabilite potrivit legii, și a dispus suspendarea condiționată a executării pedepsei.</w:t>
      </w:r>
    </w:p>
    <w:p w:rsidR="00E647E5" w:rsidRPr="00E647E5" w:rsidRDefault="00185181" w:rsidP="00E647E5">
      <w:pPr>
        <w:pStyle w:val="JuPara"/>
      </w:pPr>
      <w:fldSimple w:instr=" SEQ level0 \*arabic \* MERGEFORMAT ">
        <w:bookmarkStart w:id="1" w:name="paragraph00002"/>
        <w:r w:rsidR="0030402E">
          <w:rPr>
            <w:noProof/>
          </w:rPr>
          <w:t>2</w:t>
        </w:r>
        <w:bookmarkEnd w:id="1"/>
      </w:fldSimple>
      <w:r w:rsidR="00E647E5">
        <w:t>.  La 3 martie 2022, în temeiul art. 15 alin. (1) lit. b) din Legea nr. 290/2004 privind cazierul judiciar, reclamantul a fost scos din evidență întrucât a intervenit reabilitarea judecătorească sau de drept. În temeiul art. 169 din Codul penal, reabilitarea face să înceteze decăderile și interdicțiile, precum și incapacitățile care rezultă din condamnare.</w:t>
      </w:r>
    </w:p>
    <w:p w:rsidR="00E647E5" w:rsidRPr="00E647E5" w:rsidRDefault="00185181" w:rsidP="00E647E5">
      <w:pPr>
        <w:pStyle w:val="JuPara"/>
      </w:pPr>
      <w:fldSimple w:instr=" SEQ level0 \*arabic \* MERGEFORMAT ">
        <w:bookmarkStart w:id="2" w:name="paragraph00003"/>
        <w:r w:rsidR="0030402E">
          <w:rPr>
            <w:noProof/>
          </w:rPr>
          <w:t>3</w:t>
        </w:r>
        <w:bookmarkEnd w:id="2"/>
      </w:fldSimple>
      <w:r w:rsidR="00E647E5">
        <w:t>.  Invocând art. 6 § 1 și 3 lit. a), b) și c) din Convenție, reclamantul s-a plâns de schimbarea încadrării juridice a faptelor reținute în sarcina sa, efectuată de curtea de apel în timpul deliberărilor, respectiv complicitate la fals în declarații, cu toate că fusese trimis în judecată și achitat în primă instanță sub aspectul săvârșirii infracțiunii de fals în declarații, fapt care l-a împiedicat să își exercite dreptul la apărare. S-a plâns, de asemenea, de motivarea insuficientă a hotărârii judecătorești de condamnare.</w:t>
      </w:r>
    </w:p>
    <w:p w:rsidR="00E647E5" w:rsidRPr="00E647E5" w:rsidRDefault="00185181" w:rsidP="00E647E5">
      <w:pPr>
        <w:pStyle w:val="JuPara"/>
      </w:pPr>
      <w:fldSimple w:instr=" SEQ level0 \*arabic \* MERGEFORMAT ">
        <w:r w:rsidR="0030402E">
          <w:rPr>
            <w:noProof/>
          </w:rPr>
          <w:t>4</w:t>
        </w:r>
      </w:fldSimple>
      <w:r w:rsidR="00E647E5">
        <w:t>.  Cererea a fost comunicată Guvernului.</w:t>
      </w:r>
    </w:p>
    <w:p w:rsidR="00E647E5" w:rsidRPr="00E647E5" w:rsidRDefault="00E647E5" w:rsidP="00E647E5">
      <w:pPr>
        <w:pStyle w:val="JuHHead"/>
      </w:pPr>
      <w:r>
        <w:t>ÎN DREPT</w:t>
      </w:r>
    </w:p>
    <w:p w:rsidR="00E647E5" w:rsidRPr="00E647E5" w:rsidRDefault="00185181" w:rsidP="00E647E5">
      <w:pPr>
        <w:pStyle w:val="JuPara"/>
      </w:pPr>
      <w:fldSimple w:instr=" SEQ level0 \*arabic \* MERGEFORMAT ">
        <w:r w:rsidR="0030402E">
          <w:rPr>
            <w:noProof/>
          </w:rPr>
          <w:t>5</w:t>
        </w:r>
      </w:fldSimple>
      <w:r w:rsidR="00E647E5">
        <w:t>.  Printr-o scrisoare din 24 aprilie 2023, în urma unor negocieri nereușite în vederea unei soluționări pe cale amiabilă, Guvernul a informat Curtea că intenționa să depună o declarație unilaterală în vederea soluționării problemei ridicate de cerere. De asemenea, a solicitat Curții scoaterea de pe rol a cererii în conformitate cu art. 37 § 1 lit. c) din Convenție.</w:t>
      </w:r>
    </w:p>
    <w:p w:rsidR="00E647E5" w:rsidRPr="00E647E5" w:rsidRDefault="00185181" w:rsidP="00E647E5">
      <w:pPr>
        <w:pStyle w:val="JuPara"/>
      </w:pPr>
      <w:fldSimple w:instr=" SEQ level0 \*arabic \* MERGEFORMAT ">
        <w:r w:rsidR="0030402E">
          <w:rPr>
            <w:noProof/>
          </w:rPr>
          <w:t>6</w:t>
        </w:r>
      </w:fldSimple>
      <w:r w:rsidR="00E647E5">
        <w:t>.  În declarația unilaterală, Guvernul „recunoaște existența unei încălcări a art. 6 § 1 și 3 lit. a) și b) din Convenție care decurge din situația reclamantului”. Acesta se oferă să plătească reclamantului, cu titlu de reparație echitabilă, suma de 5 850 euro (EUR), care va acoperi prejudiciul material și moral, precum și cheltuielile de judecată. Suma va fi plătită persoanei în cauză în lei românești, la rata de schimb aplicabilă la data plății, în termen de trei luni de la data notificării deciziei Curții. În caz de neplată în termenul respectiv, Guvernul se angajează să majoreze suma, de la expirarea termenului menționat și până la efectuarea plății, cu o dobândă simplă, la o rată egală cu rata dobânzii facilității de împrumut marginal practicată de Banca Centrală Europeană, aplicabilă pe parcursul acestei perioade și majorată cu trei puncte procentuale.</w:t>
      </w:r>
    </w:p>
    <w:p w:rsidR="00E647E5" w:rsidRPr="00E647E5" w:rsidRDefault="00185181" w:rsidP="00E647E5">
      <w:pPr>
        <w:pStyle w:val="JuPara"/>
      </w:pPr>
      <w:fldSimple w:instr=" SEQ level0 \*arabic \* MERGEFORMAT ">
        <w:r w:rsidR="0030402E">
          <w:rPr>
            <w:noProof/>
          </w:rPr>
          <w:t>7</w:t>
        </w:r>
      </w:fldSimple>
      <w:r w:rsidR="00E647E5">
        <w:t>.  Condițiile din declarația unilaterală au fost transmise reclamantului.</w:t>
      </w:r>
    </w:p>
    <w:p w:rsidR="00E647E5" w:rsidRPr="00E647E5" w:rsidRDefault="00185181" w:rsidP="00E647E5">
      <w:pPr>
        <w:pStyle w:val="JuPara"/>
      </w:pPr>
      <w:fldSimple w:instr=" SEQ level0 \*arabic \* MERGEFORMAT ">
        <w:r w:rsidR="0030402E">
          <w:rPr>
            <w:noProof/>
          </w:rPr>
          <w:t>8</w:t>
        </w:r>
      </w:fldSimple>
      <w:r w:rsidR="00E647E5">
        <w:t>.  Printr-o scrisoare din 17 iunie 2023, reclamantul a solicitat Curții să nu accepte declarația unilaterală a Guvernului, subliniind gravitatea încălcărilor drepturilor sale și consecințele suferite ca urmare a procedurii interne. Acesta a arătat că singura posibilitate de a anula condamnarea sa definitivă și de a scoate din cazierul său judiciar notarea privind condamnarea sa era redeschiderea procedurii interne prin intermediul unei revizuiri. În opinia sa, pentru a putea solicita redeschiderea procedurii interne, trebuia să obțină de la Curte o hotărâre de constatare a încălcării drepturilor sale, nu o decizie de scoatere de pe rol a cauzei în urma unei declarații unilaterale.</w:t>
      </w:r>
    </w:p>
    <w:p w:rsidR="00E647E5" w:rsidRPr="00E647E5" w:rsidRDefault="00185181" w:rsidP="00E647E5">
      <w:pPr>
        <w:pStyle w:val="JuPara"/>
      </w:pPr>
      <w:fldSimple w:instr=" SEQ level0 \*arabic \* MERGEFORMAT ">
        <w:r w:rsidR="0030402E">
          <w:rPr>
            <w:noProof/>
          </w:rPr>
          <w:t>9</w:t>
        </w:r>
      </w:fldSimple>
      <w:r w:rsidR="00E647E5">
        <w:t>.  Curtea reamintește că, în temeiul art. 37 § 1 lit. c) din Convenție, poate hotărî scoaterea de pe rol a unei cereri în orice stadiu al procedurii atunci când:</w:t>
      </w:r>
    </w:p>
    <w:p w:rsidR="00E647E5" w:rsidRPr="00E647E5" w:rsidRDefault="00E647E5" w:rsidP="00E647E5">
      <w:pPr>
        <w:pStyle w:val="JuQuot"/>
      </w:pPr>
      <w:r>
        <w:t>„[...] pentru orice alt motiv, constatat de Curte, continuarea examinării cererii nu se mai justifică”.</w:t>
      </w:r>
    </w:p>
    <w:p w:rsidR="00E647E5" w:rsidRPr="00E647E5" w:rsidRDefault="00185181" w:rsidP="00E647E5">
      <w:pPr>
        <w:pStyle w:val="JuPara"/>
      </w:pPr>
      <w:fldSimple w:instr=" SEQ level0 \*arabic \* MERGEFORMAT ">
        <w:r w:rsidR="0030402E">
          <w:rPr>
            <w:noProof/>
          </w:rPr>
          <w:t>10</w:t>
        </w:r>
      </w:fldSimple>
      <w:r w:rsidR="00E647E5">
        <w:t xml:space="preserve">.  Astfel, în temeiul acestei dispoziții, Curtea poate să scoată cereri de pe rol în baza unei declarații unilaterale a Guvernului pârât, chiar dacă reclamanții doresc continuarea examinării cauzei lor [a se vedea în special hotărârea </w:t>
      </w:r>
      <w:r w:rsidR="00E647E5">
        <w:rPr>
          <w:i/>
          <w:iCs/>
        </w:rPr>
        <w:t>Tahsin Acar împotriva Turciei</w:t>
      </w:r>
      <w:r w:rsidR="00E647E5">
        <w:t xml:space="preserve"> (întrebare preliminară) (MC), nr. 26307/95, pct. 75</w:t>
      </w:r>
      <w:r w:rsidR="00E647E5">
        <w:noBreakHyphen/>
        <w:t>77, CEDO 2003</w:t>
      </w:r>
      <w:r w:rsidR="00E647E5">
        <w:noBreakHyphen/>
        <w:t>VI].</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11</w:t>
      </w:r>
      <w:r w:rsidRPr="00E647E5">
        <w:rPr>
          <w:rFonts w:eastAsiaTheme="minorEastAsia"/>
        </w:rPr>
        <w:fldChar w:fldCharType="end"/>
      </w:r>
      <w:r>
        <w:t xml:space="preserve">.  În acest scop, Curtea a examinat declarația în lumina principiilor consacrate în jurisprudența sa, în special hotărârea </w:t>
      </w:r>
      <w:r>
        <w:rPr>
          <w:i/>
          <w:iCs/>
        </w:rPr>
        <w:t>Tahsin Acar</w:t>
      </w:r>
      <w:r>
        <w:t xml:space="preserve"> [</w:t>
      </w:r>
      <w:r>
        <w:rPr>
          <w:i/>
          <w:iCs/>
        </w:rPr>
        <w:t>Tahsin Acar</w:t>
      </w:r>
      <w:r>
        <w:t>, citată anterior, pct. 75</w:t>
      </w:r>
      <w:r>
        <w:noBreakHyphen/>
        <w:t xml:space="preserve">77; a se vedea, de asemenea, </w:t>
      </w:r>
      <w:r>
        <w:rPr>
          <w:i/>
        </w:rPr>
        <w:t xml:space="preserve">WAZA Sp. z o.o. împotriva Poloniei </w:t>
      </w:r>
      <w:r>
        <w:t xml:space="preserve">(dec.), nr. 11602/02, 26 iunie 2007, și </w:t>
      </w:r>
      <w:r>
        <w:rPr>
          <w:i/>
        </w:rPr>
        <w:t xml:space="preserve">Sulwińska împotriva Poloniei </w:t>
      </w:r>
      <w:r>
        <w:t>(dec.), nr. 28953/03, 18 septembrie 2007].</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12</w:t>
      </w:r>
      <w:r w:rsidRPr="00E647E5">
        <w:rPr>
          <w:rFonts w:eastAsiaTheme="minorEastAsia"/>
        </w:rPr>
        <w:fldChar w:fldCharType="end"/>
      </w:r>
      <w:r>
        <w:t xml:space="preserve">.  Într-o serie de cauze, Curtea a consacrat practica sa în ceea ce privește capetele de cerere întemeiate pe încălcarea dreptului la un proces echitabil ca urmare a condamnării penale a persoanelor în cauză fără ca acestea să aibă posibilitatea de a cunoaște și de a se apăra împotriva noii încadrări juridice a faptelor imputate [a se vedea, de exemplu, </w:t>
      </w:r>
      <w:r>
        <w:rPr>
          <w:i/>
          <w:iCs/>
        </w:rPr>
        <w:t>Pélissier și Sassi împotriva Franței</w:t>
      </w:r>
      <w:r>
        <w:t xml:space="preserve"> (MC), nr. 25444/94, pct. 51-53, CEDO 1999-II; </w:t>
      </w:r>
      <w:r>
        <w:rPr>
          <w:i/>
          <w:iCs/>
        </w:rPr>
        <w:t>Adrian Constantin împotriva României</w:t>
      </w:r>
      <w:r>
        <w:t xml:space="preserve">, nr. 21175/03, pct. 18-28, 12 aprilie 2011; și </w:t>
      </w:r>
      <w:r>
        <w:rPr>
          <w:i/>
          <w:iCs/>
        </w:rPr>
        <w:t>Pereira Cruz și alții împotriva Portugaliei</w:t>
      </w:r>
      <w:r>
        <w:t xml:space="preserve">, nr. 56396/12 și alte 3, pct. 196-199, 26 iunie 2018] sau ca urmare a motivării insuficiente a deciziilor interne [a se vedea, de exemplu, </w:t>
      </w:r>
      <w:bookmarkStart w:id="3" w:name="_cl12238ENDROIT"/>
      <w:r>
        <w:rPr>
          <w:i/>
          <w:iCs/>
        </w:rPr>
        <w:t>Moreira Ferreira împotriva Portugaliei (nr. 2)</w:t>
      </w:r>
      <w:bookmarkEnd w:id="3"/>
      <w:r>
        <w:t xml:space="preserve"> (MC), nr. 19867/12, pct. 84-85, 11 iulie 2017].</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13</w:t>
      </w:r>
      <w:r w:rsidRPr="00E647E5">
        <w:rPr>
          <w:rFonts w:eastAsiaTheme="minorEastAsia"/>
        </w:rPr>
        <w:fldChar w:fldCharType="end"/>
      </w:r>
      <w:r>
        <w:t xml:space="preserve">.  Curtea ia notă de argumentele reclamantului împotriva declarației unilaterale. În ceea ce privește în special intenția sa de a obține redeschiderea procedurii interne, Curtea amintește că a precizat că nu are competența de a dispune o astfel de măsură [a se vedea, printre alte trimiteri, </w:t>
      </w:r>
      <w:bookmarkStart w:id="4" w:name="_cl43764ENDROIT"/>
      <w:r>
        <w:rPr>
          <w:i/>
          <w:iCs/>
        </w:rPr>
        <w:t>Yüksel Yalçınkaya împotriva Turciei</w:t>
      </w:r>
      <w:bookmarkEnd w:id="4"/>
      <w:r>
        <w:t xml:space="preserve"> (MC), nr. 15669/20, pct. 406, 26 septembrie 2023]. Atunci când o persoană a fost condamnată în urma unei proceduri bazate pe încălcări ale cerințelor art. 6 din Convenție, Curtea poate să precizeze că un nou proces sau o redeschidere a procedurii, la solicitarea </w:t>
      </w:r>
      <w:r>
        <w:lastRenderedPageBreak/>
        <w:t xml:space="preserve">persoanei în cauză, reprezintă în principiu o cale adecvată de remediere a încălcării constatate și, adesea, chiar calea cea mai adecvată [a se vedea, de exemplu, </w:t>
      </w:r>
      <w:r>
        <w:rPr>
          <w:i/>
          <w:iCs/>
        </w:rPr>
        <w:t>Yüksel Yalçınkaya</w:t>
      </w:r>
      <w:r>
        <w:t xml:space="preserve">, citată anterior, pct. 406, </w:t>
      </w:r>
      <w:r>
        <w:rPr>
          <w:i/>
          <w:iCs/>
        </w:rPr>
        <w:t>Sejdovic împotriva Italiei</w:t>
      </w:r>
      <w:r>
        <w:t xml:space="preserve"> (MC), nr. 56581/00, pct. 126, CEDO 2006-II, precum și </w:t>
      </w:r>
      <w:r>
        <w:rPr>
          <w:i/>
          <w:iCs/>
        </w:rPr>
        <w:t>Adrian Constantin</w:t>
      </w:r>
      <w:r>
        <w:t>, citată anterior, pct. 32]. Cu toate acestea, măsurile reparatorii specifice care trebuie luate, după caz, de un stat pârât pentru a-și îndeplini obligațiile care îi revin în temeiul art. 46 din Convenție depind în mod necesar de circumstanțele specifice ale cauzei (</w:t>
      </w:r>
      <w:r>
        <w:rPr>
          <w:i/>
          <w:iCs/>
        </w:rPr>
        <w:t>Sejdovic</w:t>
      </w:r>
      <w:r>
        <w:t>, citată anterior, pct. 126, și</w:t>
      </w:r>
      <w:bookmarkStart w:id="5" w:name="_cl41001ENDROIT"/>
      <w:r>
        <w:t xml:space="preserve"> </w:t>
      </w:r>
      <w:r>
        <w:rPr>
          <w:i/>
          <w:iCs/>
        </w:rPr>
        <w:t>Willems și Gorjon împotriva Belgiei</w:t>
      </w:r>
      <w:bookmarkEnd w:id="5"/>
      <w:r>
        <w:t>, nr. 74209/16 și alte 3, pct. 62, 21 septembrie 2021).</w:t>
      </w:r>
    </w:p>
    <w:p w:rsidR="00E647E5" w:rsidRPr="00E647E5" w:rsidRDefault="00185181" w:rsidP="00E647E5">
      <w:pPr>
        <w:pStyle w:val="JuPara"/>
      </w:pPr>
      <w:fldSimple w:instr=" SEQ level0 \*arabic \* MERGEFORMAT ">
        <w:r w:rsidR="0030402E">
          <w:rPr>
            <w:noProof/>
          </w:rPr>
          <w:t>14</w:t>
        </w:r>
      </w:fldSimple>
      <w:r w:rsidR="00E647E5">
        <w:t xml:space="preserve">.  În dreptul român, în conformitate cu art. 465 din Codul de procedură penală, hotărârile definitive pronunțate în cauzele în care Curtea a constatat o încălcare a drepturilor sau libertăților fundamentale ori a dispus scoaterea de pe rol a cauzei, ca urmare a soluționării amiabile a litigiului dintre stat și reclamanți, pot fi supuse revizuirii, dacă vreuna dintre consecințele grave ale încălcării Convenției pentru apărarea drepturilor omului și a libertăților fundamentale și a protocoalelor adiționale la aceasta continuă să se producă și nu poate fi remediată decât prin revizuirea hotărârii pronunțate. Prin urmare, Curtea constată că posibilitatea redeschiderii unei proceduri interne în urma unei decizii de scoatere de pe rol pronunțate de Curte în baza unei declarații unilaterale nu este exclusă în mod formal de legislația națională [a se vedea, pentru caracterizarea posibilă a unei declarații unilaterale, </w:t>
      </w:r>
      <w:r w:rsidR="00E647E5">
        <w:rPr>
          <w:i/>
          <w:iCs/>
        </w:rPr>
        <w:t>Willems și Gorjon</w:t>
      </w:r>
      <w:r w:rsidR="00E647E5">
        <w:t xml:space="preserve">, citată anterior, pct. 61; a se vedea, de asemenea, </w:t>
      </w:r>
      <w:r w:rsidR="00E647E5">
        <w:rPr>
          <w:i/>
        </w:rPr>
        <w:t>mutatis mutandis</w:t>
      </w:r>
      <w:r w:rsidR="00E647E5">
        <w:t xml:space="preserve">, </w:t>
      </w:r>
      <w:r w:rsidR="00E647E5">
        <w:rPr>
          <w:i/>
        </w:rPr>
        <w:t>Dudek și Lazur împotriva Poloniei</w:t>
      </w:r>
      <w:r w:rsidR="00E647E5">
        <w:t xml:space="preserve"> (dec.), nr. 41097/20 și 39577/22, pct. 26, 8 octombrie 2024]. Aceasta reamintește că a acceptat anterior, în aplicarea aceluiași cadru juridic român, o declarație unilaterală într-o cauză referitoare la lipsa caracterului echitabil al unei proceduri penale, acordând importanță în special afirmației Guvernului potrivit căreia legislația națională nu exclude posibilitatea redeschiderii procedurilor interne în urma unei decizii de scoatere de pe rol pronunțate de Curte în baza unei declarații unilaterale [a se vedea cauza </w:t>
      </w:r>
      <w:r w:rsidR="00E647E5">
        <w:rPr>
          <w:i/>
          <w:iCs/>
        </w:rPr>
        <w:t>Duță împotriva României</w:t>
      </w:r>
      <w:r w:rsidR="00E647E5">
        <w:t xml:space="preserve"> (dec.) nr. 48745/13, pct. 7 și 16, 4 decembrie 2018].</w:t>
      </w:r>
    </w:p>
    <w:p w:rsidR="00E647E5" w:rsidRPr="00E647E5" w:rsidRDefault="00185181" w:rsidP="00E647E5">
      <w:pPr>
        <w:pStyle w:val="JuPara"/>
      </w:pPr>
      <w:fldSimple w:instr=" SEQ level0 \*arabic \* MERGEFORMAT ">
        <w:r w:rsidR="0030402E">
          <w:rPr>
            <w:noProof/>
          </w:rPr>
          <w:t>15</w:t>
        </w:r>
      </w:fldSimple>
      <w:r w:rsidR="00E647E5">
        <w:t>.  În orice caz, Curtea observă că, prin decizia penală definitivă din 28 martie 2018, Curtea de Apel București l-a condamnat pe reclamant pentru două infracțiuni și că reclamantul contestă în fața Curții caracterul echitabil al procedurii numai în legătură condamnarea sa pentru comiterea infracțiunii de complicitate la fals în declarații (</w:t>
      </w:r>
      <w:r w:rsidR="00E647E5">
        <w:rPr>
          <w:i/>
          <w:iCs/>
        </w:rPr>
        <w:t>supra</w:t>
      </w:r>
      <w:r w:rsidR="00E647E5">
        <w:t xml:space="preserve">, pct. </w:t>
      </w:r>
      <w:r w:rsidR="00E647E5" w:rsidRPr="00E647E5">
        <w:fldChar w:fldCharType="begin"/>
      </w:r>
      <w:r w:rsidR="00E647E5" w:rsidRPr="00E647E5">
        <w:instrText xml:space="preserve"> REF paragraph00001 \h  \* CharFormat </w:instrText>
      </w:r>
      <w:r w:rsidR="00E647E5" w:rsidRPr="00E647E5">
        <w:fldChar w:fldCharType="separate"/>
      </w:r>
      <w:r w:rsidR="0030402E">
        <w:t>1</w:t>
      </w:r>
      <w:r w:rsidR="00E647E5" w:rsidRPr="00E647E5">
        <w:fldChar w:fldCharType="end"/>
      </w:r>
      <w:r w:rsidR="00E647E5">
        <w:t xml:space="preserve"> și </w:t>
      </w:r>
      <w:r w:rsidR="00E647E5" w:rsidRPr="00E647E5">
        <w:fldChar w:fldCharType="begin"/>
      </w:r>
      <w:r w:rsidR="00E647E5" w:rsidRPr="00E647E5">
        <w:instrText xml:space="preserve"> REF paragraph00003 \h  \* CharFormat </w:instrText>
      </w:r>
      <w:r w:rsidR="00E647E5" w:rsidRPr="00E647E5">
        <w:fldChar w:fldCharType="separate"/>
      </w:r>
      <w:r w:rsidR="0030402E">
        <w:t>3</w:t>
      </w:r>
      <w:r w:rsidR="00E647E5" w:rsidRPr="00E647E5">
        <w:fldChar w:fldCharType="end"/>
      </w:r>
      <w:r w:rsidR="00E647E5">
        <w:t>). În acest context, arată că, prin hotărârea judecătorească de condamnare, pedeapsa aplicată reclamantului pentru cea din urmă infracțiune fusese contopită cu cea mai grea pedeapsă, care i-a fost aplicată pentru comiterea infracțiunii de instigare la executarea fără autorizație de construire, ori cu nerespectarea prevederilor acesteia de lucrări la construcții amplasate în zone construite protejate, stabilite potrivit legii (</w:t>
      </w:r>
      <w:r w:rsidR="00E647E5">
        <w:rPr>
          <w:i/>
          <w:iCs/>
        </w:rPr>
        <w:t>supra</w:t>
      </w:r>
      <w:r w:rsidR="00E647E5">
        <w:t xml:space="preserve">, pct. </w:t>
      </w:r>
      <w:r w:rsidR="00E647E5" w:rsidRPr="00E647E5">
        <w:fldChar w:fldCharType="begin"/>
      </w:r>
      <w:r w:rsidR="00E647E5" w:rsidRPr="00E647E5">
        <w:instrText xml:space="preserve"> REF paragraph00001 \h  \* CharFormat </w:instrText>
      </w:r>
      <w:r w:rsidR="00E647E5" w:rsidRPr="00E647E5">
        <w:fldChar w:fldCharType="separate"/>
      </w:r>
      <w:r w:rsidR="0030402E">
        <w:t>1</w:t>
      </w:r>
      <w:r w:rsidR="00E647E5" w:rsidRPr="00E647E5">
        <w:fldChar w:fldCharType="end"/>
      </w:r>
      <w:r w:rsidR="00E647E5">
        <w:t xml:space="preserve">). În final și în special, Curtea constată că, în urma intervenirii reabilitării de drept, consecințele condamnării penale a </w:t>
      </w:r>
      <w:r w:rsidR="00E647E5">
        <w:lastRenderedPageBreak/>
        <w:t>reclamantului nu mai există și că mențiunea privind condamnarea sa fusese deja ștearsă din cazierul său judiciar (</w:t>
      </w:r>
      <w:r w:rsidR="00E647E5">
        <w:rPr>
          <w:i/>
          <w:iCs/>
        </w:rPr>
        <w:t>supra</w:t>
      </w:r>
      <w:r w:rsidR="00E647E5">
        <w:t xml:space="preserve">, pct. </w:t>
      </w:r>
      <w:r w:rsidR="00E647E5" w:rsidRPr="00E647E5">
        <w:fldChar w:fldCharType="begin"/>
      </w:r>
      <w:r w:rsidR="00E647E5" w:rsidRPr="00E647E5">
        <w:instrText xml:space="preserve"> REF paragraph00002 \h  \* CharFormat </w:instrText>
      </w:r>
      <w:r w:rsidR="00E647E5" w:rsidRPr="00E647E5">
        <w:fldChar w:fldCharType="separate"/>
      </w:r>
      <w:r w:rsidR="0030402E">
        <w:t>2</w:t>
      </w:r>
      <w:r w:rsidR="00E647E5" w:rsidRPr="00E647E5">
        <w:fldChar w:fldCharType="end"/>
      </w:r>
      <w:r w:rsidR="00E647E5">
        <w:t>).</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16</w:t>
      </w:r>
      <w:r w:rsidRPr="00E647E5">
        <w:rPr>
          <w:rFonts w:eastAsiaTheme="minorEastAsia"/>
        </w:rPr>
        <w:fldChar w:fldCharType="end"/>
      </w:r>
      <w:r>
        <w:t>.  În acest context special, având în vedere natura concesiunilor incluse în declarația Guvernului, precum și valoarea despăgubirii propuse – care este conformă cu sumele acordate în cauze similare – Curtea consideră că continuarea examinării cererii nu se mai justifică [art. 37 § 1 lit. c)].</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17</w:t>
      </w:r>
      <w:r w:rsidRPr="00E647E5">
        <w:rPr>
          <w:rFonts w:eastAsiaTheme="minorEastAsia"/>
        </w:rPr>
        <w:fldChar w:fldCharType="end"/>
      </w:r>
      <w:r>
        <w:t xml:space="preserve">.  În plus, în lumina considerațiilor de mai sus și având în vedere în special jurisprudența sa clară și extinsă în materie, Curtea apreciază că respectarea drepturilor omului garantate prin Convenție și prin protocoalele sale nu o obligă la continuarea examinării cererii (art. 37 § 1 </w:t>
      </w:r>
      <w:r>
        <w:rPr>
          <w:i/>
          <w:iCs/>
        </w:rPr>
        <w:t>in fine</w:t>
      </w:r>
      <w:r>
        <w:t>).</w:t>
      </w:r>
    </w:p>
    <w:p w:rsidR="00E647E5" w:rsidRPr="00E647E5" w:rsidRDefault="00E647E5" w:rsidP="00E647E5">
      <w:pPr>
        <w:pStyle w:val="JuPara"/>
        <w:rPr>
          <w:rFonts w:eastAsiaTheme="minorEastAsia"/>
          <w:szCs w:val="22"/>
        </w:rPr>
      </w:pPr>
      <w:r w:rsidRPr="00E647E5">
        <w:rPr>
          <w:rFonts w:eastAsiaTheme="minorEastAsia"/>
        </w:rPr>
        <w:fldChar w:fldCharType="begin"/>
      </w:r>
      <w:r w:rsidRPr="00E647E5">
        <w:rPr>
          <w:rFonts w:eastAsiaTheme="minorEastAsia"/>
        </w:rPr>
        <w:instrText xml:space="preserve"> SEQ level0 \*arabic \* MERGEFORMAT </w:instrText>
      </w:r>
      <w:r w:rsidRPr="00E647E5">
        <w:rPr>
          <w:rFonts w:eastAsiaTheme="minorEastAsia"/>
        </w:rPr>
        <w:fldChar w:fldCharType="separate"/>
      </w:r>
      <w:r w:rsidR="0030402E">
        <w:rPr>
          <w:rFonts w:eastAsiaTheme="minorEastAsia"/>
          <w:noProof/>
        </w:rPr>
        <w:t>18</w:t>
      </w:r>
      <w:r w:rsidRPr="00E647E5">
        <w:rPr>
          <w:rFonts w:eastAsiaTheme="minorEastAsia"/>
        </w:rPr>
        <w:fldChar w:fldCharType="end"/>
      </w:r>
      <w:r>
        <w:t>.  În cele din urmă, Curtea subliniază că, în cazul în care Guvernul nu</w:t>
      </w:r>
      <w:r w:rsidR="009741A4">
        <w:t> </w:t>
      </w:r>
      <w:bookmarkStart w:id="6" w:name="_GoBack"/>
      <w:bookmarkEnd w:id="6"/>
      <w:r>
        <w:t>respectă termenii declarației sale unilaterale, cererea poate fi repusă pe rol în temeiul art. 37 § 2 din Convenție [</w:t>
      </w:r>
      <w:r>
        <w:rPr>
          <w:i/>
          <w:iCs/>
        </w:rPr>
        <w:t>Josipović împotriva Serbiei</w:t>
      </w:r>
      <w:r>
        <w:t xml:space="preserve"> (dec.), nr. 18369/07, 4 martie 2008].</w:t>
      </w:r>
    </w:p>
    <w:p w:rsidR="00E647E5" w:rsidRPr="00E647E5" w:rsidRDefault="00185181" w:rsidP="00E647E5">
      <w:pPr>
        <w:pStyle w:val="JuPara"/>
      </w:pPr>
      <w:fldSimple w:instr=" SEQ level0 \*arabic \* MERGEFORMAT ">
        <w:r w:rsidR="0030402E">
          <w:rPr>
            <w:noProof/>
          </w:rPr>
          <w:t>19</w:t>
        </w:r>
      </w:fldSimple>
      <w:r w:rsidR="00E647E5">
        <w:t>.  Având în vedere cele de mai sus, este necesară scoaterea de pe rol a cererii.</w:t>
      </w:r>
    </w:p>
    <w:p w:rsidR="00E647E5" w:rsidRPr="00E647E5" w:rsidRDefault="00E647E5" w:rsidP="00E647E5">
      <w:pPr>
        <w:pStyle w:val="JuParaLast"/>
      </w:pPr>
      <w:r>
        <w:t>Pentru aceste motive, Curtea, în unanimitate,</w:t>
      </w:r>
    </w:p>
    <w:p w:rsidR="00E647E5" w:rsidRPr="00E647E5" w:rsidRDefault="00E647E5" w:rsidP="00E647E5">
      <w:pPr>
        <w:pStyle w:val="JuList"/>
        <w:numPr>
          <w:ilvl w:val="0"/>
          <w:numId w:val="1"/>
        </w:numPr>
      </w:pPr>
      <w:r>
        <w:rPr>
          <w:i/>
          <w:iCs/>
        </w:rPr>
        <w:t>Ia act</w:t>
      </w:r>
      <w:r>
        <w:t xml:space="preserve"> de termenii declarației Guvernului pârât cu privire la art. 6 § 1 și 3 lit. a) și b) din Convenție și de procedura prevăzută pentru asigurarea respectării angajamentelor astfel asumate;</w:t>
      </w:r>
    </w:p>
    <w:p w:rsidR="00E647E5" w:rsidRPr="00E647E5" w:rsidRDefault="00E647E5" w:rsidP="00E647E5">
      <w:pPr>
        <w:pStyle w:val="JuList"/>
        <w:numPr>
          <w:ilvl w:val="0"/>
          <w:numId w:val="1"/>
        </w:numPr>
      </w:pPr>
      <w:r>
        <w:rPr>
          <w:i/>
          <w:iCs/>
        </w:rPr>
        <w:t>Decide</w:t>
      </w:r>
      <w:r>
        <w:t xml:space="preserve"> scoaterea de pe rol a cererii, în conformitate cu art. 37 § 1 lit. c) din Convenție.</w:t>
      </w:r>
    </w:p>
    <w:p w:rsidR="00E647E5" w:rsidRPr="00E647E5" w:rsidRDefault="00E647E5" w:rsidP="00E647E5">
      <w:pPr>
        <w:pStyle w:val="JuParaLast"/>
      </w:pPr>
      <w:r>
        <w:t>Redactată în limba franceză, apoi comunicată în scris, la 28 august 2025.</w:t>
      </w:r>
    </w:p>
    <w:p w:rsidR="00E647E5" w:rsidRPr="00E647E5" w:rsidRDefault="00E647E5" w:rsidP="00E647E5">
      <w:pPr>
        <w:pStyle w:val="ECHRPlaceholder"/>
      </w:pPr>
      <w:r>
        <w:tab/>
      </w:r>
    </w:p>
    <w:p w:rsidR="00A1102F" w:rsidRPr="00E647E5" w:rsidRDefault="00E647E5" w:rsidP="00E647E5">
      <w:pPr>
        <w:pStyle w:val="JuSigned"/>
        <w:rPr>
          <w:noProof/>
        </w:rPr>
      </w:pPr>
      <w:r>
        <w:tab/>
        <w:t>Crina Kaufman</w:t>
      </w:r>
      <w:r>
        <w:tab/>
        <w:t>Ana Maria Guerra Martins</w:t>
      </w:r>
      <w:r>
        <w:br/>
      </w:r>
      <w:r>
        <w:tab/>
        <w:t>Grefier adjunct a.i.</w:t>
      </w:r>
      <w:r>
        <w:tab/>
        <w:t>Președinte</w:t>
      </w:r>
    </w:p>
    <w:sectPr w:rsidR="00A1102F" w:rsidRPr="00E647E5" w:rsidSect="007E4415">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6" w:h="16838" w:code="9"/>
      <w:pgMar w:top="2274" w:right="2274" w:bottom="2274" w:left="2274" w:header="113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93" w:rsidRDefault="00D62693">
      <w:r>
        <w:separator/>
      </w:r>
    </w:p>
  </w:endnote>
  <w:endnote w:type="continuationSeparator" w:id="0">
    <w:p w:rsidR="00D62693" w:rsidRDefault="00D6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02" w:rsidRPr="00E647E5" w:rsidRDefault="00555DAE" w:rsidP="00E647E5">
    <w:pPr>
      <w:pStyle w:val="JuHeader"/>
    </w:pPr>
    <w:r w:rsidRPr="00E647E5">
      <w:fldChar w:fldCharType="begin"/>
    </w:r>
    <w:r w:rsidRPr="00E647E5">
      <w:instrText xml:space="preserve"> PAGE  \* MERGEFORMAT </w:instrText>
    </w:r>
    <w:r w:rsidRPr="00E647E5">
      <w:fldChar w:fldCharType="separate"/>
    </w:r>
    <w:r w:rsidR="0030402E">
      <w:rPr>
        <w:noProof/>
      </w:rPr>
      <w:t>4</w:t>
    </w:r>
    <w:r w:rsidRPr="00E647E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102" w:rsidRPr="00E647E5" w:rsidRDefault="00555DAE" w:rsidP="00E647E5">
    <w:pPr>
      <w:pStyle w:val="JuHeader"/>
    </w:pPr>
    <w:r w:rsidRPr="00E647E5">
      <w:fldChar w:fldCharType="begin"/>
    </w:r>
    <w:r w:rsidRPr="00E647E5">
      <w:instrText xml:space="preserve"> PAGE  \* MERGEFORMAT </w:instrText>
    </w:r>
    <w:r w:rsidRPr="00E647E5">
      <w:fldChar w:fldCharType="separate"/>
    </w:r>
    <w:r w:rsidR="0030402E">
      <w:rPr>
        <w:noProof/>
      </w:rPr>
      <w:t>3</w:t>
    </w:r>
    <w:r w:rsidRPr="00E647E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24" w:rsidRPr="00E647E5" w:rsidRDefault="00555DAE" w:rsidP="00E647E5">
    <w:pPr>
      <w:jc w:val="center"/>
    </w:pPr>
    <w:r>
      <w:rPr>
        <w:noProof/>
        <w:lang w:eastAsia="ro-RO"/>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665C75" w:rsidRPr="00E647E5" w:rsidRDefault="00665C75" w:rsidP="00E647E5">
    <w:pPr>
      <w:jc w:val="cen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93" w:rsidRDefault="00D62693">
      <w:r>
        <w:separator/>
      </w:r>
    </w:p>
  </w:footnote>
  <w:footnote w:type="continuationSeparator" w:id="0">
    <w:p w:rsidR="00D62693" w:rsidRDefault="00D62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75" w:rsidRPr="00E647E5" w:rsidRDefault="00555DAE" w:rsidP="00E647E5">
    <w:pPr>
      <w:pStyle w:val="JuHeader"/>
    </w:pPr>
    <w:r>
      <w:t>DECIZIA ELGAR ÎMPOTRIVA ROMÂNIEI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C75" w:rsidRPr="00E647E5" w:rsidRDefault="00555DAE" w:rsidP="00E647E5">
    <w:pPr>
      <w:pStyle w:val="JuHeader"/>
    </w:pPr>
    <w:r>
      <w:t>DECIZIA ELGAR ÎMPOTRIVA ROMÂNIEI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849" w:rsidRPr="00FE3849" w:rsidRDefault="00FE3849" w:rsidP="00FE3849">
    <w:pPr>
      <w:jc w:val="right"/>
      <w:rPr>
        <w:i/>
      </w:rPr>
    </w:pPr>
    <w:r>
      <w:rPr>
        <w:i/>
        <w:iCs/>
      </w:rPr>
      <w:t>Tradus și revizuit de IER</w:t>
    </w:r>
    <w:r>
      <w:t xml:space="preserve"> </w:t>
    </w:r>
    <w:r>
      <w:rPr>
        <w:i/>
      </w:rPr>
      <w:t>(</w:t>
    </w:r>
    <w:hyperlink r:id="rId1" w:history="1">
      <w:r>
        <w:rPr>
          <w:rStyle w:val="Hyperlink"/>
          <w:i/>
        </w:rPr>
        <w:t>http://ier.gov.ro/</w:t>
      </w:r>
    </w:hyperlink>
    <w:r>
      <w:rPr>
        <w:i/>
      </w:rPr>
      <w:t>)</w:t>
    </w:r>
  </w:p>
  <w:p w:rsidR="00FE3849" w:rsidRDefault="00FE3849" w:rsidP="00E647E5">
    <w:pPr>
      <w:jc w:val="center"/>
    </w:pPr>
  </w:p>
  <w:p w:rsidR="007E4415" w:rsidRDefault="007E4415" w:rsidP="00E647E5">
    <w:pPr>
      <w:jc w:val="center"/>
    </w:pPr>
  </w:p>
  <w:p w:rsidR="00AB2324" w:rsidRDefault="00555DAE" w:rsidP="00E647E5">
    <w:pPr>
      <w:jc w:val="center"/>
    </w:pPr>
    <w:r>
      <w:rPr>
        <w:noProof/>
        <w:lang w:eastAsia="ro-RO"/>
      </w:rPr>
      <w:drawing>
        <wp:inline distT="0" distB="0" distL="0" distR="0">
          <wp:extent cx="2962275" cy="1219200"/>
          <wp:effectExtent l="0" t="0" r="9525" b="0"/>
          <wp:docPr id="17" name="Picture 1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A80A9B" w:rsidRDefault="00A80A9B" w:rsidP="00E647E5">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40FA1046">
      <w:start w:val="1"/>
      <w:numFmt w:val="bullet"/>
      <w:pStyle w:val="ListBullet"/>
      <w:lvlText w:val=""/>
      <w:lvlJc w:val="left"/>
      <w:pPr>
        <w:tabs>
          <w:tab w:val="num" w:pos="851"/>
        </w:tabs>
        <w:ind w:left="568" w:firstLine="0"/>
      </w:pPr>
      <w:rPr>
        <w:rFonts w:ascii="Wingdings" w:hAnsi="Wingdings" w:hint="default"/>
        <w:color w:val="808080"/>
        <w:sz w:val="16"/>
      </w:rPr>
    </w:lvl>
    <w:lvl w:ilvl="1" w:tplc="CAFC9EE6" w:tentative="1">
      <w:start w:val="1"/>
      <w:numFmt w:val="bullet"/>
      <w:lvlText w:val="o"/>
      <w:lvlJc w:val="left"/>
      <w:pPr>
        <w:tabs>
          <w:tab w:val="num" w:pos="1724"/>
        </w:tabs>
        <w:ind w:left="1724" w:hanging="360"/>
      </w:pPr>
      <w:rPr>
        <w:rFonts w:ascii="Courier New" w:hAnsi="Courier New" w:cs="Courier New" w:hint="default"/>
      </w:rPr>
    </w:lvl>
    <w:lvl w:ilvl="2" w:tplc="4EDE03A0" w:tentative="1">
      <w:start w:val="1"/>
      <w:numFmt w:val="bullet"/>
      <w:lvlText w:val=""/>
      <w:lvlJc w:val="left"/>
      <w:pPr>
        <w:tabs>
          <w:tab w:val="num" w:pos="2444"/>
        </w:tabs>
        <w:ind w:left="2444" w:hanging="360"/>
      </w:pPr>
      <w:rPr>
        <w:rFonts w:ascii="Wingdings" w:hAnsi="Wingdings" w:hint="default"/>
      </w:rPr>
    </w:lvl>
    <w:lvl w:ilvl="3" w:tplc="6F7E9330" w:tentative="1">
      <w:start w:val="1"/>
      <w:numFmt w:val="bullet"/>
      <w:lvlText w:val=""/>
      <w:lvlJc w:val="left"/>
      <w:pPr>
        <w:tabs>
          <w:tab w:val="num" w:pos="3164"/>
        </w:tabs>
        <w:ind w:left="3164" w:hanging="360"/>
      </w:pPr>
      <w:rPr>
        <w:rFonts w:ascii="Symbol" w:hAnsi="Symbol" w:hint="default"/>
      </w:rPr>
    </w:lvl>
    <w:lvl w:ilvl="4" w:tplc="1F2C5E08" w:tentative="1">
      <w:start w:val="1"/>
      <w:numFmt w:val="bullet"/>
      <w:lvlText w:val="o"/>
      <w:lvlJc w:val="left"/>
      <w:pPr>
        <w:tabs>
          <w:tab w:val="num" w:pos="3884"/>
        </w:tabs>
        <w:ind w:left="3884" w:hanging="360"/>
      </w:pPr>
      <w:rPr>
        <w:rFonts w:ascii="Courier New" w:hAnsi="Courier New" w:cs="Courier New" w:hint="default"/>
      </w:rPr>
    </w:lvl>
    <w:lvl w:ilvl="5" w:tplc="AC7C8070" w:tentative="1">
      <w:start w:val="1"/>
      <w:numFmt w:val="bullet"/>
      <w:lvlText w:val=""/>
      <w:lvlJc w:val="left"/>
      <w:pPr>
        <w:tabs>
          <w:tab w:val="num" w:pos="4604"/>
        </w:tabs>
        <w:ind w:left="4604" w:hanging="360"/>
      </w:pPr>
      <w:rPr>
        <w:rFonts w:ascii="Wingdings" w:hAnsi="Wingdings" w:hint="default"/>
      </w:rPr>
    </w:lvl>
    <w:lvl w:ilvl="6" w:tplc="E9B43CC0" w:tentative="1">
      <w:start w:val="1"/>
      <w:numFmt w:val="bullet"/>
      <w:lvlText w:val=""/>
      <w:lvlJc w:val="left"/>
      <w:pPr>
        <w:tabs>
          <w:tab w:val="num" w:pos="5324"/>
        </w:tabs>
        <w:ind w:left="5324" w:hanging="360"/>
      </w:pPr>
      <w:rPr>
        <w:rFonts w:ascii="Symbol" w:hAnsi="Symbol" w:hint="default"/>
      </w:rPr>
    </w:lvl>
    <w:lvl w:ilvl="7" w:tplc="1638EA5E" w:tentative="1">
      <w:start w:val="1"/>
      <w:numFmt w:val="bullet"/>
      <w:lvlText w:val="o"/>
      <w:lvlJc w:val="left"/>
      <w:pPr>
        <w:tabs>
          <w:tab w:val="num" w:pos="6044"/>
        </w:tabs>
        <w:ind w:left="6044" w:hanging="360"/>
      </w:pPr>
      <w:rPr>
        <w:rFonts w:ascii="Courier New" w:hAnsi="Courier New" w:cs="Courier New" w:hint="default"/>
      </w:rPr>
    </w:lvl>
    <w:lvl w:ilvl="8" w:tplc="D92AE26E"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1"/>
    <w:docVar w:name="DocVarPREMATURE" w:val="0"/>
    <w:docVar w:name="EMM" w:val="0"/>
    <w:docVar w:name="ETRANSMISSION" w:val="PAR VOIE ÈLECTRONIQUE UNIQUEMENT"/>
    <w:docVar w:name="L4_1Annex" w:val="0"/>
    <w:docVar w:name="L4_1Anonymity" w:val="0"/>
    <w:docVar w:name="L4_1AppNatList" w:val="français"/>
    <w:docVar w:name="NBEMMDOC" w:val="0"/>
    <w:docVar w:name="Plural" w:val="0"/>
    <w:docVar w:name="SignForeName" w:val="0"/>
    <w:docVar w:name="SndCaseNumber" w:val="Error!Nodocumentvariablesupplied."/>
  </w:docVars>
  <w:rsids>
    <w:rsidRoot w:val="00AB2324"/>
    <w:rsid w:val="000041F8"/>
    <w:rsid w:val="000042A8"/>
    <w:rsid w:val="00004308"/>
    <w:rsid w:val="00005BF0"/>
    <w:rsid w:val="00007154"/>
    <w:rsid w:val="0001025C"/>
    <w:rsid w:val="000103AE"/>
    <w:rsid w:val="00011D69"/>
    <w:rsid w:val="00012AD3"/>
    <w:rsid w:val="00015C2D"/>
    <w:rsid w:val="00015F00"/>
    <w:rsid w:val="00022C1D"/>
    <w:rsid w:val="000279B8"/>
    <w:rsid w:val="00034987"/>
    <w:rsid w:val="00050A32"/>
    <w:rsid w:val="000562C1"/>
    <w:rsid w:val="000602DF"/>
    <w:rsid w:val="00061B05"/>
    <w:rsid w:val="000632D5"/>
    <w:rsid w:val="000644EE"/>
    <w:rsid w:val="0008222E"/>
    <w:rsid w:val="000925AD"/>
    <w:rsid w:val="00093F0C"/>
    <w:rsid w:val="000A24EB"/>
    <w:rsid w:val="000B6923"/>
    <w:rsid w:val="000C5F3C"/>
    <w:rsid w:val="000C6DCC"/>
    <w:rsid w:val="000D47AA"/>
    <w:rsid w:val="000D721F"/>
    <w:rsid w:val="000E069B"/>
    <w:rsid w:val="000E0E82"/>
    <w:rsid w:val="000E1DC5"/>
    <w:rsid w:val="000E223F"/>
    <w:rsid w:val="000E7D45"/>
    <w:rsid w:val="000F7851"/>
    <w:rsid w:val="00104E23"/>
    <w:rsid w:val="00111B0C"/>
    <w:rsid w:val="00120D6C"/>
    <w:rsid w:val="001257EC"/>
    <w:rsid w:val="00133D33"/>
    <w:rsid w:val="00134D64"/>
    <w:rsid w:val="00135A30"/>
    <w:rsid w:val="0013612C"/>
    <w:rsid w:val="00137FF6"/>
    <w:rsid w:val="00141650"/>
    <w:rsid w:val="00150BFA"/>
    <w:rsid w:val="00157D17"/>
    <w:rsid w:val="00162A12"/>
    <w:rsid w:val="001641A2"/>
    <w:rsid w:val="00166234"/>
    <w:rsid w:val="00166530"/>
    <w:rsid w:val="0016678F"/>
    <w:rsid w:val="001832BD"/>
    <w:rsid w:val="00185181"/>
    <w:rsid w:val="001943B5"/>
    <w:rsid w:val="00195134"/>
    <w:rsid w:val="001A145B"/>
    <w:rsid w:val="001A674C"/>
    <w:rsid w:val="001B2A94"/>
    <w:rsid w:val="001B3B24"/>
    <w:rsid w:val="001C0F98"/>
    <w:rsid w:val="001C2A42"/>
    <w:rsid w:val="001D4B94"/>
    <w:rsid w:val="001D63ED"/>
    <w:rsid w:val="001D7348"/>
    <w:rsid w:val="001E035B"/>
    <w:rsid w:val="001E0961"/>
    <w:rsid w:val="001E3EAE"/>
    <w:rsid w:val="001E6F32"/>
    <w:rsid w:val="001F2145"/>
    <w:rsid w:val="001F6262"/>
    <w:rsid w:val="001F67B0"/>
    <w:rsid w:val="001F7B3D"/>
    <w:rsid w:val="00205F9F"/>
    <w:rsid w:val="0020718E"/>
    <w:rsid w:val="00210338"/>
    <w:rsid w:val="002115FC"/>
    <w:rsid w:val="0021423C"/>
    <w:rsid w:val="00230D00"/>
    <w:rsid w:val="00231DF7"/>
    <w:rsid w:val="00231FD1"/>
    <w:rsid w:val="002339E0"/>
    <w:rsid w:val="00233CF8"/>
    <w:rsid w:val="00234E8A"/>
    <w:rsid w:val="0023575D"/>
    <w:rsid w:val="00237148"/>
    <w:rsid w:val="0024222D"/>
    <w:rsid w:val="00244B0E"/>
    <w:rsid w:val="00244F6C"/>
    <w:rsid w:val="002532C5"/>
    <w:rsid w:val="00260C03"/>
    <w:rsid w:val="0026540E"/>
    <w:rsid w:val="00275123"/>
    <w:rsid w:val="00282240"/>
    <w:rsid w:val="002948AD"/>
    <w:rsid w:val="0029729E"/>
    <w:rsid w:val="002A01CC"/>
    <w:rsid w:val="002A61B1"/>
    <w:rsid w:val="002A663C"/>
    <w:rsid w:val="002B444B"/>
    <w:rsid w:val="002B5887"/>
    <w:rsid w:val="002C0E27"/>
    <w:rsid w:val="002C3040"/>
    <w:rsid w:val="002D022D"/>
    <w:rsid w:val="002D24BB"/>
    <w:rsid w:val="002D609F"/>
    <w:rsid w:val="002F2AF7"/>
    <w:rsid w:val="002F7E1C"/>
    <w:rsid w:val="00301A75"/>
    <w:rsid w:val="00302F70"/>
    <w:rsid w:val="0030336F"/>
    <w:rsid w:val="0030375E"/>
    <w:rsid w:val="0030402E"/>
    <w:rsid w:val="00312A30"/>
    <w:rsid w:val="003146E4"/>
    <w:rsid w:val="00320F72"/>
    <w:rsid w:val="0032463E"/>
    <w:rsid w:val="00326224"/>
    <w:rsid w:val="003312A3"/>
    <w:rsid w:val="00334EC5"/>
    <w:rsid w:val="00337EE4"/>
    <w:rsid w:val="00340FFD"/>
    <w:rsid w:val="003506B1"/>
    <w:rsid w:val="0035621E"/>
    <w:rsid w:val="00356AC7"/>
    <w:rsid w:val="003609FA"/>
    <w:rsid w:val="003710C8"/>
    <w:rsid w:val="003750BE"/>
    <w:rsid w:val="00381AF0"/>
    <w:rsid w:val="00383643"/>
    <w:rsid w:val="00387B9D"/>
    <w:rsid w:val="0039055E"/>
    <w:rsid w:val="0039364F"/>
    <w:rsid w:val="00396686"/>
    <w:rsid w:val="0039778E"/>
    <w:rsid w:val="003B4941"/>
    <w:rsid w:val="003C5714"/>
    <w:rsid w:val="003C6B9F"/>
    <w:rsid w:val="003C6E2A"/>
    <w:rsid w:val="003D0299"/>
    <w:rsid w:val="003D1A95"/>
    <w:rsid w:val="003E6D80"/>
    <w:rsid w:val="003E747B"/>
    <w:rsid w:val="003F05FA"/>
    <w:rsid w:val="003F244A"/>
    <w:rsid w:val="003F30B8"/>
    <w:rsid w:val="003F4C45"/>
    <w:rsid w:val="003F5F7B"/>
    <w:rsid w:val="003F7D64"/>
    <w:rsid w:val="0040093C"/>
    <w:rsid w:val="004047FE"/>
    <w:rsid w:val="00414300"/>
    <w:rsid w:val="00425C67"/>
    <w:rsid w:val="00427E7A"/>
    <w:rsid w:val="00436C49"/>
    <w:rsid w:val="00445366"/>
    <w:rsid w:val="00447F5B"/>
    <w:rsid w:val="00461DB0"/>
    <w:rsid w:val="00463926"/>
    <w:rsid w:val="00464C9A"/>
    <w:rsid w:val="00474F3D"/>
    <w:rsid w:val="00474FDF"/>
    <w:rsid w:val="00477E3A"/>
    <w:rsid w:val="00482F0A"/>
    <w:rsid w:val="00483E5F"/>
    <w:rsid w:val="00485FF9"/>
    <w:rsid w:val="004907F0"/>
    <w:rsid w:val="0049140B"/>
    <w:rsid w:val="004923A5"/>
    <w:rsid w:val="00496BFB"/>
    <w:rsid w:val="004A15C7"/>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4C0"/>
    <w:rsid w:val="00526A8A"/>
    <w:rsid w:val="00531DF2"/>
    <w:rsid w:val="005442EE"/>
    <w:rsid w:val="00547353"/>
    <w:rsid w:val="005474E7"/>
    <w:rsid w:val="005512A3"/>
    <w:rsid w:val="00555DAE"/>
    <w:rsid w:val="005578CE"/>
    <w:rsid w:val="00560C6F"/>
    <w:rsid w:val="00562781"/>
    <w:rsid w:val="0057271C"/>
    <w:rsid w:val="00572845"/>
    <w:rsid w:val="0058193F"/>
    <w:rsid w:val="00592772"/>
    <w:rsid w:val="0059574A"/>
    <w:rsid w:val="005A1B9B"/>
    <w:rsid w:val="005A6751"/>
    <w:rsid w:val="005B092E"/>
    <w:rsid w:val="005B152C"/>
    <w:rsid w:val="005B1EE0"/>
    <w:rsid w:val="005B284C"/>
    <w:rsid w:val="005B2B24"/>
    <w:rsid w:val="005B4425"/>
    <w:rsid w:val="005B4B94"/>
    <w:rsid w:val="005C3EE8"/>
    <w:rsid w:val="005D065B"/>
    <w:rsid w:val="005D34F9"/>
    <w:rsid w:val="005D4190"/>
    <w:rsid w:val="005D67A3"/>
    <w:rsid w:val="005E2988"/>
    <w:rsid w:val="005E3085"/>
    <w:rsid w:val="005F51E1"/>
    <w:rsid w:val="005F675D"/>
    <w:rsid w:val="00611C80"/>
    <w:rsid w:val="00613336"/>
    <w:rsid w:val="00620692"/>
    <w:rsid w:val="006242CA"/>
    <w:rsid w:val="00627507"/>
    <w:rsid w:val="00633717"/>
    <w:rsid w:val="006344E1"/>
    <w:rsid w:val="006544C4"/>
    <w:rsid w:val="006545C4"/>
    <w:rsid w:val="00661971"/>
    <w:rsid w:val="00661CE8"/>
    <w:rsid w:val="006623D9"/>
    <w:rsid w:val="0066550C"/>
    <w:rsid w:val="00665C75"/>
    <w:rsid w:val="006716F2"/>
    <w:rsid w:val="00682BF2"/>
    <w:rsid w:val="006859CE"/>
    <w:rsid w:val="00691270"/>
    <w:rsid w:val="00694BA8"/>
    <w:rsid w:val="006A037C"/>
    <w:rsid w:val="006A09DF"/>
    <w:rsid w:val="006A1F93"/>
    <w:rsid w:val="006A36F4"/>
    <w:rsid w:val="006A406F"/>
    <w:rsid w:val="006A5D3A"/>
    <w:rsid w:val="006B7E08"/>
    <w:rsid w:val="006C23D4"/>
    <w:rsid w:val="006C7BB0"/>
    <w:rsid w:val="006D3237"/>
    <w:rsid w:val="006E2E37"/>
    <w:rsid w:val="006E3CF1"/>
    <w:rsid w:val="006E53E8"/>
    <w:rsid w:val="006E7E80"/>
    <w:rsid w:val="006F19B0"/>
    <w:rsid w:val="006F48CA"/>
    <w:rsid w:val="006F64DD"/>
    <w:rsid w:val="00715127"/>
    <w:rsid w:val="00715E8E"/>
    <w:rsid w:val="0071796B"/>
    <w:rsid w:val="00723580"/>
    <w:rsid w:val="00723755"/>
    <w:rsid w:val="0073136C"/>
    <w:rsid w:val="00731F0F"/>
    <w:rsid w:val="00733250"/>
    <w:rsid w:val="00741404"/>
    <w:rsid w:val="007449E5"/>
    <w:rsid w:val="00747FF0"/>
    <w:rsid w:val="007547D3"/>
    <w:rsid w:val="00764D4E"/>
    <w:rsid w:val="00765A1F"/>
    <w:rsid w:val="00775B6D"/>
    <w:rsid w:val="00776D68"/>
    <w:rsid w:val="007850EE"/>
    <w:rsid w:val="00785B95"/>
    <w:rsid w:val="00790E96"/>
    <w:rsid w:val="00793366"/>
    <w:rsid w:val="007A6280"/>
    <w:rsid w:val="007A716F"/>
    <w:rsid w:val="007B270A"/>
    <w:rsid w:val="007C0695"/>
    <w:rsid w:val="007C419A"/>
    <w:rsid w:val="007C4CC8"/>
    <w:rsid w:val="007C5426"/>
    <w:rsid w:val="007C5798"/>
    <w:rsid w:val="007D4832"/>
    <w:rsid w:val="007D7219"/>
    <w:rsid w:val="007E21B2"/>
    <w:rsid w:val="007E2C4E"/>
    <w:rsid w:val="007E3991"/>
    <w:rsid w:val="007E4415"/>
    <w:rsid w:val="007F1905"/>
    <w:rsid w:val="00801300"/>
    <w:rsid w:val="00802C64"/>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54AB"/>
    <w:rsid w:val="0088060C"/>
    <w:rsid w:val="00893576"/>
    <w:rsid w:val="00893E73"/>
    <w:rsid w:val="008B02DC"/>
    <w:rsid w:val="008B0BD9"/>
    <w:rsid w:val="008B57CE"/>
    <w:rsid w:val="008C26DE"/>
    <w:rsid w:val="008C4AA6"/>
    <w:rsid w:val="008D2225"/>
    <w:rsid w:val="008D4752"/>
    <w:rsid w:val="008E271C"/>
    <w:rsid w:val="008E418E"/>
    <w:rsid w:val="008E5BC6"/>
    <w:rsid w:val="008E6A25"/>
    <w:rsid w:val="008F5193"/>
    <w:rsid w:val="009013A7"/>
    <w:rsid w:val="009017FB"/>
    <w:rsid w:val="009017FC"/>
    <w:rsid w:val="00903DA0"/>
    <w:rsid w:val="0090506B"/>
    <w:rsid w:val="009050C9"/>
    <w:rsid w:val="009066FC"/>
    <w:rsid w:val="009140A3"/>
    <w:rsid w:val="009144A2"/>
    <w:rsid w:val="0091478F"/>
    <w:rsid w:val="0091510C"/>
    <w:rsid w:val="00924E78"/>
    <w:rsid w:val="009259AC"/>
    <w:rsid w:val="00926F38"/>
    <w:rsid w:val="00934301"/>
    <w:rsid w:val="00934A97"/>
    <w:rsid w:val="00936CD1"/>
    <w:rsid w:val="00941747"/>
    <w:rsid w:val="0094178F"/>
    <w:rsid w:val="00941AE3"/>
    <w:rsid w:val="00941EFB"/>
    <w:rsid w:val="00947AFB"/>
    <w:rsid w:val="00951D7D"/>
    <w:rsid w:val="009630C7"/>
    <w:rsid w:val="00972B55"/>
    <w:rsid w:val="009741A4"/>
    <w:rsid w:val="009743B7"/>
    <w:rsid w:val="00977DA8"/>
    <w:rsid w:val="0098228B"/>
    <w:rsid w:val="009828DA"/>
    <w:rsid w:val="00985BAB"/>
    <w:rsid w:val="009B1B5F"/>
    <w:rsid w:val="009B6673"/>
    <w:rsid w:val="009C191B"/>
    <w:rsid w:val="009C2BD6"/>
    <w:rsid w:val="009D78AC"/>
    <w:rsid w:val="009E1F32"/>
    <w:rsid w:val="009E776C"/>
    <w:rsid w:val="009F1D6B"/>
    <w:rsid w:val="00A1102F"/>
    <w:rsid w:val="00A1726E"/>
    <w:rsid w:val="00A204CF"/>
    <w:rsid w:val="00A23D49"/>
    <w:rsid w:val="00A27004"/>
    <w:rsid w:val="00A30C29"/>
    <w:rsid w:val="00A34DD6"/>
    <w:rsid w:val="00A36819"/>
    <w:rsid w:val="00A36989"/>
    <w:rsid w:val="00A43628"/>
    <w:rsid w:val="00A45145"/>
    <w:rsid w:val="00A54192"/>
    <w:rsid w:val="00A55CE9"/>
    <w:rsid w:val="00A6035E"/>
    <w:rsid w:val="00A6144C"/>
    <w:rsid w:val="00A66617"/>
    <w:rsid w:val="00A671F8"/>
    <w:rsid w:val="00A673A4"/>
    <w:rsid w:val="00A724AE"/>
    <w:rsid w:val="00A73329"/>
    <w:rsid w:val="00A80A9B"/>
    <w:rsid w:val="00A82359"/>
    <w:rsid w:val="00A865D2"/>
    <w:rsid w:val="00A94C20"/>
    <w:rsid w:val="00AA227F"/>
    <w:rsid w:val="00AA3BC7"/>
    <w:rsid w:val="00AA754A"/>
    <w:rsid w:val="00AB099E"/>
    <w:rsid w:val="00AB2324"/>
    <w:rsid w:val="00AB4328"/>
    <w:rsid w:val="00AC6FC1"/>
    <w:rsid w:val="00AD4F05"/>
    <w:rsid w:val="00AE0A2E"/>
    <w:rsid w:val="00AE354C"/>
    <w:rsid w:val="00AF2A85"/>
    <w:rsid w:val="00AF4B07"/>
    <w:rsid w:val="00AF6186"/>
    <w:rsid w:val="00AF6955"/>
    <w:rsid w:val="00AF7102"/>
    <w:rsid w:val="00AF7A3A"/>
    <w:rsid w:val="00B01FB0"/>
    <w:rsid w:val="00B160DB"/>
    <w:rsid w:val="00B20836"/>
    <w:rsid w:val="00B235BB"/>
    <w:rsid w:val="00B27A44"/>
    <w:rsid w:val="00B30BBF"/>
    <w:rsid w:val="00B33C03"/>
    <w:rsid w:val="00B44E56"/>
    <w:rsid w:val="00B46543"/>
    <w:rsid w:val="00B47D33"/>
    <w:rsid w:val="00B52BE0"/>
    <w:rsid w:val="00B54133"/>
    <w:rsid w:val="00B615B9"/>
    <w:rsid w:val="00B701ED"/>
    <w:rsid w:val="00B8086C"/>
    <w:rsid w:val="00B83A72"/>
    <w:rsid w:val="00B861B4"/>
    <w:rsid w:val="00B86DFE"/>
    <w:rsid w:val="00B87FB1"/>
    <w:rsid w:val="00B90990"/>
    <w:rsid w:val="00B922FF"/>
    <w:rsid w:val="00B9281E"/>
    <w:rsid w:val="00B93925"/>
    <w:rsid w:val="00B95187"/>
    <w:rsid w:val="00BA1CA3"/>
    <w:rsid w:val="00BA2D55"/>
    <w:rsid w:val="00BA71B1"/>
    <w:rsid w:val="00BB0637"/>
    <w:rsid w:val="00BB312C"/>
    <w:rsid w:val="00BB345F"/>
    <w:rsid w:val="00BB68EA"/>
    <w:rsid w:val="00BC1C27"/>
    <w:rsid w:val="00BC6BBF"/>
    <w:rsid w:val="00BD1572"/>
    <w:rsid w:val="00BE14E3"/>
    <w:rsid w:val="00BE3774"/>
    <w:rsid w:val="00BE41E5"/>
    <w:rsid w:val="00BF4109"/>
    <w:rsid w:val="00BF4CC3"/>
    <w:rsid w:val="00C0127E"/>
    <w:rsid w:val="00C054C7"/>
    <w:rsid w:val="00C057B5"/>
    <w:rsid w:val="00C22687"/>
    <w:rsid w:val="00C32E4D"/>
    <w:rsid w:val="00C333A0"/>
    <w:rsid w:val="00C36408"/>
    <w:rsid w:val="00C36A81"/>
    <w:rsid w:val="00C41974"/>
    <w:rsid w:val="00C53F4A"/>
    <w:rsid w:val="00C54125"/>
    <w:rsid w:val="00C559CB"/>
    <w:rsid w:val="00C55B54"/>
    <w:rsid w:val="00C6098E"/>
    <w:rsid w:val="00C6152C"/>
    <w:rsid w:val="00C64EBF"/>
    <w:rsid w:val="00C74810"/>
    <w:rsid w:val="00C90D68"/>
    <w:rsid w:val="00C939FE"/>
    <w:rsid w:val="00CA4BDA"/>
    <w:rsid w:val="00CB1F66"/>
    <w:rsid w:val="00CB2951"/>
    <w:rsid w:val="00CD282B"/>
    <w:rsid w:val="00CD4C35"/>
    <w:rsid w:val="00CD7369"/>
    <w:rsid w:val="00CE0B0E"/>
    <w:rsid w:val="00CE3831"/>
    <w:rsid w:val="00CE6ED9"/>
    <w:rsid w:val="00D00ABB"/>
    <w:rsid w:val="00D02EEC"/>
    <w:rsid w:val="00D03551"/>
    <w:rsid w:val="00D06A63"/>
    <w:rsid w:val="00D07E0E"/>
    <w:rsid w:val="00D11478"/>
    <w:rsid w:val="00D15ED0"/>
    <w:rsid w:val="00D21B3E"/>
    <w:rsid w:val="00D21FED"/>
    <w:rsid w:val="00D24251"/>
    <w:rsid w:val="00D343E2"/>
    <w:rsid w:val="00D361A2"/>
    <w:rsid w:val="00D40B82"/>
    <w:rsid w:val="00D43F5E"/>
    <w:rsid w:val="00D44C2E"/>
    <w:rsid w:val="00D45414"/>
    <w:rsid w:val="00D566BD"/>
    <w:rsid w:val="00D57A4D"/>
    <w:rsid w:val="00D60AA7"/>
    <w:rsid w:val="00D62693"/>
    <w:rsid w:val="00D6435F"/>
    <w:rsid w:val="00D75E28"/>
    <w:rsid w:val="00D772C2"/>
    <w:rsid w:val="00D8008E"/>
    <w:rsid w:val="00D82C45"/>
    <w:rsid w:val="00D908A8"/>
    <w:rsid w:val="00D90EB3"/>
    <w:rsid w:val="00D91EA0"/>
    <w:rsid w:val="00D977B6"/>
    <w:rsid w:val="00DA4A31"/>
    <w:rsid w:val="00DA7B04"/>
    <w:rsid w:val="00DB36C2"/>
    <w:rsid w:val="00DC169B"/>
    <w:rsid w:val="00DC2AB9"/>
    <w:rsid w:val="00DC63F0"/>
    <w:rsid w:val="00DD6EE5"/>
    <w:rsid w:val="00DE386C"/>
    <w:rsid w:val="00DE4D35"/>
    <w:rsid w:val="00DF098B"/>
    <w:rsid w:val="00DF1114"/>
    <w:rsid w:val="00DF11C4"/>
    <w:rsid w:val="00DF210C"/>
    <w:rsid w:val="00DF4B6A"/>
    <w:rsid w:val="00E02897"/>
    <w:rsid w:val="00E02C09"/>
    <w:rsid w:val="00E04D59"/>
    <w:rsid w:val="00E07DA1"/>
    <w:rsid w:val="00E123CB"/>
    <w:rsid w:val="00E17227"/>
    <w:rsid w:val="00E20E13"/>
    <w:rsid w:val="00E21DB2"/>
    <w:rsid w:val="00E21DBC"/>
    <w:rsid w:val="00E275D7"/>
    <w:rsid w:val="00E27DBE"/>
    <w:rsid w:val="00E32AB1"/>
    <w:rsid w:val="00E36C71"/>
    <w:rsid w:val="00E40404"/>
    <w:rsid w:val="00E459C6"/>
    <w:rsid w:val="00E47589"/>
    <w:rsid w:val="00E62BF5"/>
    <w:rsid w:val="00E647E5"/>
    <w:rsid w:val="00E64915"/>
    <w:rsid w:val="00E661D4"/>
    <w:rsid w:val="00E70091"/>
    <w:rsid w:val="00E720F5"/>
    <w:rsid w:val="00E76D47"/>
    <w:rsid w:val="00E849F7"/>
    <w:rsid w:val="00E8668A"/>
    <w:rsid w:val="00E90302"/>
    <w:rsid w:val="00E97396"/>
    <w:rsid w:val="00EA185E"/>
    <w:rsid w:val="00EA592A"/>
    <w:rsid w:val="00EB14E4"/>
    <w:rsid w:val="00EB32A5"/>
    <w:rsid w:val="00EB34ED"/>
    <w:rsid w:val="00EB7BE0"/>
    <w:rsid w:val="00EC2784"/>
    <w:rsid w:val="00EC315E"/>
    <w:rsid w:val="00EC78A3"/>
    <w:rsid w:val="00ED077C"/>
    <w:rsid w:val="00ED1190"/>
    <w:rsid w:val="00ED6544"/>
    <w:rsid w:val="00EE0277"/>
    <w:rsid w:val="00EE3E00"/>
    <w:rsid w:val="00EE45C0"/>
    <w:rsid w:val="00EE5DD2"/>
    <w:rsid w:val="00F00A79"/>
    <w:rsid w:val="00F00E86"/>
    <w:rsid w:val="00F07C1E"/>
    <w:rsid w:val="00F105DB"/>
    <w:rsid w:val="00F132BC"/>
    <w:rsid w:val="00F13D80"/>
    <w:rsid w:val="00F16AAA"/>
    <w:rsid w:val="00F21161"/>
    <w:rsid w:val="00F218EF"/>
    <w:rsid w:val="00F21BC7"/>
    <w:rsid w:val="00F266A2"/>
    <w:rsid w:val="00F32269"/>
    <w:rsid w:val="00F40988"/>
    <w:rsid w:val="00F428BC"/>
    <w:rsid w:val="00F56A6F"/>
    <w:rsid w:val="00F5709C"/>
    <w:rsid w:val="00F64EF1"/>
    <w:rsid w:val="00F8765F"/>
    <w:rsid w:val="00F90767"/>
    <w:rsid w:val="00F9130D"/>
    <w:rsid w:val="00FA685B"/>
    <w:rsid w:val="00FB0C01"/>
    <w:rsid w:val="00FB64E0"/>
    <w:rsid w:val="00FC18F2"/>
    <w:rsid w:val="00FC39E5"/>
    <w:rsid w:val="00FC3A78"/>
    <w:rsid w:val="00FD1005"/>
    <w:rsid w:val="00FD6C75"/>
    <w:rsid w:val="00FE3849"/>
    <w:rsid w:val="00FE71B3"/>
    <w:rsid w:val="00FF42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ADF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82F0A"/>
    <w:rPr>
      <w:sz w:val="24"/>
      <w:szCs w:val="24"/>
    </w:rPr>
  </w:style>
  <w:style w:type="paragraph" w:styleId="Heading1">
    <w:name w:val="heading 1"/>
    <w:basedOn w:val="Normal"/>
    <w:next w:val="Normal"/>
    <w:link w:val="Heading1Char"/>
    <w:uiPriority w:val="98"/>
    <w:semiHidden/>
    <w:rsid w:val="00482F0A"/>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82F0A"/>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82F0A"/>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82F0A"/>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82F0A"/>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82F0A"/>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82F0A"/>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82F0A"/>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82F0A"/>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82F0A"/>
    <w:rPr>
      <w:rFonts w:ascii="Tahoma" w:hAnsi="Tahoma" w:cs="Tahoma"/>
      <w:sz w:val="16"/>
      <w:szCs w:val="16"/>
    </w:rPr>
  </w:style>
  <w:style w:type="character" w:customStyle="1" w:styleId="BalloonTextChar">
    <w:name w:val="Balloon Text Char"/>
    <w:basedOn w:val="DefaultParagraphFont"/>
    <w:link w:val="BalloonText"/>
    <w:uiPriority w:val="98"/>
    <w:semiHidden/>
    <w:rsid w:val="00482F0A"/>
    <w:rPr>
      <w:rFonts w:ascii="Tahoma" w:hAnsi="Tahoma" w:cs="Tahoma"/>
      <w:sz w:val="16"/>
      <w:szCs w:val="16"/>
      <w:lang w:val="ro-RO"/>
    </w:rPr>
  </w:style>
  <w:style w:type="character" w:styleId="BookTitle">
    <w:name w:val="Book Title"/>
    <w:uiPriority w:val="98"/>
    <w:semiHidden/>
    <w:qFormat/>
    <w:rsid w:val="00482F0A"/>
    <w:rPr>
      <w:i/>
      <w:iCs/>
      <w:smallCaps/>
      <w:spacing w:val="5"/>
    </w:rPr>
  </w:style>
  <w:style w:type="paragraph" w:customStyle="1" w:styleId="JuHeader">
    <w:name w:val="Ju_Header"/>
    <w:aliases w:val="_Header"/>
    <w:basedOn w:val="Header"/>
    <w:uiPriority w:val="29"/>
    <w:qFormat/>
    <w:rsid w:val="00482F0A"/>
    <w:pPr>
      <w:tabs>
        <w:tab w:val="clear" w:pos="4536"/>
        <w:tab w:val="clear" w:pos="9072"/>
      </w:tabs>
      <w:jc w:val="center"/>
    </w:pPr>
    <w:rPr>
      <w:sz w:val="18"/>
    </w:rPr>
  </w:style>
  <w:style w:type="paragraph" w:customStyle="1" w:styleId="NormalJustified">
    <w:name w:val="Normal_Justified"/>
    <w:basedOn w:val="Normal"/>
    <w:semiHidden/>
    <w:rsid w:val="00482F0A"/>
    <w:pPr>
      <w:jc w:val="both"/>
    </w:pPr>
  </w:style>
  <w:style w:type="character" w:styleId="Strong">
    <w:name w:val="Strong"/>
    <w:uiPriority w:val="98"/>
    <w:semiHidden/>
    <w:qFormat/>
    <w:rsid w:val="00482F0A"/>
    <w:rPr>
      <w:b/>
      <w:bCs/>
    </w:rPr>
  </w:style>
  <w:style w:type="paragraph" w:styleId="NoSpacing">
    <w:name w:val="No Spacing"/>
    <w:basedOn w:val="Normal"/>
    <w:link w:val="NoSpacingChar"/>
    <w:uiPriority w:val="98"/>
    <w:semiHidden/>
    <w:qFormat/>
    <w:rsid w:val="00482F0A"/>
  </w:style>
  <w:style w:type="character" w:customStyle="1" w:styleId="NoSpacingChar">
    <w:name w:val="No Spacing Char"/>
    <w:basedOn w:val="DefaultParagraphFont"/>
    <w:link w:val="NoSpacing"/>
    <w:uiPriority w:val="98"/>
    <w:semiHidden/>
    <w:rsid w:val="00482F0A"/>
    <w:rPr>
      <w:sz w:val="24"/>
      <w:szCs w:val="24"/>
      <w:lang w:val="ro-RO"/>
    </w:rPr>
  </w:style>
  <w:style w:type="paragraph" w:customStyle="1" w:styleId="ECHRBullet1">
    <w:name w:val="ECHR_Bullet_1"/>
    <w:aliases w:val="_Bul_1"/>
    <w:basedOn w:val="NormalJustified"/>
    <w:uiPriority w:val="23"/>
    <w:semiHidden/>
    <w:qFormat/>
    <w:rsid w:val="00482F0A"/>
    <w:pPr>
      <w:numPr>
        <w:numId w:val="16"/>
      </w:numPr>
      <w:spacing w:before="60" w:after="60"/>
    </w:pPr>
  </w:style>
  <w:style w:type="paragraph" w:customStyle="1" w:styleId="JuQuot">
    <w:name w:val="Ju_Quot"/>
    <w:aliases w:val="_Quote"/>
    <w:basedOn w:val="NormalJustified"/>
    <w:uiPriority w:val="20"/>
    <w:qFormat/>
    <w:rsid w:val="00482F0A"/>
    <w:pPr>
      <w:spacing w:before="120" w:after="120"/>
      <w:ind w:left="425" w:firstLine="142"/>
    </w:pPr>
    <w:rPr>
      <w:sz w:val="20"/>
    </w:rPr>
  </w:style>
  <w:style w:type="paragraph" w:customStyle="1" w:styleId="JuList">
    <w:name w:val="Ju_List"/>
    <w:aliases w:val="_List_1"/>
    <w:basedOn w:val="NormalJustified"/>
    <w:uiPriority w:val="23"/>
    <w:qFormat/>
    <w:rsid w:val="00482F0A"/>
    <w:pPr>
      <w:numPr>
        <w:numId w:val="17"/>
      </w:numPr>
      <w:spacing w:before="280" w:after="60"/>
    </w:pPr>
  </w:style>
  <w:style w:type="paragraph" w:customStyle="1" w:styleId="JuLista">
    <w:name w:val="Ju_List_a"/>
    <w:aliases w:val="_List_2"/>
    <w:basedOn w:val="NormalJustified"/>
    <w:uiPriority w:val="23"/>
    <w:rsid w:val="00482F0A"/>
    <w:pPr>
      <w:numPr>
        <w:ilvl w:val="1"/>
        <w:numId w:val="17"/>
      </w:numPr>
    </w:pPr>
  </w:style>
  <w:style w:type="paragraph" w:customStyle="1" w:styleId="JuListi">
    <w:name w:val="Ju_List_i"/>
    <w:aliases w:val="_List_3"/>
    <w:basedOn w:val="NormalJustified"/>
    <w:uiPriority w:val="23"/>
    <w:rsid w:val="00482F0A"/>
    <w:pPr>
      <w:numPr>
        <w:ilvl w:val="2"/>
        <w:numId w:val="17"/>
      </w:numPr>
    </w:pPr>
  </w:style>
  <w:style w:type="paragraph" w:customStyle="1" w:styleId="ECHRCoverTitle4">
    <w:name w:val="ECHR_Cover_Title_4"/>
    <w:aliases w:val="_Title_4"/>
    <w:basedOn w:val="JuPara"/>
    <w:next w:val="JuPara"/>
    <w:uiPriority w:val="38"/>
    <w:qFormat/>
    <w:rsid w:val="00482F0A"/>
    <w:pPr>
      <w:keepNext/>
      <w:keepLines/>
      <w:tabs>
        <w:tab w:val="right" w:pos="7938"/>
      </w:tabs>
      <w:ind w:firstLine="0"/>
      <w:jc w:val="center"/>
    </w:pPr>
    <w:rPr>
      <w:i/>
    </w:rPr>
  </w:style>
  <w:style w:type="paragraph" w:customStyle="1" w:styleId="JuHArticle">
    <w:name w:val="Ju_H_Article"/>
    <w:aliases w:val="_Title_Quote"/>
    <w:basedOn w:val="Normal"/>
    <w:next w:val="JuQuot"/>
    <w:uiPriority w:val="19"/>
    <w:qFormat/>
    <w:rsid w:val="00482F0A"/>
    <w:pPr>
      <w:keepNext/>
      <w:spacing w:before="100" w:beforeAutospacing="1" w:after="120"/>
      <w:contextualSpacing/>
      <w:jc w:val="center"/>
    </w:pPr>
    <w:rPr>
      <w:b/>
      <w:sz w:val="20"/>
    </w:rPr>
  </w:style>
  <w:style w:type="numbering" w:customStyle="1" w:styleId="ECHRA1StyleBulletedSquare">
    <w:name w:val="ECHR_A1_Style_Bulleted_Square"/>
    <w:basedOn w:val="NoList"/>
    <w:rsid w:val="00482F0A"/>
    <w:pPr>
      <w:numPr>
        <w:numId w:val="16"/>
      </w:numPr>
    </w:pPr>
  </w:style>
  <w:style w:type="numbering" w:customStyle="1" w:styleId="ECHRA1StyleList">
    <w:name w:val="ECHR_A1_Style_List"/>
    <w:basedOn w:val="NoList"/>
    <w:uiPriority w:val="99"/>
    <w:rsid w:val="00482F0A"/>
    <w:pPr>
      <w:numPr>
        <w:numId w:val="17"/>
      </w:numPr>
    </w:pPr>
  </w:style>
  <w:style w:type="paragraph" w:customStyle="1" w:styleId="JuHHead">
    <w:name w:val="Ju_H_Head"/>
    <w:aliases w:val="_Head_1"/>
    <w:basedOn w:val="Heading1"/>
    <w:next w:val="JuPara"/>
    <w:uiPriority w:val="17"/>
    <w:qFormat/>
    <w:rsid w:val="00482F0A"/>
    <w:pPr>
      <w:keepNext/>
      <w:keepLines/>
      <w:numPr>
        <w:numId w:val="15"/>
      </w:numPr>
      <w:spacing w:before="100" w:beforeAutospacing="1" w:after="240"/>
      <w:contextualSpacing w:val="0"/>
      <w:jc w:val="both"/>
    </w:pPr>
    <w:rPr>
      <w:b w:val="0"/>
      <w:caps/>
      <w:color w:val="auto"/>
    </w:rPr>
  </w:style>
  <w:style w:type="numbering" w:customStyle="1" w:styleId="ECHRA1StyleNumberedList">
    <w:name w:val="ECHR_A1_Style_Numbered_List"/>
    <w:basedOn w:val="NoList"/>
    <w:rsid w:val="00482F0A"/>
    <w:pPr>
      <w:numPr>
        <w:numId w:val="18"/>
      </w:numPr>
    </w:pPr>
  </w:style>
  <w:style w:type="paragraph" w:styleId="Title">
    <w:name w:val="Title"/>
    <w:basedOn w:val="Normal"/>
    <w:next w:val="Normal"/>
    <w:link w:val="TitleChar"/>
    <w:uiPriority w:val="98"/>
    <w:semiHidden/>
    <w:qFormat/>
    <w:rsid w:val="00482F0A"/>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482F0A"/>
    <w:rPr>
      <w:rFonts w:asciiTheme="majorHAnsi" w:eastAsiaTheme="majorEastAsia" w:hAnsiTheme="majorHAnsi" w:cstheme="majorBidi"/>
      <w:spacing w:val="5"/>
      <w:sz w:val="52"/>
      <w:szCs w:val="52"/>
      <w:lang w:val="ro-RO" w:bidi="en-US"/>
    </w:rPr>
  </w:style>
  <w:style w:type="table" w:customStyle="1" w:styleId="ECHRTable2019">
    <w:name w:val="ECHR_Table_2019"/>
    <w:basedOn w:val="TableNormal"/>
    <w:uiPriority w:val="99"/>
    <w:rsid w:val="00482F0A"/>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2D609F"/>
    <w:rPr>
      <w:sz w:val="8"/>
    </w:rPr>
  </w:style>
  <w:style w:type="paragraph" w:customStyle="1" w:styleId="JuCase">
    <w:name w:val="Ju_Case"/>
    <w:aliases w:val="_Case_Name"/>
    <w:basedOn w:val="NormalJustified"/>
    <w:next w:val="JuPara"/>
    <w:uiPriority w:val="32"/>
    <w:rsid w:val="00482F0A"/>
    <w:pPr>
      <w:ind w:firstLine="284"/>
    </w:pPr>
    <w:rPr>
      <w:b/>
    </w:rPr>
  </w:style>
  <w:style w:type="paragraph" w:customStyle="1" w:styleId="JuCourt">
    <w:name w:val="Ju_Court"/>
    <w:aliases w:val="_Court_Names"/>
    <w:basedOn w:val="Normal"/>
    <w:next w:val="Normal"/>
    <w:uiPriority w:val="32"/>
    <w:qFormat/>
    <w:rsid w:val="00482F0A"/>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482F0A"/>
    <w:pPr>
      <w:tabs>
        <w:tab w:val="center" w:pos="6407"/>
      </w:tabs>
      <w:spacing w:before="720"/>
      <w:jc w:val="right"/>
    </w:pPr>
  </w:style>
  <w:style w:type="paragraph" w:customStyle="1" w:styleId="JuHIRoman">
    <w:name w:val="Ju_H_I_Roman"/>
    <w:aliases w:val="_Head_2"/>
    <w:basedOn w:val="Heading2"/>
    <w:next w:val="JuPara"/>
    <w:uiPriority w:val="17"/>
    <w:qFormat/>
    <w:rsid w:val="00482F0A"/>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82F0A"/>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82F0A"/>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482F0A"/>
    <w:pPr>
      <w:tabs>
        <w:tab w:val="center" w:pos="4536"/>
        <w:tab w:val="right" w:pos="9072"/>
      </w:tabs>
    </w:pPr>
  </w:style>
  <w:style w:type="character" w:customStyle="1" w:styleId="HeaderChar">
    <w:name w:val="Header Char"/>
    <w:basedOn w:val="DefaultParagraphFont"/>
    <w:link w:val="Header"/>
    <w:uiPriority w:val="98"/>
    <w:semiHidden/>
    <w:rsid w:val="00482F0A"/>
    <w:rPr>
      <w:sz w:val="24"/>
      <w:szCs w:val="24"/>
      <w:lang w:val="ro-RO"/>
    </w:rPr>
  </w:style>
  <w:style w:type="character" w:customStyle="1" w:styleId="Heading1Char">
    <w:name w:val="Heading 1 Char"/>
    <w:basedOn w:val="DefaultParagraphFont"/>
    <w:link w:val="Heading1"/>
    <w:uiPriority w:val="98"/>
    <w:semiHidden/>
    <w:rsid w:val="00482F0A"/>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482F0A"/>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482F0A"/>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82F0A"/>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482F0A"/>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82F0A"/>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482F0A"/>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482F0A"/>
    <w:pPr>
      <w:keepNext/>
      <w:keepLines/>
      <w:spacing w:before="240" w:after="240"/>
      <w:ind w:firstLine="284"/>
    </w:pPr>
  </w:style>
  <w:style w:type="character" w:customStyle="1" w:styleId="JuITMark">
    <w:name w:val="Ju_ITMark"/>
    <w:aliases w:val="_ITMark"/>
    <w:basedOn w:val="DefaultParagraphFont"/>
    <w:uiPriority w:val="54"/>
    <w:qFormat/>
    <w:rsid w:val="00482F0A"/>
    <w:rPr>
      <w:vanish w:val="0"/>
      <w:color w:val="auto"/>
      <w:sz w:val="14"/>
      <w:bdr w:val="none" w:sz="0" w:space="0" w:color="auto"/>
      <w:shd w:val="clear" w:color="auto" w:fill="FFFFFF" w:themeFill="background1" w:themeFillTint="33"/>
    </w:rPr>
  </w:style>
  <w:style w:type="character" w:customStyle="1" w:styleId="Heading4Char">
    <w:name w:val="Heading 4 Char"/>
    <w:basedOn w:val="DefaultParagraphFont"/>
    <w:link w:val="Heading4"/>
    <w:uiPriority w:val="98"/>
    <w:semiHidden/>
    <w:rsid w:val="00482F0A"/>
    <w:rPr>
      <w:rFonts w:asciiTheme="majorHAnsi" w:eastAsiaTheme="majorEastAsia" w:hAnsiTheme="majorHAnsi" w:cstheme="majorBidi"/>
      <w:b/>
      <w:bCs/>
      <w:i/>
      <w:iCs/>
      <w:color w:val="777777"/>
      <w:lang w:val="ro-RO"/>
    </w:rPr>
  </w:style>
  <w:style w:type="paragraph" w:customStyle="1" w:styleId="JuJudges">
    <w:name w:val="Ju_Judges"/>
    <w:aliases w:val="_Judges"/>
    <w:basedOn w:val="Normal"/>
    <w:uiPriority w:val="32"/>
    <w:qFormat/>
    <w:rsid w:val="00482F0A"/>
    <w:pPr>
      <w:tabs>
        <w:tab w:val="left" w:pos="567"/>
        <w:tab w:val="left" w:pos="1134"/>
      </w:tabs>
    </w:pPr>
  </w:style>
  <w:style w:type="character" w:customStyle="1" w:styleId="Heading5Char">
    <w:name w:val="Heading 5 Char"/>
    <w:basedOn w:val="DefaultParagraphFont"/>
    <w:link w:val="Heading5"/>
    <w:uiPriority w:val="98"/>
    <w:semiHidden/>
    <w:rsid w:val="00482F0A"/>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482F0A"/>
    <w:rPr>
      <w:caps w:val="0"/>
      <w:smallCaps/>
    </w:rPr>
  </w:style>
  <w:style w:type="character" w:styleId="SubtleEmphasis">
    <w:name w:val="Subtle Emphasis"/>
    <w:uiPriority w:val="98"/>
    <w:semiHidden/>
    <w:qFormat/>
    <w:rsid w:val="00482F0A"/>
    <w:rPr>
      <w:i/>
      <w:iCs/>
    </w:rPr>
  </w:style>
  <w:style w:type="table" w:customStyle="1" w:styleId="ECHRTable">
    <w:name w:val="ECHR_Table"/>
    <w:basedOn w:val="TableNormal"/>
    <w:rsid w:val="00482F0A"/>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82F0A"/>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paragraph" w:customStyle="1" w:styleId="DecHCase">
    <w:name w:val="Dec_H_Case"/>
    <w:aliases w:val="_Title_3"/>
    <w:basedOn w:val="JuPara"/>
    <w:next w:val="JuPara"/>
    <w:uiPriority w:val="38"/>
    <w:qFormat/>
    <w:rsid w:val="00482F0A"/>
    <w:pPr>
      <w:keepNext/>
      <w:keepLines/>
      <w:spacing w:after="280"/>
      <w:ind w:firstLine="0"/>
      <w:jc w:val="center"/>
    </w:pPr>
    <w:rPr>
      <w:rFonts w:asciiTheme="majorHAnsi" w:hAnsiTheme="majorHAnsi"/>
    </w:rPr>
  </w:style>
  <w:style w:type="character" w:styleId="Emphasis">
    <w:name w:val="Emphasis"/>
    <w:uiPriority w:val="98"/>
    <w:semiHidden/>
    <w:qFormat/>
    <w:rsid w:val="00482F0A"/>
    <w:rPr>
      <w:b/>
      <w:bCs/>
      <w:i/>
      <w:iCs/>
      <w:spacing w:val="10"/>
      <w:bdr w:val="none" w:sz="0" w:space="0" w:color="auto"/>
      <w:shd w:val="clear" w:color="auto" w:fill="auto"/>
    </w:rPr>
  </w:style>
  <w:style w:type="paragraph" w:styleId="Footer0">
    <w:name w:val="footer"/>
    <w:basedOn w:val="Normal"/>
    <w:link w:val="FooterChar"/>
    <w:uiPriority w:val="98"/>
    <w:semiHidden/>
    <w:rsid w:val="00482F0A"/>
    <w:pPr>
      <w:tabs>
        <w:tab w:val="center" w:pos="3686"/>
        <w:tab w:val="right" w:pos="7371"/>
      </w:tabs>
    </w:pPr>
  </w:style>
  <w:style w:type="character" w:customStyle="1" w:styleId="FooterChar">
    <w:name w:val="Footer Char"/>
    <w:basedOn w:val="DefaultParagraphFont"/>
    <w:link w:val="Footer0"/>
    <w:uiPriority w:val="98"/>
    <w:semiHidden/>
    <w:rsid w:val="00482F0A"/>
    <w:rPr>
      <w:sz w:val="24"/>
      <w:szCs w:val="24"/>
      <w:lang w:val="ro-RO"/>
    </w:rPr>
  </w:style>
  <w:style w:type="character" w:styleId="FootnoteReference">
    <w:name w:val="footnote reference"/>
    <w:basedOn w:val="DefaultParagraphFont"/>
    <w:uiPriority w:val="98"/>
    <w:semiHidden/>
    <w:rsid w:val="00482F0A"/>
    <w:rPr>
      <w:vertAlign w:val="superscript"/>
    </w:rPr>
  </w:style>
  <w:style w:type="paragraph" w:styleId="FootnoteText">
    <w:name w:val="footnote text"/>
    <w:basedOn w:val="NormalJustified"/>
    <w:link w:val="FootnoteTextChar"/>
    <w:uiPriority w:val="98"/>
    <w:semiHidden/>
    <w:rsid w:val="00482F0A"/>
    <w:rPr>
      <w:sz w:val="20"/>
      <w:szCs w:val="20"/>
    </w:rPr>
  </w:style>
  <w:style w:type="character" w:customStyle="1" w:styleId="FootnoteTextChar">
    <w:name w:val="Footnote Text Char"/>
    <w:basedOn w:val="DefaultParagraphFont"/>
    <w:link w:val="FootnoteText"/>
    <w:uiPriority w:val="98"/>
    <w:semiHidden/>
    <w:rsid w:val="00482F0A"/>
    <w:rPr>
      <w:sz w:val="20"/>
      <w:szCs w:val="20"/>
      <w:lang w:val="ro-RO"/>
    </w:rPr>
  </w:style>
  <w:style w:type="character" w:customStyle="1" w:styleId="Heading6Char">
    <w:name w:val="Heading 6 Char"/>
    <w:basedOn w:val="DefaultParagraphFont"/>
    <w:link w:val="Heading6"/>
    <w:uiPriority w:val="98"/>
    <w:semiHidden/>
    <w:rsid w:val="00482F0A"/>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482F0A"/>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482F0A"/>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82F0A"/>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482F0A"/>
    <w:rPr>
      <w:color w:val="0072BC" w:themeColor="hyperlink"/>
      <w:u w:val="single"/>
    </w:rPr>
  </w:style>
  <w:style w:type="character" w:styleId="IntenseEmphasis">
    <w:name w:val="Intense Emphasis"/>
    <w:uiPriority w:val="98"/>
    <w:semiHidden/>
    <w:qFormat/>
    <w:rsid w:val="00482F0A"/>
    <w:rPr>
      <w:b/>
      <w:bCs/>
    </w:rPr>
  </w:style>
  <w:style w:type="paragraph" w:styleId="IntenseQuote">
    <w:name w:val="Intense Quote"/>
    <w:basedOn w:val="Normal"/>
    <w:next w:val="Normal"/>
    <w:link w:val="IntenseQuoteChar"/>
    <w:uiPriority w:val="98"/>
    <w:semiHidden/>
    <w:qFormat/>
    <w:rsid w:val="00482F0A"/>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482F0A"/>
    <w:rPr>
      <w:b/>
      <w:bCs/>
      <w:i/>
      <w:iCs/>
      <w:sz w:val="24"/>
      <w:szCs w:val="24"/>
      <w:lang w:val="ro-RO" w:bidi="en-US"/>
    </w:rPr>
  </w:style>
  <w:style w:type="character" w:styleId="IntenseReference">
    <w:name w:val="Intense Reference"/>
    <w:uiPriority w:val="98"/>
    <w:semiHidden/>
    <w:qFormat/>
    <w:rsid w:val="00482F0A"/>
    <w:rPr>
      <w:smallCaps/>
      <w:spacing w:val="5"/>
      <w:u w:val="single"/>
    </w:rPr>
  </w:style>
  <w:style w:type="paragraph" w:styleId="ListParagraph">
    <w:name w:val="List Paragraph"/>
    <w:basedOn w:val="Normal"/>
    <w:uiPriority w:val="98"/>
    <w:semiHidden/>
    <w:qFormat/>
    <w:rsid w:val="00482F0A"/>
    <w:pPr>
      <w:ind w:left="720"/>
      <w:contextualSpacing/>
    </w:pPr>
  </w:style>
  <w:style w:type="table" w:customStyle="1" w:styleId="LtrTableAddress">
    <w:name w:val="Ltr_Table_Address"/>
    <w:aliases w:val="ECHR_Ltr_Table_Address"/>
    <w:basedOn w:val="TableNormal"/>
    <w:uiPriority w:val="99"/>
    <w:rsid w:val="00482F0A"/>
    <w:rPr>
      <w:sz w:val="24"/>
      <w:szCs w:val="24"/>
    </w:rPr>
    <w:tblPr>
      <w:tblInd w:w="5103" w:type="dxa"/>
    </w:tblPr>
  </w:style>
  <w:style w:type="paragraph" w:styleId="Quote">
    <w:name w:val="Quote"/>
    <w:basedOn w:val="Normal"/>
    <w:next w:val="Normal"/>
    <w:link w:val="QuoteChar"/>
    <w:uiPriority w:val="98"/>
    <w:semiHidden/>
    <w:qFormat/>
    <w:rsid w:val="00482F0A"/>
    <w:pPr>
      <w:spacing w:before="200"/>
      <w:ind w:left="360" w:right="360"/>
    </w:pPr>
    <w:rPr>
      <w:i/>
      <w:iCs/>
      <w:lang w:bidi="en-US"/>
    </w:rPr>
  </w:style>
  <w:style w:type="character" w:customStyle="1" w:styleId="QuoteChar">
    <w:name w:val="Quote Char"/>
    <w:basedOn w:val="DefaultParagraphFont"/>
    <w:link w:val="Quote"/>
    <w:uiPriority w:val="98"/>
    <w:semiHidden/>
    <w:rsid w:val="00482F0A"/>
    <w:rPr>
      <w:i/>
      <w:iCs/>
      <w:sz w:val="24"/>
      <w:szCs w:val="24"/>
      <w:lang w:val="ro-RO" w:bidi="en-US"/>
    </w:rPr>
  </w:style>
  <w:style w:type="character" w:styleId="SubtleReference">
    <w:name w:val="Subtle Reference"/>
    <w:uiPriority w:val="98"/>
    <w:semiHidden/>
    <w:qFormat/>
    <w:rsid w:val="00482F0A"/>
    <w:rPr>
      <w:smallCaps/>
    </w:rPr>
  </w:style>
  <w:style w:type="table" w:styleId="TableGrid">
    <w:name w:val="Table Grid"/>
    <w:basedOn w:val="TableNormal"/>
    <w:uiPriority w:val="59"/>
    <w:semiHidden/>
    <w:rsid w:val="00482F0A"/>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482F0A"/>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482F0A"/>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482F0A"/>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482F0A"/>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482F0A"/>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482F0A"/>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482F0A"/>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82F0A"/>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82F0A"/>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82F0A"/>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482F0A"/>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82F0A"/>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82F0A"/>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482F0A"/>
    <w:pPr>
      <w:spacing w:after="600"/>
    </w:pPr>
    <w:rPr>
      <w:rFonts w:asciiTheme="majorHAnsi" w:eastAsiaTheme="majorEastAsia" w:hAnsiTheme="majorHAnsi" w:cstheme="majorBidi"/>
      <w:i/>
      <w:iCs/>
      <w:spacing w:val="13"/>
      <w:lang w:bidi="en-US"/>
    </w:rPr>
  </w:style>
  <w:style w:type="paragraph" w:customStyle="1" w:styleId="JuPara">
    <w:name w:val="Ju_Para"/>
    <w:aliases w:val="_Para"/>
    <w:basedOn w:val="NormalJustified"/>
    <w:link w:val="JuParaChar"/>
    <w:uiPriority w:val="4"/>
    <w:qFormat/>
    <w:rsid w:val="00482F0A"/>
    <w:pPr>
      <w:ind w:firstLine="284"/>
    </w:pPr>
  </w:style>
  <w:style w:type="character" w:customStyle="1" w:styleId="SubtitleChar">
    <w:name w:val="Subtitle Char"/>
    <w:basedOn w:val="DefaultParagraphFont"/>
    <w:link w:val="Subtitle"/>
    <w:uiPriority w:val="98"/>
    <w:semiHidden/>
    <w:rsid w:val="00482F0A"/>
    <w:rPr>
      <w:rFonts w:asciiTheme="majorHAnsi" w:eastAsiaTheme="majorEastAsia" w:hAnsiTheme="majorHAnsi" w:cstheme="majorBidi"/>
      <w:i/>
      <w:iCs/>
      <w:spacing w:val="13"/>
      <w:sz w:val="24"/>
      <w:szCs w:val="24"/>
      <w:lang w:val="ro-RO" w:bidi="en-US"/>
    </w:rPr>
  </w:style>
  <w:style w:type="table" w:customStyle="1" w:styleId="ECHRTableSimpleBox">
    <w:name w:val="ECHR_Table_Simple_Box"/>
    <w:basedOn w:val="TableNormal"/>
    <w:uiPriority w:val="99"/>
    <w:rsid w:val="00482F0A"/>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482F0A"/>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111111">
    <w:name w:val="Outline List 2"/>
    <w:basedOn w:val="NoList"/>
    <w:uiPriority w:val="99"/>
    <w:semiHidden/>
    <w:unhideWhenUsed/>
    <w:rsid w:val="00482F0A"/>
    <w:pPr>
      <w:numPr>
        <w:numId w:val="2"/>
      </w:numPr>
    </w:pPr>
  </w:style>
  <w:style w:type="table" w:customStyle="1" w:styleId="ECHRTableForInternalUse">
    <w:name w:val="ECHR_Table_For_Internal_Use"/>
    <w:basedOn w:val="TableNormal"/>
    <w:uiPriority w:val="99"/>
    <w:rsid w:val="00482F0A"/>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482F0A"/>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numbering" w:styleId="1ai">
    <w:name w:val="Outline List 1"/>
    <w:basedOn w:val="NoList"/>
    <w:uiPriority w:val="99"/>
    <w:semiHidden/>
    <w:unhideWhenUsed/>
    <w:rsid w:val="00482F0A"/>
    <w:pPr>
      <w:numPr>
        <w:numId w:val="3"/>
      </w:numPr>
    </w:pPr>
  </w:style>
  <w:style w:type="numbering" w:styleId="ArticleSection">
    <w:name w:val="Outline List 3"/>
    <w:basedOn w:val="NoList"/>
    <w:uiPriority w:val="99"/>
    <w:semiHidden/>
    <w:unhideWhenUsed/>
    <w:rsid w:val="00482F0A"/>
    <w:pPr>
      <w:numPr>
        <w:numId w:val="4"/>
      </w:numPr>
    </w:pPr>
  </w:style>
  <w:style w:type="table" w:customStyle="1" w:styleId="ECHRHeaderTable">
    <w:name w:val="ECHR_Header_Table"/>
    <w:basedOn w:val="TableNormal"/>
    <w:uiPriority w:val="99"/>
    <w:rsid w:val="00482F0A"/>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ibliography">
    <w:name w:val="Bibliography"/>
    <w:basedOn w:val="Normal"/>
    <w:next w:val="Normal"/>
    <w:uiPriority w:val="98"/>
    <w:semiHidden/>
    <w:rsid w:val="00482F0A"/>
  </w:style>
  <w:style w:type="paragraph" w:styleId="BlockText">
    <w:name w:val="Block Text"/>
    <w:basedOn w:val="Normal"/>
    <w:uiPriority w:val="98"/>
    <w:semiHidden/>
    <w:rsid w:val="00482F0A"/>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TableOddBanded">
    <w:name w:val="ECHR_Table_Odd_Banded"/>
    <w:basedOn w:val="TableNormal"/>
    <w:uiPriority w:val="99"/>
    <w:rsid w:val="00482F0A"/>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
    <w:name w:val="Body Text"/>
    <w:basedOn w:val="Normal"/>
    <w:link w:val="BodyTextChar"/>
    <w:uiPriority w:val="98"/>
    <w:semiHidden/>
    <w:rsid w:val="00482F0A"/>
    <w:pPr>
      <w:spacing w:after="120"/>
    </w:pPr>
  </w:style>
  <w:style w:type="table" w:customStyle="1" w:styleId="ECHRHeaderTableReduced">
    <w:name w:val="ECHR_Header_Table_Reduced"/>
    <w:basedOn w:val="TableNormal"/>
    <w:uiPriority w:val="99"/>
    <w:rsid w:val="00482F0A"/>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482F0A"/>
    <w:rPr>
      <w:sz w:val="18"/>
    </w:rPr>
  </w:style>
  <w:style w:type="character" w:styleId="CommentReference">
    <w:name w:val="annotation reference"/>
    <w:basedOn w:val="DefaultParagraphFont"/>
    <w:uiPriority w:val="98"/>
    <w:semiHidden/>
    <w:rsid w:val="00482F0A"/>
    <w:rPr>
      <w:sz w:val="16"/>
      <w:szCs w:val="16"/>
    </w:rPr>
  </w:style>
  <w:style w:type="paragraph" w:styleId="CommentText">
    <w:name w:val="annotation text"/>
    <w:basedOn w:val="Normal"/>
    <w:link w:val="CommentTextChar"/>
    <w:uiPriority w:val="98"/>
    <w:semiHidden/>
    <w:rsid w:val="00482F0A"/>
    <w:rPr>
      <w:sz w:val="20"/>
      <w:szCs w:val="20"/>
    </w:rPr>
  </w:style>
  <w:style w:type="character" w:customStyle="1" w:styleId="CommentTextChar">
    <w:name w:val="Comment Text Char"/>
    <w:basedOn w:val="DefaultParagraphFont"/>
    <w:link w:val="CommentText"/>
    <w:uiPriority w:val="98"/>
    <w:semiHidden/>
    <w:rsid w:val="00482F0A"/>
    <w:rPr>
      <w:sz w:val="20"/>
      <w:szCs w:val="20"/>
      <w:lang w:val="ro-RO"/>
    </w:rPr>
  </w:style>
  <w:style w:type="paragraph" w:customStyle="1" w:styleId="JuSigned">
    <w:name w:val="Ju_Signed"/>
    <w:aliases w:val="_Signature"/>
    <w:basedOn w:val="Normal"/>
    <w:next w:val="JuPara"/>
    <w:uiPriority w:val="31"/>
    <w:qFormat/>
    <w:rsid w:val="00482F0A"/>
    <w:pPr>
      <w:tabs>
        <w:tab w:val="center" w:pos="1418"/>
        <w:tab w:val="center" w:pos="5954"/>
      </w:tabs>
      <w:spacing w:before="720"/>
    </w:pPr>
  </w:style>
  <w:style w:type="paragraph" w:customStyle="1" w:styleId="JuTitle">
    <w:name w:val="Ju_Title"/>
    <w:aliases w:val="_Title_2"/>
    <w:basedOn w:val="Normal"/>
    <w:next w:val="JuPara"/>
    <w:uiPriority w:val="38"/>
    <w:qFormat/>
    <w:rsid w:val="00482F0A"/>
    <w:pPr>
      <w:keepNext/>
      <w:keepLines/>
      <w:spacing w:before="1320" w:after="280"/>
      <w:contextualSpacing/>
      <w:jc w:val="center"/>
    </w:pPr>
    <w:rPr>
      <w:b/>
    </w:rPr>
  </w:style>
  <w:style w:type="paragraph" w:customStyle="1" w:styleId="DecHTitle">
    <w:name w:val="Dec_H_Title"/>
    <w:aliases w:val="_Title_1"/>
    <w:basedOn w:val="JuPara"/>
    <w:next w:val="JuPara"/>
    <w:uiPriority w:val="38"/>
    <w:qFormat/>
    <w:rsid w:val="00482F0A"/>
    <w:pPr>
      <w:keepNext/>
      <w:keepLines/>
      <w:spacing w:after="240"/>
      <w:ind w:firstLine="0"/>
      <w:jc w:val="center"/>
      <w:outlineLvl w:val="0"/>
    </w:pPr>
    <w:rPr>
      <w:rFonts w:asciiTheme="majorHAnsi" w:hAnsiTheme="majorHAnsi"/>
      <w:sz w:val="28"/>
    </w:rPr>
  </w:style>
  <w:style w:type="paragraph" w:styleId="ListBullet2">
    <w:name w:val="List Bullet 2"/>
    <w:basedOn w:val="Normal"/>
    <w:uiPriority w:val="98"/>
    <w:semiHidden/>
    <w:rsid w:val="00482F0A"/>
    <w:pPr>
      <w:numPr>
        <w:numId w:val="6"/>
      </w:numPr>
      <w:contextualSpacing/>
    </w:pPr>
  </w:style>
  <w:style w:type="paragraph" w:styleId="ListBullet3">
    <w:name w:val="List Bullet 3"/>
    <w:basedOn w:val="Normal"/>
    <w:uiPriority w:val="98"/>
    <w:semiHidden/>
    <w:rsid w:val="00482F0A"/>
    <w:pPr>
      <w:numPr>
        <w:numId w:val="7"/>
      </w:numPr>
      <w:contextualSpacing/>
    </w:pPr>
  </w:style>
  <w:style w:type="character" w:customStyle="1" w:styleId="BodyTextChar">
    <w:name w:val="Body Text Char"/>
    <w:basedOn w:val="DefaultParagraphFont"/>
    <w:link w:val="BodyText"/>
    <w:uiPriority w:val="98"/>
    <w:semiHidden/>
    <w:rsid w:val="00482F0A"/>
    <w:rPr>
      <w:sz w:val="24"/>
      <w:szCs w:val="24"/>
      <w:lang w:val="ro-RO"/>
    </w:rPr>
  </w:style>
  <w:style w:type="paragraph" w:styleId="BodyText2">
    <w:name w:val="Body Text 2"/>
    <w:basedOn w:val="Normal"/>
    <w:link w:val="BodyText2Char"/>
    <w:uiPriority w:val="98"/>
    <w:semiHidden/>
    <w:rsid w:val="00482F0A"/>
    <w:pPr>
      <w:spacing w:after="120" w:line="480" w:lineRule="auto"/>
    </w:pPr>
  </w:style>
  <w:style w:type="character" w:customStyle="1" w:styleId="BodyText2Char">
    <w:name w:val="Body Text 2 Char"/>
    <w:basedOn w:val="DefaultParagraphFont"/>
    <w:link w:val="BodyText2"/>
    <w:uiPriority w:val="98"/>
    <w:semiHidden/>
    <w:rsid w:val="00482F0A"/>
    <w:rPr>
      <w:sz w:val="24"/>
      <w:szCs w:val="24"/>
      <w:lang w:val="ro-RO"/>
    </w:rPr>
  </w:style>
  <w:style w:type="paragraph" w:styleId="BodyText3">
    <w:name w:val="Body Text 3"/>
    <w:basedOn w:val="Normal"/>
    <w:link w:val="BodyText3Char"/>
    <w:uiPriority w:val="98"/>
    <w:semiHidden/>
    <w:rsid w:val="00482F0A"/>
    <w:pPr>
      <w:spacing w:after="120"/>
    </w:pPr>
    <w:rPr>
      <w:sz w:val="16"/>
      <w:szCs w:val="16"/>
    </w:rPr>
  </w:style>
  <w:style w:type="character" w:customStyle="1" w:styleId="BodyText3Char">
    <w:name w:val="Body Text 3 Char"/>
    <w:basedOn w:val="DefaultParagraphFont"/>
    <w:link w:val="BodyText3"/>
    <w:uiPriority w:val="98"/>
    <w:semiHidden/>
    <w:rsid w:val="00482F0A"/>
    <w:rPr>
      <w:sz w:val="16"/>
      <w:szCs w:val="16"/>
      <w:lang w:val="ro-RO"/>
    </w:rPr>
  </w:style>
  <w:style w:type="paragraph" w:styleId="BodyTextFirstIndent">
    <w:name w:val="Body Text First Indent"/>
    <w:basedOn w:val="BodyText"/>
    <w:link w:val="BodyTextFirstIndentChar"/>
    <w:uiPriority w:val="98"/>
    <w:semiHidden/>
    <w:rsid w:val="00482F0A"/>
    <w:pPr>
      <w:spacing w:after="0"/>
      <w:ind w:firstLine="360"/>
    </w:pPr>
  </w:style>
  <w:style w:type="character" w:customStyle="1" w:styleId="BodyTextFirstIndentChar">
    <w:name w:val="Body Text First Indent Char"/>
    <w:basedOn w:val="BodyTextChar"/>
    <w:link w:val="BodyTextFirstIndent"/>
    <w:uiPriority w:val="98"/>
    <w:semiHidden/>
    <w:rsid w:val="00482F0A"/>
    <w:rPr>
      <w:sz w:val="24"/>
      <w:szCs w:val="24"/>
      <w:lang w:val="ro-RO"/>
    </w:rPr>
  </w:style>
  <w:style w:type="paragraph" w:styleId="BodyTextIndent">
    <w:name w:val="Body Text Indent"/>
    <w:basedOn w:val="Normal"/>
    <w:link w:val="BodyTextIndentChar"/>
    <w:uiPriority w:val="98"/>
    <w:semiHidden/>
    <w:rsid w:val="00482F0A"/>
    <w:pPr>
      <w:spacing w:after="120"/>
      <w:ind w:left="283"/>
    </w:pPr>
  </w:style>
  <w:style w:type="character" w:customStyle="1" w:styleId="BodyTextIndentChar">
    <w:name w:val="Body Text Indent Char"/>
    <w:basedOn w:val="DefaultParagraphFont"/>
    <w:link w:val="BodyTextIndent"/>
    <w:uiPriority w:val="98"/>
    <w:semiHidden/>
    <w:rsid w:val="00482F0A"/>
    <w:rPr>
      <w:sz w:val="24"/>
      <w:szCs w:val="24"/>
      <w:lang w:val="ro-RO"/>
    </w:rPr>
  </w:style>
  <w:style w:type="paragraph" w:styleId="BodyTextFirstIndent2">
    <w:name w:val="Body Text First Indent 2"/>
    <w:basedOn w:val="BodyTextIndent"/>
    <w:link w:val="BodyTextFirstIndent2Char"/>
    <w:uiPriority w:val="98"/>
    <w:semiHidden/>
    <w:rsid w:val="00482F0A"/>
    <w:pPr>
      <w:spacing w:after="0"/>
      <w:ind w:left="360" w:firstLine="360"/>
    </w:pPr>
  </w:style>
  <w:style w:type="character" w:customStyle="1" w:styleId="BodyTextFirstIndent2Char">
    <w:name w:val="Body Text First Indent 2 Char"/>
    <w:basedOn w:val="BodyTextIndentChar"/>
    <w:link w:val="BodyTextFirstIndent2"/>
    <w:uiPriority w:val="98"/>
    <w:semiHidden/>
    <w:rsid w:val="00482F0A"/>
    <w:rPr>
      <w:sz w:val="24"/>
      <w:szCs w:val="24"/>
      <w:lang w:val="ro-RO"/>
    </w:rPr>
  </w:style>
  <w:style w:type="paragraph" w:styleId="BodyTextIndent2">
    <w:name w:val="Body Text Indent 2"/>
    <w:basedOn w:val="Normal"/>
    <w:link w:val="BodyTextIndent2Char"/>
    <w:uiPriority w:val="98"/>
    <w:semiHidden/>
    <w:rsid w:val="00482F0A"/>
    <w:pPr>
      <w:spacing w:after="120" w:line="480" w:lineRule="auto"/>
      <w:ind w:left="283"/>
    </w:pPr>
  </w:style>
  <w:style w:type="character" w:customStyle="1" w:styleId="BodyTextIndent2Char">
    <w:name w:val="Body Text Indent 2 Char"/>
    <w:basedOn w:val="DefaultParagraphFont"/>
    <w:link w:val="BodyTextIndent2"/>
    <w:uiPriority w:val="98"/>
    <w:semiHidden/>
    <w:rsid w:val="00482F0A"/>
    <w:rPr>
      <w:sz w:val="24"/>
      <w:szCs w:val="24"/>
      <w:lang w:val="ro-RO"/>
    </w:rPr>
  </w:style>
  <w:style w:type="paragraph" w:styleId="BodyTextIndent3">
    <w:name w:val="Body Text Indent 3"/>
    <w:basedOn w:val="Normal"/>
    <w:link w:val="BodyTextIndent3Char"/>
    <w:uiPriority w:val="98"/>
    <w:semiHidden/>
    <w:rsid w:val="00482F0A"/>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82F0A"/>
    <w:rPr>
      <w:sz w:val="16"/>
      <w:szCs w:val="16"/>
      <w:lang w:val="ro-RO"/>
    </w:rPr>
  </w:style>
  <w:style w:type="paragraph" w:styleId="Caption">
    <w:name w:val="caption"/>
    <w:basedOn w:val="Normal"/>
    <w:next w:val="Normal"/>
    <w:uiPriority w:val="98"/>
    <w:semiHidden/>
    <w:qFormat/>
    <w:rsid w:val="00482F0A"/>
    <w:pPr>
      <w:spacing w:after="200"/>
    </w:pPr>
    <w:rPr>
      <w:b/>
      <w:bCs/>
      <w:color w:val="0072BC" w:themeColor="accent1"/>
      <w:sz w:val="18"/>
      <w:szCs w:val="18"/>
    </w:rPr>
  </w:style>
  <w:style w:type="paragraph" w:styleId="Closing">
    <w:name w:val="Closing"/>
    <w:basedOn w:val="Normal"/>
    <w:link w:val="ClosingChar"/>
    <w:uiPriority w:val="98"/>
    <w:semiHidden/>
    <w:rsid w:val="00482F0A"/>
    <w:pPr>
      <w:ind w:left="4252"/>
    </w:pPr>
  </w:style>
  <w:style w:type="character" w:customStyle="1" w:styleId="ClosingChar">
    <w:name w:val="Closing Char"/>
    <w:basedOn w:val="DefaultParagraphFont"/>
    <w:link w:val="Closing"/>
    <w:uiPriority w:val="98"/>
    <w:semiHidden/>
    <w:rsid w:val="00482F0A"/>
    <w:rPr>
      <w:sz w:val="24"/>
      <w:szCs w:val="24"/>
      <w:lang w:val="ro-RO"/>
    </w:rPr>
  </w:style>
  <w:style w:type="table" w:styleId="ColorfulGrid">
    <w:name w:val="Colorful Grid"/>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82F0A"/>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82F0A"/>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82F0A"/>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82F0A"/>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82F0A"/>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482F0A"/>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82F0A"/>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82F0A"/>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82F0A"/>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82F0A"/>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82F0A"/>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82F0A"/>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482F0A"/>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82F0A"/>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82F0A"/>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482F0A"/>
    <w:rPr>
      <w:b/>
      <w:bCs/>
    </w:rPr>
  </w:style>
  <w:style w:type="character" w:customStyle="1" w:styleId="CommentSubjectChar">
    <w:name w:val="Comment Subject Char"/>
    <w:basedOn w:val="CommentTextChar"/>
    <w:link w:val="CommentSubject"/>
    <w:uiPriority w:val="98"/>
    <w:semiHidden/>
    <w:rsid w:val="00482F0A"/>
    <w:rPr>
      <w:b/>
      <w:bCs/>
      <w:sz w:val="20"/>
      <w:szCs w:val="20"/>
      <w:lang w:val="ro-RO"/>
    </w:rPr>
  </w:style>
  <w:style w:type="table" w:styleId="DarkList">
    <w:name w:val="Dark List"/>
    <w:basedOn w:val="TableNormal"/>
    <w:uiPriority w:val="70"/>
    <w:semiHidden/>
    <w:rsid w:val="00482F0A"/>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82F0A"/>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82F0A"/>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82F0A"/>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482F0A"/>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82F0A"/>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82F0A"/>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82F0A"/>
  </w:style>
  <w:style w:type="character" w:customStyle="1" w:styleId="DateChar">
    <w:name w:val="Date Char"/>
    <w:basedOn w:val="DefaultParagraphFont"/>
    <w:link w:val="Date"/>
    <w:uiPriority w:val="98"/>
    <w:semiHidden/>
    <w:rsid w:val="00482F0A"/>
    <w:rPr>
      <w:sz w:val="24"/>
      <w:szCs w:val="24"/>
      <w:lang w:val="ro-RO"/>
    </w:rPr>
  </w:style>
  <w:style w:type="paragraph" w:styleId="DocumentMap">
    <w:name w:val="Document Map"/>
    <w:basedOn w:val="Normal"/>
    <w:link w:val="DocumentMapChar"/>
    <w:uiPriority w:val="98"/>
    <w:semiHidden/>
    <w:rsid w:val="00482F0A"/>
    <w:rPr>
      <w:rFonts w:ascii="Tahoma" w:hAnsi="Tahoma" w:cs="Tahoma"/>
      <w:sz w:val="16"/>
      <w:szCs w:val="16"/>
    </w:rPr>
  </w:style>
  <w:style w:type="character" w:customStyle="1" w:styleId="DocumentMapChar">
    <w:name w:val="Document Map Char"/>
    <w:basedOn w:val="DefaultParagraphFont"/>
    <w:link w:val="DocumentMap"/>
    <w:uiPriority w:val="98"/>
    <w:semiHidden/>
    <w:rsid w:val="00482F0A"/>
    <w:rPr>
      <w:rFonts w:ascii="Tahoma" w:hAnsi="Tahoma" w:cs="Tahoma"/>
      <w:sz w:val="16"/>
      <w:szCs w:val="16"/>
      <w:lang w:val="ro-RO"/>
    </w:rPr>
  </w:style>
  <w:style w:type="paragraph" w:styleId="E-mailSignature">
    <w:name w:val="E-mail Signature"/>
    <w:basedOn w:val="Normal"/>
    <w:link w:val="E-mailSignatureChar"/>
    <w:uiPriority w:val="98"/>
    <w:semiHidden/>
    <w:rsid w:val="00482F0A"/>
  </w:style>
  <w:style w:type="character" w:customStyle="1" w:styleId="E-mailSignatureChar">
    <w:name w:val="E-mail Signature Char"/>
    <w:basedOn w:val="DefaultParagraphFont"/>
    <w:link w:val="E-mailSignature"/>
    <w:uiPriority w:val="98"/>
    <w:semiHidden/>
    <w:rsid w:val="00482F0A"/>
    <w:rPr>
      <w:sz w:val="24"/>
      <w:szCs w:val="24"/>
      <w:lang w:val="ro-RO"/>
    </w:rPr>
  </w:style>
  <w:style w:type="character" w:styleId="EndnoteReference">
    <w:name w:val="endnote reference"/>
    <w:basedOn w:val="DefaultParagraphFont"/>
    <w:uiPriority w:val="98"/>
    <w:semiHidden/>
    <w:rsid w:val="00482F0A"/>
    <w:rPr>
      <w:vertAlign w:val="superscript"/>
    </w:rPr>
  </w:style>
  <w:style w:type="paragraph" w:styleId="EndnoteText">
    <w:name w:val="endnote text"/>
    <w:basedOn w:val="Normal"/>
    <w:link w:val="EndnoteTextChar"/>
    <w:uiPriority w:val="98"/>
    <w:semiHidden/>
    <w:rsid w:val="00482F0A"/>
    <w:rPr>
      <w:sz w:val="20"/>
      <w:szCs w:val="20"/>
    </w:rPr>
  </w:style>
  <w:style w:type="character" w:customStyle="1" w:styleId="EndnoteTextChar">
    <w:name w:val="Endnote Text Char"/>
    <w:basedOn w:val="DefaultParagraphFont"/>
    <w:link w:val="EndnoteText"/>
    <w:uiPriority w:val="98"/>
    <w:semiHidden/>
    <w:rsid w:val="00482F0A"/>
    <w:rPr>
      <w:sz w:val="20"/>
      <w:szCs w:val="20"/>
      <w:lang w:val="ro-RO"/>
    </w:rPr>
  </w:style>
  <w:style w:type="paragraph" w:styleId="EnvelopeAddress">
    <w:name w:val="envelope address"/>
    <w:basedOn w:val="Normal"/>
    <w:uiPriority w:val="98"/>
    <w:semiHidden/>
    <w:rsid w:val="00482F0A"/>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82F0A"/>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82F0A"/>
    <w:rPr>
      <w:color w:val="7030A0" w:themeColor="followedHyperlink"/>
      <w:u w:val="single"/>
    </w:rPr>
  </w:style>
  <w:style w:type="character" w:styleId="HTMLAcronym">
    <w:name w:val="HTML Acronym"/>
    <w:basedOn w:val="DefaultParagraphFont"/>
    <w:uiPriority w:val="98"/>
    <w:semiHidden/>
    <w:rsid w:val="00482F0A"/>
  </w:style>
  <w:style w:type="paragraph" w:styleId="HTMLAddress">
    <w:name w:val="HTML Address"/>
    <w:basedOn w:val="Normal"/>
    <w:link w:val="HTMLAddressChar"/>
    <w:uiPriority w:val="98"/>
    <w:semiHidden/>
    <w:rsid w:val="00482F0A"/>
    <w:rPr>
      <w:i/>
      <w:iCs/>
    </w:rPr>
  </w:style>
  <w:style w:type="character" w:customStyle="1" w:styleId="HTMLAddressChar">
    <w:name w:val="HTML Address Char"/>
    <w:basedOn w:val="DefaultParagraphFont"/>
    <w:link w:val="HTMLAddress"/>
    <w:uiPriority w:val="98"/>
    <w:semiHidden/>
    <w:rsid w:val="00482F0A"/>
    <w:rPr>
      <w:i/>
      <w:iCs/>
      <w:sz w:val="24"/>
      <w:szCs w:val="24"/>
      <w:lang w:val="ro-RO"/>
    </w:rPr>
  </w:style>
  <w:style w:type="character" w:styleId="HTMLCite">
    <w:name w:val="HTML Cite"/>
    <w:basedOn w:val="DefaultParagraphFont"/>
    <w:uiPriority w:val="98"/>
    <w:semiHidden/>
    <w:rsid w:val="00482F0A"/>
    <w:rPr>
      <w:i/>
      <w:iCs/>
    </w:rPr>
  </w:style>
  <w:style w:type="character" w:styleId="HTMLCode">
    <w:name w:val="HTML Code"/>
    <w:basedOn w:val="DefaultParagraphFont"/>
    <w:uiPriority w:val="98"/>
    <w:semiHidden/>
    <w:rsid w:val="00482F0A"/>
    <w:rPr>
      <w:rFonts w:ascii="Consolas" w:hAnsi="Consolas" w:cs="Consolas"/>
      <w:sz w:val="20"/>
      <w:szCs w:val="20"/>
    </w:rPr>
  </w:style>
  <w:style w:type="character" w:styleId="HTMLDefinition">
    <w:name w:val="HTML Definition"/>
    <w:basedOn w:val="DefaultParagraphFont"/>
    <w:uiPriority w:val="98"/>
    <w:semiHidden/>
    <w:rsid w:val="00482F0A"/>
    <w:rPr>
      <w:i/>
      <w:iCs/>
    </w:rPr>
  </w:style>
  <w:style w:type="character" w:styleId="HTMLKeyboard">
    <w:name w:val="HTML Keyboard"/>
    <w:basedOn w:val="DefaultParagraphFont"/>
    <w:uiPriority w:val="98"/>
    <w:semiHidden/>
    <w:rsid w:val="00482F0A"/>
    <w:rPr>
      <w:rFonts w:ascii="Consolas" w:hAnsi="Consolas" w:cs="Consolas"/>
      <w:sz w:val="20"/>
      <w:szCs w:val="20"/>
    </w:rPr>
  </w:style>
  <w:style w:type="paragraph" w:styleId="HTMLPreformatted">
    <w:name w:val="HTML Preformatted"/>
    <w:basedOn w:val="Normal"/>
    <w:link w:val="HTMLPreformattedChar"/>
    <w:uiPriority w:val="98"/>
    <w:semiHidden/>
    <w:rsid w:val="00482F0A"/>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82F0A"/>
    <w:rPr>
      <w:rFonts w:ascii="Consolas" w:hAnsi="Consolas" w:cs="Consolas"/>
      <w:sz w:val="20"/>
      <w:szCs w:val="20"/>
      <w:lang w:val="ro-RO"/>
    </w:rPr>
  </w:style>
  <w:style w:type="character" w:styleId="HTMLSample">
    <w:name w:val="HTML Sample"/>
    <w:basedOn w:val="DefaultParagraphFont"/>
    <w:uiPriority w:val="98"/>
    <w:semiHidden/>
    <w:rsid w:val="00482F0A"/>
    <w:rPr>
      <w:rFonts w:ascii="Consolas" w:hAnsi="Consolas" w:cs="Consolas"/>
      <w:sz w:val="24"/>
      <w:szCs w:val="24"/>
    </w:rPr>
  </w:style>
  <w:style w:type="character" w:styleId="HTMLTypewriter">
    <w:name w:val="HTML Typewriter"/>
    <w:basedOn w:val="DefaultParagraphFont"/>
    <w:uiPriority w:val="98"/>
    <w:semiHidden/>
    <w:rsid w:val="00482F0A"/>
    <w:rPr>
      <w:rFonts w:ascii="Consolas" w:hAnsi="Consolas" w:cs="Consolas"/>
      <w:sz w:val="20"/>
      <w:szCs w:val="20"/>
    </w:rPr>
  </w:style>
  <w:style w:type="character" w:styleId="HTMLVariable">
    <w:name w:val="HTML Variable"/>
    <w:basedOn w:val="DefaultParagraphFont"/>
    <w:uiPriority w:val="98"/>
    <w:semiHidden/>
    <w:rsid w:val="00482F0A"/>
    <w:rPr>
      <w:i/>
      <w:iCs/>
    </w:rPr>
  </w:style>
  <w:style w:type="paragraph" w:styleId="Index1">
    <w:name w:val="index 1"/>
    <w:basedOn w:val="Normal"/>
    <w:next w:val="Normal"/>
    <w:autoRedefine/>
    <w:uiPriority w:val="98"/>
    <w:semiHidden/>
    <w:rsid w:val="00482F0A"/>
    <w:pPr>
      <w:ind w:left="240" w:hanging="240"/>
    </w:pPr>
  </w:style>
  <w:style w:type="paragraph" w:styleId="Index2">
    <w:name w:val="index 2"/>
    <w:basedOn w:val="Normal"/>
    <w:next w:val="Normal"/>
    <w:autoRedefine/>
    <w:uiPriority w:val="98"/>
    <w:semiHidden/>
    <w:rsid w:val="00482F0A"/>
    <w:pPr>
      <w:ind w:left="480" w:hanging="240"/>
    </w:pPr>
  </w:style>
  <w:style w:type="paragraph" w:styleId="Index3">
    <w:name w:val="index 3"/>
    <w:basedOn w:val="Normal"/>
    <w:next w:val="Normal"/>
    <w:autoRedefine/>
    <w:uiPriority w:val="98"/>
    <w:semiHidden/>
    <w:rsid w:val="00482F0A"/>
    <w:pPr>
      <w:ind w:left="720" w:hanging="240"/>
    </w:pPr>
  </w:style>
  <w:style w:type="paragraph" w:styleId="Index4">
    <w:name w:val="index 4"/>
    <w:basedOn w:val="Normal"/>
    <w:next w:val="Normal"/>
    <w:autoRedefine/>
    <w:uiPriority w:val="98"/>
    <w:semiHidden/>
    <w:rsid w:val="00482F0A"/>
    <w:pPr>
      <w:ind w:left="960" w:hanging="240"/>
    </w:pPr>
  </w:style>
  <w:style w:type="paragraph" w:styleId="Index5">
    <w:name w:val="index 5"/>
    <w:basedOn w:val="Normal"/>
    <w:next w:val="Normal"/>
    <w:autoRedefine/>
    <w:uiPriority w:val="98"/>
    <w:semiHidden/>
    <w:rsid w:val="00482F0A"/>
    <w:pPr>
      <w:ind w:left="1200" w:hanging="240"/>
    </w:pPr>
  </w:style>
  <w:style w:type="paragraph" w:styleId="Index6">
    <w:name w:val="index 6"/>
    <w:basedOn w:val="Normal"/>
    <w:next w:val="Normal"/>
    <w:autoRedefine/>
    <w:uiPriority w:val="98"/>
    <w:semiHidden/>
    <w:rsid w:val="00482F0A"/>
    <w:pPr>
      <w:ind w:left="1440" w:hanging="240"/>
    </w:pPr>
  </w:style>
  <w:style w:type="paragraph" w:styleId="Index7">
    <w:name w:val="index 7"/>
    <w:basedOn w:val="Normal"/>
    <w:next w:val="Normal"/>
    <w:autoRedefine/>
    <w:uiPriority w:val="98"/>
    <w:semiHidden/>
    <w:rsid w:val="00482F0A"/>
    <w:pPr>
      <w:ind w:left="1680" w:hanging="240"/>
    </w:pPr>
  </w:style>
  <w:style w:type="paragraph" w:styleId="Index8">
    <w:name w:val="index 8"/>
    <w:basedOn w:val="Normal"/>
    <w:next w:val="Normal"/>
    <w:autoRedefine/>
    <w:uiPriority w:val="98"/>
    <w:semiHidden/>
    <w:rsid w:val="00482F0A"/>
    <w:pPr>
      <w:ind w:left="1920" w:hanging="240"/>
    </w:pPr>
  </w:style>
  <w:style w:type="paragraph" w:styleId="Index9">
    <w:name w:val="index 9"/>
    <w:basedOn w:val="Normal"/>
    <w:next w:val="Normal"/>
    <w:autoRedefine/>
    <w:uiPriority w:val="98"/>
    <w:semiHidden/>
    <w:rsid w:val="00482F0A"/>
    <w:pPr>
      <w:ind w:left="2160" w:hanging="240"/>
    </w:pPr>
  </w:style>
  <w:style w:type="paragraph" w:styleId="IndexHeading">
    <w:name w:val="index heading"/>
    <w:basedOn w:val="Normal"/>
    <w:next w:val="Index1"/>
    <w:uiPriority w:val="98"/>
    <w:semiHidden/>
    <w:rsid w:val="00482F0A"/>
    <w:rPr>
      <w:rFonts w:asciiTheme="majorHAnsi" w:eastAsiaTheme="majorEastAsia" w:hAnsiTheme="majorHAnsi" w:cstheme="majorBidi"/>
      <w:b/>
      <w:bCs/>
    </w:rPr>
  </w:style>
  <w:style w:type="table" w:styleId="LightGrid">
    <w:name w:val="Light Grid"/>
    <w:basedOn w:val="TableNormal"/>
    <w:uiPriority w:val="62"/>
    <w:semiHidden/>
    <w:rsid w:val="00482F0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82F0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82F0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82F0A"/>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482F0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82F0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82F0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82F0A"/>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82F0A"/>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82F0A"/>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82F0A"/>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482F0A"/>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82F0A"/>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82F0A"/>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82F0A"/>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82F0A"/>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82F0A"/>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82F0A"/>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482F0A"/>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82F0A"/>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82F0A"/>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82F0A"/>
  </w:style>
  <w:style w:type="paragraph" w:styleId="List">
    <w:name w:val="List"/>
    <w:basedOn w:val="Normal"/>
    <w:uiPriority w:val="98"/>
    <w:semiHidden/>
    <w:rsid w:val="00482F0A"/>
    <w:pPr>
      <w:ind w:left="283" w:hanging="283"/>
      <w:contextualSpacing/>
    </w:pPr>
  </w:style>
  <w:style w:type="paragraph" w:styleId="List2">
    <w:name w:val="List 2"/>
    <w:basedOn w:val="Normal"/>
    <w:uiPriority w:val="98"/>
    <w:semiHidden/>
    <w:rsid w:val="00482F0A"/>
    <w:pPr>
      <w:ind w:left="566" w:hanging="283"/>
      <w:contextualSpacing/>
    </w:pPr>
  </w:style>
  <w:style w:type="paragraph" w:styleId="List3">
    <w:name w:val="List 3"/>
    <w:basedOn w:val="Normal"/>
    <w:uiPriority w:val="98"/>
    <w:semiHidden/>
    <w:rsid w:val="00482F0A"/>
    <w:pPr>
      <w:ind w:left="849" w:hanging="283"/>
      <w:contextualSpacing/>
    </w:pPr>
  </w:style>
  <w:style w:type="paragraph" w:styleId="List4">
    <w:name w:val="List 4"/>
    <w:basedOn w:val="Normal"/>
    <w:uiPriority w:val="98"/>
    <w:semiHidden/>
    <w:rsid w:val="00482F0A"/>
    <w:pPr>
      <w:ind w:left="1132" w:hanging="283"/>
      <w:contextualSpacing/>
    </w:pPr>
  </w:style>
  <w:style w:type="paragraph" w:styleId="List5">
    <w:name w:val="List 5"/>
    <w:basedOn w:val="Normal"/>
    <w:uiPriority w:val="98"/>
    <w:semiHidden/>
    <w:rsid w:val="00482F0A"/>
    <w:pPr>
      <w:ind w:left="1415" w:hanging="283"/>
      <w:contextualSpacing/>
    </w:pPr>
  </w:style>
  <w:style w:type="paragraph" w:styleId="ListBullet">
    <w:name w:val="List Bullet"/>
    <w:basedOn w:val="Normal"/>
    <w:uiPriority w:val="98"/>
    <w:semiHidden/>
    <w:rsid w:val="00482F0A"/>
    <w:pPr>
      <w:numPr>
        <w:numId w:val="5"/>
      </w:numPr>
    </w:pPr>
  </w:style>
  <w:style w:type="paragraph" w:styleId="ListBullet4">
    <w:name w:val="List Bullet 4"/>
    <w:basedOn w:val="Normal"/>
    <w:uiPriority w:val="98"/>
    <w:semiHidden/>
    <w:rsid w:val="00482F0A"/>
    <w:pPr>
      <w:numPr>
        <w:numId w:val="8"/>
      </w:numPr>
      <w:contextualSpacing/>
    </w:pPr>
  </w:style>
  <w:style w:type="paragraph" w:styleId="ListBullet5">
    <w:name w:val="List Bullet 5"/>
    <w:basedOn w:val="Normal"/>
    <w:uiPriority w:val="98"/>
    <w:semiHidden/>
    <w:rsid w:val="00482F0A"/>
    <w:pPr>
      <w:numPr>
        <w:numId w:val="9"/>
      </w:numPr>
      <w:contextualSpacing/>
    </w:pPr>
  </w:style>
  <w:style w:type="paragraph" w:styleId="ListContinue">
    <w:name w:val="List Continue"/>
    <w:basedOn w:val="Normal"/>
    <w:uiPriority w:val="98"/>
    <w:semiHidden/>
    <w:rsid w:val="00482F0A"/>
    <w:pPr>
      <w:spacing w:after="120"/>
      <w:ind w:left="283"/>
      <w:contextualSpacing/>
    </w:pPr>
  </w:style>
  <w:style w:type="paragraph" w:styleId="ListContinue2">
    <w:name w:val="List Continue 2"/>
    <w:basedOn w:val="Normal"/>
    <w:uiPriority w:val="98"/>
    <w:semiHidden/>
    <w:rsid w:val="00482F0A"/>
    <w:pPr>
      <w:spacing w:after="120"/>
      <w:ind w:left="566"/>
      <w:contextualSpacing/>
    </w:pPr>
  </w:style>
  <w:style w:type="paragraph" w:styleId="ListContinue3">
    <w:name w:val="List Continue 3"/>
    <w:basedOn w:val="Normal"/>
    <w:uiPriority w:val="98"/>
    <w:semiHidden/>
    <w:rsid w:val="00482F0A"/>
    <w:pPr>
      <w:spacing w:after="120"/>
      <w:ind w:left="849"/>
      <w:contextualSpacing/>
    </w:pPr>
  </w:style>
  <w:style w:type="paragraph" w:styleId="ListContinue4">
    <w:name w:val="List Continue 4"/>
    <w:basedOn w:val="Normal"/>
    <w:uiPriority w:val="98"/>
    <w:semiHidden/>
    <w:rsid w:val="00482F0A"/>
    <w:pPr>
      <w:spacing w:after="120"/>
      <w:ind w:left="1132"/>
      <w:contextualSpacing/>
    </w:pPr>
  </w:style>
  <w:style w:type="paragraph" w:styleId="ListContinue5">
    <w:name w:val="List Continue 5"/>
    <w:basedOn w:val="Normal"/>
    <w:uiPriority w:val="98"/>
    <w:semiHidden/>
    <w:rsid w:val="00482F0A"/>
    <w:pPr>
      <w:spacing w:after="120"/>
      <w:ind w:left="1415"/>
      <w:contextualSpacing/>
    </w:pPr>
  </w:style>
  <w:style w:type="paragraph" w:styleId="ListNumber">
    <w:name w:val="List Number"/>
    <w:basedOn w:val="Normal"/>
    <w:uiPriority w:val="98"/>
    <w:semiHidden/>
    <w:rsid w:val="00482F0A"/>
    <w:pPr>
      <w:numPr>
        <w:numId w:val="10"/>
      </w:numPr>
      <w:contextualSpacing/>
    </w:pPr>
  </w:style>
  <w:style w:type="paragraph" w:styleId="ListNumber2">
    <w:name w:val="List Number 2"/>
    <w:basedOn w:val="Normal"/>
    <w:uiPriority w:val="98"/>
    <w:semiHidden/>
    <w:rsid w:val="00482F0A"/>
    <w:pPr>
      <w:numPr>
        <w:numId w:val="11"/>
      </w:numPr>
      <w:contextualSpacing/>
    </w:pPr>
  </w:style>
  <w:style w:type="paragraph" w:styleId="ListNumber3">
    <w:name w:val="List Number 3"/>
    <w:basedOn w:val="Normal"/>
    <w:uiPriority w:val="98"/>
    <w:semiHidden/>
    <w:rsid w:val="00482F0A"/>
    <w:pPr>
      <w:numPr>
        <w:numId w:val="12"/>
      </w:numPr>
      <w:contextualSpacing/>
    </w:pPr>
  </w:style>
  <w:style w:type="paragraph" w:styleId="ListNumber4">
    <w:name w:val="List Number 4"/>
    <w:basedOn w:val="Normal"/>
    <w:uiPriority w:val="98"/>
    <w:semiHidden/>
    <w:rsid w:val="00482F0A"/>
    <w:pPr>
      <w:numPr>
        <w:numId w:val="13"/>
      </w:numPr>
      <w:contextualSpacing/>
    </w:pPr>
  </w:style>
  <w:style w:type="paragraph" w:styleId="ListNumber5">
    <w:name w:val="List Number 5"/>
    <w:basedOn w:val="Normal"/>
    <w:uiPriority w:val="98"/>
    <w:semiHidden/>
    <w:rsid w:val="00482F0A"/>
    <w:pPr>
      <w:numPr>
        <w:numId w:val="14"/>
      </w:numPr>
      <w:contextualSpacing/>
    </w:pPr>
  </w:style>
  <w:style w:type="paragraph" w:styleId="MacroText">
    <w:name w:val="macro"/>
    <w:link w:val="MacroTextChar"/>
    <w:uiPriority w:val="98"/>
    <w:semiHidden/>
    <w:rsid w:val="00482F0A"/>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82F0A"/>
    <w:rPr>
      <w:rFonts w:ascii="Consolas" w:eastAsiaTheme="minorEastAsia" w:hAnsi="Consolas" w:cs="Consolas"/>
      <w:sz w:val="20"/>
      <w:szCs w:val="20"/>
    </w:rPr>
  </w:style>
  <w:style w:type="table" w:styleId="MediumGrid1">
    <w:name w:val="Medium Grid 1"/>
    <w:basedOn w:val="TableNormal"/>
    <w:uiPriority w:val="67"/>
    <w:semiHidden/>
    <w:rsid w:val="00482F0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82F0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82F0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82F0A"/>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482F0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82F0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82F0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82F0A"/>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482F0A"/>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82F0A"/>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82F0A"/>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82F0A"/>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482F0A"/>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82F0A"/>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82F0A"/>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82F0A"/>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82F0A"/>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82F0A"/>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82F0A"/>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82F0A"/>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82F0A"/>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82F0A"/>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82F0A"/>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82F0A"/>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82F0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82F0A"/>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82F0A"/>
    <w:rPr>
      <w:rFonts w:ascii="Times New Roman" w:hAnsi="Times New Roman" w:cs="Times New Roman"/>
    </w:rPr>
  </w:style>
  <w:style w:type="paragraph" w:styleId="NormalIndent">
    <w:name w:val="Normal Indent"/>
    <w:basedOn w:val="Normal"/>
    <w:uiPriority w:val="98"/>
    <w:semiHidden/>
    <w:rsid w:val="00482F0A"/>
    <w:pPr>
      <w:ind w:left="720"/>
    </w:pPr>
  </w:style>
  <w:style w:type="paragraph" w:styleId="NoteHeading">
    <w:name w:val="Note Heading"/>
    <w:basedOn w:val="Normal"/>
    <w:next w:val="Normal"/>
    <w:link w:val="NoteHeadingChar"/>
    <w:uiPriority w:val="98"/>
    <w:semiHidden/>
    <w:rsid w:val="00482F0A"/>
  </w:style>
  <w:style w:type="character" w:customStyle="1" w:styleId="NoteHeadingChar">
    <w:name w:val="Note Heading Char"/>
    <w:basedOn w:val="DefaultParagraphFont"/>
    <w:link w:val="NoteHeading"/>
    <w:uiPriority w:val="98"/>
    <w:semiHidden/>
    <w:rsid w:val="00482F0A"/>
    <w:rPr>
      <w:sz w:val="24"/>
      <w:szCs w:val="24"/>
      <w:lang w:val="ro-RO"/>
    </w:rPr>
  </w:style>
  <w:style w:type="character" w:styleId="PlaceholderText">
    <w:name w:val="Placeholder Text"/>
    <w:basedOn w:val="DefaultParagraphFont"/>
    <w:uiPriority w:val="98"/>
    <w:semiHidden/>
    <w:rsid w:val="00482F0A"/>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82F0A"/>
    <w:rPr>
      <w:rFonts w:ascii="Consolas" w:hAnsi="Consolas" w:cs="Consolas"/>
      <w:sz w:val="21"/>
      <w:szCs w:val="21"/>
    </w:rPr>
  </w:style>
  <w:style w:type="character" w:customStyle="1" w:styleId="PlainTextChar">
    <w:name w:val="Plain Text Char"/>
    <w:basedOn w:val="DefaultParagraphFont"/>
    <w:link w:val="PlainText"/>
    <w:uiPriority w:val="98"/>
    <w:semiHidden/>
    <w:rsid w:val="00482F0A"/>
    <w:rPr>
      <w:rFonts w:ascii="Consolas" w:hAnsi="Consolas" w:cs="Consolas"/>
      <w:sz w:val="21"/>
      <w:szCs w:val="21"/>
      <w:lang w:val="ro-RO"/>
    </w:rPr>
  </w:style>
  <w:style w:type="paragraph" w:styleId="Salutation">
    <w:name w:val="Salutation"/>
    <w:basedOn w:val="Normal"/>
    <w:next w:val="Normal"/>
    <w:link w:val="SalutationChar"/>
    <w:uiPriority w:val="98"/>
    <w:semiHidden/>
    <w:rsid w:val="00482F0A"/>
  </w:style>
  <w:style w:type="character" w:customStyle="1" w:styleId="SalutationChar">
    <w:name w:val="Salutation Char"/>
    <w:basedOn w:val="DefaultParagraphFont"/>
    <w:link w:val="Salutation"/>
    <w:uiPriority w:val="98"/>
    <w:semiHidden/>
    <w:rsid w:val="00482F0A"/>
    <w:rPr>
      <w:sz w:val="24"/>
      <w:szCs w:val="24"/>
      <w:lang w:val="ro-RO"/>
    </w:rPr>
  </w:style>
  <w:style w:type="paragraph" w:styleId="Signature">
    <w:name w:val="Signature"/>
    <w:basedOn w:val="Normal"/>
    <w:link w:val="SignatureChar"/>
    <w:uiPriority w:val="98"/>
    <w:semiHidden/>
    <w:rsid w:val="00482F0A"/>
    <w:pPr>
      <w:ind w:left="4252"/>
    </w:pPr>
  </w:style>
  <w:style w:type="character" w:customStyle="1" w:styleId="SignatureChar">
    <w:name w:val="Signature Char"/>
    <w:basedOn w:val="DefaultParagraphFont"/>
    <w:link w:val="Signature"/>
    <w:uiPriority w:val="98"/>
    <w:semiHidden/>
    <w:rsid w:val="00482F0A"/>
    <w:rPr>
      <w:sz w:val="24"/>
      <w:szCs w:val="24"/>
      <w:lang w:val="ro-RO"/>
    </w:rPr>
  </w:style>
  <w:style w:type="table" w:styleId="Table3Deffects1">
    <w:name w:val="Table 3D effects 1"/>
    <w:basedOn w:val="TableNormal"/>
    <w:uiPriority w:val="99"/>
    <w:semiHidden/>
    <w:unhideWhenUsed/>
    <w:rsid w:val="00482F0A"/>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82F0A"/>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82F0A"/>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82F0A"/>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82F0A"/>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82F0A"/>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82F0A"/>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82F0A"/>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82F0A"/>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82F0A"/>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82F0A"/>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82F0A"/>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82F0A"/>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82F0A"/>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82F0A"/>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82F0A"/>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82F0A"/>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82F0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82F0A"/>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82F0A"/>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82F0A"/>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82F0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82F0A"/>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82F0A"/>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82F0A"/>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82F0A"/>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82F0A"/>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82F0A"/>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82F0A"/>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82F0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82F0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82F0A"/>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82F0A"/>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82F0A"/>
    <w:pPr>
      <w:ind w:left="240" w:hanging="240"/>
    </w:pPr>
  </w:style>
  <w:style w:type="paragraph" w:styleId="TableofFigures">
    <w:name w:val="table of figures"/>
    <w:basedOn w:val="Normal"/>
    <w:next w:val="Normal"/>
    <w:uiPriority w:val="98"/>
    <w:semiHidden/>
    <w:rsid w:val="00482F0A"/>
  </w:style>
  <w:style w:type="table" w:styleId="TableProfessional">
    <w:name w:val="Table Professional"/>
    <w:basedOn w:val="TableNormal"/>
    <w:uiPriority w:val="99"/>
    <w:semiHidden/>
    <w:unhideWhenUsed/>
    <w:rsid w:val="00482F0A"/>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82F0A"/>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82F0A"/>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82F0A"/>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82F0A"/>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82F0A"/>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82F0A"/>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82F0A"/>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82F0A"/>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82F0A"/>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482F0A"/>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482F0A"/>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482F0A"/>
    <w:pPr>
      <w:spacing w:after="100"/>
      <w:ind w:left="1680"/>
    </w:pPr>
  </w:style>
  <w:style w:type="paragraph" w:styleId="TOC9">
    <w:name w:val="toc 9"/>
    <w:basedOn w:val="Normal"/>
    <w:next w:val="Normal"/>
    <w:autoRedefine/>
    <w:uiPriority w:val="98"/>
    <w:semiHidden/>
    <w:rsid w:val="00482F0A"/>
    <w:pPr>
      <w:spacing w:after="100"/>
      <w:ind w:left="1920"/>
    </w:pPr>
  </w:style>
  <w:style w:type="paragraph" w:customStyle="1" w:styleId="ECHRFooter">
    <w:name w:val="ECHR_Footer"/>
    <w:aliases w:val="Footer_ECHR"/>
    <w:basedOn w:val="Footer0"/>
    <w:uiPriority w:val="57"/>
    <w:semiHidden/>
    <w:rsid w:val="00F9130D"/>
    <w:rPr>
      <w:sz w:val="8"/>
    </w:rPr>
  </w:style>
  <w:style w:type="paragraph" w:customStyle="1" w:styleId="ECHRFooterLine">
    <w:name w:val="ECHR_Footer_Line"/>
    <w:aliases w:val="_Footer_Line"/>
    <w:basedOn w:val="Normal"/>
    <w:next w:val="Normal"/>
    <w:uiPriority w:val="29"/>
    <w:semiHidden/>
    <w:rsid w:val="00482F0A"/>
    <w:pPr>
      <w:pBdr>
        <w:top w:val="single" w:sz="6" w:space="1" w:color="5F5F5F"/>
      </w:pBdr>
      <w:tabs>
        <w:tab w:val="center" w:pos="3686"/>
        <w:tab w:val="right" w:pos="7371"/>
      </w:tabs>
      <w:ind w:left="-1474" w:right="-1474"/>
    </w:pPr>
    <w:rPr>
      <w:color w:val="5F5F5F"/>
    </w:rPr>
  </w:style>
  <w:style w:type="paragraph" w:customStyle="1" w:styleId="ECHRBullet2">
    <w:name w:val="ECHR_Bullet_2"/>
    <w:aliases w:val="_Bul_2"/>
    <w:basedOn w:val="ECHRBullet1"/>
    <w:uiPriority w:val="23"/>
    <w:semiHidden/>
    <w:rsid w:val="00482F0A"/>
    <w:pPr>
      <w:numPr>
        <w:ilvl w:val="1"/>
      </w:numPr>
    </w:pPr>
  </w:style>
  <w:style w:type="paragraph" w:customStyle="1" w:styleId="ECHRBullet3">
    <w:name w:val="ECHR_Bullet_3"/>
    <w:aliases w:val="_Bul_3"/>
    <w:basedOn w:val="ECHRBullet2"/>
    <w:uiPriority w:val="23"/>
    <w:semiHidden/>
    <w:rsid w:val="00482F0A"/>
    <w:pPr>
      <w:numPr>
        <w:ilvl w:val="2"/>
      </w:numPr>
    </w:pPr>
  </w:style>
  <w:style w:type="paragraph" w:customStyle="1" w:styleId="ECHRBullet4">
    <w:name w:val="ECHR_Bullet_4"/>
    <w:aliases w:val="_Bul_4"/>
    <w:basedOn w:val="ECHRBullet3"/>
    <w:uiPriority w:val="23"/>
    <w:semiHidden/>
    <w:rsid w:val="00482F0A"/>
    <w:pPr>
      <w:numPr>
        <w:ilvl w:val="3"/>
      </w:numPr>
    </w:pPr>
  </w:style>
  <w:style w:type="paragraph" w:customStyle="1" w:styleId="ECHRConfidential">
    <w:name w:val="ECHR_Confidential"/>
    <w:aliases w:val="_Confidential"/>
    <w:basedOn w:val="Normal"/>
    <w:next w:val="Normal"/>
    <w:uiPriority w:val="42"/>
    <w:semiHidden/>
    <w:qFormat/>
    <w:rsid w:val="00482F0A"/>
    <w:pPr>
      <w:jc w:val="right"/>
    </w:pPr>
    <w:rPr>
      <w:color w:val="C00000"/>
      <w:sz w:val="20"/>
    </w:rPr>
  </w:style>
  <w:style w:type="paragraph" w:customStyle="1" w:styleId="ECHRDecisionBody">
    <w:name w:val="ECHR_Decision_Body"/>
    <w:aliases w:val="_Decision_Body"/>
    <w:basedOn w:val="NormalJustified"/>
    <w:uiPriority w:val="54"/>
    <w:semiHidden/>
    <w:rsid w:val="00482F0A"/>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82F0A"/>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82F0A"/>
    <w:rPr>
      <w:rFonts w:ascii="Arial" w:hAnsi="Arial"/>
      <w:i/>
      <w:color w:val="002856"/>
      <w:sz w:val="32"/>
      <w:szCs w:val="24"/>
      <w:lang w:val="ro-RO"/>
    </w:rPr>
  </w:style>
  <w:style w:type="paragraph" w:customStyle="1" w:styleId="DummyStyle">
    <w:name w:val="Dummy_Style"/>
    <w:aliases w:val="_Dummy"/>
    <w:basedOn w:val="Normal"/>
    <w:semiHidden/>
    <w:qFormat/>
    <w:rsid w:val="00482F0A"/>
    <w:rPr>
      <w:color w:val="00B050"/>
      <w:sz w:val="22"/>
    </w:rPr>
  </w:style>
  <w:style w:type="paragraph" w:customStyle="1" w:styleId="ECHRFooterLineLandscape">
    <w:name w:val="ECHR_Footer_Line_Landscape"/>
    <w:aliases w:val="_Footer_Line_Landscape"/>
    <w:basedOn w:val="Normal"/>
    <w:uiPriority w:val="29"/>
    <w:semiHidden/>
    <w:rsid w:val="00482F0A"/>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482F0A"/>
    <w:pPr>
      <w:ind w:left="567" w:hanging="567"/>
    </w:pPr>
  </w:style>
  <w:style w:type="paragraph" w:customStyle="1" w:styleId="ECHRHeading9">
    <w:name w:val="ECHR_Heading_9"/>
    <w:aliases w:val="_Head_9"/>
    <w:basedOn w:val="Heading9"/>
    <w:uiPriority w:val="17"/>
    <w:semiHidden/>
    <w:rsid w:val="00482F0A"/>
    <w:pPr>
      <w:keepNext/>
      <w:keepLines/>
      <w:numPr>
        <w:ilvl w:val="8"/>
        <w:numId w:val="15"/>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482F0A"/>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482F0A"/>
    <w:pPr>
      <w:spacing w:before="120" w:after="120"/>
      <w:ind w:left="567"/>
    </w:pPr>
  </w:style>
  <w:style w:type="paragraph" w:customStyle="1" w:styleId="ECHRLine">
    <w:name w:val="ECHR_Line"/>
    <w:aliases w:val="_Line"/>
    <w:basedOn w:val="NormalJustified"/>
    <w:next w:val="Normal"/>
    <w:uiPriority w:val="46"/>
    <w:semiHidden/>
    <w:rsid w:val="00482F0A"/>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482F0A"/>
    <w:pPr>
      <w:numPr>
        <w:numId w:val="0"/>
      </w:numPr>
      <w:ind w:left="284"/>
    </w:pPr>
  </w:style>
  <w:style w:type="paragraph" w:customStyle="1" w:styleId="ECHRNumberedList1">
    <w:name w:val="ECHR_Numbered_List_1"/>
    <w:aliases w:val="_Num_1"/>
    <w:basedOn w:val="NormalJustified"/>
    <w:uiPriority w:val="23"/>
    <w:semiHidden/>
    <w:qFormat/>
    <w:rsid w:val="00482F0A"/>
    <w:pPr>
      <w:numPr>
        <w:numId w:val="18"/>
      </w:numPr>
      <w:spacing w:before="60" w:after="60"/>
    </w:pPr>
  </w:style>
  <w:style w:type="paragraph" w:customStyle="1" w:styleId="ECHRNumberedList2">
    <w:name w:val="ECHR_Numbered_List_2"/>
    <w:aliases w:val="_Num_2"/>
    <w:basedOn w:val="ECHRNumberedList1"/>
    <w:uiPriority w:val="23"/>
    <w:semiHidden/>
    <w:rsid w:val="00482F0A"/>
    <w:pPr>
      <w:numPr>
        <w:ilvl w:val="1"/>
      </w:numPr>
    </w:pPr>
  </w:style>
  <w:style w:type="paragraph" w:customStyle="1" w:styleId="ECHRNumberedList3">
    <w:name w:val="ECHR_Numbered_List_3"/>
    <w:aliases w:val="_Num_3"/>
    <w:basedOn w:val="ECHRNumberedList2"/>
    <w:uiPriority w:val="23"/>
    <w:semiHidden/>
    <w:rsid w:val="00482F0A"/>
    <w:pPr>
      <w:numPr>
        <w:ilvl w:val="2"/>
      </w:numPr>
    </w:pPr>
  </w:style>
  <w:style w:type="paragraph" w:customStyle="1" w:styleId="ECHRPlaceholder">
    <w:name w:val="ECHR_Placeholder"/>
    <w:aliases w:val="_Placeholder"/>
    <w:basedOn w:val="JuSigned"/>
    <w:uiPriority w:val="31"/>
    <w:rsid w:val="00482F0A"/>
    <w:rPr>
      <w:color w:val="FFFFFF"/>
    </w:rPr>
  </w:style>
  <w:style w:type="character" w:customStyle="1" w:styleId="ECHRRed">
    <w:name w:val="ECHR_Red"/>
    <w:aliases w:val="_Red"/>
    <w:basedOn w:val="DefaultParagraphFont"/>
    <w:uiPriority w:val="15"/>
    <w:semiHidden/>
    <w:qFormat/>
    <w:rsid w:val="00482F0A"/>
    <w:rPr>
      <w:color w:val="C00000" w:themeColor="accent2"/>
    </w:rPr>
  </w:style>
  <w:style w:type="paragraph" w:customStyle="1" w:styleId="ECHRHeaderDate">
    <w:name w:val="ECHR_Header_Date"/>
    <w:aliases w:val="_Ref_Date"/>
    <w:basedOn w:val="Normal"/>
    <w:uiPriority w:val="44"/>
    <w:semiHidden/>
    <w:qFormat/>
    <w:rsid w:val="00482F0A"/>
    <w:pPr>
      <w:jc w:val="right"/>
    </w:pPr>
    <w:rPr>
      <w:sz w:val="20"/>
    </w:rPr>
  </w:style>
  <w:style w:type="paragraph" w:customStyle="1" w:styleId="ECHRHeaderRefIt">
    <w:name w:val="ECHR_Header_Ref_It"/>
    <w:aliases w:val="_Ref_Ital"/>
    <w:basedOn w:val="Normal"/>
    <w:next w:val="ECHRHeaderDate"/>
    <w:uiPriority w:val="43"/>
    <w:semiHidden/>
    <w:qFormat/>
    <w:rsid w:val="00482F0A"/>
    <w:pPr>
      <w:jc w:val="right"/>
    </w:pPr>
    <w:rPr>
      <w:i/>
      <w:sz w:val="20"/>
    </w:rPr>
  </w:style>
  <w:style w:type="paragraph" w:customStyle="1" w:styleId="ECHRSpacer">
    <w:name w:val="ECHR_Spacer"/>
    <w:aliases w:val="_Spacer"/>
    <w:basedOn w:val="Normal"/>
    <w:uiPriority w:val="45"/>
    <w:semiHidden/>
    <w:rsid w:val="00482F0A"/>
    <w:rPr>
      <w:sz w:val="4"/>
    </w:rPr>
  </w:style>
  <w:style w:type="paragraph" w:customStyle="1" w:styleId="ECHRTitleCentre1">
    <w:name w:val="ECHR_Title_Centre_1"/>
    <w:aliases w:val="_Title_C_1"/>
    <w:basedOn w:val="Normal"/>
    <w:next w:val="Normal"/>
    <w:uiPriority w:val="26"/>
    <w:semiHidden/>
    <w:qFormat/>
    <w:rsid w:val="00482F0A"/>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482F0A"/>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482F0A"/>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482F0A"/>
    <w:pPr>
      <w:outlineLvl w:val="0"/>
    </w:pPr>
  </w:style>
  <w:style w:type="paragraph" w:customStyle="1" w:styleId="ECHRTitle1">
    <w:name w:val="ECHR_Title_1"/>
    <w:aliases w:val="_Title_L_1"/>
    <w:basedOn w:val="Normal"/>
    <w:next w:val="Normal"/>
    <w:uiPriority w:val="28"/>
    <w:semiHidden/>
    <w:qFormat/>
    <w:rsid w:val="00482F0A"/>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482F0A"/>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482F0A"/>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482F0A"/>
    <w:pPr>
      <w:outlineLvl w:val="0"/>
    </w:pPr>
  </w:style>
  <w:style w:type="table" w:customStyle="1" w:styleId="ECHRTable2">
    <w:name w:val="ECHR_Table_2"/>
    <w:basedOn w:val="TableNormal"/>
    <w:uiPriority w:val="99"/>
    <w:rsid w:val="00482F0A"/>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82F0A"/>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482F0A"/>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JuParaChar">
    <w:name w:val="Ju_Para Char"/>
    <w:aliases w:val="_Para Char"/>
    <w:link w:val="JuPara"/>
    <w:uiPriority w:val="4"/>
    <w:rsid w:val="00AB2324"/>
    <w:rPr>
      <w:sz w:val="24"/>
      <w:szCs w:val="24"/>
      <w:lang w:val="ro-RO"/>
    </w:rPr>
  </w:style>
  <w:style w:type="table" w:styleId="GridTable1Light">
    <w:name w:val="Grid Table 1 Light"/>
    <w:basedOn w:val="TableNormal"/>
    <w:uiPriority w:val="46"/>
    <w:semiHidden/>
    <w:rsid w:val="00482F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482F0A"/>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482F0A"/>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482F0A"/>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482F0A"/>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482F0A"/>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482F0A"/>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482F0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482F0A"/>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482F0A"/>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482F0A"/>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482F0A"/>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482F0A"/>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482F0A"/>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482F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482F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482F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482F0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482F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482F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482F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482F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482F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482F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482F0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482F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482F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482F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482F0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482F0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482F0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482F0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482F0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482F0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482F0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482F0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482F0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482F0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482F0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482F0A"/>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482F0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482F0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482F0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482F0A"/>
    <w:rPr>
      <w:color w:val="2B579A"/>
      <w:shd w:val="clear" w:color="auto" w:fill="E1DFDD"/>
    </w:rPr>
  </w:style>
  <w:style w:type="table" w:styleId="ListTable1Light">
    <w:name w:val="List Table 1 Light"/>
    <w:basedOn w:val="TableNormal"/>
    <w:uiPriority w:val="46"/>
    <w:semiHidden/>
    <w:rsid w:val="00482F0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482F0A"/>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482F0A"/>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482F0A"/>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482F0A"/>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482F0A"/>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482F0A"/>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482F0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482F0A"/>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482F0A"/>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482F0A"/>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482F0A"/>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482F0A"/>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482F0A"/>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482F0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482F0A"/>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482F0A"/>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482F0A"/>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482F0A"/>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482F0A"/>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482F0A"/>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482F0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482F0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482F0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482F0A"/>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482F0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482F0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482F0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482F0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482F0A"/>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482F0A"/>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482F0A"/>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482F0A"/>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482F0A"/>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482F0A"/>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482F0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482F0A"/>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482F0A"/>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482F0A"/>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482F0A"/>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482F0A"/>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482F0A"/>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482F0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482F0A"/>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482F0A"/>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482F0A"/>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482F0A"/>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482F0A"/>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482F0A"/>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482F0A"/>
    <w:rPr>
      <w:color w:val="2B579A"/>
      <w:shd w:val="clear" w:color="auto" w:fill="E1DFDD"/>
    </w:rPr>
  </w:style>
  <w:style w:type="table" w:styleId="PlainTable1">
    <w:name w:val="Plain Table 1"/>
    <w:basedOn w:val="TableNormal"/>
    <w:uiPriority w:val="41"/>
    <w:semiHidden/>
    <w:rsid w:val="00482F0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482F0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482F0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482F0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482F0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482F0A"/>
    <w:rPr>
      <w:u w:val="dotted"/>
    </w:rPr>
  </w:style>
  <w:style w:type="character" w:customStyle="1" w:styleId="SmartLink">
    <w:name w:val="Smart Link"/>
    <w:basedOn w:val="DefaultParagraphFont"/>
    <w:uiPriority w:val="99"/>
    <w:semiHidden/>
    <w:unhideWhenUsed/>
    <w:rsid w:val="00482F0A"/>
    <w:rPr>
      <w:color w:val="0000FF"/>
      <w:u w:val="single"/>
      <w:shd w:val="clear" w:color="auto" w:fill="F3F2F1"/>
    </w:rPr>
  </w:style>
  <w:style w:type="table" w:styleId="TableGridLight">
    <w:name w:val="Grid Table Light"/>
    <w:basedOn w:val="TableNormal"/>
    <w:uiPriority w:val="40"/>
    <w:semiHidden/>
    <w:rsid w:val="00482F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482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96995-62D9-4C4E-9651-F6DDC318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2000</Words>
  <Characters>11143</Characters>
  <Application>Microsoft Office Word</Application>
  <DocSecurity>0</DocSecurity>
  <Lines>202</Lines>
  <Paragraphs>49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Elgar impotriva Romaniei</dc:title>
  <dc:subject>DCF</dc:subject>
  <dc:creator/>
  <cp:lastModifiedBy/>
  <cp:revision>1</cp:revision>
  <dcterms:created xsi:type="dcterms:W3CDTF">2025-09-09T07:14:00Z</dcterms:created>
  <dcterms:modified xsi:type="dcterms:W3CDTF">2025-09-11T07:41:00Z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1455793</vt:lpwstr>
  </property>
  <property fmtid="{D5CDD505-2E9C-101B-9397-08002B2CF9AE}" pid="3" name="cstLanguage">
    <vt:i4>1036</vt:i4>
  </property>
  <property fmtid="{D5CDD505-2E9C-101B-9397-08002B2CF9AE}" pid="4" name="RegisteredNo">
    <vt:lpwstr>27768/19</vt:lpwstr>
  </property>
</Properties>
</file>