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72F7" w:rsidRDefault="001972F7" w:rsidP="001972F7">
      <w:pPr>
        <w:keepNext/>
        <w:spacing w:line="240" w:lineRule="auto"/>
        <w:jc w:val="right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o-RO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o-RO"/>
        </w:rPr>
        <w:t>2 august 2023</w:t>
      </w:r>
    </w:p>
    <w:p w:rsidR="001972F7" w:rsidRDefault="001972F7" w:rsidP="001972F7">
      <w:pPr>
        <w:keepNext/>
        <w:spacing w:line="240" w:lineRule="auto"/>
        <w:jc w:val="right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o-RO"/>
        </w:rPr>
      </w:pPr>
    </w:p>
    <w:p w:rsidR="001972F7" w:rsidRDefault="001972F7" w:rsidP="00DD433A">
      <w:pPr>
        <w:keepNext/>
        <w:spacing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o-RO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o-RO"/>
        </w:rPr>
        <w:t>COMUNICAT DE PRESĂ</w:t>
      </w:r>
    </w:p>
    <w:p w:rsidR="007E0597" w:rsidRDefault="007E0597" w:rsidP="00DD433A">
      <w:pPr>
        <w:keepNext/>
        <w:spacing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o-RO"/>
        </w:rPr>
      </w:pPr>
    </w:p>
    <w:p w:rsidR="00474744" w:rsidRPr="00CE13B8" w:rsidRDefault="001972F7" w:rsidP="00DD433A">
      <w:pPr>
        <w:tabs>
          <w:tab w:val="left" w:pos="993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r w:rsidRPr="00CE13B8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Azi, 2 august 2023, Secţia penală şi pentru cauze cu minori şi de familie a Curţii de Apel Târgu-Mureş s-a pronunțat asupra contestațiilor declarate în dosarul nr. </w:t>
      </w:r>
      <w:r w:rsidR="00520998" w:rsidRPr="00CE13B8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3061/102/2023, cunoscut opiniei publice sub denumirea de „Dosarul privind azilul din </w:t>
      </w:r>
      <w:proofErr w:type="spellStart"/>
      <w:r w:rsidR="00520998" w:rsidRPr="00CE13B8">
        <w:rPr>
          <w:rFonts w:ascii="Times New Roman" w:eastAsia="Times New Roman" w:hAnsi="Times New Roman" w:cs="Times New Roman"/>
          <w:sz w:val="28"/>
          <w:szCs w:val="28"/>
          <w:lang w:eastAsia="ro-RO"/>
        </w:rPr>
        <w:t>Bărdești</w:t>
      </w:r>
      <w:proofErr w:type="spellEnd"/>
      <w:r w:rsidR="00520998" w:rsidRPr="00CE13B8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”. </w:t>
      </w:r>
    </w:p>
    <w:p w:rsidR="00474744" w:rsidRPr="00CE13B8" w:rsidRDefault="00474744" w:rsidP="00DD433A">
      <w:pPr>
        <w:tabs>
          <w:tab w:val="left" w:pos="993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r w:rsidRPr="00CE13B8">
        <w:rPr>
          <w:rFonts w:ascii="Times New Roman" w:eastAsia="Times New Roman" w:hAnsi="Times New Roman" w:cs="Times New Roman"/>
          <w:sz w:val="28"/>
          <w:szCs w:val="28"/>
          <w:lang w:eastAsia="ro-RO"/>
        </w:rPr>
        <w:t>Dosarul a fost înregistrat pe rolul Curții de Apel Târgu-Mureș la data de 1 august 2023 și repartizat aleatoriu, conform normelor legale și regulamentare</w:t>
      </w:r>
      <w:r w:rsidR="00DD433A" w:rsidRPr="00CE13B8">
        <w:rPr>
          <w:rFonts w:ascii="Times New Roman" w:eastAsia="Times New Roman" w:hAnsi="Times New Roman" w:cs="Times New Roman"/>
          <w:sz w:val="28"/>
          <w:szCs w:val="28"/>
          <w:lang w:eastAsia="ro-RO"/>
        </w:rPr>
        <w:t>.</w:t>
      </w:r>
      <w:r w:rsidRPr="00CE13B8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</w:t>
      </w:r>
    </w:p>
    <w:p w:rsidR="00520998" w:rsidRPr="00CE13B8" w:rsidRDefault="00520998" w:rsidP="00DD433A">
      <w:pPr>
        <w:tabs>
          <w:tab w:val="left" w:pos="993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r w:rsidRPr="00CE13B8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Instanța de judecată învestită </w:t>
      </w:r>
      <w:r w:rsidR="00474744" w:rsidRPr="00CE13B8">
        <w:rPr>
          <w:rFonts w:ascii="Times New Roman" w:eastAsia="Times New Roman" w:hAnsi="Times New Roman" w:cs="Times New Roman"/>
          <w:sz w:val="28"/>
          <w:szCs w:val="28"/>
          <w:lang w:eastAsia="ro-RO"/>
        </w:rPr>
        <w:t>cu</w:t>
      </w:r>
      <w:r w:rsidRPr="00CE13B8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verificarea măsurilor preventive pentru toate cele trei persoane arestate preventiv în faza de urmărire penală</w:t>
      </w:r>
      <w:r w:rsidR="00CE13B8" w:rsidRPr="00CE13B8">
        <w:rPr>
          <w:rFonts w:ascii="Times New Roman" w:eastAsia="Times New Roman" w:hAnsi="Times New Roman" w:cs="Times New Roman"/>
          <w:sz w:val="28"/>
          <w:szCs w:val="28"/>
          <w:lang w:eastAsia="ro-RO"/>
        </w:rPr>
        <w:t>,</w:t>
      </w:r>
      <w:r w:rsidR="00474744" w:rsidRPr="00CE13B8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a strigat cauza la ora 9</w:t>
      </w:r>
      <w:r w:rsidR="00474744" w:rsidRPr="00CE13B8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o-RO"/>
        </w:rPr>
        <w:t xml:space="preserve">00 </w:t>
      </w:r>
      <w:r w:rsidR="00474744" w:rsidRPr="00CE13B8">
        <w:rPr>
          <w:rFonts w:ascii="Times New Roman" w:eastAsia="Times New Roman" w:hAnsi="Times New Roman" w:cs="Times New Roman"/>
          <w:sz w:val="28"/>
          <w:szCs w:val="28"/>
          <w:lang w:eastAsia="ro-RO"/>
        </w:rPr>
        <w:t>iar dezbaterile au durat până la ora 10</w:t>
      </w:r>
      <w:r w:rsidR="009A79FD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o-RO"/>
        </w:rPr>
        <w:t>1</w:t>
      </w:r>
      <w:r w:rsidR="00474744" w:rsidRPr="00CE13B8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o-RO"/>
        </w:rPr>
        <w:t>0</w:t>
      </w:r>
      <w:r w:rsidRPr="00CE13B8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. </w:t>
      </w:r>
    </w:p>
    <w:p w:rsidR="00DD433A" w:rsidRPr="009A79FD" w:rsidRDefault="009A79FD" w:rsidP="009A79FD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o-RO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o-RO"/>
        </w:rPr>
        <w:t>Potrivit extrasului</w:t>
      </w:r>
      <w:r w:rsidR="001972F7" w:rsidRPr="00CE13B8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</w:t>
      </w:r>
      <w:r w:rsidR="00DD433A" w:rsidRPr="00CE13B8">
        <w:rPr>
          <w:rFonts w:ascii="Times New Roman" w:eastAsia="Times New Roman" w:hAnsi="Times New Roman" w:cs="Times New Roman"/>
          <w:sz w:val="28"/>
          <w:szCs w:val="28"/>
          <w:lang w:eastAsia="ro-RO"/>
        </w:rPr>
        <w:t>Încheierii</w:t>
      </w:r>
      <w:r w:rsidR="001972F7" w:rsidRPr="00CE13B8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penale nr.</w:t>
      </w:r>
      <w:r w:rsidR="00DD433A" w:rsidRPr="00CE13B8">
        <w:rPr>
          <w:rFonts w:ascii="Times New Roman" w:eastAsia="Times New Roman" w:hAnsi="Times New Roman" w:cs="Times New Roman"/>
          <w:sz w:val="28"/>
          <w:szCs w:val="28"/>
          <w:lang w:eastAsia="ro-RO"/>
        </w:rPr>
        <w:t>27</w:t>
      </w:r>
      <w:r w:rsidR="001972F7" w:rsidRPr="00CE13B8">
        <w:rPr>
          <w:rFonts w:ascii="Times New Roman" w:eastAsia="Times New Roman" w:hAnsi="Times New Roman" w:cs="Times New Roman"/>
          <w:sz w:val="28"/>
          <w:szCs w:val="28"/>
          <w:lang w:eastAsia="ro-RO"/>
        </w:rPr>
        <w:t>/</w:t>
      </w:r>
      <w:r w:rsidR="00DD433A" w:rsidRPr="00CE13B8">
        <w:rPr>
          <w:rFonts w:ascii="Times New Roman" w:eastAsia="Times New Roman" w:hAnsi="Times New Roman" w:cs="Times New Roman"/>
          <w:sz w:val="28"/>
          <w:szCs w:val="28"/>
          <w:lang w:eastAsia="ro-RO"/>
        </w:rPr>
        <w:t>CU/DL/2 august 2023, î</w:t>
      </w:r>
      <w:r w:rsidR="00DD433A" w:rsidRPr="00CE13B8">
        <w:rPr>
          <w:rFonts w:ascii="Times New Roman" w:eastAsia="Times New Roman" w:hAnsi="Times New Roman" w:cs="Times New Roman"/>
          <w:bCs/>
          <w:sz w:val="28"/>
          <w:szCs w:val="28"/>
          <w:lang w:eastAsia="ro-RO"/>
        </w:rPr>
        <w:t>n baza art. 425</w:t>
      </w:r>
      <w:r w:rsidR="00DD433A" w:rsidRPr="00CE13B8">
        <w:rPr>
          <w:rFonts w:ascii="Times New Roman" w:eastAsia="Times New Roman" w:hAnsi="Times New Roman" w:cs="Times New Roman"/>
          <w:bCs/>
          <w:sz w:val="28"/>
          <w:szCs w:val="28"/>
          <w:vertAlign w:val="superscript"/>
          <w:lang w:eastAsia="ro-RO"/>
        </w:rPr>
        <w:t>1</w:t>
      </w:r>
      <w:r w:rsidR="00DD433A" w:rsidRPr="00CE13B8">
        <w:rPr>
          <w:rFonts w:ascii="Times New Roman" w:eastAsia="Times New Roman" w:hAnsi="Times New Roman" w:cs="Times New Roman"/>
          <w:bCs/>
          <w:sz w:val="28"/>
          <w:szCs w:val="28"/>
          <w:lang w:eastAsia="ro-RO"/>
        </w:rPr>
        <w:t xml:space="preserve"> Cod procedură penală şi </w:t>
      </w:r>
      <w:r w:rsidR="00DD433A" w:rsidRPr="00CE13B8">
        <w:rPr>
          <w:rFonts w:ascii="Times New Roman" w:eastAsia="Times New Roman" w:hAnsi="Times New Roman" w:cs="Times New Roman"/>
          <w:sz w:val="28"/>
          <w:szCs w:val="28"/>
          <w:lang w:eastAsia="ro-RO"/>
        </w:rPr>
        <w:t>art. 204 Cod procedură penală,</w:t>
      </w:r>
      <w:r w:rsidR="00DD433A" w:rsidRPr="00CE13B8">
        <w:rPr>
          <w:rFonts w:ascii="Times New Roman" w:eastAsia="Times New Roman" w:hAnsi="Times New Roman" w:cs="Times New Roman"/>
          <w:b/>
          <w:i/>
          <w:sz w:val="28"/>
          <w:szCs w:val="28"/>
          <w:lang w:eastAsia="ro-RO"/>
        </w:rPr>
        <w:t xml:space="preserve"> </w:t>
      </w:r>
      <w:r w:rsidR="00D11EB7" w:rsidRPr="00CE13B8">
        <w:rPr>
          <w:rFonts w:ascii="Times New Roman" w:eastAsia="Times New Roman" w:hAnsi="Times New Roman" w:cs="Times New Roman"/>
          <w:b/>
          <w:i/>
          <w:sz w:val="28"/>
          <w:szCs w:val="28"/>
          <w:lang w:eastAsia="ro-RO"/>
        </w:rPr>
        <w:t xml:space="preserve">instanța </w:t>
      </w:r>
      <w:r w:rsidR="00CE13B8">
        <w:rPr>
          <w:rFonts w:ascii="Times New Roman" w:eastAsia="Times New Roman" w:hAnsi="Times New Roman" w:cs="Times New Roman"/>
          <w:b/>
          <w:i/>
          <w:sz w:val="28"/>
          <w:szCs w:val="28"/>
          <w:lang w:eastAsia="ro-RO"/>
        </w:rPr>
        <w:t>a respins</w:t>
      </w:r>
      <w:r w:rsidR="00DD433A" w:rsidRPr="00CE13B8">
        <w:rPr>
          <w:rFonts w:ascii="Times New Roman" w:eastAsia="Times New Roman" w:hAnsi="Times New Roman" w:cs="Times New Roman"/>
          <w:b/>
          <w:i/>
          <w:sz w:val="28"/>
          <w:szCs w:val="28"/>
          <w:lang w:eastAsia="ro-RO"/>
        </w:rPr>
        <w:t xml:space="preserve"> ca nefondate contestaţ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o-RO"/>
        </w:rPr>
        <w:t>iile formulate de inculpatul P.C.</w:t>
      </w:r>
      <w:r w:rsidR="00DD433A" w:rsidRPr="00CE13B8">
        <w:rPr>
          <w:rFonts w:ascii="Times New Roman" w:eastAsia="Times New Roman" w:hAnsi="Times New Roman" w:cs="Times New Roman"/>
          <w:b/>
          <w:i/>
          <w:sz w:val="28"/>
          <w:szCs w:val="28"/>
          <w:lang w:eastAsia="ro-RO"/>
        </w:rPr>
        <w:t>I.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o-RO"/>
        </w:rPr>
        <w:t xml:space="preserve"> </w:t>
      </w:r>
      <w:bookmarkStart w:id="0" w:name="_GoBack"/>
      <w:bookmarkEnd w:id="0"/>
      <w:r w:rsidR="00DD433A" w:rsidRPr="00CE13B8">
        <w:rPr>
          <w:rFonts w:ascii="Times New Roman" w:eastAsia="Times New Roman" w:hAnsi="Times New Roman" w:cs="Times New Roman"/>
          <w:bCs/>
          <w:iCs/>
          <w:sz w:val="28"/>
          <w:szCs w:val="28"/>
          <w:lang w:eastAsia="ro-RO"/>
        </w:rPr>
        <w:t>(cu date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o-RO"/>
        </w:rPr>
        <w:t>le</w:t>
      </w:r>
      <w:r w:rsidR="00DD433A" w:rsidRPr="00CE13B8">
        <w:rPr>
          <w:rFonts w:ascii="Times New Roman" w:eastAsia="Times New Roman" w:hAnsi="Times New Roman" w:cs="Times New Roman"/>
          <w:bCs/>
          <w:iCs/>
          <w:sz w:val="28"/>
          <w:szCs w:val="28"/>
          <w:lang w:eastAsia="ro-RO"/>
        </w:rPr>
        <w:t xml:space="preserve"> personale), de </w:t>
      </w:r>
      <w:r w:rsidR="00DD433A" w:rsidRPr="00CE13B8">
        <w:rPr>
          <w:rFonts w:ascii="Times New Roman" w:eastAsia="Times New Roman" w:hAnsi="Times New Roman" w:cs="Times New Roman"/>
          <w:b/>
          <w:i/>
          <w:sz w:val="28"/>
          <w:szCs w:val="28"/>
          <w:lang w:eastAsia="ro-RO"/>
        </w:rPr>
        <w:t>inculpata</w:t>
      </w:r>
      <w:r w:rsidR="00DD433A" w:rsidRPr="00CE13B8">
        <w:rPr>
          <w:rFonts w:ascii="Times New Roman" w:eastAsia="Times New Roman" w:hAnsi="Times New Roman" w:cs="Times New Roman"/>
          <w:bCs/>
          <w:iCs/>
          <w:sz w:val="28"/>
          <w:szCs w:val="28"/>
          <w:lang w:eastAsia="ro-RO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o-RO"/>
        </w:rPr>
        <w:t>P.</w:t>
      </w:r>
      <w:r w:rsidR="00DD433A" w:rsidRPr="00CE13B8">
        <w:rPr>
          <w:rFonts w:ascii="Times New Roman" w:eastAsia="Times New Roman" w:hAnsi="Times New Roman" w:cs="Times New Roman"/>
          <w:b/>
          <w:i/>
          <w:sz w:val="28"/>
          <w:szCs w:val="28"/>
          <w:lang w:eastAsia="ro-RO"/>
        </w:rPr>
        <w:t>J.</w:t>
      </w:r>
      <w:r w:rsidR="00DD433A" w:rsidRPr="00CE13B8">
        <w:rPr>
          <w:rFonts w:ascii="Times New Roman" w:eastAsia="Times New Roman" w:hAnsi="Times New Roman" w:cs="Times New Roman"/>
          <w:bCs/>
          <w:iCs/>
          <w:sz w:val="28"/>
          <w:szCs w:val="28"/>
          <w:lang w:eastAsia="ro-RO"/>
        </w:rPr>
        <w:t xml:space="preserve"> (cu date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o-RO"/>
        </w:rPr>
        <w:t>le</w:t>
      </w:r>
      <w:r w:rsidR="00DD433A" w:rsidRPr="00CE13B8">
        <w:rPr>
          <w:rFonts w:ascii="Times New Roman" w:eastAsia="Times New Roman" w:hAnsi="Times New Roman" w:cs="Times New Roman"/>
          <w:bCs/>
          <w:iCs/>
          <w:sz w:val="28"/>
          <w:szCs w:val="28"/>
          <w:lang w:eastAsia="ro-RO"/>
        </w:rPr>
        <w:t xml:space="preserve"> personale) şi de </w:t>
      </w:r>
      <w:r w:rsidR="00DD433A" w:rsidRPr="00CE13B8">
        <w:rPr>
          <w:rFonts w:ascii="Times New Roman" w:eastAsia="Times New Roman" w:hAnsi="Times New Roman" w:cs="Times New Roman"/>
          <w:b/>
          <w:i/>
          <w:sz w:val="28"/>
          <w:szCs w:val="28"/>
          <w:lang w:eastAsia="ro-RO"/>
        </w:rPr>
        <w:t>inculpatul</w:t>
      </w:r>
      <w:r w:rsidR="00DD433A" w:rsidRPr="00CE13B8">
        <w:rPr>
          <w:rFonts w:ascii="Times New Roman" w:eastAsia="Times New Roman" w:hAnsi="Times New Roman" w:cs="Times New Roman"/>
          <w:bCs/>
          <w:iCs/>
          <w:sz w:val="28"/>
          <w:szCs w:val="28"/>
          <w:lang w:eastAsia="ro-RO"/>
        </w:rPr>
        <w:t xml:space="preserve">  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o-RO"/>
        </w:rPr>
        <w:t>P.</w:t>
      </w:r>
      <w:r w:rsidR="00DD433A" w:rsidRPr="00CE13B8">
        <w:rPr>
          <w:rFonts w:ascii="Times New Roman" w:eastAsia="Times New Roman" w:hAnsi="Times New Roman" w:cs="Times New Roman"/>
          <w:b/>
          <w:i/>
          <w:sz w:val="28"/>
          <w:szCs w:val="28"/>
          <w:lang w:eastAsia="ro-RO"/>
        </w:rPr>
        <w:t>F.-T.</w:t>
      </w:r>
      <w:r w:rsidR="00DD433A" w:rsidRPr="00CE13B8">
        <w:rPr>
          <w:rFonts w:ascii="Times New Roman" w:eastAsia="Times New Roman" w:hAnsi="Times New Roman" w:cs="Times New Roman"/>
          <w:bCs/>
          <w:iCs/>
          <w:sz w:val="28"/>
          <w:szCs w:val="28"/>
          <w:lang w:eastAsia="ro-RO"/>
        </w:rPr>
        <w:t xml:space="preserve"> (cu date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o-RO"/>
        </w:rPr>
        <w:t>le</w:t>
      </w:r>
      <w:r w:rsidR="00DD433A" w:rsidRPr="00CE13B8">
        <w:rPr>
          <w:rFonts w:ascii="Times New Roman" w:eastAsia="Times New Roman" w:hAnsi="Times New Roman" w:cs="Times New Roman"/>
          <w:bCs/>
          <w:iCs/>
          <w:sz w:val="28"/>
          <w:szCs w:val="28"/>
          <w:lang w:eastAsia="ro-RO"/>
        </w:rPr>
        <w:t xml:space="preserve"> personale)</w:t>
      </w:r>
      <w:r w:rsidR="00DD433A" w:rsidRPr="00CE13B8">
        <w:rPr>
          <w:rFonts w:ascii="Times New Roman" w:eastAsia="Times New Roman" w:hAnsi="Times New Roman" w:cs="Times New Roman"/>
          <w:b/>
          <w:i/>
          <w:sz w:val="28"/>
          <w:szCs w:val="28"/>
          <w:lang w:eastAsia="ro-RO"/>
        </w:rPr>
        <w:t xml:space="preserve"> împotriva încheierii penale nr. 31/DL din data de 30 iulie 2023 pronunţată de judecătorul de drepturi şi libertăţi de la Tribunalul Mureş în dosar nr. 3061/102/2023 şi </w:t>
      </w:r>
      <w:r w:rsidR="00CE13B8">
        <w:rPr>
          <w:rFonts w:ascii="Times New Roman" w:eastAsia="Times New Roman" w:hAnsi="Times New Roman" w:cs="Times New Roman"/>
          <w:b/>
          <w:i/>
          <w:sz w:val="28"/>
          <w:szCs w:val="28"/>
          <w:lang w:eastAsia="ro-RO"/>
        </w:rPr>
        <w:t>a menținut</w:t>
      </w:r>
      <w:r w:rsidR="00DD433A" w:rsidRPr="00CE13B8">
        <w:rPr>
          <w:rFonts w:ascii="Times New Roman" w:eastAsia="Times New Roman" w:hAnsi="Times New Roman" w:cs="Times New Roman"/>
          <w:b/>
          <w:i/>
          <w:sz w:val="28"/>
          <w:szCs w:val="28"/>
          <w:lang w:eastAsia="ro-RO"/>
        </w:rPr>
        <w:t xml:space="preserve"> încheierea penală atacată.</w:t>
      </w:r>
    </w:p>
    <w:p w:rsidR="00DD433A" w:rsidRPr="00CE13B8" w:rsidRDefault="007E0597" w:rsidP="007E0597">
      <w:pPr>
        <w:tabs>
          <w:tab w:val="left" w:pos="0"/>
        </w:tabs>
        <w:spacing w:after="0" w:line="240" w:lineRule="auto"/>
        <w:ind w:right="72"/>
        <w:jc w:val="both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o-RO"/>
        </w:rPr>
        <w:tab/>
      </w:r>
      <w:r w:rsidR="00DD433A" w:rsidRPr="00CE13B8">
        <w:rPr>
          <w:rFonts w:ascii="Times New Roman" w:eastAsia="Times New Roman" w:hAnsi="Times New Roman" w:cs="Times New Roman"/>
          <w:sz w:val="28"/>
          <w:szCs w:val="28"/>
          <w:lang w:eastAsia="ro-RO"/>
        </w:rPr>
        <w:t>Încheierea mai sus menționată este definitivă și a fost dată în cameră de consiliu.</w:t>
      </w:r>
    </w:p>
    <w:p w:rsidR="00DD433A" w:rsidRPr="00CE13B8" w:rsidRDefault="00DD433A" w:rsidP="00DD433A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</w:p>
    <w:p w:rsidR="001972F7" w:rsidRDefault="001972F7" w:rsidP="00DD433A">
      <w:pPr>
        <w:keepNext/>
        <w:spacing w:after="0" w:line="240" w:lineRule="auto"/>
        <w:ind w:left="2124" w:firstLine="708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o-RO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o-RO"/>
        </w:rPr>
        <w:t>BIROUL DE PRESĂ AL</w:t>
      </w:r>
    </w:p>
    <w:p w:rsidR="001972F7" w:rsidRDefault="001972F7" w:rsidP="001972F7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o-RO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o-RO"/>
        </w:rPr>
        <w:t>CURŢII DE APEL TÂRGU-MUREŞ</w:t>
      </w:r>
    </w:p>
    <w:p w:rsidR="001972F7" w:rsidRDefault="001972F7" w:rsidP="001972F7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o-RO"/>
        </w:rPr>
      </w:pPr>
      <w:r>
        <w:rPr>
          <w:noProof/>
          <w:lang w:eastAsia="ro-RO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2423160</wp:posOffset>
            </wp:positionH>
            <wp:positionV relativeFrom="paragraph">
              <wp:posOffset>635</wp:posOffset>
            </wp:positionV>
            <wp:extent cx="1091565" cy="1098550"/>
            <wp:effectExtent l="0" t="0" r="0" b="6350"/>
            <wp:wrapNone/>
            <wp:docPr id="2" name="I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1565" cy="1098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C6646" w:rsidRDefault="008C6646"/>
    <w:sectPr w:rsidR="008C6646" w:rsidSect="001972F7">
      <w:headerReference w:type="default" r:id="rId9"/>
      <w:pgSz w:w="11906" w:h="16838"/>
      <w:pgMar w:top="11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54CE" w:rsidRDefault="00E854CE" w:rsidP="001972F7">
      <w:pPr>
        <w:spacing w:after="0" w:line="240" w:lineRule="auto"/>
      </w:pPr>
      <w:r>
        <w:separator/>
      </w:r>
    </w:p>
  </w:endnote>
  <w:endnote w:type="continuationSeparator" w:id="0">
    <w:p w:rsidR="00E854CE" w:rsidRDefault="00E854CE" w:rsidP="001972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54CE" w:rsidRDefault="00E854CE" w:rsidP="001972F7">
      <w:pPr>
        <w:spacing w:after="0" w:line="240" w:lineRule="auto"/>
      </w:pPr>
      <w:r>
        <w:separator/>
      </w:r>
    </w:p>
  </w:footnote>
  <w:footnote w:type="continuationSeparator" w:id="0">
    <w:p w:rsidR="00E854CE" w:rsidRDefault="00E854CE" w:rsidP="001972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GrilTabel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V w:val="none" w:sz="0" w:space="0" w:color="auto"/>
      </w:tblBorders>
      <w:tblLook w:val="01E0" w:firstRow="1" w:lastRow="1" w:firstColumn="1" w:lastColumn="1" w:noHBand="0" w:noVBand="0"/>
    </w:tblPr>
    <w:tblGrid>
      <w:gridCol w:w="1206"/>
      <w:gridCol w:w="8082"/>
    </w:tblGrid>
    <w:tr w:rsidR="001972F7" w:rsidRPr="001972F7" w:rsidTr="00477D02">
      <w:tc>
        <w:tcPr>
          <w:tcW w:w="1206" w:type="dxa"/>
        </w:tcPr>
        <w:p w:rsidR="001972F7" w:rsidRPr="001972F7" w:rsidRDefault="001972F7" w:rsidP="001972F7">
          <w:pPr>
            <w:tabs>
              <w:tab w:val="left" w:pos="0"/>
            </w:tabs>
            <w:jc w:val="both"/>
            <w:rPr>
              <w:b/>
              <w:i/>
              <w:sz w:val="24"/>
              <w:szCs w:val="24"/>
            </w:rPr>
          </w:pPr>
          <w:r w:rsidRPr="001972F7">
            <w:rPr>
              <w:b/>
              <w:i/>
              <w:noProof/>
              <w:sz w:val="24"/>
              <w:szCs w:val="24"/>
            </w:rPr>
            <w:drawing>
              <wp:inline distT="0" distB="0" distL="0" distR="0" wp14:anchorId="18953EF8" wp14:editId="309D5C74">
                <wp:extent cx="628650" cy="857250"/>
                <wp:effectExtent l="0" t="0" r="0" b="0"/>
                <wp:docPr id="5" name="Imagine 5" descr="stem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stem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28650" cy="857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1972F7" w:rsidRPr="001972F7" w:rsidRDefault="001972F7" w:rsidP="001972F7">
          <w:pPr>
            <w:tabs>
              <w:tab w:val="left" w:pos="0"/>
            </w:tabs>
            <w:jc w:val="both"/>
            <w:rPr>
              <w:b/>
              <w:i/>
              <w:sz w:val="16"/>
              <w:szCs w:val="16"/>
            </w:rPr>
          </w:pPr>
        </w:p>
      </w:tc>
      <w:tc>
        <w:tcPr>
          <w:tcW w:w="8082" w:type="dxa"/>
        </w:tcPr>
        <w:p w:rsidR="001972F7" w:rsidRPr="001972F7" w:rsidRDefault="001972F7" w:rsidP="001972F7">
          <w:pPr>
            <w:ind w:left="3114"/>
            <w:jc w:val="center"/>
            <w:rPr>
              <w:b/>
              <w:i/>
              <w:sz w:val="26"/>
              <w:szCs w:val="26"/>
            </w:rPr>
          </w:pPr>
          <w:r w:rsidRPr="001972F7">
            <w:rPr>
              <w:b/>
              <w:i/>
              <w:sz w:val="26"/>
              <w:szCs w:val="26"/>
            </w:rPr>
            <w:t xml:space="preserve">  R O M Â N I A</w:t>
          </w:r>
        </w:p>
        <w:p w:rsidR="001972F7" w:rsidRPr="001972F7" w:rsidRDefault="001972F7" w:rsidP="001972F7">
          <w:pPr>
            <w:ind w:left="3114"/>
            <w:jc w:val="center"/>
            <w:rPr>
              <w:b/>
              <w:i/>
              <w:sz w:val="26"/>
              <w:szCs w:val="26"/>
            </w:rPr>
          </w:pPr>
          <w:r w:rsidRPr="001972F7">
            <w:rPr>
              <w:b/>
              <w:i/>
              <w:sz w:val="26"/>
              <w:szCs w:val="26"/>
            </w:rPr>
            <w:t>CURTEA DE APEL TÂRGU- MUREŞ</w:t>
          </w:r>
        </w:p>
        <w:p w:rsidR="001972F7" w:rsidRPr="001972F7" w:rsidRDefault="001972F7" w:rsidP="001972F7">
          <w:pPr>
            <w:tabs>
              <w:tab w:val="center" w:pos="4536"/>
              <w:tab w:val="right" w:pos="9072"/>
            </w:tabs>
            <w:rPr>
              <w:b/>
              <w:i/>
              <w:sz w:val="24"/>
              <w:szCs w:val="24"/>
            </w:rPr>
          </w:pPr>
        </w:p>
      </w:tc>
    </w:tr>
  </w:tbl>
  <w:p w:rsidR="001972F7" w:rsidRPr="001972F7" w:rsidRDefault="001972F7" w:rsidP="001972F7">
    <w:pPr>
      <w:tabs>
        <w:tab w:val="center" w:pos="4536"/>
        <w:tab w:val="right" w:pos="9072"/>
      </w:tabs>
      <w:spacing w:after="0" w:line="240" w:lineRule="auto"/>
      <w:jc w:val="center"/>
      <w:rPr>
        <w:rFonts w:ascii="Times New Roman" w:eastAsia="Times New Roman" w:hAnsi="Times New Roman" w:cs="Times New Roman"/>
        <w:sz w:val="26"/>
        <w:szCs w:val="26"/>
        <w:lang w:val="pt-BR" w:eastAsia="ro-RO"/>
      </w:rPr>
    </w:pPr>
    <w:r w:rsidRPr="001972F7">
      <w:rPr>
        <w:rFonts w:ascii="Times New Roman" w:eastAsia="Times New Roman" w:hAnsi="Times New Roman" w:cs="Times New Roman"/>
        <w:b/>
        <w:i/>
        <w:sz w:val="26"/>
        <w:szCs w:val="26"/>
        <w:lang w:val="pt-BR" w:eastAsia="ro-RO"/>
      </w:rPr>
      <w:t>BIROUL DE INFORMARE ŞI RELAŢII PUBLICE</w:t>
    </w:r>
  </w:p>
  <w:p w:rsidR="001972F7" w:rsidRPr="001972F7" w:rsidRDefault="001972F7" w:rsidP="001972F7">
    <w:pPr>
      <w:tabs>
        <w:tab w:val="center" w:pos="4536"/>
        <w:tab w:val="right" w:pos="9072"/>
      </w:tabs>
      <w:spacing w:after="0" w:line="240" w:lineRule="auto"/>
      <w:rPr>
        <w:rFonts w:ascii="Palatino Linotype" w:eastAsia="Times New Roman" w:hAnsi="Palatino Linotype" w:cs="Times New Roman"/>
        <w:sz w:val="26"/>
        <w:szCs w:val="26"/>
        <w:lang w:val="pt-BR" w:eastAsia="ro-RO"/>
      </w:rPr>
    </w:pPr>
    <w:r w:rsidRPr="001972F7">
      <w:rPr>
        <w:rFonts w:ascii="Palatino Linotype" w:eastAsia="Times New Roman" w:hAnsi="Palatino Linotype" w:cs="Times New Roman"/>
        <w:noProof/>
        <w:sz w:val="26"/>
        <w:szCs w:val="26"/>
        <w:lang w:eastAsia="ro-RO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FF09600" wp14:editId="6BB738E4">
              <wp:simplePos x="0" y="0"/>
              <wp:positionH relativeFrom="column">
                <wp:posOffset>0</wp:posOffset>
              </wp:positionH>
              <wp:positionV relativeFrom="paragraph">
                <wp:posOffset>77470</wp:posOffset>
              </wp:positionV>
              <wp:extent cx="5829300" cy="0"/>
              <wp:effectExtent l="47625" t="48895" r="47625" b="46355"/>
              <wp:wrapNone/>
              <wp:docPr id="3" name="Conector drept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29300" cy="0"/>
                      </a:xfrm>
                      <a:prstGeom prst="line">
                        <a:avLst/>
                      </a:prstGeom>
                      <a:noFill/>
                      <a:ln w="76200" cmpd="tri">
                        <a:solidFill>
                          <a:srgbClr val="FF0000"/>
                        </a:solidFill>
                        <a:round/>
                        <a:headEnd/>
                        <a:tailEnd/>
                      </a:ln>
                      <a:effectLst>
                        <a:prstShdw prst="shdw18" dist="17961" dir="13500000">
                          <a:srgbClr val="FF0000">
                            <a:gamma/>
                            <a:shade val="60000"/>
                            <a:invGamma/>
                          </a:srgbClr>
                        </a:prstShdw>
                      </a:effectLst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ector drept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6.1pt" to="459pt,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" strokecolor="red" strokeweight="6pt">
              <v:stroke linestyle="thickBetweenThin"/>
              <v:imagedata embosscolor="shadow add(51)"/>
              <v:shadow on="t" type="emboss" color="#900" color2="shadow add(102)" offset="-1pt,-1pt" offset2="1pt,1pt"/>
            </v:line>
          </w:pict>
        </mc:Fallback>
      </mc:AlternateContent>
    </w:r>
  </w:p>
  <w:p w:rsidR="001972F7" w:rsidRPr="001972F7" w:rsidRDefault="001972F7" w:rsidP="001972F7">
    <w:pPr>
      <w:tabs>
        <w:tab w:val="center" w:pos="4536"/>
        <w:tab w:val="right" w:pos="9072"/>
      </w:tabs>
      <w:spacing w:after="0" w:line="240" w:lineRule="auto"/>
    </w:pPr>
  </w:p>
  <w:p w:rsidR="001972F7" w:rsidRDefault="001972F7">
    <w:pPr>
      <w:pStyle w:val="Ante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7F3E75"/>
    <w:multiLevelType w:val="hybridMultilevel"/>
    <w:tmpl w:val="9684EB12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72F7"/>
    <w:rsid w:val="001972F7"/>
    <w:rsid w:val="003F7171"/>
    <w:rsid w:val="00474744"/>
    <w:rsid w:val="00497FA6"/>
    <w:rsid w:val="00520998"/>
    <w:rsid w:val="007E0597"/>
    <w:rsid w:val="008C6646"/>
    <w:rsid w:val="009A79FD"/>
    <w:rsid w:val="00AF6D14"/>
    <w:rsid w:val="00CE13B8"/>
    <w:rsid w:val="00D11EB7"/>
    <w:rsid w:val="00DD433A"/>
    <w:rsid w:val="00E854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rsid w:val="001972F7"/>
    <w:pPr>
      <w:ind w:left="720"/>
      <w:contextualSpacing/>
    </w:pPr>
  </w:style>
  <w:style w:type="paragraph" w:styleId="Antet">
    <w:name w:val="header"/>
    <w:basedOn w:val="Normal"/>
    <w:link w:val="AntetCaracter"/>
    <w:uiPriority w:val="99"/>
    <w:unhideWhenUsed/>
    <w:rsid w:val="001972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1972F7"/>
  </w:style>
  <w:style w:type="paragraph" w:styleId="Subsol">
    <w:name w:val="footer"/>
    <w:basedOn w:val="Normal"/>
    <w:link w:val="SubsolCaracter"/>
    <w:uiPriority w:val="99"/>
    <w:unhideWhenUsed/>
    <w:rsid w:val="001972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1972F7"/>
  </w:style>
  <w:style w:type="table" w:styleId="GrilTabel">
    <w:name w:val="Table Grid"/>
    <w:basedOn w:val="TabelNormal"/>
    <w:rsid w:val="001972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o-R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nBalon">
    <w:name w:val="Balloon Text"/>
    <w:basedOn w:val="Normal"/>
    <w:link w:val="TextnBalonCaracter"/>
    <w:uiPriority w:val="99"/>
    <w:semiHidden/>
    <w:unhideWhenUsed/>
    <w:rsid w:val="001972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1972F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rsid w:val="001972F7"/>
    <w:pPr>
      <w:ind w:left="720"/>
      <w:contextualSpacing/>
    </w:pPr>
  </w:style>
  <w:style w:type="paragraph" w:styleId="Antet">
    <w:name w:val="header"/>
    <w:basedOn w:val="Normal"/>
    <w:link w:val="AntetCaracter"/>
    <w:uiPriority w:val="99"/>
    <w:unhideWhenUsed/>
    <w:rsid w:val="001972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1972F7"/>
  </w:style>
  <w:style w:type="paragraph" w:styleId="Subsol">
    <w:name w:val="footer"/>
    <w:basedOn w:val="Normal"/>
    <w:link w:val="SubsolCaracter"/>
    <w:uiPriority w:val="99"/>
    <w:unhideWhenUsed/>
    <w:rsid w:val="001972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1972F7"/>
  </w:style>
  <w:style w:type="table" w:styleId="GrilTabel">
    <w:name w:val="Table Grid"/>
    <w:basedOn w:val="TabelNormal"/>
    <w:rsid w:val="001972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o-R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nBalon">
    <w:name w:val="Balloon Text"/>
    <w:basedOn w:val="Normal"/>
    <w:link w:val="TextnBalonCaracter"/>
    <w:uiPriority w:val="99"/>
    <w:semiHidden/>
    <w:unhideWhenUsed/>
    <w:rsid w:val="001972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1972F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459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0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196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Dusa Anuta</dc:creator>
  <cp:lastModifiedBy>Dusa Anuta</cp:lastModifiedBy>
  <cp:revision>2</cp:revision>
  <cp:lastPrinted>2023-08-02T10:08:00Z</cp:lastPrinted>
  <dcterms:created xsi:type="dcterms:W3CDTF">2023-08-02T10:13:00Z</dcterms:created>
  <dcterms:modified xsi:type="dcterms:W3CDTF">2023-08-02T10:13:00Z</dcterms:modified>
</cp:coreProperties>
</file>