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DC2" w:rsidRPr="00113D56" w:rsidRDefault="007A1DC2" w:rsidP="00113D56">
      <w:pPr>
        <w:rPr>
          <w:rFonts w:ascii="Times New Roman" w:hAnsi="Times New Roman" w:cs="Times New Roman"/>
          <w:noProof/>
        </w:rPr>
      </w:pPr>
    </w:p>
    <w:p w:rsidR="00243C6A" w:rsidRDefault="00243C6A" w:rsidP="00D71591">
      <w:pPr>
        <w:jc w:val="center"/>
        <w:rPr>
          <w:rFonts w:asciiTheme="majorHAnsi" w:hAnsiTheme="majorHAnsi"/>
          <w:sz w:val="28"/>
        </w:rPr>
      </w:pPr>
    </w:p>
    <w:p w:rsidR="00243C6A" w:rsidRDefault="00243C6A" w:rsidP="00D71591">
      <w:pPr>
        <w:jc w:val="center"/>
        <w:rPr>
          <w:rFonts w:asciiTheme="majorHAnsi" w:hAnsiTheme="majorHAnsi"/>
          <w:sz w:val="28"/>
        </w:rPr>
      </w:pPr>
    </w:p>
    <w:p w:rsidR="00243C6A" w:rsidRDefault="00243C6A" w:rsidP="00D71591">
      <w:pPr>
        <w:jc w:val="center"/>
        <w:rPr>
          <w:rFonts w:asciiTheme="majorHAnsi" w:hAnsiTheme="majorHAnsi"/>
          <w:sz w:val="28"/>
        </w:rPr>
      </w:pPr>
    </w:p>
    <w:p w:rsidR="00243C6A" w:rsidRDefault="00243C6A" w:rsidP="00D71591">
      <w:pPr>
        <w:jc w:val="center"/>
        <w:rPr>
          <w:rFonts w:asciiTheme="majorHAnsi" w:hAnsiTheme="majorHAnsi"/>
          <w:sz w:val="28"/>
        </w:rPr>
      </w:pPr>
    </w:p>
    <w:p w:rsidR="00243C6A" w:rsidRDefault="00243C6A" w:rsidP="00D71591">
      <w:pPr>
        <w:jc w:val="center"/>
        <w:rPr>
          <w:rFonts w:asciiTheme="majorHAnsi" w:hAnsiTheme="majorHAnsi"/>
          <w:sz w:val="28"/>
        </w:rPr>
      </w:pPr>
    </w:p>
    <w:p w:rsidR="007A4070" w:rsidRPr="00D71591" w:rsidRDefault="00D71591" w:rsidP="00D71591">
      <w:pPr>
        <w:jc w:val="center"/>
        <w:rPr>
          <w:rFonts w:asciiTheme="majorHAnsi" w:hAnsiTheme="majorHAnsi"/>
          <w:sz w:val="28"/>
        </w:rPr>
      </w:pPr>
      <w:bookmarkStart w:id="0" w:name="_GoBack"/>
      <w:bookmarkEnd w:id="0"/>
      <w:r>
        <w:rPr>
          <w:rFonts w:asciiTheme="majorHAnsi" w:hAnsiTheme="majorHAnsi"/>
          <w:sz w:val="28"/>
        </w:rPr>
        <w:t>CURTEA EUROPEANĂ A DREPTURILOR OMULUI</w:t>
      </w:r>
    </w:p>
    <w:p w:rsidR="007A4070" w:rsidRPr="00113D56" w:rsidRDefault="007A1DC2" w:rsidP="00113D56">
      <w:pPr>
        <w:pStyle w:val="DecHTitle"/>
      </w:pPr>
      <w:r>
        <w:t>SECȚIA A PATRA</w:t>
      </w:r>
    </w:p>
    <w:p w:rsidR="007A4070" w:rsidRPr="00113D56" w:rsidRDefault="007A4070" w:rsidP="00113D56">
      <w:pPr>
        <w:pStyle w:val="JuTitle"/>
      </w:pPr>
      <w:r>
        <w:t>HOTĂRÂREA ALECSANDRESCU ÎMPOTRIVA ROMÂNIEI</w:t>
      </w:r>
    </w:p>
    <w:p w:rsidR="007A4070" w:rsidRPr="00113D56" w:rsidRDefault="007A4070" w:rsidP="00113D56">
      <w:pPr>
        <w:pStyle w:val="ECHRCoverTitle4"/>
      </w:pPr>
      <w:r>
        <w:t>(Cererea nr. 51272/16)</w:t>
      </w:r>
    </w:p>
    <w:p w:rsidR="007A4070" w:rsidRPr="00113D56" w:rsidRDefault="007A4070" w:rsidP="00113D56">
      <w:pPr>
        <w:pStyle w:val="DecHCase"/>
      </w:pPr>
    </w:p>
    <w:p w:rsidR="007A4070" w:rsidRPr="00113D56" w:rsidRDefault="007A4070" w:rsidP="00113D56">
      <w:pPr>
        <w:pStyle w:val="DecHCase"/>
      </w:pPr>
    </w:p>
    <w:p w:rsidR="007A4070" w:rsidRPr="00113D56" w:rsidRDefault="007A4070" w:rsidP="00113D56">
      <w:pPr>
        <w:pStyle w:val="DecHCase"/>
      </w:pPr>
    </w:p>
    <w:p w:rsidR="007A4070" w:rsidRPr="00113D56" w:rsidRDefault="007A4070" w:rsidP="00113D56">
      <w:pPr>
        <w:pStyle w:val="DecHCase"/>
      </w:pPr>
    </w:p>
    <w:p w:rsidR="007A4070" w:rsidRPr="00113D56" w:rsidRDefault="007A4070" w:rsidP="00113D56">
      <w:pPr>
        <w:pStyle w:val="DecHCase"/>
      </w:pPr>
    </w:p>
    <w:p w:rsidR="007A4070" w:rsidRPr="00113D56" w:rsidRDefault="007A4070" w:rsidP="00113D56">
      <w:pPr>
        <w:pStyle w:val="DecHCase"/>
      </w:pPr>
    </w:p>
    <w:p w:rsidR="007A4070" w:rsidRPr="00113D56" w:rsidRDefault="007A4070" w:rsidP="00113D56">
      <w:pPr>
        <w:pStyle w:val="DecHCase"/>
      </w:pPr>
      <w:r>
        <w:t>HOTĂRÂRE</w:t>
      </w:r>
      <w:r>
        <w:br/>
      </w:r>
    </w:p>
    <w:p w:rsidR="007A4070" w:rsidRPr="00113D56" w:rsidRDefault="007A4070" w:rsidP="00113D56">
      <w:pPr>
        <w:pStyle w:val="DecHCase"/>
      </w:pPr>
      <w:r>
        <w:t>STRASBOURG</w:t>
      </w:r>
    </w:p>
    <w:p w:rsidR="007A4070" w:rsidRPr="00113D56" w:rsidRDefault="007A1DC2" w:rsidP="00113D56">
      <w:pPr>
        <w:pStyle w:val="DecHCase"/>
      </w:pPr>
      <w:r>
        <w:t>13 decembrie 2022</w:t>
      </w:r>
    </w:p>
    <w:p w:rsidR="007A4070" w:rsidRPr="00113D56" w:rsidRDefault="007A4070" w:rsidP="00113D56">
      <w:pPr>
        <w:pStyle w:val="DecHCase"/>
      </w:pPr>
    </w:p>
    <w:p w:rsidR="00516B59" w:rsidRPr="00113D56" w:rsidRDefault="007A4070" w:rsidP="00113D56">
      <w:pPr>
        <w:rPr>
          <w:rFonts w:ascii="Times New Roman" w:hAnsi="Times New Roman" w:cs="Times New Roman"/>
          <w:i/>
          <w:sz w:val="22"/>
        </w:rPr>
      </w:pPr>
      <w:r>
        <w:rPr>
          <w:i/>
          <w:sz w:val="22"/>
        </w:rPr>
        <w:t>Hotărârea este definitivă. Poate suferi modificări de formă.</w:t>
      </w:r>
    </w:p>
    <w:p w:rsidR="00516B59" w:rsidRPr="00113D56" w:rsidRDefault="00516B59" w:rsidP="00113D56">
      <w:pPr>
        <w:ind w:left="720"/>
        <w:rPr>
          <w:rFonts w:ascii="Times New Roman" w:hAnsi="Times New Roman" w:cs="Times New Roman"/>
          <w:sz w:val="22"/>
        </w:rPr>
        <w:sectPr w:rsidR="00516B59" w:rsidRPr="00113D56" w:rsidSect="00902601">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4344E6" w:rsidRPr="00113D56" w:rsidRDefault="004344E6" w:rsidP="00113D56">
      <w:pPr>
        <w:pStyle w:val="JuCase"/>
      </w:pPr>
      <w:r>
        <w:lastRenderedPageBreak/>
        <w:t>În cauza Alecsandrescu împotriva României,</w:t>
      </w:r>
    </w:p>
    <w:p w:rsidR="004344E6" w:rsidRPr="00113D56" w:rsidRDefault="004344E6" w:rsidP="00113D56">
      <w:pPr>
        <w:pStyle w:val="JuPara"/>
      </w:pPr>
      <w:r>
        <w:t>Curtea Europeană a Drepturilor Omului (Secția a patra) reunită într-o cameră compusă din:</w:t>
      </w:r>
    </w:p>
    <w:p w:rsidR="004344E6" w:rsidRPr="00113D56" w:rsidRDefault="00D143FF" w:rsidP="00113D56">
      <w:pPr>
        <w:pStyle w:val="JuJudges"/>
      </w:pPr>
      <w:r>
        <w:tab/>
      </w:r>
      <w:proofErr w:type="spellStart"/>
      <w:r>
        <w:t>Branko</w:t>
      </w:r>
      <w:proofErr w:type="spellEnd"/>
      <w:r>
        <w:t xml:space="preserve"> </w:t>
      </w:r>
      <w:proofErr w:type="spellStart"/>
      <w:r>
        <w:t>Lubarda</w:t>
      </w:r>
      <w:proofErr w:type="spellEnd"/>
      <w:r>
        <w:rPr>
          <w:i/>
        </w:rPr>
        <w:t>, președinte</w:t>
      </w:r>
      <w:r>
        <w:t>,</w:t>
      </w:r>
      <w:r>
        <w:br/>
      </w:r>
      <w:r>
        <w:tab/>
        <w:t xml:space="preserve">Iulia </w:t>
      </w:r>
      <w:proofErr w:type="spellStart"/>
      <w:r>
        <w:t>Antoanella</w:t>
      </w:r>
      <w:proofErr w:type="spellEnd"/>
      <w:r>
        <w:t xml:space="preserve"> Motoc,</w:t>
      </w:r>
      <w:r>
        <w:br/>
      </w:r>
      <w:r>
        <w:tab/>
        <w:t xml:space="preserve">Pere Pastor </w:t>
      </w:r>
      <w:proofErr w:type="spellStart"/>
      <w:r>
        <w:t>Vilanova</w:t>
      </w:r>
      <w:proofErr w:type="spellEnd"/>
      <w:r>
        <w:rPr>
          <w:i/>
        </w:rPr>
        <w:t>, judecători</w:t>
      </w:r>
      <w:r>
        <w:t>,</w:t>
      </w:r>
      <w:r>
        <w:br/>
        <w:t xml:space="preserve">și Crina </w:t>
      </w:r>
      <w:proofErr w:type="spellStart"/>
      <w:r>
        <w:t>Kaufman</w:t>
      </w:r>
      <w:proofErr w:type="spellEnd"/>
      <w:r>
        <w:t xml:space="preserve">, </w:t>
      </w:r>
      <w:r>
        <w:rPr>
          <w:i/>
        </w:rPr>
        <w:t>grefier adjunct de secție a.i.</w:t>
      </w:r>
      <w:r>
        <w:t>,</w:t>
      </w:r>
    </w:p>
    <w:p w:rsidR="007A1DC2" w:rsidRPr="00113D56" w:rsidRDefault="007A1DC2" w:rsidP="00113D56">
      <w:pPr>
        <w:pStyle w:val="JuPara"/>
      </w:pPr>
      <w:r>
        <w:t>Având în vedere cererea (nr. 51272/16) îndreptată împotriva României, prin care un resortisant al acestui stat, domnul Andrei Mihail Alecsandrescu („reclamantul”), născut în 1969 și domiciliind în București, reprezentat de domnul G.D. Pop, avocat în București, a sesizat Curtea la 25 august 2016 în temeiul art. 34 din Convenția pentru apărarea drepturilor omului și a libertăților fundamentale („Convenția”),</w:t>
      </w:r>
    </w:p>
    <w:p w:rsidR="007A1DC2" w:rsidRPr="00113D56" w:rsidRDefault="007A1DC2" w:rsidP="00113D56">
      <w:pPr>
        <w:pStyle w:val="JuPara"/>
      </w:pPr>
      <w:r>
        <w:t>având în vedere decizia de a aduce la cunoștința Guvernului român („Guvernul”), reprezentat de agentul guvernamental, doamna O.F. Ezer, din cadrul Ministerului Afacerilor Externe, capetele de cerere privind echitatea procesului penal și de a declara cererea inadmisibilă pentru celelalte capete de cerere,</w:t>
      </w:r>
    </w:p>
    <w:p w:rsidR="007A1DC2" w:rsidRPr="00113D56" w:rsidRDefault="007A1DC2" w:rsidP="00113D56">
      <w:pPr>
        <w:pStyle w:val="JuPara"/>
      </w:pPr>
      <w:r>
        <w:t>având în vedere observațiile părților,</w:t>
      </w:r>
    </w:p>
    <w:p w:rsidR="004344E6" w:rsidRPr="00113D56" w:rsidRDefault="004344E6" w:rsidP="00113D56">
      <w:pPr>
        <w:pStyle w:val="JuPara"/>
      </w:pPr>
      <w:r>
        <w:t>după ce a deliberat în camera de consiliu, la 22 noiembrie 2022,</w:t>
      </w:r>
    </w:p>
    <w:p w:rsidR="00876F03" w:rsidRPr="00113D56" w:rsidRDefault="004344E6" w:rsidP="00113D56">
      <w:pPr>
        <w:pStyle w:val="JuPara"/>
      </w:pPr>
      <w:r>
        <w:t>pronunță prezenta hotărâre, adoptată la aceeași dată:</w:t>
      </w:r>
    </w:p>
    <w:p w:rsidR="007A1DC2" w:rsidRPr="00113D56" w:rsidRDefault="007A1DC2" w:rsidP="00113D56">
      <w:pPr>
        <w:pStyle w:val="JuHHead"/>
      </w:pPr>
      <w:r>
        <w:t>OBIECTUL CAUZEI</w:t>
      </w:r>
    </w:p>
    <w:p w:rsidR="007A1DC2" w:rsidRPr="00113D56" w:rsidRDefault="00243C6A" w:rsidP="00113D56">
      <w:pPr>
        <w:pStyle w:val="JuPara"/>
      </w:pPr>
      <w:r>
        <w:fldChar w:fldCharType="begin"/>
      </w:r>
      <w:r>
        <w:instrText xml:space="preserve"> SEQ level0 \*arabic \* MERGEFORMAT </w:instrText>
      </w:r>
      <w:r>
        <w:fldChar w:fldCharType="separate"/>
      </w:r>
      <w:r w:rsidR="00113D56" w:rsidRPr="00113D56">
        <w:rPr>
          <w:noProof/>
        </w:rPr>
        <w:t>1</w:t>
      </w:r>
      <w:r>
        <w:rPr>
          <w:noProof/>
        </w:rPr>
        <w:fldChar w:fldCharType="end"/>
      </w:r>
      <w:r w:rsidR="005A7EC7">
        <w:t>.  Prin rechizitoriul din 10 iulie 2012, Parchetului de pe lângă Judecătoria sectorului 4 București  („parchetul”) a dispus trimiterea în judecată a reclamantului pe motivele de favorizare a infractorului, de fals în înscrisuri publice și fals în înscrisuri sub semnătură privată. Acestuia i s-a imputat înmatricularea în registrele publice a unui automobil ce aparținea unei societăți de leasing dar deținută fraudulos de D.A.M. Reclamantul a fost reprezentat pe tot parcursul procedurii de un avocat.</w:t>
      </w:r>
    </w:p>
    <w:p w:rsidR="007A1DC2" w:rsidRPr="00113D56" w:rsidRDefault="00243C6A" w:rsidP="00113D56">
      <w:pPr>
        <w:pStyle w:val="JuPara"/>
      </w:pPr>
      <w:r>
        <w:fldChar w:fldCharType="begin"/>
      </w:r>
      <w:r>
        <w:instrText xml:space="preserve"> SEQ level0 \*arabic \* MERGEFORMAT </w:instrText>
      </w:r>
      <w:r>
        <w:fldChar w:fldCharType="separate"/>
      </w:r>
      <w:r w:rsidR="00113D56" w:rsidRPr="00113D56">
        <w:rPr>
          <w:noProof/>
        </w:rPr>
        <w:t>2</w:t>
      </w:r>
      <w:r>
        <w:rPr>
          <w:noProof/>
        </w:rPr>
        <w:fldChar w:fldCharType="end"/>
      </w:r>
      <w:r w:rsidR="005A7EC7">
        <w:t xml:space="preserve">.  Prin sentința din 2 decembrie 2014, Judecătoria sectorului 4 București („judecătoria”), considerând că nu existau probe care să permită concluzia că reclamantul ar fi săvârșit infracțiunile reținute în sarcina sa, l-a achitat de acuzația de favorizare a infractorului (art. 264 din vechiul Cod penal, „C. </w:t>
      </w:r>
      <w:proofErr w:type="spellStart"/>
      <w:r w:rsidR="005A7EC7">
        <w:t>pen</w:t>
      </w:r>
      <w:proofErr w:type="spellEnd"/>
      <w:r w:rsidR="005A7EC7">
        <w:t xml:space="preserve">.”) și de fals (art. 288 și art. 290 din vechiul C. </w:t>
      </w:r>
      <w:proofErr w:type="spellStart"/>
      <w:r w:rsidR="005A7EC7">
        <w:t>pen</w:t>
      </w:r>
      <w:proofErr w:type="spellEnd"/>
      <w:r w:rsidR="005A7EC7">
        <w:t>.).</w:t>
      </w:r>
    </w:p>
    <w:bookmarkStart w:id="1" w:name="déclarationstémoins"/>
    <w:p w:rsidR="007A1DC2" w:rsidRPr="00113D56" w:rsidRDefault="007A1DC2" w:rsidP="00113D56">
      <w:pPr>
        <w:pStyle w:val="JuPara"/>
      </w:pPr>
      <w:r w:rsidRPr="00113D56">
        <w:fldChar w:fldCharType="begin"/>
      </w:r>
      <w:r w:rsidRPr="00113D56">
        <w:instrText xml:space="preserve"> SEQ level0 \*arabic \* MERGEFORMAT </w:instrText>
      </w:r>
      <w:r w:rsidRPr="00113D56">
        <w:fldChar w:fldCharType="separate"/>
      </w:r>
      <w:r w:rsidR="00113D56" w:rsidRPr="00113D56">
        <w:t>3</w:t>
      </w:r>
      <w:r w:rsidRPr="00113D56">
        <w:fldChar w:fldCharType="end"/>
      </w:r>
      <w:bookmarkEnd w:id="1"/>
      <w:r>
        <w:t>.  Sesizată cu un apel formulat de parchet împotriva acestei sentințe, Curtea de Apel București („curtea de apel”) a audiat pe reclamant, pe D.A.M. și B.P., precum și pe un alt martor. Considerând că sunt contradictorii și lacunare declarațiile date în timpul procedurii de către B.P. și D.A.M. (acesta fiind condamnat într-o procedură conexă), instanța de apel a sesiza parchetul pentru mărturie mincinoasă printr-o încheiere din 20 noiembrie 2015.</w:t>
      </w:r>
    </w:p>
    <w:p w:rsidR="007A1DC2" w:rsidRPr="00113D56" w:rsidRDefault="00243C6A" w:rsidP="00113D56">
      <w:pPr>
        <w:pStyle w:val="JuPara"/>
      </w:pPr>
      <w:r>
        <w:fldChar w:fldCharType="begin"/>
      </w:r>
      <w:r>
        <w:instrText xml:space="preserve"> SEQ level0 \*arabic \* MERGEFORMAT </w:instrText>
      </w:r>
      <w:r>
        <w:fldChar w:fldCharType="separate"/>
      </w:r>
      <w:r w:rsidR="00113D56" w:rsidRPr="00113D56">
        <w:rPr>
          <w:noProof/>
        </w:rPr>
        <w:t>4</w:t>
      </w:r>
      <w:r>
        <w:rPr>
          <w:noProof/>
        </w:rPr>
        <w:fldChar w:fldCharType="end"/>
      </w:r>
      <w:r w:rsidR="005A7EC7">
        <w:t xml:space="preserve">.  În timpul dezbaterilor din 20 noiembrie 2015, curtea de apel a evocat posibilitatea reîncadrării la complicitate de fals, acuzație de fals adusă </w:t>
      </w:r>
      <w:r w:rsidR="005A7EC7">
        <w:lastRenderedPageBreak/>
        <w:t xml:space="preserve">anterior împotriva reclamantului, l-a invitat pe acesta din urmă să-și prezinte argumentele cu privire la acest aspect și a ascultat observațiile avocatului reclamantului în această privință. Pe de altă parte, curtea de apel neabordând posibilitatea unei reîncadrări ca tăinuire (infracțiune pedepsită de art. 221 din vechiul C. </w:t>
      </w:r>
      <w:proofErr w:type="spellStart"/>
      <w:r w:rsidR="005A7EC7">
        <w:t>pen</w:t>
      </w:r>
      <w:proofErr w:type="spellEnd"/>
      <w:r w:rsidR="005A7EC7">
        <w:t xml:space="preserve">.) a acuzației de favorizare a infractorului (art. 264 din vechiul C. </w:t>
      </w:r>
      <w:proofErr w:type="spellStart"/>
      <w:r w:rsidR="005A7EC7">
        <w:t>pen</w:t>
      </w:r>
      <w:proofErr w:type="spellEnd"/>
      <w:r w:rsidR="005A7EC7">
        <w:t>.), părțile nu au putut să-și prezinte eventualele argumente cu privire la aceasta.</w:t>
      </w:r>
    </w:p>
    <w:p w:rsidR="007A1DC2" w:rsidRPr="00113D56" w:rsidRDefault="00243C6A" w:rsidP="00113D56">
      <w:pPr>
        <w:pStyle w:val="JuPara"/>
      </w:pPr>
      <w:r>
        <w:fldChar w:fldCharType="begin"/>
      </w:r>
      <w:r>
        <w:instrText xml:space="preserve"> SEQ level0 \*arabic \* MERGEFORMAT </w:instrText>
      </w:r>
      <w:r>
        <w:fldChar w:fldCharType="separate"/>
      </w:r>
      <w:r w:rsidR="00113D56" w:rsidRPr="00113D56">
        <w:rPr>
          <w:noProof/>
        </w:rPr>
        <w:t>5</w:t>
      </w:r>
      <w:r>
        <w:rPr>
          <w:noProof/>
        </w:rPr>
        <w:fldChar w:fldCharType="end"/>
      </w:r>
      <w:r w:rsidR="005A7EC7">
        <w:t xml:space="preserve">.  Prin decizia din 15 decembrie 2015, curtea de apel, după ce a reîncadrat faptele ca tăinuire (art. 221 din vechiul C. </w:t>
      </w:r>
      <w:proofErr w:type="spellStart"/>
      <w:r w:rsidR="005A7EC7">
        <w:t>pen</w:t>
      </w:r>
      <w:proofErr w:type="spellEnd"/>
      <w:r w:rsidR="005A7EC7">
        <w:t>.) și complicitate la fals, a condamnat reclamantul la o pedeapsă de doi ani de închisoare, cu suspendare sub supraveghere. Respingând ca în mod vădit înșelătoare declarațiile date în fața sa de către B.P și D.A.M., aceasta s-a întemeiat, în mod deosebit, pe declarațiile pe care aceștia le-au făcut în fața parchetului și a judecătoriei, coroborate cu alte mijloace de probă. A luat în considerare și declarațiile altor doi martori care au participat la discuții cu B.P. și D.A.M., din care reieșea că B.P. îl pusese pe D.A.M. în legătură cu reclamantul pentru ca acesta să înmatriculeze, contra cost, în mod fraudulos, un autoturism în favoarea lui D.A.M. La câteva luni după ce efectuase operațiunea, iar D.A.M. nu îi plătise suma convenită, reclamantul a radiat vehiculul, cu titlu de represalii.</w:t>
      </w:r>
    </w:p>
    <w:p w:rsidR="007A1DC2" w:rsidRPr="00113D56" w:rsidRDefault="00243C6A" w:rsidP="00113D56">
      <w:pPr>
        <w:pStyle w:val="JuPara"/>
      </w:pPr>
      <w:r>
        <w:fldChar w:fldCharType="begin"/>
      </w:r>
      <w:r>
        <w:instrText xml:space="preserve"> SEQ level0 \*arabic \* MERGEFORMAT </w:instrText>
      </w:r>
      <w:r>
        <w:fldChar w:fldCharType="separate"/>
      </w:r>
      <w:r w:rsidR="00113D56" w:rsidRPr="00113D56">
        <w:rPr>
          <w:noProof/>
        </w:rPr>
        <w:t>6</w:t>
      </w:r>
      <w:r>
        <w:rPr>
          <w:noProof/>
        </w:rPr>
        <w:fldChar w:fldCharType="end"/>
      </w:r>
      <w:r w:rsidR="005A7EC7">
        <w:t>.  În legătură cu încadrarea juridică a faptelor, curtea de apel, spre deosebire de parchet, a considerat că reclamantul, deși nu falsificase documente de care s-ar fi servit ulterior el însuși cu scopul de a înmatricula vehiculul, sprijinise un terț, în același scop. În plus, aceasta a subliniat că reclamantul a acționat nu doar în scopul de a garanta lui D.A.M. folosința automobilului în cauză, ci în vederea asigurării unei remunerații, element ce justifică reîncadrarea juridică a acțiunilor sale la tăinuire.</w:t>
      </w:r>
    </w:p>
    <w:p w:rsidR="007A1DC2" w:rsidRPr="00113D56" w:rsidRDefault="00243C6A" w:rsidP="00113D56">
      <w:pPr>
        <w:pStyle w:val="JuPara"/>
      </w:pPr>
      <w:r>
        <w:fldChar w:fldCharType="begin"/>
      </w:r>
      <w:r>
        <w:instrText xml:space="preserve"> SEQ level0 \*</w:instrText>
      </w:r>
      <w:r>
        <w:instrText xml:space="preserve">arabic \* MERGEFORMAT </w:instrText>
      </w:r>
      <w:r>
        <w:fldChar w:fldCharType="separate"/>
      </w:r>
      <w:r w:rsidR="00113D56" w:rsidRPr="00113D56">
        <w:rPr>
          <w:noProof/>
        </w:rPr>
        <w:t>7</w:t>
      </w:r>
      <w:r>
        <w:rPr>
          <w:noProof/>
        </w:rPr>
        <w:fldChar w:fldCharType="end"/>
      </w:r>
      <w:r w:rsidR="005A7EC7">
        <w:t>.  Decizia curții de apel a fost notificată reclamantului la 29 februarie 2016.</w:t>
      </w:r>
    </w:p>
    <w:p w:rsidR="007A1DC2" w:rsidRPr="00113D56" w:rsidRDefault="00243C6A" w:rsidP="00113D56">
      <w:pPr>
        <w:pStyle w:val="JuPara"/>
      </w:pPr>
      <w:r>
        <w:fldChar w:fldCharType="begin"/>
      </w:r>
      <w:r>
        <w:instrText xml:space="preserve"> SEQ level0 \*arabic \* MERGEFORMAT </w:instrText>
      </w:r>
      <w:r>
        <w:fldChar w:fldCharType="separate"/>
      </w:r>
      <w:r w:rsidR="00113D56" w:rsidRPr="00113D56">
        <w:rPr>
          <w:noProof/>
        </w:rPr>
        <w:t>8</w:t>
      </w:r>
      <w:r>
        <w:rPr>
          <w:noProof/>
        </w:rPr>
        <w:fldChar w:fldCharType="end"/>
      </w:r>
      <w:r w:rsidR="005A7EC7">
        <w:t xml:space="preserve">.  Printr-o decizie din 22 martie 2019, parchetul a clasat procedura penală inițiată împotriva lui D.A.M. și B.P. pe motiv de mărturie mincinoasă, întrucât contradicțiile observate în declarațiile acestora se puteau explica prin uitarea unor elemente factuale, imputabilă intervalului de timp care trecuse după evenimentele respective (supra, pct. </w:t>
      </w:r>
      <w:r w:rsidR="007A1DC2" w:rsidRPr="00113D56">
        <w:fldChar w:fldCharType="begin"/>
      </w:r>
      <w:r w:rsidR="007A1DC2" w:rsidRPr="00113D56">
        <w:instrText xml:space="preserve"> REF déclarationstémoins \h  \* MERGEFORMAT </w:instrText>
      </w:r>
      <w:r w:rsidR="007A1DC2" w:rsidRPr="00113D56">
        <w:fldChar w:fldCharType="separate"/>
      </w:r>
      <w:r w:rsidR="00113D56" w:rsidRPr="00113D56">
        <w:t>3</w:t>
      </w:r>
      <w:r w:rsidR="007A1DC2" w:rsidRPr="00113D56">
        <w:fldChar w:fldCharType="end"/>
      </w:r>
      <w:r w:rsidR="005A7EC7">
        <w:t>).</w:t>
      </w:r>
    </w:p>
    <w:p w:rsidR="007A1DC2" w:rsidRPr="00113D56" w:rsidRDefault="007A1DC2" w:rsidP="00113D56">
      <w:pPr>
        <w:pStyle w:val="JuHHead"/>
      </w:pPr>
      <w:r>
        <w:t>MOTIVAREA CURȚII</w:t>
      </w:r>
    </w:p>
    <w:p w:rsidR="007A1DC2" w:rsidRPr="00113D56" w:rsidRDefault="007A1DC2" w:rsidP="00113D56">
      <w:pPr>
        <w:pStyle w:val="JuPara"/>
      </w:pPr>
      <w:fldSimple w:instr=" SEQ level0 \*arabic ">
        <w:r w:rsidR="00113D56" w:rsidRPr="00113D56">
          <w:t>9</w:t>
        </w:r>
      </w:fldSimple>
      <w:r>
        <w:t xml:space="preserve">.  Invocând art. 6 din Convenție, reclamantul se plânge de lipsa de echitate a procesului penal care a dus la condamnarea sa. Din perspectiva, pe de o parte, a § 1 și § 3 lit. a) și lit. b) din această dispoziție, susține că nu a fost informat, în cursul procedurii în apel, de reîncadrarea ca tăinuire a faptelor de care era acuzat și, prin urmare, nu le-a putut dezbate. Pe de altă parte, în baza §1 și § 3 lit. d) din aceeași dispoziție, acesta susține că, în apel, condamnarea sa se întemeiase pe aceleași probe care au dus la achitarea sa în primă instanță. Se plânge, de asemenea, că nu a fost în măsură să pună în </w:t>
      </w:r>
      <w:r>
        <w:lastRenderedPageBreak/>
        <w:t>discuție credibilitatea și folosirea declarațiilor martorilor B.P. și D.A.M., deși instanța de apel a decis, în privința acestor martori, să sesizeze parchetul pentru mărturie mincinoasă.</w:t>
      </w:r>
    </w:p>
    <w:p w:rsidR="007A1DC2" w:rsidRPr="00113D56" w:rsidRDefault="00243C6A" w:rsidP="00113D56">
      <w:pPr>
        <w:pStyle w:val="JuPara"/>
      </w:pPr>
      <w:r>
        <w:fldChar w:fldCharType="begin"/>
      </w:r>
      <w:r>
        <w:instrText xml:space="preserve"> SEQ level0 \*arabic \* MERGEFORMAT </w:instrText>
      </w:r>
      <w:r>
        <w:fldChar w:fldCharType="separate"/>
      </w:r>
      <w:r w:rsidR="00113D56" w:rsidRPr="00113D56">
        <w:rPr>
          <w:noProof/>
        </w:rPr>
        <w:t>10</w:t>
      </w:r>
      <w:r>
        <w:rPr>
          <w:noProof/>
        </w:rPr>
        <w:fldChar w:fldCharType="end"/>
      </w:r>
      <w:r w:rsidR="005A7EC7">
        <w:t>.  Constatând că această cerere nu este în mod vădit nefondată în sensul art. 35 § 3 lit. a) din Convenție și că nu prezintă niciun alt motiv de inadmisibilitate, Curtea o declară admisibilă.</w:t>
      </w:r>
    </w:p>
    <w:p w:rsidR="007A1DC2" w:rsidRPr="00113D56" w:rsidRDefault="00243C6A" w:rsidP="00113D56">
      <w:pPr>
        <w:pStyle w:val="JuPara"/>
      </w:pPr>
      <w:r>
        <w:fldChar w:fldCharType="begin"/>
      </w:r>
      <w:r>
        <w:instrText xml:space="preserve"> SEQ level0 \*arabic \* MERGEFORMAT </w:instrText>
      </w:r>
      <w:r>
        <w:fldChar w:fldCharType="separate"/>
      </w:r>
      <w:r w:rsidR="00113D56" w:rsidRPr="00113D56">
        <w:rPr>
          <w:noProof/>
        </w:rPr>
        <w:t>11</w:t>
      </w:r>
      <w:r>
        <w:rPr>
          <w:noProof/>
        </w:rPr>
        <w:fldChar w:fldCharType="end"/>
      </w:r>
      <w:r w:rsidR="005A7EC7">
        <w:t xml:space="preserve">.  Principiile aplicabile sunt detaliate în hotărârile </w:t>
      </w:r>
      <w:proofErr w:type="spellStart"/>
      <w:r w:rsidR="005A7EC7">
        <w:rPr>
          <w:i/>
        </w:rPr>
        <w:t>Pélissier</w:t>
      </w:r>
      <w:proofErr w:type="spellEnd"/>
      <w:r w:rsidR="005A7EC7">
        <w:rPr>
          <w:i/>
        </w:rPr>
        <w:t xml:space="preserve"> și Sassi împotriva Franței</w:t>
      </w:r>
      <w:r w:rsidR="005A7EC7">
        <w:t xml:space="preserve"> (MC) (nr. 25444/94, pct. 51-53, CEDO 1999</w:t>
      </w:r>
      <w:r w:rsidR="005A7EC7">
        <w:noBreakHyphen/>
        <w:t xml:space="preserve">II) și </w:t>
      </w:r>
      <w:r w:rsidR="005A7EC7">
        <w:rPr>
          <w:i/>
        </w:rPr>
        <w:t xml:space="preserve">Pereira Cruz și alții împotriva Portugaliei </w:t>
      </w:r>
      <w:r w:rsidR="005A7EC7">
        <w:t>(nr. 56396/12 și alte 3, pct. 196-199, 26 iunie 2018).</w:t>
      </w:r>
    </w:p>
    <w:p w:rsidR="007A1DC2" w:rsidRPr="00113D56" w:rsidRDefault="007A1DC2" w:rsidP="00113D56">
      <w:pPr>
        <w:pStyle w:val="JuPara"/>
      </w:pPr>
      <w:fldSimple w:instr=" SEQ level0 \*arabic ">
        <w:r w:rsidR="00113D56" w:rsidRPr="00113D56">
          <w:t>12</w:t>
        </w:r>
      </w:fldSimple>
      <w:r>
        <w:t>.  Curtea reține că reclamantul a fost trimis în judecată pentru favorizarea infractorului, acuzație de care a fost achitat în primă instanță, și că doar curtea de apel a reîncadrat faptele în tăinuire, infracțiune pentru care a fost condamnat în cele din urmă. Din elementele din dosar nu rezultă că instanța de apel ar fi informat reclamantul de această reîncadrare, nici că persoana în cauză a fost în măsură să-și prezinte argumentele privind aceasta.</w:t>
      </w:r>
    </w:p>
    <w:p w:rsidR="007A1DC2" w:rsidRPr="00113D56" w:rsidRDefault="00243C6A" w:rsidP="00113D56">
      <w:pPr>
        <w:pStyle w:val="JuPara"/>
      </w:pPr>
      <w:r>
        <w:fldChar w:fldCharType="begin"/>
      </w:r>
      <w:r>
        <w:instrText xml:space="preserve"> SEQ level0 \*arabic \* MERGEFORMAT </w:instrText>
      </w:r>
      <w:r>
        <w:fldChar w:fldCharType="separate"/>
      </w:r>
      <w:r w:rsidR="00113D56" w:rsidRPr="00113D56">
        <w:rPr>
          <w:noProof/>
        </w:rPr>
        <w:t>13</w:t>
      </w:r>
      <w:r>
        <w:rPr>
          <w:noProof/>
        </w:rPr>
        <w:fldChar w:fldCharType="end"/>
      </w:r>
      <w:r w:rsidR="005A7EC7">
        <w:t>.  În această privință, Guvernul afirmă că reîncadrarea de către curtea de apel a fost consecința reinterpretării legii în lumina constatării că reclamantul acționase în schimbul unei sume de bani convenite împreună cu D.A.M. Or, acesta indică faptul că, atât rechizitoriul, cât și sentința judecătoriei, au menționat că reclamantul era suspectat că a primit o sumă de bani în schimbul ajutorului acordat lui D.A.M. În sfârșit, susține că, în orice caz, această situație nu este suficient de gravă pentru a implica o încălcare a art. 6 din Convenție.</w:t>
      </w:r>
    </w:p>
    <w:p w:rsidR="007A1DC2" w:rsidRPr="00113D56" w:rsidRDefault="00243C6A" w:rsidP="00113D56">
      <w:pPr>
        <w:pStyle w:val="JuPara"/>
      </w:pPr>
      <w:r>
        <w:fldChar w:fldCharType="begin"/>
      </w:r>
      <w:r>
        <w:instrText xml:space="preserve"> SEQ level0 \*arabic \* MERGEFORMAT </w:instrText>
      </w:r>
      <w:r>
        <w:fldChar w:fldCharType="separate"/>
      </w:r>
      <w:r w:rsidR="00113D56" w:rsidRPr="00113D56">
        <w:rPr>
          <w:noProof/>
        </w:rPr>
        <w:t>14</w:t>
      </w:r>
      <w:r>
        <w:rPr>
          <w:noProof/>
        </w:rPr>
        <w:fldChar w:fldCharType="end"/>
      </w:r>
      <w:r w:rsidR="005A7EC7">
        <w:t>.  Curtea, în ceea ce o privește, reținând că, potrivit declarațiilor martorilor rezumate atât în rechizitoriu, cât și în sentința judecătoriei, reclamantul acționase în baza promisiunii unei sume de bani, subliniază totuși că nici parchetul, nici judecătoria nu au considerat că era vorba de un element de fapt determinant și nici nu au intenționat niciodată să examineze din perspectiva altei infracțiuni decât cea de favorizare a infractorului faptele reproșate reclamantului.</w:t>
      </w:r>
    </w:p>
    <w:p w:rsidR="007A1DC2" w:rsidRPr="00113D56" w:rsidRDefault="00243C6A" w:rsidP="00113D56">
      <w:pPr>
        <w:pStyle w:val="JuPara"/>
      </w:pPr>
      <w:r>
        <w:fldChar w:fldCharType="begin"/>
      </w:r>
      <w:r>
        <w:instrText xml:space="preserve"> SEQ level0 \*arabic \* MERGEFORMAT </w:instrText>
      </w:r>
      <w:r>
        <w:fldChar w:fldCharType="separate"/>
      </w:r>
      <w:r w:rsidR="00113D56" w:rsidRPr="00113D56">
        <w:rPr>
          <w:noProof/>
        </w:rPr>
        <w:t>15</w:t>
      </w:r>
      <w:r>
        <w:rPr>
          <w:noProof/>
        </w:rPr>
        <w:fldChar w:fldCharType="end"/>
      </w:r>
      <w:r w:rsidR="005A7EC7">
        <w:t>.  Nu se poate afirma nici că faptele pentru care reclamantul a fost condamnat în apel au fost elemente constitutive ale acuzației inițiale (</w:t>
      </w:r>
      <w:r w:rsidR="005A7EC7">
        <w:rPr>
          <w:i/>
        </w:rPr>
        <w:t xml:space="preserve">De Salvador </w:t>
      </w:r>
      <w:proofErr w:type="spellStart"/>
      <w:r w:rsidR="005A7EC7">
        <w:rPr>
          <w:i/>
        </w:rPr>
        <w:t>Torres</w:t>
      </w:r>
      <w:proofErr w:type="spellEnd"/>
      <w:r w:rsidR="005A7EC7">
        <w:rPr>
          <w:i/>
        </w:rPr>
        <w:t xml:space="preserve"> împotriva Spaniei</w:t>
      </w:r>
      <w:r w:rsidR="005A7EC7">
        <w:t>, 24 octombrie 1996, pct. 33, Culegere de hotărâri și decizii 1996</w:t>
      </w:r>
      <w:r w:rsidR="005A7EC7">
        <w:noBreakHyphen/>
        <w:t xml:space="preserve">V, </w:t>
      </w:r>
      <w:proofErr w:type="spellStart"/>
      <w:r w:rsidR="005A7EC7">
        <w:rPr>
          <w:i/>
        </w:rPr>
        <w:t>Sadak</w:t>
      </w:r>
      <w:proofErr w:type="spellEnd"/>
      <w:r w:rsidR="005A7EC7">
        <w:rPr>
          <w:i/>
        </w:rPr>
        <w:t xml:space="preserve"> și alții împotriva Turciei (nr. 1)</w:t>
      </w:r>
      <w:r w:rsidR="005A7EC7">
        <w:t xml:space="preserve">, nr. 29900/96 și alte 3, pct. 56, CEDO 2001-VIII, și </w:t>
      </w:r>
      <w:proofErr w:type="spellStart"/>
      <w:r w:rsidR="005A7EC7">
        <w:rPr>
          <w:i/>
        </w:rPr>
        <w:t>Juha</w:t>
      </w:r>
      <w:proofErr w:type="spellEnd"/>
      <w:r w:rsidR="005A7EC7">
        <w:rPr>
          <w:i/>
        </w:rPr>
        <w:t xml:space="preserve"> </w:t>
      </w:r>
      <w:proofErr w:type="spellStart"/>
      <w:r w:rsidR="005A7EC7">
        <w:rPr>
          <w:i/>
        </w:rPr>
        <w:t>Nuutinen</w:t>
      </w:r>
      <w:proofErr w:type="spellEnd"/>
      <w:r w:rsidR="005A7EC7">
        <w:rPr>
          <w:i/>
        </w:rPr>
        <w:t xml:space="preserve"> împotriva Finlandei</w:t>
      </w:r>
      <w:r w:rsidR="005A7EC7">
        <w:t xml:space="preserve">, nr. 45830/99, pct. 32, 24 aprilie 2007). În această privință, argumentul reclamantului potrivit căruia reîncadrarea juridică a faptelor nu era suficient de previzibilă pentru el devine de o importanță vădită. Într-adevăr, spre deosebire de acuzația inițială de favorizare a infractorului, tăinuirea implica din partea reclamantului intenția de a obține un câștig material. În condițiile date, fără a anticipa temeinicia argumentelor pe care acesta le-ar fi putut invoca dacă ar fi avut timpul necesar să-și pregătească apărarea împotriva acuzației de tăinuire, Curtea a reținut că acestea ar fi fost, </w:t>
      </w:r>
      <w:r w:rsidR="005A7EC7">
        <w:lastRenderedPageBreak/>
        <w:t>după toate probabilitățile, diferite de cele alese de persoana în cauză pentru a contesta acuzația inițială.</w:t>
      </w:r>
    </w:p>
    <w:p w:rsidR="007A1DC2" w:rsidRPr="00113D56" w:rsidRDefault="00243C6A" w:rsidP="00113D56">
      <w:pPr>
        <w:pStyle w:val="JuPara"/>
      </w:pPr>
      <w:r>
        <w:fldChar w:fldCharType="begin"/>
      </w:r>
      <w:r>
        <w:instrText xml:space="preserve"> SEQ level0 \*arabic \* MERGEFORMAT </w:instrText>
      </w:r>
      <w:r>
        <w:fldChar w:fldCharType="separate"/>
      </w:r>
      <w:r w:rsidR="00113D56" w:rsidRPr="00113D56">
        <w:rPr>
          <w:noProof/>
        </w:rPr>
        <w:t>16</w:t>
      </w:r>
      <w:r>
        <w:rPr>
          <w:noProof/>
        </w:rPr>
        <w:fldChar w:fldCharType="end"/>
      </w:r>
      <w:r w:rsidR="005A7EC7">
        <w:t>.  În cele din urmă, Curtea îndepărtează argumentul pe care Guvernul îl deduce din faptul că reîncadrarea juridică a faptelor nu a modificat limitele pedepsei aplicabile reclamantului. Curtea nu poate face speculații asupra eventualului rezultat al procedurii dacă persoana în cauză ar fi fost informată cu privire la această reîncadrare juridică.</w:t>
      </w:r>
    </w:p>
    <w:p w:rsidR="007A1DC2" w:rsidRPr="00113D56" w:rsidRDefault="00243C6A" w:rsidP="00113D56">
      <w:pPr>
        <w:pStyle w:val="JuPara"/>
      </w:pPr>
      <w:r>
        <w:fldChar w:fldCharType="begin"/>
      </w:r>
      <w:r>
        <w:instrText xml:space="preserve"> SEQ level0 \*arabic \* MERGEFORMAT </w:instrText>
      </w:r>
      <w:r>
        <w:fldChar w:fldCharType="separate"/>
      </w:r>
      <w:r w:rsidR="00113D56" w:rsidRPr="00113D56">
        <w:rPr>
          <w:noProof/>
        </w:rPr>
        <w:t>17</w:t>
      </w:r>
      <w:r>
        <w:rPr>
          <w:noProof/>
        </w:rPr>
        <w:fldChar w:fldCharType="end"/>
      </w:r>
      <w:r w:rsidR="005A7EC7">
        <w:t>.  Având în vedere toate aceste elemente, Curtea consideră că această reîncadrare juridică a adus atingere dreptului reclamantului de a fi informat în mod amănunțit asupra naturii și cauzei acuzației aduse împotriva sa, precum și a dreptului său de a dispune de timpul și de înlesnirile necesare pregătirii apărării.</w:t>
      </w:r>
    </w:p>
    <w:p w:rsidR="007A1DC2" w:rsidRPr="00113D56" w:rsidRDefault="007A1DC2" w:rsidP="00113D56">
      <w:pPr>
        <w:pStyle w:val="JuPara"/>
      </w:pPr>
      <w:fldSimple w:instr=" SEQ level0 \*arabic ">
        <w:r w:rsidR="00113D56" w:rsidRPr="00113D56">
          <w:t>18</w:t>
        </w:r>
      </w:fldSimple>
      <w:r>
        <w:t>.  Prin urmare, au fost încălcate art. 6 § 1 și art. 6 § 3 lit. a) și lit. b) din Convenție.</w:t>
      </w:r>
      <w:r>
        <w:rPr>
          <w:rFonts w:ascii="Arial" w:hAnsi="Arial"/>
          <w:color w:val="000000"/>
        </w:rPr>
        <w:t xml:space="preserve"> </w:t>
      </w:r>
      <w:r>
        <w:t>Având în vedere această concluzie, Curtea consideră că nu este necesar să se examineze separat aspectul capătului de cerere referitor la condamnarea reclamantului pe baza acelorași probe care au dus inițial la achitarea sa.</w:t>
      </w:r>
    </w:p>
    <w:p w:rsidR="007A1DC2" w:rsidRPr="00113D56" w:rsidRDefault="007A1DC2" w:rsidP="00113D56">
      <w:pPr>
        <w:pStyle w:val="JuHHead"/>
      </w:pPr>
      <w:r>
        <w:t>CU PRIVIRE LA APLICAREA ART. 41 DIN CONVENȚIE</w:t>
      </w:r>
    </w:p>
    <w:p w:rsidR="007A1DC2" w:rsidRPr="00113D56" w:rsidRDefault="007A1DC2" w:rsidP="00113D56">
      <w:pPr>
        <w:pStyle w:val="JuPara"/>
      </w:pPr>
      <w:fldSimple w:instr=" SEQ level0 \*arabic ">
        <w:r w:rsidR="00113D56" w:rsidRPr="00113D56">
          <w:t>19</w:t>
        </w:r>
      </w:fldSimple>
      <w:r>
        <w:t>.  Reclamantul solicită 7 000 de euro (EUR) cu titlu de prejudiciu pe care pretinde că l-a suferit, fără a preciza dacă este un prejudiciu material sau unul moral.</w:t>
      </w:r>
    </w:p>
    <w:p w:rsidR="007A1DC2" w:rsidRPr="00113D56" w:rsidRDefault="007A1DC2" w:rsidP="00113D56">
      <w:pPr>
        <w:pStyle w:val="JuPara"/>
      </w:pPr>
      <w:fldSimple w:instr=" SEQ level0 \*arabic ">
        <w:r w:rsidR="00113D56" w:rsidRPr="00113D56">
          <w:t>20</w:t>
        </w:r>
      </w:fldSimple>
      <w:r>
        <w:t>.  Guvernul consideră că o eventuală constatare a încălcării art. 6 din Convenție reprezintă în sine o reparație echitabilă suficientă. În subsidiar, apreciază că suma solicitată este excesivă.</w:t>
      </w:r>
    </w:p>
    <w:p w:rsidR="007A1DC2" w:rsidRPr="00113D56" w:rsidRDefault="007A1DC2" w:rsidP="00113D56">
      <w:pPr>
        <w:pStyle w:val="JuPara"/>
      </w:pPr>
      <w:fldSimple w:instr=" SEQ level0 \*arabic ">
        <w:r w:rsidR="00113D56" w:rsidRPr="00113D56">
          <w:t>21</w:t>
        </w:r>
      </w:fldSimple>
      <w:r>
        <w:t>.  Curtea acordă reclamantului 6 000 EUR pentru prejudiciul moral, plus orice sumă ce poate fi datorată cu titlu de impozit pentru această sumă.</w:t>
      </w:r>
    </w:p>
    <w:p w:rsidR="007A1DC2" w:rsidRPr="00113D56" w:rsidRDefault="00243C6A" w:rsidP="00113D56">
      <w:pPr>
        <w:pStyle w:val="JuPara"/>
      </w:pPr>
      <w:r>
        <w:fldChar w:fldCharType="begin"/>
      </w:r>
      <w:r>
        <w:instrText xml:space="preserve"> SEQ level0 \*arabic \* MERGEFORMAT </w:instrText>
      </w:r>
      <w:r>
        <w:fldChar w:fldCharType="separate"/>
      </w:r>
      <w:r w:rsidR="00113D56" w:rsidRPr="00113D56">
        <w:rPr>
          <w:noProof/>
        </w:rPr>
        <w:t>22</w:t>
      </w:r>
      <w:r>
        <w:rPr>
          <w:noProof/>
        </w:rPr>
        <w:fldChar w:fldCharType="end"/>
      </w:r>
      <w:r w:rsidR="005A7EC7">
        <w:t xml:space="preserve">.  De asemenea, Curtea reamintește că, atunci când o persoană particulară, precum în speță, a fost condamnată în urma unei proceduri viciate de încălcări ale cerințelor art. 6 din Convenție, </w:t>
      </w:r>
      <w:bookmarkStart w:id="2" w:name="_1000006"/>
      <w:bookmarkStart w:id="3" w:name="_1000007"/>
      <w:bookmarkEnd w:id="2"/>
      <w:bookmarkEnd w:id="3"/>
      <w:r w:rsidR="005A7EC7">
        <w:t xml:space="preserve">un nou proces sau o redeschidere a procedurii la cererea persoanei în cauză reprezintă, în principiu, un mijloc adecvat de reparare a încălcării constatate (a se vedea, între altele, </w:t>
      </w:r>
      <w:proofErr w:type="spellStart"/>
      <w:r w:rsidR="005A7EC7">
        <w:rPr>
          <w:i/>
        </w:rPr>
        <w:t>Maestri</w:t>
      </w:r>
      <w:proofErr w:type="spellEnd"/>
      <w:r w:rsidR="005A7EC7">
        <w:rPr>
          <w:i/>
        </w:rPr>
        <w:t xml:space="preserve"> și alții împotriva Italiei</w:t>
      </w:r>
      <w:r w:rsidR="005A7EC7">
        <w:t xml:space="preserve">, nr. 20903/15 și alte 3, pct. 72 </w:t>
      </w:r>
      <w:r w:rsidR="005A7EC7">
        <w:rPr>
          <w:i/>
        </w:rPr>
        <w:t>in fine</w:t>
      </w:r>
      <w:r w:rsidR="005A7EC7">
        <w:t>, 8 iulie 2021). În această privință, observă că art. 465 din Codul de procedură penală, intrat în vigoare la 1 februarie 2014, permite revizuirea unui proces pe plan intern în cazul în care Curtea a constatat încălcarea drepturilor și a libertăților fundamentale ale unui reclamant (</w:t>
      </w:r>
      <w:r w:rsidR="005A7EC7">
        <w:rPr>
          <w:i/>
        </w:rPr>
        <w:t>Ovidiu Cristian Stoica</w:t>
      </w:r>
      <w:r w:rsidR="005A7EC7">
        <w:t xml:space="preserve"> </w:t>
      </w:r>
      <w:r w:rsidR="005A7EC7">
        <w:rPr>
          <w:i/>
          <w:iCs/>
        </w:rPr>
        <w:t>împotriva României</w:t>
      </w:r>
      <w:r w:rsidR="005A7EC7">
        <w:t>, nr. 55116/12, pct. 53, 24 aprilie 2018).</w:t>
      </w:r>
    </w:p>
    <w:p w:rsidR="007A1DC2" w:rsidRPr="00113D56" w:rsidRDefault="007A1DC2" w:rsidP="00113D56">
      <w:pPr>
        <w:pStyle w:val="JuHHead"/>
      </w:pPr>
      <w:r>
        <w:t>PENTRU ACESTE MOTIVE, CURTEA, ÎN UNANIMITATE,</w:t>
      </w:r>
    </w:p>
    <w:p w:rsidR="007A1DC2" w:rsidRPr="00113D56" w:rsidRDefault="007A1DC2" w:rsidP="00113D56">
      <w:pPr>
        <w:pStyle w:val="JuList"/>
      </w:pPr>
      <w:r>
        <w:rPr>
          <w:i/>
        </w:rPr>
        <w:t>Declară</w:t>
      </w:r>
      <w:r>
        <w:t xml:space="preserve"> cererea admisibilă;</w:t>
      </w:r>
    </w:p>
    <w:p w:rsidR="007A1DC2" w:rsidRPr="00113D56" w:rsidRDefault="007A1DC2" w:rsidP="00113D56">
      <w:pPr>
        <w:pStyle w:val="JuList"/>
      </w:pPr>
      <w:r>
        <w:rPr>
          <w:i/>
        </w:rPr>
        <w:lastRenderedPageBreak/>
        <w:t xml:space="preserve">Hotărăște </w:t>
      </w:r>
      <w:r>
        <w:t>că a fost încălcat art. 6 § 1 și art. 6 § 3 lit. a) și lit. b) din Convenție ca urmare a reîncadrării juridice de către curtea de apel a faptelor de care era acuzat reclamantul în tăinuire;</w:t>
      </w:r>
    </w:p>
    <w:p w:rsidR="007A1DC2" w:rsidRPr="00113D56" w:rsidRDefault="007A1DC2" w:rsidP="00113D56">
      <w:pPr>
        <w:pStyle w:val="JuList"/>
      </w:pPr>
      <w:r>
        <w:rPr>
          <w:i/>
        </w:rPr>
        <w:t>Hotărăște</w:t>
      </w:r>
      <w:r>
        <w:t xml:space="preserve"> că nu este necesar să examineze temeinicia plângerii întemeiate pe art. 6 § 1 și art. 6 § 3 lit. d) din Convenție referitor la condamnarea reclamantului pe baza acelorași probe care au dus inițial la achitarea sa;</w:t>
      </w:r>
    </w:p>
    <w:p w:rsidR="007A1DC2" w:rsidRPr="00113D56" w:rsidRDefault="007A1DC2" w:rsidP="00113D56">
      <w:pPr>
        <w:pStyle w:val="JuList"/>
      </w:pPr>
      <w:r>
        <w:rPr>
          <w:i/>
          <w:iCs/>
        </w:rPr>
        <w:t>Hotărăște</w:t>
      </w:r>
    </w:p>
    <w:p w:rsidR="007A1DC2" w:rsidRPr="00113D56" w:rsidRDefault="007A1DC2" w:rsidP="00113D56">
      <w:pPr>
        <w:pStyle w:val="JuLista"/>
      </w:pPr>
      <w:r>
        <w:t>că statul pârât trebuie să îi plătească reclamantului, în termen de trei luni, suma de 6 000 EUR (șase mii de euro), care trebuie convertită în moneda statului pârât la rata de schimb aplicabilă la data plății, plus orice sumă ce poate fi datorată cu titlu de impozit pentru această sumă;</w:t>
      </w:r>
    </w:p>
    <w:p w:rsidR="007A1DC2" w:rsidRPr="00113D56" w:rsidRDefault="007A1DC2" w:rsidP="00113D56">
      <w:pPr>
        <w:pStyle w:val="JuLista"/>
      </w:pPr>
      <w:r>
        <w:t>că, de la expirarea termenului menționat și până la efectuarea plății, această sumă trebuie majorată cu o dobândă simplă, la o rată egală cu rata dobânzii facilității de împrumut marginal practicată de Banca Centrală Europeană, aplicabilă pe parcursul acestei perioade și majorată cu trei puncte procentuale;</w:t>
      </w:r>
    </w:p>
    <w:p w:rsidR="00876F03" w:rsidRPr="00113D56" w:rsidRDefault="007A1DC2" w:rsidP="00113D56">
      <w:pPr>
        <w:pStyle w:val="JuList"/>
      </w:pPr>
      <w:r>
        <w:rPr>
          <w:i/>
        </w:rPr>
        <w:t>Respinge</w:t>
      </w:r>
      <w:r>
        <w:t xml:space="preserve"> cererea de acordare a unei reparații echitabile pentru celelalte capete de cerere.</w:t>
      </w:r>
    </w:p>
    <w:p w:rsidR="00893F30" w:rsidRPr="00113D56" w:rsidRDefault="00893F30" w:rsidP="00113D56">
      <w:pPr>
        <w:pStyle w:val="JuParaLast"/>
      </w:pPr>
      <w:r>
        <w:t>Redactată în limba franceză, apoi comunicată în scris la 13 decembrie 2022, în temeiul art. 77 § 2 și art. 77 § 3 din Regulament.</w:t>
      </w:r>
    </w:p>
    <w:p w:rsidR="00F94531" w:rsidRPr="00113D56" w:rsidRDefault="00510D77" w:rsidP="00113D56">
      <w:pPr>
        <w:pStyle w:val="JuSigned"/>
        <w:keepNext/>
        <w:keepLines/>
        <w:rPr>
          <w:color w:val="F8F8F8" w:themeColor="background2"/>
        </w:rPr>
      </w:pPr>
      <w:r>
        <w:rPr>
          <w:color w:val="F8F8F8" w:themeColor="background2"/>
        </w:rPr>
        <w:tab/>
      </w:r>
    </w:p>
    <w:p w:rsidR="00876F03" w:rsidRPr="00113D56" w:rsidRDefault="009A4F7E" w:rsidP="00113D56">
      <w:pPr>
        <w:pStyle w:val="JuSigned"/>
        <w:ind w:firstLine="284"/>
      </w:pPr>
      <w:r>
        <w:t xml:space="preserve">Crina </w:t>
      </w:r>
      <w:proofErr w:type="spellStart"/>
      <w:r>
        <w:t>Kaufman</w:t>
      </w:r>
      <w:proofErr w:type="spellEnd"/>
      <w:r>
        <w:tab/>
      </w:r>
      <w:proofErr w:type="spellStart"/>
      <w:r>
        <w:t>Branko</w:t>
      </w:r>
      <w:proofErr w:type="spellEnd"/>
      <w:r>
        <w:t xml:space="preserve"> </w:t>
      </w:r>
      <w:proofErr w:type="spellStart"/>
      <w:r>
        <w:t>Lubarda</w:t>
      </w:r>
      <w:proofErr w:type="spellEnd"/>
      <w:r>
        <w:t xml:space="preserve"> </w:t>
      </w:r>
      <w:r>
        <w:br/>
      </w:r>
      <w:r>
        <w:tab/>
        <w:t>Grefier adjunct a.i.</w:t>
      </w:r>
      <w:r>
        <w:tab/>
        <w:t>Președinte</w:t>
      </w:r>
    </w:p>
    <w:sectPr w:rsidR="00876F03" w:rsidRPr="00113D56">
      <w:headerReference w:type="even" r:id="rId16"/>
      <w:headerReference w:type="default" r:id="rId17"/>
      <w:footerReference w:type="default" r:id="rId18"/>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EC7" w:rsidRPr="007A1DC2" w:rsidRDefault="005A7EC7" w:rsidP="00516B59">
      <w:r w:rsidRPr="007A1DC2">
        <w:separator/>
      </w:r>
    </w:p>
  </w:endnote>
  <w:endnote w:type="continuationSeparator" w:id="0">
    <w:p w:rsidR="005A7EC7" w:rsidRPr="007A1DC2" w:rsidRDefault="005A7EC7" w:rsidP="00516B59">
      <w:r w:rsidRPr="007A1D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AD6" w:rsidRPr="007A1DC2" w:rsidRDefault="007A1DC2" w:rsidP="00954AD6">
    <w:pPr>
      <w:pStyle w:val="JuHeader"/>
    </w:pPr>
    <w:r>
      <w:fldChar w:fldCharType="begin"/>
    </w:r>
    <w:r>
      <w:instrText xml:space="preserve"> PAGE </w:instrText>
    </w:r>
    <w:r>
      <w:fldChar w:fldCharType="separate"/>
    </w:r>
    <w:r w:rsidR="00243C6A">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DC2" w:rsidRPr="00150BFA" w:rsidRDefault="007A1DC2" w:rsidP="0020718E">
    <w:pPr>
      <w:jc w:val="center"/>
    </w:pPr>
    <w:r>
      <w:rPr>
        <w:noProof/>
        <w:lang w:eastAsia="ro-RO"/>
      </w:rPr>
      <w:drawing>
        <wp:inline distT="0" distB="0" distL="0" distR="0" wp14:anchorId="6979E530" wp14:editId="045A45B9">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F22D5C" w:rsidRPr="007A1DC2" w:rsidRDefault="00243C6A"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DC2" w:rsidRPr="00150BFA" w:rsidRDefault="007A1DC2" w:rsidP="0020718E">
    <w:pPr>
      <w:jc w:val="center"/>
    </w:pPr>
    <w:r>
      <w:rPr>
        <w:noProof/>
        <w:lang w:eastAsia="ro-RO"/>
      </w:rPr>
      <w:drawing>
        <wp:inline distT="0" distB="0" distL="0" distR="0" wp14:anchorId="2BB50457" wp14:editId="5A7453B2">
          <wp:extent cx="771525" cy="619125"/>
          <wp:effectExtent l="0" t="0" r="9525" b="9525"/>
          <wp:docPr id="12" name="Picture 1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902601" w:rsidRPr="007A1DC2"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D01935" w:rsidRDefault="007A1DC2" w:rsidP="00662882">
    <w:pPr>
      <w:pStyle w:val="JuHeader"/>
    </w:pPr>
    <w:r>
      <w:fldChar w:fldCharType="begin"/>
    </w:r>
    <w:r>
      <w:instrText xml:space="preserve"> PAGE </w:instrText>
    </w:r>
    <w:r>
      <w:fldChar w:fldCharType="separate"/>
    </w:r>
    <w:r w:rsidR="00243C6A">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EC7" w:rsidRPr="007A1DC2" w:rsidRDefault="005A7EC7" w:rsidP="00516B59">
      <w:r w:rsidRPr="007A1DC2">
        <w:separator/>
      </w:r>
    </w:p>
  </w:footnote>
  <w:footnote w:type="continuationSeparator" w:id="0">
    <w:p w:rsidR="005A7EC7" w:rsidRPr="007A1DC2" w:rsidRDefault="005A7EC7" w:rsidP="00516B59">
      <w:r w:rsidRPr="007A1D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DC2" w:rsidRPr="00A45145" w:rsidRDefault="007A1DC2" w:rsidP="00A45145">
    <w:pPr>
      <w:jc w:val="center"/>
    </w:pPr>
    <w:r>
      <w:rPr>
        <w:noProof/>
        <w:lang w:eastAsia="ro-RO"/>
      </w:rPr>
      <w:drawing>
        <wp:inline distT="0" distB="0" distL="0" distR="0" wp14:anchorId="15DF0CF2" wp14:editId="29005291">
          <wp:extent cx="2962275" cy="1219200"/>
          <wp:effectExtent l="0" t="0" r="9525" b="0"/>
          <wp:docPr id="13" name="Picture 1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F22D5C" w:rsidRPr="007A1DC2" w:rsidRDefault="00243C6A" w:rsidP="009840A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C6A" w:rsidRPr="0005536D" w:rsidRDefault="00243C6A" w:rsidP="00243C6A">
    <w:pPr>
      <w:jc w:val="right"/>
      <w:rPr>
        <w:i/>
      </w:rPr>
    </w:pPr>
    <w:r>
      <w:rPr>
        <w:i/>
      </w:rPr>
      <w:t>Tradus și revizuit de IER (</w:t>
    </w:r>
    <w:hyperlink r:id="rId1" w:history="1">
      <w:r>
        <w:rPr>
          <w:rStyle w:val="Hyperlink"/>
          <w:i/>
        </w:rPr>
        <w:t>http://ier.gov.ro/</w:t>
      </w:r>
    </w:hyperlink>
    <w:r>
      <w:rPr>
        <w:i/>
      </w:rPr>
      <w:t>)</w:t>
    </w:r>
  </w:p>
  <w:p w:rsidR="00243C6A" w:rsidRDefault="00243C6A" w:rsidP="00A45145">
    <w:pPr>
      <w:jc w:val="center"/>
    </w:pPr>
  </w:p>
  <w:p w:rsidR="007A1DC2" w:rsidRPr="00A45145" w:rsidRDefault="007A1DC2" w:rsidP="00A45145">
    <w:pPr>
      <w:jc w:val="center"/>
    </w:pPr>
    <w:r>
      <w:rPr>
        <w:noProof/>
        <w:lang w:eastAsia="ro-RO"/>
      </w:rPr>
      <w:drawing>
        <wp:anchor distT="0" distB="0" distL="114300" distR="114300" simplePos="0" relativeHeight="251658240" behindDoc="1" locked="0" layoutInCell="1" allowOverlap="1">
          <wp:simplePos x="0" y="0"/>
          <wp:positionH relativeFrom="column">
            <wp:posOffset>851535</wp:posOffset>
          </wp:positionH>
          <wp:positionV relativeFrom="paragraph">
            <wp:posOffset>-3810</wp:posOffset>
          </wp:positionV>
          <wp:extent cx="2962275" cy="1219200"/>
          <wp:effectExtent l="0" t="0" r="9525" b="0"/>
          <wp:wrapTight wrapText="bothSides">
            <wp:wrapPolygon edited="0">
              <wp:start x="0" y="0"/>
              <wp:lineTo x="0" y="21263"/>
              <wp:lineTo x="21531" y="21263"/>
              <wp:lineTo x="21531" y="0"/>
              <wp:lineTo x="0" y="0"/>
            </wp:wrapPolygon>
          </wp:wrapTight>
          <wp:docPr id="11" name="Picture 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anchor>
      </w:drawing>
    </w:r>
  </w:p>
  <w:p w:rsidR="00902601" w:rsidRPr="007A1DC2" w:rsidRDefault="00902601"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592C8D" w:rsidRDefault="00A21624" w:rsidP="00A21624">
    <w:pPr>
      <w:pStyle w:val="JuHeader"/>
    </w:pPr>
    <w:r>
      <w:t xml:space="preserve">HOTĂRÂREA ALECSANDRESCU ÎMPOTRIVA ROMÂNIEI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662882" w:rsidRDefault="00256F45" w:rsidP="00662882">
    <w:pPr>
      <w:pStyle w:val="JuHeader"/>
    </w:pPr>
    <w:r>
      <w:t xml:space="preserve">HOTĂRÂREA ALECSANDRESCU ÎMPOTRIVA ROMÂNIEI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11"/>
  </w:num>
  <w:num w:numId="3">
    <w:abstractNumId w:val="10"/>
  </w:num>
  <w:num w:numId="4">
    <w:abstractNumId w:val="16"/>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
  </w:num>
  <w:num w:numId="15">
    <w:abstractNumId w:val="14"/>
  </w:num>
  <w:num w:numId="16">
    <w:abstractNumId w:val="12"/>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6145"/>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PAR VOIE ÈLECTRONIQUE UNIQUEMENT"/>
    <w:docVar w:name="L4_1Annex" w:val="0"/>
    <w:docVar w:name="L4_1Anonymity" w:val="0"/>
    <w:docVar w:name="NBEMMDOC" w:val="0"/>
    <w:docVar w:name="Plural" w:val="0"/>
    <w:docVar w:name="SignForeName" w:val="0"/>
    <w:docVar w:name="SndCaseNumber" w:val="Error!Nodocumentvariablesupplied."/>
  </w:docVars>
  <w:rsids>
    <w:rsidRoot w:val="007A1DC2"/>
    <w:rsid w:val="000041F8"/>
    <w:rsid w:val="000042A8"/>
    <w:rsid w:val="00004308"/>
    <w:rsid w:val="00005BF0"/>
    <w:rsid w:val="00007154"/>
    <w:rsid w:val="000103AE"/>
    <w:rsid w:val="00011D69"/>
    <w:rsid w:val="00012AD3"/>
    <w:rsid w:val="00015C2D"/>
    <w:rsid w:val="00015F00"/>
    <w:rsid w:val="00022C1D"/>
    <w:rsid w:val="00034987"/>
    <w:rsid w:val="00051015"/>
    <w:rsid w:val="000602DF"/>
    <w:rsid w:val="00061B05"/>
    <w:rsid w:val="000632D5"/>
    <w:rsid w:val="000644EE"/>
    <w:rsid w:val="000675A9"/>
    <w:rsid w:val="00080ECE"/>
    <w:rsid w:val="00086E4E"/>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4E23"/>
    <w:rsid w:val="00111B0C"/>
    <w:rsid w:val="00113D56"/>
    <w:rsid w:val="00117CD2"/>
    <w:rsid w:val="00120D6C"/>
    <w:rsid w:val="001257EC"/>
    <w:rsid w:val="00133D33"/>
    <w:rsid w:val="00134D64"/>
    <w:rsid w:val="00135A30"/>
    <w:rsid w:val="0013612C"/>
    <w:rsid w:val="00137FF6"/>
    <w:rsid w:val="00141650"/>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D63ED"/>
    <w:rsid w:val="001D7348"/>
    <w:rsid w:val="001E035B"/>
    <w:rsid w:val="001E0961"/>
    <w:rsid w:val="001E3EAE"/>
    <w:rsid w:val="001E6F32"/>
    <w:rsid w:val="001F2145"/>
    <w:rsid w:val="001F39F4"/>
    <w:rsid w:val="001F6262"/>
    <w:rsid w:val="001F67B0"/>
    <w:rsid w:val="001F7B3D"/>
    <w:rsid w:val="00204F24"/>
    <w:rsid w:val="00205F9F"/>
    <w:rsid w:val="00210338"/>
    <w:rsid w:val="002115FC"/>
    <w:rsid w:val="00212184"/>
    <w:rsid w:val="0021423C"/>
    <w:rsid w:val="00230D00"/>
    <w:rsid w:val="00231364"/>
    <w:rsid w:val="00231DF7"/>
    <w:rsid w:val="00231FD1"/>
    <w:rsid w:val="002339E0"/>
    <w:rsid w:val="00233CF8"/>
    <w:rsid w:val="0023575D"/>
    <w:rsid w:val="00237148"/>
    <w:rsid w:val="0024222D"/>
    <w:rsid w:val="00243C6A"/>
    <w:rsid w:val="00244B0E"/>
    <w:rsid w:val="00244F6C"/>
    <w:rsid w:val="002532C5"/>
    <w:rsid w:val="002546AE"/>
    <w:rsid w:val="00256F45"/>
    <w:rsid w:val="00260C03"/>
    <w:rsid w:val="0026540E"/>
    <w:rsid w:val="00275123"/>
    <w:rsid w:val="002819C5"/>
    <w:rsid w:val="00282240"/>
    <w:rsid w:val="002948AD"/>
    <w:rsid w:val="0029739C"/>
    <w:rsid w:val="002A01CC"/>
    <w:rsid w:val="002A61B1"/>
    <w:rsid w:val="002A663C"/>
    <w:rsid w:val="002B444B"/>
    <w:rsid w:val="002B5887"/>
    <w:rsid w:val="002B7E83"/>
    <w:rsid w:val="002C0E27"/>
    <w:rsid w:val="002C3040"/>
    <w:rsid w:val="002D022D"/>
    <w:rsid w:val="002D24BB"/>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471AF"/>
    <w:rsid w:val="003506B1"/>
    <w:rsid w:val="00356AC7"/>
    <w:rsid w:val="003609FA"/>
    <w:rsid w:val="00361D45"/>
    <w:rsid w:val="00367B4F"/>
    <w:rsid w:val="003710C8"/>
    <w:rsid w:val="003722CE"/>
    <w:rsid w:val="003750BE"/>
    <w:rsid w:val="00387B9D"/>
    <w:rsid w:val="0039364F"/>
    <w:rsid w:val="00396686"/>
    <w:rsid w:val="0039778E"/>
    <w:rsid w:val="003A37B8"/>
    <w:rsid w:val="003B4941"/>
    <w:rsid w:val="003B6A2E"/>
    <w:rsid w:val="003C5714"/>
    <w:rsid w:val="003C6B9F"/>
    <w:rsid w:val="003C6E2A"/>
    <w:rsid w:val="003D0299"/>
    <w:rsid w:val="003D32BE"/>
    <w:rsid w:val="003E147C"/>
    <w:rsid w:val="003E3C33"/>
    <w:rsid w:val="003E3FE3"/>
    <w:rsid w:val="003E6D80"/>
    <w:rsid w:val="003E7A9C"/>
    <w:rsid w:val="003F05FA"/>
    <w:rsid w:val="003F244A"/>
    <w:rsid w:val="003F30B8"/>
    <w:rsid w:val="003F4C45"/>
    <w:rsid w:val="003F5F7B"/>
    <w:rsid w:val="003F7D64"/>
    <w:rsid w:val="00401F7D"/>
    <w:rsid w:val="0041177B"/>
    <w:rsid w:val="00414300"/>
    <w:rsid w:val="00425C67"/>
    <w:rsid w:val="00427E7A"/>
    <w:rsid w:val="00431C07"/>
    <w:rsid w:val="004344E6"/>
    <w:rsid w:val="00436C49"/>
    <w:rsid w:val="00445366"/>
    <w:rsid w:val="00447F5B"/>
    <w:rsid w:val="00456549"/>
    <w:rsid w:val="004604A0"/>
    <w:rsid w:val="00461DB0"/>
    <w:rsid w:val="00463926"/>
    <w:rsid w:val="00464C9A"/>
    <w:rsid w:val="00474F3D"/>
    <w:rsid w:val="00477E3A"/>
    <w:rsid w:val="00483E5F"/>
    <w:rsid w:val="00485FF9"/>
    <w:rsid w:val="004907F0"/>
    <w:rsid w:val="0049140B"/>
    <w:rsid w:val="004923A5"/>
    <w:rsid w:val="00496197"/>
    <w:rsid w:val="00496BFB"/>
    <w:rsid w:val="004A15C7"/>
    <w:rsid w:val="004B013B"/>
    <w:rsid w:val="004B112B"/>
    <w:rsid w:val="004B22EF"/>
    <w:rsid w:val="004C01E4"/>
    <w:rsid w:val="004C086C"/>
    <w:rsid w:val="004C14C4"/>
    <w:rsid w:val="004C1A3F"/>
    <w:rsid w:val="004C1F56"/>
    <w:rsid w:val="004C27BC"/>
    <w:rsid w:val="004D15F3"/>
    <w:rsid w:val="004D5311"/>
    <w:rsid w:val="004D5DCC"/>
    <w:rsid w:val="004E22F1"/>
    <w:rsid w:val="004F10AF"/>
    <w:rsid w:val="004F11A4"/>
    <w:rsid w:val="004F2389"/>
    <w:rsid w:val="004F304D"/>
    <w:rsid w:val="004F61BE"/>
    <w:rsid w:val="004F66B1"/>
    <w:rsid w:val="00500D97"/>
    <w:rsid w:val="00510D77"/>
    <w:rsid w:val="00511C0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781"/>
    <w:rsid w:val="00566E2B"/>
    <w:rsid w:val="0057271C"/>
    <w:rsid w:val="00572845"/>
    <w:rsid w:val="00576986"/>
    <w:rsid w:val="00592772"/>
    <w:rsid w:val="00592C8D"/>
    <w:rsid w:val="0059574A"/>
    <w:rsid w:val="005A1B9B"/>
    <w:rsid w:val="005A6751"/>
    <w:rsid w:val="005A7EC7"/>
    <w:rsid w:val="005B092E"/>
    <w:rsid w:val="005B152C"/>
    <w:rsid w:val="005B1EE0"/>
    <w:rsid w:val="005B2B24"/>
    <w:rsid w:val="005B4425"/>
    <w:rsid w:val="005B4B94"/>
    <w:rsid w:val="005C353F"/>
    <w:rsid w:val="005C3EE8"/>
    <w:rsid w:val="005D34F9"/>
    <w:rsid w:val="005D4190"/>
    <w:rsid w:val="005D67A3"/>
    <w:rsid w:val="005E2988"/>
    <w:rsid w:val="005E3085"/>
    <w:rsid w:val="005F51E1"/>
    <w:rsid w:val="00610F7A"/>
    <w:rsid w:val="00611C80"/>
    <w:rsid w:val="00613B21"/>
    <w:rsid w:val="00620692"/>
    <w:rsid w:val="006242CA"/>
    <w:rsid w:val="00627507"/>
    <w:rsid w:val="00633717"/>
    <w:rsid w:val="00633F50"/>
    <w:rsid w:val="006344E1"/>
    <w:rsid w:val="006361FD"/>
    <w:rsid w:val="006545C4"/>
    <w:rsid w:val="00654B7E"/>
    <w:rsid w:val="00661971"/>
    <w:rsid w:val="00661CE8"/>
    <w:rsid w:val="006623D9"/>
    <w:rsid w:val="00662882"/>
    <w:rsid w:val="0066550C"/>
    <w:rsid w:val="006716F2"/>
    <w:rsid w:val="00682BF2"/>
    <w:rsid w:val="006859CE"/>
    <w:rsid w:val="00691270"/>
    <w:rsid w:val="00694BA8"/>
    <w:rsid w:val="006A037C"/>
    <w:rsid w:val="006A36F4"/>
    <w:rsid w:val="006A406F"/>
    <w:rsid w:val="006A5D3A"/>
    <w:rsid w:val="006C23D4"/>
    <w:rsid w:val="006C475E"/>
    <w:rsid w:val="006C7BB0"/>
    <w:rsid w:val="006D3237"/>
    <w:rsid w:val="006E2E37"/>
    <w:rsid w:val="006E3CF1"/>
    <w:rsid w:val="006E7E80"/>
    <w:rsid w:val="006F48CA"/>
    <w:rsid w:val="006F64DD"/>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75B6D"/>
    <w:rsid w:val="00776D68"/>
    <w:rsid w:val="007850EE"/>
    <w:rsid w:val="00785B95"/>
    <w:rsid w:val="00790AAD"/>
    <w:rsid w:val="00790E96"/>
    <w:rsid w:val="00793366"/>
    <w:rsid w:val="00794E99"/>
    <w:rsid w:val="007971FF"/>
    <w:rsid w:val="007A1DC2"/>
    <w:rsid w:val="007A4070"/>
    <w:rsid w:val="007A716F"/>
    <w:rsid w:val="007B270A"/>
    <w:rsid w:val="007C0695"/>
    <w:rsid w:val="007C419A"/>
    <w:rsid w:val="007C4CC8"/>
    <w:rsid w:val="007C5426"/>
    <w:rsid w:val="007C5798"/>
    <w:rsid w:val="007D4832"/>
    <w:rsid w:val="007E21B2"/>
    <w:rsid w:val="007E2C4E"/>
    <w:rsid w:val="007F1905"/>
    <w:rsid w:val="007F7FC6"/>
    <w:rsid w:val="00801300"/>
    <w:rsid w:val="00802C64"/>
    <w:rsid w:val="0080523A"/>
    <w:rsid w:val="00805E52"/>
    <w:rsid w:val="008061D0"/>
    <w:rsid w:val="00810B38"/>
    <w:rsid w:val="008136AE"/>
    <w:rsid w:val="008204C7"/>
    <w:rsid w:val="00820992"/>
    <w:rsid w:val="00823602"/>
    <w:rsid w:val="008255F5"/>
    <w:rsid w:val="0083014E"/>
    <w:rsid w:val="0083214A"/>
    <w:rsid w:val="00834220"/>
    <w:rsid w:val="00845723"/>
    <w:rsid w:val="00851EF9"/>
    <w:rsid w:val="008577FD"/>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B02DC"/>
    <w:rsid w:val="008B2698"/>
    <w:rsid w:val="008B57CE"/>
    <w:rsid w:val="008C26DE"/>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1D7D"/>
    <w:rsid w:val="00954AD6"/>
    <w:rsid w:val="009630C7"/>
    <w:rsid w:val="00972B55"/>
    <w:rsid w:val="009743B7"/>
    <w:rsid w:val="00975039"/>
    <w:rsid w:val="00977227"/>
    <w:rsid w:val="0098228B"/>
    <w:rsid w:val="009828DA"/>
    <w:rsid w:val="00985BAB"/>
    <w:rsid w:val="009A4F7E"/>
    <w:rsid w:val="009B1B5F"/>
    <w:rsid w:val="009B6673"/>
    <w:rsid w:val="009C191B"/>
    <w:rsid w:val="009C2BD6"/>
    <w:rsid w:val="009D2F52"/>
    <w:rsid w:val="009E16D2"/>
    <w:rsid w:val="009E1F32"/>
    <w:rsid w:val="009E5A17"/>
    <w:rsid w:val="009E776C"/>
    <w:rsid w:val="00A00672"/>
    <w:rsid w:val="00A132AD"/>
    <w:rsid w:val="00A1726E"/>
    <w:rsid w:val="00A204CF"/>
    <w:rsid w:val="00A21624"/>
    <w:rsid w:val="00A22C62"/>
    <w:rsid w:val="00A23D49"/>
    <w:rsid w:val="00A27004"/>
    <w:rsid w:val="00A30C29"/>
    <w:rsid w:val="00A34DD6"/>
    <w:rsid w:val="00A36819"/>
    <w:rsid w:val="00A36989"/>
    <w:rsid w:val="00A43628"/>
    <w:rsid w:val="00A43AA3"/>
    <w:rsid w:val="00A4783F"/>
    <w:rsid w:val="00A54192"/>
    <w:rsid w:val="00A6035E"/>
    <w:rsid w:val="00A6144C"/>
    <w:rsid w:val="00A66617"/>
    <w:rsid w:val="00A671F8"/>
    <w:rsid w:val="00A673A4"/>
    <w:rsid w:val="00A724AE"/>
    <w:rsid w:val="00A73329"/>
    <w:rsid w:val="00A75785"/>
    <w:rsid w:val="00A8094B"/>
    <w:rsid w:val="00A82359"/>
    <w:rsid w:val="00A865D2"/>
    <w:rsid w:val="00A94C20"/>
    <w:rsid w:val="00AA227F"/>
    <w:rsid w:val="00AA3BC7"/>
    <w:rsid w:val="00AA754A"/>
    <w:rsid w:val="00AB099E"/>
    <w:rsid w:val="00AB4328"/>
    <w:rsid w:val="00AB5628"/>
    <w:rsid w:val="00AC00C2"/>
    <w:rsid w:val="00AC5872"/>
    <w:rsid w:val="00AD2473"/>
    <w:rsid w:val="00AE0A2E"/>
    <w:rsid w:val="00AE354C"/>
    <w:rsid w:val="00AF4B07"/>
    <w:rsid w:val="00AF6186"/>
    <w:rsid w:val="00AF7A3A"/>
    <w:rsid w:val="00B009F4"/>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5607B"/>
    <w:rsid w:val="00C6098E"/>
    <w:rsid w:val="00C6152C"/>
    <w:rsid w:val="00C74810"/>
    <w:rsid w:val="00C81ACF"/>
    <w:rsid w:val="00C90D68"/>
    <w:rsid w:val="00C939FE"/>
    <w:rsid w:val="00CA4BDA"/>
    <w:rsid w:val="00CA7C61"/>
    <w:rsid w:val="00CB1F66"/>
    <w:rsid w:val="00CB2951"/>
    <w:rsid w:val="00CD282B"/>
    <w:rsid w:val="00CD4C35"/>
    <w:rsid w:val="00CD7369"/>
    <w:rsid w:val="00CE0B0E"/>
    <w:rsid w:val="00CE3831"/>
    <w:rsid w:val="00D00ABB"/>
    <w:rsid w:val="00D02781"/>
    <w:rsid w:val="00D02EEC"/>
    <w:rsid w:val="00D03551"/>
    <w:rsid w:val="00D06A63"/>
    <w:rsid w:val="00D07E0E"/>
    <w:rsid w:val="00D11478"/>
    <w:rsid w:val="00D143FF"/>
    <w:rsid w:val="00D15ED0"/>
    <w:rsid w:val="00D21B3E"/>
    <w:rsid w:val="00D21C26"/>
    <w:rsid w:val="00D21FED"/>
    <w:rsid w:val="00D24251"/>
    <w:rsid w:val="00D343E2"/>
    <w:rsid w:val="00D361A2"/>
    <w:rsid w:val="00D44C2E"/>
    <w:rsid w:val="00D45414"/>
    <w:rsid w:val="00D54FF1"/>
    <w:rsid w:val="00D55E2C"/>
    <w:rsid w:val="00D566BD"/>
    <w:rsid w:val="00D57A4D"/>
    <w:rsid w:val="00D60AA7"/>
    <w:rsid w:val="00D62A67"/>
    <w:rsid w:val="00D6435F"/>
    <w:rsid w:val="00D71591"/>
    <w:rsid w:val="00D75E28"/>
    <w:rsid w:val="00D772C2"/>
    <w:rsid w:val="00D8008E"/>
    <w:rsid w:val="00D82C45"/>
    <w:rsid w:val="00D908A8"/>
    <w:rsid w:val="00D977B6"/>
    <w:rsid w:val="00DA3634"/>
    <w:rsid w:val="00DA4856"/>
    <w:rsid w:val="00DA4A31"/>
    <w:rsid w:val="00DA7B04"/>
    <w:rsid w:val="00DB36C2"/>
    <w:rsid w:val="00DB5CBD"/>
    <w:rsid w:val="00DC169B"/>
    <w:rsid w:val="00DC2AB9"/>
    <w:rsid w:val="00DC63F0"/>
    <w:rsid w:val="00DD5382"/>
    <w:rsid w:val="00DD6EE5"/>
    <w:rsid w:val="00DE2362"/>
    <w:rsid w:val="00DE386C"/>
    <w:rsid w:val="00DE4D35"/>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90302"/>
    <w:rsid w:val="00E97396"/>
    <w:rsid w:val="00EA185E"/>
    <w:rsid w:val="00EA592A"/>
    <w:rsid w:val="00EB14E4"/>
    <w:rsid w:val="00EB182B"/>
    <w:rsid w:val="00EB32A5"/>
    <w:rsid w:val="00EB34ED"/>
    <w:rsid w:val="00EB4A37"/>
    <w:rsid w:val="00EB748D"/>
    <w:rsid w:val="00EB7BE0"/>
    <w:rsid w:val="00EC315E"/>
    <w:rsid w:val="00EC58D1"/>
    <w:rsid w:val="00ED077C"/>
    <w:rsid w:val="00ED1190"/>
    <w:rsid w:val="00ED6544"/>
    <w:rsid w:val="00EE0277"/>
    <w:rsid w:val="00EE3E00"/>
    <w:rsid w:val="00EE5DD2"/>
    <w:rsid w:val="00F00A79"/>
    <w:rsid w:val="00F00E86"/>
    <w:rsid w:val="00F07C1E"/>
    <w:rsid w:val="00F105DB"/>
    <w:rsid w:val="00F132BC"/>
    <w:rsid w:val="00F13D80"/>
    <w:rsid w:val="00F16AAA"/>
    <w:rsid w:val="00F21161"/>
    <w:rsid w:val="00F218EF"/>
    <w:rsid w:val="00F21BC7"/>
    <w:rsid w:val="00F25EFC"/>
    <w:rsid w:val="00F266A2"/>
    <w:rsid w:val="00F27D13"/>
    <w:rsid w:val="00F32269"/>
    <w:rsid w:val="00F37D10"/>
    <w:rsid w:val="00F56A6F"/>
    <w:rsid w:val="00F5709C"/>
    <w:rsid w:val="00F626DA"/>
    <w:rsid w:val="00F64EF1"/>
    <w:rsid w:val="00F659F3"/>
    <w:rsid w:val="00F83589"/>
    <w:rsid w:val="00F8765F"/>
    <w:rsid w:val="00F90767"/>
    <w:rsid w:val="00F912E4"/>
    <w:rsid w:val="00F94531"/>
    <w:rsid w:val="00F9588E"/>
    <w:rsid w:val="00FA685B"/>
    <w:rsid w:val="00FB0C01"/>
    <w:rsid w:val="00FC04E5"/>
    <w:rsid w:val="00FC18F2"/>
    <w:rsid w:val="00FC39E5"/>
    <w:rsid w:val="00FC3A78"/>
    <w:rsid w:val="00FD1005"/>
    <w:rsid w:val="00FD61AA"/>
    <w:rsid w:val="00FD6C75"/>
    <w:rsid w:val="00FD7649"/>
    <w:rsid w:val="00FE43AC"/>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E05B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113D56"/>
    <w:rPr>
      <w:sz w:val="24"/>
      <w:szCs w:val="24"/>
    </w:rPr>
  </w:style>
  <w:style w:type="paragraph" w:styleId="Heading1">
    <w:name w:val="heading 1"/>
    <w:basedOn w:val="Normal"/>
    <w:next w:val="Normal"/>
    <w:link w:val="Heading1Char"/>
    <w:uiPriority w:val="98"/>
    <w:semiHidden/>
    <w:rsid w:val="00113D56"/>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113D56"/>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113D56"/>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113D56"/>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113D56"/>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113D56"/>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113D56"/>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113D56"/>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113D56"/>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113D56"/>
    <w:rPr>
      <w:rFonts w:ascii="Tahoma" w:hAnsi="Tahoma" w:cs="Tahoma"/>
      <w:sz w:val="16"/>
      <w:szCs w:val="16"/>
    </w:rPr>
  </w:style>
  <w:style w:type="character" w:customStyle="1" w:styleId="BalloonTextChar">
    <w:name w:val="Balloon Text Char"/>
    <w:basedOn w:val="DefaultParagraphFont"/>
    <w:link w:val="BalloonText"/>
    <w:uiPriority w:val="98"/>
    <w:semiHidden/>
    <w:rsid w:val="00113D56"/>
    <w:rPr>
      <w:rFonts w:ascii="Tahoma" w:hAnsi="Tahoma" w:cs="Tahoma"/>
      <w:sz w:val="16"/>
      <w:szCs w:val="16"/>
      <w:lang w:val="ro-RO"/>
    </w:rPr>
  </w:style>
  <w:style w:type="character" w:styleId="BookTitle">
    <w:name w:val="Book Title"/>
    <w:uiPriority w:val="98"/>
    <w:semiHidden/>
    <w:qFormat/>
    <w:rsid w:val="00113D56"/>
    <w:rPr>
      <w:i/>
      <w:iCs/>
      <w:smallCaps/>
      <w:spacing w:val="5"/>
    </w:rPr>
  </w:style>
  <w:style w:type="paragraph" w:customStyle="1" w:styleId="JuHeader">
    <w:name w:val="Ju_Header"/>
    <w:aliases w:val="_Header"/>
    <w:basedOn w:val="Header"/>
    <w:uiPriority w:val="29"/>
    <w:qFormat/>
    <w:rsid w:val="00113D56"/>
    <w:pPr>
      <w:tabs>
        <w:tab w:val="clear" w:pos="4536"/>
        <w:tab w:val="clear" w:pos="9072"/>
      </w:tabs>
      <w:jc w:val="center"/>
    </w:pPr>
    <w:rPr>
      <w:sz w:val="18"/>
    </w:rPr>
  </w:style>
  <w:style w:type="paragraph" w:customStyle="1" w:styleId="DummyStyle">
    <w:name w:val="Dummy_Style"/>
    <w:aliases w:val="_Dummy"/>
    <w:basedOn w:val="Normal"/>
    <w:semiHidden/>
    <w:qFormat/>
    <w:rsid w:val="00113D56"/>
    <w:rPr>
      <w:color w:val="00B050"/>
      <w:sz w:val="22"/>
    </w:rPr>
  </w:style>
  <w:style w:type="character" w:styleId="Strong">
    <w:name w:val="Strong"/>
    <w:uiPriority w:val="98"/>
    <w:semiHidden/>
    <w:qFormat/>
    <w:rsid w:val="00113D56"/>
    <w:rPr>
      <w:b/>
      <w:bCs/>
    </w:rPr>
  </w:style>
  <w:style w:type="paragraph" w:styleId="NoSpacing">
    <w:name w:val="No Spacing"/>
    <w:basedOn w:val="Normal"/>
    <w:link w:val="NoSpacingChar"/>
    <w:uiPriority w:val="98"/>
    <w:semiHidden/>
    <w:qFormat/>
    <w:rsid w:val="00113D56"/>
  </w:style>
  <w:style w:type="character" w:customStyle="1" w:styleId="NoSpacingChar">
    <w:name w:val="No Spacing Char"/>
    <w:basedOn w:val="DefaultParagraphFont"/>
    <w:link w:val="NoSpacing"/>
    <w:uiPriority w:val="98"/>
    <w:semiHidden/>
    <w:rsid w:val="00113D56"/>
    <w:rPr>
      <w:sz w:val="24"/>
      <w:szCs w:val="24"/>
      <w:lang w:val="ro-RO"/>
    </w:rPr>
  </w:style>
  <w:style w:type="paragraph" w:customStyle="1" w:styleId="JuQuot">
    <w:name w:val="Ju_Quot"/>
    <w:aliases w:val="_Quote"/>
    <w:basedOn w:val="NormalJustified"/>
    <w:uiPriority w:val="20"/>
    <w:qFormat/>
    <w:rsid w:val="00113D56"/>
    <w:pPr>
      <w:spacing w:before="120" w:after="120"/>
      <w:ind w:left="425" w:firstLine="142"/>
    </w:pPr>
    <w:rPr>
      <w:sz w:val="20"/>
    </w:rPr>
  </w:style>
  <w:style w:type="paragraph" w:customStyle="1" w:styleId="JuList">
    <w:name w:val="Ju_List"/>
    <w:aliases w:val="_List_1"/>
    <w:basedOn w:val="NormalJustified"/>
    <w:uiPriority w:val="23"/>
    <w:qFormat/>
    <w:rsid w:val="00113D56"/>
    <w:pPr>
      <w:numPr>
        <w:numId w:val="16"/>
      </w:numPr>
      <w:spacing w:before="280" w:after="60"/>
    </w:pPr>
  </w:style>
  <w:style w:type="paragraph" w:customStyle="1" w:styleId="JuLista">
    <w:name w:val="Ju_List_a"/>
    <w:aliases w:val="_List_2"/>
    <w:basedOn w:val="NormalJustified"/>
    <w:uiPriority w:val="23"/>
    <w:rsid w:val="00113D56"/>
    <w:pPr>
      <w:numPr>
        <w:ilvl w:val="1"/>
        <w:numId w:val="16"/>
      </w:numPr>
    </w:pPr>
  </w:style>
  <w:style w:type="paragraph" w:customStyle="1" w:styleId="JuListi">
    <w:name w:val="Ju_List_i"/>
    <w:aliases w:val="_List_3"/>
    <w:basedOn w:val="NormalJustified"/>
    <w:uiPriority w:val="23"/>
    <w:rsid w:val="00113D56"/>
    <w:pPr>
      <w:numPr>
        <w:ilvl w:val="2"/>
        <w:numId w:val="16"/>
      </w:numPr>
    </w:pPr>
  </w:style>
  <w:style w:type="paragraph" w:customStyle="1" w:styleId="DecHTitle">
    <w:name w:val="Dec_H_Title"/>
    <w:aliases w:val="_Title_1"/>
    <w:basedOn w:val="JuPara"/>
    <w:next w:val="JuPara"/>
    <w:uiPriority w:val="38"/>
    <w:qFormat/>
    <w:rsid w:val="00113D56"/>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113D56"/>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113D56"/>
    <w:pPr>
      <w:keepNext/>
      <w:keepLines/>
      <w:tabs>
        <w:tab w:val="right" w:pos="7938"/>
      </w:tabs>
      <w:ind w:firstLine="0"/>
      <w:jc w:val="center"/>
    </w:pPr>
    <w:rPr>
      <w:i/>
    </w:rPr>
  </w:style>
  <w:style w:type="numbering" w:customStyle="1" w:styleId="ECHRA1StyleBulletedSquare">
    <w:name w:val="ECHR_A1_Style_Bulleted_Square"/>
    <w:basedOn w:val="NoList"/>
    <w:rsid w:val="00113D56"/>
    <w:pPr>
      <w:numPr>
        <w:numId w:val="15"/>
      </w:numPr>
    </w:pPr>
  </w:style>
  <w:style w:type="paragraph" w:customStyle="1" w:styleId="JuHHead">
    <w:name w:val="Ju_H_Head"/>
    <w:aliases w:val="_Head_1"/>
    <w:basedOn w:val="Heading1"/>
    <w:next w:val="JuPara"/>
    <w:uiPriority w:val="17"/>
    <w:qFormat/>
    <w:rsid w:val="00113D56"/>
    <w:pPr>
      <w:keepNext/>
      <w:keepLines/>
      <w:numPr>
        <w:numId w:val="14"/>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113D56"/>
    <w:pPr>
      <w:numPr>
        <w:numId w:val="16"/>
      </w:numPr>
    </w:pPr>
  </w:style>
  <w:style w:type="paragraph" w:customStyle="1" w:styleId="JuSigned">
    <w:name w:val="Ju_Signed"/>
    <w:aliases w:val="_Signature"/>
    <w:basedOn w:val="Normal"/>
    <w:next w:val="JuPara"/>
    <w:uiPriority w:val="31"/>
    <w:qFormat/>
    <w:rsid w:val="00113D56"/>
    <w:pPr>
      <w:tabs>
        <w:tab w:val="center" w:pos="1418"/>
        <w:tab w:val="center" w:pos="5954"/>
      </w:tabs>
      <w:spacing w:before="720"/>
    </w:pPr>
  </w:style>
  <w:style w:type="paragraph" w:styleId="Title">
    <w:name w:val="Title"/>
    <w:basedOn w:val="Normal"/>
    <w:next w:val="Normal"/>
    <w:link w:val="TitleChar"/>
    <w:uiPriority w:val="98"/>
    <w:semiHidden/>
    <w:qFormat/>
    <w:rsid w:val="00113D56"/>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113D56"/>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113D56"/>
    <w:pPr>
      <w:numPr>
        <w:numId w:val="17"/>
      </w:numPr>
    </w:pPr>
  </w:style>
  <w:style w:type="table" w:customStyle="1" w:styleId="ECHRTable2019">
    <w:name w:val="ECHR_Table_2019"/>
    <w:basedOn w:val="TableNormal"/>
    <w:uiPriority w:val="99"/>
    <w:rsid w:val="00113D56"/>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113D56"/>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113D56"/>
    <w:pPr>
      <w:tabs>
        <w:tab w:val="center" w:pos="6407"/>
      </w:tabs>
      <w:spacing w:before="720"/>
      <w:jc w:val="right"/>
    </w:pPr>
  </w:style>
  <w:style w:type="paragraph" w:customStyle="1" w:styleId="JuHIRoman">
    <w:name w:val="Ju_H_I_Roman"/>
    <w:aliases w:val="_Head_2"/>
    <w:basedOn w:val="Heading2"/>
    <w:next w:val="JuPara"/>
    <w:uiPriority w:val="17"/>
    <w:qFormat/>
    <w:rsid w:val="00113D56"/>
    <w:pPr>
      <w:keepNext/>
      <w:keepLines/>
      <w:numPr>
        <w:ilvl w:val="1"/>
        <w:numId w:val="14"/>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113D56"/>
    <w:pPr>
      <w:keepNext/>
      <w:keepLines/>
      <w:numPr>
        <w:ilvl w:val="2"/>
        <w:numId w:val="14"/>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113D56"/>
    <w:pPr>
      <w:keepNext/>
      <w:keepLines/>
      <w:numPr>
        <w:ilvl w:val="3"/>
        <w:numId w:val="14"/>
      </w:numPr>
      <w:spacing w:before="100" w:beforeAutospacing="1" w:after="120"/>
      <w:jc w:val="both"/>
    </w:pPr>
    <w:rPr>
      <w:b w:val="0"/>
      <w:color w:val="auto"/>
      <w:sz w:val="24"/>
    </w:rPr>
  </w:style>
  <w:style w:type="paragraph" w:styleId="Header">
    <w:name w:val="header"/>
    <w:basedOn w:val="Normal"/>
    <w:link w:val="HeaderChar"/>
    <w:uiPriority w:val="98"/>
    <w:semiHidden/>
    <w:rsid w:val="00113D56"/>
    <w:pPr>
      <w:tabs>
        <w:tab w:val="center" w:pos="4536"/>
        <w:tab w:val="right" w:pos="9072"/>
      </w:tabs>
    </w:pPr>
  </w:style>
  <w:style w:type="character" w:customStyle="1" w:styleId="HeaderChar">
    <w:name w:val="Header Char"/>
    <w:basedOn w:val="DefaultParagraphFont"/>
    <w:link w:val="Header"/>
    <w:uiPriority w:val="98"/>
    <w:semiHidden/>
    <w:rsid w:val="00113D56"/>
    <w:rPr>
      <w:sz w:val="24"/>
      <w:szCs w:val="24"/>
      <w:lang w:val="ro-RO"/>
    </w:rPr>
  </w:style>
  <w:style w:type="character" w:customStyle="1" w:styleId="Heading1Char">
    <w:name w:val="Heading 1 Char"/>
    <w:basedOn w:val="DefaultParagraphFont"/>
    <w:link w:val="Heading1"/>
    <w:uiPriority w:val="98"/>
    <w:semiHidden/>
    <w:rsid w:val="00113D56"/>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113D56"/>
    <w:pPr>
      <w:keepNext/>
      <w:keepLines/>
      <w:numPr>
        <w:ilvl w:val="4"/>
        <w:numId w:val="14"/>
      </w:numPr>
      <w:spacing w:before="100" w:beforeAutospacing="1" w:after="120"/>
      <w:jc w:val="both"/>
    </w:pPr>
    <w:rPr>
      <w:color w:val="auto"/>
      <w:sz w:val="20"/>
    </w:rPr>
  </w:style>
  <w:style w:type="paragraph" w:customStyle="1" w:styleId="JuHi">
    <w:name w:val="Ju_H_i"/>
    <w:aliases w:val="_Head_6"/>
    <w:basedOn w:val="Heading6"/>
    <w:next w:val="JuPara"/>
    <w:uiPriority w:val="17"/>
    <w:rsid w:val="00113D56"/>
    <w:pPr>
      <w:keepNext/>
      <w:keepLines/>
      <w:numPr>
        <w:ilvl w:val="5"/>
        <w:numId w:val="1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113D56"/>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113D56"/>
    <w:pPr>
      <w:keepNext/>
      <w:keepLines/>
      <w:numPr>
        <w:ilvl w:val="6"/>
        <w:numId w:val="1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113D56"/>
    <w:pPr>
      <w:keepNext/>
      <w:keepLines/>
      <w:numPr>
        <w:ilvl w:val="7"/>
        <w:numId w:val="14"/>
      </w:numPr>
      <w:spacing w:before="100" w:beforeAutospacing="1" w:after="120"/>
      <w:jc w:val="both"/>
    </w:pPr>
    <w:rPr>
      <w:i/>
    </w:rPr>
  </w:style>
  <w:style w:type="character" w:customStyle="1" w:styleId="Heading3Char">
    <w:name w:val="Heading 3 Char"/>
    <w:basedOn w:val="DefaultParagraphFont"/>
    <w:link w:val="Heading3"/>
    <w:uiPriority w:val="98"/>
    <w:semiHidden/>
    <w:rsid w:val="00113D56"/>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113D56"/>
    <w:pPr>
      <w:keepNext/>
      <w:keepLines/>
      <w:spacing w:before="240" w:after="240"/>
      <w:ind w:firstLine="284"/>
    </w:pPr>
  </w:style>
  <w:style w:type="paragraph" w:customStyle="1" w:styleId="JuJudges">
    <w:name w:val="Ju_Judges"/>
    <w:aliases w:val="_Judges"/>
    <w:basedOn w:val="Normal"/>
    <w:uiPriority w:val="32"/>
    <w:qFormat/>
    <w:rsid w:val="00113D56"/>
    <w:pPr>
      <w:tabs>
        <w:tab w:val="left" w:pos="567"/>
        <w:tab w:val="left" w:pos="1134"/>
      </w:tabs>
    </w:pPr>
  </w:style>
  <w:style w:type="character" w:customStyle="1" w:styleId="Heading4Char">
    <w:name w:val="Heading 4 Char"/>
    <w:basedOn w:val="DefaultParagraphFont"/>
    <w:link w:val="Heading4"/>
    <w:uiPriority w:val="98"/>
    <w:semiHidden/>
    <w:rsid w:val="00113D56"/>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semiHidden/>
    <w:qFormat/>
    <w:rsid w:val="00113D56"/>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113D56"/>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113D56"/>
    <w:rPr>
      <w:caps w:val="0"/>
      <w:smallCaps/>
    </w:rPr>
  </w:style>
  <w:style w:type="paragraph" w:customStyle="1" w:styleId="NormalJustified">
    <w:name w:val="Normal_Justified"/>
    <w:basedOn w:val="Normal"/>
    <w:semiHidden/>
    <w:rsid w:val="00113D56"/>
    <w:pPr>
      <w:jc w:val="both"/>
    </w:pPr>
  </w:style>
  <w:style w:type="character" w:styleId="SubtleEmphasis">
    <w:name w:val="Subtle Emphasis"/>
    <w:uiPriority w:val="98"/>
    <w:semiHidden/>
    <w:qFormat/>
    <w:rsid w:val="00113D56"/>
    <w:rPr>
      <w:i/>
      <w:iCs/>
    </w:rPr>
  </w:style>
  <w:style w:type="table" w:customStyle="1" w:styleId="ECHRTable">
    <w:name w:val="ECHR_Table"/>
    <w:basedOn w:val="TableNormal"/>
    <w:rsid w:val="00113D56"/>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113D56"/>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113D56"/>
    <w:rPr>
      <w:b/>
      <w:bCs/>
      <w:i/>
      <w:iCs/>
      <w:spacing w:val="10"/>
      <w:bdr w:val="none" w:sz="0" w:space="0" w:color="auto"/>
      <w:shd w:val="clear" w:color="auto" w:fill="auto"/>
    </w:rPr>
  </w:style>
  <w:style w:type="paragraph" w:styleId="Footer0">
    <w:name w:val="footer"/>
    <w:basedOn w:val="Normal"/>
    <w:link w:val="FooterChar"/>
    <w:uiPriority w:val="98"/>
    <w:semiHidden/>
    <w:rsid w:val="00113D56"/>
    <w:pPr>
      <w:tabs>
        <w:tab w:val="center" w:pos="3686"/>
        <w:tab w:val="right" w:pos="7371"/>
      </w:tabs>
    </w:pPr>
  </w:style>
  <w:style w:type="character" w:customStyle="1" w:styleId="FooterChar">
    <w:name w:val="Footer Char"/>
    <w:basedOn w:val="DefaultParagraphFont"/>
    <w:link w:val="Footer0"/>
    <w:uiPriority w:val="98"/>
    <w:semiHidden/>
    <w:rsid w:val="00113D56"/>
    <w:rPr>
      <w:sz w:val="24"/>
      <w:szCs w:val="24"/>
      <w:lang w:val="ro-RO"/>
    </w:rPr>
  </w:style>
  <w:style w:type="character" w:styleId="FootnoteReference">
    <w:name w:val="footnote reference"/>
    <w:basedOn w:val="DefaultParagraphFont"/>
    <w:uiPriority w:val="98"/>
    <w:semiHidden/>
    <w:rsid w:val="00113D56"/>
    <w:rPr>
      <w:vertAlign w:val="superscript"/>
    </w:rPr>
  </w:style>
  <w:style w:type="paragraph" w:styleId="FootnoteText">
    <w:name w:val="footnote text"/>
    <w:basedOn w:val="NormalJustified"/>
    <w:link w:val="FootnoteTextChar"/>
    <w:uiPriority w:val="98"/>
    <w:semiHidden/>
    <w:rsid w:val="00113D56"/>
    <w:rPr>
      <w:sz w:val="20"/>
      <w:szCs w:val="20"/>
    </w:rPr>
  </w:style>
  <w:style w:type="character" w:customStyle="1" w:styleId="FootnoteTextChar">
    <w:name w:val="Footnote Text Char"/>
    <w:basedOn w:val="DefaultParagraphFont"/>
    <w:link w:val="FootnoteText"/>
    <w:uiPriority w:val="98"/>
    <w:semiHidden/>
    <w:rsid w:val="00113D56"/>
    <w:rPr>
      <w:sz w:val="20"/>
      <w:szCs w:val="20"/>
      <w:lang w:val="ro-RO"/>
    </w:rPr>
  </w:style>
  <w:style w:type="character" w:customStyle="1" w:styleId="Heading6Char">
    <w:name w:val="Heading 6 Char"/>
    <w:basedOn w:val="DefaultParagraphFont"/>
    <w:link w:val="Heading6"/>
    <w:uiPriority w:val="98"/>
    <w:semiHidden/>
    <w:rsid w:val="00113D56"/>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113D56"/>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113D56"/>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113D56"/>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113D56"/>
    <w:rPr>
      <w:color w:val="0072BC" w:themeColor="hyperlink"/>
      <w:u w:val="single"/>
    </w:rPr>
  </w:style>
  <w:style w:type="character" w:styleId="IntenseEmphasis">
    <w:name w:val="Intense Emphasis"/>
    <w:uiPriority w:val="98"/>
    <w:semiHidden/>
    <w:qFormat/>
    <w:rsid w:val="00113D56"/>
    <w:rPr>
      <w:b/>
      <w:bCs/>
    </w:rPr>
  </w:style>
  <w:style w:type="paragraph" w:styleId="IntenseQuote">
    <w:name w:val="Intense Quote"/>
    <w:basedOn w:val="Normal"/>
    <w:next w:val="Normal"/>
    <w:link w:val="IntenseQuoteChar"/>
    <w:uiPriority w:val="98"/>
    <w:semiHidden/>
    <w:qFormat/>
    <w:rsid w:val="00113D56"/>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113D56"/>
    <w:rPr>
      <w:b/>
      <w:bCs/>
      <w:i/>
      <w:iCs/>
      <w:sz w:val="24"/>
      <w:szCs w:val="24"/>
      <w:lang w:val="ro-RO" w:bidi="en-US"/>
    </w:rPr>
  </w:style>
  <w:style w:type="character" w:styleId="IntenseReference">
    <w:name w:val="Intense Reference"/>
    <w:uiPriority w:val="98"/>
    <w:semiHidden/>
    <w:qFormat/>
    <w:rsid w:val="00113D56"/>
    <w:rPr>
      <w:smallCaps/>
      <w:spacing w:val="5"/>
      <w:u w:val="single"/>
    </w:rPr>
  </w:style>
  <w:style w:type="paragraph" w:styleId="ListParagraph">
    <w:name w:val="List Paragraph"/>
    <w:basedOn w:val="Normal"/>
    <w:uiPriority w:val="98"/>
    <w:semiHidden/>
    <w:qFormat/>
    <w:rsid w:val="00113D56"/>
    <w:pPr>
      <w:ind w:left="720"/>
      <w:contextualSpacing/>
    </w:pPr>
  </w:style>
  <w:style w:type="table" w:customStyle="1" w:styleId="LtrTableAddress">
    <w:name w:val="Ltr_Table_Address"/>
    <w:aliases w:val="ECHR_Ltr_Table_Address"/>
    <w:basedOn w:val="TableNormal"/>
    <w:uiPriority w:val="99"/>
    <w:rsid w:val="00113D56"/>
    <w:rPr>
      <w:sz w:val="24"/>
      <w:szCs w:val="24"/>
    </w:rPr>
    <w:tblPr>
      <w:tblInd w:w="5103" w:type="dxa"/>
    </w:tblPr>
  </w:style>
  <w:style w:type="paragraph" w:styleId="Quote">
    <w:name w:val="Quote"/>
    <w:basedOn w:val="Normal"/>
    <w:next w:val="Normal"/>
    <w:link w:val="QuoteChar"/>
    <w:uiPriority w:val="98"/>
    <w:semiHidden/>
    <w:qFormat/>
    <w:rsid w:val="00113D56"/>
    <w:pPr>
      <w:spacing w:before="200"/>
      <w:ind w:left="360" w:right="360"/>
    </w:pPr>
    <w:rPr>
      <w:i/>
      <w:iCs/>
      <w:lang w:bidi="en-US"/>
    </w:rPr>
  </w:style>
  <w:style w:type="character" w:customStyle="1" w:styleId="QuoteChar">
    <w:name w:val="Quote Char"/>
    <w:basedOn w:val="DefaultParagraphFont"/>
    <w:link w:val="Quote"/>
    <w:uiPriority w:val="98"/>
    <w:semiHidden/>
    <w:rsid w:val="00113D56"/>
    <w:rPr>
      <w:i/>
      <w:iCs/>
      <w:sz w:val="24"/>
      <w:szCs w:val="24"/>
      <w:lang w:val="ro-RO" w:bidi="en-US"/>
    </w:rPr>
  </w:style>
  <w:style w:type="character" w:styleId="SubtleReference">
    <w:name w:val="Subtle Reference"/>
    <w:uiPriority w:val="98"/>
    <w:semiHidden/>
    <w:qFormat/>
    <w:rsid w:val="00113D56"/>
    <w:rPr>
      <w:smallCaps/>
    </w:rPr>
  </w:style>
  <w:style w:type="table" w:styleId="TableGrid">
    <w:name w:val="Table Grid"/>
    <w:basedOn w:val="TableNormal"/>
    <w:uiPriority w:val="59"/>
    <w:semiHidden/>
    <w:rsid w:val="00113D56"/>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113D56"/>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113D56"/>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113D56"/>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113D56"/>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113D56"/>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113D56"/>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113D56"/>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113D56"/>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113D56"/>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113D56"/>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113D56"/>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113D56"/>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113D56"/>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113D56"/>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113D56"/>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113D56"/>
    <w:pPr>
      <w:numPr>
        <w:numId w:val="1"/>
      </w:numPr>
    </w:pPr>
  </w:style>
  <w:style w:type="paragraph" w:customStyle="1" w:styleId="JuPara">
    <w:name w:val="Ju_Para"/>
    <w:aliases w:val="_Para"/>
    <w:basedOn w:val="NormalJustified"/>
    <w:link w:val="JuParaChar"/>
    <w:uiPriority w:val="4"/>
    <w:qFormat/>
    <w:rsid w:val="00113D56"/>
    <w:pPr>
      <w:ind w:firstLine="284"/>
    </w:pPr>
  </w:style>
  <w:style w:type="numbering" w:styleId="1ai">
    <w:name w:val="Outline List 1"/>
    <w:basedOn w:val="NoList"/>
    <w:uiPriority w:val="99"/>
    <w:semiHidden/>
    <w:unhideWhenUsed/>
    <w:rsid w:val="00113D56"/>
    <w:pPr>
      <w:numPr>
        <w:numId w:val="2"/>
      </w:numPr>
    </w:pPr>
  </w:style>
  <w:style w:type="table" w:customStyle="1" w:styleId="ECHRTableSimpleBox">
    <w:name w:val="ECHR_Table_Simple_Box"/>
    <w:basedOn w:val="TableNormal"/>
    <w:uiPriority w:val="99"/>
    <w:rsid w:val="00113D56"/>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113D56"/>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113D56"/>
    <w:pPr>
      <w:numPr>
        <w:numId w:val="3"/>
      </w:numPr>
    </w:pPr>
  </w:style>
  <w:style w:type="table" w:customStyle="1" w:styleId="ECHRTableForInternalUse">
    <w:name w:val="ECHR_Table_For_Internal_Use"/>
    <w:basedOn w:val="TableNormal"/>
    <w:uiPriority w:val="99"/>
    <w:rsid w:val="00113D56"/>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113D56"/>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113D56"/>
  </w:style>
  <w:style w:type="paragraph" w:styleId="BlockText">
    <w:name w:val="Block Text"/>
    <w:basedOn w:val="Normal"/>
    <w:uiPriority w:val="98"/>
    <w:semiHidden/>
    <w:rsid w:val="00113D5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113D56"/>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113D56"/>
    <w:pPr>
      <w:spacing w:after="120"/>
    </w:pPr>
  </w:style>
  <w:style w:type="character" w:customStyle="1" w:styleId="BodyTextChar">
    <w:name w:val="Body Text Char"/>
    <w:basedOn w:val="DefaultParagraphFont"/>
    <w:link w:val="BodyText"/>
    <w:uiPriority w:val="98"/>
    <w:semiHidden/>
    <w:rsid w:val="00113D56"/>
    <w:rPr>
      <w:sz w:val="24"/>
      <w:szCs w:val="24"/>
      <w:lang w:val="ro-RO"/>
    </w:rPr>
  </w:style>
  <w:style w:type="table" w:customStyle="1" w:styleId="ECHRTableOddBanded">
    <w:name w:val="ECHR_Table_Odd_Banded"/>
    <w:basedOn w:val="TableNormal"/>
    <w:uiPriority w:val="99"/>
    <w:rsid w:val="00113D56"/>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113D56"/>
    <w:pPr>
      <w:spacing w:after="120" w:line="480" w:lineRule="auto"/>
    </w:pPr>
  </w:style>
  <w:style w:type="table" w:customStyle="1" w:styleId="ECHRHeaderTableReduced">
    <w:name w:val="ECHR_Header_Table_Reduced"/>
    <w:basedOn w:val="TableNormal"/>
    <w:uiPriority w:val="99"/>
    <w:rsid w:val="00113D56"/>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113D56"/>
    <w:pPr>
      <w:ind w:firstLine="284"/>
    </w:pPr>
    <w:rPr>
      <w:b/>
    </w:rPr>
  </w:style>
  <w:style w:type="character" w:styleId="PageNumber">
    <w:name w:val="page number"/>
    <w:uiPriority w:val="98"/>
    <w:semiHidden/>
    <w:rsid w:val="00113D56"/>
    <w:rPr>
      <w:sz w:val="18"/>
    </w:rPr>
  </w:style>
  <w:style w:type="paragraph" w:styleId="ListBullet2">
    <w:name w:val="List Bullet 2"/>
    <w:basedOn w:val="Normal"/>
    <w:uiPriority w:val="98"/>
    <w:semiHidden/>
    <w:rsid w:val="00113D56"/>
    <w:pPr>
      <w:numPr>
        <w:numId w:val="5"/>
      </w:numPr>
      <w:contextualSpacing/>
    </w:pPr>
  </w:style>
  <w:style w:type="character" w:customStyle="1" w:styleId="BodyText2Char">
    <w:name w:val="Body Text 2 Char"/>
    <w:basedOn w:val="DefaultParagraphFont"/>
    <w:link w:val="BodyText2"/>
    <w:uiPriority w:val="98"/>
    <w:semiHidden/>
    <w:rsid w:val="00113D56"/>
    <w:rPr>
      <w:sz w:val="24"/>
      <w:szCs w:val="24"/>
      <w:lang w:val="ro-RO"/>
    </w:rPr>
  </w:style>
  <w:style w:type="paragraph" w:styleId="BodyText3">
    <w:name w:val="Body Text 3"/>
    <w:basedOn w:val="Normal"/>
    <w:link w:val="BodyText3Char"/>
    <w:uiPriority w:val="98"/>
    <w:semiHidden/>
    <w:rsid w:val="00113D56"/>
    <w:pPr>
      <w:spacing w:after="120"/>
    </w:pPr>
    <w:rPr>
      <w:sz w:val="16"/>
      <w:szCs w:val="16"/>
    </w:rPr>
  </w:style>
  <w:style w:type="character" w:customStyle="1" w:styleId="BodyText3Char">
    <w:name w:val="Body Text 3 Char"/>
    <w:basedOn w:val="DefaultParagraphFont"/>
    <w:link w:val="BodyText3"/>
    <w:uiPriority w:val="98"/>
    <w:semiHidden/>
    <w:rsid w:val="00113D56"/>
    <w:rPr>
      <w:sz w:val="16"/>
      <w:szCs w:val="16"/>
      <w:lang w:val="ro-RO"/>
    </w:rPr>
  </w:style>
  <w:style w:type="paragraph" w:styleId="BodyTextFirstIndent">
    <w:name w:val="Body Text First Indent"/>
    <w:basedOn w:val="BodyText"/>
    <w:link w:val="BodyTextFirstIndentChar"/>
    <w:uiPriority w:val="98"/>
    <w:semiHidden/>
    <w:rsid w:val="00113D56"/>
    <w:pPr>
      <w:spacing w:after="0"/>
      <w:ind w:firstLine="360"/>
    </w:pPr>
  </w:style>
  <w:style w:type="character" w:customStyle="1" w:styleId="BodyTextFirstIndentChar">
    <w:name w:val="Body Text First Indent Char"/>
    <w:basedOn w:val="BodyTextChar"/>
    <w:link w:val="BodyTextFirstIndent"/>
    <w:uiPriority w:val="98"/>
    <w:semiHidden/>
    <w:rsid w:val="00113D56"/>
    <w:rPr>
      <w:sz w:val="24"/>
      <w:szCs w:val="24"/>
      <w:lang w:val="ro-RO"/>
    </w:rPr>
  </w:style>
  <w:style w:type="paragraph" w:styleId="BodyTextIndent">
    <w:name w:val="Body Text Indent"/>
    <w:basedOn w:val="Normal"/>
    <w:link w:val="BodyTextIndentChar"/>
    <w:uiPriority w:val="98"/>
    <w:semiHidden/>
    <w:rsid w:val="00113D56"/>
    <w:pPr>
      <w:spacing w:after="120"/>
      <w:ind w:left="283"/>
    </w:pPr>
  </w:style>
  <w:style w:type="character" w:customStyle="1" w:styleId="BodyTextIndentChar">
    <w:name w:val="Body Text Indent Char"/>
    <w:basedOn w:val="DefaultParagraphFont"/>
    <w:link w:val="BodyTextIndent"/>
    <w:uiPriority w:val="98"/>
    <w:semiHidden/>
    <w:rsid w:val="00113D56"/>
    <w:rPr>
      <w:sz w:val="24"/>
      <w:szCs w:val="24"/>
      <w:lang w:val="ro-RO"/>
    </w:rPr>
  </w:style>
  <w:style w:type="paragraph" w:styleId="BodyTextFirstIndent2">
    <w:name w:val="Body Text First Indent 2"/>
    <w:basedOn w:val="BodyTextIndent"/>
    <w:link w:val="BodyTextFirstIndent2Char"/>
    <w:uiPriority w:val="98"/>
    <w:semiHidden/>
    <w:rsid w:val="00113D56"/>
    <w:pPr>
      <w:spacing w:after="0"/>
      <w:ind w:left="360" w:firstLine="360"/>
    </w:pPr>
  </w:style>
  <w:style w:type="character" w:customStyle="1" w:styleId="BodyTextFirstIndent2Char">
    <w:name w:val="Body Text First Indent 2 Char"/>
    <w:basedOn w:val="BodyTextIndentChar"/>
    <w:link w:val="BodyTextFirstIndent2"/>
    <w:uiPriority w:val="98"/>
    <w:semiHidden/>
    <w:rsid w:val="00113D56"/>
    <w:rPr>
      <w:sz w:val="24"/>
      <w:szCs w:val="24"/>
      <w:lang w:val="ro-RO"/>
    </w:rPr>
  </w:style>
  <w:style w:type="paragraph" w:styleId="BodyTextIndent2">
    <w:name w:val="Body Text Indent 2"/>
    <w:basedOn w:val="Normal"/>
    <w:link w:val="BodyTextIndent2Char"/>
    <w:uiPriority w:val="98"/>
    <w:semiHidden/>
    <w:rsid w:val="00113D56"/>
    <w:pPr>
      <w:spacing w:after="120" w:line="480" w:lineRule="auto"/>
      <w:ind w:left="283"/>
    </w:pPr>
  </w:style>
  <w:style w:type="character" w:customStyle="1" w:styleId="BodyTextIndent2Char">
    <w:name w:val="Body Text Indent 2 Char"/>
    <w:basedOn w:val="DefaultParagraphFont"/>
    <w:link w:val="BodyTextIndent2"/>
    <w:uiPriority w:val="98"/>
    <w:semiHidden/>
    <w:rsid w:val="00113D56"/>
    <w:rPr>
      <w:sz w:val="24"/>
      <w:szCs w:val="24"/>
      <w:lang w:val="ro-RO"/>
    </w:rPr>
  </w:style>
  <w:style w:type="paragraph" w:styleId="BodyTextIndent3">
    <w:name w:val="Body Text Indent 3"/>
    <w:basedOn w:val="Normal"/>
    <w:link w:val="BodyTextIndent3Char"/>
    <w:uiPriority w:val="98"/>
    <w:semiHidden/>
    <w:rsid w:val="00113D56"/>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113D56"/>
    <w:rPr>
      <w:sz w:val="16"/>
      <w:szCs w:val="16"/>
      <w:lang w:val="ro-RO"/>
    </w:rPr>
  </w:style>
  <w:style w:type="paragraph" w:styleId="Caption">
    <w:name w:val="caption"/>
    <w:basedOn w:val="Normal"/>
    <w:next w:val="Normal"/>
    <w:uiPriority w:val="98"/>
    <w:semiHidden/>
    <w:qFormat/>
    <w:rsid w:val="00113D56"/>
    <w:pPr>
      <w:spacing w:after="200"/>
    </w:pPr>
    <w:rPr>
      <w:b/>
      <w:bCs/>
      <w:color w:val="0072BC" w:themeColor="accent1"/>
      <w:sz w:val="18"/>
      <w:szCs w:val="18"/>
    </w:rPr>
  </w:style>
  <w:style w:type="paragraph" w:styleId="Closing">
    <w:name w:val="Closing"/>
    <w:basedOn w:val="Normal"/>
    <w:link w:val="ClosingChar"/>
    <w:uiPriority w:val="98"/>
    <w:semiHidden/>
    <w:rsid w:val="00113D56"/>
    <w:pPr>
      <w:ind w:left="4252"/>
    </w:pPr>
  </w:style>
  <w:style w:type="character" w:customStyle="1" w:styleId="ClosingChar">
    <w:name w:val="Closing Char"/>
    <w:basedOn w:val="DefaultParagraphFont"/>
    <w:link w:val="Closing"/>
    <w:uiPriority w:val="98"/>
    <w:semiHidden/>
    <w:rsid w:val="00113D56"/>
    <w:rPr>
      <w:sz w:val="24"/>
      <w:szCs w:val="24"/>
      <w:lang w:val="ro-RO"/>
    </w:rPr>
  </w:style>
  <w:style w:type="table" w:styleId="ColorfulGrid">
    <w:name w:val="Colorful Grid"/>
    <w:basedOn w:val="TableNormal"/>
    <w:uiPriority w:val="73"/>
    <w:semiHidden/>
    <w:rsid w:val="00113D56"/>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113D56"/>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113D56"/>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113D56"/>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113D56"/>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113D56"/>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113D56"/>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113D56"/>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113D56"/>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113D56"/>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113D56"/>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113D56"/>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113D56"/>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113D56"/>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113D56"/>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113D56"/>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113D56"/>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113D56"/>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113D56"/>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113D56"/>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113D56"/>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113D56"/>
    <w:rPr>
      <w:sz w:val="16"/>
      <w:szCs w:val="16"/>
    </w:rPr>
  </w:style>
  <w:style w:type="paragraph" w:styleId="CommentText">
    <w:name w:val="annotation text"/>
    <w:basedOn w:val="Normal"/>
    <w:link w:val="CommentTextChar"/>
    <w:uiPriority w:val="98"/>
    <w:semiHidden/>
    <w:rsid w:val="00113D56"/>
    <w:rPr>
      <w:sz w:val="20"/>
      <w:szCs w:val="20"/>
    </w:rPr>
  </w:style>
  <w:style w:type="character" w:customStyle="1" w:styleId="CommentTextChar">
    <w:name w:val="Comment Text Char"/>
    <w:basedOn w:val="DefaultParagraphFont"/>
    <w:link w:val="CommentText"/>
    <w:uiPriority w:val="98"/>
    <w:semiHidden/>
    <w:rsid w:val="00113D56"/>
    <w:rPr>
      <w:sz w:val="20"/>
      <w:szCs w:val="20"/>
      <w:lang w:val="ro-RO"/>
    </w:rPr>
  </w:style>
  <w:style w:type="paragraph" w:styleId="CommentSubject">
    <w:name w:val="annotation subject"/>
    <w:basedOn w:val="CommentText"/>
    <w:next w:val="CommentText"/>
    <w:link w:val="CommentSubjectChar"/>
    <w:uiPriority w:val="98"/>
    <w:semiHidden/>
    <w:rsid w:val="00113D56"/>
    <w:rPr>
      <w:b/>
      <w:bCs/>
    </w:rPr>
  </w:style>
  <w:style w:type="character" w:customStyle="1" w:styleId="CommentSubjectChar">
    <w:name w:val="Comment Subject Char"/>
    <w:basedOn w:val="CommentTextChar"/>
    <w:link w:val="CommentSubject"/>
    <w:uiPriority w:val="98"/>
    <w:semiHidden/>
    <w:rsid w:val="00113D56"/>
    <w:rPr>
      <w:b/>
      <w:bCs/>
      <w:sz w:val="20"/>
      <w:szCs w:val="20"/>
      <w:lang w:val="ro-RO"/>
    </w:rPr>
  </w:style>
  <w:style w:type="table" w:styleId="DarkList">
    <w:name w:val="Dark List"/>
    <w:basedOn w:val="TableNormal"/>
    <w:uiPriority w:val="70"/>
    <w:semiHidden/>
    <w:rsid w:val="00113D56"/>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113D56"/>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113D56"/>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113D56"/>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113D56"/>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113D56"/>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113D56"/>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113D56"/>
  </w:style>
  <w:style w:type="character" w:customStyle="1" w:styleId="DateChar">
    <w:name w:val="Date Char"/>
    <w:basedOn w:val="DefaultParagraphFont"/>
    <w:link w:val="Date"/>
    <w:uiPriority w:val="98"/>
    <w:semiHidden/>
    <w:rsid w:val="00113D56"/>
    <w:rPr>
      <w:sz w:val="24"/>
      <w:szCs w:val="24"/>
      <w:lang w:val="ro-RO"/>
    </w:rPr>
  </w:style>
  <w:style w:type="paragraph" w:styleId="DocumentMap">
    <w:name w:val="Document Map"/>
    <w:basedOn w:val="Normal"/>
    <w:link w:val="DocumentMapChar"/>
    <w:uiPriority w:val="98"/>
    <w:semiHidden/>
    <w:rsid w:val="00113D56"/>
    <w:rPr>
      <w:rFonts w:ascii="Tahoma" w:hAnsi="Tahoma" w:cs="Tahoma"/>
      <w:sz w:val="16"/>
      <w:szCs w:val="16"/>
    </w:rPr>
  </w:style>
  <w:style w:type="character" w:customStyle="1" w:styleId="DocumentMapChar">
    <w:name w:val="Document Map Char"/>
    <w:basedOn w:val="DefaultParagraphFont"/>
    <w:link w:val="DocumentMap"/>
    <w:uiPriority w:val="98"/>
    <w:semiHidden/>
    <w:rsid w:val="00113D56"/>
    <w:rPr>
      <w:rFonts w:ascii="Tahoma" w:hAnsi="Tahoma" w:cs="Tahoma"/>
      <w:sz w:val="16"/>
      <w:szCs w:val="16"/>
      <w:lang w:val="ro-RO"/>
    </w:rPr>
  </w:style>
  <w:style w:type="paragraph" w:styleId="E-mailSignature">
    <w:name w:val="E-mail Signature"/>
    <w:basedOn w:val="Normal"/>
    <w:link w:val="E-mailSignatureChar"/>
    <w:uiPriority w:val="98"/>
    <w:semiHidden/>
    <w:rsid w:val="00113D56"/>
  </w:style>
  <w:style w:type="character" w:customStyle="1" w:styleId="E-mailSignatureChar">
    <w:name w:val="E-mail Signature Char"/>
    <w:basedOn w:val="DefaultParagraphFont"/>
    <w:link w:val="E-mailSignature"/>
    <w:uiPriority w:val="98"/>
    <w:semiHidden/>
    <w:rsid w:val="00113D56"/>
    <w:rPr>
      <w:sz w:val="24"/>
      <w:szCs w:val="24"/>
      <w:lang w:val="ro-RO"/>
    </w:rPr>
  </w:style>
  <w:style w:type="character" w:styleId="EndnoteReference">
    <w:name w:val="endnote reference"/>
    <w:basedOn w:val="DefaultParagraphFont"/>
    <w:uiPriority w:val="98"/>
    <w:semiHidden/>
    <w:rsid w:val="00113D56"/>
    <w:rPr>
      <w:vertAlign w:val="superscript"/>
    </w:rPr>
  </w:style>
  <w:style w:type="paragraph" w:styleId="EndnoteText">
    <w:name w:val="endnote text"/>
    <w:basedOn w:val="Normal"/>
    <w:link w:val="EndnoteTextChar"/>
    <w:uiPriority w:val="98"/>
    <w:semiHidden/>
    <w:rsid w:val="00113D56"/>
    <w:rPr>
      <w:sz w:val="20"/>
      <w:szCs w:val="20"/>
    </w:rPr>
  </w:style>
  <w:style w:type="character" w:customStyle="1" w:styleId="EndnoteTextChar">
    <w:name w:val="Endnote Text Char"/>
    <w:basedOn w:val="DefaultParagraphFont"/>
    <w:link w:val="EndnoteText"/>
    <w:uiPriority w:val="98"/>
    <w:semiHidden/>
    <w:rsid w:val="00113D56"/>
    <w:rPr>
      <w:sz w:val="20"/>
      <w:szCs w:val="20"/>
      <w:lang w:val="ro-RO"/>
    </w:rPr>
  </w:style>
  <w:style w:type="paragraph" w:styleId="EnvelopeAddress">
    <w:name w:val="envelope address"/>
    <w:basedOn w:val="Normal"/>
    <w:uiPriority w:val="98"/>
    <w:semiHidden/>
    <w:rsid w:val="00113D56"/>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113D56"/>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113D56"/>
    <w:rPr>
      <w:color w:val="7030A0" w:themeColor="followedHyperlink"/>
      <w:u w:val="single"/>
    </w:rPr>
  </w:style>
  <w:style w:type="character" w:styleId="HTMLAcronym">
    <w:name w:val="HTML Acronym"/>
    <w:basedOn w:val="DefaultParagraphFont"/>
    <w:uiPriority w:val="98"/>
    <w:semiHidden/>
    <w:rsid w:val="00113D56"/>
  </w:style>
  <w:style w:type="paragraph" w:styleId="HTMLAddress">
    <w:name w:val="HTML Address"/>
    <w:basedOn w:val="Normal"/>
    <w:link w:val="HTMLAddressChar"/>
    <w:uiPriority w:val="98"/>
    <w:semiHidden/>
    <w:rsid w:val="00113D56"/>
    <w:rPr>
      <w:i/>
      <w:iCs/>
    </w:rPr>
  </w:style>
  <w:style w:type="character" w:customStyle="1" w:styleId="HTMLAddressChar">
    <w:name w:val="HTML Address Char"/>
    <w:basedOn w:val="DefaultParagraphFont"/>
    <w:link w:val="HTMLAddress"/>
    <w:uiPriority w:val="98"/>
    <w:semiHidden/>
    <w:rsid w:val="00113D56"/>
    <w:rPr>
      <w:i/>
      <w:iCs/>
      <w:sz w:val="24"/>
      <w:szCs w:val="24"/>
      <w:lang w:val="ro-RO"/>
    </w:rPr>
  </w:style>
  <w:style w:type="character" w:styleId="HTMLCite">
    <w:name w:val="HTML Cite"/>
    <w:basedOn w:val="DefaultParagraphFont"/>
    <w:uiPriority w:val="98"/>
    <w:semiHidden/>
    <w:rsid w:val="00113D56"/>
    <w:rPr>
      <w:i/>
      <w:iCs/>
    </w:rPr>
  </w:style>
  <w:style w:type="character" w:styleId="HTMLCode">
    <w:name w:val="HTML Code"/>
    <w:basedOn w:val="DefaultParagraphFont"/>
    <w:uiPriority w:val="98"/>
    <w:semiHidden/>
    <w:rsid w:val="00113D56"/>
    <w:rPr>
      <w:rFonts w:ascii="Consolas" w:hAnsi="Consolas" w:cs="Consolas"/>
      <w:sz w:val="20"/>
      <w:szCs w:val="20"/>
    </w:rPr>
  </w:style>
  <w:style w:type="character" w:styleId="HTMLDefinition">
    <w:name w:val="HTML Definition"/>
    <w:basedOn w:val="DefaultParagraphFont"/>
    <w:uiPriority w:val="98"/>
    <w:semiHidden/>
    <w:rsid w:val="00113D56"/>
    <w:rPr>
      <w:i/>
      <w:iCs/>
    </w:rPr>
  </w:style>
  <w:style w:type="character" w:styleId="HTMLKeyboard">
    <w:name w:val="HTML Keyboard"/>
    <w:basedOn w:val="DefaultParagraphFont"/>
    <w:uiPriority w:val="98"/>
    <w:semiHidden/>
    <w:rsid w:val="00113D56"/>
    <w:rPr>
      <w:rFonts w:ascii="Consolas" w:hAnsi="Consolas" w:cs="Consolas"/>
      <w:sz w:val="20"/>
      <w:szCs w:val="20"/>
    </w:rPr>
  </w:style>
  <w:style w:type="paragraph" w:styleId="HTMLPreformatted">
    <w:name w:val="HTML Preformatted"/>
    <w:basedOn w:val="Normal"/>
    <w:link w:val="HTMLPreformattedChar"/>
    <w:uiPriority w:val="98"/>
    <w:semiHidden/>
    <w:rsid w:val="00113D56"/>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113D56"/>
    <w:rPr>
      <w:rFonts w:ascii="Consolas" w:hAnsi="Consolas" w:cs="Consolas"/>
      <w:sz w:val="20"/>
      <w:szCs w:val="20"/>
      <w:lang w:val="ro-RO"/>
    </w:rPr>
  </w:style>
  <w:style w:type="character" w:styleId="HTMLSample">
    <w:name w:val="HTML Sample"/>
    <w:basedOn w:val="DefaultParagraphFont"/>
    <w:uiPriority w:val="98"/>
    <w:semiHidden/>
    <w:rsid w:val="00113D56"/>
    <w:rPr>
      <w:rFonts w:ascii="Consolas" w:hAnsi="Consolas" w:cs="Consolas"/>
      <w:sz w:val="24"/>
      <w:szCs w:val="24"/>
    </w:rPr>
  </w:style>
  <w:style w:type="character" w:styleId="HTMLTypewriter">
    <w:name w:val="HTML Typewriter"/>
    <w:basedOn w:val="DefaultParagraphFont"/>
    <w:uiPriority w:val="98"/>
    <w:semiHidden/>
    <w:rsid w:val="00113D56"/>
    <w:rPr>
      <w:rFonts w:ascii="Consolas" w:hAnsi="Consolas" w:cs="Consolas"/>
      <w:sz w:val="20"/>
      <w:szCs w:val="20"/>
    </w:rPr>
  </w:style>
  <w:style w:type="character" w:styleId="HTMLVariable">
    <w:name w:val="HTML Variable"/>
    <w:basedOn w:val="DefaultParagraphFont"/>
    <w:uiPriority w:val="98"/>
    <w:semiHidden/>
    <w:rsid w:val="00113D56"/>
    <w:rPr>
      <w:i/>
      <w:iCs/>
    </w:rPr>
  </w:style>
  <w:style w:type="paragraph" w:styleId="Index1">
    <w:name w:val="index 1"/>
    <w:basedOn w:val="Normal"/>
    <w:next w:val="Normal"/>
    <w:autoRedefine/>
    <w:uiPriority w:val="98"/>
    <w:semiHidden/>
    <w:rsid w:val="00113D56"/>
    <w:pPr>
      <w:ind w:left="240" w:hanging="240"/>
    </w:pPr>
  </w:style>
  <w:style w:type="paragraph" w:styleId="Index2">
    <w:name w:val="index 2"/>
    <w:basedOn w:val="Normal"/>
    <w:next w:val="Normal"/>
    <w:autoRedefine/>
    <w:uiPriority w:val="98"/>
    <w:semiHidden/>
    <w:rsid w:val="00113D56"/>
    <w:pPr>
      <w:ind w:left="480" w:hanging="240"/>
    </w:pPr>
  </w:style>
  <w:style w:type="paragraph" w:styleId="Index3">
    <w:name w:val="index 3"/>
    <w:basedOn w:val="Normal"/>
    <w:next w:val="Normal"/>
    <w:autoRedefine/>
    <w:uiPriority w:val="98"/>
    <w:semiHidden/>
    <w:rsid w:val="00113D56"/>
    <w:pPr>
      <w:ind w:left="720" w:hanging="240"/>
    </w:pPr>
  </w:style>
  <w:style w:type="paragraph" w:styleId="Index4">
    <w:name w:val="index 4"/>
    <w:basedOn w:val="Normal"/>
    <w:next w:val="Normal"/>
    <w:autoRedefine/>
    <w:uiPriority w:val="98"/>
    <w:semiHidden/>
    <w:rsid w:val="00113D56"/>
    <w:pPr>
      <w:ind w:left="960" w:hanging="240"/>
    </w:pPr>
  </w:style>
  <w:style w:type="paragraph" w:styleId="Index5">
    <w:name w:val="index 5"/>
    <w:basedOn w:val="Normal"/>
    <w:next w:val="Normal"/>
    <w:autoRedefine/>
    <w:uiPriority w:val="98"/>
    <w:semiHidden/>
    <w:rsid w:val="00113D56"/>
    <w:pPr>
      <w:ind w:left="1200" w:hanging="240"/>
    </w:pPr>
  </w:style>
  <w:style w:type="paragraph" w:styleId="Index6">
    <w:name w:val="index 6"/>
    <w:basedOn w:val="Normal"/>
    <w:next w:val="Normal"/>
    <w:autoRedefine/>
    <w:uiPriority w:val="98"/>
    <w:semiHidden/>
    <w:rsid w:val="00113D56"/>
    <w:pPr>
      <w:ind w:left="1440" w:hanging="240"/>
    </w:pPr>
  </w:style>
  <w:style w:type="paragraph" w:styleId="Index7">
    <w:name w:val="index 7"/>
    <w:basedOn w:val="Normal"/>
    <w:next w:val="Normal"/>
    <w:autoRedefine/>
    <w:uiPriority w:val="98"/>
    <w:semiHidden/>
    <w:rsid w:val="00113D56"/>
    <w:pPr>
      <w:ind w:left="1680" w:hanging="240"/>
    </w:pPr>
  </w:style>
  <w:style w:type="paragraph" w:styleId="Index8">
    <w:name w:val="index 8"/>
    <w:basedOn w:val="Normal"/>
    <w:next w:val="Normal"/>
    <w:autoRedefine/>
    <w:uiPriority w:val="98"/>
    <w:semiHidden/>
    <w:rsid w:val="00113D56"/>
    <w:pPr>
      <w:ind w:left="1920" w:hanging="240"/>
    </w:pPr>
  </w:style>
  <w:style w:type="paragraph" w:styleId="Index9">
    <w:name w:val="index 9"/>
    <w:basedOn w:val="Normal"/>
    <w:next w:val="Normal"/>
    <w:autoRedefine/>
    <w:uiPriority w:val="98"/>
    <w:semiHidden/>
    <w:rsid w:val="00113D56"/>
    <w:pPr>
      <w:ind w:left="2160" w:hanging="240"/>
    </w:pPr>
  </w:style>
  <w:style w:type="paragraph" w:styleId="IndexHeading">
    <w:name w:val="index heading"/>
    <w:basedOn w:val="Normal"/>
    <w:next w:val="Index1"/>
    <w:uiPriority w:val="98"/>
    <w:semiHidden/>
    <w:rsid w:val="00113D56"/>
    <w:rPr>
      <w:rFonts w:asciiTheme="majorHAnsi" w:eastAsiaTheme="majorEastAsia" w:hAnsiTheme="majorHAnsi" w:cstheme="majorBidi"/>
      <w:b/>
      <w:bCs/>
    </w:rPr>
  </w:style>
  <w:style w:type="table" w:styleId="LightGrid">
    <w:name w:val="Light Grid"/>
    <w:basedOn w:val="TableNormal"/>
    <w:uiPriority w:val="62"/>
    <w:semiHidden/>
    <w:rsid w:val="00113D56"/>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113D56"/>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113D56"/>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113D56"/>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113D56"/>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113D56"/>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113D56"/>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113D56"/>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113D56"/>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113D56"/>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113D56"/>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113D56"/>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113D56"/>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113D56"/>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113D56"/>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113D56"/>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113D56"/>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113D56"/>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113D56"/>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113D56"/>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113D56"/>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113D56"/>
  </w:style>
  <w:style w:type="paragraph" w:styleId="List">
    <w:name w:val="List"/>
    <w:basedOn w:val="Normal"/>
    <w:uiPriority w:val="98"/>
    <w:semiHidden/>
    <w:rsid w:val="00113D56"/>
    <w:pPr>
      <w:ind w:left="283" w:hanging="283"/>
      <w:contextualSpacing/>
    </w:pPr>
  </w:style>
  <w:style w:type="paragraph" w:styleId="List2">
    <w:name w:val="List 2"/>
    <w:basedOn w:val="Normal"/>
    <w:uiPriority w:val="98"/>
    <w:semiHidden/>
    <w:rsid w:val="00113D56"/>
    <w:pPr>
      <w:ind w:left="566" w:hanging="283"/>
      <w:contextualSpacing/>
    </w:pPr>
  </w:style>
  <w:style w:type="paragraph" w:styleId="List3">
    <w:name w:val="List 3"/>
    <w:basedOn w:val="Normal"/>
    <w:uiPriority w:val="98"/>
    <w:semiHidden/>
    <w:rsid w:val="00113D56"/>
    <w:pPr>
      <w:ind w:left="849" w:hanging="283"/>
      <w:contextualSpacing/>
    </w:pPr>
  </w:style>
  <w:style w:type="paragraph" w:styleId="List4">
    <w:name w:val="List 4"/>
    <w:basedOn w:val="Normal"/>
    <w:uiPriority w:val="98"/>
    <w:semiHidden/>
    <w:rsid w:val="00113D56"/>
    <w:pPr>
      <w:ind w:left="1132" w:hanging="283"/>
      <w:contextualSpacing/>
    </w:pPr>
  </w:style>
  <w:style w:type="paragraph" w:styleId="List5">
    <w:name w:val="List 5"/>
    <w:basedOn w:val="Normal"/>
    <w:uiPriority w:val="98"/>
    <w:semiHidden/>
    <w:rsid w:val="00113D56"/>
    <w:pPr>
      <w:ind w:left="1415" w:hanging="283"/>
      <w:contextualSpacing/>
    </w:pPr>
  </w:style>
  <w:style w:type="paragraph" w:styleId="ListBullet">
    <w:name w:val="List Bullet"/>
    <w:basedOn w:val="Normal"/>
    <w:uiPriority w:val="98"/>
    <w:semiHidden/>
    <w:rsid w:val="00113D56"/>
    <w:pPr>
      <w:numPr>
        <w:numId w:val="4"/>
      </w:numPr>
    </w:pPr>
  </w:style>
  <w:style w:type="paragraph" w:styleId="ListBullet3">
    <w:name w:val="List Bullet 3"/>
    <w:basedOn w:val="Normal"/>
    <w:uiPriority w:val="98"/>
    <w:semiHidden/>
    <w:rsid w:val="00113D56"/>
    <w:pPr>
      <w:numPr>
        <w:numId w:val="6"/>
      </w:numPr>
      <w:contextualSpacing/>
    </w:pPr>
  </w:style>
  <w:style w:type="paragraph" w:styleId="ListBullet4">
    <w:name w:val="List Bullet 4"/>
    <w:basedOn w:val="Normal"/>
    <w:uiPriority w:val="98"/>
    <w:semiHidden/>
    <w:rsid w:val="00113D56"/>
    <w:pPr>
      <w:numPr>
        <w:numId w:val="7"/>
      </w:numPr>
      <w:contextualSpacing/>
    </w:pPr>
  </w:style>
  <w:style w:type="paragraph" w:styleId="ListBullet5">
    <w:name w:val="List Bullet 5"/>
    <w:basedOn w:val="Normal"/>
    <w:uiPriority w:val="98"/>
    <w:semiHidden/>
    <w:rsid w:val="00113D56"/>
    <w:pPr>
      <w:numPr>
        <w:numId w:val="8"/>
      </w:numPr>
      <w:contextualSpacing/>
    </w:pPr>
  </w:style>
  <w:style w:type="paragraph" w:styleId="ListContinue">
    <w:name w:val="List Continue"/>
    <w:basedOn w:val="Normal"/>
    <w:uiPriority w:val="98"/>
    <w:semiHidden/>
    <w:rsid w:val="00113D56"/>
    <w:pPr>
      <w:spacing w:after="120"/>
      <w:ind w:left="283"/>
      <w:contextualSpacing/>
    </w:pPr>
  </w:style>
  <w:style w:type="paragraph" w:styleId="ListContinue2">
    <w:name w:val="List Continue 2"/>
    <w:basedOn w:val="Normal"/>
    <w:uiPriority w:val="98"/>
    <w:semiHidden/>
    <w:rsid w:val="00113D56"/>
    <w:pPr>
      <w:spacing w:after="120"/>
      <w:ind w:left="566"/>
      <w:contextualSpacing/>
    </w:pPr>
  </w:style>
  <w:style w:type="paragraph" w:styleId="ListContinue3">
    <w:name w:val="List Continue 3"/>
    <w:basedOn w:val="Normal"/>
    <w:uiPriority w:val="98"/>
    <w:semiHidden/>
    <w:rsid w:val="00113D56"/>
    <w:pPr>
      <w:spacing w:after="120"/>
      <w:ind w:left="849"/>
      <w:contextualSpacing/>
    </w:pPr>
  </w:style>
  <w:style w:type="paragraph" w:styleId="ListContinue4">
    <w:name w:val="List Continue 4"/>
    <w:basedOn w:val="Normal"/>
    <w:uiPriority w:val="98"/>
    <w:semiHidden/>
    <w:rsid w:val="00113D56"/>
    <w:pPr>
      <w:spacing w:after="120"/>
      <w:ind w:left="1132"/>
      <w:contextualSpacing/>
    </w:pPr>
  </w:style>
  <w:style w:type="paragraph" w:styleId="ListContinue5">
    <w:name w:val="List Continue 5"/>
    <w:basedOn w:val="Normal"/>
    <w:uiPriority w:val="98"/>
    <w:semiHidden/>
    <w:rsid w:val="00113D56"/>
    <w:pPr>
      <w:spacing w:after="120"/>
      <w:ind w:left="1415"/>
      <w:contextualSpacing/>
    </w:pPr>
  </w:style>
  <w:style w:type="paragraph" w:styleId="ListNumber">
    <w:name w:val="List Number"/>
    <w:basedOn w:val="Normal"/>
    <w:uiPriority w:val="98"/>
    <w:semiHidden/>
    <w:rsid w:val="00113D56"/>
    <w:pPr>
      <w:numPr>
        <w:numId w:val="9"/>
      </w:numPr>
      <w:contextualSpacing/>
    </w:pPr>
  </w:style>
  <w:style w:type="paragraph" w:styleId="ListNumber2">
    <w:name w:val="List Number 2"/>
    <w:basedOn w:val="Normal"/>
    <w:uiPriority w:val="98"/>
    <w:semiHidden/>
    <w:rsid w:val="00113D56"/>
    <w:pPr>
      <w:numPr>
        <w:numId w:val="10"/>
      </w:numPr>
      <w:contextualSpacing/>
    </w:pPr>
  </w:style>
  <w:style w:type="paragraph" w:styleId="ListNumber3">
    <w:name w:val="List Number 3"/>
    <w:basedOn w:val="Normal"/>
    <w:uiPriority w:val="98"/>
    <w:semiHidden/>
    <w:rsid w:val="00113D56"/>
    <w:pPr>
      <w:numPr>
        <w:numId w:val="11"/>
      </w:numPr>
      <w:contextualSpacing/>
    </w:pPr>
  </w:style>
  <w:style w:type="paragraph" w:styleId="ListNumber4">
    <w:name w:val="List Number 4"/>
    <w:basedOn w:val="Normal"/>
    <w:uiPriority w:val="98"/>
    <w:semiHidden/>
    <w:rsid w:val="00113D56"/>
    <w:pPr>
      <w:numPr>
        <w:numId w:val="12"/>
      </w:numPr>
      <w:contextualSpacing/>
    </w:pPr>
  </w:style>
  <w:style w:type="paragraph" w:styleId="ListNumber5">
    <w:name w:val="List Number 5"/>
    <w:basedOn w:val="Normal"/>
    <w:uiPriority w:val="98"/>
    <w:semiHidden/>
    <w:rsid w:val="00113D56"/>
    <w:pPr>
      <w:numPr>
        <w:numId w:val="13"/>
      </w:numPr>
      <w:contextualSpacing/>
    </w:pPr>
  </w:style>
  <w:style w:type="paragraph" w:styleId="MacroText">
    <w:name w:val="macro"/>
    <w:link w:val="MacroTextChar"/>
    <w:uiPriority w:val="98"/>
    <w:semiHidden/>
    <w:rsid w:val="00113D56"/>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113D56"/>
    <w:rPr>
      <w:rFonts w:ascii="Consolas" w:eastAsiaTheme="minorEastAsia" w:hAnsi="Consolas" w:cs="Consolas"/>
      <w:sz w:val="20"/>
      <w:szCs w:val="20"/>
    </w:rPr>
  </w:style>
  <w:style w:type="table" w:styleId="MediumGrid1">
    <w:name w:val="Medium Grid 1"/>
    <w:basedOn w:val="TableNormal"/>
    <w:uiPriority w:val="67"/>
    <w:semiHidden/>
    <w:rsid w:val="00113D56"/>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113D56"/>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113D56"/>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113D56"/>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113D56"/>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113D56"/>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113D56"/>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113D56"/>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113D56"/>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113D56"/>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113D5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113D56"/>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113D5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113D56"/>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113D5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113D5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113D5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113D5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113D5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113D5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113D5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113D56"/>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113D56"/>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113D56"/>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113D56"/>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113D56"/>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113D56"/>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113D56"/>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113D56"/>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113D56"/>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113D56"/>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113D5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113D56"/>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113D5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113D56"/>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113D56"/>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113D56"/>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113D56"/>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113D56"/>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113D56"/>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113D56"/>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113D56"/>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113D5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113D5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113D5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113D5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113D5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113D5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113D5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113D5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113D56"/>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113D56"/>
    <w:rPr>
      <w:rFonts w:ascii="Times New Roman" w:hAnsi="Times New Roman" w:cs="Times New Roman"/>
    </w:rPr>
  </w:style>
  <w:style w:type="paragraph" w:styleId="NormalIndent">
    <w:name w:val="Normal Indent"/>
    <w:basedOn w:val="Normal"/>
    <w:uiPriority w:val="98"/>
    <w:semiHidden/>
    <w:rsid w:val="00113D56"/>
    <w:pPr>
      <w:ind w:left="720"/>
    </w:pPr>
  </w:style>
  <w:style w:type="paragraph" w:styleId="NoteHeading">
    <w:name w:val="Note Heading"/>
    <w:basedOn w:val="Normal"/>
    <w:next w:val="Normal"/>
    <w:link w:val="NoteHeadingChar"/>
    <w:uiPriority w:val="98"/>
    <w:semiHidden/>
    <w:rsid w:val="00113D56"/>
  </w:style>
  <w:style w:type="character" w:customStyle="1" w:styleId="NoteHeadingChar">
    <w:name w:val="Note Heading Char"/>
    <w:basedOn w:val="DefaultParagraphFont"/>
    <w:link w:val="NoteHeading"/>
    <w:uiPriority w:val="98"/>
    <w:semiHidden/>
    <w:rsid w:val="00113D56"/>
    <w:rPr>
      <w:sz w:val="24"/>
      <w:szCs w:val="24"/>
      <w:lang w:val="ro-RO"/>
    </w:rPr>
  </w:style>
  <w:style w:type="character" w:styleId="PlaceholderText">
    <w:name w:val="Placeholder Text"/>
    <w:basedOn w:val="DefaultParagraphFont"/>
    <w:uiPriority w:val="98"/>
    <w:semiHidden/>
    <w:rsid w:val="00113D56"/>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113D56"/>
    <w:rPr>
      <w:rFonts w:ascii="Consolas" w:hAnsi="Consolas" w:cs="Consolas"/>
      <w:sz w:val="21"/>
      <w:szCs w:val="21"/>
    </w:rPr>
  </w:style>
  <w:style w:type="character" w:customStyle="1" w:styleId="PlainTextChar">
    <w:name w:val="Plain Text Char"/>
    <w:basedOn w:val="DefaultParagraphFont"/>
    <w:link w:val="PlainText"/>
    <w:uiPriority w:val="98"/>
    <w:semiHidden/>
    <w:rsid w:val="00113D56"/>
    <w:rPr>
      <w:rFonts w:ascii="Consolas" w:hAnsi="Consolas" w:cs="Consolas"/>
      <w:sz w:val="21"/>
      <w:szCs w:val="21"/>
      <w:lang w:val="ro-RO"/>
    </w:rPr>
  </w:style>
  <w:style w:type="paragraph" w:styleId="Salutation">
    <w:name w:val="Salutation"/>
    <w:basedOn w:val="Normal"/>
    <w:next w:val="Normal"/>
    <w:link w:val="SalutationChar"/>
    <w:uiPriority w:val="98"/>
    <w:semiHidden/>
    <w:rsid w:val="00113D56"/>
  </w:style>
  <w:style w:type="character" w:customStyle="1" w:styleId="SalutationChar">
    <w:name w:val="Salutation Char"/>
    <w:basedOn w:val="DefaultParagraphFont"/>
    <w:link w:val="Salutation"/>
    <w:uiPriority w:val="98"/>
    <w:semiHidden/>
    <w:rsid w:val="00113D56"/>
    <w:rPr>
      <w:sz w:val="24"/>
      <w:szCs w:val="24"/>
      <w:lang w:val="ro-RO"/>
    </w:rPr>
  </w:style>
  <w:style w:type="paragraph" w:styleId="Signature">
    <w:name w:val="Signature"/>
    <w:basedOn w:val="Normal"/>
    <w:link w:val="SignatureChar"/>
    <w:uiPriority w:val="98"/>
    <w:semiHidden/>
    <w:rsid w:val="00113D56"/>
    <w:pPr>
      <w:ind w:left="4252"/>
    </w:pPr>
  </w:style>
  <w:style w:type="character" w:customStyle="1" w:styleId="SignatureChar">
    <w:name w:val="Signature Char"/>
    <w:basedOn w:val="DefaultParagraphFont"/>
    <w:link w:val="Signature"/>
    <w:uiPriority w:val="98"/>
    <w:semiHidden/>
    <w:rsid w:val="00113D56"/>
    <w:rPr>
      <w:sz w:val="24"/>
      <w:szCs w:val="24"/>
      <w:lang w:val="ro-RO"/>
    </w:rPr>
  </w:style>
  <w:style w:type="table" w:styleId="Table3Deffects1">
    <w:name w:val="Table 3D effects 1"/>
    <w:basedOn w:val="TableNormal"/>
    <w:uiPriority w:val="99"/>
    <w:semiHidden/>
    <w:unhideWhenUsed/>
    <w:rsid w:val="00113D56"/>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13D56"/>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13D56"/>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13D56"/>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13D56"/>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13D56"/>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13D56"/>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13D56"/>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13D56"/>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13D56"/>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13D56"/>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13D56"/>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13D56"/>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13D56"/>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13D56"/>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13D56"/>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13D56"/>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113D5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13D56"/>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13D56"/>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13D56"/>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13D56"/>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13D56"/>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13D56"/>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13D56"/>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113D56"/>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13D56"/>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13D56"/>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13D56"/>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13D5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13D56"/>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13D56"/>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13D56"/>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113D56"/>
    <w:pPr>
      <w:ind w:left="240" w:hanging="240"/>
    </w:pPr>
  </w:style>
  <w:style w:type="paragraph" w:styleId="TableofFigures">
    <w:name w:val="table of figures"/>
    <w:basedOn w:val="Normal"/>
    <w:next w:val="Normal"/>
    <w:uiPriority w:val="98"/>
    <w:semiHidden/>
    <w:rsid w:val="00113D56"/>
  </w:style>
  <w:style w:type="table" w:styleId="TableProfessional">
    <w:name w:val="Table Professional"/>
    <w:basedOn w:val="TableNormal"/>
    <w:uiPriority w:val="99"/>
    <w:semiHidden/>
    <w:unhideWhenUsed/>
    <w:rsid w:val="00113D5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13D56"/>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13D56"/>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13D56"/>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13D56"/>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13D56"/>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13D56"/>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13D56"/>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13D56"/>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13D56"/>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113D56"/>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113D56"/>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113D56"/>
    <w:pPr>
      <w:spacing w:after="100"/>
      <w:ind w:left="1680"/>
    </w:pPr>
  </w:style>
  <w:style w:type="paragraph" w:styleId="TOC9">
    <w:name w:val="toc 9"/>
    <w:basedOn w:val="Normal"/>
    <w:next w:val="Normal"/>
    <w:autoRedefine/>
    <w:uiPriority w:val="98"/>
    <w:semiHidden/>
    <w:rsid w:val="00113D56"/>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113D56"/>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113D56"/>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113D56"/>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113D56"/>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113D56"/>
    <w:pPr>
      <w:numPr>
        <w:numId w:val="15"/>
      </w:numPr>
      <w:spacing w:before="60" w:after="60"/>
    </w:pPr>
  </w:style>
  <w:style w:type="paragraph" w:customStyle="1" w:styleId="ECHRBullet2">
    <w:name w:val="ECHR_Bullet_2"/>
    <w:aliases w:val="_Bul_2"/>
    <w:basedOn w:val="ECHRBullet1"/>
    <w:uiPriority w:val="23"/>
    <w:semiHidden/>
    <w:rsid w:val="00113D56"/>
    <w:pPr>
      <w:numPr>
        <w:ilvl w:val="1"/>
      </w:numPr>
    </w:pPr>
  </w:style>
  <w:style w:type="paragraph" w:customStyle="1" w:styleId="ECHRBullet3">
    <w:name w:val="ECHR_Bullet_3"/>
    <w:aliases w:val="_Bul_3"/>
    <w:basedOn w:val="ECHRBullet2"/>
    <w:uiPriority w:val="23"/>
    <w:semiHidden/>
    <w:rsid w:val="00113D56"/>
    <w:pPr>
      <w:numPr>
        <w:ilvl w:val="2"/>
      </w:numPr>
    </w:pPr>
  </w:style>
  <w:style w:type="paragraph" w:customStyle="1" w:styleId="ECHRBullet4">
    <w:name w:val="ECHR_Bullet_4"/>
    <w:aliases w:val="_Bul_4"/>
    <w:basedOn w:val="ECHRBullet3"/>
    <w:uiPriority w:val="23"/>
    <w:semiHidden/>
    <w:rsid w:val="00113D56"/>
    <w:pPr>
      <w:numPr>
        <w:ilvl w:val="3"/>
      </w:numPr>
    </w:pPr>
  </w:style>
  <w:style w:type="paragraph" w:customStyle="1" w:styleId="ECHRConfidential">
    <w:name w:val="ECHR_Confidential"/>
    <w:aliases w:val="_Confidential"/>
    <w:basedOn w:val="Normal"/>
    <w:next w:val="Normal"/>
    <w:uiPriority w:val="42"/>
    <w:semiHidden/>
    <w:qFormat/>
    <w:rsid w:val="00113D56"/>
    <w:pPr>
      <w:jc w:val="right"/>
    </w:pPr>
    <w:rPr>
      <w:color w:val="C00000"/>
      <w:sz w:val="20"/>
    </w:rPr>
  </w:style>
  <w:style w:type="paragraph" w:customStyle="1" w:styleId="ECHRDecisionBody">
    <w:name w:val="ECHR_Decision_Body"/>
    <w:aliases w:val="_Decision_Body"/>
    <w:basedOn w:val="NormalJustified"/>
    <w:uiPriority w:val="54"/>
    <w:semiHidden/>
    <w:rsid w:val="00113D56"/>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113D56"/>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113D56"/>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113D56"/>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113D56"/>
    <w:pPr>
      <w:jc w:val="right"/>
    </w:pPr>
    <w:rPr>
      <w:sz w:val="20"/>
    </w:rPr>
  </w:style>
  <w:style w:type="paragraph" w:customStyle="1" w:styleId="ECHRHeaderRefIt">
    <w:name w:val="ECHR_Header_Ref_It"/>
    <w:aliases w:val="_Ref_Ital"/>
    <w:basedOn w:val="Normal"/>
    <w:next w:val="ECHRHeaderDate"/>
    <w:uiPriority w:val="43"/>
    <w:semiHidden/>
    <w:qFormat/>
    <w:rsid w:val="00113D56"/>
    <w:pPr>
      <w:jc w:val="right"/>
    </w:pPr>
    <w:rPr>
      <w:i/>
      <w:sz w:val="20"/>
    </w:rPr>
  </w:style>
  <w:style w:type="paragraph" w:customStyle="1" w:styleId="ECHRHeading9">
    <w:name w:val="ECHR_Heading_9"/>
    <w:aliases w:val="_Head_9"/>
    <w:basedOn w:val="Heading9"/>
    <w:uiPriority w:val="17"/>
    <w:semiHidden/>
    <w:rsid w:val="00113D56"/>
    <w:pPr>
      <w:keepNext/>
      <w:keepLines/>
      <w:numPr>
        <w:ilvl w:val="8"/>
        <w:numId w:val="14"/>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113D56"/>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113D56"/>
    <w:pPr>
      <w:numPr>
        <w:numId w:val="17"/>
      </w:numPr>
      <w:spacing w:before="60" w:after="60"/>
    </w:pPr>
  </w:style>
  <w:style w:type="paragraph" w:customStyle="1" w:styleId="ECHRNumberedList2">
    <w:name w:val="ECHR_Numbered_List_2"/>
    <w:aliases w:val="_Num_2"/>
    <w:basedOn w:val="ECHRNumberedList1"/>
    <w:uiPriority w:val="23"/>
    <w:semiHidden/>
    <w:rsid w:val="00113D56"/>
    <w:pPr>
      <w:numPr>
        <w:ilvl w:val="1"/>
      </w:numPr>
    </w:pPr>
  </w:style>
  <w:style w:type="paragraph" w:customStyle="1" w:styleId="ECHRNumberedList3">
    <w:name w:val="ECHR_Numbered_List_3"/>
    <w:aliases w:val="_Num_3"/>
    <w:basedOn w:val="ECHRNumberedList2"/>
    <w:uiPriority w:val="23"/>
    <w:semiHidden/>
    <w:rsid w:val="00113D56"/>
    <w:pPr>
      <w:numPr>
        <w:ilvl w:val="2"/>
      </w:numPr>
    </w:pPr>
  </w:style>
  <w:style w:type="paragraph" w:customStyle="1" w:styleId="ECHRParaHanging">
    <w:name w:val="ECHR_Para_Hanging"/>
    <w:aliases w:val="_Hanging"/>
    <w:basedOn w:val="NormalJustified"/>
    <w:uiPriority w:val="8"/>
    <w:semiHidden/>
    <w:qFormat/>
    <w:rsid w:val="00113D56"/>
    <w:pPr>
      <w:ind w:left="567" w:hanging="567"/>
    </w:pPr>
  </w:style>
  <w:style w:type="paragraph" w:customStyle="1" w:styleId="ECHRParaIndent">
    <w:name w:val="ECHR_Para_Indent"/>
    <w:aliases w:val="_Indent"/>
    <w:basedOn w:val="NormalJustified"/>
    <w:uiPriority w:val="7"/>
    <w:semiHidden/>
    <w:qFormat/>
    <w:rsid w:val="00113D56"/>
    <w:pPr>
      <w:spacing w:before="120" w:after="120"/>
      <w:ind w:left="567"/>
    </w:pPr>
  </w:style>
  <w:style w:type="character" w:customStyle="1" w:styleId="ECHRRed">
    <w:name w:val="ECHR_Red"/>
    <w:aliases w:val="_Red"/>
    <w:basedOn w:val="DefaultParagraphFont"/>
    <w:uiPriority w:val="15"/>
    <w:semiHidden/>
    <w:qFormat/>
    <w:rsid w:val="00113D56"/>
    <w:rPr>
      <w:color w:val="C00000" w:themeColor="accent2"/>
    </w:rPr>
  </w:style>
  <w:style w:type="paragraph" w:customStyle="1" w:styleId="DecList">
    <w:name w:val="Dec_List"/>
    <w:aliases w:val="_List"/>
    <w:basedOn w:val="JuList"/>
    <w:uiPriority w:val="22"/>
    <w:rsid w:val="00113D56"/>
    <w:pPr>
      <w:numPr>
        <w:numId w:val="0"/>
      </w:numPr>
      <w:ind w:left="284"/>
    </w:pPr>
  </w:style>
  <w:style w:type="table" w:customStyle="1" w:styleId="ECHRTable2">
    <w:name w:val="ECHR_Table_2"/>
    <w:basedOn w:val="TableNormal"/>
    <w:uiPriority w:val="99"/>
    <w:rsid w:val="00113D56"/>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113D56"/>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113D56"/>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113D56"/>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113D56"/>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113D56"/>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113D56"/>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113D56"/>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113D56"/>
    <w:pPr>
      <w:outlineLvl w:val="0"/>
    </w:pPr>
  </w:style>
  <w:style w:type="paragraph" w:customStyle="1" w:styleId="ECHRTitleTOC1">
    <w:name w:val="ECHR_Title_TOC_1"/>
    <w:aliases w:val="_Title_L_TOC"/>
    <w:basedOn w:val="ECHRTitle1"/>
    <w:next w:val="Normal"/>
    <w:uiPriority w:val="27"/>
    <w:semiHidden/>
    <w:qFormat/>
    <w:rsid w:val="00113D56"/>
    <w:pPr>
      <w:outlineLvl w:val="0"/>
    </w:pPr>
  </w:style>
  <w:style w:type="paragraph" w:customStyle="1" w:styleId="ECHRPlaceholder">
    <w:name w:val="ECHR_Placeholder"/>
    <w:aliases w:val="_Placeholder"/>
    <w:basedOn w:val="JuSigned"/>
    <w:uiPriority w:val="31"/>
    <w:rsid w:val="00113D56"/>
    <w:rPr>
      <w:color w:val="FFFFFF"/>
    </w:rPr>
  </w:style>
  <w:style w:type="paragraph" w:customStyle="1" w:styleId="ECHRSpacer">
    <w:name w:val="ECHR_Spacer"/>
    <w:aliases w:val="_Spacer"/>
    <w:basedOn w:val="Normal"/>
    <w:uiPriority w:val="45"/>
    <w:semiHidden/>
    <w:rsid w:val="00113D56"/>
    <w:rPr>
      <w:sz w:val="4"/>
    </w:rPr>
  </w:style>
  <w:style w:type="table" w:customStyle="1" w:styleId="ECHRTableGrey">
    <w:name w:val="ECHR_Table_Grey"/>
    <w:basedOn w:val="TableNormal"/>
    <w:uiPriority w:val="99"/>
    <w:rsid w:val="00113D56"/>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7A1DC2"/>
    <w:rPr>
      <w:sz w:val="24"/>
      <w:szCs w:val="24"/>
      <w:lang w:val="ro-RO"/>
    </w:rPr>
  </w:style>
  <w:style w:type="table" w:styleId="GridTable1Light">
    <w:name w:val="Grid Table 1 Light"/>
    <w:basedOn w:val="TableNormal"/>
    <w:uiPriority w:val="46"/>
    <w:semiHidden/>
    <w:rsid w:val="00C5607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C5607B"/>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C5607B"/>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C5607B"/>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C5607B"/>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C5607B"/>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C5607B"/>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C5607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C5607B"/>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C5607B"/>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C5607B"/>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C5607B"/>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C5607B"/>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C5607B"/>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C5607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C5607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C5607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C5607B"/>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C5607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C5607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C5607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C5607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C5607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C5607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C5607B"/>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C5607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C5607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C5607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C5607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C5607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C5607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C5607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C5607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C5607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C5607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C5607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C5607B"/>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C5607B"/>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C5607B"/>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C5607B"/>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C5607B"/>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C5607B"/>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C5607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C5607B"/>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C5607B"/>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C5607B"/>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C5607B"/>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C5607B"/>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C5607B"/>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C5607B"/>
    <w:rPr>
      <w:color w:val="2B579A"/>
      <w:shd w:val="clear" w:color="auto" w:fill="E1DFDD"/>
    </w:rPr>
  </w:style>
  <w:style w:type="table" w:styleId="ListTable1Light">
    <w:name w:val="List Table 1 Light"/>
    <w:basedOn w:val="TableNormal"/>
    <w:uiPriority w:val="46"/>
    <w:semiHidden/>
    <w:rsid w:val="00C5607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C5607B"/>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C5607B"/>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C5607B"/>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C5607B"/>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C5607B"/>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C5607B"/>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C5607B"/>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C5607B"/>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C5607B"/>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C5607B"/>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C5607B"/>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C5607B"/>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C5607B"/>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C5607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C5607B"/>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C5607B"/>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C5607B"/>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C5607B"/>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C5607B"/>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C5607B"/>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C5607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C5607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C5607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C5607B"/>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C5607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C5607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C5607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C5607B"/>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C5607B"/>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C5607B"/>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C5607B"/>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C5607B"/>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C5607B"/>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C5607B"/>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C5607B"/>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C5607B"/>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C5607B"/>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C5607B"/>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C5607B"/>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C5607B"/>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C5607B"/>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C5607B"/>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C5607B"/>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C5607B"/>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C5607B"/>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C5607B"/>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C5607B"/>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C5607B"/>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C5607B"/>
    <w:rPr>
      <w:color w:val="2B579A"/>
      <w:shd w:val="clear" w:color="auto" w:fill="E1DFDD"/>
    </w:rPr>
  </w:style>
  <w:style w:type="table" w:styleId="PlainTable1">
    <w:name w:val="Plain Table 1"/>
    <w:basedOn w:val="TableNormal"/>
    <w:uiPriority w:val="41"/>
    <w:semiHidden/>
    <w:rsid w:val="00C5607B"/>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C5607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C5607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C5607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C5607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C5607B"/>
    <w:rPr>
      <w:u w:val="dotted"/>
    </w:rPr>
  </w:style>
  <w:style w:type="character" w:customStyle="1" w:styleId="SmartLink">
    <w:name w:val="Smart Link"/>
    <w:basedOn w:val="DefaultParagraphFont"/>
    <w:uiPriority w:val="99"/>
    <w:semiHidden/>
    <w:unhideWhenUsed/>
    <w:rsid w:val="00C5607B"/>
    <w:rPr>
      <w:color w:val="0000FF"/>
      <w:u w:val="single"/>
      <w:shd w:val="clear" w:color="auto" w:fill="F3F2F1"/>
    </w:rPr>
  </w:style>
  <w:style w:type="table" w:styleId="TableGridLight">
    <w:name w:val="Grid Table Light"/>
    <w:basedOn w:val="TableNormal"/>
    <w:uiPriority w:val="40"/>
    <w:semiHidden/>
    <w:rsid w:val="00C5607B"/>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B7EEC-94F5-45EB-9089-A2FA52CBBE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5C3EF3-07A6-445D-9717-F4787AFA4866}">
  <ds:schemaRefs>
    <ds:schemaRef ds:uri="http://schemas.microsoft.com/sharepoint/v3/contenttype/forms"/>
  </ds:schemaRefs>
</ds:datastoreItem>
</file>

<file path=customXml/itemProps3.xml><?xml version="1.0" encoding="utf-8"?>
<ds:datastoreItem xmlns:ds="http://schemas.openxmlformats.org/officeDocument/2006/customXml" ds:itemID="{91F5F0B9-F677-46D5-9F15-FB5009799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65F5C2D-5112-4DAE-A1CB-6778FBF07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2007</Words>
  <Characters>11645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2022-12-16T11:29:00Z</dcterms:created>
  <dcterms:modified xsi:type="dcterms:W3CDTF">2024-06-25T08:24:00Z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51272/16</vt:lpwstr>
  </property>
  <property fmtid="{D5CDD505-2E9C-101B-9397-08002B2CF9AE}" pid="4" name="CASEID">
    <vt:lpwstr>1234652</vt:lpwstr>
  </property>
  <property fmtid="{D5CDD505-2E9C-101B-9397-08002B2CF9AE}" pid="5" name="ContentTypeId">
    <vt:lpwstr>0x010100558EB02BDB9E204AB350EDD385B68E10</vt:lpwstr>
  </property>
</Properties>
</file>