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A48EDD7" w14:textId="0EC35332" w:rsidR="00F14613" w:rsidRDefault="00F14613" w:rsidP="00FC1A1E">
      <w:pPr>
        <w:pStyle w:val="DecHTitle"/>
      </w:pPr>
      <w:r>
        <w:t>CURTEA EUROPEANĂ A DREPTURILOR OMULUI</w:t>
      </w:r>
    </w:p>
    <w:p w14:paraId="204EF4CC" w14:textId="2F1240B3" w:rsidR="006544C4" w:rsidRPr="00FC1A1E" w:rsidRDefault="0045116D" w:rsidP="00FC1A1E">
      <w:pPr>
        <w:pStyle w:val="DecHTitle"/>
        <w:rPr>
          <w:sz w:val="4"/>
          <w:szCs w:val="4"/>
        </w:rPr>
      </w:pPr>
      <w:r>
        <w:t>SECȚIA A PATRA</w:t>
      </w:r>
    </w:p>
    <w:p w14:paraId="1011FB6C" w14:textId="77777777" w:rsidR="006544C4" w:rsidRPr="00FC1A1E" w:rsidRDefault="006544C4" w:rsidP="00FC1A1E">
      <w:pPr>
        <w:pStyle w:val="DecHTitle"/>
        <w:rPr>
          <w:caps/>
          <w:sz w:val="32"/>
        </w:rPr>
      </w:pPr>
      <w:r>
        <w:t>DECIZIE</w:t>
      </w:r>
    </w:p>
    <w:p w14:paraId="1CE71263" w14:textId="42D0ED5E" w:rsidR="006544C4" w:rsidRPr="00FC1A1E" w:rsidRDefault="0045116D" w:rsidP="00FC1A1E">
      <w:pPr>
        <w:pStyle w:val="DecHCase"/>
      </w:pPr>
      <w:r>
        <w:t>Cererea nr. 83460/17</w:t>
      </w:r>
      <w:r>
        <w:br/>
        <w:t>Constantin Răducan</w:t>
      </w:r>
      <w:r>
        <w:br/>
        <w:t>împotriva României</w:t>
      </w:r>
    </w:p>
    <w:p w14:paraId="44988BCA" w14:textId="55395491" w:rsidR="0045116D" w:rsidRPr="00FC1A1E" w:rsidRDefault="0045116D" w:rsidP="00FC1A1E">
      <w:pPr>
        <w:pStyle w:val="JuPara"/>
      </w:pPr>
      <w:r>
        <w:t>Curtea Europeană a Drepturilor Omului (Secția a patra), reunită la 6 decembrie 2022 într-o cameră compusă din:</w:t>
      </w:r>
    </w:p>
    <w:p w14:paraId="0E81909C" w14:textId="6BAF4AD5" w:rsidR="0045116D" w:rsidRPr="00FC1A1E" w:rsidRDefault="0072106A" w:rsidP="00FC1A1E">
      <w:pPr>
        <w:pStyle w:val="JuJudges"/>
      </w:pPr>
      <w:r>
        <w:tab/>
        <w:t>Gabriele Kucsko-Stadlmayer</w:t>
      </w:r>
      <w:r>
        <w:rPr>
          <w:i/>
        </w:rPr>
        <w:t>, președinte</w:t>
      </w:r>
      <w:r>
        <w:t>,</w:t>
      </w:r>
      <w:r>
        <w:br/>
      </w:r>
      <w:r>
        <w:tab/>
        <w:t>Tim Eicke,</w:t>
      </w:r>
      <w:r>
        <w:br/>
      </w:r>
      <w:r>
        <w:tab/>
        <w:t>Faris Vehabović,</w:t>
      </w:r>
      <w:r>
        <w:br/>
      </w:r>
      <w:r>
        <w:tab/>
        <w:t>Iulia Antoanella Motoc,</w:t>
      </w:r>
      <w:r>
        <w:br/>
      </w:r>
      <w:r>
        <w:tab/>
        <w:t>Branko Lubarda,</w:t>
      </w:r>
      <w:r>
        <w:br/>
      </w:r>
      <w:r>
        <w:tab/>
        <w:t>Anja Seibert-Fohr,</w:t>
      </w:r>
      <w:r>
        <w:br/>
      </w:r>
      <w:r>
        <w:tab/>
        <w:t>Ana Maria Guerra Martins</w:t>
      </w:r>
      <w:r>
        <w:rPr>
          <w:i/>
        </w:rPr>
        <w:t>, judecători</w:t>
      </w:r>
      <w:r>
        <w:t>,</w:t>
      </w:r>
      <w:r>
        <w:br/>
        <w:t xml:space="preserve">și </w:t>
      </w:r>
      <w:r>
        <w:rPr>
          <w:rStyle w:val="JuParaChar"/>
        </w:rPr>
        <w:t>Ilse Freiwirth</w:t>
      </w:r>
      <w:r>
        <w:t xml:space="preserve">, </w:t>
      </w:r>
      <w:r>
        <w:rPr>
          <w:i/>
        </w:rPr>
        <w:t>grefier adjunct de secție</w:t>
      </w:r>
      <w:r>
        <w:t>,</w:t>
      </w:r>
    </w:p>
    <w:p w14:paraId="1B955CA8" w14:textId="77777777" w:rsidR="0045116D" w:rsidRPr="00FC1A1E" w:rsidRDefault="0045116D" w:rsidP="00FC1A1E">
      <w:pPr>
        <w:pStyle w:val="JuPara"/>
      </w:pPr>
      <w:r>
        <w:t>Având în vedere cererea menționată anterior, introdusă la 4 decembrie 2017,</w:t>
      </w:r>
    </w:p>
    <w:p w14:paraId="4C106469" w14:textId="77777777" w:rsidR="0045116D" w:rsidRPr="00FC1A1E" w:rsidRDefault="0045116D" w:rsidP="00FC1A1E">
      <w:pPr>
        <w:pStyle w:val="JuPara"/>
      </w:pPr>
      <w:r>
        <w:t>Având în vedere observațiile formulate de Guvernul pârât și cele prezentate ca răspuns de reclamant,</w:t>
      </w:r>
    </w:p>
    <w:p w14:paraId="2BE8DFA5" w14:textId="77777777" w:rsidR="0045116D" w:rsidRPr="00FC1A1E" w:rsidRDefault="0045116D" w:rsidP="00FC1A1E">
      <w:pPr>
        <w:pStyle w:val="JuPara"/>
      </w:pPr>
      <w:r>
        <w:t>După ce a deliberat în acest sens, pronunță următoarea decizie:</w:t>
      </w:r>
    </w:p>
    <w:p w14:paraId="1FD88C11" w14:textId="77777777" w:rsidR="0045116D" w:rsidRPr="00FC1A1E" w:rsidRDefault="0045116D" w:rsidP="00FC1A1E">
      <w:pPr>
        <w:pStyle w:val="JuHHead"/>
      </w:pPr>
      <w:r>
        <w:t>ÎN FAPT</w:t>
      </w:r>
    </w:p>
    <w:p w14:paraId="51823AD2" w14:textId="314D6BCA" w:rsidR="0045116D" w:rsidRPr="00FC1A1E" w:rsidRDefault="00F14613" w:rsidP="00FC1A1E">
      <w:pPr>
        <w:pStyle w:val="JuPara"/>
      </w:pPr>
      <w:fldSimple w:instr=" SEQ level0 \*arabic \* MERGEFORMAT ">
        <w:r w:rsidR="00FC1A1E" w:rsidRPr="00FC1A1E">
          <w:t>1</w:t>
        </w:r>
      </w:fldSimple>
      <w:r>
        <w:t>.  Reclamantul, domnul Constantin Răducan, este resortisant român, s-a născut în 1978 și locuiește în București. A fost reprezentat în fața Curții de domnul M. Enache, avocat în București.</w:t>
      </w:r>
    </w:p>
    <w:p w14:paraId="0C17718B" w14:textId="68261C42" w:rsidR="0045116D" w:rsidRPr="00FC1A1E" w:rsidRDefault="00F14613" w:rsidP="00FC1A1E">
      <w:pPr>
        <w:pStyle w:val="JuPara"/>
      </w:pPr>
      <w:fldSimple w:instr=" SEQ level0 \*arabic \* MERGEFORMAT ">
        <w:r w:rsidR="00FC1A1E" w:rsidRPr="00FC1A1E">
          <w:t>2</w:t>
        </w:r>
      </w:fldSimple>
      <w:r>
        <w:t xml:space="preserve">.  Guvernul român („Guvernul”) a fost reprezentat de agentul său guvernamental, doamna </w:t>
      </w:r>
      <w:bookmarkStart w:id="0" w:name="_Hlk124932888"/>
      <w:r>
        <w:t>O.F. Ezer</w:t>
      </w:r>
      <w:bookmarkEnd w:id="0"/>
      <w:r>
        <w:t>, din cadrul Ministerului Afacerilor Externe.</w:t>
      </w:r>
    </w:p>
    <w:p w14:paraId="7A6BA082" w14:textId="0383DC8D" w:rsidR="0045116D" w:rsidRPr="00FC1A1E" w:rsidRDefault="0045116D" w:rsidP="00FC1A1E">
      <w:pPr>
        <w:pStyle w:val="JuHA"/>
        <w:numPr>
          <w:ilvl w:val="0"/>
          <w:numId w:val="0"/>
        </w:numPr>
        <w:ind w:left="510" w:hanging="340"/>
      </w:pPr>
      <w:r>
        <w:lastRenderedPageBreak/>
        <w:t>Circumstanțele cauzei</w:t>
      </w:r>
    </w:p>
    <w:p w14:paraId="0DF99237" w14:textId="5CF25591" w:rsidR="0045116D" w:rsidRPr="00FC1A1E" w:rsidRDefault="00F14613" w:rsidP="00FC1A1E">
      <w:pPr>
        <w:pStyle w:val="JuPara"/>
      </w:pPr>
      <w:fldSimple w:instr=" SEQ level0 \*arabic \* MERGEFORMAT ">
        <w:r w:rsidR="00FC1A1E" w:rsidRPr="00FC1A1E">
          <w:t>3</w:t>
        </w:r>
      </w:fldSimple>
      <w:r>
        <w:t>.  Faptele cauzei, astfel cum au fost expuse de către părți, pot fi rezumate după cum urmează.</w:t>
      </w:r>
    </w:p>
    <w:bookmarkStart w:id="1" w:name="paragraph00004"/>
    <w:bookmarkStart w:id="2" w:name="réquisitoire"/>
    <w:p w14:paraId="644FC779" w14:textId="0EA1E500" w:rsidR="0045116D" w:rsidRPr="00FC1A1E" w:rsidRDefault="0045116D" w:rsidP="00FC1A1E">
      <w:pPr>
        <w:pStyle w:val="JuPara"/>
      </w:pPr>
      <w:r w:rsidRPr="00FC1A1E">
        <w:fldChar w:fldCharType="begin"/>
      </w:r>
      <w:r w:rsidRPr="00FC1A1E">
        <w:instrText xml:space="preserve"> SEQ level0 \*arabic \* MERGEFORMAT </w:instrText>
      </w:r>
      <w:r w:rsidRPr="00FC1A1E">
        <w:fldChar w:fldCharType="separate"/>
      </w:r>
      <w:r w:rsidR="00FC1A1E" w:rsidRPr="00FC1A1E">
        <w:t>4</w:t>
      </w:r>
      <w:r w:rsidRPr="00FC1A1E">
        <w:fldChar w:fldCharType="end"/>
      </w:r>
      <w:bookmarkEnd w:id="1"/>
      <w:bookmarkEnd w:id="2"/>
      <w:r>
        <w:t xml:space="preserve">.  Reclamantul era unicul asociat al unui club de muzică. Printr-un rechizitoriu din 6 septembrie 2013, Parchetul de pe lângă Tribunalul București („parchetul”) a dispus trimiterea sa în judecată împreună cu alte douăsprezece persoane. Reclamantul și coinculpații săi au fost acuzați în special de practicarea camătăi, o infracțiune pedepsită în temeiul art. 3 din Legea nr. 216/2011 privind interzicerea activității de cămătărie („Legea nr. 216/2011”; infra, pct. </w:t>
      </w:r>
      <w:r w:rsidRPr="00FC1A1E">
        <w:fldChar w:fldCharType="begin"/>
      </w:r>
      <w:r w:rsidRPr="00FC1A1E">
        <w:instrText xml:space="preserve"> REF paragraph00026 \h  \* CharFormat </w:instrText>
      </w:r>
      <w:r w:rsidRPr="00FC1A1E">
        <w:fldChar w:fldCharType="separate"/>
      </w:r>
      <w:r w:rsidR="00FC1A1E" w:rsidRPr="00FC1A1E">
        <w:t>28</w:t>
      </w:r>
      <w:r w:rsidRPr="00FC1A1E">
        <w:fldChar w:fldCharType="end"/>
      </w:r>
      <w:r>
        <w:t xml:space="preserve">), al cărui text a fost ulterior reprodus în art. 351 din Codul penal („C. pen”, infra, pct. </w:t>
      </w:r>
      <w:r w:rsidRPr="00FC1A1E">
        <w:fldChar w:fldCharType="begin"/>
      </w:r>
      <w:r w:rsidRPr="00FC1A1E">
        <w:instrText xml:space="preserve">REF paragraph00027 \h \* CharFormat </w:instrText>
      </w:r>
      <w:r w:rsidRPr="00FC1A1E">
        <w:fldChar w:fldCharType="separate"/>
      </w:r>
      <w:r w:rsidR="00FC1A1E" w:rsidRPr="00FC1A1E">
        <w:t>29</w:t>
      </w:r>
      <w:r w:rsidRPr="00FC1A1E">
        <w:fldChar w:fldCharType="end"/>
      </w:r>
      <w:r>
        <w:t>). În rechizitoriul său, parchetul a arătat că inculpații făceau parte dintr-un grup infracțional care deținea sume mari de bani și că aceștia ofereau împrumuturi cu dobândă, în special în cazinouri.  Acesta a adăugat că unii membri ai grupului, inclusiv reclamantul, erau cunoscuți pentru comiterea unor acte foarte violente și că fuseseră deja condamnați pentru infracțiuni comise cu violență, prin hotărâri definitive.</w:t>
      </w:r>
    </w:p>
    <w:bookmarkStart w:id="3" w:name="paragraph00005"/>
    <w:p w14:paraId="37CCEBB1" w14:textId="685ACDA1" w:rsidR="0045116D" w:rsidRPr="00FC1A1E" w:rsidRDefault="0045116D" w:rsidP="00FC1A1E">
      <w:pPr>
        <w:pStyle w:val="JuPara"/>
      </w:pPr>
      <w:r w:rsidRPr="00FC1A1E">
        <w:fldChar w:fldCharType="begin"/>
      </w:r>
      <w:r w:rsidRPr="00FC1A1E">
        <w:instrText xml:space="preserve"> SEQ level0 \*arabic \* MERGEFORMAT </w:instrText>
      </w:r>
      <w:r w:rsidRPr="00FC1A1E">
        <w:fldChar w:fldCharType="separate"/>
      </w:r>
      <w:bookmarkStart w:id="4" w:name="paragraph00002"/>
      <w:r w:rsidR="00FC1A1E" w:rsidRPr="00FC1A1E">
        <w:t>5</w:t>
      </w:r>
      <w:bookmarkEnd w:id="4"/>
      <w:r w:rsidRPr="00FC1A1E">
        <w:fldChar w:fldCharType="end"/>
      </w:r>
      <w:bookmarkEnd w:id="3"/>
      <w:r>
        <w:t xml:space="preserve">.  Reclamantul era acuzat, pe de o parte, că a acordat împrumuturi cu dobândă </w:t>
      </w:r>
      <w:r>
        <w:rPr>
          <w:i/>
          <w:iCs/>
        </w:rPr>
        <w:t>ca îndeletnicire</w:t>
      </w:r>
      <w:r>
        <w:t xml:space="preserve"> din noiembrie 2012 până în aprilie 2013, fie direct persoanelor împrumutate, fie prin intermediul unor terți.  Parchetul a numit în rechizitoriul său patru persoane care au obținut împrumuturi cu dobândă direct de la acesta.</w:t>
      </w:r>
    </w:p>
    <w:bookmarkStart w:id="5" w:name="paragraph00006"/>
    <w:p w14:paraId="4B7AABCF" w14:textId="22305ECA" w:rsidR="0045116D" w:rsidRPr="00FC1A1E" w:rsidRDefault="0045116D" w:rsidP="00FC1A1E">
      <w:pPr>
        <w:pStyle w:val="JuPara"/>
      </w:pPr>
      <w:r w:rsidRPr="00FC1A1E">
        <w:fldChar w:fldCharType="begin"/>
      </w:r>
      <w:r w:rsidRPr="00FC1A1E">
        <w:instrText xml:space="preserve"> SEQ level0 \*arabic \* MERGEFORMAT </w:instrText>
      </w:r>
      <w:r w:rsidRPr="00FC1A1E">
        <w:fldChar w:fldCharType="separate"/>
      </w:r>
      <w:bookmarkStart w:id="6" w:name="paragraph00003"/>
      <w:r w:rsidR="00FC1A1E" w:rsidRPr="00FC1A1E">
        <w:t>6</w:t>
      </w:r>
      <w:bookmarkEnd w:id="6"/>
      <w:r w:rsidRPr="00FC1A1E">
        <w:fldChar w:fldCharType="end"/>
      </w:r>
      <w:bookmarkEnd w:id="5"/>
      <w:r>
        <w:t>.  Reclamantul era acuzat de asemenea că, din septembrie 2012 până în aprilie 2013, împreună cu frații săi și coinculpații R.E. și R.A., a asigurat protecția a trei cămătari și a facilitat desfășurarea activității lor de camătă, precum și recuperarea sumelor împrumutate și a dobânzilor aferente, primind în schimb o parte dintre câștigurile realizate de acești cămătari. Parchetul a susținut că aceste activități constituiau infracțiunea de camătă, care era o infracțiune de obicei. Acesta și-a întemeiat acuzațiile pe depozițiile mai multor martori și pe transcrierile unor convorbiri telefonice care au avut loc la diferite date între coinculpați, inclusiv între reclamant și frații săi, cu privire la distribuirea câștigurilor obținute la diferite date de către terții cămătari.</w:t>
      </w:r>
    </w:p>
    <w:bookmarkStart w:id="7" w:name="paragraph00007"/>
    <w:p w14:paraId="3C1DFB1E" w14:textId="0853FDE0" w:rsidR="0045116D" w:rsidRPr="00FC1A1E" w:rsidRDefault="0045116D" w:rsidP="00FC1A1E">
      <w:pPr>
        <w:pStyle w:val="JuPara"/>
      </w:pPr>
      <w:r w:rsidRPr="00FC1A1E">
        <w:fldChar w:fldCharType="begin"/>
      </w:r>
      <w:r w:rsidRPr="00FC1A1E">
        <w:instrText xml:space="preserve"> SEQ level0 \*arabic \* MERGEFORMAT </w:instrText>
      </w:r>
      <w:r w:rsidRPr="00FC1A1E">
        <w:fldChar w:fldCharType="separate"/>
      </w:r>
      <w:r w:rsidR="00FC1A1E" w:rsidRPr="00FC1A1E">
        <w:t>7</w:t>
      </w:r>
      <w:r w:rsidRPr="00FC1A1E">
        <w:fldChar w:fldCharType="end"/>
      </w:r>
      <w:bookmarkEnd w:id="7"/>
      <w:r>
        <w:t>.  Parchetul a susținut că, din moment ce infracțiunea de camătă era o infracțiune de obicei, actele sus-menționate (</w:t>
      </w:r>
      <w:r>
        <w:rPr>
          <w:i/>
          <w:iCs/>
        </w:rPr>
        <w:t>supra</w:t>
      </w:r>
      <w:r>
        <w:t xml:space="preserve">, pct. </w:t>
      </w:r>
      <w:r w:rsidRPr="00FC1A1E">
        <w:fldChar w:fldCharType="begin"/>
      </w:r>
      <w:r w:rsidRPr="00FC1A1E">
        <w:instrText xml:space="preserve">REF paragraph00005 \h \* CharFormat </w:instrText>
      </w:r>
      <w:r w:rsidRPr="00FC1A1E">
        <w:fldChar w:fldCharType="separate"/>
      </w:r>
      <w:r w:rsidR="00FC1A1E" w:rsidRPr="00FC1A1E">
        <w:t>5</w:t>
      </w:r>
      <w:r w:rsidRPr="00FC1A1E">
        <w:fldChar w:fldCharType="end"/>
      </w:r>
      <w:r>
        <w:t xml:space="preserve"> și </w:t>
      </w:r>
      <w:r w:rsidRPr="00FC1A1E">
        <w:fldChar w:fldCharType="begin"/>
      </w:r>
      <w:r w:rsidRPr="00FC1A1E">
        <w:instrText xml:space="preserve">REF paragraph00006 \h \* CharFormat </w:instrText>
      </w:r>
      <w:r w:rsidRPr="00FC1A1E">
        <w:fldChar w:fldCharType="separate"/>
      </w:r>
      <w:r w:rsidR="00FC1A1E" w:rsidRPr="00FC1A1E">
        <w:t>6</w:t>
      </w:r>
      <w:r w:rsidRPr="00FC1A1E">
        <w:fldChar w:fldCharType="end"/>
      </w:r>
      <w:r>
        <w:t>) constituiau, luate împreună, elementul material al uneia și aceleiași infracțiuni de camătă.</w:t>
      </w:r>
    </w:p>
    <w:p w14:paraId="65377C59" w14:textId="4DEC2A63" w:rsidR="0045116D" w:rsidRPr="00FC1A1E" w:rsidRDefault="00F14613" w:rsidP="00FC1A1E">
      <w:pPr>
        <w:pStyle w:val="JuPara"/>
      </w:pPr>
      <w:fldSimple w:instr=" SEQ level0 \*arabic \* MERGEFORMAT ">
        <w:r w:rsidR="00FC1A1E" w:rsidRPr="00FC1A1E">
          <w:t>8</w:t>
        </w:r>
      </w:fldSimple>
      <w:r>
        <w:t>.  Printr-o hotărâre din 12 mai 2016, Tribunalul București („Tribunalul”) l-a condamnat pe reclamant la o pedeapsă de trei ani și șase luni de închisoare pentru camătă și la o pedeapsă de șase ani de închisoare pentru spălare de bani. În plus, întrucât reclamantul fusese condamnat anterior la închisoare cu suspendare, tribunalul a anulat suspendarea executării pedepsei sale anterioare, a contopit pedepsele concurente și l-a condamnat pe reclamant la șapte ani de închisoare.</w:t>
      </w:r>
    </w:p>
    <w:bookmarkStart w:id="8" w:name="paragraph00009"/>
    <w:p w14:paraId="1CAA42FE" w14:textId="7C7DE9FE" w:rsidR="0045116D" w:rsidRPr="00FC1A1E" w:rsidRDefault="0045116D" w:rsidP="00FC1A1E">
      <w:pPr>
        <w:pStyle w:val="JuPara"/>
      </w:pPr>
      <w:r w:rsidRPr="00FC1A1E">
        <w:fldChar w:fldCharType="begin"/>
      </w:r>
      <w:r w:rsidRPr="00FC1A1E">
        <w:instrText xml:space="preserve"> SEQ level0 \*arabic \* MERGEFORMAT </w:instrText>
      </w:r>
      <w:r w:rsidRPr="00FC1A1E">
        <w:fldChar w:fldCharType="separate"/>
      </w:r>
      <w:r w:rsidR="00FC1A1E" w:rsidRPr="00FC1A1E">
        <w:t>9</w:t>
      </w:r>
      <w:r w:rsidRPr="00FC1A1E">
        <w:fldChar w:fldCharType="end"/>
      </w:r>
      <w:bookmarkEnd w:id="8"/>
      <w:r>
        <w:t xml:space="preserve">.  Tribunalul a menționat mai întâi că activitatea de camătă era incriminată prin Legea nr. 216/2011, reluată ulterior în Codul penal (infra, </w:t>
      </w:r>
      <w:r>
        <w:lastRenderedPageBreak/>
        <w:t xml:space="preserve">pct. </w:t>
      </w:r>
      <w:r w:rsidRPr="00FC1A1E">
        <w:fldChar w:fldCharType="begin"/>
      </w:r>
      <w:r w:rsidRPr="00FC1A1E">
        <w:instrText xml:space="preserve">REF paragraph00026 \h \* CharFormat </w:instrText>
      </w:r>
      <w:r w:rsidRPr="00FC1A1E">
        <w:fldChar w:fldCharType="separate"/>
      </w:r>
      <w:r w:rsidR="00FC1A1E" w:rsidRPr="00FC1A1E">
        <w:t>28</w:t>
      </w:r>
      <w:r w:rsidRPr="00FC1A1E">
        <w:fldChar w:fldCharType="end"/>
      </w:r>
      <w:r>
        <w:t xml:space="preserve"> și </w:t>
      </w:r>
      <w:r w:rsidRPr="00FC1A1E">
        <w:fldChar w:fldCharType="begin"/>
      </w:r>
      <w:r w:rsidRPr="00FC1A1E">
        <w:instrText xml:space="preserve">REF paragraph00027 \h \* CharFormat </w:instrText>
      </w:r>
      <w:r w:rsidRPr="00FC1A1E">
        <w:fldChar w:fldCharType="separate"/>
      </w:r>
      <w:r w:rsidR="00FC1A1E" w:rsidRPr="00FC1A1E">
        <w:t>29</w:t>
      </w:r>
      <w:r w:rsidRPr="00FC1A1E">
        <w:fldChar w:fldCharType="end"/>
      </w:r>
      <w:r>
        <w:t>). Acesta a explicat că, din moment ce legea prevedea că, pentru ca infracțiunea să fie constituită, banii trebuiau să fie împrumutați în cadrul unei îndeletniciri, era clar că infracțiunea era, prin natura sa, o infracțiune de obicei și, prin urmare, era necesar pentru ca aceasta să fie constituită ca activitatea să se repete de un număr suficient de ori pentru a fi considerată o îndeletnicire. Acesta a precizat că două acte materiale nu sunt suficiente pentru a constitui o îndeletnicire și că, în absența altor acte, elementele infracțiunii nu puteau fi considerate a fi întrunite.</w:t>
      </w:r>
    </w:p>
    <w:bookmarkStart w:id="9" w:name="paragraph00010"/>
    <w:p w14:paraId="4AD8C9E3" w14:textId="7C6F756C" w:rsidR="0045116D" w:rsidRPr="00FC1A1E" w:rsidRDefault="0045116D" w:rsidP="00FC1A1E">
      <w:pPr>
        <w:pStyle w:val="JuPara"/>
      </w:pPr>
      <w:r w:rsidRPr="00FC1A1E">
        <w:fldChar w:fldCharType="begin"/>
      </w:r>
      <w:r w:rsidRPr="00FC1A1E">
        <w:instrText xml:space="preserve"> SEQ level0 \*arabic </w:instrText>
      </w:r>
      <w:r w:rsidRPr="00FC1A1E">
        <w:fldChar w:fldCharType="separate"/>
      </w:r>
      <w:bookmarkStart w:id="10" w:name="paragraph00008"/>
      <w:r w:rsidR="00FC1A1E" w:rsidRPr="00FC1A1E">
        <w:t>10</w:t>
      </w:r>
      <w:bookmarkEnd w:id="10"/>
      <w:r w:rsidRPr="00FC1A1E">
        <w:fldChar w:fldCharType="end"/>
      </w:r>
      <w:bookmarkEnd w:id="9"/>
      <w:r>
        <w:t>.  În ceea ce privește primul aspect al acuzațiilor aduse reclamantului (</w:t>
      </w:r>
      <w:r>
        <w:rPr>
          <w:i/>
          <w:iCs/>
        </w:rPr>
        <w:t>supra</w:t>
      </w:r>
      <w:r>
        <w:t>, pct.</w:t>
      </w:r>
      <w:r w:rsidRPr="00FC1A1E">
        <w:fldChar w:fldCharType="begin"/>
      </w:r>
      <w:r w:rsidRPr="00FC1A1E">
        <w:instrText xml:space="preserve">REF paragraph00005 \h \* CharFormat </w:instrText>
      </w:r>
      <w:r w:rsidRPr="00FC1A1E">
        <w:fldChar w:fldCharType="separate"/>
      </w:r>
      <w:r w:rsidR="00FC1A1E" w:rsidRPr="00FC1A1E">
        <w:t>5</w:t>
      </w:r>
      <w:r w:rsidRPr="00FC1A1E">
        <w:fldChar w:fldCharType="end"/>
      </w:r>
      <w:r>
        <w:t>), a hotărât apoi că acuzația potrivit căreia reclamantul ar fi acordat împrumuturi cu dobândă celor patru persoane menționate în rechizitoriu nu era susținută de probe suficiente în ceea ce privește trei dintre aceste persoane, dar era suficient de dovedită în ceea ce privește cea de-a patra persoană împrumutată, S.M. În această privință, a observat că din depoziția martorului D.C. a reieșit că S.M. obișnuia să împrumute bani de la diverși cămătari, inclusiv de la reclamant, și că le plătea dobânzi la sumele împrumutate. A hotărât că această declarație, împreună cu rezultatul unei interceptări telefonice, dovedeau existența unui împrumut cu dobândă între reclamant și S.M.</w:t>
      </w:r>
    </w:p>
    <w:bookmarkStart w:id="11" w:name="paragraph00011"/>
    <w:p w14:paraId="15A33396" w14:textId="30DEFF9D" w:rsidR="0045116D" w:rsidRPr="00FC1A1E" w:rsidRDefault="0045116D" w:rsidP="00FC1A1E">
      <w:pPr>
        <w:pStyle w:val="JuPara"/>
      </w:pPr>
      <w:r w:rsidRPr="00FC1A1E">
        <w:fldChar w:fldCharType="begin"/>
      </w:r>
      <w:r w:rsidRPr="00FC1A1E">
        <w:instrText xml:space="preserve"> SEQ level0 \*arabic \* MERGEFORMAT </w:instrText>
      </w:r>
      <w:r w:rsidRPr="00FC1A1E">
        <w:fldChar w:fldCharType="separate"/>
      </w:r>
      <w:r w:rsidR="00FC1A1E" w:rsidRPr="00FC1A1E">
        <w:t>11</w:t>
      </w:r>
      <w:r w:rsidRPr="00FC1A1E">
        <w:fldChar w:fldCharType="end"/>
      </w:r>
      <w:bookmarkEnd w:id="11"/>
      <w:r>
        <w:t xml:space="preserve">.  Instanța a observat apoi că din depozițiile martorilor N.V. și B.V.N. reieșea clar că reclamantul se îndeletnicea cu oferirea de împrumuturi cu dobândă jucătorilor care aveau nevoie de bani în cazinouri . De exemplu, martorul N.V., a cărui identitate a fost protejată, a declarat că îl cunoștea pe reclamant de aproximativ treisprezece ani, că acesta practica camăta și că primea o dobândă de 10% pe zi. În depoziția sa, acesta a explicat cum reclamantul și membrii unei alte familii practicau camăta în cazinouri, precum și felul în care câștigurile erau împărțite în schimbul protecției pe care și-o acordau reciproc. În sfârșit, acesta a adăugat că, potrivit celor spuse de R.A., M.V. i-a împrumutat cu bani pe membrii a două familii și că reclamantul percepea o dobândă de 10% pe zi. Instanța s-a referit apoi la depoziția martorului B.V.N., care a declarat, </w:t>
      </w:r>
      <w:r>
        <w:rPr>
          <w:i/>
          <w:iCs/>
        </w:rPr>
        <w:t>inter alia</w:t>
      </w:r>
      <w:r>
        <w:t>, că, potrivit lui R.A., reclamantul ar fi oferit împrumuturi cu dobândă în cazinouri.</w:t>
      </w:r>
    </w:p>
    <w:bookmarkStart w:id="12" w:name="para12"/>
    <w:p w14:paraId="45EEEF04" w14:textId="5A592AC5" w:rsidR="0045116D" w:rsidRPr="00FC1A1E" w:rsidRDefault="0045116D" w:rsidP="00FC1A1E">
      <w:pPr>
        <w:pStyle w:val="JuPara"/>
      </w:pPr>
      <w:r w:rsidRPr="00FC1A1E">
        <w:fldChar w:fldCharType="begin"/>
      </w:r>
      <w:r w:rsidRPr="00FC1A1E">
        <w:instrText xml:space="preserve"> SEQ level0 \*arabic \* MERGEFORMAT </w:instrText>
      </w:r>
      <w:r w:rsidRPr="00FC1A1E">
        <w:fldChar w:fldCharType="separate"/>
      </w:r>
      <w:r w:rsidR="00FC1A1E" w:rsidRPr="00FC1A1E">
        <w:t>12</w:t>
      </w:r>
      <w:r w:rsidRPr="00FC1A1E">
        <w:fldChar w:fldCharType="end"/>
      </w:r>
      <w:bookmarkEnd w:id="12"/>
      <w:r>
        <w:t>.  Tribunalul a adăugat că faptul că activitatea obișnuită a reclamantului era aceea de a împrumuta bani în cazinouri reieșea, de asemenea, dintr-o înregistrare a unei conversații telefonice dintre unul dintre frații reclamantului, R.S., și o terță persoană, conversație în care R.S. ar fi indicat că reclamantul dădea bani cu împrumut. Detaliile acestei conversații au fost prezentate de instanță în hotărârea sa. În sfârșit, instanța a observat că alți trei martori, care erau angajați ai cazinourilor frecventate de reclamant, au declarat că au auzit că acesta avea ca îndeletnicire darea de bani împrumut cu dobândă.</w:t>
      </w:r>
    </w:p>
    <w:p w14:paraId="1C31B147" w14:textId="43313D32" w:rsidR="0045116D" w:rsidRPr="00FC1A1E" w:rsidRDefault="00F14613" w:rsidP="00FC1A1E">
      <w:pPr>
        <w:pStyle w:val="JuPara"/>
      </w:pPr>
      <w:fldSimple w:instr=" SEQ level0 \*arabic \* MERGEFORMAT ">
        <w:bookmarkStart w:id="13" w:name="paragraph00012"/>
        <w:r w:rsidR="00FC1A1E" w:rsidRPr="00FC1A1E">
          <w:t>13</w:t>
        </w:r>
        <w:bookmarkEnd w:id="13"/>
      </w:fldSimple>
      <w:r>
        <w:t>.  În ceea ce privește faptele imputate reclamantului în a doua parte a acuzației de camătă (</w:t>
      </w:r>
      <w:r>
        <w:rPr>
          <w:i/>
          <w:iCs/>
        </w:rPr>
        <w:t>supra</w:t>
      </w:r>
      <w:r>
        <w:t xml:space="preserve">, pct. </w:t>
      </w:r>
      <w:r w:rsidR="0045116D" w:rsidRPr="00FC1A1E">
        <w:fldChar w:fldCharType="begin"/>
      </w:r>
      <w:r w:rsidR="0045116D" w:rsidRPr="00FC1A1E">
        <w:instrText xml:space="preserve"> REF paragraph00003 \h  \* CharFormat  \* MERGEFORMAT </w:instrText>
      </w:r>
      <w:r w:rsidR="0045116D" w:rsidRPr="00FC1A1E">
        <w:fldChar w:fldCharType="separate"/>
      </w:r>
      <w:r w:rsidR="00FC1A1E" w:rsidRPr="00FC1A1E">
        <w:t>6</w:t>
      </w:r>
      <w:r w:rsidR="0045116D" w:rsidRPr="00FC1A1E">
        <w:fldChar w:fldCharType="end"/>
      </w:r>
      <w:r>
        <w:t xml:space="preserve">), tribunalul a constatat că faptele în cauză au fost dovedite prin declarațiile martorilor și prin înregistrarea de convorbiri </w:t>
      </w:r>
      <w:r>
        <w:lastRenderedPageBreak/>
        <w:t>telefonice. Astfel, trei martori au descris modul în care familia reclamantului acționa în cazinouri și relația lor cu familia V., cu care împărțeau profiturile.</w:t>
      </w:r>
    </w:p>
    <w:p w14:paraId="396AA219" w14:textId="11DBF6DB" w:rsidR="0045116D" w:rsidRPr="00FC1A1E" w:rsidRDefault="00F14613" w:rsidP="00FC1A1E">
      <w:pPr>
        <w:pStyle w:val="JuPara"/>
      </w:pPr>
      <w:fldSimple w:instr=" SEQ level0 \*arabic \* MERGEFORMAT ">
        <w:r w:rsidR="00FC1A1E" w:rsidRPr="00FC1A1E">
          <w:t>14</w:t>
        </w:r>
      </w:fldSimple>
      <w:r>
        <w:t>.  Tribunalul s-a referit, de asemenea, la înregistrări telefonice, efectuate la patru date diferite în ianuarie și în septembrie 2013, în care persoanele ale căror convorbiri au fost interceptate discutau despre împărțirea cu reclamantul și cu frații săi a unei părți din sumele încasate de terții cămătari la diferite date. Unele dintre aceste conversații au avut loc între solicitant și R.A., în timp ce alte conversații au avut loc între R.A. și alți cămătari.</w:t>
      </w:r>
    </w:p>
    <w:bookmarkStart w:id="14" w:name="paragraph00013"/>
    <w:p w14:paraId="4AD9607D" w14:textId="5FA913F4" w:rsidR="0045116D" w:rsidRPr="00FC1A1E" w:rsidRDefault="0045116D" w:rsidP="00FC1A1E">
      <w:pPr>
        <w:pStyle w:val="JuPara"/>
      </w:pPr>
      <w:r w:rsidRPr="00FC1A1E">
        <w:fldChar w:fldCharType="begin"/>
      </w:r>
      <w:r w:rsidRPr="00FC1A1E">
        <w:instrText xml:space="preserve"> SEQ level0 \*arabic \* MERGEFORMAT </w:instrText>
      </w:r>
      <w:r w:rsidRPr="00FC1A1E">
        <w:fldChar w:fldCharType="separate"/>
      </w:r>
      <w:r w:rsidR="00FC1A1E" w:rsidRPr="00FC1A1E">
        <w:t>15</w:t>
      </w:r>
      <w:r w:rsidRPr="00FC1A1E">
        <w:fldChar w:fldCharType="end"/>
      </w:r>
      <w:bookmarkEnd w:id="14"/>
      <w:r>
        <w:t>.  Tribunalul a considerat că existența acestor acte materiale (împrumutul de bani cu camătă și acordarea de sprijin și protecție în schimbul unei părți din dobânda încasată unor terți care săvârșeau la rândul lor infracțiunea de camătă) dovedea comiterea de către reclamant a infracțiunii de camătă.</w:t>
      </w:r>
    </w:p>
    <w:bookmarkStart w:id="15" w:name="paragraph00014"/>
    <w:p w14:paraId="0F5DF24C" w14:textId="3F82D39C" w:rsidR="0045116D" w:rsidRPr="00FC1A1E" w:rsidRDefault="0045116D" w:rsidP="00FC1A1E">
      <w:pPr>
        <w:pStyle w:val="JuPara"/>
      </w:pPr>
      <w:r w:rsidRPr="00FC1A1E">
        <w:fldChar w:fldCharType="begin"/>
      </w:r>
      <w:r w:rsidRPr="00FC1A1E">
        <w:instrText xml:space="preserve"> SEQ level0 \*arabic </w:instrText>
      </w:r>
      <w:r w:rsidRPr="00FC1A1E">
        <w:fldChar w:fldCharType="separate"/>
      </w:r>
      <w:r w:rsidR="00FC1A1E" w:rsidRPr="00FC1A1E">
        <w:t>16</w:t>
      </w:r>
      <w:r w:rsidRPr="00FC1A1E">
        <w:fldChar w:fldCharType="end"/>
      </w:r>
      <w:bookmarkEnd w:id="15"/>
      <w:r>
        <w:t>.  Reclamantul a declarat apel, susținând că nu s-a dovedit că ar fi comis infracțiunea de camătă. Acesta a susținut că legea aplicabilă nu era clară și previzibilă, întrucât definiția infracțiunii în cauză era din punctul lui de vedere prea vagă. În acest sens, acesta a afirmat că infracțiunea de camătă este o infracțiune de obicei, care presupune săvârșirea mai multor acte materiale de aceeași natură, și anume împrumutul unei sume de bani cu camătă, și că, în cazul de față, deși parchetul s-a referit la săvârșirea a patru acte materiale de împrumut de bani către patru persoane diferite (</w:t>
      </w:r>
      <w:r>
        <w:rPr>
          <w:i/>
          <w:iCs/>
        </w:rPr>
        <w:t>supra</w:t>
      </w:r>
      <w:r>
        <w:t xml:space="preserve">, pct. </w:t>
      </w:r>
      <w:r w:rsidRPr="00FC1A1E">
        <w:fldChar w:fldCharType="begin"/>
      </w:r>
      <w:r w:rsidRPr="00FC1A1E">
        <w:instrText xml:space="preserve"> REF paragraph00002 \h  \* CharFormat </w:instrText>
      </w:r>
      <w:r w:rsidRPr="00FC1A1E">
        <w:fldChar w:fldCharType="separate"/>
      </w:r>
      <w:r w:rsidR="00FC1A1E" w:rsidRPr="00FC1A1E">
        <w:t>5</w:t>
      </w:r>
      <w:r w:rsidRPr="00FC1A1E">
        <w:fldChar w:fldCharType="end"/>
      </w:r>
      <w:r>
        <w:t>), instanța a hotărât că doar unul dintre aceste acte a fost dovedit. Acesta a argumentat, de asemenea că acuzația privind ajutorul acordat terților cămătari a fost formulată în termeni prea generali pentru a fi susținută.</w:t>
      </w:r>
    </w:p>
    <w:bookmarkStart w:id="16" w:name="paragraph00015"/>
    <w:p w14:paraId="06D24312" w14:textId="7EC6D50E" w:rsidR="0045116D" w:rsidRPr="00FC1A1E" w:rsidRDefault="0045116D" w:rsidP="00FC1A1E">
      <w:pPr>
        <w:pStyle w:val="JuPara"/>
      </w:pPr>
      <w:r w:rsidRPr="00FC1A1E">
        <w:fldChar w:fldCharType="begin"/>
      </w:r>
      <w:r w:rsidRPr="00FC1A1E">
        <w:instrText xml:space="preserve"> SEQ level0 \*arabic \* MERGEFORMAT </w:instrText>
      </w:r>
      <w:r w:rsidRPr="00FC1A1E">
        <w:fldChar w:fldCharType="separate"/>
      </w:r>
      <w:r w:rsidR="00FC1A1E" w:rsidRPr="00FC1A1E">
        <w:t>17</w:t>
      </w:r>
      <w:r w:rsidRPr="00FC1A1E">
        <w:fldChar w:fldCharType="end"/>
      </w:r>
      <w:bookmarkEnd w:id="16"/>
      <w:r>
        <w:t>.  Acesta a adăugat că, și în cazul în care facilitarea săvârșirii infracțiunii de camătă de către terți ar putea fi analizată ca un act material constitutiv al infracțiunii în sine, totuși totalitatea actelor care îi erau imputate erau insuficiente pentru a constitui un obicei. Acesta a susținut că, de fapt, era vorba doar de două acte materiale – pe de o parte, acordarea unui împrumut direct unei persoane și, pe de altă parte, acordarea de asistență unor terți – și că, prin urmare, infracțiunea de camătă, o infracțiune de obicei, nu era constituită. În acest sens, a explicat că, potrivit doctrinei, erau necesare, în principiu, cel puțin trei acte materiale pentru ca o infracțiune de obicei să fie constituită.</w:t>
      </w:r>
    </w:p>
    <w:p w14:paraId="4B63C854" w14:textId="63D0DFDB" w:rsidR="0045116D" w:rsidRPr="00FC1A1E" w:rsidRDefault="00F14613" w:rsidP="00FC1A1E">
      <w:pPr>
        <w:pStyle w:val="JuPara"/>
      </w:pPr>
      <w:fldSimple w:instr=" SEQ level0 \*arabic \* MERGEFORMAT ">
        <w:r w:rsidR="00FC1A1E" w:rsidRPr="00FC1A1E">
          <w:t>18</w:t>
        </w:r>
      </w:fldSimple>
      <w:r>
        <w:t>.  Mai mulți dintre coinculpații reclamantului, care au fost, de asemenea, condamnați în primă instanță pentru camătă, au formulat recurs, contestând previzibilitatea dispoziției care a constituit temeiul juridic al condamnării lor. Parchetul a declarat de asemenea apel.</w:t>
      </w:r>
    </w:p>
    <w:p w14:paraId="4E092099" w14:textId="405DAE75" w:rsidR="0045116D" w:rsidRPr="00FC1A1E" w:rsidRDefault="0045116D" w:rsidP="00FC1A1E">
      <w:pPr>
        <w:pStyle w:val="JuPara"/>
      </w:pPr>
      <w:fldSimple w:instr=" SEQ level0 \*arabic ">
        <w:r w:rsidR="00FC1A1E" w:rsidRPr="00FC1A1E">
          <w:t>19</w:t>
        </w:r>
      </w:fldSimple>
      <w:r>
        <w:t>.  Prin hotărârea definitivă din 2 februarie 2017, comunicată la 18 noiembrie 2017, Curtea de Apel București („curtea de apel”) a respins apelul reclamantului. Aceasta a arătat mai întâi că tribunalul stabilise corect situația în fapt. Aceasta a considerat că situația în fapt a fost probată de un ansamblu de probe, și anume de convorbirile telefonice înregistrate, de depozițiile martorilor menționați de tribunal (</w:t>
      </w:r>
      <w:r>
        <w:rPr>
          <w:i/>
          <w:iCs/>
        </w:rPr>
        <w:t>supra</w:t>
      </w:r>
      <w:r>
        <w:t xml:space="preserve">, pct. </w:t>
      </w:r>
      <w:r w:rsidRPr="00FC1A1E">
        <w:fldChar w:fldCharType="begin"/>
      </w:r>
      <w:r w:rsidRPr="00FC1A1E">
        <w:instrText xml:space="preserve"> REF paragraph00011 \h  \* CharFormat </w:instrText>
      </w:r>
      <w:r w:rsidRPr="00FC1A1E">
        <w:fldChar w:fldCharType="separate"/>
      </w:r>
      <w:r w:rsidR="00FC1A1E" w:rsidRPr="00FC1A1E">
        <w:t>11</w:t>
      </w:r>
      <w:r w:rsidRPr="00FC1A1E">
        <w:fldChar w:fldCharType="end"/>
      </w:r>
      <w:r>
        <w:t>-</w:t>
      </w:r>
      <w:r w:rsidRPr="00FC1A1E">
        <w:fldChar w:fldCharType="begin"/>
      </w:r>
      <w:r w:rsidRPr="00FC1A1E">
        <w:instrText xml:space="preserve"> REF paragraph00012 \h  \* CharFormat </w:instrText>
      </w:r>
      <w:r w:rsidRPr="00FC1A1E">
        <w:fldChar w:fldCharType="separate"/>
      </w:r>
      <w:r w:rsidR="00FC1A1E" w:rsidRPr="00FC1A1E">
        <w:t>13</w:t>
      </w:r>
      <w:r w:rsidRPr="00FC1A1E">
        <w:fldChar w:fldCharType="end"/>
      </w:r>
      <w:r>
        <w:t>) și de înscrisuri.</w:t>
      </w:r>
    </w:p>
    <w:bookmarkStart w:id="17" w:name="paragraph00018"/>
    <w:p w14:paraId="5C379ADF" w14:textId="0318C8A6" w:rsidR="0045116D" w:rsidRPr="00FC1A1E" w:rsidRDefault="0045116D" w:rsidP="00FC1A1E">
      <w:pPr>
        <w:pStyle w:val="JuPara"/>
      </w:pPr>
      <w:r w:rsidRPr="00FC1A1E">
        <w:lastRenderedPageBreak/>
        <w:fldChar w:fldCharType="begin"/>
      </w:r>
      <w:r w:rsidRPr="00FC1A1E">
        <w:instrText xml:space="preserve"> SEQ level0 \*arabic \* MERGEFORMAT </w:instrText>
      </w:r>
      <w:r w:rsidRPr="00FC1A1E">
        <w:fldChar w:fldCharType="separate"/>
      </w:r>
      <w:r w:rsidR="00FC1A1E" w:rsidRPr="00FC1A1E">
        <w:t>20</w:t>
      </w:r>
      <w:r w:rsidRPr="00FC1A1E">
        <w:fldChar w:fldCharType="end"/>
      </w:r>
      <w:bookmarkEnd w:id="17"/>
      <w:r>
        <w:t>.  Acesta a reluat apoi textul Deciziei nr. 82 din 23 februarie 2016 a Curții Constituționale, prin care instanța supremă a respins o excepție de neconstituționalitate ridicată cu privire la art. 351 C. pen. (</w:t>
      </w:r>
      <w:r>
        <w:rPr>
          <w:i/>
          <w:iCs/>
        </w:rPr>
        <w:t>infra</w:t>
      </w:r>
      <w:r>
        <w:t xml:space="preserve">, pct. </w:t>
      </w:r>
      <w:r w:rsidRPr="00FC1A1E">
        <w:fldChar w:fldCharType="begin"/>
      </w:r>
      <w:r w:rsidRPr="00FC1A1E">
        <w:instrText xml:space="preserve">REF paragraph00029 \h \* CharFormat </w:instrText>
      </w:r>
      <w:r w:rsidRPr="00FC1A1E">
        <w:fldChar w:fldCharType="separate"/>
      </w:r>
      <w:r w:rsidR="00FC1A1E" w:rsidRPr="00FC1A1E">
        <w:t>32</w:t>
      </w:r>
      <w:r w:rsidRPr="00FC1A1E">
        <w:fldChar w:fldCharType="end"/>
      </w:r>
      <w:r>
        <w:t xml:space="preserve"> și </w:t>
      </w:r>
      <w:r w:rsidRPr="00FC1A1E">
        <w:fldChar w:fldCharType="begin"/>
      </w:r>
      <w:r w:rsidRPr="00FC1A1E">
        <w:instrText xml:space="preserve">REF paragraph00030 \h \* CharFormat </w:instrText>
      </w:r>
      <w:r w:rsidRPr="00FC1A1E">
        <w:fldChar w:fldCharType="separate"/>
      </w:r>
      <w:r w:rsidR="00FC1A1E" w:rsidRPr="00FC1A1E">
        <w:t>33</w:t>
      </w:r>
      <w:r w:rsidRPr="00FC1A1E">
        <w:fldChar w:fldCharType="end"/>
      </w:r>
      <w:r>
        <w:t>). Aceasta a remarcat că mai mulți dintre inculpați au prezentat motive de recurs similare, care solicitau clarificări din partea sa cu privire la structura infracțiunii de camătă. Curtea a explicat că această infracțiune era constituită din acordarea repetată de împrumuturi de bani unor terți care rambursau sumele datorate cu dobândă.</w:t>
      </w:r>
    </w:p>
    <w:bookmarkStart w:id="18" w:name="paragraph00019"/>
    <w:p w14:paraId="05FDEA8F" w14:textId="6783CDD8" w:rsidR="0045116D" w:rsidRPr="00FC1A1E" w:rsidRDefault="0045116D" w:rsidP="00FC1A1E">
      <w:pPr>
        <w:pStyle w:val="JuPara"/>
      </w:pPr>
      <w:r w:rsidRPr="00FC1A1E">
        <w:fldChar w:fldCharType="begin"/>
      </w:r>
      <w:r w:rsidRPr="00FC1A1E">
        <w:instrText xml:space="preserve"> SEQ level0 \*arabic \* MERGEFORMAT </w:instrText>
      </w:r>
      <w:r w:rsidRPr="00FC1A1E">
        <w:fldChar w:fldCharType="separate"/>
      </w:r>
      <w:r w:rsidR="00FC1A1E" w:rsidRPr="00FC1A1E">
        <w:t>21</w:t>
      </w:r>
      <w:r w:rsidRPr="00FC1A1E">
        <w:fldChar w:fldCharType="end"/>
      </w:r>
      <w:bookmarkEnd w:id="18"/>
      <w:r>
        <w:t>.  Aceasta a precizat că elementul material al infracțiunii era reprezentat de împrumutul unor sume de bani cu dobândă. A subliniat că doctrina este unanimă în privința faptului că împrumutul unei sume de bani o singură dată, rambursabilă cu dobândă, nu este suficient pentru a constitui o infracțiune, deoarece în astfel de cazuri activitatea nu este o îndeletnicire. Aceasta a explicat că activitatea de camătă, indiferent de forma sub care este disimulată, este pedepsită penal și că elementele constitutive ale acesteia sunt împrumutul de bani pentru a fi rambursați cu dobândă, caracterul de îndeletnicire și lipsa de autorizație. A remarcat că o astfel de activitate avea drept consecințe imediate subminarea sistemului fiscal și a celui bancar și producerea de prejudicii.</w:t>
      </w:r>
    </w:p>
    <w:bookmarkStart w:id="19" w:name="paragraph00020"/>
    <w:p w14:paraId="7E9F8CBC" w14:textId="4E08E62E" w:rsidR="0045116D" w:rsidRPr="00FC1A1E" w:rsidRDefault="0045116D" w:rsidP="00FC1A1E">
      <w:pPr>
        <w:pStyle w:val="JuPara"/>
      </w:pPr>
      <w:r w:rsidRPr="00FC1A1E">
        <w:fldChar w:fldCharType="begin"/>
      </w:r>
      <w:r w:rsidRPr="00FC1A1E">
        <w:instrText xml:space="preserve"> SEQ level0 \*arabic \* MERGEFORMAT </w:instrText>
      </w:r>
      <w:r w:rsidRPr="00FC1A1E">
        <w:fldChar w:fldCharType="separate"/>
      </w:r>
      <w:r w:rsidR="00FC1A1E" w:rsidRPr="00FC1A1E">
        <w:t>22</w:t>
      </w:r>
      <w:r w:rsidRPr="00FC1A1E">
        <w:fldChar w:fldCharType="end"/>
      </w:r>
      <w:bookmarkEnd w:id="19"/>
      <w:r>
        <w:t>.  În sfârșit, Curtea a hotărât că s-a dovedit faptul că inculpații aveau ca îndeletnicire darea de bani cu dobândă.</w:t>
      </w:r>
    </w:p>
    <w:p w14:paraId="188A5895" w14:textId="5F58680C" w:rsidR="0045116D" w:rsidRPr="00FC1A1E" w:rsidRDefault="00F14613" w:rsidP="00FC1A1E">
      <w:pPr>
        <w:pStyle w:val="JuPara"/>
      </w:pPr>
      <w:fldSimple w:instr=" SEQ level0 \*arabic \* MERGEFORMAT ">
        <w:r w:rsidR="00FC1A1E" w:rsidRPr="00FC1A1E">
          <w:t>23</w:t>
        </w:r>
      </w:fldSimple>
      <w:r>
        <w:t>.  Aceasta a admis de asemenea recursul parchetului în partea referitoare la stabilirea pedepsei reclamantului, pe care a recalculat-o la opt ani de închisoare.</w:t>
      </w:r>
    </w:p>
    <w:p w14:paraId="0E7514F6" w14:textId="71123EBE" w:rsidR="0045116D" w:rsidRPr="00FC1A1E" w:rsidRDefault="00F14613" w:rsidP="00FC1A1E">
      <w:pPr>
        <w:pStyle w:val="JuPara"/>
      </w:pPr>
      <w:fldSimple w:instr=" SEQ level0 \*arabic \* MERGEFORMAT ">
        <w:r w:rsidR="00FC1A1E" w:rsidRPr="00FC1A1E">
          <w:t>24</w:t>
        </w:r>
      </w:fldSimple>
      <w:r>
        <w:t>.  Reclamantul a declarat recurs în casație– cale extraordinară de atac – împotriva hotărârii definitive din 2 februarie 2017. Acesta a susținut că a fost condamnat pentru fapte care nu sunt prevăzute de legea penală, că elementele reținute împotriva sa au fost formulate într-un mod general și nu se refereau la nicio acțiune concretă și că instanța a hotărât că fuseseră stabilite doar două elemente materiale. Acesta a adăugat că, în lumina definiției infracțiunii de camătă, facilitarea activității terților cămătari nu poate fi analizată ca element constitutiv al infracțiunii, iar faptele ulterioare împrumutului unei sume de bani nu pot fi calificate decât cel mult complicitate la camătă. Acesta considera astfel condamnarea sa ca fiind o aplicare extinsă a legii penale, contrară art. 7 din Convenție.</w:t>
      </w:r>
    </w:p>
    <w:p w14:paraId="3CB1EA20" w14:textId="1D3D1B76" w:rsidR="0045116D" w:rsidRPr="00FC1A1E" w:rsidRDefault="00F14613" w:rsidP="00FC1A1E">
      <w:pPr>
        <w:pStyle w:val="JuPara"/>
      </w:pPr>
      <w:fldSimple w:instr=" SEQ level0 \*arabic \* MERGEFORMAT ">
        <w:bookmarkStart w:id="20" w:name="paragraph00023"/>
        <w:r w:rsidR="00FC1A1E" w:rsidRPr="00FC1A1E">
          <w:t>25</w:t>
        </w:r>
        <w:bookmarkEnd w:id="20"/>
      </w:fldSimple>
      <w:r>
        <w:t>.  Prin hotărârea definitivă din 8 martie 2018, Înalta Curte de Casație și Justiție a respins recursul în casație ca neîntemeiat. Aceasta a luat act de faptul că reclamantul susținea că fapta de camătă de care fusese găsit vinovat nu constituia infracțiune deoarece elementele constitutive ale infracțiunii de camătă nu erau prezente în speță. Cu toate acestea, Înalta Curte a subliniat că aceste argumente nu sunt admisibile în contextul unui recurs în casație, întrucât această cale de atac nu permite redeschiderea cauzei decât atunci când „faptele nu au fost prevăzute de legea penală”.</w:t>
      </w:r>
    </w:p>
    <w:p w14:paraId="106F8F6A" w14:textId="77777777" w:rsidR="0045116D" w:rsidRPr="00FC1A1E" w:rsidRDefault="0045116D" w:rsidP="00FC1A1E">
      <w:pPr>
        <w:pStyle w:val="JuHHead"/>
      </w:pPr>
      <w:r>
        <w:lastRenderedPageBreak/>
        <w:t>CADRUL JURIDIC ȘI PRACTICA INTERNE RELEVANTE</w:t>
      </w:r>
    </w:p>
    <w:p w14:paraId="22DD9B6B" w14:textId="77777777" w:rsidR="0045116D" w:rsidRPr="00FC1A1E" w:rsidRDefault="0045116D" w:rsidP="00FC1A1E">
      <w:pPr>
        <w:pStyle w:val="JuHIRoman"/>
      </w:pPr>
      <w:r>
        <w:t>Dreptul intern relevant</w:t>
      </w:r>
    </w:p>
    <w:p w14:paraId="2AA01D68" w14:textId="4F2F6CB2" w:rsidR="0045116D" w:rsidRPr="00FC1A1E" w:rsidRDefault="00F14613" w:rsidP="00FC1A1E">
      <w:pPr>
        <w:pStyle w:val="JuPara"/>
      </w:pPr>
      <w:fldSimple w:instr=" SEQ level0 \*arabic \* MERGEFORMAT ">
        <w:bookmarkStart w:id="21" w:name="paragraph00024"/>
        <w:r w:rsidR="00FC1A1E" w:rsidRPr="00FC1A1E">
          <w:t>26</w:t>
        </w:r>
        <w:bookmarkEnd w:id="21"/>
      </w:fldSimple>
      <w:r>
        <w:t>.  În 2010, a fost prezentat în Parlament un proiect de lege privind „activitatea de camătă”. În expunerea de motive care însoțea proiectul de lege se arăta că legea a devenit necesară din cauza creșterii numărului de persoane care apelau la cămătari pentru a obține sume de bani. În expunere se arăta că activitățile de camătă, care se desfășurau „în văzul tuturor”, conțineau capcane și că, deși nu existau pericole atunci când creditorul era de bună credință, mulți români care apelaseră la cămătari își pierduseră casele, câțiva suferiseră atingeri ale integrității fizice, iar alții își pierduseră chiar viața. Expunerea concluziona că era necesară o intervenție legislativă pentru a elimina acest tip de activitate.</w:t>
      </w:r>
    </w:p>
    <w:bookmarkStart w:id="22" w:name="paragraph00025"/>
    <w:p w14:paraId="5B94E7D6" w14:textId="438E1171" w:rsidR="0045116D" w:rsidRPr="00FC1A1E" w:rsidRDefault="0045116D" w:rsidP="00FC1A1E">
      <w:pPr>
        <w:pStyle w:val="JuPara"/>
      </w:pPr>
      <w:r w:rsidRPr="00FC1A1E">
        <w:fldChar w:fldCharType="begin"/>
      </w:r>
      <w:r w:rsidRPr="00FC1A1E">
        <w:instrText xml:space="preserve"> SEQ level0 \*arabic \* MERGEFORMAT </w:instrText>
      </w:r>
      <w:r w:rsidRPr="00FC1A1E">
        <w:fldChar w:fldCharType="separate"/>
      </w:r>
      <w:r w:rsidR="00FC1A1E" w:rsidRPr="00FC1A1E">
        <w:t>27</w:t>
      </w:r>
      <w:r w:rsidRPr="00FC1A1E">
        <w:fldChar w:fldCharType="end"/>
      </w:r>
      <w:bookmarkEnd w:id="22"/>
      <w:r>
        <w:t>.  Avizele pe care Consiliul Legislativ și Guvernul le-au prezentat cu privire la propunerea de lege, înainte de adoptarea Legii 216/2011 (</w:t>
      </w:r>
      <w:r>
        <w:rPr>
          <w:i/>
          <w:iCs/>
        </w:rPr>
        <w:t>infra</w:t>
      </w:r>
      <w:r>
        <w:t xml:space="preserve">, pct. </w:t>
      </w:r>
      <w:r w:rsidRPr="00FC1A1E">
        <w:fldChar w:fldCharType="begin"/>
      </w:r>
      <w:r w:rsidRPr="00FC1A1E">
        <w:instrText xml:space="preserve">REF paragraph00026 \h \* CharFormat </w:instrText>
      </w:r>
      <w:r w:rsidRPr="00FC1A1E">
        <w:fldChar w:fldCharType="separate"/>
      </w:r>
      <w:r w:rsidR="00FC1A1E" w:rsidRPr="00FC1A1E">
        <w:t>28</w:t>
      </w:r>
      <w:r w:rsidRPr="00FC1A1E">
        <w:fldChar w:fldCharType="end"/>
      </w:r>
      <w:r>
        <w:t>), s-au concentrat asupra definiției camătăi, în special asupra faptului dacă unul dintre elementele constitutive ale acesteia era o rată excesivă a dobânzii. În cele din urmă, s-a considerat că o rată excesivă a dobânzii nu era necesară pentru constituirea infracțiunii. În plus, s-a exprimat opinia că, din moment ce scopul legii era de a eradica activitatea de camătă și nu de a reglementa activitatea de împrumut cu dobândă, titlul ar trebui să fie „lege privind interzicerea activității de camătă” – și nu „lege privind activitatea de camătă”, așa cum a propus autorul proiectului de lege – și că ar trebui adăugat la text un prim articol care să precizeze că legea interzice activitatea de camătă. Nu a existat nicio dezbatere cu privire la termenul „ca îndeletnicire”.</w:t>
      </w:r>
    </w:p>
    <w:bookmarkStart w:id="23" w:name="paragraph00026"/>
    <w:p w14:paraId="7A8EDA66" w14:textId="3C00494F" w:rsidR="0045116D" w:rsidRPr="00FC1A1E" w:rsidRDefault="0045116D" w:rsidP="00FC1A1E">
      <w:pPr>
        <w:pStyle w:val="JuPara"/>
      </w:pPr>
      <w:r w:rsidRPr="00FC1A1E">
        <w:fldChar w:fldCharType="begin"/>
      </w:r>
      <w:r w:rsidRPr="00FC1A1E">
        <w:instrText xml:space="preserve"> SEQ level0 \*arabic \* MERGEFORMAT </w:instrText>
      </w:r>
      <w:r w:rsidRPr="00FC1A1E">
        <w:fldChar w:fldCharType="separate"/>
      </w:r>
      <w:r w:rsidR="00FC1A1E" w:rsidRPr="00FC1A1E">
        <w:t>28</w:t>
      </w:r>
      <w:r w:rsidRPr="00FC1A1E">
        <w:fldChar w:fldCharType="end"/>
      </w:r>
      <w:bookmarkEnd w:id="23"/>
      <w:r>
        <w:t>.  Legea nr. 216/2011 privind interzicerea activității de cămătărie a fost publicată în Monitorul Oficial nr. 827 din 22 noiembrie 2011 și a intrat în vigoare la 25 noiembrie 2011. Părțile relevante în speță sunt redactate după cum urmează:</w:t>
      </w:r>
    </w:p>
    <w:p w14:paraId="555D7D34" w14:textId="77777777" w:rsidR="0045116D" w:rsidRPr="00FC1A1E" w:rsidRDefault="0045116D" w:rsidP="00FC1A1E">
      <w:pPr>
        <w:pStyle w:val="JuHArticle"/>
      </w:pPr>
      <w:r>
        <w:t>Articolul 1</w:t>
      </w:r>
    </w:p>
    <w:p w14:paraId="7E99215B" w14:textId="6053B2C9" w:rsidR="0045116D" w:rsidRPr="00FC1A1E" w:rsidRDefault="0045116D" w:rsidP="00FC1A1E">
      <w:pPr>
        <w:pStyle w:val="JuQuot"/>
      </w:pPr>
      <w:r>
        <w:t>„Prezenta lege reglementează interzicerea activității de cămătărie. ”</w:t>
      </w:r>
    </w:p>
    <w:p w14:paraId="53A1AEB9" w14:textId="77777777" w:rsidR="0045116D" w:rsidRPr="00FC1A1E" w:rsidRDefault="0045116D" w:rsidP="00FC1A1E">
      <w:pPr>
        <w:pStyle w:val="JuHArticle"/>
      </w:pPr>
      <w:r>
        <w:t>Articolul 2</w:t>
      </w:r>
    </w:p>
    <w:p w14:paraId="7CB8C30C" w14:textId="77777777" w:rsidR="0045116D" w:rsidRPr="00FC1A1E" w:rsidRDefault="0045116D" w:rsidP="00FC1A1E">
      <w:pPr>
        <w:pStyle w:val="JuQuot"/>
      </w:pPr>
      <w:r>
        <w:t>„În înțelesul prezentei legi, termenii de mai jos au următoarea semnificație:</w:t>
      </w:r>
    </w:p>
    <w:p w14:paraId="571FAD60" w14:textId="19D0C903" w:rsidR="0045116D" w:rsidRPr="00FC1A1E" w:rsidRDefault="0045116D" w:rsidP="00FC1A1E">
      <w:pPr>
        <w:pStyle w:val="JuQuot"/>
      </w:pPr>
      <w:r>
        <w:t>a) camătă – dobândă pe care o ia cămătarul pentru sumele date cu împrumut;</w:t>
      </w:r>
    </w:p>
    <w:p w14:paraId="754B2C31" w14:textId="44C035C0" w:rsidR="0045116D" w:rsidRPr="00FC1A1E" w:rsidRDefault="0045116D" w:rsidP="00FC1A1E">
      <w:pPr>
        <w:pStyle w:val="JuQuot"/>
      </w:pPr>
      <w:r>
        <w:t>b) cămătar – persoană fizică ce dă împrumuturi bănești în schimbul unei camete. ”</w:t>
      </w:r>
    </w:p>
    <w:p w14:paraId="5FEB385A" w14:textId="77777777" w:rsidR="0045116D" w:rsidRPr="00FC1A1E" w:rsidRDefault="0045116D" w:rsidP="00FC1A1E">
      <w:pPr>
        <w:pStyle w:val="JuHArticle"/>
      </w:pPr>
      <w:r>
        <w:t>Articolul 3</w:t>
      </w:r>
    </w:p>
    <w:p w14:paraId="5DDDCBE8" w14:textId="1F549257" w:rsidR="0045116D" w:rsidRPr="00FC1A1E" w:rsidRDefault="0045116D" w:rsidP="00FC1A1E">
      <w:pPr>
        <w:pStyle w:val="JuQuot"/>
      </w:pPr>
      <w:r>
        <w:t xml:space="preserve">„(1) Darea de bani cu dobândă, </w:t>
      </w:r>
      <w:r>
        <w:rPr>
          <w:i/>
          <w:iCs/>
        </w:rPr>
        <w:t>ca îndeletnicire</w:t>
      </w:r>
      <w:r>
        <w:t>, de către o persoană neautorizată constituie infracțiune și se pedepsește cu închisoarea de la 6 luni la 5 ani. ”</w:t>
      </w:r>
    </w:p>
    <w:bookmarkStart w:id="24" w:name="paragraph00027"/>
    <w:p w14:paraId="20E45CBF" w14:textId="0953B6DD" w:rsidR="0045116D" w:rsidRPr="00FC1A1E" w:rsidRDefault="0045116D" w:rsidP="00FC1A1E">
      <w:pPr>
        <w:pStyle w:val="JuPara"/>
      </w:pPr>
      <w:r w:rsidRPr="00FC1A1E">
        <w:lastRenderedPageBreak/>
        <w:fldChar w:fldCharType="begin"/>
      </w:r>
      <w:r w:rsidRPr="00FC1A1E">
        <w:instrText xml:space="preserve"> SEQ level0 \*arabic </w:instrText>
      </w:r>
      <w:r w:rsidRPr="00FC1A1E">
        <w:fldChar w:fldCharType="separate"/>
      </w:r>
      <w:r w:rsidR="00FC1A1E" w:rsidRPr="00FC1A1E">
        <w:t>29</w:t>
      </w:r>
      <w:r w:rsidRPr="00FC1A1E">
        <w:fldChar w:fldCharType="end"/>
      </w:r>
      <w:bookmarkEnd w:id="24"/>
      <w:r>
        <w:t xml:space="preserve">.  La 1 februarie 2014, a intrat în vigoare noul Cod penal. De la acea dată, infracțiunea de camătă este pedepsită în temeiul art. 351 din acest Cod penal (C. pen.), care reia textul art. 3 din Legea nr. 216/2011, citat </w:t>
      </w:r>
      <w:r>
        <w:rPr>
          <w:i/>
          <w:iCs/>
        </w:rPr>
        <w:t>supra</w:t>
      </w:r>
      <w:r>
        <w:t>.</w:t>
      </w:r>
    </w:p>
    <w:p w14:paraId="73C6E094" w14:textId="248576D8" w:rsidR="0045116D" w:rsidRPr="00FC1A1E" w:rsidRDefault="00F14613" w:rsidP="00FC1A1E">
      <w:pPr>
        <w:pStyle w:val="JuPara"/>
      </w:pPr>
      <w:fldSimple w:instr=" SEQ level0 \*arabic \* MERGEFORMAT ">
        <w:r w:rsidR="00FC1A1E" w:rsidRPr="00FC1A1E">
          <w:t>30</w:t>
        </w:r>
      </w:fldSimple>
      <w:r>
        <w:t>.  Dispozițiile relevante ale Codului penal în vigoare la momentul faptelor se citesc după cum urmează:</w:t>
      </w:r>
    </w:p>
    <w:p w14:paraId="2FA27BC3" w14:textId="77777777" w:rsidR="0045116D" w:rsidRPr="00FC1A1E" w:rsidRDefault="0045116D" w:rsidP="00FC1A1E">
      <w:pPr>
        <w:pStyle w:val="JuHArticle"/>
      </w:pPr>
      <w:r>
        <w:t>Art. 10</w:t>
      </w:r>
    </w:p>
    <w:p w14:paraId="0772B432" w14:textId="3F452AA8" w:rsidR="0045116D" w:rsidRPr="00FC1A1E" w:rsidRDefault="0045116D" w:rsidP="00FC1A1E">
      <w:pPr>
        <w:pStyle w:val="JuQuot"/>
      </w:pPr>
      <w:r>
        <w:t>„Legea penală se aplică infracțiunilor săvârșite în timpul cât ea se află în vigoare. ”</w:t>
      </w:r>
    </w:p>
    <w:p w14:paraId="56779929" w14:textId="77777777" w:rsidR="0045116D" w:rsidRPr="00FC1A1E" w:rsidRDefault="0045116D" w:rsidP="00FC1A1E">
      <w:pPr>
        <w:pStyle w:val="JuHArticle"/>
      </w:pPr>
      <w:r>
        <w:t>Art. 11</w:t>
      </w:r>
    </w:p>
    <w:p w14:paraId="453BA02C" w14:textId="1C30A37B" w:rsidR="0045116D" w:rsidRPr="00FC1A1E" w:rsidRDefault="0045116D" w:rsidP="00FC1A1E">
      <w:pPr>
        <w:pStyle w:val="JuQuot"/>
      </w:pPr>
      <w:r>
        <w:t>„Legea penală nu se aplică faptelor săvârșite sub legea veche, dacă nu mai sunt prevăzute de legea nouă. ”</w:t>
      </w:r>
    </w:p>
    <w:bookmarkStart w:id="25" w:name="P31"/>
    <w:p w14:paraId="1B7C8F81" w14:textId="50CE57D3" w:rsidR="0045116D" w:rsidRPr="00FC1A1E" w:rsidRDefault="0045116D" w:rsidP="00FC1A1E">
      <w:pPr>
        <w:pStyle w:val="JuPara"/>
      </w:pPr>
      <w:r w:rsidRPr="00FC1A1E">
        <w:fldChar w:fldCharType="begin"/>
      </w:r>
      <w:r w:rsidRPr="00FC1A1E">
        <w:instrText xml:space="preserve"> SEQ level0 \*arabic \* MERGEFORMAT </w:instrText>
      </w:r>
      <w:r w:rsidRPr="00FC1A1E">
        <w:fldChar w:fldCharType="separate"/>
      </w:r>
      <w:r w:rsidR="00FC1A1E" w:rsidRPr="00FC1A1E">
        <w:t>31</w:t>
      </w:r>
      <w:r w:rsidRPr="00FC1A1E">
        <w:fldChar w:fldCharType="end"/>
      </w:r>
      <w:bookmarkEnd w:id="25"/>
      <w:r>
        <w:t>.  La momentul săvârșirii faptelor imputate reclamantului, art. 26 C. pen., care făcea parte din dispozițiile generale ale Codului, avea următorul conținut:</w:t>
      </w:r>
    </w:p>
    <w:p w14:paraId="149A0156" w14:textId="329DB318" w:rsidR="0045116D" w:rsidRPr="00FC1A1E" w:rsidRDefault="0045116D" w:rsidP="00FC1A1E">
      <w:pPr>
        <w:pStyle w:val="JuQuot"/>
      </w:pPr>
      <w:r>
        <w:t>„Complice este persoana care, cu intenție, înlesnește sau ajută în orice mod la săvârșirea unei fapte prevăzute de legea penală.  Este de asemenea complice persoana care promite, înainte sau în timpul săvârșirii faptei, că va tăinui bunurile provenite din aceasta sau că va favoriza pe făptuitor, chiar dacă după săvârșirea faptei promisiunea nu este îndeplinită. ”</w:t>
      </w:r>
    </w:p>
    <w:p w14:paraId="7331FFEE" w14:textId="77777777" w:rsidR="0045116D" w:rsidRPr="00FC1A1E" w:rsidRDefault="0045116D" w:rsidP="00FC1A1E">
      <w:pPr>
        <w:pStyle w:val="JuHIRoman"/>
      </w:pPr>
      <w:r>
        <w:t>Jurisprudența Curții Constituționale</w:t>
      </w:r>
    </w:p>
    <w:bookmarkStart w:id="26" w:name="paragraph00029"/>
    <w:p w14:paraId="6034366F" w14:textId="6A7BE7CF" w:rsidR="0045116D" w:rsidRPr="00FC1A1E" w:rsidRDefault="0045116D" w:rsidP="00FC1A1E">
      <w:pPr>
        <w:pStyle w:val="JuPara"/>
      </w:pPr>
      <w:r w:rsidRPr="00FC1A1E">
        <w:fldChar w:fldCharType="begin"/>
      </w:r>
      <w:r w:rsidRPr="00FC1A1E">
        <w:instrText xml:space="preserve"> SEQ level0 \*arabic \* MERGEFORMAT </w:instrText>
      </w:r>
      <w:r w:rsidRPr="00FC1A1E">
        <w:fldChar w:fldCharType="separate"/>
      </w:r>
      <w:r w:rsidR="00FC1A1E" w:rsidRPr="00FC1A1E">
        <w:t>32</w:t>
      </w:r>
      <w:r w:rsidRPr="00FC1A1E">
        <w:fldChar w:fldCharType="end"/>
      </w:r>
      <w:bookmarkEnd w:id="26"/>
      <w:r>
        <w:t>.  Într-o cauză diferită de cea a reclamantului, Curtea Constituțională a fost sesizată cu privire la o excepție de neconstituționalitate a art. 351 C. pen. În măsura în care acesta reproduce textul art. 3 din Legea nr. 216/2011, care face obiectul sesizării reclamantului în speță, Curtea consideră util să facă trimitere la decizia Curții Constituționale în cauza respectivă. Astfel, Curtea observă că, în fața instanței constituționale, reclamantul a susținut că art. 351 C. pen. nu este clar și previzibil și că nu definește elementul material al infracțiunii de camătă într-un mod suficient de precis pentru ca intenția legiuitorului să poată fi interpretată fără ambiguitate. Reclamantul a argumentat că art. 351 C. pen. nu prevede în mod specific numărul minim de acte materiale necesare pentru ca activitatea de acordare de împrumuturi cu dobândă să fie considerată ca îndeletnicire și, prin urmare, să fie calificată ca infracțiune.</w:t>
      </w:r>
    </w:p>
    <w:bookmarkStart w:id="27" w:name="paragraph00030"/>
    <w:p w14:paraId="4E192C98" w14:textId="6EAE4A02" w:rsidR="0045116D" w:rsidRPr="00FC1A1E" w:rsidRDefault="0045116D" w:rsidP="00FC1A1E">
      <w:pPr>
        <w:pStyle w:val="JuPara"/>
      </w:pPr>
      <w:r w:rsidRPr="00FC1A1E">
        <w:fldChar w:fldCharType="begin"/>
      </w:r>
      <w:r w:rsidRPr="00FC1A1E">
        <w:instrText xml:space="preserve"> SEQ level0 \*arabic \* MERGEFORMAT </w:instrText>
      </w:r>
      <w:r w:rsidRPr="00FC1A1E">
        <w:fldChar w:fldCharType="separate"/>
      </w:r>
      <w:r w:rsidR="00FC1A1E" w:rsidRPr="00FC1A1E">
        <w:t>33</w:t>
      </w:r>
      <w:r w:rsidRPr="00FC1A1E">
        <w:fldChar w:fldCharType="end"/>
      </w:r>
      <w:bookmarkEnd w:id="27"/>
      <w:r>
        <w:t xml:space="preserve">.  În Decizia sa nr. 82 din 23 februarie 2016, publicată în </w:t>
      </w:r>
      <w:r>
        <w:rPr>
          <w:i/>
          <w:iCs/>
        </w:rPr>
        <w:t>Monitorul Oficial</w:t>
      </w:r>
      <w:r>
        <w:t xml:space="preserve"> din 13 mai 2016, Curtea Constituțională a hotărât că art. 351 C.pen. este în conformitate cu Constituția. Această decizie este redactată astfel în partea sa relevantă în speță:</w:t>
      </w:r>
    </w:p>
    <w:p w14:paraId="36D0AF1E" w14:textId="7EC92D64" w:rsidR="0045116D" w:rsidRPr="00FC1A1E" w:rsidRDefault="0045116D" w:rsidP="00FC1A1E">
      <w:pPr>
        <w:pStyle w:val="JuQuot"/>
      </w:pPr>
      <w:r>
        <w:t xml:space="preserve">„(14)  Examinând excepția de neconstituționalitate, în ceea ce privește modalitatea de reglementare a infracțiunii de camătă, prevăzută la art. 351 C. pen., Curtea  [Constituțională] constată că aceasta constă în darea de bani cu dobândă, de către o persoană neautorizată, ca îndeletnicire. Curtea reține că legiuitorul nu a definit, în mod </w:t>
      </w:r>
      <w:r>
        <w:lastRenderedPageBreak/>
        <w:t>expres, în cuprinsul legii penale noțiunea de „îndeletnicire”.  Astfel, nu a precizat frecvența actelor materiale pe care aceasta o presupune. Sintagma utilizată de legiuitor, „ca îndeletnicire”, califică fapta ca fiind o infracțiune de obicei, prin urmare, numărul actelor materiale de dare de bani cu dobândă, de către o persoană neautorizată, trebuie să fie suficient de mare pentru a denota comiterea acestora în mod frecvent sau constant. Astfel, legiuitorul a lăsat instanței judecătorești învestite cu soluționarea cauzei penale o marjă de apreciere cu privire la numărul actelor materiale care conferă acțiunii caracter de îndeletnicire. Această marjă de apreciere este justificată prin particularitățile condițiilor concrete în care este săvârșită fiecare infracțiune de camătă.</w:t>
      </w:r>
    </w:p>
    <w:p w14:paraId="7EDADAF3" w14:textId="1FDC0D0F" w:rsidR="0045116D" w:rsidRPr="00FC1A1E" w:rsidRDefault="0045116D" w:rsidP="00FC1A1E">
      <w:pPr>
        <w:pStyle w:val="JuQuot"/>
      </w:pPr>
      <w:r>
        <w:t>(15)  Distinct de argumentele reținute în doctrină, Curtea constată că incriminarea infracțiunii de camătă, ca infracțiune de obicei, fără a specifica numărul necesar și suficient al actelor materiale ce trebuie comise pentru ca organele judiciare să poată reține această infracțiune și fără a face referire la un anumit nivel al dobânzii, superior celui legal, denotă faptul că legiuitorul a avut în vedere cu prilejul reglementării textului criticat pericolul social sporit al faptei de a da bani cu împrumut atunci când autorul ei nu deține o autorizație în acest sens.</w:t>
      </w:r>
    </w:p>
    <w:p w14:paraId="2D0EA04D" w14:textId="6988F997" w:rsidR="0045116D" w:rsidRPr="00FC1A1E" w:rsidRDefault="0045116D" w:rsidP="00FC1A1E">
      <w:pPr>
        <w:pStyle w:val="JuQuot"/>
      </w:pPr>
      <w:r>
        <w:t>(16)  De asemenea, Curtea consideră că prevederile art. 351 C. pen. sunt rezultatul unei anumite dinamici a nevoilor de protecție a relațiilor sociale prin intermediul normelor de drept penal, dar și că acestea reprezintă opțiunea legiuitorului, potrivit politicii sale penale, și au fost reglementate cu respectarea dispozițiilor art. 61 alin. (1) din Constituție și în marja de apreciere prevăzută de norma constituțională anterior referită.</w:t>
      </w:r>
    </w:p>
    <w:p w14:paraId="252885E9" w14:textId="156A618A" w:rsidR="0045116D" w:rsidRPr="00FC1A1E" w:rsidRDefault="0045116D" w:rsidP="00FC1A1E">
      <w:pPr>
        <w:pStyle w:val="JuQuot"/>
      </w:pPr>
      <w:r>
        <w:t>(17)  Prin urmare, Curtea constată că maniera de reglementare a infracțiunii de camătă prin dispozițiile art. 351 C. pen. nu lipsește textul criticat de claritate, precizie și previzibilitate, (...) ”</w:t>
      </w:r>
    </w:p>
    <w:bookmarkStart w:id="28" w:name="paragraph00031"/>
    <w:p w14:paraId="1EA6109E" w14:textId="396CCCC6" w:rsidR="0045116D" w:rsidRPr="00FC1A1E" w:rsidRDefault="0045116D" w:rsidP="00FC1A1E">
      <w:pPr>
        <w:pStyle w:val="JuPara"/>
      </w:pPr>
      <w:r w:rsidRPr="00FC1A1E">
        <w:fldChar w:fldCharType="begin"/>
      </w:r>
      <w:r w:rsidRPr="00FC1A1E">
        <w:instrText xml:space="preserve"> SEQ level0 \*arabic </w:instrText>
      </w:r>
      <w:r w:rsidRPr="00FC1A1E">
        <w:fldChar w:fldCharType="separate"/>
      </w:r>
      <w:r w:rsidR="00FC1A1E" w:rsidRPr="00FC1A1E">
        <w:t>34</w:t>
      </w:r>
      <w:r w:rsidRPr="00FC1A1E">
        <w:fldChar w:fldCharType="end"/>
      </w:r>
      <w:bookmarkEnd w:id="28"/>
      <w:r>
        <w:t xml:space="preserve">.  Fiind sesizată cu o nouă excepție de neconstituționalitate, care consta în afirmarea faptului că, din cauza utilizării termenului de „îndeletnicire”, art. 351 C. pen. nu era clar și previzibil, Curtea Constituțională a statuat, prin Decizia nr. 550 din 26 septembrie 2019, publicată în </w:t>
      </w:r>
      <w:r>
        <w:rPr>
          <w:i/>
          <w:iCs/>
        </w:rPr>
        <w:t>Monitorul Oficial</w:t>
      </w:r>
      <w:r>
        <w:t xml:space="preserve"> din 13 februarie 2020, că prevederile art. 351 C. pen. sunt constituționale, confirmând astfel Decizia sa din 23 februarie 2016 (</w:t>
      </w:r>
      <w:r>
        <w:rPr>
          <w:i/>
          <w:iCs/>
        </w:rPr>
        <w:t>supra</w:t>
      </w:r>
      <w:r>
        <w:t xml:space="preserve">, pct. </w:t>
      </w:r>
      <w:r w:rsidRPr="00FC1A1E">
        <w:fldChar w:fldCharType="begin"/>
      </w:r>
      <w:r w:rsidRPr="00FC1A1E">
        <w:instrText xml:space="preserve"> REF paragraph00024 \h  \* CharFormat </w:instrText>
      </w:r>
      <w:r w:rsidRPr="00FC1A1E">
        <w:fldChar w:fldCharType="separate"/>
      </w:r>
      <w:r w:rsidR="00FC1A1E" w:rsidRPr="00FC1A1E">
        <w:t>26</w:t>
      </w:r>
      <w:r w:rsidRPr="00FC1A1E">
        <w:fldChar w:fldCharType="end"/>
      </w:r>
      <w:r>
        <w:t>).</w:t>
      </w:r>
    </w:p>
    <w:p w14:paraId="63D8301F" w14:textId="77777777" w:rsidR="0045116D" w:rsidRPr="00FC1A1E" w:rsidRDefault="0045116D" w:rsidP="00FC1A1E">
      <w:pPr>
        <w:pStyle w:val="JuHIRoman"/>
      </w:pPr>
      <w:r>
        <w:t>Jurisprudența internă relevantă</w:t>
      </w:r>
    </w:p>
    <w:p w14:paraId="4165CF6B" w14:textId="4BDF1365" w:rsidR="0045116D" w:rsidRPr="00FC1A1E" w:rsidRDefault="0045116D" w:rsidP="00FC1A1E">
      <w:pPr>
        <w:pStyle w:val="JuPara"/>
      </w:pPr>
      <w:fldSimple w:instr=" SEQ level0 \*arabic \* MERGEFORMAT ">
        <w:r w:rsidR="00FC1A1E" w:rsidRPr="00FC1A1E">
          <w:t>35</w:t>
        </w:r>
      </w:fldSimple>
      <w:r>
        <w:t>.  Părțile au depus la dosar hotărârile judecătorești pronunțate, uneori după comiterea faptelor imputate reclamantului, în cadrul unor proceduri penale privind acuzații de camătă. În majoritatea acestor cazuri, inculpații efectuaseră un număr mare de acte de împrumut. În aceste cauze, dintre care unele se refereau la fapte comise în 2011 și 2012, instanțele naționale au considerat că s-a dovedit că faptele au fost comise în mod repetat și într-un număr suficient de ocazii pentru a dovedi caracterul obișnuit al activității [a se vedea, de exemplu, hotărârea definitivă a Înaltei Curți de Casație și Justiție („Înalta Curte”) din 5 februarie 2018, hotărârea Curții de Apel București din 2 noiembrie 2016, hotărârile Curții de Apel Pitești din 7 decembrie 2016 și 10 octombrie 2018 și hotărârile Curții de Apel Timișoara din 8 martie 2019 și 10 decembrie 2019].</w:t>
      </w:r>
    </w:p>
    <w:bookmarkStart w:id="29" w:name="paragraph00033"/>
    <w:p w14:paraId="5F0829D7" w14:textId="6FCE2EE5" w:rsidR="0045116D" w:rsidRPr="00FC1A1E" w:rsidRDefault="0045116D" w:rsidP="00FC1A1E">
      <w:pPr>
        <w:pStyle w:val="JuPara"/>
      </w:pPr>
      <w:r w:rsidRPr="00FC1A1E">
        <w:lastRenderedPageBreak/>
        <w:fldChar w:fldCharType="begin"/>
      </w:r>
      <w:r w:rsidRPr="00FC1A1E">
        <w:instrText xml:space="preserve"> SEQ level0 \*arabic \* MERGEFORMAT </w:instrText>
      </w:r>
      <w:r w:rsidRPr="00FC1A1E">
        <w:fldChar w:fldCharType="separate"/>
      </w:r>
      <w:bookmarkStart w:id="30" w:name="paragraph00032"/>
      <w:r w:rsidR="00FC1A1E" w:rsidRPr="00FC1A1E">
        <w:t>36</w:t>
      </w:r>
      <w:bookmarkEnd w:id="30"/>
      <w:r w:rsidRPr="00FC1A1E">
        <w:fldChar w:fldCharType="end"/>
      </w:r>
      <w:bookmarkEnd w:id="29"/>
      <w:r>
        <w:t>.  Printr-o hotărâre definitivă din 10 octombrie 2019, Curtea de Apel Iași a confirmat o decizie de scoatere de sub urmărire penală pe motiv că nu s-a dovedit că actele materiale de împrumut au fost săvârșite în mod obișnuit, întrucât fuseseră dovedite doar două contracte de împrumut fără dobândă. Aceasta a considerat că, în aceste circumstanțe, elementul material al infracțiunii de camătă nu a fost dovedit. În mod similar, printr-o hotărâre definitivă din 19 aprilie 2016, Curtea de Apel București a considerat că nu a existat camătă în speță, întrucât fusese efectuat un singur act material de împrumut.</w:t>
      </w:r>
    </w:p>
    <w:p w14:paraId="573A0E05" w14:textId="37FF3112" w:rsidR="0045116D" w:rsidRPr="00FC1A1E" w:rsidRDefault="0045116D" w:rsidP="00FC1A1E">
      <w:pPr>
        <w:pStyle w:val="JuPara"/>
      </w:pPr>
      <w:fldSimple w:instr=" SEQ level0 \*arabic \* MERGEFORMAT ">
        <w:r w:rsidR="00FC1A1E" w:rsidRPr="00FC1A1E">
          <w:t>37</w:t>
        </w:r>
      </w:fldSimple>
      <w:r>
        <w:t>.  Într-o hotărâre din 19 decembrie 2014, Curtea de Apel Craiova a considerat că două acte materiale nu sunt suficiente pentru a stabili că o activitate are caracter de îndeletnicire.</w:t>
      </w:r>
    </w:p>
    <w:bookmarkStart w:id="31" w:name="para37"/>
    <w:p w14:paraId="6938CBC0" w14:textId="739EB645" w:rsidR="0045116D" w:rsidRPr="00FC1A1E" w:rsidRDefault="0045116D" w:rsidP="00FC1A1E">
      <w:pPr>
        <w:pStyle w:val="JuPara"/>
      </w:pPr>
      <w:r w:rsidRPr="00FC1A1E">
        <w:fldChar w:fldCharType="begin"/>
      </w:r>
      <w:r w:rsidRPr="00FC1A1E">
        <w:instrText xml:space="preserve"> SEQ level0 \*arabic \* MERGEFORMAT </w:instrText>
      </w:r>
      <w:r w:rsidRPr="00FC1A1E">
        <w:fldChar w:fldCharType="separate"/>
      </w:r>
      <w:r w:rsidR="00FC1A1E" w:rsidRPr="00FC1A1E">
        <w:t>38</w:t>
      </w:r>
      <w:r w:rsidRPr="00FC1A1E">
        <w:fldChar w:fldCharType="end"/>
      </w:r>
      <w:bookmarkEnd w:id="31"/>
      <w:r>
        <w:t>.  Printr-o hotărâre definitivă din 3 mai 2018, Curtea de Apel Bacău a hotărât că s-a stabilit că doi dintre inculpați au săvârșit în mod repetat faptele de care au fost acuzați. Aceasta a ținut cont de existența a patru contracte de împrumut încheiate de acești inculpați și de diverse elemente de probă (mesaje codificate, recurgere la intermediari). Din contră, a hotărât că, în cazul celui de-al treilea inculpat, cămătăria nu a fost dovedită, întrucât a fost stabilit un singur act material, ceea ce nu era suficient pentru ca infracțiunea să fie considerată ca fiind constituită.</w:t>
      </w:r>
    </w:p>
    <w:p w14:paraId="42ED8135" w14:textId="4893CA73" w:rsidR="0045116D" w:rsidRPr="00FC1A1E" w:rsidRDefault="0045116D" w:rsidP="00FC1A1E">
      <w:pPr>
        <w:pStyle w:val="JuPara"/>
      </w:pPr>
      <w:fldSimple w:instr=" SEQ level0 \*arabic \* MERGEFORMAT ">
        <w:r w:rsidR="00FC1A1E" w:rsidRPr="00FC1A1E">
          <w:t>39</w:t>
        </w:r>
      </w:fldSimple>
      <w:r>
        <w:t>.  Într-o hotărâre definitivă din 16 octombrie 2014, într-o cauză distinctă de cea a reclamantului, care nu implica cămătăria, ci acuzații de proxenetism și prostituție, Înalta Curte a observat că aceste infracțiuni erau infracțiuni de obicei și că acest lucru implica faptul că, pentru a intra sub incidența legii penale, comportamentul trebuie să fie repetat. Aceasta a precizat că, potrivit practicii și doctrinei, există repetitivitate începând de la trei acte, ceea ce nu era cazul în speță.</w:t>
      </w:r>
    </w:p>
    <w:p w14:paraId="2C829CC8" w14:textId="77777777" w:rsidR="0045116D" w:rsidRPr="00FC1A1E" w:rsidRDefault="0045116D" w:rsidP="00FC1A1E">
      <w:pPr>
        <w:pStyle w:val="JuHIRoman"/>
      </w:pPr>
      <w:r>
        <w:t>Doctrina internă</w:t>
      </w:r>
    </w:p>
    <w:bookmarkStart w:id="32" w:name="paragraph00037"/>
    <w:p w14:paraId="29C565EC" w14:textId="149C3186" w:rsidR="0045116D" w:rsidRPr="00FC1A1E" w:rsidRDefault="0045116D" w:rsidP="00FC1A1E">
      <w:pPr>
        <w:pStyle w:val="JuPara"/>
      </w:pPr>
      <w:r w:rsidRPr="00FC1A1E">
        <w:fldChar w:fldCharType="begin"/>
      </w:r>
      <w:r w:rsidRPr="00FC1A1E">
        <w:instrText xml:space="preserve"> SEQ level0 \*arabic \* MERGEFORMAT </w:instrText>
      </w:r>
      <w:r w:rsidRPr="00FC1A1E">
        <w:fldChar w:fldCharType="separate"/>
      </w:r>
      <w:bookmarkStart w:id="33" w:name="paragraph00036"/>
      <w:r w:rsidR="00FC1A1E" w:rsidRPr="00FC1A1E">
        <w:t>40</w:t>
      </w:r>
      <w:bookmarkEnd w:id="33"/>
      <w:r w:rsidRPr="00FC1A1E">
        <w:fldChar w:fldCharType="end"/>
      </w:r>
      <w:bookmarkEnd w:id="32"/>
      <w:r>
        <w:t>.  Potrivit doctrinei, pentru a intra sub incidența legii penale, activitatea de împrumut de bani trebuia să fie comisă în mod repetat. Unii autori au considerat că este nevoie de cel puțin trei acte materiale pentru ca faptele să fie calificate ca infracțiune.</w:t>
      </w:r>
      <w:r w:rsidRPr="00FC1A1E">
        <w:rPr>
          <w:rStyle w:val="FootnoteReference"/>
          <w:lang w:bidi="en-US"/>
        </w:rPr>
        <w:footnoteReference w:id="1"/>
      </w:r>
      <w:r>
        <w:t>. Alții au considerat că pragul de trei acte de împrumut era doar o indicație a caracterului de obicei al activității, dar nu era o valoare absolută, și că era de competența instanțelor de judecată să stabilească, de la caz la caz, dacă faptele au fost comise suficient de des pentru a dovedi, luate împreună, caracterul de îndeletnicire</w:t>
      </w:r>
      <w:r w:rsidRPr="00FC1A1E">
        <w:rPr>
          <w:rStyle w:val="FootnoteReference"/>
          <w:lang w:bidi="en-US"/>
        </w:rPr>
        <w:footnoteReference w:id="2"/>
      </w:r>
      <w:r>
        <w:t>.</w:t>
      </w:r>
    </w:p>
    <w:p w14:paraId="14E3CA3B" w14:textId="77777777" w:rsidR="0045116D" w:rsidRPr="00FC1A1E" w:rsidRDefault="0045116D" w:rsidP="00FC1A1E">
      <w:pPr>
        <w:pStyle w:val="JuHHead"/>
      </w:pPr>
      <w:r>
        <w:lastRenderedPageBreak/>
        <w:t>CAPĂT DE CERERE</w:t>
      </w:r>
    </w:p>
    <w:bookmarkStart w:id="34" w:name="paragraph00038"/>
    <w:p w14:paraId="6C6D65FF" w14:textId="6761944B" w:rsidR="0045116D" w:rsidRPr="00FC1A1E" w:rsidRDefault="0045116D" w:rsidP="00FC1A1E">
      <w:pPr>
        <w:pStyle w:val="JuPara"/>
      </w:pPr>
      <w:r w:rsidRPr="00FC1A1E">
        <w:fldChar w:fldCharType="begin"/>
      </w:r>
      <w:r w:rsidRPr="00FC1A1E">
        <w:instrText xml:space="preserve"> SEQ level0 \*arabic \* MERGEFORMAT </w:instrText>
      </w:r>
      <w:r w:rsidRPr="00FC1A1E">
        <w:fldChar w:fldCharType="separate"/>
      </w:r>
      <w:r w:rsidR="00FC1A1E" w:rsidRPr="00FC1A1E">
        <w:t>41</w:t>
      </w:r>
      <w:r w:rsidRPr="00FC1A1E">
        <w:fldChar w:fldCharType="end"/>
      </w:r>
      <w:bookmarkEnd w:id="34"/>
      <w:r>
        <w:t>.  Invocând art. 7 din Convenție, reclamantul susține că formularea legii privind cămătăria nu era clară și previzibilă. Pe de o parte, acesta susține că a fost condamnat pentru camătă din cauza unei interpretări extinse a legii penale de către instanțele naționale, care, în opinia sa, nu incrimina favorizarea și ajutorul dat terților cămătari. El se plânge, de asemenea, că a fost găsit vinovat de camătă în condițiile în care, în opinia sa, a fost dovedit un singur act material de împrumut cu dobândă.</w:t>
      </w:r>
    </w:p>
    <w:p w14:paraId="6EC22992" w14:textId="3F8F02DB" w:rsidR="0045116D" w:rsidRPr="00FC1A1E" w:rsidRDefault="0045116D" w:rsidP="00FC1A1E">
      <w:pPr>
        <w:pStyle w:val="JuHHead"/>
      </w:pPr>
      <w:r>
        <w:t>ÎN DREPT</w:t>
      </w:r>
    </w:p>
    <w:p w14:paraId="29C1BC5B" w14:textId="37B95EAC" w:rsidR="0045116D" w:rsidRPr="00FC1A1E" w:rsidRDefault="00F14613" w:rsidP="00FC1A1E">
      <w:pPr>
        <w:pStyle w:val="JuPara"/>
      </w:pPr>
      <w:fldSimple w:instr=" SEQ level0 \*arabic \* MERGEFORMAT ">
        <w:r w:rsidR="00FC1A1E" w:rsidRPr="00FC1A1E">
          <w:t>42</w:t>
        </w:r>
      </w:fldSimple>
      <w:r>
        <w:t>.  Reclamantul se consideră victima încălcării art. 7 din Convenție, care prevede următoarele :</w:t>
      </w:r>
    </w:p>
    <w:p w14:paraId="0863B246" w14:textId="4E16F1D4" w:rsidR="0045116D" w:rsidRPr="00FC1A1E" w:rsidRDefault="0045116D" w:rsidP="00FC1A1E">
      <w:pPr>
        <w:pStyle w:val="JuQuot"/>
      </w:pPr>
      <w:r>
        <w:t>„(1)  Nimeni nu poate fi condamnat pentru o acțiune sau o omisiune care, în momentul în care a fost săvârșită, nu constituia o infracțiune, potrivit dreptului național și internațional. De asemenea, nu se poate aplica o pedeapsă mai severă decât aceea care era aplicabilă în momentul săvârșirii infracțiunii.</w:t>
      </w:r>
    </w:p>
    <w:p w14:paraId="73BAD848" w14:textId="5557604B" w:rsidR="0045116D" w:rsidRPr="00FC1A1E" w:rsidRDefault="0045116D" w:rsidP="00FC1A1E">
      <w:pPr>
        <w:pStyle w:val="JuQuot"/>
      </w:pPr>
      <w:r>
        <w:t>(2)  Prezentul articol nu va aduce atingere judecării și pedepsirii unei persoane vinovate de o acțiune sau de o omisiune care, în momentul săvârșirii sale, era considerată infracțiune potrivit principiilor generale de drept recunoscute de națiunile civilizate. ”</w:t>
      </w:r>
    </w:p>
    <w:p w14:paraId="62082C7A" w14:textId="77777777" w:rsidR="0045116D" w:rsidRPr="00FC1A1E" w:rsidRDefault="0045116D" w:rsidP="00FC1A1E">
      <w:pPr>
        <w:pStyle w:val="JuHIRoman"/>
      </w:pPr>
      <w:r>
        <w:t>Argumentele părților</w:t>
      </w:r>
    </w:p>
    <w:p w14:paraId="6E9F3AEE" w14:textId="77777777" w:rsidR="0045116D" w:rsidRPr="00FC1A1E" w:rsidRDefault="0045116D" w:rsidP="00FC1A1E">
      <w:pPr>
        <w:pStyle w:val="JuHA"/>
      </w:pPr>
      <w:r>
        <w:t>Guvernul</w:t>
      </w:r>
    </w:p>
    <w:p w14:paraId="6DA4AAE7" w14:textId="65544AD1" w:rsidR="0045116D" w:rsidRPr="00FC1A1E" w:rsidRDefault="00F14613" w:rsidP="00FC1A1E">
      <w:pPr>
        <w:pStyle w:val="JuPara"/>
      </w:pPr>
      <w:fldSimple w:instr=" SEQ level0 \*arabic \* MERGEFORMAT ">
        <w:r w:rsidR="00FC1A1E" w:rsidRPr="00FC1A1E">
          <w:t>43</w:t>
        </w:r>
      </w:fldSimple>
      <w:r>
        <w:t>.  Guvernul arată că, la momentul săvârșirii faptelor de care este acuzat reclamantul, infracțiunea de camătă era pedepsită în temeiul art. 3 din Legea nr. 216/2011, al cărui text a fost ulterior reluat în art. 351 C. pen.</w:t>
      </w:r>
    </w:p>
    <w:p w14:paraId="613D563A" w14:textId="531FE105" w:rsidR="0045116D" w:rsidRPr="00FC1A1E" w:rsidRDefault="00F14613" w:rsidP="00FC1A1E">
      <w:pPr>
        <w:pStyle w:val="JuPara"/>
      </w:pPr>
      <w:fldSimple w:instr=" SEQ level0 \*arabic \* MERGEFORMAT ">
        <w:r w:rsidR="00FC1A1E" w:rsidRPr="00FC1A1E">
          <w:t>44</w:t>
        </w:r>
      </w:fldSimple>
      <w:r>
        <w:t>.  Acesta arată că instanța de apel nu l-a condamnat pe reclamant pe baza unui singur act material, și anume împrumutul acordat lui S.M. (</w:t>
      </w:r>
      <w:r>
        <w:rPr>
          <w:i/>
          <w:iCs/>
        </w:rPr>
        <w:t>supra</w:t>
      </w:r>
      <w:r>
        <w:t xml:space="preserve">, pct. </w:t>
      </w:r>
      <w:r w:rsidR="0045116D" w:rsidRPr="00FC1A1E">
        <w:fldChar w:fldCharType="begin"/>
      </w:r>
      <w:r w:rsidR="0045116D" w:rsidRPr="00FC1A1E">
        <w:instrText xml:space="preserve">REF paragraph00010 \h \* CharFormat </w:instrText>
      </w:r>
      <w:r w:rsidR="0045116D" w:rsidRPr="00FC1A1E">
        <w:fldChar w:fldCharType="separate"/>
      </w:r>
      <w:r w:rsidR="00FC1A1E" w:rsidRPr="00FC1A1E">
        <w:t>10</w:t>
      </w:r>
      <w:r w:rsidR="0045116D" w:rsidRPr="00FC1A1E">
        <w:fldChar w:fldCharType="end"/>
      </w:r>
      <w:r>
        <w:t>), ci pentru că a considerat stabilit faptul că acesta a dat cu împrumut bani, ca îndeletnicire, mai multor persoane, fie direct, fie prin intermediul unor terți (</w:t>
      </w:r>
      <w:r>
        <w:rPr>
          <w:i/>
          <w:iCs/>
        </w:rPr>
        <w:t>supra</w:t>
      </w:r>
      <w:r>
        <w:t xml:space="preserve">, pct. </w:t>
      </w:r>
      <w:r w:rsidR="0045116D" w:rsidRPr="00FC1A1E">
        <w:fldChar w:fldCharType="begin"/>
      </w:r>
      <w:r w:rsidR="0045116D" w:rsidRPr="00FC1A1E">
        <w:instrText xml:space="preserve"> REF paragraph00011 \h  \* CharFormat </w:instrText>
      </w:r>
      <w:r w:rsidR="0045116D" w:rsidRPr="00FC1A1E">
        <w:fldChar w:fldCharType="separate"/>
      </w:r>
      <w:r w:rsidR="00FC1A1E" w:rsidRPr="00FC1A1E">
        <w:t>11</w:t>
      </w:r>
      <w:r w:rsidR="0045116D" w:rsidRPr="00FC1A1E">
        <w:fldChar w:fldCharType="end"/>
      </w:r>
      <w:r>
        <w:t>), și că a oferit protecție cămătarilor și a facilitat recuperarea sumelor pe care aceștia le împrumutaseră, în schimbul unui procent din dobânda corespunzătoare (</w:t>
      </w:r>
      <w:r>
        <w:rPr>
          <w:i/>
          <w:iCs/>
        </w:rPr>
        <w:t>supra</w:t>
      </w:r>
      <w:r>
        <w:t xml:space="preserve">, pct. </w:t>
      </w:r>
      <w:r w:rsidR="0045116D" w:rsidRPr="00FC1A1E">
        <w:fldChar w:fldCharType="begin"/>
      </w:r>
      <w:r w:rsidR="0045116D" w:rsidRPr="00FC1A1E">
        <w:instrText xml:space="preserve"> REF paragraph00012 \h  \* CharFormat </w:instrText>
      </w:r>
      <w:r w:rsidR="0045116D" w:rsidRPr="00FC1A1E">
        <w:fldChar w:fldCharType="separate"/>
      </w:r>
      <w:r w:rsidR="00FC1A1E" w:rsidRPr="00FC1A1E">
        <w:t>13</w:t>
      </w:r>
      <w:r w:rsidR="0045116D" w:rsidRPr="00FC1A1E">
        <w:fldChar w:fldCharType="end"/>
      </w:r>
      <w:r>
        <w:t>). Acesta explică faptul că aceste elemente au demonstrat că activitatea reclamantului era de natură recurentă și, prin urmare, reprezenta o „îndeletnicire”. Acesta susține că, în circumstanțele cauzei și având în vedere legătura dintre reclamant și alte persoane condamnate pentru camătă, reclamantul putea prevedea în mod rezonabil că activitatea sa va fi considerată infracțiune.</w:t>
      </w:r>
    </w:p>
    <w:bookmarkStart w:id="35" w:name="paragraph00042"/>
    <w:p w14:paraId="0921E815" w14:textId="7AEAB6A6" w:rsidR="0045116D" w:rsidRPr="00FC1A1E" w:rsidRDefault="0045116D" w:rsidP="00FC1A1E">
      <w:pPr>
        <w:pStyle w:val="JuPara"/>
      </w:pPr>
      <w:r w:rsidRPr="00FC1A1E">
        <w:fldChar w:fldCharType="begin"/>
      </w:r>
      <w:r w:rsidRPr="00FC1A1E">
        <w:instrText xml:space="preserve"> SEQ level0 \*arabic \* MERGEFORMAT </w:instrText>
      </w:r>
      <w:r w:rsidRPr="00FC1A1E">
        <w:fldChar w:fldCharType="separate"/>
      </w:r>
      <w:r w:rsidR="00FC1A1E" w:rsidRPr="00FC1A1E">
        <w:t>45</w:t>
      </w:r>
      <w:r w:rsidRPr="00FC1A1E">
        <w:fldChar w:fldCharType="end"/>
      </w:r>
      <w:bookmarkEnd w:id="35"/>
      <w:r>
        <w:t xml:space="preserve">.  Acesta adaugă că interpretarea care reflectă cel mai bine intenția legiuitorului de a sancționa comportamentul persoanelor care acordă împrumuturi cu dobândă ca îndeletnicire fără a fi autorizate în acest sens este </w:t>
      </w:r>
      <w:r>
        <w:lastRenderedPageBreak/>
        <w:t>cea conform căreia cămătăria este o infracțiune continuă, a cărei consumare începe în momentul în care se oferă un împrumut cu dobândă și continuă până la încasarea ultimei dobânzi, cu condiția ca acest comportament să fie repetat de un număr suficient de ori pentru a avea caracter de obicei. Acesta explică faptul că, în acest context, asistarea altor persoane acuzate de aceeași infracțiune, în vederea recuperării banilor pe care aceștia i-au dat cu împrumut și a dobânzilor aferente, poate fi considerată un element al infracțiunii de obicei.</w:t>
      </w:r>
    </w:p>
    <w:p w14:paraId="74D12E84" w14:textId="32DEBBA6" w:rsidR="0045116D" w:rsidRPr="00FC1A1E" w:rsidRDefault="00F14613" w:rsidP="00FC1A1E">
      <w:pPr>
        <w:pStyle w:val="JuPara"/>
      </w:pPr>
      <w:fldSimple w:instr=" SEQ level0 \*arabic \* MERGEFORMAT ">
        <w:r w:rsidR="00FC1A1E" w:rsidRPr="00FC1A1E">
          <w:t>46</w:t>
        </w:r>
      </w:fldSimple>
      <w:r>
        <w:t xml:space="preserve">.  De asemenea, acesta face trimitere la Decizia Curții Constituționale din 23 februarie 2016 (supra, pct. </w:t>
      </w:r>
      <w:r w:rsidR="0045116D" w:rsidRPr="00FC1A1E">
        <w:fldChar w:fldCharType="begin"/>
      </w:r>
      <w:r w:rsidR="0045116D" w:rsidRPr="00FC1A1E">
        <w:instrText xml:space="preserve"> REF paragraph00030 \h  \* CharFormat </w:instrText>
      </w:r>
      <w:r w:rsidR="0045116D" w:rsidRPr="00FC1A1E">
        <w:fldChar w:fldCharType="separate"/>
      </w:r>
      <w:r w:rsidR="00FC1A1E" w:rsidRPr="00FC1A1E">
        <w:t>33</w:t>
      </w:r>
      <w:r w:rsidR="0045116D" w:rsidRPr="00FC1A1E">
        <w:fldChar w:fldCharType="end"/>
      </w:r>
      <w:r>
        <w:t xml:space="preserve">), în care înalta instanță a considerat că intenția legiuitorului a fost de a acorda instanțelor naționale o anumită marjă de apreciere pentru a le permite să stabilească, în funcție de circumstanțele particulare ale fiecărei cauze, dacă era constituită infracțiunea de camătă. Acesta adăugă faptul că această decizie este în conformitate cu jurisprudența Curții potrivit căreia formularea unei legi nu poate fi absolut precisă (citează, în această privință, hotărârea </w:t>
      </w:r>
      <w:r>
        <w:rPr>
          <w:i/>
          <w:iCs/>
        </w:rPr>
        <w:t>Cantoni împotriva Franței</w:t>
      </w:r>
      <w:r>
        <w:t>, 15 noiembrie 1996, pct. 31, Culegere de hotărâri și decizii, 1996-V).</w:t>
      </w:r>
    </w:p>
    <w:p w14:paraId="17F26355" w14:textId="77777777" w:rsidR="0045116D" w:rsidRPr="00FC1A1E" w:rsidRDefault="0045116D" w:rsidP="00FC1A1E">
      <w:pPr>
        <w:pStyle w:val="JuHA"/>
      </w:pPr>
      <w:r>
        <w:t>Reclamantul</w:t>
      </w:r>
    </w:p>
    <w:bookmarkStart w:id="36" w:name="paragraph00044"/>
    <w:p w14:paraId="52E2C73C" w14:textId="5AA996AB" w:rsidR="0045116D" w:rsidRPr="00FC1A1E" w:rsidRDefault="0045116D" w:rsidP="00FC1A1E">
      <w:pPr>
        <w:pStyle w:val="JuPara"/>
      </w:pPr>
      <w:r w:rsidRPr="00FC1A1E">
        <w:fldChar w:fldCharType="begin"/>
      </w:r>
      <w:r w:rsidRPr="00FC1A1E">
        <w:instrText xml:space="preserve"> SEQ level0 \*arabic \* MERGEFORMAT </w:instrText>
      </w:r>
      <w:r w:rsidRPr="00FC1A1E">
        <w:fldChar w:fldCharType="separate"/>
      </w:r>
      <w:r w:rsidR="00FC1A1E" w:rsidRPr="00FC1A1E">
        <w:t>47</w:t>
      </w:r>
      <w:r w:rsidRPr="00FC1A1E">
        <w:fldChar w:fldCharType="end"/>
      </w:r>
      <w:bookmarkEnd w:id="36"/>
      <w:r>
        <w:t>.  Reclamantul susține că termenul „ca îndeletnicire” este imprecis și lasă o marjă largă de apreciere instanțelor, făcând astfel ca legea să fie imprevizibilă. El susține că infracțiunea de camătă este o infracțiune de obicei și că aceasta presupune o repetare a actului material, pe care doctrina l-ar fi definit ca implicând efectuarea a cel puțin trei acte distincte. Acesta susține că, potrivit jurisprudenței constante, unul sau două acte materiale nu sunt suficiente pentru a caracteriza un „obicei” și, prin urmare, nu permit ca infracțiunea să fie considerată ca fiind constituită.</w:t>
      </w:r>
    </w:p>
    <w:p w14:paraId="5BBFED4B" w14:textId="368768A2" w:rsidR="0045116D" w:rsidRPr="00FC1A1E" w:rsidRDefault="00F14613" w:rsidP="00FC1A1E">
      <w:pPr>
        <w:pStyle w:val="JuPara"/>
      </w:pPr>
      <w:fldSimple w:instr=" SEQ level0 \*arabic \* MERGEFORMAT ">
        <w:r w:rsidR="00FC1A1E" w:rsidRPr="00FC1A1E">
          <w:t>48</w:t>
        </w:r>
      </w:fldSimple>
      <w:r>
        <w:t>.  Acesta susține, de asemenea, că activitatea de camătă a fost reincriminată abia în 2011, după ce fusese legală timp de 22 de ani, și că, la momentul săvârșirii infracțiunii, nu exista o practică clară în materie de camătă care să îi fi permis să știe că acțiunile sale ar putea fi calificate drept infracțiune. Acesta susține că decizia Curții Constituționale din 23 februarie 2016 nu poate constitui o clarificare a temeiului juridic, dat fiind faptul că aceasta fost pronunțată la mai mulți ani după producerea faptelor. În acest sens, adaugă că însăși această decizie confirma faptul că era necesară o pluralitate de acte materiale pentru ca infracțiunea să fie constituită.</w:t>
      </w:r>
    </w:p>
    <w:p w14:paraId="6CFF33AE" w14:textId="31789982" w:rsidR="0045116D" w:rsidRPr="00FC1A1E" w:rsidRDefault="00F14613" w:rsidP="00FC1A1E">
      <w:pPr>
        <w:pStyle w:val="JuPara"/>
      </w:pPr>
      <w:fldSimple w:instr=" SEQ level0 \*arabic \* MERGEFORMAT ">
        <w:bookmarkStart w:id="37" w:name="paragraph00046"/>
        <w:r w:rsidR="00FC1A1E" w:rsidRPr="00FC1A1E">
          <w:t>49</w:t>
        </w:r>
        <w:bookmarkEnd w:id="37"/>
      </w:fldSimple>
      <w:r>
        <w:t>.  Reclamantul susține că legea pedepsește fapta de a împrumuta bani și nu fapta de ajutor acordat celor care comit această infracțiune și că, hotărând în speță că ajutarea sau protecția cămătarilor este un act material al infracțiunii de camătă, instanțele naționale au aplicat legea penală în sens extins, în timp ce de fapt era vorba de un act de complicitate.</w:t>
      </w:r>
    </w:p>
    <w:p w14:paraId="156E8776" w14:textId="77777777" w:rsidR="0045116D" w:rsidRPr="00FC1A1E" w:rsidRDefault="0045116D" w:rsidP="00FC1A1E">
      <w:pPr>
        <w:pStyle w:val="JuHIRoman"/>
      </w:pPr>
      <w:r>
        <w:lastRenderedPageBreak/>
        <w:t>Motivarea Curții</w:t>
      </w:r>
    </w:p>
    <w:p w14:paraId="4C4F670C" w14:textId="77777777" w:rsidR="0045116D" w:rsidRPr="00FC1A1E" w:rsidRDefault="0045116D" w:rsidP="00FC1A1E">
      <w:pPr>
        <w:pStyle w:val="JuHA"/>
      </w:pPr>
      <w:r>
        <w:t>Principiile aplicabile</w:t>
      </w:r>
    </w:p>
    <w:p w14:paraId="1D312582" w14:textId="5B7D122C" w:rsidR="0045116D" w:rsidRPr="00FC1A1E" w:rsidRDefault="0045116D" w:rsidP="00FC1A1E">
      <w:pPr>
        <w:pStyle w:val="JuPara"/>
      </w:pPr>
      <w:fldSimple w:instr=" SEQ level0 \*arabic ">
        <w:r w:rsidR="00FC1A1E" w:rsidRPr="00FC1A1E">
          <w:t>50</w:t>
        </w:r>
      </w:fldSimple>
      <w:r>
        <w:t>.  Art. 7 nu interzice doar aplicarea retroactivă a legii penale în detrimentul acuzatului: acesta consacră, de asemenea, de o manieră generală, principiul legalității infracțiunilor și pedepselor (</w:t>
      </w:r>
      <w:r>
        <w:rPr>
          <w:i/>
          <w:iCs/>
        </w:rPr>
        <w:t>nullum crimen, nulla poena sine lege</w:t>
      </w:r>
      <w:r>
        <w:t>) și principiul potrivit căruia legea penală nu ar trebui să fie aplicată în mod extensiv în detrimentul acuzatului, în special prin analogie [</w:t>
      </w:r>
      <w:r>
        <w:rPr>
          <w:i/>
        </w:rPr>
        <w:t>Del Río Prada împotriva Spaniei</w:t>
      </w:r>
      <w:r>
        <w:t xml:space="preserve"> (MC), nr. 42750/09, pct. 78, CEDO 2013, </w:t>
      </w:r>
      <w:r>
        <w:rPr>
          <w:i/>
        </w:rPr>
        <w:t>Vasiliauskas împotriva Lituaniei</w:t>
      </w:r>
      <w:r>
        <w:t xml:space="preserve"> (MC) nr. 35343/05, pct. 154, CEDO 2015 și </w:t>
      </w:r>
      <w:r>
        <w:rPr>
          <w:i/>
        </w:rPr>
        <w:t>Kokkinakis împotriva Greciei</w:t>
      </w:r>
      <w:r>
        <w:t>, 25 mai 1993, pct. 52, seria A nr. 260</w:t>
      </w:r>
      <w:r>
        <w:noBreakHyphen/>
        <w:t>A)]</w:t>
      </w:r>
    </w:p>
    <w:p w14:paraId="3763D346" w14:textId="096A1718" w:rsidR="0045116D" w:rsidRPr="00FC1A1E" w:rsidRDefault="0045116D" w:rsidP="00FC1A1E">
      <w:pPr>
        <w:pStyle w:val="JuPara"/>
      </w:pPr>
      <w:fldSimple w:instr=" SEQ level0 \*arabic ">
        <w:r w:rsidR="00FC1A1E" w:rsidRPr="00FC1A1E">
          <w:t>51</w:t>
        </w:r>
      </w:fldSimple>
      <w:r>
        <w:t xml:space="preserve">.  Tocmai prin prisma caracterului general al legilor, formularea acestora nu poate prezenta o precizie absolută. Una dintre tehnicile standard de reglementare constă în a recurge mai degrabă la categorii generale decât la liste exhaustive. Prin urmare, multe legi sunt în mod necesar formulate în termeni mai mult sau mai puțin vagi, a căror interpretare și aplicare depind de practică [a se vedea </w:t>
      </w:r>
      <w:r>
        <w:rPr>
          <w:i/>
          <w:iCs/>
        </w:rPr>
        <w:t>Kokkinakis</w:t>
      </w:r>
      <w:r>
        <w:t xml:space="preserve">, citată anterior, pct. 40, </w:t>
      </w:r>
      <w:r>
        <w:rPr>
          <w:i/>
          <w:iCs/>
        </w:rPr>
        <w:t>Del Río Prada</w:t>
      </w:r>
      <w:r>
        <w:t xml:space="preserve">, citată anterior, pct. 92, și </w:t>
      </w:r>
      <w:r>
        <w:rPr>
          <w:i/>
          <w:iCs/>
        </w:rPr>
        <w:t>Aviz consultativ privind aplicabilitatea termenului de prescripție la urmărirea penală, condamnarea și pedepsirea infracțiunilor care constituie, în esență, acte de tortură</w:t>
      </w:r>
      <w:r>
        <w:t xml:space="preserve"> (MC), cererea nr. P16</w:t>
      </w:r>
      <w:r>
        <w:noBreakHyphen/>
        <w:t>2021</w:t>
      </w:r>
      <w:r>
        <w:noBreakHyphen/>
        <w:t>001, Curtea de Casație a Armeniei, pct. 67, 26 aprilie 2022].</w:t>
      </w:r>
    </w:p>
    <w:p w14:paraId="04254B74" w14:textId="7F9A6F34" w:rsidR="0045116D" w:rsidRPr="00FC1A1E" w:rsidRDefault="0045116D" w:rsidP="00FC1A1E">
      <w:pPr>
        <w:pStyle w:val="JuPara"/>
      </w:pPr>
      <w:fldSimple w:instr=" SEQ level0 \*arabic ">
        <w:r w:rsidR="00FC1A1E" w:rsidRPr="00FC1A1E">
          <w:t>52</w:t>
        </w:r>
      </w:fldSimple>
      <w:r>
        <w:t>.  Sfera de aplicare a noțiunii de previzibilitate depinde în mare măsură de conținutul textului despre care este vorba, de domeniul pe care îl acoperă, precum și de numărul și de calitatea destinatarilor săi. Previzibilitatea legii nu se opune ca persoana în cauză să recurgă la sfaturile unor experți pentru a evalua, într-o măsură rezonabilă în circumstanțele cauzei, consecințele care ar putea să decurgă dintr-un act determinat (</w:t>
      </w:r>
      <w:r>
        <w:rPr>
          <w:i/>
        </w:rPr>
        <w:t xml:space="preserve">Vasiliauskas, </w:t>
      </w:r>
      <w:r>
        <w:t>citată anterior, pct. 157).</w:t>
      </w:r>
    </w:p>
    <w:p w14:paraId="4C64508C" w14:textId="4EBE1C67" w:rsidR="0045116D" w:rsidRPr="00FC1A1E" w:rsidRDefault="0045116D" w:rsidP="00FC1A1E">
      <w:pPr>
        <w:pStyle w:val="JuPara"/>
      </w:pPr>
      <w:fldSimple w:instr=" SEQ level0 \*arabic ">
        <w:r w:rsidR="00FC1A1E" w:rsidRPr="00FC1A1E">
          <w:t>53</w:t>
        </w:r>
      </w:fldSimple>
      <w:r>
        <w:t xml:space="preserve">.  În orice sistem juridic, oricât de clar ar fi formulată o dispoziție legislativă, inclusiv o dispoziție de drept penal, în mod inevitabil există un element de interpretare judiciară. Întotdeauna va exista necesitatea de elucidare a aspectelor echivoce și de adaptare la schimbările de situație. În plus, certitudinea, deși extrem de dezirabilă, este însoțită uneori de o rigiditate excesivă, însă dreptul trebuie să știe să se adapteze la schimbările de situație (a se vedea </w:t>
      </w:r>
      <w:r>
        <w:rPr>
          <w:i/>
          <w:iCs/>
        </w:rPr>
        <w:t>Del Río Prada</w:t>
      </w:r>
      <w:r>
        <w:t xml:space="preserve">, citată anterior, nr. 92, și </w:t>
      </w:r>
      <w:r>
        <w:rPr>
          <w:i/>
          <w:iCs/>
        </w:rPr>
        <w:t>Parmak și Bakır împotriva Turciei</w:t>
      </w:r>
      <w:r>
        <w:t>, nr. 22429/07 și 25195/07, pct. 59, 3 decembrie 2019). De altfel, în tradiția juridică a statelor părți la Convenție este consacrat faptul că jurisprudența contribuie în mod necesar la evoluția progresivă a dreptului penal. Art. 7 din Convenție nu poate fi interpretat ca interzicând clarificarea progresivă a normelor privind răspunderea penală prin interpretarea judiciară a fiecărei cauze în parte, cu condiția ca rezultatul să fie coerent cu substanța infracțiunii și previzibil în mod rezonabil [</w:t>
      </w:r>
      <w:r>
        <w:rPr>
          <w:i/>
        </w:rPr>
        <w:t>S.W. împotriva Regatului Unit</w:t>
      </w:r>
      <w:r>
        <w:t>, 22 noiembrie 1995, pct. 36, seria A nr.</w:t>
      </w:r>
      <w:r>
        <w:rPr>
          <w:vertAlign w:val="superscript"/>
        </w:rPr>
        <w:t>o</w:t>
      </w:r>
      <w:r>
        <w:t>335</w:t>
      </w:r>
      <w:r>
        <w:noBreakHyphen/>
        <w:t xml:space="preserve">B, </w:t>
      </w:r>
      <w:r>
        <w:rPr>
          <w:i/>
        </w:rPr>
        <w:t xml:space="preserve">Streletz, Kessler și Krenz </w:t>
      </w:r>
      <w:r>
        <w:rPr>
          <w:i/>
        </w:rPr>
        <w:lastRenderedPageBreak/>
        <w:t>împotriva Germaniei</w:t>
      </w:r>
      <w:r>
        <w:t xml:space="preserve"> (MC), nr. 34044/96 și alte două , pct. 50, CEDO 2001</w:t>
      </w:r>
      <w:r>
        <w:noBreakHyphen/>
        <w:t xml:space="preserve">II și </w:t>
      </w:r>
      <w:r>
        <w:rPr>
          <w:i/>
        </w:rPr>
        <w:t>Vasiliauskas</w:t>
      </w:r>
      <w:r>
        <w:t xml:space="preserve">, citată anterior, pct. 155]. </w:t>
      </w:r>
    </w:p>
    <w:p w14:paraId="65F4192F" w14:textId="6E46316D" w:rsidR="0045116D" w:rsidRPr="00FC1A1E" w:rsidRDefault="00F14613" w:rsidP="00FC1A1E">
      <w:pPr>
        <w:pStyle w:val="JuPara"/>
      </w:pPr>
      <w:fldSimple w:instr=" SEQ level0 \*arabic \* MERGEFORMAT ">
        <w:r w:rsidR="00FC1A1E" w:rsidRPr="00FC1A1E">
          <w:t>54</w:t>
        </w:r>
      </w:fldSimple>
      <w:r>
        <w:t>.  În sfârșit, ținând seama de caracterul subsidiar al sistemului Convenției, nu este de competența Curții să se pronunțe cu privire la erorile de fapt sau de drept pretins comise de o instanță, decât dacă și în măsura în care acestea ar fi putut să încalce drepturile și libertățile protejate de Convenție și dacă aprecierea instanțelor naționale este în mod vădit arbitrară [</w:t>
      </w:r>
      <w:r>
        <w:rPr>
          <w:i/>
        </w:rPr>
        <w:t>Kononov împotriva Letoniei</w:t>
      </w:r>
      <w:r>
        <w:t xml:space="preserve"> (MC), nr. 36376/04, pct. 189, CEDO 2010 ]. Cu toate acestea, Curtea trebuie să dispună de o competență de control mai largă atunci când dreptul protejat de o dispoziție a Convenției, în acest caz art. 7, necesită existența unui temei legal pentru impunerea unei condamnări și aplicarea unei pedepse. Art. 7 § 1 impune Curții să cerceteze dacă, în speță, condamnarea reclamantului avea, la momentul respectiv, un temei legal. În special, trebuie să se asigure de faptul că rezultatul la care au ajuns instanțele interne competente este în conformitate cu art. 7 din Convenție.</w:t>
      </w:r>
    </w:p>
    <w:p w14:paraId="360E64FA" w14:textId="312D4D0E" w:rsidR="0045116D" w:rsidRPr="00FC1A1E" w:rsidRDefault="0045116D" w:rsidP="00FC1A1E">
      <w:pPr>
        <w:pStyle w:val="JuHA"/>
      </w:pPr>
      <w:r>
        <w:t>Aplicarea acestor principii în prezenta cauză</w:t>
      </w:r>
    </w:p>
    <w:p w14:paraId="61449E5D" w14:textId="0F62D056" w:rsidR="0045116D" w:rsidRPr="00FC1A1E" w:rsidRDefault="00F14613" w:rsidP="00FC1A1E">
      <w:pPr>
        <w:pStyle w:val="JuPara"/>
      </w:pPr>
      <w:fldSimple w:instr=" SEQ level0 \*arabic \* MERGEFORMAT ">
        <w:r w:rsidR="00FC1A1E" w:rsidRPr="00FC1A1E">
          <w:t>55</w:t>
        </w:r>
      </w:fldSimple>
      <w:r>
        <w:t>.  Curtea trebuie să analizeze dacă, în speță, formularea dispoziției legale care interzice cămătăria ar putea fi considerată suficient de previzibilă pentru a fi interpretată în mod literal în conformitate cu spiritul legii și pentru a permite reclamantului să prevadă ce comportament ar fi susceptibil de a fi urmărit penal ca infracțiune de camătă. Cu titlu preliminar, Curtea reține că, pentru a stabili existența infracțiunii de camătă, tribunalul a luat în considerare ca acte materiale împrumutul de bani cu dobândă, precum și sprijinul și protecția acordată în schimbul unei părți din dobânda încasată unor terți care au săvârșit ei înșiși infracțiunea de camătă (</w:t>
      </w:r>
      <w:r>
        <w:rPr>
          <w:i/>
          <w:iCs/>
        </w:rPr>
        <w:t>supra</w:t>
      </w:r>
      <w:r>
        <w:t xml:space="preserve">, pct. </w:t>
      </w:r>
      <w:r w:rsidR="0045116D" w:rsidRPr="00FC1A1E">
        <w:fldChar w:fldCharType="begin"/>
      </w:r>
      <w:r w:rsidR="0045116D" w:rsidRPr="00FC1A1E">
        <w:instrText xml:space="preserve"> REF paragraph00013 \h  \* CharFormat </w:instrText>
      </w:r>
      <w:r w:rsidR="0045116D" w:rsidRPr="00FC1A1E">
        <w:fldChar w:fldCharType="separate"/>
      </w:r>
      <w:r w:rsidR="00FC1A1E" w:rsidRPr="00FC1A1E">
        <w:t>15</w:t>
      </w:r>
      <w:r w:rsidR="0045116D" w:rsidRPr="00FC1A1E">
        <w:fldChar w:fldCharType="end"/>
      </w:r>
      <w:r>
        <w:t>).</w:t>
      </w:r>
    </w:p>
    <w:p w14:paraId="207C43EF" w14:textId="77777777" w:rsidR="0045116D" w:rsidRPr="00FC1A1E" w:rsidRDefault="0045116D" w:rsidP="00FC1A1E">
      <w:pPr>
        <w:pStyle w:val="JuH1"/>
      </w:pPr>
      <w:r>
        <w:rPr>
          <w:snapToGrid w:val="0"/>
        </w:rPr>
        <w:t>Cu privire la capătul de cerere potrivit căruia legea penală a fost aplicată în mod extensiv</w:t>
      </w:r>
    </w:p>
    <w:bookmarkStart w:id="38" w:name="paragraph00053"/>
    <w:p w14:paraId="5A46DBC0" w14:textId="753F9268" w:rsidR="0045116D" w:rsidRPr="00FC1A1E" w:rsidRDefault="0045116D" w:rsidP="00FC1A1E">
      <w:pPr>
        <w:pStyle w:val="JuPara"/>
      </w:pPr>
      <w:r w:rsidRPr="00FC1A1E">
        <w:fldChar w:fldCharType="begin"/>
      </w:r>
      <w:r w:rsidRPr="00FC1A1E">
        <w:instrText xml:space="preserve"> SEQ level0 \*arabic \* MERGEFORMAT </w:instrText>
      </w:r>
      <w:r w:rsidRPr="00FC1A1E">
        <w:fldChar w:fldCharType="separate"/>
      </w:r>
      <w:r w:rsidR="00FC1A1E" w:rsidRPr="00FC1A1E">
        <w:t>56</w:t>
      </w:r>
      <w:r w:rsidRPr="00FC1A1E">
        <w:fldChar w:fldCharType="end"/>
      </w:r>
      <w:bookmarkEnd w:id="38"/>
      <w:r>
        <w:t>.  Curtea observă că, condamnarea penală a reclamantului pentru camătă s-a întemeiat pe art. 3 din Legea nr. 2016/2011, care a definit această infracțiune ca fiind „darea de bani [...] ca îndeletnicire, de către o persoană neautorizată”.  Persoana în cauză contestă motivarea instanțelor naționale potrivit căreia faptul de a proteja și de a facilita recuperarea sumelor împrumutate de terți cămătari – conduită luată în considerare de aceste instanțe la condamnarea sa – ar putea constitui un act sancționabil în temeiul legii care reglementează activitatea de camătă. Curtea reține că, în observațiile sale, acesta susține că, dimpotrivă, ajutorul acordat altor cămătari ar putea constitui complicitate la un act de camătă comis de terți (</w:t>
      </w:r>
      <w:r>
        <w:rPr>
          <w:i/>
          <w:iCs/>
        </w:rPr>
        <w:t>supra</w:t>
      </w:r>
      <w:r>
        <w:t xml:space="preserve">, pct. </w:t>
      </w:r>
      <w:r w:rsidRPr="00FC1A1E">
        <w:fldChar w:fldCharType="begin"/>
      </w:r>
      <w:r w:rsidRPr="00FC1A1E">
        <w:instrText xml:space="preserve"> REF paragraph00046 \h  \* CharFormat </w:instrText>
      </w:r>
      <w:r w:rsidRPr="00FC1A1E">
        <w:fldChar w:fldCharType="separate"/>
      </w:r>
      <w:r w:rsidR="00FC1A1E" w:rsidRPr="00FC1A1E">
        <w:t>49</w:t>
      </w:r>
      <w:r w:rsidRPr="00FC1A1E">
        <w:fldChar w:fldCharType="end"/>
      </w:r>
      <w:r>
        <w:t>).</w:t>
      </w:r>
    </w:p>
    <w:p w14:paraId="50B1886B" w14:textId="559F0DDD" w:rsidR="0045116D" w:rsidRPr="00FC1A1E" w:rsidRDefault="00F14613" w:rsidP="00FC1A1E">
      <w:pPr>
        <w:pStyle w:val="JuPara"/>
      </w:pPr>
      <w:fldSimple w:instr=" SEQ level0 \*arabic \* MERGEFORMAT ">
        <w:r w:rsidR="00FC1A1E" w:rsidRPr="00FC1A1E">
          <w:t>57</w:t>
        </w:r>
      </w:fldSimple>
      <w:r>
        <w:t xml:space="preserve">.  Curtea trebuie să analizeze dacă, în speță, instanțele naționale au interpretat de manieră prea extinsă art. 3 din legea care interzice cămătăria. În acest sens, constată că, în general, formularea legii prevedea că „darea de </w:t>
      </w:r>
      <w:r>
        <w:lastRenderedPageBreak/>
        <w:t>bani cu dobândă [...] constituie infracțiune”, fără a preciza conduita pasibilă de pedeapsă pentru participația la săvârșirea infracțiunii de camătă. Cu toate acestea, Curtea consideră că este necesar să se citească textul care definește infracțiunea în contextul dreptului penal, ale cărui dispoziții generale descriu diferitele forme pe care le poate lua participația la săvârșirea unei infracțiuni (</w:t>
      </w:r>
      <w:r>
        <w:rPr>
          <w:i/>
          <w:iCs/>
        </w:rPr>
        <w:t>supra</w:t>
      </w:r>
      <w:r>
        <w:t>, pct. </w:t>
      </w:r>
      <w:r w:rsidR="0045116D" w:rsidRPr="00FC1A1E">
        <w:fldChar w:fldCharType="begin"/>
      </w:r>
      <w:r w:rsidR="0045116D" w:rsidRPr="00FC1A1E">
        <w:instrText xml:space="preserve"> REF P31 \h </w:instrText>
      </w:r>
      <w:r w:rsidR="00CA4E6C" w:rsidRPr="00FC1A1E">
        <w:instrText xml:space="preserve"> \* MERGEFORMAT </w:instrText>
      </w:r>
      <w:r w:rsidR="0045116D" w:rsidRPr="00FC1A1E">
        <w:fldChar w:fldCharType="separate"/>
      </w:r>
      <w:r w:rsidR="00FC1A1E" w:rsidRPr="00FC1A1E">
        <w:t>31</w:t>
      </w:r>
      <w:r w:rsidR="0045116D" w:rsidRPr="00FC1A1E">
        <w:fldChar w:fldCharType="end"/>
      </w:r>
      <w:r>
        <w:t xml:space="preserve">). </w:t>
      </w:r>
    </w:p>
    <w:p w14:paraId="3C7810AD" w14:textId="3993264E" w:rsidR="0045116D" w:rsidRPr="00FC1A1E" w:rsidRDefault="00F14613" w:rsidP="00FC1A1E">
      <w:pPr>
        <w:pStyle w:val="JuPara"/>
      </w:pPr>
      <w:fldSimple w:instr=" SEQ level0 \*arabic \* MERGEFORMAT ">
        <w:r w:rsidR="00FC1A1E" w:rsidRPr="00FC1A1E">
          <w:t>58</w:t>
        </w:r>
      </w:fldSimple>
      <w:r>
        <w:t>.  În continuare, Curtea trebuie să analizeze dacă reclamantul ar fi putut să prevadă la momentul respectiv, la nevoie prin consiliere de specialitate, că asigurând protecție și ajutând cămătarii să recupereze sumele pe care le-au dat cu împrumut și dobânzile aferente în schimbul unei părți din aceste dobânzi, risca să fie condamnat în temeiul art. 3 din Legea nr. 216/2011. În acest sens, constată că, în cadrul examinării cauzei reclamantului, parchetul și tribunalul au ținut seama de faptul că reclamantul oferea protecție și ajuta terții cămătari să recupereze sumele pe care aceștia le împrumutaseră și că obținea beneficii personale de pe urma acestora (</w:t>
      </w:r>
      <w:r>
        <w:rPr>
          <w:i/>
          <w:iCs/>
        </w:rPr>
        <w:t>supra</w:t>
      </w:r>
      <w:r>
        <w:t xml:space="preserve">, pct. </w:t>
      </w:r>
      <w:r w:rsidR="0045116D" w:rsidRPr="00FC1A1E">
        <w:fldChar w:fldCharType="begin"/>
      </w:r>
      <w:r w:rsidR="0045116D" w:rsidRPr="00FC1A1E">
        <w:instrText xml:space="preserve">REF paragraph00006 \h \* CharFormat  \* MERGEFORMAT </w:instrText>
      </w:r>
      <w:r w:rsidR="0045116D" w:rsidRPr="00FC1A1E">
        <w:fldChar w:fldCharType="separate"/>
      </w:r>
      <w:r w:rsidR="00FC1A1E" w:rsidRPr="00FC1A1E">
        <w:t>6</w:t>
      </w:r>
      <w:r w:rsidR="0045116D" w:rsidRPr="00FC1A1E">
        <w:fldChar w:fldCharType="end"/>
      </w:r>
      <w:r>
        <w:t xml:space="preserve"> și </w:t>
      </w:r>
      <w:r w:rsidR="0045116D" w:rsidRPr="00FC1A1E">
        <w:fldChar w:fldCharType="begin"/>
      </w:r>
      <w:r w:rsidR="0045116D" w:rsidRPr="00FC1A1E">
        <w:instrText xml:space="preserve">REF paragraph00013 \h \* CharFormat  \* MERGEFORMAT </w:instrText>
      </w:r>
      <w:r w:rsidR="0045116D" w:rsidRPr="00FC1A1E">
        <w:fldChar w:fldCharType="separate"/>
      </w:r>
      <w:r w:rsidR="00FC1A1E" w:rsidRPr="00FC1A1E">
        <w:t>15</w:t>
      </w:r>
      <w:r w:rsidR="0045116D" w:rsidRPr="00FC1A1E">
        <w:fldChar w:fldCharType="end"/>
      </w:r>
      <w:r>
        <w:t>). Reclamantul s-a plâns în acest sens instanțelor superioare, care au răspuns plângerii sale explicând structura infracțiunii, precizând că orice formă de disimulare a camătăi era sancționată penal (</w:t>
      </w:r>
      <w:r>
        <w:rPr>
          <w:i/>
          <w:iCs/>
        </w:rPr>
        <w:t>supra</w:t>
      </w:r>
      <w:r>
        <w:t xml:space="preserve">, pct. </w:t>
      </w:r>
      <w:r w:rsidR="0045116D" w:rsidRPr="00FC1A1E">
        <w:fldChar w:fldCharType="begin"/>
      </w:r>
      <w:r w:rsidR="0045116D" w:rsidRPr="00FC1A1E">
        <w:instrText xml:space="preserve">REF paragraph00019 \h \* CharFormat </w:instrText>
      </w:r>
      <w:r w:rsidR="0045116D" w:rsidRPr="00FC1A1E">
        <w:fldChar w:fldCharType="separate"/>
      </w:r>
      <w:r w:rsidR="00FC1A1E" w:rsidRPr="00FC1A1E">
        <w:t>21</w:t>
      </w:r>
      <w:r w:rsidR="0045116D" w:rsidRPr="00FC1A1E">
        <w:fldChar w:fldCharType="end"/>
      </w:r>
      <w:r>
        <w:t>) și observând că acuzațiile sale nu făceau decât să pună în discuție stabilirea de către instanțele de fond a elementelor constitutive ale infracțiunii (</w:t>
      </w:r>
      <w:r>
        <w:rPr>
          <w:i/>
          <w:iCs/>
        </w:rPr>
        <w:t>supra</w:t>
      </w:r>
      <w:r>
        <w:t xml:space="preserve">, pct. </w:t>
      </w:r>
      <w:r w:rsidR="0045116D" w:rsidRPr="00FC1A1E">
        <w:fldChar w:fldCharType="begin"/>
      </w:r>
      <w:r w:rsidR="0045116D" w:rsidRPr="00FC1A1E">
        <w:instrText xml:space="preserve"> REF paragraph00023 \h  \* CharFormat  \* MERGEFORMAT </w:instrText>
      </w:r>
      <w:r w:rsidR="0045116D" w:rsidRPr="00FC1A1E">
        <w:fldChar w:fldCharType="separate"/>
      </w:r>
      <w:r w:rsidR="00FC1A1E" w:rsidRPr="00FC1A1E">
        <w:t>25</w:t>
      </w:r>
      <w:r w:rsidR="0045116D" w:rsidRPr="00FC1A1E">
        <w:fldChar w:fldCharType="end"/>
      </w:r>
      <w:r>
        <w:t>). Prin urmare, reiese implicit din raționamentul curții de apel, care a confirmat hotărârea din 12 mai 2016 (</w:t>
      </w:r>
      <w:r>
        <w:rPr>
          <w:i/>
          <w:iCs/>
        </w:rPr>
        <w:t>supra</w:t>
      </w:r>
      <w:r>
        <w:t xml:space="preserve">, pct. </w:t>
      </w:r>
      <w:r w:rsidR="0045116D" w:rsidRPr="00FC1A1E">
        <w:fldChar w:fldCharType="begin"/>
      </w:r>
      <w:r w:rsidR="0045116D" w:rsidRPr="00FC1A1E">
        <w:instrText xml:space="preserve">REF paragraph00018 \h \* CharFormat </w:instrText>
      </w:r>
      <w:r w:rsidR="0045116D" w:rsidRPr="00FC1A1E">
        <w:fldChar w:fldCharType="separate"/>
      </w:r>
      <w:r w:rsidR="00FC1A1E" w:rsidRPr="00FC1A1E">
        <w:t>20</w:t>
      </w:r>
      <w:r w:rsidR="0045116D" w:rsidRPr="00FC1A1E">
        <w:fldChar w:fldCharType="end"/>
      </w:r>
      <w:r>
        <w:t>-</w:t>
      </w:r>
      <w:r w:rsidR="0045116D" w:rsidRPr="00FC1A1E">
        <w:fldChar w:fldCharType="begin"/>
      </w:r>
      <w:r w:rsidR="0045116D" w:rsidRPr="00FC1A1E">
        <w:instrText xml:space="preserve">REF paragraph00020 \h \* CharFormat </w:instrText>
      </w:r>
      <w:r w:rsidR="0045116D" w:rsidRPr="00FC1A1E">
        <w:fldChar w:fldCharType="separate"/>
      </w:r>
      <w:r w:rsidR="00FC1A1E" w:rsidRPr="00FC1A1E">
        <w:t>22</w:t>
      </w:r>
      <w:r w:rsidR="0045116D" w:rsidRPr="00FC1A1E">
        <w:fldChar w:fldCharType="end"/>
      </w:r>
      <w:r>
        <w:t>), că, în interpretarea sa, curtea de apel a ținut într-adevăr seama de circumstanțele particulare ale situației în speță și a luat în considerare elementul material al infracțiunii.</w:t>
      </w:r>
    </w:p>
    <w:p w14:paraId="65248D65" w14:textId="7398F3F6" w:rsidR="0045116D" w:rsidRPr="00FC1A1E" w:rsidRDefault="00F14613" w:rsidP="00FC1A1E">
      <w:pPr>
        <w:pStyle w:val="JuPara"/>
      </w:pPr>
      <w:fldSimple w:instr=" SEQ level0 \*arabic \* MERGEFORMAT ">
        <w:r w:rsidR="00FC1A1E" w:rsidRPr="00FC1A1E">
          <w:t>59</w:t>
        </w:r>
      </w:fldSimple>
      <w:r>
        <w:t xml:space="preserve">.  Curtea a observat că, în acest caz, tribunalul a trebuit să se pronunțe asupra unei noi situații de fapt și să determine elementele relevante pentru a stabili dovada caracterului de îndeletnicire a activității reclamantului, chiar mai înainte ca să aducă clarificări Curtea Constituțională. Cu toate acestea, Curtea reamintește că, atunci când instanțele interne trebuie să interpreteze pentru prima dată o dispoziție de drept penal, o interpretare a domeniului de aplicare al unei infracțiuni care să fie în concordanță cu substanța acelei infracțiuni trebuie, în principiu, să fie considerată ca previzibilă (a se vedea, </w:t>
      </w:r>
      <w:r>
        <w:rPr>
          <w:i/>
          <w:iCs/>
        </w:rPr>
        <w:t>mutatis mutandis</w:t>
      </w:r>
      <w:r>
        <w:t xml:space="preserve">, </w:t>
      </w:r>
      <w:r>
        <w:rPr>
          <w:i/>
          <w:iCs/>
        </w:rPr>
        <w:t>Jorgic împotriva Germaniei</w:t>
      </w:r>
      <w:r>
        <w:t xml:space="preserve">, nr. 74613/01, pct. 109, CEDO 2007-III, și </w:t>
      </w:r>
      <w:r>
        <w:rPr>
          <w:i/>
          <w:iCs/>
        </w:rPr>
        <w:t>Huhtamäki împotriva Finlandei</w:t>
      </w:r>
      <w:r>
        <w:t>, nr. 54468/09, pct. 51, 6 martie 2012).</w:t>
      </w:r>
    </w:p>
    <w:p w14:paraId="46513FA5" w14:textId="4FE52D61" w:rsidR="0045116D" w:rsidRPr="00FC1A1E" w:rsidRDefault="00F14613" w:rsidP="00FC1A1E">
      <w:pPr>
        <w:pStyle w:val="JuPara"/>
      </w:pPr>
      <w:fldSimple w:instr=" SEQ level0 \*arabic \* MERGEFORMAT ">
        <w:r w:rsidR="00FC1A1E" w:rsidRPr="00FC1A1E">
          <w:t>60</w:t>
        </w:r>
      </w:fldSimple>
      <w:r>
        <w:t>.  Curtea reține faptul că Guvernul susține că infracțiunea de camătă trebuie să fie privită ca o infracțiune continuă și că aceasta se consumă doar atunci când dobânda a fost plătită (</w:t>
      </w:r>
      <w:r>
        <w:rPr>
          <w:i/>
          <w:iCs/>
        </w:rPr>
        <w:t>supra</w:t>
      </w:r>
      <w:r>
        <w:t>, pct.</w:t>
      </w:r>
      <w:r w:rsidR="0045116D" w:rsidRPr="00FC1A1E">
        <w:fldChar w:fldCharType="begin"/>
      </w:r>
      <w:r w:rsidR="0045116D" w:rsidRPr="00FC1A1E">
        <w:instrText xml:space="preserve">REF paragraph00042 \h \* CharFormat </w:instrText>
      </w:r>
      <w:r w:rsidR="0045116D" w:rsidRPr="00FC1A1E">
        <w:fldChar w:fldCharType="separate"/>
      </w:r>
      <w:r w:rsidR="00FC1A1E" w:rsidRPr="00FC1A1E">
        <w:t>45</w:t>
      </w:r>
      <w:r w:rsidR="0045116D" w:rsidRPr="00FC1A1E">
        <w:fldChar w:fldCharType="end"/>
      </w:r>
      <w:r>
        <w:t xml:space="preserve">). Aceasta reamintește că, în cazul în care o persoană e acuzată de săvârșirea unei infracțiuni continue, principiul securității juridice impune ca elementele constitutive ale infracțiunii, care angajează răspunderea penală a persoanei în cauză, să fie clar enunțate în rechizitoriu. În plus, în decizia instanțelor interne trebuie să se precizeze că pedeapsa aplicată și condamnarea inculpatului se întemeiază pe constatarea că în rechizitoriu s-a stabilit existența elementelor constitutive </w:t>
      </w:r>
      <w:r>
        <w:lastRenderedPageBreak/>
        <w:t>ale infracțiunii continue (</w:t>
      </w:r>
      <w:r>
        <w:rPr>
          <w:i/>
        </w:rPr>
        <w:t>Ecer și Zeyrek împotriva Turciei</w:t>
      </w:r>
      <w:r>
        <w:t>, nr. 29295/95 și 29363/95, pct. 33, CEDO 2001-II). În speță, în primul rând, elementele constitutive ale infracțiunii care au angajat răspunderea penală a persoanei în cauză au fost clar expuse în rechizitoriu (</w:t>
      </w:r>
      <w:r>
        <w:rPr>
          <w:i/>
          <w:iCs/>
        </w:rPr>
        <w:t>supra</w:t>
      </w:r>
      <w:r>
        <w:t xml:space="preserve">, pct. </w:t>
      </w:r>
      <w:r w:rsidR="0045116D" w:rsidRPr="00FC1A1E">
        <w:fldChar w:fldCharType="begin"/>
      </w:r>
      <w:r w:rsidR="0045116D" w:rsidRPr="00FC1A1E">
        <w:instrText xml:space="preserve">REF paragraph00006 \h \* CharFormat  \* MERGEFORMAT </w:instrText>
      </w:r>
      <w:r w:rsidR="0045116D" w:rsidRPr="00FC1A1E">
        <w:fldChar w:fldCharType="separate"/>
      </w:r>
      <w:r w:rsidR="00FC1A1E" w:rsidRPr="00FC1A1E">
        <w:t>6</w:t>
      </w:r>
      <w:r w:rsidR="0045116D" w:rsidRPr="00FC1A1E">
        <w:fldChar w:fldCharType="end"/>
      </w:r>
      <w:r>
        <w:t xml:space="preserve"> și </w:t>
      </w:r>
      <w:r w:rsidR="0045116D" w:rsidRPr="00FC1A1E">
        <w:fldChar w:fldCharType="begin"/>
      </w:r>
      <w:r w:rsidR="0045116D" w:rsidRPr="00FC1A1E">
        <w:instrText xml:space="preserve">REF paragraph00007 \h \* CharFormat  \* MERGEFORMAT </w:instrText>
      </w:r>
      <w:r w:rsidR="0045116D" w:rsidRPr="00FC1A1E">
        <w:fldChar w:fldCharType="separate"/>
      </w:r>
      <w:r w:rsidR="00FC1A1E" w:rsidRPr="00FC1A1E">
        <w:t>7</w:t>
      </w:r>
      <w:r w:rsidR="0045116D" w:rsidRPr="00FC1A1E">
        <w:fldChar w:fldCharType="end"/>
      </w:r>
      <w:r>
        <w:t>) și, în al doilea rând, instanțele naționale au stabilit existența elementelor constitutive ale infracțiunii (</w:t>
      </w:r>
      <w:r>
        <w:rPr>
          <w:i/>
          <w:iCs/>
        </w:rPr>
        <w:t>supra</w:t>
      </w:r>
      <w:r>
        <w:t xml:space="preserve">, pct. </w:t>
      </w:r>
      <w:r w:rsidR="0045116D" w:rsidRPr="00FC1A1E">
        <w:fldChar w:fldCharType="begin"/>
      </w:r>
      <w:r w:rsidR="0045116D" w:rsidRPr="00FC1A1E">
        <w:instrText xml:space="preserve">REF paragraph00013 \h \* CharFormat </w:instrText>
      </w:r>
      <w:r w:rsidR="0045116D" w:rsidRPr="00FC1A1E">
        <w:fldChar w:fldCharType="separate"/>
      </w:r>
      <w:r w:rsidR="00FC1A1E" w:rsidRPr="00FC1A1E">
        <w:t>15</w:t>
      </w:r>
      <w:r w:rsidR="0045116D" w:rsidRPr="00FC1A1E">
        <w:fldChar w:fldCharType="end"/>
      </w:r>
      <w:r>
        <w:t xml:space="preserve"> și </w:t>
      </w:r>
      <w:r w:rsidR="0045116D" w:rsidRPr="00FC1A1E">
        <w:fldChar w:fldCharType="begin"/>
      </w:r>
      <w:r w:rsidR="0045116D" w:rsidRPr="00FC1A1E">
        <w:instrText xml:space="preserve">REF paragraph00019 \h \* CharFormat </w:instrText>
      </w:r>
      <w:r w:rsidR="0045116D" w:rsidRPr="00FC1A1E">
        <w:fldChar w:fldCharType="separate"/>
      </w:r>
      <w:r w:rsidR="00FC1A1E" w:rsidRPr="00FC1A1E">
        <w:t>21</w:t>
      </w:r>
      <w:r w:rsidR="0045116D" w:rsidRPr="00FC1A1E">
        <w:fldChar w:fldCharType="end"/>
      </w:r>
      <w:r>
        <w:t>).</w:t>
      </w:r>
    </w:p>
    <w:bookmarkStart w:id="39" w:name="paragraph00060"/>
    <w:p w14:paraId="3603829F" w14:textId="25561591" w:rsidR="0045116D" w:rsidRPr="00FC1A1E" w:rsidRDefault="0045116D" w:rsidP="00FC1A1E">
      <w:pPr>
        <w:pStyle w:val="JuPara"/>
      </w:pPr>
      <w:r w:rsidRPr="00FC1A1E">
        <w:fldChar w:fldCharType="begin"/>
      </w:r>
      <w:r w:rsidRPr="00FC1A1E">
        <w:instrText xml:space="preserve"> SEQ level0 \*arabic \* MERGEFORMAT </w:instrText>
      </w:r>
      <w:r w:rsidRPr="00FC1A1E">
        <w:fldChar w:fldCharType="separate"/>
      </w:r>
      <w:bookmarkStart w:id="40" w:name="paragraph00059"/>
      <w:r w:rsidR="00FC1A1E" w:rsidRPr="00FC1A1E">
        <w:t>61</w:t>
      </w:r>
      <w:bookmarkEnd w:id="40"/>
      <w:r w:rsidRPr="00FC1A1E">
        <w:fldChar w:fldCharType="end"/>
      </w:r>
      <w:bookmarkEnd w:id="39"/>
      <w:r>
        <w:t>.  Având în vedere obiectivul urmărit de legiuitor (</w:t>
      </w:r>
      <w:r>
        <w:rPr>
          <w:i/>
          <w:iCs/>
        </w:rPr>
        <w:t>supra</w:t>
      </w:r>
      <w:r>
        <w:t>, pct.</w:t>
      </w:r>
      <w:r w:rsidRPr="00FC1A1E">
        <w:fldChar w:fldCharType="begin"/>
      </w:r>
      <w:r w:rsidRPr="00FC1A1E">
        <w:instrText xml:space="preserve"> REF paragraph00024 \h  \* CharFormat </w:instrText>
      </w:r>
      <w:r w:rsidRPr="00FC1A1E">
        <w:fldChar w:fldCharType="separate"/>
      </w:r>
      <w:r w:rsidR="00FC1A1E" w:rsidRPr="00FC1A1E">
        <w:t>26</w:t>
      </w:r>
      <w:r w:rsidRPr="00FC1A1E">
        <w:fldChar w:fldCharType="end"/>
      </w:r>
      <w:r>
        <w:t>), Curtea consideră că interpretarea dată de instanțele naționale dispoziției care incriminează cămătăria pare a fi în concordanță cu însăși substanța infracțiunii, fiind creată pentru a interzice în general persoanelor neautorizate orice activitate de dare de împrumut cu dobândă. Caracterul intrinsec periculos al camătăi a fost considerat atât de clar de către legiuitorul român încât Curtea nu poate considera că rezultatul hotărârilor pronunțate împotriva reclamantului în ceea ce privește stabilirea elementului material al infracțiunii ar fi contrar obiectului și scopului art. 7 din Convenție, potrivit căruia nimeni nu poate fi supus unor urmăriri, condamnări sau pedepse arbitrare (</w:t>
      </w:r>
      <w:r>
        <w:rPr>
          <w:i/>
        </w:rPr>
        <w:t>S.W. împotriva Regatului Unit</w:t>
      </w:r>
      <w:r>
        <w:t xml:space="preserve">, citat anterior, pct. 34, și </w:t>
      </w:r>
      <w:r>
        <w:rPr>
          <w:i/>
        </w:rPr>
        <w:t>Huhtamäki,</w:t>
      </w:r>
      <w:r>
        <w:t xml:space="preserve"> citată anterior, pct. 52).</w:t>
      </w:r>
    </w:p>
    <w:p w14:paraId="3FB6D3E5" w14:textId="510EC28A" w:rsidR="0045116D" w:rsidRPr="00FC1A1E" w:rsidRDefault="0045116D" w:rsidP="00FC1A1E">
      <w:pPr>
        <w:pStyle w:val="JuH1"/>
      </w:pPr>
      <w:r>
        <w:t xml:space="preserve">În ceea ce privește capătul de cerere referitor la pretinsa imprevizibilitate a termenului „ca îndeletnicire” </w:t>
      </w:r>
    </w:p>
    <w:p w14:paraId="63EBD2A1" w14:textId="2673FDED" w:rsidR="0045116D" w:rsidRPr="00FC1A1E" w:rsidRDefault="00F14613" w:rsidP="00FC1A1E">
      <w:pPr>
        <w:pStyle w:val="JuPara"/>
      </w:pPr>
      <w:fldSimple w:instr=" SEQ level0 \*arabic \* MERGEFORMAT ">
        <w:r w:rsidR="00FC1A1E" w:rsidRPr="00FC1A1E">
          <w:t>62</w:t>
        </w:r>
      </w:fldSimple>
      <w:r>
        <w:t>.  Curtea observă de la bun început că reclamantul s-a plâns în fața instanțelor naționale că unul sau două acte materiale nu erau suficiente pentru a constitui o infracțiune de obicei (</w:t>
      </w:r>
      <w:r>
        <w:rPr>
          <w:i/>
          <w:iCs/>
        </w:rPr>
        <w:t>supra</w:t>
      </w:r>
      <w:r>
        <w:t xml:space="preserve">, pct. </w:t>
      </w:r>
      <w:r w:rsidR="0045116D" w:rsidRPr="00FC1A1E">
        <w:fldChar w:fldCharType="begin"/>
      </w:r>
      <w:r w:rsidR="0045116D" w:rsidRPr="00FC1A1E">
        <w:instrText xml:space="preserve">REF paragraph00014 \h \* CharFormat </w:instrText>
      </w:r>
      <w:r w:rsidR="0045116D" w:rsidRPr="00FC1A1E">
        <w:fldChar w:fldCharType="separate"/>
      </w:r>
      <w:r w:rsidR="00FC1A1E" w:rsidRPr="00FC1A1E">
        <w:t>16</w:t>
      </w:r>
      <w:r w:rsidR="0045116D" w:rsidRPr="00FC1A1E">
        <w:fldChar w:fldCharType="end"/>
      </w:r>
      <w:r>
        <w:t xml:space="preserve"> și </w:t>
      </w:r>
      <w:r w:rsidR="0045116D" w:rsidRPr="00FC1A1E">
        <w:fldChar w:fldCharType="begin"/>
      </w:r>
      <w:r w:rsidR="0045116D" w:rsidRPr="00FC1A1E">
        <w:instrText xml:space="preserve">REF paragraph00015 \h \* CharFormat </w:instrText>
      </w:r>
      <w:r w:rsidR="0045116D" w:rsidRPr="00FC1A1E">
        <w:fldChar w:fldCharType="separate"/>
      </w:r>
      <w:r w:rsidR="00FC1A1E" w:rsidRPr="00FC1A1E">
        <w:t>17</w:t>
      </w:r>
      <w:r w:rsidR="0045116D" w:rsidRPr="00FC1A1E">
        <w:fldChar w:fldCharType="end"/>
      </w:r>
      <w:r>
        <w:t xml:space="preserve"> ). Or, formulată astfel, această plângere nu contesta în mod direct în fața instanțelor naționale previzibilitatea legii în ceea ce privește semnificația expresiei „ca îndeletnicire”; reclamantul contesta, mai degrabă, modul în care instanța de prim grad a stabilit în speță că acesta avea ca îndeletnicire acordarea de împrumut cu dobândă (</w:t>
      </w:r>
      <w:r>
        <w:rPr>
          <w:i/>
          <w:iCs/>
        </w:rPr>
        <w:t>infra</w:t>
      </w:r>
      <w:r>
        <w:t xml:space="preserve">, pct. </w:t>
      </w:r>
      <w:r w:rsidR="0045116D" w:rsidRPr="00FC1A1E">
        <w:fldChar w:fldCharType="begin"/>
      </w:r>
      <w:r w:rsidR="0045116D" w:rsidRPr="00FC1A1E">
        <w:instrText xml:space="preserve"> REF paragraph00069 \h  \* CharFormat </w:instrText>
      </w:r>
      <w:r w:rsidR="0045116D" w:rsidRPr="00FC1A1E">
        <w:fldChar w:fldCharType="separate"/>
      </w:r>
      <w:r w:rsidR="00FC1A1E" w:rsidRPr="00FC1A1E">
        <w:t>69</w:t>
      </w:r>
      <w:r w:rsidR="0045116D" w:rsidRPr="00FC1A1E">
        <w:fldChar w:fldCharType="end"/>
      </w:r>
      <w:r>
        <w:t xml:space="preserve"> ).</w:t>
      </w:r>
    </w:p>
    <w:p w14:paraId="68FC4D8B" w14:textId="0E6835E2" w:rsidR="0045116D" w:rsidRPr="00FC1A1E" w:rsidRDefault="00F14613" w:rsidP="00FC1A1E">
      <w:pPr>
        <w:pStyle w:val="JuPara"/>
      </w:pPr>
      <w:fldSimple w:instr=" SEQ level0 \*arabic \* MERGEFORMAT ">
        <w:r w:rsidR="00FC1A1E" w:rsidRPr="00FC1A1E">
          <w:t>63</w:t>
        </w:r>
      </w:fldSimple>
      <w:r>
        <w:t>.  Curtea observă că instanțele naționale au confirmat că unul sau două acte materiale nu sunt suficiente pentru a conferi unei activități un caracter de îndeletnicire (</w:t>
      </w:r>
      <w:r>
        <w:rPr>
          <w:i/>
          <w:iCs/>
        </w:rPr>
        <w:t>supra</w:t>
      </w:r>
      <w:r>
        <w:t xml:space="preserve">, pct. </w:t>
      </w:r>
      <w:r w:rsidR="0045116D" w:rsidRPr="00FC1A1E">
        <w:fldChar w:fldCharType="begin"/>
      </w:r>
      <w:r w:rsidR="0045116D" w:rsidRPr="00FC1A1E">
        <w:instrText xml:space="preserve">REF paragraph00009 \h \* CharFormat </w:instrText>
      </w:r>
      <w:r w:rsidR="0045116D" w:rsidRPr="00FC1A1E">
        <w:fldChar w:fldCharType="separate"/>
      </w:r>
      <w:r w:rsidR="00FC1A1E" w:rsidRPr="00FC1A1E">
        <w:t>9</w:t>
      </w:r>
      <w:r w:rsidR="0045116D" w:rsidRPr="00FC1A1E">
        <w:fldChar w:fldCharType="end"/>
      </w:r>
      <w:r>
        <w:t xml:space="preserve"> și </w:t>
      </w:r>
      <w:r w:rsidR="0045116D" w:rsidRPr="00FC1A1E">
        <w:fldChar w:fldCharType="begin"/>
      </w:r>
      <w:r w:rsidR="0045116D" w:rsidRPr="00FC1A1E">
        <w:instrText xml:space="preserve">REF paragraph00019 \h \* CharFormat </w:instrText>
      </w:r>
      <w:r w:rsidR="0045116D" w:rsidRPr="00FC1A1E">
        <w:fldChar w:fldCharType="separate"/>
      </w:r>
      <w:r w:rsidR="00FC1A1E" w:rsidRPr="00FC1A1E">
        <w:t>21</w:t>
      </w:r>
      <w:r w:rsidR="0045116D" w:rsidRPr="00FC1A1E">
        <w:fldChar w:fldCharType="end"/>
      </w:r>
      <w:r>
        <w:t xml:space="preserve"> ). În urma examinării probelor care le-au fost prezentate, aceștia au constatat că elementul material al infracțiunii a fost realizat în moduri diferite, ceea ce indică caracterul de îndeletnicire al acesteia. După ce a stabilit că reclamantul i-a împrumutat bani lui S.M. (</w:t>
      </w:r>
      <w:r>
        <w:rPr>
          <w:i/>
          <w:iCs/>
        </w:rPr>
        <w:t>supra</w:t>
      </w:r>
      <w:r>
        <w:t>, pct. 10), tribunalul a cercetat și reținut, pe baza unui ansamblu de probe, că reclamantul dăduse cu împrumut bani cu dobândă în mod repetat (</w:t>
      </w:r>
      <w:r>
        <w:rPr>
          <w:i/>
          <w:iCs/>
        </w:rPr>
        <w:t>supra</w:t>
      </w:r>
      <w:r>
        <w:t>, pct. 11 și 12). Tribunalul a examinat apoi probele potrivit cărora reclamantul obținuse, de asemenea, câștiguri de la alți cămătari în mai multe rânduri (</w:t>
      </w:r>
      <w:r>
        <w:rPr>
          <w:i/>
          <w:iCs/>
        </w:rPr>
        <w:t>supra</w:t>
      </w:r>
      <w:r>
        <w:t xml:space="preserve"> pct. </w:t>
      </w:r>
      <w:r w:rsidR="0045116D" w:rsidRPr="00FC1A1E">
        <w:fldChar w:fldCharType="begin"/>
      </w:r>
      <w:r w:rsidR="0045116D" w:rsidRPr="00FC1A1E">
        <w:instrText xml:space="preserve"> REF paragraph00012 \h  \* CharFormat </w:instrText>
      </w:r>
      <w:r w:rsidR="0045116D" w:rsidRPr="00FC1A1E">
        <w:fldChar w:fldCharType="separate"/>
      </w:r>
      <w:r w:rsidR="00FC1A1E" w:rsidRPr="00FC1A1E">
        <w:t>13</w:t>
      </w:r>
      <w:r w:rsidR="0045116D" w:rsidRPr="00FC1A1E">
        <w:fldChar w:fldCharType="end"/>
      </w:r>
      <w:r>
        <w:t xml:space="preserve"> și 14).</w:t>
      </w:r>
    </w:p>
    <w:p w14:paraId="3237AC48" w14:textId="5615354D" w:rsidR="0045116D" w:rsidRPr="00FC1A1E" w:rsidRDefault="00F14613" w:rsidP="00FC1A1E">
      <w:pPr>
        <w:pStyle w:val="JuPara"/>
      </w:pPr>
      <w:fldSimple w:instr=" SEQ level0 \*arabic \* MERGEFORMAT ">
        <w:r w:rsidR="00FC1A1E" w:rsidRPr="00FC1A1E">
          <w:t>64</w:t>
        </w:r>
      </w:fldSimple>
      <w:r>
        <w:t xml:space="preserve">.  Curtea admite că dispoziția legală care incriminează cămătăria nu indică numărul de acte materiale necesare pentru ca acordarea de împrumuturi cu dobândă de către o persoană neautorizată să fie considerată ca îndeletnicire. Dimpotrivă, legiuitorul a folosit o formulare destul de </w:t>
      </w:r>
      <w:r>
        <w:lastRenderedPageBreak/>
        <w:t>generală pentru a permite judecătorilor să stabilească în fiecare caz în parte dacă faptele în speță constituie sau nu o îndeletnicire. Existența unor îndoieli privind cazurile limită nu este suficientă pentru ca o dispoziție să fie incompatibilă cu art. 7 din Convenție, cu condiția ca această dispoziție să se dovedească suficient de clară în marea majoritate a cazurilor (</w:t>
      </w:r>
      <w:r>
        <w:rPr>
          <w:i/>
          <w:iCs/>
        </w:rPr>
        <w:t>Cantoni</w:t>
      </w:r>
      <w:r>
        <w:t>, citată anterior, pct. 32). Cu toate acestea, având în vedere că a acordat împrumuturi cu dobândă fără a fi autorizat în acest sens, reclamantul ar fi trebuit să știe că respectiva conduită era reprobabilă.</w:t>
      </w:r>
    </w:p>
    <w:p w14:paraId="24C9E519" w14:textId="4F594416" w:rsidR="0045116D" w:rsidRPr="00FC1A1E" w:rsidRDefault="00F14613" w:rsidP="00FC1A1E">
      <w:pPr>
        <w:pStyle w:val="JuPara"/>
      </w:pPr>
      <w:fldSimple w:instr=" SEQ level0 \*arabic \* MERGEFORMAT ">
        <w:r w:rsidR="00FC1A1E" w:rsidRPr="00FC1A1E">
          <w:t>65</w:t>
        </w:r>
      </w:fldSimple>
      <w:r>
        <w:t>.  În speță, Curtea nu poate decât să constate că raționamentul instanțelor naționale a fost în conformitate cu practica instanțelor în ceea ce privește numărul de acte materiale necesare pentru existența infracțiunii de obicei. Într-adevăr, este clar din exemplele de jurisprudență din dosar, deși unele dintre ele sunt ulterioare procedurii împotriva reclamantului, că instanțele naționale au hotărât în mod constant că sunt necesare mai multe acte materiale pentru ca o activitate să fie considerată îndeletnicire (</w:t>
      </w:r>
      <w:r>
        <w:rPr>
          <w:i/>
          <w:iCs/>
        </w:rPr>
        <w:t>supra</w:t>
      </w:r>
      <w:r>
        <w:t xml:space="preserve">, pct. </w:t>
      </w:r>
      <w:r w:rsidR="0045116D" w:rsidRPr="00FC1A1E">
        <w:fldChar w:fldCharType="begin"/>
      </w:r>
      <w:r w:rsidR="0045116D" w:rsidRPr="00FC1A1E">
        <w:instrText xml:space="preserve">REF paragraph00033 \h \* CharFormat </w:instrText>
      </w:r>
      <w:r w:rsidR="0045116D" w:rsidRPr="00FC1A1E">
        <w:fldChar w:fldCharType="separate"/>
      </w:r>
      <w:r w:rsidR="00FC1A1E" w:rsidRPr="00FC1A1E">
        <w:t>36</w:t>
      </w:r>
      <w:r w:rsidR="0045116D" w:rsidRPr="00FC1A1E">
        <w:fldChar w:fldCharType="end"/>
      </w:r>
      <w:r>
        <w:t>-</w:t>
      </w:r>
      <w:r w:rsidR="0045116D" w:rsidRPr="00FC1A1E">
        <w:fldChar w:fldCharType="begin"/>
      </w:r>
      <w:r w:rsidR="0045116D" w:rsidRPr="00FC1A1E">
        <w:instrText xml:space="preserve"> REF para37 \h </w:instrText>
      </w:r>
      <w:r w:rsidR="0045116D" w:rsidRPr="00FC1A1E">
        <w:fldChar w:fldCharType="separate"/>
      </w:r>
      <w:r w:rsidR="00FC1A1E" w:rsidRPr="00FC1A1E">
        <w:t>38</w:t>
      </w:r>
      <w:r w:rsidR="0045116D" w:rsidRPr="00FC1A1E">
        <w:fldChar w:fldCharType="end"/>
      </w:r>
      <w:r>
        <w:t xml:space="preserve">; a se compara cu </w:t>
      </w:r>
      <w:r>
        <w:rPr>
          <w:i/>
          <w:iCs/>
        </w:rPr>
        <w:t>K.A. și A.D. împotriva Belgiei</w:t>
      </w:r>
      <w:r>
        <w:t xml:space="preserve">, nr. 42758/98 și 45558/99, pct. 55-58, 17 februarie 2005, și </w:t>
      </w:r>
      <w:r>
        <w:rPr>
          <w:i/>
          <w:iCs/>
        </w:rPr>
        <w:t>Soros împotriva Franței</w:t>
      </w:r>
      <w:r>
        <w:t>, nr. 50425/06, pct. 58, 6 octombrie 2011).</w:t>
      </w:r>
    </w:p>
    <w:p w14:paraId="31380199" w14:textId="5887EB6E" w:rsidR="0045116D" w:rsidRPr="00FC1A1E" w:rsidRDefault="00F14613" w:rsidP="00FC1A1E">
      <w:pPr>
        <w:pStyle w:val="JuPara"/>
      </w:pPr>
      <w:fldSimple w:instr=" SEQ level0 \*arabic \* MERGEFORMAT ">
        <w:r w:rsidR="00FC1A1E" w:rsidRPr="00FC1A1E">
          <w:t>66</w:t>
        </w:r>
      </w:fldSimple>
      <w:r>
        <w:t>.  Curtea observă, de asemenea, că raționamentul pe care s-au bazat deciziile pronunțate în cazul reclamantului este în conformitate cu Decizia Curții Constituționale din 23 februarie 2016 (</w:t>
      </w:r>
      <w:r>
        <w:rPr>
          <w:i/>
          <w:iCs/>
        </w:rPr>
        <w:t>supra</w:t>
      </w:r>
      <w:r>
        <w:t xml:space="preserve">, pct. </w:t>
      </w:r>
      <w:r w:rsidR="0045116D" w:rsidRPr="00FC1A1E">
        <w:fldChar w:fldCharType="begin"/>
      </w:r>
      <w:r w:rsidR="0045116D" w:rsidRPr="00FC1A1E">
        <w:instrText xml:space="preserve"> REF paragraph00030 \h  \* CharFormat </w:instrText>
      </w:r>
      <w:r w:rsidR="0045116D" w:rsidRPr="00FC1A1E">
        <w:fldChar w:fldCharType="separate"/>
      </w:r>
      <w:r w:rsidR="00FC1A1E" w:rsidRPr="00FC1A1E">
        <w:t>33</w:t>
      </w:r>
      <w:r w:rsidR="0045116D" w:rsidRPr="00FC1A1E">
        <w:fldChar w:fldCharType="end"/>
      </w:r>
      <w:r>
        <w:t>). În această decizie, Curtea Constituțională a explicat noțiunea de „îndeletnicire” și de ce nu era necesar ca să fie prevăzut în lege un număr de acte materiale (</w:t>
      </w:r>
      <w:r>
        <w:rPr>
          <w:i/>
          <w:iCs/>
        </w:rPr>
        <w:t>supra</w:t>
      </w:r>
      <w:r>
        <w:t xml:space="preserve">, pct. </w:t>
      </w:r>
      <w:r w:rsidR="0045116D" w:rsidRPr="00FC1A1E">
        <w:fldChar w:fldCharType="begin"/>
      </w:r>
      <w:r w:rsidR="0045116D" w:rsidRPr="00FC1A1E">
        <w:instrText xml:space="preserve">REF paragraph00030 \h \* CharFormat  \* MERGEFORMAT </w:instrText>
      </w:r>
      <w:r w:rsidR="0045116D" w:rsidRPr="00FC1A1E">
        <w:fldChar w:fldCharType="separate"/>
      </w:r>
      <w:r w:rsidR="00FC1A1E" w:rsidRPr="00FC1A1E">
        <w:t>33</w:t>
      </w:r>
      <w:r w:rsidR="0045116D" w:rsidRPr="00FC1A1E">
        <w:fldChar w:fldCharType="end"/>
      </w:r>
      <w:r>
        <w:t>). Deși a recunoscut astfel că judecătorul dispune de o anumită marjă de apreciere, Curtea Constituțională a stabilit liniile directoare care trebuie urmate pentru a stabili în fiecare cauză dacă o activitate este desfășurată ca îndeletnicire. În acest sens, a ținut cont de interesele pe care legiuitorul a intenționat să le protejeze și de nevoile care au stat la originea adoptării legii care incriminează cămătăria (</w:t>
      </w:r>
      <w:r>
        <w:rPr>
          <w:i/>
          <w:iCs/>
        </w:rPr>
        <w:t>supra</w:t>
      </w:r>
      <w:r>
        <w:t>, pct.  </w:t>
      </w:r>
      <w:r w:rsidR="0045116D" w:rsidRPr="00FC1A1E">
        <w:fldChar w:fldCharType="begin"/>
      </w:r>
      <w:r w:rsidR="0045116D" w:rsidRPr="00FC1A1E">
        <w:instrText xml:space="preserve">REF paragraph00030 \h \* CharFormat  \* MERGEFORMAT </w:instrText>
      </w:r>
      <w:r w:rsidR="0045116D" w:rsidRPr="00FC1A1E">
        <w:fldChar w:fldCharType="separate"/>
      </w:r>
      <w:r w:rsidR="00FC1A1E" w:rsidRPr="00FC1A1E">
        <w:t>33</w:t>
      </w:r>
      <w:r w:rsidR="0045116D" w:rsidRPr="00FC1A1E">
        <w:fldChar w:fldCharType="end"/>
      </w:r>
      <w:r>
        <w:t>). Astfel, chiar dacă decizia Curții Constituționale este ulterioară faptelor de care a fost acuzat reclamantul, aceasta rămâne un element de interpretare, de care Curtea trebuie să țină cont.</w:t>
      </w:r>
    </w:p>
    <w:p w14:paraId="030B9888" w14:textId="1094EC82" w:rsidR="0045116D" w:rsidRPr="00FC1A1E" w:rsidRDefault="00F14613" w:rsidP="00FC1A1E">
      <w:pPr>
        <w:pStyle w:val="JuPara"/>
      </w:pPr>
      <w:fldSimple w:instr=" SEQ level0 \*arabic \* MERGEFORMAT ">
        <w:r w:rsidR="00FC1A1E" w:rsidRPr="00FC1A1E">
          <w:t>67</w:t>
        </w:r>
      </w:fldSimple>
      <w:r>
        <w:t>.  În speță, tribunalul a cercetat, în contextul cauzei și în lumina probelor de care dispunea, dacă reclamantul se îndeletnicea cu darea cu împrumut a unor sume de bani rambursabile cu dobândă (</w:t>
      </w:r>
      <w:r>
        <w:rPr>
          <w:i/>
          <w:iCs/>
        </w:rPr>
        <w:t>supra</w:t>
      </w:r>
      <w:r>
        <w:t xml:space="preserve">, pct. </w:t>
      </w:r>
      <w:r w:rsidR="0045116D" w:rsidRPr="00FC1A1E">
        <w:fldChar w:fldCharType="begin"/>
      </w:r>
      <w:r w:rsidR="0045116D" w:rsidRPr="00FC1A1E">
        <w:instrText xml:space="preserve">REF paragraph00011 \h \* CharFormat </w:instrText>
      </w:r>
      <w:r w:rsidR="0045116D" w:rsidRPr="00FC1A1E">
        <w:fldChar w:fldCharType="separate"/>
      </w:r>
      <w:r w:rsidR="00FC1A1E" w:rsidRPr="00FC1A1E">
        <w:t>11</w:t>
      </w:r>
      <w:r w:rsidR="0045116D" w:rsidRPr="00FC1A1E">
        <w:fldChar w:fldCharType="end"/>
      </w:r>
      <w:r>
        <w:t xml:space="preserve"> și </w:t>
      </w:r>
      <w:r w:rsidR="0045116D" w:rsidRPr="00FC1A1E">
        <w:fldChar w:fldCharType="begin"/>
      </w:r>
      <w:r w:rsidR="0045116D" w:rsidRPr="00FC1A1E">
        <w:instrText xml:space="preserve"> REF para12 \h </w:instrText>
      </w:r>
      <w:r w:rsidR="0045116D" w:rsidRPr="00FC1A1E">
        <w:fldChar w:fldCharType="separate"/>
      </w:r>
      <w:r w:rsidR="00FC1A1E" w:rsidRPr="00FC1A1E">
        <w:t>12</w:t>
      </w:r>
      <w:r w:rsidR="0045116D" w:rsidRPr="00FC1A1E">
        <w:fldChar w:fldCharType="end"/>
      </w:r>
      <w:r>
        <w:t>) și a concluzionat, printr-o decizie motivată, că acesta era cazul. La rândul său, curtea de apel a preluat partea din decizia Curții Constituționale care se referea la previzibilitatea termenului „ca îndeletnicire” (</w:t>
      </w:r>
      <w:r>
        <w:rPr>
          <w:i/>
          <w:iCs/>
        </w:rPr>
        <w:t>supr</w:t>
      </w:r>
      <w:r>
        <w:t xml:space="preserve">a, pct. </w:t>
      </w:r>
      <w:r w:rsidR="0045116D" w:rsidRPr="00FC1A1E">
        <w:fldChar w:fldCharType="begin"/>
      </w:r>
      <w:r w:rsidR="0045116D" w:rsidRPr="00FC1A1E">
        <w:instrText xml:space="preserve">REF paragraph00018 \h \* CharFormat </w:instrText>
      </w:r>
      <w:r w:rsidR="0045116D" w:rsidRPr="00FC1A1E">
        <w:fldChar w:fldCharType="separate"/>
      </w:r>
      <w:r w:rsidR="00FC1A1E" w:rsidRPr="00FC1A1E">
        <w:t>20</w:t>
      </w:r>
      <w:r w:rsidR="0045116D" w:rsidRPr="00FC1A1E">
        <w:fldChar w:fldCharType="end"/>
      </w:r>
      <w:r>
        <w:t>) și a confirmat faptul că natura de îndeletnicire a activității reclamantului fusese dovedită în speță (</w:t>
      </w:r>
      <w:r>
        <w:rPr>
          <w:i/>
          <w:iCs/>
        </w:rPr>
        <w:t>supra</w:t>
      </w:r>
      <w:r>
        <w:t xml:space="preserve">, pct. </w:t>
      </w:r>
      <w:r w:rsidR="0045116D" w:rsidRPr="00FC1A1E">
        <w:fldChar w:fldCharType="begin"/>
      </w:r>
      <w:r w:rsidR="0045116D" w:rsidRPr="00FC1A1E">
        <w:instrText xml:space="preserve">REF paragraph00020 \h \* CharFormat </w:instrText>
      </w:r>
      <w:r w:rsidR="0045116D" w:rsidRPr="00FC1A1E">
        <w:fldChar w:fldCharType="separate"/>
      </w:r>
      <w:r w:rsidR="00FC1A1E" w:rsidRPr="00FC1A1E">
        <w:t>22</w:t>
      </w:r>
      <w:r w:rsidR="0045116D" w:rsidRPr="00FC1A1E">
        <w:fldChar w:fldCharType="end"/>
      </w:r>
      <w:r>
        <w:t xml:space="preserve">). În aceste condiții, trebuie să se concluzioneze că instanțele interne au interpretat dispoziția în cauză de o manieră coerentă cu substanța infracțiunii și în conformitate cu litera legii penale citită în contextul acesteia.  De altfel, această interpretare nu este nerezonabilă (a se vedea, printre multe alte exemple, </w:t>
      </w:r>
      <w:r>
        <w:rPr>
          <w:i/>
          <w:iCs/>
        </w:rPr>
        <w:t>Jorgic</w:t>
      </w:r>
      <w:r>
        <w:t>, citată anterior, pct. 104-108).</w:t>
      </w:r>
    </w:p>
    <w:p w14:paraId="5F4F0C43" w14:textId="3740A75E" w:rsidR="0045116D" w:rsidRPr="00FC1A1E" w:rsidRDefault="00F14613" w:rsidP="00FC1A1E">
      <w:pPr>
        <w:pStyle w:val="JuPara"/>
      </w:pPr>
      <w:fldSimple w:instr=" SEQ level0 \*arabic \* MERGEFORMAT ">
        <w:r w:rsidR="00FC1A1E" w:rsidRPr="00FC1A1E">
          <w:t>68</w:t>
        </w:r>
      </w:fldSimple>
      <w:r>
        <w:t xml:space="preserve">.  În sfârșit, Curtea observă că reclamantul a citat articole din literatura de specialitate în care era indicat faptul că o activitate devine îndeletnicire după îndeplinirea a trei acte materiale (supra, pct. </w:t>
      </w:r>
      <w:r w:rsidR="0045116D" w:rsidRPr="00FC1A1E">
        <w:fldChar w:fldCharType="begin"/>
      </w:r>
      <w:r w:rsidR="0045116D" w:rsidRPr="00FC1A1E">
        <w:instrText xml:space="preserve">REF paragraph00037 \h \* CharFormat </w:instrText>
      </w:r>
      <w:r w:rsidR="0045116D" w:rsidRPr="00FC1A1E">
        <w:fldChar w:fldCharType="separate"/>
      </w:r>
      <w:r w:rsidR="00FC1A1E" w:rsidRPr="00FC1A1E">
        <w:t>40</w:t>
      </w:r>
      <w:r w:rsidR="0045116D" w:rsidRPr="00FC1A1E">
        <w:fldChar w:fldCharType="end"/>
      </w:r>
      <w:r>
        <w:t>). Deși Curtea poate lua în considerare interpretarea legii dată de autori academici la momentul respectiv, în special atunci când aceasta este în concordanță cu jurisprudența (</w:t>
      </w:r>
      <w:r>
        <w:rPr>
          <w:i/>
          <w:iCs/>
        </w:rPr>
        <w:t>K.A. și A.D. împotriva Belgiei</w:t>
      </w:r>
      <w:r>
        <w:t xml:space="preserve">, citat anterior, pct. 59, și </w:t>
      </w:r>
      <w:r>
        <w:rPr>
          <w:i/>
          <w:iCs/>
        </w:rPr>
        <w:t xml:space="preserve">Alimuçaj împotriva Albaniei, </w:t>
      </w:r>
      <w:r>
        <w:t>nr. 20134/05, pct. 158</w:t>
      </w:r>
      <w:r>
        <w:noBreakHyphen/>
        <w:t>160, 7 februarie 2012), interpretarea liberă a doctrinei a unui text legal nu poate înlocui existența unei jurisprudențe (</w:t>
      </w:r>
      <w:r>
        <w:rPr>
          <w:i/>
          <w:iCs/>
        </w:rPr>
        <w:t>Georgouleas și Nestoras împotriva Greciei</w:t>
      </w:r>
      <w:r>
        <w:t>, nr. 44612/13 și 45831/13, pct. 64, 28 mai 2020). Mai mult, în dreptul românesc, doctrina nu este izvor de drept și doar deciziile pronunțate de Curtea Constituțională sau hotărârile pronunțate de Înalta Curte de Casație și Justiție în cadrul unui recurs în interesul legii pot conduce la o interpretare a literei legii.</w:t>
      </w:r>
    </w:p>
    <w:p w14:paraId="76964772" w14:textId="0757FAB1" w:rsidR="0045116D" w:rsidRPr="00FC1A1E" w:rsidRDefault="00F14613" w:rsidP="00FC1A1E">
      <w:pPr>
        <w:pStyle w:val="JuPara"/>
      </w:pPr>
      <w:fldSimple w:instr=" SEQ level0 \*arabic \* MERGEFORMAT ">
        <w:bookmarkStart w:id="41" w:name="paragraph00069"/>
        <w:r w:rsidR="00FC1A1E" w:rsidRPr="00FC1A1E">
          <w:t>69</w:t>
        </w:r>
        <w:bookmarkEnd w:id="41"/>
      </w:fldSimple>
      <w:r>
        <w:t>.  În acest context, se pare că reclamantul contestă încadrarea juridică a faptelor de către instanțele naționale, în temeiul art. 7 din Convenție. Or Curtea nu are competența de a se substitui instanțelor interne în motivarea și încadrarea juridică a faptelor, atât timp cât acestea se bazează, cum e cazul în speță, pe o analiză rezonabilă a elementelor din dosar [</w:t>
      </w:r>
      <w:r>
        <w:rPr>
          <w:i/>
        </w:rPr>
        <w:t>Rohlena împotriva Républicii Cehe</w:t>
      </w:r>
      <w:r>
        <w:t xml:space="preserve"> (MC), nr. 59552/08, pct. 51, CEDO 2015].</w:t>
      </w:r>
    </w:p>
    <w:p w14:paraId="7E3FC9D6" w14:textId="0FD28D50" w:rsidR="0045116D" w:rsidRPr="00FC1A1E" w:rsidRDefault="00F14613" w:rsidP="00FC1A1E">
      <w:pPr>
        <w:pStyle w:val="JuPara"/>
      </w:pPr>
      <w:fldSimple w:instr=" SEQ level0 \*arabic \* MERGEFORMAT ">
        <w:r w:rsidR="00FC1A1E" w:rsidRPr="00FC1A1E">
          <w:t>70</w:t>
        </w:r>
      </w:fldSimple>
      <w:r>
        <w:t>.  În consecință, Curtea consideră că, la momentul în care reclamantul a săvârșit faptele în cauză, prezența în lege a expresiei „ca îndeletnicire” nu făcea ca textul să fie imprevizibil.</w:t>
      </w:r>
    </w:p>
    <w:p w14:paraId="702F0675" w14:textId="77777777" w:rsidR="0045116D" w:rsidRPr="00FC1A1E" w:rsidRDefault="0045116D" w:rsidP="00FC1A1E">
      <w:pPr>
        <w:pStyle w:val="JuH1"/>
      </w:pPr>
      <w:r>
        <w:t>Concluzie</w:t>
      </w:r>
    </w:p>
    <w:p w14:paraId="5717B01D" w14:textId="460F3A0B" w:rsidR="0045116D" w:rsidRPr="00FC1A1E" w:rsidRDefault="00F14613" w:rsidP="00FC1A1E">
      <w:pPr>
        <w:pStyle w:val="JuPara"/>
      </w:pPr>
      <w:fldSimple w:instr=" SEQ level0 \*arabic \* MERGEFORMAT ">
        <w:r w:rsidR="00FC1A1E" w:rsidRPr="00FC1A1E">
          <w:t>71</w:t>
        </w:r>
      </w:fldSimple>
      <w:r>
        <w:t>.  Considerentele de mai sus sunt suficiente pentru ca astfel, Curtea să concluzioneze că art. 3 din Legea nr. 216/2011 a fost formulat cu suficientă precizie pentru a-i permite reclamantului să discearnă într-o măsură rezonabilă în circumstanțele respective, dacă era cazul printr-o consiliere adecvată, că acțiunile sale riscau o condamnare penală. Curtea consideră că s-a stabilit nu numai că infracțiunea pentru care a fost condamnat reclamantul era prevăzută în dreptul intern în momentul în care a fost comisă, ci și că aceasta era definită în drept cu suficientă claritate pentru a satisface cerința calitativă de previzibilitate care decurge din înțelesul autonom al noțiunii de „lege” în sensul art. 7 din Convenție.</w:t>
      </w:r>
    </w:p>
    <w:p w14:paraId="42CC1AE2" w14:textId="19C92457" w:rsidR="0045116D" w:rsidRPr="00FC1A1E" w:rsidRDefault="0045116D" w:rsidP="00FC1A1E">
      <w:pPr>
        <w:pStyle w:val="JuPara"/>
        <w:rPr>
          <w:snapToGrid w:val="0"/>
        </w:rPr>
      </w:pPr>
      <w:r w:rsidRPr="00FC1A1E">
        <w:rPr>
          <w:snapToGrid w:val="0"/>
        </w:rPr>
        <w:fldChar w:fldCharType="begin"/>
      </w:r>
      <w:r w:rsidRPr="00FC1A1E">
        <w:rPr>
          <w:snapToGrid w:val="0"/>
        </w:rPr>
        <w:instrText xml:space="preserve"> SEQ level0 \*arabic \* MERGEFORMAT </w:instrText>
      </w:r>
      <w:r w:rsidRPr="00FC1A1E">
        <w:rPr>
          <w:snapToGrid w:val="0"/>
        </w:rPr>
        <w:fldChar w:fldCharType="separate"/>
      </w:r>
      <w:r w:rsidR="00FC1A1E" w:rsidRPr="00FC1A1E">
        <w:rPr>
          <w:snapToGrid w:val="0"/>
        </w:rPr>
        <w:t>72</w:t>
      </w:r>
      <w:r w:rsidRPr="00FC1A1E">
        <w:rPr>
          <w:snapToGrid w:val="0"/>
        </w:rPr>
        <w:fldChar w:fldCharType="end"/>
      </w:r>
      <w:r>
        <w:rPr>
          <w:snapToGrid w:val="0"/>
        </w:rPr>
        <w:t>.  Rezultă că acest capăt de cerere este în mod vădit nefondat și trebuie respins în temeiul art. 35 § 3 </w:t>
      </w:r>
      <w:r>
        <w:t xml:space="preserve">a) </w:t>
      </w:r>
      <w:r>
        <w:rPr>
          <w:snapToGrid w:val="0"/>
        </w:rPr>
        <w:t>și art. 35 § 4 din Convenție.</w:t>
      </w:r>
    </w:p>
    <w:p w14:paraId="2B301B7B" w14:textId="69E0E06B" w:rsidR="0045116D" w:rsidRPr="00FC1A1E" w:rsidRDefault="0045116D" w:rsidP="00FC1A1E">
      <w:pPr>
        <w:pStyle w:val="JuParaLast"/>
      </w:pPr>
      <w:r>
        <w:t>Pentru aceste motive, în unanimitate, Curtea</w:t>
      </w:r>
    </w:p>
    <w:p w14:paraId="2A559333" w14:textId="7C5FD8E7" w:rsidR="0045116D" w:rsidRPr="00FC1A1E" w:rsidRDefault="0045116D" w:rsidP="00FC1A1E">
      <w:pPr>
        <w:pStyle w:val="DecList"/>
      </w:pPr>
      <w:r>
        <w:rPr>
          <w:i/>
          <w:iCs/>
        </w:rPr>
        <w:t>Declară</w:t>
      </w:r>
      <w:r>
        <w:t xml:space="preserve"> cererea inadmisibilă.</w:t>
      </w:r>
    </w:p>
    <w:p w14:paraId="2FFCDE2D" w14:textId="0E9BD106" w:rsidR="00050A32" w:rsidRPr="00FC1A1E" w:rsidRDefault="00F40988" w:rsidP="00FC1A1E">
      <w:pPr>
        <w:pStyle w:val="JuParaLast"/>
        <w:rPr>
          <w:sz w:val="14"/>
        </w:rPr>
      </w:pPr>
      <w:r>
        <w:lastRenderedPageBreak/>
        <w:t>Redactată în limba franceză, apoi comunicată în scris, la 19 ianuarie 2023.</w:t>
      </w:r>
    </w:p>
    <w:p w14:paraId="12E4253D" w14:textId="61D04F17" w:rsidR="00C64EBF" w:rsidRPr="00FC1A1E" w:rsidRDefault="001B2A94" w:rsidP="00FC1A1E">
      <w:pPr>
        <w:pStyle w:val="ECHRPlaceholder"/>
      </w:pPr>
      <w:r>
        <w:tab/>
      </w:r>
    </w:p>
    <w:p w14:paraId="20783E03" w14:textId="7B02A4A2" w:rsidR="00A1102F" w:rsidRPr="00FC1A1E" w:rsidRDefault="00050A32" w:rsidP="00FC1A1E">
      <w:pPr>
        <w:pStyle w:val="JuSigned"/>
      </w:pPr>
      <w:r>
        <w:tab/>
      </w:r>
      <w:r>
        <w:rPr>
          <w:rStyle w:val="JuParaChar"/>
        </w:rPr>
        <w:t>Ilse Freiwirth</w:t>
      </w:r>
      <w:r>
        <w:tab/>
        <w:t>Gabriele Kucsko-Stadlmayer</w:t>
      </w:r>
      <w:r>
        <w:br/>
      </w:r>
      <w:r>
        <w:tab/>
        <w:t>Grefier adjunct</w:t>
      </w:r>
      <w:r>
        <w:tab/>
        <w:t>Președinte</w:t>
      </w:r>
    </w:p>
    <w:sectPr w:rsidR="00A1102F" w:rsidRPr="00FC1A1E" w:rsidSect="00AF7102">
      <w:headerReference w:type="even" r:id="rId11"/>
      <w:headerReference w:type="default" r:id="rId12"/>
      <w:footerReference w:type="even" r:id="rId13"/>
      <w:footerReference w:type="default" r:id="rId14"/>
      <w:headerReference w:type="first" r:id="rId15"/>
      <w:footerReference w:type="first" r:id="rId16"/>
      <w:footnotePr>
        <w:numRestart w:val="eachPage"/>
      </w:footnotePr>
      <w:endnotePr>
        <w:numFmt w:val="decimal"/>
      </w:endnotePr>
      <w:pgSz w:w="11906" w:h="16838" w:code="9"/>
      <w:pgMar w:top="2274" w:right="2274" w:bottom="2274" w:left="2274" w:header="1701"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4E2D5B" w14:textId="77777777" w:rsidR="00817A85" w:rsidRPr="0045116D" w:rsidRDefault="00817A85" w:rsidP="006544C4">
      <w:r w:rsidRPr="0045116D">
        <w:separator/>
      </w:r>
    </w:p>
  </w:endnote>
  <w:endnote w:type="continuationSeparator" w:id="0">
    <w:p w14:paraId="5157C426" w14:textId="77777777" w:rsidR="00817A85" w:rsidRPr="0045116D" w:rsidRDefault="00817A85" w:rsidP="006544C4">
      <w:r w:rsidRPr="0045116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539658" w14:textId="1A10DBCA" w:rsidR="00AF7102" w:rsidRPr="0045116D" w:rsidRDefault="0045116D" w:rsidP="00FB64E0">
    <w:pPr>
      <w:pStyle w:val="JuHeader"/>
    </w:pPr>
    <w:r>
      <w:rPr>
        <w:rStyle w:val="PageNumber"/>
      </w:rPr>
      <w:fldChar w:fldCharType="begin"/>
    </w:r>
    <w:r>
      <w:rPr>
        <w:rStyle w:val="PageNumber"/>
      </w:rPr>
      <w:instrText xml:space="preserve"> PAGE </w:instrText>
    </w:r>
    <w:r>
      <w:rPr>
        <w:rStyle w:val="PageNumber"/>
      </w:rPr>
      <w:fldChar w:fldCharType="separate"/>
    </w:r>
    <w:r w:rsidR="0069130D">
      <w:rPr>
        <w:rStyle w:val="PageNumber"/>
        <w:noProof/>
      </w:rPr>
      <w:t>18</w:t>
    </w:r>
    <w:r>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ACF78C" w14:textId="5FF75E76" w:rsidR="00AF7102" w:rsidRPr="0045116D" w:rsidRDefault="0045116D" w:rsidP="00FB64E0">
    <w:pPr>
      <w:pStyle w:val="JuHeader"/>
    </w:pPr>
    <w:r>
      <w:rPr>
        <w:rStyle w:val="PageNumber"/>
      </w:rPr>
      <w:fldChar w:fldCharType="begin"/>
    </w:r>
    <w:r>
      <w:rPr>
        <w:rStyle w:val="PageNumber"/>
      </w:rPr>
      <w:instrText xml:space="preserve"> PAGE </w:instrText>
    </w:r>
    <w:r>
      <w:rPr>
        <w:rStyle w:val="PageNumber"/>
      </w:rPr>
      <w:fldChar w:fldCharType="separate"/>
    </w:r>
    <w:r w:rsidR="0069130D">
      <w:rPr>
        <w:rStyle w:val="PageNumber"/>
        <w:noProof/>
      </w:rPr>
      <w:t>17</w:t>
    </w:r>
    <w:r>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51DF4D" w14:textId="3ED6C0D9" w:rsidR="00112D62" w:rsidRPr="0045116D" w:rsidRDefault="0045116D" w:rsidP="003146E4">
    <w:pPr>
      <w:jc w:val="center"/>
      <w:rPr>
        <w:szCs w:val="18"/>
      </w:rPr>
    </w:pPr>
    <w:r>
      <w:rPr>
        <w:noProof/>
        <w:lang w:val="en-US"/>
      </w:rPr>
      <w:drawing>
        <wp:inline distT="0" distB="0" distL="0" distR="0" wp14:anchorId="7EF9CD64" wp14:editId="50496738">
          <wp:extent cx="771525" cy="619125"/>
          <wp:effectExtent l="0" t="0" r="9525" b="9525"/>
          <wp:docPr id="32" name="Picture 32" descr="R:\1_Graphics&amp;Web\Court_Graphic_Charter\2013\ECHR_Stationery\Documents_and_Letters\Cover_Pages_And_Docs\White_600_dpi\ECHR_CoverpageCS61_ECHR_Coverpage_Footer_COE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1_Graphics&amp;Web\Court_Graphic_Charter\2013\ECHR_Stationery\Documents_and_Letters\Cover_Pages_And_Docs\White_600_dpi\ECHR_CoverpageCS61_ECHR_Coverpage_Footer_COE_Blac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61912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C62611" w14:textId="77777777" w:rsidR="00817A85" w:rsidRPr="0045116D" w:rsidRDefault="00817A85" w:rsidP="006544C4">
      <w:r w:rsidRPr="0045116D">
        <w:separator/>
      </w:r>
    </w:p>
  </w:footnote>
  <w:footnote w:type="continuationSeparator" w:id="0">
    <w:p w14:paraId="6F4FEC7F" w14:textId="77777777" w:rsidR="00817A85" w:rsidRPr="0045116D" w:rsidRDefault="00817A85" w:rsidP="006544C4">
      <w:r w:rsidRPr="0045116D">
        <w:continuationSeparator/>
      </w:r>
    </w:p>
  </w:footnote>
  <w:footnote w:id="1">
    <w:p w14:paraId="775A9940" w14:textId="7AD4D0A2" w:rsidR="0045116D" w:rsidRPr="0045116D" w:rsidRDefault="0045116D" w:rsidP="0045116D">
      <w:pPr>
        <w:pStyle w:val="FootnoteText"/>
      </w:pPr>
      <w:r>
        <w:rPr>
          <w:rStyle w:val="FootnoteReference"/>
        </w:rPr>
        <w:footnoteRef/>
      </w:r>
      <w:r>
        <w:rPr>
          <w:rStyle w:val="FootnoteReference"/>
        </w:rPr>
        <w:t xml:space="preserve"> </w:t>
      </w:r>
      <w:r>
        <w:t xml:space="preserve">Dobrinoiu V., </w:t>
      </w:r>
      <w:r>
        <w:rPr>
          <w:i/>
        </w:rPr>
        <w:t xml:space="preserve">Noul Cod penal comentat </w:t>
      </w:r>
      <w:r>
        <w:t xml:space="preserve">din 1 octombrie 2012, Universul Juridic ; G. Bodoroncea, V. Cioclei, I. Kuglay, L. V. Lefterache, T. Manea, I. Nedelcu, F.-M. Vasile, </w:t>
      </w:r>
      <w:r>
        <w:rPr>
          <w:i/>
        </w:rPr>
        <w:t>Codul penal. Comentariu pe articole</w:t>
      </w:r>
      <w:r>
        <w:t>, C.H. Beck, București 2016.</w:t>
      </w:r>
    </w:p>
  </w:footnote>
  <w:footnote w:id="2">
    <w:p w14:paraId="69B62C00" w14:textId="3D2E4F01" w:rsidR="0045116D" w:rsidRPr="0045116D" w:rsidRDefault="0045116D" w:rsidP="0045116D">
      <w:pPr>
        <w:pStyle w:val="FootnoteText"/>
      </w:pPr>
      <w:r>
        <w:rPr>
          <w:rStyle w:val="FootnoteReference"/>
        </w:rPr>
        <w:footnoteRef/>
      </w:r>
      <w:r>
        <w:rPr>
          <w:rStyle w:val="FootnoteReference"/>
        </w:rPr>
        <w:t xml:space="preserve"> </w:t>
      </w:r>
      <w:r>
        <w:t xml:space="preserve">T Toader, </w:t>
      </w:r>
      <w:r>
        <w:rPr>
          <w:i/>
        </w:rPr>
        <w:t>Noul Cod Penal</w:t>
      </w:r>
      <w:r>
        <w:t>, 28 februarie 2014, Hamangiu.</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D87D2C" w14:textId="0FDF80C4" w:rsidR="00112D62" w:rsidRPr="0045116D" w:rsidRDefault="00334EC5" w:rsidP="003312A3">
    <w:pPr>
      <w:pStyle w:val="JuHeader"/>
    </w:pPr>
    <w:r>
      <w:t>DECIZIA RĂDUCAN ÎMPOTRIVA ROMÂNIEI</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DA6DA2" w14:textId="277EC4A8" w:rsidR="00112D62" w:rsidRPr="0045116D" w:rsidRDefault="00334EC5" w:rsidP="006544C4">
    <w:pPr>
      <w:pStyle w:val="JuHeader"/>
    </w:pPr>
    <w:r>
      <w:t>DECIZIA RĂDUCAN ÎMPOTRIVA ROMÂNIEI</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C50476" w14:textId="23A30ADC" w:rsidR="0045116D" w:rsidRPr="00A45145" w:rsidRDefault="0069130D" w:rsidP="0069130D">
    <w:pPr>
      <w:jc w:val="center"/>
    </w:pPr>
    <w:r>
      <w:t xml:space="preserve">                                                   </w:t>
    </w:r>
    <w:r>
      <w:t>Tradus și revizuit de IER (</w:t>
    </w:r>
    <w:hyperlink r:id="rId1" w:history="1">
      <w:r w:rsidRPr="00CB5F58">
        <w:rPr>
          <w:rStyle w:val="Hyperlink"/>
        </w:rPr>
        <w:t>http://ier.gov.ro/</w:t>
      </w:r>
    </w:hyperlink>
    <w:r>
      <w:t>)</w:t>
    </w:r>
    <w:r w:rsidR="0045116D">
      <w:rPr>
        <w:noProof/>
        <w:lang w:val="en-US"/>
      </w:rPr>
      <w:drawing>
        <wp:inline distT="0" distB="0" distL="0" distR="0" wp14:anchorId="266FA4CD" wp14:editId="10056086">
          <wp:extent cx="2962275" cy="1219200"/>
          <wp:effectExtent l="0" t="0" r="9525" b="0"/>
          <wp:docPr id="20" name="Picture 20" descr="R:\1_Graphics&amp;Web\Court_Graphic_Charter\2013\ECHR_Stationery\Documents_and_Letters\Cover_Pages_And_Docs\White_600_dpi\ECHR_CoverpageCS61_ECHR_Coverpage_Header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1_Graphics&amp;Web\Court_Graphic_Charter\2013\ECHR_Stationery\Documents_and_Letters\Cover_Pages_And_Docs\White_600_dpi\ECHR_CoverpageCS61_ECHR_Coverpage_Header_Black.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962275" cy="1219200"/>
                  </a:xfrm>
                  <a:prstGeom prst="rect">
                    <a:avLst/>
                  </a:prstGeom>
                  <a:noFill/>
                  <a:ln>
                    <a:noFill/>
                  </a:ln>
                </pic:spPr>
              </pic:pic>
            </a:graphicData>
          </a:graphic>
        </wp:inline>
      </w:drawing>
    </w:r>
    <w:bookmarkStart w:id="42" w:name="_GoBack"/>
    <w:bookmarkEnd w:id="42"/>
  </w:p>
  <w:p w14:paraId="6AB5558F" w14:textId="2352A105" w:rsidR="00112D62" w:rsidRDefault="00817A85" w:rsidP="003146E4">
    <w:pPr>
      <w:jc w:val="center"/>
    </w:pPr>
  </w:p>
  <w:p w14:paraId="42E00DCB" w14:textId="77777777" w:rsidR="0069130D" w:rsidRPr="0045116D" w:rsidRDefault="0069130D" w:rsidP="003146E4">
    <w:pP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D670191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23283F3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2F369A7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3346880A"/>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552A83E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85AC83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7486FE2"/>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A528BA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66C20B0"/>
    <w:lvl w:ilvl="0">
      <w:start w:val="1"/>
      <w:numFmt w:val="decimal"/>
      <w:pStyle w:val="ListNumber"/>
      <w:lvlText w:val="%1."/>
      <w:lvlJc w:val="left"/>
      <w:pPr>
        <w:tabs>
          <w:tab w:val="num" w:pos="360"/>
        </w:tabs>
        <w:ind w:left="360" w:hanging="360"/>
      </w:pPr>
    </w:lvl>
  </w:abstractNum>
  <w:abstractNum w:abstractNumId="9" w15:restartNumberingAfterBreak="0">
    <w:nsid w:val="0C0F5BFC"/>
    <w:multiLevelType w:val="multilevel"/>
    <w:tmpl w:val="EE20E2DE"/>
    <w:lvl w:ilvl="0">
      <w:start w:val="1"/>
      <w:numFmt w:val="none"/>
      <w:pStyle w:val="JuHHead"/>
      <w:suff w:val="nothing"/>
      <w:lvlText w:val="%1"/>
      <w:lvlJc w:val="left"/>
      <w:pPr>
        <w:ind w:left="0" w:firstLine="0"/>
      </w:pPr>
      <w:rPr>
        <w:rFonts w:hint="default"/>
      </w:rPr>
    </w:lvl>
    <w:lvl w:ilvl="1">
      <w:start w:val="1"/>
      <w:numFmt w:val="upperRoman"/>
      <w:pStyle w:val="JuHIRoman"/>
      <w:lvlText w:val="%2."/>
      <w:lvlJc w:val="left"/>
      <w:pPr>
        <w:ind w:left="369" w:hanging="369"/>
      </w:pPr>
      <w:rPr>
        <w:rFonts w:hint="default"/>
      </w:rPr>
    </w:lvl>
    <w:lvl w:ilvl="2">
      <w:start w:val="1"/>
      <w:numFmt w:val="upperLetter"/>
      <w:pStyle w:val="JuHA"/>
      <w:lvlText w:val="%3."/>
      <w:lvlJc w:val="left"/>
      <w:pPr>
        <w:ind w:left="510" w:hanging="340"/>
      </w:pPr>
      <w:rPr>
        <w:rFonts w:hint="default"/>
      </w:rPr>
    </w:lvl>
    <w:lvl w:ilvl="3">
      <w:start w:val="1"/>
      <w:numFmt w:val="decimal"/>
      <w:pStyle w:val="JuH1"/>
      <w:lvlText w:val="%4."/>
      <w:lvlJc w:val="left"/>
      <w:pPr>
        <w:ind w:left="680" w:hanging="340"/>
      </w:pPr>
      <w:rPr>
        <w:rFonts w:hint="default"/>
      </w:rPr>
    </w:lvl>
    <w:lvl w:ilvl="4">
      <w:start w:val="1"/>
      <w:numFmt w:val="lowerLetter"/>
      <w:pStyle w:val="JuHa0"/>
      <w:lvlText w:val="%5)"/>
      <w:lvlJc w:val="left"/>
      <w:pPr>
        <w:ind w:left="851" w:hanging="341"/>
      </w:pPr>
      <w:rPr>
        <w:rFonts w:hint="default"/>
      </w:rPr>
    </w:lvl>
    <w:lvl w:ilvl="5">
      <w:start w:val="1"/>
      <w:numFmt w:val="lowerRoman"/>
      <w:pStyle w:val="JuHi"/>
      <w:lvlText w:val="%6."/>
      <w:lvlJc w:val="left"/>
      <w:pPr>
        <w:ind w:left="1021" w:hanging="341"/>
      </w:pPr>
      <w:rPr>
        <w:rFonts w:hint="default"/>
      </w:rPr>
    </w:lvl>
    <w:lvl w:ilvl="6">
      <w:start w:val="1"/>
      <mc:AlternateContent>
        <mc:Choice Requires="w14">
          <w:numFmt w:val="custom" w:format="α, β, γ, ..."/>
        </mc:Choice>
        <mc:Fallback>
          <w:numFmt w:val="decimal"/>
        </mc:Fallback>
      </mc:AlternateContent>
      <w:pStyle w:val="JuHalpha"/>
      <w:lvlText w:val="%7)"/>
      <w:lvlJc w:val="left"/>
      <w:pPr>
        <w:ind w:left="1247" w:hanging="396"/>
      </w:pPr>
      <w:rPr>
        <w:rFonts w:asciiTheme="minorHAnsi" w:hAnsiTheme="minorHAnsi" w:hint="default"/>
        <w:b w:val="0"/>
        <w:i w:val="0"/>
      </w:rPr>
    </w:lvl>
    <w:lvl w:ilvl="7">
      <w:start w:val="1"/>
      <w:numFmt w:val="bullet"/>
      <w:pStyle w:val="JuH"/>
      <w:lvlText w:val="‒"/>
      <w:lvlJc w:val="left"/>
      <w:pPr>
        <w:ind w:left="1247" w:hanging="226"/>
      </w:pPr>
      <w:rPr>
        <w:rFonts w:ascii="Times New Roman" w:hAnsi="Times New Roman" w:cs="Times New Roman" w:hint="default"/>
        <w:color w:val="auto"/>
      </w:rPr>
    </w:lvl>
    <w:lvl w:ilvl="8">
      <w:start w:val="1"/>
      <w:numFmt w:val="bullet"/>
      <w:pStyle w:val="ECHRHeading9"/>
      <w:lvlText w:val="▪"/>
      <w:lvlJc w:val="left"/>
      <w:pPr>
        <w:ind w:left="1361" w:hanging="170"/>
      </w:pPr>
      <w:rPr>
        <w:rFonts w:ascii="Times New Roman" w:hAnsi="Times New Roman" w:cs="Times New Roman" w:hint="default"/>
        <w:color w:val="auto"/>
      </w:rPr>
    </w:lvl>
  </w:abstractNum>
  <w:abstractNum w:abstractNumId="10" w15:restartNumberingAfterBreak="0">
    <w:nsid w:val="1AA96CEA"/>
    <w:multiLevelType w:val="multilevel"/>
    <w:tmpl w:val="040C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1" w15:restartNumberingAfterBreak="0">
    <w:nsid w:val="1D27094A"/>
    <w:multiLevelType w:val="multilevel"/>
    <w:tmpl w:val="040C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7D5546B"/>
    <w:multiLevelType w:val="multilevel"/>
    <w:tmpl w:val="7222064C"/>
    <w:styleLink w:val="ECHRA1StyleList"/>
    <w:lvl w:ilvl="0">
      <w:start w:val="1"/>
      <w:numFmt w:val="decimal"/>
      <w:pStyle w:val="JuList"/>
      <w:lvlText w:val="%1."/>
      <w:lvlJc w:val="left"/>
      <w:pPr>
        <w:tabs>
          <w:tab w:val="num" w:pos="340"/>
        </w:tabs>
        <w:ind w:left="340" w:hanging="340"/>
      </w:pPr>
      <w:rPr>
        <w:rFonts w:hint="default"/>
      </w:rPr>
    </w:lvl>
    <w:lvl w:ilvl="1">
      <w:start w:val="1"/>
      <w:numFmt w:val="lowerLetter"/>
      <w:pStyle w:val="JuLista"/>
      <w:lvlText w:val="%2)"/>
      <w:lvlJc w:val="left"/>
      <w:pPr>
        <w:tabs>
          <w:tab w:val="num" w:pos="680"/>
        </w:tabs>
        <w:ind w:left="680" w:hanging="340"/>
      </w:pPr>
      <w:rPr>
        <w:rFonts w:hint="default"/>
      </w:rPr>
    </w:lvl>
    <w:lvl w:ilvl="2">
      <w:start w:val="1"/>
      <w:numFmt w:val="lowerRoman"/>
      <w:pStyle w:val="JuListi"/>
      <w:suff w:val="space"/>
      <w:lvlText w:val="%3."/>
      <w:lvlJc w:val="left"/>
      <w:pPr>
        <w:ind w:left="907" w:hanging="22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40B939E1"/>
    <w:multiLevelType w:val="multilevel"/>
    <w:tmpl w:val="040C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4989571C"/>
    <w:multiLevelType w:val="multilevel"/>
    <w:tmpl w:val="EFC26858"/>
    <w:styleLink w:val="ECHRA1StyleBulletedSquare"/>
    <w:lvl w:ilvl="0">
      <w:start w:val="1"/>
      <w:numFmt w:val="bullet"/>
      <w:pStyle w:val="ECHRBullet1"/>
      <w:lvlText w:val=""/>
      <w:lvlJc w:val="left"/>
      <w:pPr>
        <w:tabs>
          <w:tab w:val="num" w:pos="851"/>
        </w:tabs>
        <w:ind w:left="851" w:hanging="284"/>
      </w:pPr>
      <w:rPr>
        <w:rFonts w:ascii="Wingdings" w:hAnsi="Wingdings" w:hint="default"/>
        <w:color w:val="0072BC" w:themeColor="background1"/>
      </w:rPr>
    </w:lvl>
    <w:lvl w:ilvl="1">
      <w:start w:val="1"/>
      <w:numFmt w:val="bullet"/>
      <w:pStyle w:val="ECHRBullet2"/>
      <w:lvlText w:val=""/>
      <w:lvlJc w:val="left"/>
      <w:pPr>
        <w:tabs>
          <w:tab w:val="num" w:pos="1134"/>
        </w:tabs>
        <w:ind w:left="1135" w:hanging="284"/>
      </w:pPr>
      <w:rPr>
        <w:rFonts w:ascii="Wingdings" w:hAnsi="Wingdings" w:hint="default"/>
        <w:color w:val="0072BC" w:themeColor="background1"/>
      </w:rPr>
    </w:lvl>
    <w:lvl w:ilvl="2">
      <w:start w:val="1"/>
      <w:numFmt w:val="bullet"/>
      <w:pStyle w:val="ECHRBullet3"/>
      <w:lvlText w:val=""/>
      <w:lvlJc w:val="left"/>
      <w:pPr>
        <w:tabs>
          <w:tab w:val="num" w:pos="1418"/>
        </w:tabs>
        <w:ind w:left="1419" w:hanging="284"/>
      </w:pPr>
      <w:rPr>
        <w:rFonts w:ascii="Wingdings" w:hAnsi="Wingdings" w:hint="default"/>
        <w:color w:val="7F7F7F" w:themeColor="text1" w:themeTint="80"/>
      </w:rPr>
    </w:lvl>
    <w:lvl w:ilvl="3">
      <w:start w:val="1"/>
      <w:numFmt w:val="bullet"/>
      <w:pStyle w:val="ECHRBullet4"/>
      <w:lvlText w:val=""/>
      <w:lvlJc w:val="left"/>
      <w:pPr>
        <w:tabs>
          <w:tab w:val="num" w:pos="1701"/>
        </w:tabs>
        <w:ind w:left="1703" w:hanging="284"/>
      </w:pPr>
      <w:rPr>
        <w:rFonts w:ascii="Wingdings" w:hAnsi="Wingdings" w:hint="default"/>
        <w:color w:val="7F7F7F" w:themeColor="text1" w:themeTint="80"/>
      </w:rPr>
    </w:lvl>
    <w:lvl w:ilvl="4">
      <w:start w:val="1"/>
      <w:numFmt w:val="bullet"/>
      <w:lvlText w:val=""/>
      <w:lvlJc w:val="left"/>
      <w:pPr>
        <w:tabs>
          <w:tab w:val="num" w:pos="1760"/>
        </w:tabs>
        <w:ind w:left="1987" w:hanging="284"/>
      </w:pPr>
      <w:rPr>
        <w:rFonts w:ascii="Wingdings" w:hAnsi="Wingdings" w:hint="default"/>
        <w:color w:val="0072BC" w:themeColor="background1"/>
      </w:rPr>
    </w:lvl>
    <w:lvl w:ilvl="5">
      <w:start w:val="1"/>
      <w:numFmt w:val="bullet"/>
      <w:lvlText w:val=""/>
      <w:lvlJc w:val="left"/>
      <w:pPr>
        <w:tabs>
          <w:tab w:val="num" w:pos="2044"/>
        </w:tabs>
        <w:ind w:left="2271" w:hanging="284"/>
      </w:pPr>
      <w:rPr>
        <w:rFonts w:ascii="Wingdings" w:hAnsi="Wingdings" w:hint="default"/>
        <w:color w:val="5F5F5F" w:themeColor="accent5"/>
      </w:rPr>
    </w:lvl>
    <w:lvl w:ilvl="6">
      <w:start w:val="1"/>
      <w:numFmt w:val="bullet"/>
      <w:lvlText w:val=""/>
      <w:lvlJc w:val="left"/>
      <w:pPr>
        <w:tabs>
          <w:tab w:val="num" w:pos="2328"/>
        </w:tabs>
        <w:ind w:left="2555" w:hanging="284"/>
      </w:pPr>
      <w:rPr>
        <w:rFonts w:ascii="Symbol" w:hAnsi="Symbol" w:hint="default"/>
      </w:rPr>
    </w:lvl>
    <w:lvl w:ilvl="7">
      <w:start w:val="1"/>
      <w:numFmt w:val="bullet"/>
      <w:lvlText w:val="o"/>
      <w:lvlJc w:val="left"/>
      <w:pPr>
        <w:tabs>
          <w:tab w:val="num" w:pos="2612"/>
        </w:tabs>
        <w:ind w:left="2839" w:hanging="284"/>
      </w:pPr>
      <w:rPr>
        <w:rFonts w:ascii="Courier New" w:hAnsi="Courier New" w:hint="default"/>
      </w:rPr>
    </w:lvl>
    <w:lvl w:ilvl="8">
      <w:start w:val="1"/>
      <w:numFmt w:val="bullet"/>
      <w:lvlText w:val=""/>
      <w:lvlJc w:val="left"/>
      <w:pPr>
        <w:tabs>
          <w:tab w:val="num" w:pos="2896"/>
        </w:tabs>
        <w:ind w:left="3123" w:hanging="284"/>
      </w:pPr>
      <w:rPr>
        <w:rFonts w:ascii="Wingdings" w:hAnsi="Wingdings" w:hint="default"/>
      </w:rPr>
    </w:lvl>
  </w:abstractNum>
  <w:abstractNum w:abstractNumId="15" w15:restartNumberingAfterBreak="0">
    <w:nsid w:val="5032512D"/>
    <w:multiLevelType w:val="multilevel"/>
    <w:tmpl w:val="9B34AC6C"/>
    <w:styleLink w:val="ECHRA1StyleNumberedList"/>
    <w:lvl w:ilvl="0">
      <w:start w:val="1"/>
      <w:numFmt w:val="decimal"/>
      <w:pStyle w:val="ECHRNumberedList1"/>
      <w:lvlText w:val="%1."/>
      <w:lvlJc w:val="left"/>
      <w:pPr>
        <w:tabs>
          <w:tab w:val="num" w:pos="964"/>
        </w:tabs>
        <w:ind w:left="964" w:hanging="397"/>
      </w:pPr>
      <w:rPr>
        <w:rFonts w:hint="default"/>
      </w:rPr>
    </w:lvl>
    <w:lvl w:ilvl="1">
      <w:start w:val="1"/>
      <w:numFmt w:val="lowerLetter"/>
      <w:pStyle w:val="ECHRNumberedList2"/>
      <w:lvlText w:val="%2."/>
      <w:lvlJc w:val="left"/>
      <w:pPr>
        <w:tabs>
          <w:tab w:val="num" w:pos="1361"/>
        </w:tabs>
        <w:ind w:left="1361" w:hanging="397"/>
      </w:pPr>
      <w:rPr>
        <w:rFonts w:hint="default"/>
      </w:rPr>
    </w:lvl>
    <w:lvl w:ilvl="2">
      <w:start w:val="1"/>
      <w:numFmt w:val="lowerRoman"/>
      <w:pStyle w:val="ECHRNumberedList3"/>
      <w:lvlText w:val="%3."/>
      <w:lvlJc w:val="left"/>
      <w:pPr>
        <w:tabs>
          <w:tab w:val="num" w:pos="1758"/>
        </w:tabs>
        <w:ind w:left="1758" w:hanging="397"/>
      </w:pPr>
      <w:rPr>
        <w:rFonts w:hint="default"/>
      </w:rPr>
    </w:lvl>
    <w:lvl w:ilvl="3">
      <w:start w:val="1"/>
      <w:numFmt w:val="decimal"/>
      <w:lvlText w:val="(%4)"/>
      <w:lvlJc w:val="left"/>
      <w:pPr>
        <w:tabs>
          <w:tab w:val="num" w:pos="1703"/>
        </w:tabs>
        <w:ind w:left="1703" w:hanging="284"/>
      </w:pPr>
      <w:rPr>
        <w:rFonts w:hint="default"/>
      </w:rPr>
    </w:lvl>
    <w:lvl w:ilvl="4">
      <w:start w:val="1"/>
      <w:numFmt w:val="lowerLetter"/>
      <w:lvlText w:val="(%5)"/>
      <w:lvlJc w:val="left"/>
      <w:pPr>
        <w:tabs>
          <w:tab w:val="num" w:pos="1987"/>
        </w:tabs>
        <w:ind w:left="1987" w:hanging="284"/>
      </w:pPr>
      <w:rPr>
        <w:rFonts w:hint="default"/>
      </w:rPr>
    </w:lvl>
    <w:lvl w:ilvl="5">
      <w:start w:val="1"/>
      <w:numFmt w:val="lowerRoman"/>
      <w:lvlText w:val="(%6)"/>
      <w:lvlJc w:val="left"/>
      <w:pPr>
        <w:tabs>
          <w:tab w:val="num" w:pos="2271"/>
        </w:tabs>
        <w:ind w:left="2271" w:hanging="284"/>
      </w:pPr>
      <w:rPr>
        <w:rFonts w:hint="default"/>
      </w:rPr>
    </w:lvl>
    <w:lvl w:ilvl="6">
      <w:start w:val="1"/>
      <w:numFmt w:val="decimal"/>
      <w:lvlText w:val="%7."/>
      <w:lvlJc w:val="left"/>
      <w:pPr>
        <w:tabs>
          <w:tab w:val="num" w:pos="2555"/>
        </w:tabs>
        <w:ind w:left="2555" w:hanging="284"/>
      </w:pPr>
      <w:rPr>
        <w:rFonts w:hint="default"/>
      </w:rPr>
    </w:lvl>
    <w:lvl w:ilvl="7">
      <w:start w:val="1"/>
      <w:numFmt w:val="lowerLetter"/>
      <w:lvlText w:val="%8."/>
      <w:lvlJc w:val="left"/>
      <w:pPr>
        <w:tabs>
          <w:tab w:val="num" w:pos="2839"/>
        </w:tabs>
        <w:ind w:left="2839" w:hanging="284"/>
      </w:pPr>
      <w:rPr>
        <w:rFonts w:hint="default"/>
      </w:rPr>
    </w:lvl>
    <w:lvl w:ilvl="8">
      <w:start w:val="1"/>
      <w:numFmt w:val="lowerRoman"/>
      <w:lvlText w:val="%9."/>
      <w:lvlJc w:val="left"/>
      <w:pPr>
        <w:tabs>
          <w:tab w:val="num" w:pos="3123"/>
        </w:tabs>
        <w:ind w:left="3123" w:hanging="284"/>
      </w:pPr>
      <w:rPr>
        <w:rFonts w:hint="default"/>
      </w:rPr>
    </w:lvl>
  </w:abstractNum>
  <w:abstractNum w:abstractNumId="16" w15:restartNumberingAfterBreak="0">
    <w:nsid w:val="67FD1241"/>
    <w:multiLevelType w:val="hybridMultilevel"/>
    <w:tmpl w:val="F6D86CC2"/>
    <w:lvl w:ilvl="0" w:tplc="E4205412">
      <w:start w:val="1"/>
      <w:numFmt w:val="bullet"/>
      <w:pStyle w:val="ListBullet"/>
      <w:lvlText w:val=""/>
      <w:lvlJc w:val="left"/>
      <w:pPr>
        <w:tabs>
          <w:tab w:val="num" w:pos="851"/>
        </w:tabs>
        <w:ind w:left="568" w:firstLine="0"/>
      </w:pPr>
      <w:rPr>
        <w:rFonts w:ascii="Wingdings" w:hAnsi="Wingdings" w:hint="default"/>
        <w:color w:val="808080"/>
        <w:sz w:val="16"/>
      </w:rPr>
    </w:lvl>
    <w:lvl w:ilvl="1" w:tplc="08090003" w:tentative="1">
      <w:start w:val="1"/>
      <w:numFmt w:val="bullet"/>
      <w:lvlText w:val="o"/>
      <w:lvlJc w:val="left"/>
      <w:pPr>
        <w:tabs>
          <w:tab w:val="num" w:pos="1724"/>
        </w:tabs>
        <w:ind w:left="1724" w:hanging="360"/>
      </w:pPr>
      <w:rPr>
        <w:rFonts w:ascii="Courier New" w:hAnsi="Courier New" w:cs="Courier New" w:hint="default"/>
      </w:rPr>
    </w:lvl>
    <w:lvl w:ilvl="2" w:tplc="08090005" w:tentative="1">
      <w:start w:val="1"/>
      <w:numFmt w:val="bullet"/>
      <w:lvlText w:val=""/>
      <w:lvlJc w:val="left"/>
      <w:pPr>
        <w:tabs>
          <w:tab w:val="num" w:pos="2444"/>
        </w:tabs>
        <w:ind w:left="2444" w:hanging="360"/>
      </w:pPr>
      <w:rPr>
        <w:rFonts w:ascii="Wingdings" w:hAnsi="Wingdings" w:hint="default"/>
      </w:rPr>
    </w:lvl>
    <w:lvl w:ilvl="3" w:tplc="08090001" w:tentative="1">
      <w:start w:val="1"/>
      <w:numFmt w:val="bullet"/>
      <w:lvlText w:val=""/>
      <w:lvlJc w:val="left"/>
      <w:pPr>
        <w:tabs>
          <w:tab w:val="num" w:pos="3164"/>
        </w:tabs>
        <w:ind w:left="3164" w:hanging="360"/>
      </w:pPr>
      <w:rPr>
        <w:rFonts w:ascii="Symbol" w:hAnsi="Symbol" w:hint="default"/>
      </w:rPr>
    </w:lvl>
    <w:lvl w:ilvl="4" w:tplc="08090003" w:tentative="1">
      <w:start w:val="1"/>
      <w:numFmt w:val="bullet"/>
      <w:lvlText w:val="o"/>
      <w:lvlJc w:val="left"/>
      <w:pPr>
        <w:tabs>
          <w:tab w:val="num" w:pos="3884"/>
        </w:tabs>
        <w:ind w:left="3884" w:hanging="360"/>
      </w:pPr>
      <w:rPr>
        <w:rFonts w:ascii="Courier New" w:hAnsi="Courier New" w:cs="Courier New" w:hint="default"/>
      </w:rPr>
    </w:lvl>
    <w:lvl w:ilvl="5" w:tplc="08090005" w:tentative="1">
      <w:start w:val="1"/>
      <w:numFmt w:val="bullet"/>
      <w:lvlText w:val=""/>
      <w:lvlJc w:val="left"/>
      <w:pPr>
        <w:tabs>
          <w:tab w:val="num" w:pos="4604"/>
        </w:tabs>
        <w:ind w:left="4604" w:hanging="360"/>
      </w:pPr>
      <w:rPr>
        <w:rFonts w:ascii="Wingdings" w:hAnsi="Wingdings" w:hint="default"/>
      </w:rPr>
    </w:lvl>
    <w:lvl w:ilvl="6" w:tplc="08090001" w:tentative="1">
      <w:start w:val="1"/>
      <w:numFmt w:val="bullet"/>
      <w:lvlText w:val=""/>
      <w:lvlJc w:val="left"/>
      <w:pPr>
        <w:tabs>
          <w:tab w:val="num" w:pos="5324"/>
        </w:tabs>
        <w:ind w:left="5324" w:hanging="360"/>
      </w:pPr>
      <w:rPr>
        <w:rFonts w:ascii="Symbol" w:hAnsi="Symbol" w:hint="default"/>
      </w:rPr>
    </w:lvl>
    <w:lvl w:ilvl="7" w:tplc="08090003" w:tentative="1">
      <w:start w:val="1"/>
      <w:numFmt w:val="bullet"/>
      <w:lvlText w:val="o"/>
      <w:lvlJc w:val="left"/>
      <w:pPr>
        <w:tabs>
          <w:tab w:val="num" w:pos="6044"/>
        </w:tabs>
        <w:ind w:left="6044" w:hanging="360"/>
      </w:pPr>
      <w:rPr>
        <w:rFonts w:ascii="Courier New" w:hAnsi="Courier New" w:cs="Courier New" w:hint="default"/>
      </w:rPr>
    </w:lvl>
    <w:lvl w:ilvl="8" w:tplc="08090005" w:tentative="1">
      <w:start w:val="1"/>
      <w:numFmt w:val="bullet"/>
      <w:lvlText w:val=""/>
      <w:lvlJc w:val="left"/>
      <w:pPr>
        <w:tabs>
          <w:tab w:val="num" w:pos="6764"/>
        </w:tabs>
        <w:ind w:left="6764" w:hanging="360"/>
      </w:pPr>
      <w:rPr>
        <w:rFonts w:ascii="Wingdings" w:hAnsi="Wingdings" w:hint="default"/>
      </w:rPr>
    </w:lvl>
  </w:abstractNum>
  <w:num w:numId="1">
    <w:abstractNumId w:val="13"/>
  </w:num>
  <w:num w:numId="2">
    <w:abstractNumId w:val="11"/>
  </w:num>
  <w:num w:numId="3">
    <w:abstractNumId w:val="10"/>
  </w:num>
  <w:num w:numId="4">
    <w:abstractNumId w:val="16"/>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9"/>
  </w:num>
  <w:num w:numId="15">
    <w:abstractNumId w:val="14"/>
  </w:num>
  <w:num w:numId="16">
    <w:abstractNumId w:val="12"/>
  </w:num>
  <w:num w:numId="17">
    <w:abstractNumId w:val="1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stylePaneFormatFilter w:val="D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1"/>
  <w:defaultTabStop w:val="720"/>
  <w:hyphenationZone w:val="425"/>
  <w:evenAndOddHeaders/>
  <w:drawingGridHorizontalSpacing w:val="110"/>
  <w:displayHorizontalDrawingGridEvery w:val="2"/>
  <w:displayVerticalDrawingGridEvery w:val="2"/>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pplicationsApp" w:val="1"/>
    <w:docVar w:name="EMM" w:val="0"/>
    <w:docVar w:name="NBEMMDOC" w:val="0"/>
    <w:docVar w:name="Plural" w:val="0"/>
  </w:docVars>
  <w:rsids>
    <w:rsidRoot w:val="0045116D"/>
    <w:rsid w:val="000041F8"/>
    <w:rsid w:val="000042A8"/>
    <w:rsid w:val="00004308"/>
    <w:rsid w:val="00005BF0"/>
    <w:rsid w:val="00007154"/>
    <w:rsid w:val="0001025C"/>
    <w:rsid w:val="000103AE"/>
    <w:rsid w:val="00011D69"/>
    <w:rsid w:val="00012AD3"/>
    <w:rsid w:val="00015C2D"/>
    <w:rsid w:val="00015F00"/>
    <w:rsid w:val="00022C1D"/>
    <w:rsid w:val="000279B8"/>
    <w:rsid w:val="00034987"/>
    <w:rsid w:val="00050A32"/>
    <w:rsid w:val="000602DF"/>
    <w:rsid w:val="00061B05"/>
    <w:rsid w:val="000632D5"/>
    <w:rsid w:val="000644EE"/>
    <w:rsid w:val="000925AD"/>
    <w:rsid w:val="000A24EB"/>
    <w:rsid w:val="000B6923"/>
    <w:rsid w:val="000C5F3C"/>
    <w:rsid w:val="000C6DCC"/>
    <w:rsid w:val="000D47AA"/>
    <w:rsid w:val="000D721F"/>
    <w:rsid w:val="000E069B"/>
    <w:rsid w:val="000E0E82"/>
    <w:rsid w:val="000E1DC5"/>
    <w:rsid w:val="000E223F"/>
    <w:rsid w:val="000E7D45"/>
    <w:rsid w:val="000F7851"/>
    <w:rsid w:val="00104E23"/>
    <w:rsid w:val="00111B0C"/>
    <w:rsid w:val="00120D6C"/>
    <w:rsid w:val="001257EC"/>
    <w:rsid w:val="00133D33"/>
    <w:rsid w:val="00134D64"/>
    <w:rsid w:val="00135A30"/>
    <w:rsid w:val="0013612C"/>
    <w:rsid w:val="00137FF6"/>
    <w:rsid w:val="00141650"/>
    <w:rsid w:val="00162A12"/>
    <w:rsid w:val="001641A2"/>
    <w:rsid w:val="00166234"/>
    <w:rsid w:val="00166530"/>
    <w:rsid w:val="0016678F"/>
    <w:rsid w:val="001832BD"/>
    <w:rsid w:val="001845EE"/>
    <w:rsid w:val="001943B5"/>
    <w:rsid w:val="00195134"/>
    <w:rsid w:val="001A145B"/>
    <w:rsid w:val="001A674C"/>
    <w:rsid w:val="001B2A94"/>
    <w:rsid w:val="001B3B24"/>
    <w:rsid w:val="001C0F98"/>
    <w:rsid w:val="001C2A42"/>
    <w:rsid w:val="001D4B94"/>
    <w:rsid w:val="001D63ED"/>
    <w:rsid w:val="001D7348"/>
    <w:rsid w:val="001E035B"/>
    <w:rsid w:val="001E0961"/>
    <w:rsid w:val="001E3EAE"/>
    <w:rsid w:val="001E6F32"/>
    <w:rsid w:val="001F2145"/>
    <w:rsid w:val="001F6262"/>
    <w:rsid w:val="001F67B0"/>
    <w:rsid w:val="001F7B3D"/>
    <w:rsid w:val="00205F9F"/>
    <w:rsid w:val="00210338"/>
    <w:rsid w:val="002115FC"/>
    <w:rsid w:val="0021423C"/>
    <w:rsid w:val="00230D00"/>
    <w:rsid w:val="00231DF7"/>
    <w:rsid w:val="00231FD1"/>
    <w:rsid w:val="002339E0"/>
    <w:rsid w:val="00233CF8"/>
    <w:rsid w:val="00234E8A"/>
    <w:rsid w:val="0023575D"/>
    <w:rsid w:val="00237148"/>
    <w:rsid w:val="0024222D"/>
    <w:rsid w:val="00244B0E"/>
    <w:rsid w:val="00244F6C"/>
    <w:rsid w:val="002532C5"/>
    <w:rsid w:val="00260C03"/>
    <w:rsid w:val="0026540E"/>
    <w:rsid w:val="00275123"/>
    <w:rsid w:val="00282240"/>
    <w:rsid w:val="002948AD"/>
    <w:rsid w:val="0029729E"/>
    <w:rsid w:val="002A01CC"/>
    <w:rsid w:val="002A61B1"/>
    <w:rsid w:val="002A663C"/>
    <w:rsid w:val="002B444B"/>
    <w:rsid w:val="002B5887"/>
    <w:rsid w:val="002C0E27"/>
    <w:rsid w:val="002C3040"/>
    <w:rsid w:val="002C70BF"/>
    <w:rsid w:val="002D022D"/>
    <w:rsid w:val="002D24BB"/>
    <w:rsid w:val="002D609F"/>
    <w:rsid w:val="002F2AF7"/>
    <w:rsid w:val="002F7E1C"/>
    <w:rsid w:val="00301A75"/>
    <w:rsid w:val="00302F70"/>
    <w:rsid w:val="0030336F"/>
    <w:rsid w:val="0030375E"/>
    <w:rsid w:val="00312A30"/>
    <w:rsid w:val="00320F72"/>
    <w:rsid w:val="0032463E"/>
    <w:rsid w:val="00326224"/>
    <w:rsid w:val="003312A3"/>
    <w:rsid w:val="00334EC5"/>
    <w:rsid w:val="00337EE4"/>
    <w:rsid w:val="00340FFD"/>
    <w:rsid w:val="003506B1"/>
    <w:rsid w:val="0035621E"/>
    <w:rsid w:val="00356AC7"/>
    <w:rsid w:val="003609FA"/>
    <w:rsid w:val="003710C8"/>
    <w:rsid w:val="003750BE"/>
    <w:rsid w:val="00381AF0"/>
    <w:rsid w:val="00387B9D"/>
    <w:rsid w:val="0039055E"/>
    <w:rsid w:val="0039364F"/>
    <w:rsid w:val="00396686"/>
    <w:rsid w:val="0039778E"/>
    <w:rsid w:val="003B4941"/>
    <w:rsid w:val="003C5714"/>
    <w:rsid w:val="003C6B9F"/>
    <w:rsid w:val="003C6E2A"/>
    <w:rsid w:val="003D0299"/>
    <w:rsid w:val="003D1A95"/>
    <w:rsid w:val="003E6D80"/>
    <w:rsid w:val="003E747B"/>
    <w:rsid w:val="003F05FA"/>
    <w:rsid w:val="003F244A"/>
    <w:rsid w:val="003F30B8"/>
    <w:rsid w:val="003F4C45"/>
    <w:rsid w:val="003F5F7B"/>
    <w:rsid w:val="003F7D64"/>
    <w:rsid w:val="0040093C"/>
    <w:rsid w:val="004047FE"/>
    <w:rsid w:val="00414300"/>
    <w:rsid w:val="00425C67"/>
    <w:rsid w:val="00427E7A"/>
    <w:rsid w:val="00436C49"/>
    <w:rsid w:val="00445366"/>
    <w:rsid w:val="00447F5B"/>
    <w:rsid w:val="0045116D"/>
    <w:rsid w:val="00461DB0"/>
    <w:rsid w:val="00463926"/>
    <w:rsid w:val="00464C9A"/>
    <w:rsid w:val="00474F3D"/>
    <w:rsid w:val="00474FDF"/>
    <w:rsid w:val="00477E3A"/>
    <w:rsid w:val="00483E5F"/>
    <w:rsid w:val="00485FF9"/>
    <w:rsid w:val="004907F0"/>
    <w:rsid w:val="0049140B"/>
    <w:rsid w:val="004923A5"/>
    <w:rsid w:val="004932C0"/>
    <w:rsid w:val="00496BFB"/>
    <w:rsid w:val="004A15C7"/>
    <w:rsid w:val="004B013B"/>
    <w:rsid w:val="004B112B"/>
    <w:rsid w:val="004C01E4"/>
    <w:rsid w:val="004C086C"/>
    <w:rsid w:val="004C1F56"/>
    <w:rsid w:val="004C27BC"/>
    <w:rsid w:val="004D15F3"/>
    <w:rsid w:val="004D5311"/>
    <w:rsid w:val="004D5DCC"/>
    <w:rsid w:val="004F10AF"/>
    <w:rsid w:val="004F11A4"/>
    <w:rsid w:val="004F2389"/>
    <w:rsid w:val="004F304D"/>
    <w:rsid w:val="004F61BE"/>
    <w:rsid w:val="004F66B1"/>
    <w:rsid w:val="00511C07"/>
    <w:rsid w:val="005173A6"/>
    <w:rsid w:val="00520BAA"/>
    <w:rsid w:val="00525208"/>
    <w:rsid w:val="005257A5"/>
    <w:rsid w:val="005264C0"/>
    <w:rsid w:val="00526A8A"/>
    <w:rsid w:val="00531DF2"/>
    <w:rsid w:val="005442EE"/>
    <w:rsid w:val="00547353"/>
    <w:rsid w:val="005474E7"/>
    <w:rsid w:val="005512A3"/>
    <w:rsid w:val="005578CE"/>
    <w:rsid w:val="00560C6F"/>
    <w:rsid w:val="00562781"/>
    <w:rsid w:val="0057271C"/>
    <w:rsid w:val="00572845"/>
    <w:rsid w:val="0058193F"/>
    <w:rsid w:val="00592772"/>
    <w:rsid w:val="0059574A"/>
    <w:rsid w:val="005A1B9B"/>
    <w:rsid w:val="005A6751"/>
    <w:rsid w:val="005A67D9"/>
    <w:rsid w:val="005B092E"/>
    <w:rsid w:val="005B152C"/>
    <w:rsid w:val="005B1EE0"/>
    <w:rsid w:val="005B284C"/>
    <w:rsid w:val="005B2B24"/>
    <w:rsid w:val="005B4425"/>
    <w:rsid w:val="005B4B94"/>
    <w:rsid w:val="005C3EE8"/>
    <w:rsid w:val="005D34F9"/>
    <w:rsid w:val="005D4190"/>
    <w:rsid w:val="005D67A3"/>
    <w:rsid w:val="005E2988"/>
    <w:rsid w:val="005E3085"/>
    <w:rsid w:val="005F51E1"/>
    <w:rsid w:val="005F675D"/>
    <w:rsid w:val="00611C80"/>
    <w:rsid w:val="00620692"/>
    <w:rsid w:val="006242CA"/>
    <w:rsid w:val="00627507"/>
    <w:rsid w:val="00633717"/>
    <w:rsid w:val="006344E1"/>
    <w:rsid w:val="006544C4"/>
    <w:rsid w:val="006545C4"/>
    <w:rsid w:val="00661971"/>
    <w:rsid w:val="00661CE8"/>
    <w:rsid w:val="006623D9"/>
    <w:rsid w:val="0066550C"/>
    <w:rsid w:val="006716F2"/>
    <w:rsid w:val="00682BF2"/>
    <w:rsid w:val="006859CE"/>
    <w:rsid w:val="00691270"/>
    <w:rsid w:val="0069130D"/>
    <w:rsid w:val="00694BA8"/>
    <w:rsid w:val="006A037C"/>
    <w:rsid w:val="006A36F4"/>
    <w:rsid w:val="006A406F"/>
    <w:rsid w:val="006A5D3A"/>
    <w:rsid w:val="006B7E08"/>
    <w:rsid w:val="006C23D4"/>
    <w:rsid w:val="006C7BB0"/>
    <w:rsid w:val="006D3237"/>
    <w:rsid w:val="006E2E37"/>
    <w:rsid w:val="006E3CF1"/>
    <w:rsid w:val="006E7E80"/>
    <w:rsid w:val="006F19B0"/>
    <w:rsid w:val="006F48CA"/>
    <w:rsid w:val="006F64DD"/>
    <w:rsid w:val="00715127"/>
    <w:rsid w:val="00715E8E"/>
    <w:rsid w:val="0071796B"/>
    <w:rsid w:val="0072106A"/>
    <w:rsid w:val="00723580"/>
    <w:rsid w:val="00723755"/>
    <w:rsid w:val="0073136C"/>
    <w:rsid w:val="00731F0F"/>
    <w:rsid w:val="00733250"/>
    <w:rsid w:val="00741404"/>
    <w:rsid w:val="007449E5"/>
    <w:rsid w:val="00747FF0"/>
    <w:rsid w:val="00764D4E"/>
    <w:rsid w:val="00765A1F"/>
    <w:rsid w:val="00775B6D"/>
    <w:rsid w:val="00776D68"/>
    <w:rsid w:val="007850EE"/>
    <w:rsid w:val="00785B95"/>
    <w:rsid w:val="00790E96"/>
    <w:rsid w:val="00793366"/>
    <w:rsid w:val="007A6280"/>
    <w:rsid w:val="007A716F"/>
    <w:rsid w:val="007B270A"/>
    <w:rsid w:val="007C0695"/>
    <w:rsid w:val="007C419A"/>
    <w:rsid w:val="007C4CC8"/>
    <w:rsid w:val="007C5426"/>
    <w:rsid w:val="007C5798"/>
    <w:rsid w:val="007D4832"/>
    <w:rsid w:val="007D7219"/>
    <w:rsid w:val="007E21B2"/>
    <w:rsid w:val="007E2C4E"/>
    <w:rsid w:val="007E3991"/>
    <w:rsid w:val="007F1905"/>
    <w:rsid w:val="00801300"/>
    <w:rsid w:val="00802C64"/>
    <w:rsid w:val="00805E52"/>
    <w:rsid w:val="008061D0"/>
    <w:rsid w:val="00810B38"/>
    <w:rsid w:val="00817A85"/>
    <w:rsid w:val="008204C7"/>
    <w:rsid w:val="00820992"/>
    <w:rsid w:val="00823602"/>
    <w:rsid w:val="008255F5"/>
    <w:rsid w:val="0083014E"/>
    <w:rsid w:val="0083214A"/>
    <w:rsid w:val="00834220"/>
    <w:rsid w:val="00845723"/>
    <w:rsid w:val="00851EF9"/>
    <w:rsid w:val="008577FD"/>
    <w:rsid w:val="00860B03"/>
    <w:rsid w:val="0086497A"/>
    <w:rsid w:val="008713A1"/>
    <w:rsid w:val="008754AB"/>
    <w:rsid w:val="0088060C"/>
    <w:rsid w:val="00884BBA"/>
    <w:rsid w:val="00893576"/>
    <w:rsid w:val="00893E73"/>
    <w:rsid w:val="008B02DC"/>
    <w:rsid w:val="008B0BD9"/>
    <w:rsid w:val="008B57CE"/>
    <w:rsid w:val="008C26DE"/>
    <w:rsid w:val="008C4AA6"/>
    <w:rsid w:val="008D2225"/>
    <w:rsid w:val="008D4752"/>
    <w:rsid w:val="008E271C"/>
    <w:rsid w:val="008E40EE"/>
    <w:rsid w:val="008E418E"/>
    <w:rsid w:val="008E5BC6"/>
    <w:rsid w:val="008E6A25"/>
    <w:rsid w:val="008F5193"/>
    <w:rsid w:val="009013A7"/>
    <w:rsid w:val="009017FB"/>
    <w:rsid w:val="009017FC"/>
    <w:rsid w:val="0090506B"/>
    <w:rsid w:val="009050C9"/>
    <w:rsid w:val="009066FC"/>
    <w:rsid w:val="009140A3"/>
    <w:rsid w:val="009144A2"/>
    <w:rsid w:val="0091478F"/>
    <w:rsid w:val="0091510C"/>
    <w:rsid w:val="00924E78"/>
    <w:rsid w:val="009259AC"/>
    <w:rsid w:val="00926F38"/>
    <w:rsid w:val="00934301"/>
    <w:rsid w:val="00934A97"/>
    <w:rsid w:val="00936CD1"/>
    <w:rsid w:val="00941747"/>
    <w:rsid w:val="0094178F"/>
    <w:rsid w:val="00941EFB"/>
    <w:rsid w:val="00947AFB"/>
    <w:rsid w:val="00951D7D"/>
    <w:rsid w:val="009630C7"/>
    <w:rsid w:val="00972B55"/>
    <w:rsid w:val="009743B7"/>
    <w:rsid w:val="00977DA8"/>
    <w:rsid w:val="0098228B"/>
    <w:rsid w:val="009828DA"/>
    <w:rsid w:val="00985BAB"/>
    <w:rsid w:val="009B1B5F"/>
    <w:rsid w:val="009B6673"/>
    <w:rsid w:val="009C191B"/>
    <w:rsid w:val="009C2BD6"/>
    <w:rsid w:val="009E1F32"/>
    <w:rsid w:val="009E776C"/>
    <w:rsid w:val="009F1D6B"/>
    <w:rsid w:val="00A1102F"/>
    <w:rsid w:val="00A1726E"/>
    <w:rsid w:val="00A204CF"/>
    <w:rsid w:val="00A23D49"/>
    <w:rsid w:val="00A27004"/>
    <w:rsid w:val="00A30C29"/>
    <w:rsid w:val="00A34DD6"/>
    <w:rsid w:val="00A36819"/>
    <w:rsid w:val="00A36989"/>
    <w:rsid w:val="00A43628"/>
    <w:rsid w:val="00A54192"/>
    <w:rsid w:val="00A55CE9"/>
    <w:rsid w:val="00A6035E"/>
    <w:rsid w:val="00A6144C"/>
    <w:rsid w:val="00A66617"/>
    <w:rsid w:val="00A671F8"/>
    <w:rsid w:val="00A673A4"/>
    <w:rsid w:val="00A724AE"/>
    <w:rsid w:val="00A73329"/>
    <w:rsid w:val="00A82359"/>
    <w:rsid w:val="00A865D2"/>
    <w:rsid w:val="00A94C20"/>
    <w:rsid w:val="00AA03C0"/>
    <w:rsid w:val="00AA227F"/>
    <w:rsid w:val="00AA3BC7"/>
    <w:rsid w:val="00AA754A"/>
    <w:rsid w:val="00AB099E"/>
    <w:rsid w:val="00AB4328"/>
    <w:rsid w:val="00AC6FC1"/>
    <w:rsid w:val="00AD4F05"/>
    <w:rsid w:val="00AE0A2E"/>
    <w:rsid w:val="00AE354C"/>
    <w:rsid w:val="00AF4B07"/>
    <w:rsid w:val="00AF6186"/>
    <w:rsid w:val="00AF7102"/>
    <w:rsid w:val="00AF7A3A"/>
    <w:rsid w:val="00B01FB0"/>
    <w:rsid w:val="00B160DB"/>
    <w:rsid w:val="00B17D73"/>
    <w:rsid w:val="00B20836"/>
    <w:rsid w:val="00B235BB"/>
    <w:rsid w:val="00B27A44"/>
    <w:rsid w:val="00B30BBF"/>
    <w:rsid w:val="00B33C03"/>
    <w:rsid w:val="00B44E56"/>
    <w:rsid w:val="00B46543"/>
    <w:rsid w:val="00B47D33"/>
    <w:rsid w:val="00B52BE0"/>
    <w:rsid w:val="00B54133"/>
    <w:rsid w:val="00B615B9"/>
    <w:rsid w:val="00B701ED"/>
    <w:rsid w:val="00B8086C"/>
    <w:rsid w:val="00B83A72"/>
    <w:rsid w:val="00B861B4"/>
    <w:rsid w:val="00B86DFE"/>
    <w:rsid w:val="00B87FB1"/>
    <w:rsid w:val="00B90990"/>
    <w:rsid w:val="00B922FF"/>
    <w:rsid w:val="00B9281E"/>
    <w:rsid w:val="00B93925"/>
    <w:rsid w:val="00B95187"/>
    <w:rsid w:val="00BA1CA3"/>
    <w:rsid w:val="00BA2D55"/>
    <w:rsid w:val="00BA71B1"/>
    <w:rsid w:val="00BB0637"/>
    <w:rsid w:val="00BB312C"/>
    <w:rsid w:val="00BB345F"/>
    <w:rsid w:val="00BB68EA"/>
    <w:rsid w:val="00BC1C27"/>
    <w:rsid w:val="00BC1D19"/>
    <w:rsid w:val="00BC6BBF"/>
    <w:rsid w:val="00BD1572"/>
    <w:rsid w:val="00BE14E3"/>
    <w:rsid w:val="00BE3774"/>
    <w:rsid w:val="00BE41E5"/>
    <w:rsid w:val="00BF4109"/>
    <w:rsid w:val="00BF4CC3"/>
    <w:rsid w:val="00C054C7"/>
    <w:rsid w:val="00C057B5"/>
    <w:rsid w:val="00C22687"/>
    <w:rsid w:val="00C32E4D"/>
    <w:rsid w:val="00C333A0"/>
    <w:rsid w:val="00C36408"/>
    <w:rsid w:val="00C36A81"/>
    <w:rsid w:val="00C41974"/>
    <w:rsid w:val="00C53F4A"/>
    <w:rsid w:val="00C54125"/>
    <w:rsid w:val="00C559CB"/>
    <w:rsid w:val="00C55B54"/>
    <w:rsid w:val="00C6098E"/>
    <w:rsid w:val="00C6152C"/>
    <w:rsid w:val="00C64EBF"/>
    <w:rsid w:val="00C74810"/>
    <w:rsid w:val="00C90D68"/>
    <w:rsid w:val="00C939FE"/>
    <w:rsid w:val="00CA4BDA"/>
    <w:rsid w:val="00CA4E6C"/>
    <w:rsid w:val="00CB1F66"/>
    <w:rsid w:val="00CB2951"/>
    <w:rsid w:val="00CD282B"/>
    <w:rsid w:val="00CD4C35"/>
    <w:rsid w:val="00CD7369"/>
    <w:rsid w:val="00CE0B0E"/>
    <w:rsid w:val="00CE3831"/>
    <w:rsid w:val="00CE6ED9"/>
    <w:rsid w:val="00D00ABB"/>
    <w:rsid w:val="00D02EEC"/>
    <w:rsid w:val="00D03551"/>
    <w:rsid w:val="00D06A63"/>
    <w:rsid w:val="00D07E0E"/>
    <w:rsid w:val="00D11478"/>
    <w:rsid w:val="00D15ED0"/>
    <w:rsid w:val="00D21B3E"/>
    <w:rsid w:val="00D21FED"/>
    <w:rsid w:val="00D24251"/>
    <w:rsid w:val="00D32B57"/>
    <w:rsid w:val="00D343E2"/>
    <w:rsid w:val="00D361A2"/>
    <w:rsid w:val="00D43F5E"/>
    <w:rsid w:val="00D44C2E"/>
    <w:rsid w:val="00D45414"/>
    <w:rsid w:val="00D566BD"/>
    <w:rsid w:val="00D57A4D"/>
    <w:rsid w:val="00D60AA7"/>
    <w:rsid w:val="00D6435F"/>
    <w:rsid w:val="00D75E28"/>
    <w:rsid w:val="00D772C2"/>
    <w:rsid w:val="00D8008E"/>
    <w:rsid w:val="00D82C45"/>
    <w:rsid w:val="00D908A8"/>
    <w:rsid w:val="00D90EB3"/>
    <w:rsid w:val="00D91EA0"/>
    <w:rsid w:val="00D977B6"/>
    <w:rsid w:val="00DA4A31"/>
    <w:rsid w:val="00DA7B04"/>
    <w:rsid w:val="00DB36C2"/>
    <w:rsid w:val="00DC169B"/>
    <w:rsid w:val="00DC2AB9"/>
    <w:rsid w:val="00DC63F0"/>
    <w:rsid w:val="00DD6EE5"/>
    <w:rsid w:val="00DE386C"/>
    <w:rsid w:val="00DE4D35"/>
    <w:rsid w:val="00DF098B"/>
    <w:rsid w:val="00DF1114"/>
    <w:rsid w:val="00DF11C4"/>
    <w:rsid w:val="00DF210C"/>
    <w:rsid w:val="00DF4B6A"/>
    <w:rsid w:val="00E02897"/>
    <w:rsid w:val="00E02C09"/>
    <w:rsid w:val="00E04D59"/>
    <w:rsid w:val="00E07DA1"/>
    <w:rsid w:val="00E123CB"/>
    <w:rsid w:val="00E17227"/>
    <w:rsid w:val="00E20E13"/>
    <w:rsid w:val="00E21DB2"/>
    <w:rsid w:val="00E21DBC"/>
    <w:rsid w:val="00E275D7"/>
    <w:rsid w:val="00E27DBE"/>
    <w:rsid w:val="00E32AB1"/>
    <w:rsid w:val="00E36C71"/>
    <w:rsid w:val="00E40404"/>
    <w:rsid w:val="00E459C6"/>
    <w:rsid w:val="00E47589"/>
    <w:rsid w:val="00E64915"/>
    <w:rsid w:val="00E661D4"/>
    <w:rsid w:val="00E70091"/>
    <w:rsid w:val="00E720F5"/>
    <w:rsid w:val="00E76D47"/>
    <w:rsid w:val="00E849F7"/>
    <w:rsid w:val="00E8668A"/>
    <w:rsid w:val="00E90302"/>
    <w:rsid w:val="00E97396"/>
    <w:rsid w:val="00EA185E"/>
    <w:rsid w:val="00EA592A"/>
    <w:rsid w:val="00EB14E4"/>
    <w:rsid w:val="00EB32A5"/>
    <w:rsid w:val="00EB34ED"/>
    <w:rsid w:val="00EB7BE0"/>
    <w:rsid w:val="00EC2784"/>
    <w:rsid w:val="00EC315E"/>
    <w:rsid w:val="00EC78A3"/>
    <w:rsid w:val="00ED077C"/>
    <w:rsid w:val="00ED1190"/>
    <w:rsid w:val="00ED6544"/>
    <w:rsid w:val="00EE0277"/>
    <w:rsid w:val="00EE3E00"/>
    <w:rsid w:val="00EE45C0"/>
    <w:rsid w:val="00EE5DD2"/>
    <w:rsid w:val="00F00A79"/>
    <w:rsid w:val="00F00E86"/>
    <w:rsid w:val="00F07C1E"/>
    <w:rsid w:val="00F105DB"/>
    <w:rsid w:val="00F132BC"/>
    <w:rsid w:val="00F13D80"/>
    <w:rsid w:val="00F14613"/>
    <w:rsid w:val="00F16AAA"/>
    <w:rsid w:val="00F21161"/>
    <w:rsid w:val="00F218EF"/>
    <w:rsid w:val="00F21BC7"/>
    <w:rsid w:val="00F266A2"/>
    <w:rsid w:val="00F32269"/>
    <w:rsid w:val="00F40988"/>
    <w:rsid w:val="00F428BC"/>
    <w:rsid w:val="00F56A6F"/>
    <w:rsid w:val="00F5709C"/>
    <w:rsid w:val="00F64EF1"/>
    <w:rsid w:val="00F8765F"/>
    <w:rsid w:val="00F90767"/>
    <w:rsid w:val="00F9130D"/>
    <w:rsid w:val="00FA685B"/>
    <w:rsid w:val="00FB0C01"/>
    <w:rsid w:val="00FB64E0"/>
    <w:rsid w:val="00FC18F2"/>
    <w:rsid w:val="00FC1A1E"/>
    <w:rsid w:val="00FC39E5"/>
    <w:rsid w:val="00FC3A78"/>
    <w:rsid w:val="00FD1005"/>
    <w:rsid w:val="00FD6C75"/>
    <w:rsid w:val="00FE71B3"/>
    <w:rsid w:val="00FF42C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72459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o-RO" w:eastAsia="en-US" w:bidi="ar-SA"/>
      </w:rPr>
    </w:rPrDefault>
    <w:pPrDefault/>
  </w:docDefaults>
  <w:latentStyles w:defLockedState="0" w:defUIPriority="98" w:defSemiHidden="0" w:defUnhideWhenUsed="0" w:defQFormat="0" w:count="371">
    <w:lsdException w:name="Normal" w:uiPriority="0"/>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lsdException w:name="toa heading" w:semiHidden="1" w:unhideWhenUsed="1"/>
    <w:lsdException w:name="List" w:semiHidden="1" w:unhideWhenUsed="1"/>
    <w:lsdException w:name="List Bullet" w:semiHidden="1"/>
    <w:lsdException w:name="List Number" w:semiHidden="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lsdException w:name="List Continue 4" w:semiHidden="1"/>
    <w:lsdException w:name="List Continue 5" w:semiHidden="1"/>
    <w:lsdException w:name="Message Header" w:semiHidden="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Grid" w:uiPriority="59"/>
    <w:lsdException w:name="Table Theme" w:semiHidden="1" w:uiPriority="99"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emiHidden/>
    <w:rsid w:val="00FC1A1E"/>
    <w:rPr>
      <w:sz w:val="24"/>
      <w:szCs w:val="24"/>
    </w:rPr>
  </w:style>
  <w:style w:type="paragraph" w:styleId="Heading1">
    <w:name w:val="heading 1"/>
    <w:basedOn w:val="Normal"/>
    <w:next w:val="Normal"/>
    <w:link w:val="Heading1Char"/>
    <w:uiPriority w:val="98"/>
    <w:semiHidden/>
    <w:rsid w:val="00FC1A1E"/>
    <w:pPr>
      <w:spacing w:before="480"/>
      <w:contextualSpacing/>
      <w:outlineLvl w:val="0"/>
    </w:pPr>
    <w:rPr>
      <w:rFonts w:asciiTheme="majorHAnsi" w:eastAsiaTheme="majorEastAsia" w:hAnsiTheme="majorHAnsi" w:cstheme="majorBidi"/>
      <w:b/>
      <w:bCs/>
      <w:color w:val="333333"/>
      <w:sz w:val="28"/>
      <w:szCs w:val="28"/>
    </w:rPr>
  </w:style>
  <w:style w:type="paragraph" w:styleId="Heading2">
    <w:name w:val="heading 2"/>
    <w:basedOn w:val="Normal"/>
    <w:next w:val="Normal"/>
    <w:link w:val="Heading2Char"/>
    <w:uiPriority w:val="98"/>
    <w:semiHidden/>
    <w:rsid w:val="00FC1A1E"/>
    <w:pPr>
      <w:spacing w:before="200"/>
      <w:outlineLvl w:val="1"/>
    </w:pPr>
    <w:rPr>
      <w:rFonts w:asciiTheme="majorHAnsi" w:eastAsiaTheme="majorEastAsia" w:hAnsiTheme="majorHAnsi" w:cstheme="majorBidi"/>
      <w:b/>
      <w:bCs/>
      <w:color w:val="4D4D4D"/>
      <w:sz w:val="26"/>
      <w:szCs w:val="26"/>
    </w:rPr>
  </w:style>
  <w:style w:type="paragraph" w:styleId="Heading3">
    <w:name w:val="heading 3"/>
    <w:basedOn w:val="Normal"/>
    <w:next w:val="Normal"/>
    <w:link w:val="Heading3Char"/>
    <w:uiPriority w:val="98"/>
    <w:semiHidden/>
    <w:rsid w:val="00FC1A1E"/>
    <w:pPr>
      <w:spacing w:before="200" w:line="271" w:lineRule="auto"/>
      <w:outlineLvl w:val="2"/>
    </w:pPr>
    <w:rPr>
      <w:rFonts w:asciiTheme="majorHAnsi" w:eastAsiaTheme="majorEastAsia" w:hAnsiTheme="majorHAnsi" w:cstheme="majorBidi"/>
      <w:b/>
      <w:bCs/>
      <w:color w:val="5F5F5F"/>
      <w:sz w:val="22"/>
      <w:szCs w:val="22"/>
    </w:rPr>
  </w:style>
  <w:style w:type="paragraph" w:styleId="Heading4">
    <w:name w:val="heading 4"/>
    <w:basedOn w:val="Normal"/>
    <w:next w:val="Normal"/>
    <w:link w:val="Heading4Char"/>
    <w:uiPriority w:val="98"/>
    <w:semiHidden/>
    <w:rsid w:val="00FC1A1E"/>
    <w:pPr>
      <w:spacing w:before="200"/>
      <w:outlineLvl w:val="3"/>
    </w:pPr>
    <w:rPr>
      <w:rFonts w:asciiTheme="majorHAnsi" w:eastAsiaTheme="majorEastAsia" w:hAnsiTheme="majorHAnsi" w:cstheme="majorBidi"/>
      <w:b/>
      <w:bCs/>
      <w:i/>
      <w:iCs/>
      <w:color w:val="777777"/>
      <w:sz w:val="22"/>
      <w:szCs w:val="22"/>
    </w:rPr>
  </w:style>
  <w:style w:type="paragraph" w:styleId="Heading5">
    <w:name w:val="heading 5"/>
    <w:basedOn w:val="Normal"/>
    <w:next w:val="Normal"/>
    <w:link w:val="Heading5Char"/>
    <w:uiPriority w:val="98"/>
    <w:semiHidden/>
    <w:qFormat/>
    <w:rsid w:val="00FC1A1E"/>
    <w:pPr>
      <w:spacing w:before="200"/>
      <w:outlineLvl w:val="4"/>
    </w:pPr>
    <w:rPr>
      <w:rFonts w:asciiTheme="majorHAnsi" w:eastAsiaTheme="majorEastAsia" w:hAnsiTheme="majorHAnsi" w:cstheme="majorBidi"/>
      <w:b/>
      <w:bCs/>
      <w:color w:val="808080"/>
      <w:sz w:val="22"/>
      <w:szCs w:val="22"/>
    </w:rPr>
  </w:style>
  <w:style w:type="paragraph" w:styleId="Heading6">
    <w:name w:val="heading 6"/>
    <w:basedOn w:val="Normal"/>
    <w:next w:val="Normal"/>
    <w:link w:val="Heading6Char"/>
    <w:uiPriority w:val="98"/>
    <w:semiHidden/>
    <w:rsid w:val="00FC1A1E"/>
    <w:pPr>
      <w:spacing w:line="271" w:lineRule="auto"/>
      <w:outlineLvl w:val="5"/>
    </w:pPr>
    <w:rPr>
      <w:rFonts w:asciiTheme="majorHAnsi" w:eastAsiaTheme="majorEastAsia" w:hAnsiTheme="majorHAnsi" w:cstheme="majorBidi"/>
      <w:b/>
      <w:bCs/>
      <w:i/>
      <w:iCs/>
      <w:color w:val="7F7F7F" w:themeColor="text1" w:themeTint="80"/>
      <w:sz w:val="22"/>
      <w:szCs w:val="22"/>
      <w:lang w:bidi="en-US"/>
    </w:rPr>
  </w:style>
  <w:style w:type="paragraph" w:styleId="Heading7">
    <w:name w:val="heading 7"/>
    <w:basedOn w:val="Normal"/>
    <w:next w:val="Normal"/>
    <w:link w:val="Heading7Char"/>
    <w:uiPriority w:val="98"/>
    <w:semiHidden/>
    <w:qFormat/>
    <w:rsid w:val="00FC1A1E"/>
    <w:pPr>
      <w:outlineLvl w:val="6"/>
    </w:pPr>
    <w:rPr>
      <w:rFonts w:asciiTheme="majorHAnsi" w:eastAsiaTheme="majorEastAsia" w:hAnsiTheme="majorHAnsi" w:cstheme="majorBidi"/>
      <w:i/>
      <w:iCs/>
      <w:sz w:val="22"/>
      <w:szCs w:val="22"/>
      <w:lang w:bidi="en-US"/>
    </w:rPr>
  </w:style>
  <w:style w:type="paragraph" w:styleId="Heading8">
    <w:name w:val="heading 8"/>
    <w:basedOn w:val="Normal"/>
    <w:next w:val="Normal"/>
    <w:link w:val="Heading8Char"/>
    <w:uiPriority w:val="98"/>
    <w:semiHidden/>
    <w:qFormat/>
    <w:rsid w:val="00FC1A1E"/>
    <w:pPr>
      <w:outlineLvl w:val="7"/>
    </w:pPr>
    <w:rPr>
      <w:rFonts w:asciiTheme="majorHAnsi" w:eastAsiaTheme="majorEastAsia" w:hAnsiTheme="majorHAnsi" w:cstheme="majorBidi"/>
      <w:sz w:val="20"/>
      <w:szCs w:val="20"/>
      <w:lang w:bidi="en-US"/>
    </w:rPr>
  </w:style>
  <w:style w:type="paragraph" w:styleId="Heading9">
    <w:name w:val="heading 9"/>
    <w:basedOn w:val="Normal"/>
    <w:next w:val="Normal"/>
    <w:link w:val="Heading9Char"/>
    <w:uiPriority w:val="98"/>
    <w:semiHidden/>
    <w:qFormat/>
    <w:rsid w:val="00FC1A1E"/>
    <w:pPr>
      <w:outlineLvl w:val="8"/>
    </w:pPr>
    <w:rPr>
      <w:rFonts w:asciiTheme="majorHAnsi" w:eastAsiaTheme="majorEastAsia" w:hAnsiTheme="majorHAnsi" w:cstheme="majorBidi"/>
      <w:i/>
      <w:iCs/>
      <w:spacing w:val="5"/>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8"/>
    <w:semiHidden/>
    <w:rsid w:val="00FC1A1E"/>
    <w:rPr>
      <w:rFonts w:ascii="Tahoma" w:hAnsi="Tahoma" w:cs="Tahoma"/>
      <w:sz w:val="16"/>
      <w:szCs w:val="16"/>
    </w:rPr>
  </w:style>
  <w:style w:type="character" w:customStyle="1" w:styleId="BalloonTextChar">
    <w:name w:val="Balloon Text Char"/>
    <w:basedOn w:val="DefaultParagraphFont"/>
    <w:link w:val="BalloonText"/>
    <w:uiPriority w:val="98"/>
    <w:semiHidden/>
    <w:rsid w:val="00FC1A1E"/>
    <w:rPr>
      <w:rFonts w:ascii="Tahoma" w:hAnsi="Tahoma" w:cs="Tahoma"/>
      <w:sz w:val="16"/>
      <w:szCs w:val="16"/>
      <w:lang w:val="ro-RO"/>
    </w:rPr>
  </w:style>
  <w:style w:type="character" w:styleId="BookTitle">
    <w:name w:val="Book Title"/>
    <w:uiPriority w:val="98"/>
    <w:semiHidden/>
    <w:qFormat/>
    <w:rsid w:val="00FC1A1E"/>
    <w:rPr>
      <w:i/>
      <w:iCs/>
      <w:smallCaps/>
      <w:spacing w:val="5"/>
    </w:rPr>
  </w:style>
  <w:style w:type="paragraph" w:customStyle="1" w:styleId="JuHeader">
    <w:name w:val="Ju_Header"/>
    <w:aliases w:val="_Header"/>
    <w:basedOn w:val="Header"/>
    <w:uiPriority w:val="29"/>
    <w:qFormat/>
    <w:rsid w:val="00FC1A1E"/>
    <w:pPr>
      <w:tabs>
        <w:tab w:val="clear" w:pos="4536"/>
        <w:tab w:val="clear" w:pos="9072"/>
      </w:tabs>
      <w:jc w:val="center"/>
    </w:pPr>
    <w:rPr>
      <w:sz w:val="18"/>
    </w:rPr>
  </w:style>
  <w:style w:type="paragraph" w:customStyle="1" w:styleId="NormalJustified">
    <w:name w:val="Normal_Justified"/>
    <w:basedOn w:val="Normal"/>
    <w:semiHidden/>
    <w:rsid w:val="00FC1A1E"/>
    <w:pPr>
      <w:jc w:val="both"/>
    </w:pPr>
  </w:style>
  <w:style w:type="character" w:styleId="Strong">
    <w:name w:val="Strong"/>
    <w:uiPriority w:val="98"/>
    <w:semiHidden/>
    <w:qFormat/>
    <w:rsid w:val="00FC1A1E"/>
    <w:rPr>
      <w:b/>
      <w:bCs/>
    </w:rPr>
  </w:style>
  <w:style w:type="paragraph" w:styleId="NoSpacing">
    <w:name w:val="No Spacing"/>
    <w:basedOn w:val="Normal"/>
    <w:link w:val="NoSpacingChar"/>
    <w:uiPriority w:val="98"/>
    <w:semiHidden/>
    <w:qFormat/>
    <w:rsid w:val="00FC1A1E"/>
  </w:style>
  <w:style w:type="character" w:customStyle="1" w:styleId="NoSpacingChar">
    <w:name w:val="No Spacing Char"/>
    <w:basedOn w:val="DefaultParagraphFont"/>
    <w:link w:val="NoSpacing"/>
    <w:uiPriority w:val="98"/>
    <w:semiHidden/>
    <w:rsid w:val="00FC1A1E"/>
    <w:rPr>
      <w:sz w:val="24"/>
      <w:szCs w:val="24"/>
      <w:lang w:val="ro-RO"/>
    </w:rPr>
  </w:style>
  <w:style w:type="paragraph" w:customStyle="1" w:styleId="ECHRBullet1">
    <w:name w:val="ECHR_Bullet_1"/>
    <w:aliases w:val="_Bul_1"/>
    <w:basedOn w:val="NormalJustified"/>
    <w:uiPriority w:val="23"/>
    <w:qFormat/>
    <w:rsid w:val="00FC1A1E"/>
    <w:pPr>
      <w:numPr>
        <w:numId w:val="15"/>
      </w:numPr>
      <w:spacing w:before="60" w:after="60"/>
    </w:pPr>
  </w:style>
  <w:style w:type="paragraph" w:customStyle="1" w:styleId="JuQuot">
    <w:name w:val="Ju_Quot"/>
    <w:aliases w:val="_Quote"/>
    <w:basedOn w:val="NormalJustified"/>
    <w:uiPriority w:val="20"/>
    <w:qFormat/>
    <w:rsid w:val="00FC1A1E"/>
    <w:pPr>
      <w:spacing w:before="120" w:after="120"/>
      <w:ind w:left="425" w:firstLine="142"/>
    </w:pPr>
    <w:rPr>
      <w:sz w:val="20"/>
    </w:rPr>
  </w:style>
  <w:style w:type="paragraph" w:customStyle="1" w:styleId="JuList">
    <w:name w:val="Ju_List"/>
    <w:aliases w:val="_List_1"/>
    <w:basedOn w:val="NormalJustified"/>
    <w:uiPriority w:val="23"/>
    <w:qFormat/>
    <w:rsid w:val="00FC1A1E"/>
    <w:pPr>
      <w:numPr>
        <w:numId w:val="16"/>
      </w:numPr>
      <w:spacing w:before="280" w:after="60"/>
    </w:pPr>
  </w:style>
  <w:style w:type="paragraph" w:customStyle="1" w:styleId="JuLista">
    <w:name w:val="Ju_List_a"/>
    <w:aliases w:val="_List_2"/>
    <w:basedOn w:val="NormalJustified"/>
    <w:uiPriority w:val="23"/>
    <w:rsid w:val="00FC1A1E"/>
    <w:pPr>
      <w:numPr>
        <w:ilvl w:val="1"/>
        <w:numId w:val="16"/>
      </w:numPr>
    </w:pPr>
  </w:style>
  <w:style w:type="paragraph" w:customStyle="1" w:styleId="JuListi">
    <w:name w:val="Ju_List_i"/>
    <w:aliases w:val="_List_3"/>
    <w:basedOn w:val="NormalJustified"/>
    <w:uiPriority w:val="23"/>
    <w:rsid w:val="00FC1A1E"/>
    <w:pPr>
      <w:numPr>
        <w:ilvl w:val="2"/>
        <w:numId w:val="16"/>
      </w:numPr>
    </w:pPr>
  </w:style>
  <w:style w:type="paragraph" w:customStyle="1" w:styleId="ECHRCoverTitle4">
    <w:name w:val="ECHR_Cover_Title_4"/>
    <w:aliases w:val="_Title_4"/>
    <w:basedOn w:val="JuPara"/>
    <w:next w:val="JuPara"/>
    <w:uiPriority w:val="38"/>
    <w:qFormat/>
    <w:rsid w:val="00FC1A1E"/>
    <w:pPr>
      <w:keepNext/>
      <w:keepLines/>
      <w:tabs>
        <w:tab w:val="right" w:pos="7938"/>
      </w:tabs>
      <w:ind w:firstLine="0"/>
      <w:jc w:val="center"/>
    </w:pPr>
    <w:rPr>
      <w:i/>
    </w:rPr>
  </w:style>
  <w:style w:type="paragraph" w:customStyle="1" w:styleId="JuHArticle">
    <w:name w:val="Ju_H_Article"/>
    <w:aliases w:val="_Title_Quote"/>
    <w:basedOn w:val="Normal"/>
    <w:next w:val="JuQuot"/>
    <w:uiPriority w:val="19"/>
    <w:qFormat/>
    <w:rsid w:val="00FC1A1E"/>
    <w:pPr>
      <w:keepNext/>
      <w:spacing w:before="100" w:beforeAutospacing="1" w:after="120"/>
      <w:contextualSpacing/>
      <w:jc w:val="center"/>
    </w:pPr>
    <w:rPr>
      <w:b/>
      <w:sz w:val="20"/>
    </w:rPr>
  </w:style>
  <w:style w:type="numbering" w:customStyle="1" w:styleId="ECHRA1StyleBulletedSquare">
    <w:name w:val="ECHR_A1_Style_Bulleted_Square"/>
    <w:basedOn w:val="NoList"/>
    <w:rsid w:val="00FC1A1E"/>
    <w:pPr>
      <w:numPr>
        <w:numId w:val="15"/>
      </w:numPr>
    </w:pPr>
  </w:style>
  <w:style w:type="numbering" w:customStyle="1" w:styleId="ECHRA1StyleList">
    <w:name w:val="ECHR_A1_Style_List"/>
    <w:basedOn w:val="NoList"/>
    <w:uiPriority w:val="99"/>
    <w:rsid w:val="00FC1A1E"/>
    <w:pPr>
      <w:numPr>
        <w:numId w:val="16"/>
      </w:numPr>
    </w:pPr>
  </w:style>
  <w:style w:type="paragraph" w:customStyle="1" w:styleId="JuHHead">
    <w:name w:val="Ju_H_Head"/>
    <w:aliases w:val="_Head_1"/>
    <w:basedOn w:val="Heading1"/>
    <w:next w:val="JuPara"/>
    <w:uiPriority w:val="17"/>
    <w:qFormat/>
    <w:rsid w:val="00FC1A1E"/>
    <w:pPr>
      <w:keepNext/>
      <w:keepLines/>
      <w:numPr>
        <w:numId w:val="14"/>
      </w:numPr>
      <w:spacing w:before="100" w:beforeAutospacing="1" w:after="240"/>
      <w:contextualSpacing w:val="0"/>
      <w:jc w:val="both"/>
    </w:pPr>
    <w:rPr>
      <w:b w:val="0"/>
      <w:caps/>
      <w:color w:val="auto"/>
    </w:rPr>
  </w:style>
  <w:style w:type="numbering" w:customStyle="1" w:styleId="ECHRA1StyleNumberedList">
    <w:name w:val="ECHR_A1_Style_Numbered_List"/>
    <w:basedOn w:val="NoList"/>
    <w:rsid w:val="00FC1A1E"/>
    <w:pPr>
      <w:numPr>
        <w:numId w:val="17"/>
      </w:numPr>
    </w:pPr>
  </w:style>
  <w:style w:type="paragraph" w:styleId="Title">
    <w:name w:val="Title"/>
    <w:basedOn w:val="Normal"/>
    <w:next w:val="Normal"/>
    <w:link w:val="TitleChar"/>
    <w:uiPriority w:val="98"/>
    <w:semiHidden/>
    <w:qFormat/>
    <w:rsid w:val="00FC1A1E"/>
    <w:pPr>
      <w:pBdr>
        <w:bottom w:val="single" w:sz="4" w:space="1" w:color="auto"/>
      </w:pBdr>
      <w:contextualSpacing/>
    </w:pPr>
    <w:rPr>
      <w:rFonts w:asciiTheme="majorHAnsi" w:eastAsiaTheme="majorEastAsia" w:hAnsiTheme="majorHAnsi" w:cstheme="majorBidi"/>
      <w:spacing w:val="5"/>
      <w:sz w:val="52"/>
      <w:szCs w:val="52"/>
      <w:lang w:bidi="en-US"/>
    </w:rPr>
  </w:style>
  <w:style w:type="character" w:customStyle="1" w:styleId="TitleChar">
    <w:name w:val="Title Char"/>
    <w:basedOn w:val="DefaultParagraphFont"/>
    <w:link w:val="Title"/>
    <w:uiPriority w:val="98"/>
    <w:semiHidden/>
    <w:rsid w:val="00FC1A1E"/>
    <w:rPr>
      <w:rFonts w:asciiTheme="majorHAnsi" w:eastAsiaTheme="majorEastAsia" w:hAnsiTheme="majorHAnsi" w:cstheme="majorBidi"/>
      <w:spacing w:val="5"/>
      <w:sz w:val="52"/>
      <w:szCs w:val="52"/>
      <w:lang w:val="ro-RO" w:bidi="en-US"/>
    </w:rPr>
  </w:style>
  <w:style w:type="table" w:customStyle="1" w:styleId="ECHRTable2019">
    <w:name w:val="ECHR_Table_2019"/>
    <w:basedOn w:val="TableNormal"/>
    <w:uiPriority w:val="99"/>
    <w:rsid w:val="00FC1A1E"/>
    <w:rPr>
      <w:sz w:val="24"/>
      <w:szCs w:val="24"/>
    </w:rPr>
    <w:tblPr>
      <w:tblStyleRowBandSize w:val="1"/>
      <w:tblStyleColBandSize w:val="1"/>
      <w:jc w:val="center"/>
      <w:tbl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5F5F5F" w:themeColor="accent3"/>
      </w:tblBorders>
    </w:tblPr>
    <w:trPr>
      <w:jc w:val="center"/>
    </w:trPr>
    <w:tblStylePr w:type="firstRow">
      <w:rPr>
        <w:rFonts w:asciiTheme="majorHAnsi" w:hAnsiTheme="majorHAnsi"/>
        <w:b/>
        <w:i w:val="0"/>
        <w:color w:val="auto"/>
        <w:sz w:val="22"/>
      </w:rPr>
      <w:tblPr/>
      <w:tcPr>
        <w:shd w:val="clear" w:color="auto" w:fill="DFDFDF" w:themeFill="accent3" w:themeFillTint="33"/>
      </w:tcPr>
    </w:tblStylePr>
    <w:tblStylePr w:type="lastRow">
      <w:rPr>
        <w:b/>
        <w:i w:val="0"/>
      </w:rPr>
      <w:tblPr/>
      <w:tcPr>
        <w:tcBorders>
          <w:top w:val="single" w:sz="8" w:space="0" w:color="5F5F5F" w:themeColor="accent3"/>
          <w:left w:val="single" w:sz="4" w:space="0" w:color="5F5F5F" w:themeColor="accent3"/>
          <w:bottom w:val="single" w:sz="8" w:space="0" w:color="5F5F5F" w:themeColor="accent3"/>
          <w:right w:val="single" w:sz="4" w:space="0" w:color="5F5F5F" w:themeColor="accent3"/>
          <w:insideH w:val="nil"/>
          <w:insideV w:val="single" w:sz="4" w:space="0" w:color="5F5F5F" w:themeColor="accent3"/>
          <w:tl2br w:val="nil"/>
          <w:tr2bl w:val="nil"/>
        </w:tcBorders>
      </w:tcPr>
    </w:tblStylePr>
    <w:tblStylePr w:type="firstCol">
      <w:rPr>
        <w:rFonts w:asciiTheme="majorHAnsi" w:hAnsiTheme="majorHAnsi"/>
        <w:b/>
        <w:i w:val="0"/>
        <w:color w:val="3E3E3E" w:themeColor="background2" w:themeShade="40"/>
        <w:sz w:val="22"/>
      </w:rPr>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F3F3F3" w:themeFill="text2" w:themeFillTint="33"/>
      </w:tcPr>
    </w:tblStylePr>
    <w:tblStylePr w:type="lastCol">
      <w:rPr>
        <w:b/>
        <w:i w:val="0"/>
      </w:rPr>
    </w:tblStylePr>
    <w:tblStylePr w:type="band2Vert">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F3F3F3" w:themeFill="text2" w:themeFillTint="33"/>
      </w:tcPr>
    </w:tblStylePr>
    <w:tblStylePr w:type="band2Horz">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5F5F5F" w:themeColor="accent3"/>
          <w:tl2br w:val="nil"/>
          <w:tr2bl w:val="nil"/>
        </w:tcBorders>
        <w:shd w:val="clear" w:color="auto" w:fill="F3F3F3" w:themeFill="text2" w:themeFillTint="33"/>
      </w:tcPr>
    </w:tblStylePr>
  </w:style>
  <w:style w:type="paragraph" w:customStyle="1" w:styleId="Footer">
    <w:name w:val="_Footer"/>
    <w:aliases w:val="Footer_"/>
    <w:basedOn w:val="Footer0"/>
    <w:uiPriority w:val="57"/>
    <w:semiHidden/>
    <w:rsid w:val="002D609F"/>
    <w:rPr>
      <w:sz w:val="8"/>
    </w:rPr>
  </w:style>
  <w:style w:type="paragraph" w:customStyle="1" w:styleId="JuCase">
    <w:name w:val="Ju_Case"/>
    <w:aliases w:val="_Case_Name"/>
    <w:basedOn w:val="NormalJustified"/>
    <w:next w:val="JuPara"/>
    <w:uiPriority w:val="32"/>
    <w:rsid w:val="00FC1A1E"/>
    <w:pPr>
      <w:ind w:firstLine="284"/>
    </w:pPr>
    <w:rPr>
      <w:b/>
    </w:rPr>
  </w:style>
  <w:style w:type="paragraph" w:customStyle="1" w:styleId="JuCourt">
    <w:name w:val="Ju_Court"/>
    <w:aliases w:val="_Court_Names"/>
    <w:basedOn w:val="Normal"/>
    <w:next w:val="Normal"/>
    <w:uiPriority w:val="32"/>
    <w:qFormat/>
    <w:rsid w:val="00FC1A1E"/>
    <w:pPr>
      <w:tabs>
        <w:tab w:val="left" w:pos="907"/>
        <w:tab w:val="left" w:pos="1701"/>
        <w:tab w:val="right" w:pos="7371"/>
      </w:tabs>
      <w:spacing w:before="240"/>
      <w:ind w:left="397" w:hanging="397"/>
    </w:pPr>
    <w:rPr>
      <w:lang w:bidi="en-US"/>
    </w:rPr>
  </w:style>
  <w:style w:type="paragraph" w:customStyle="1" w:styleId="JuInitialled">
    <w:name w:val="Ju_Initialled"/>
    <w:aliases w:val="_Right"/>
    <w:basedOn w:val="Normal"/>
    <w:uiPriority w:val="30"/>
    <w:qFormat/>
    <w:rsid w:val="00FC1A1E"/>
    <w:pPr>
      <w:tabs>
        <w:tab w:val="center" w:pos="6407"/>
      </w:tabs>
      <w:spacing w:before="720"/>
      <w:jc w:val="right"/>
    </w:pPr>
  </w:style>
  <w:style w:type="paragraph" w:customStyle="1" w:styleId="JuHIRoman">
    <w:name w:val="Ju_H_I_Roman"/>
    <w:aliases w:val="_Head_2"/>
    <w:basedOn w:val="Heading2"/>
    <w:next w:val="JuPara"/>
    <w:uiPriority w:val="17"/>
    <w:qFormat/>
    <w:rsid w:val="00FC1A1E"/>
    <w:pPr>
      <w:keepNext/>
      <w:keepLines/>
      <w:numPr>
        <w:ilvl w:val="1"/>
        <w:numId w:val="14"/>
      </w:numPr>
      <w:tabs>
        <w:tab w:val="left" w:pos="454"/>
        <w:tab w:val="left" w:pos="539"/>
        <w:tab w:val="left" w:pos="624"/>
        <w:tab w:val="left" w:pos="709"/>
        <w:tab w:val="left" w:pos="794"/>
      </w:tabs>
      <w:spacing w:before="100" w:beforeAutospacing="1" w:after="240"/>
      <w:jc w:val="both"/>
    </w:pPr>
    <w:rPr>
      <w:b w:val="0"/>
      <w:caps/>
      <w:color w:val="auto"/>
      <w:sz w:val="24"/>
    </w:rPr>
  </w:style>
  <w:style w:type="paragraph" w:customStyle="1" w:styleId="JuHA">
    <w:name w:val="Ju_H_A"/>
    <w:aliases w:val="_Head_3"/>
    <w:basedOn w:val="Heading3"/>
    <w:next w:val="JuPara"/>
    <w:uiPriority w:val="17"/>
    <w:qFormat/>
    <w:rsid w:val="00FC1A1E"/>
    <w:pPr>
      <w:keepNext/>
      <w:keepLines/>
      <w:numPr>
        <w:ilvl w:val="2"/>
        <w:numId w:val="14"/>
      </w:numPr>
      <w:spacing w:before="100" w:beforeAutospacing="1" w:after="240" w:line="240" w:lineRule="auto"/>
      <w:jc w:val="both"/>
    </w:pPr>
    <w:rPr>
      <w:color w:val="auto"/>
      <w:sz w:val="24"/>
    </w:rPr>
  </w:style>
  <w:style w:type="paragraph" w:customStyle="1" w:styleId="JuH1">
    <w:name w:val="Ju_H_1."/>
    <w:aliases w:val="_Head_4"/>
    <w:basedOn w:val="Heading4"/>
    <w:next w:val="JuPara"/>
    <w:uiPriority w:val="17"/>
    <w:rsid w:val="00FC1A1E"/>
    <w:pPr>
      <w:keepNext/>
      <w:keepLines/>
      <w:numPr>
        <w:ilvl w:val="3"/>
        <w:numId w:val="14"/>
      </w:numPr>
      <w:spacing w:before="100" w:beforeAutospacing="1" w:after="120"/>
      <w:jc w:val="both"/>
    </w:pPr>
    <w:rPr>
      <w:b w:val="0"/>
      <w:color w:val="auto"/>
      <w:sz w:val="24"/>
    </w:rPr>
  </w:style>
  <w:style w:type="paragraph" w:styleId="Header">
    <w:name w:val="header"/>
    <w:basedOn w:val="Normal"/>
    <w:link w:val="HeaderChar"/>
    <w:uiPriority w:val="98"/>
    <w:semiHidden/>
    <w:rsid w:val="00FC1A1E"/>
    <w:pPr>
      <w:tabs>
        <w:tab w:val="center" w:pos="4536"/>
        <w:tab w:val="right" w:pos="9072"/>
      </w:tabs>
    </w:pPr>
  </w:style>
  <w:style w:type="character" w:customStyle="1" w:styleId="HeaderChar">
    <w:name w:val="Header Char"/>
    <w:basedOn w:val="DefaultParagraphFont"/>
    <w:link w:val="Header"/>
    <w:uiPriority w:val="98"/>
    <w:semiHidden/>
    <w:rsid w:val="00FC1A1E"/>
    <w:rPr>
      <w:sz w:val="24"/>
      <w:szCs w:val="24"/>
      <w:lang w:val="ro-RO"/>
    </w:rPr>
  </w:style>
  <w:style w:type="character" w:customStyle="1" w:styleId="Heading1Char">
    <w:name w:val="Heading 1 Char"/>
    <w:basedOn w:val="DefaultParagraphFont"/>
    <w:link w:val="Heading1"/>
    <w:uiPriority w:val="98"/>
    <w:semiHidden/>
    <w:rsid w:val="00FC1A1E"/>
    <w:rPr>
      <w:rFonts w:asciiTheme="majorHAnsi" w:eastAsiaTheme="majorEastAsia" w:hAnsiTheme="majorHAnsi" w:cstheme="majorBidi"/>
      <w:b/>
      <w:bCs/>
      <w:color w:val="333333"/>
      <w:sz w:val="28"/>
      <w:szCs w:val="28"/>
      <w:lang w:val="ro-RO"/>
    </w:rPr>
  </w:style>
  <w:style w:type="paragraph" w:customStyle="1" w:styleId="JuHa0">
    <w:name w:val="Ju_H_a"/>
    <w:aliases w:val="_Head_5"/>
    <w:basedOn w:val="Heading5"/>
    <w:next w:val="JuPara"/>
    <w:uiPriority w:val="17"/>
    <w:rsid w:val="00FC1A1E"/>
    <w:pPr>
      <w:keepNext/>
      <w:keepLines/>
      <w:numPr>
        <w:ilvl w:val="4"/>
        <w:numId w:val="14"/>
      </w:numPr>
      <w:spacing w:before="100" w:beforeAutospacing="1" w:after="120"/>
      <w:jc w:val="both"/>
    </w:pPr>
    <w:rPr>
      <w:color w:val="auto"/>
      <w:sz w:val="20"/>
    </w:rPr>
  </w:style>
  <w:style w:type="paragraph" w:customStyle="1" w:styleId="JuHi">
    <w:name w:val="Ju_H_i"/>
    <w:aliases w:val="_Head_6"/>
    <w:basedOn w:val="Heading6"/>
    <w:next w:val="JuPara"/>
    <w:uiPriority w:val="17"/>
    <w:rsid w:val="00FC1A1E"/>
    <w:pPr>
      <w:keepNext/>
      <w:keepLines/>
      <w:numPr>
        <w:ilvl w:val="5"/>
        <w:numId w:val="14"/>
      </w:numPr>
      <w:tabs>
        <w:tab w:val="left" w:pos="1077"/>
        <w:tab w:val="left" w:pos="1134"/>
        <w:tab w:val="left" w:pos="1191"/>
        <w:tab w:val="left" w:pos="1247"/>
      </w:tabs>
      <w:spacing w:before="100" w:beforeAutospacing="1" w:after="120"/>
      <w:jc w:val="both"/>
    </w:pPr>
    <w:rPr>
      <w:b w:val="0"/>
      <w:color w:val="auto"/>
      <w:sz w:val="20"/>
    </w:rPr>
  </w:style>
  <w:style w:type="character" w:customStyle="1" w:styleId="Heading2Char">
    <w:name w:val="Heading 2 Char"/>
    <w:basedOn w:val="DefaultParagraphFont"/>
    <w:link w:val="Heading2"/>
    <w:uiPriority w:val="98"/>
    <w:semiHidden/>
    <w:rsid w:val="00FC1A1E"/>
    <w:rPr>
      <w:rFonts w:asciiTheme="majorHAnsi" w:eastAsiaTheme="majorEastAsia" w:hAnsiTheme="majorHAnsi" w:cstheme="majorBidi"/>
      <w:b/>
      <w:bCs/>
      <w:color w:val="4D4D4D"/>
      <w:sz w:val="26"/>
      <w:szCs w:val="26"/>
      <w:lang w:val="ro-RO"/>
    </w:rPr>
  </w:style>
  <w:style w:type="paragraph" w:customStyle="1" w:styleId="JuHalpha">
    <w:name w:val="Ju_H_alpha"/>
    <w:aliases w:val="_Head_7"/>
    <w:basedOn w:val="Heading7"/>
    <w:next w:val="JuPara"/>
    <w:uiPriority w:val="17"/>
    <w:rsid w:val="00FC1A1E"/>
    <w:pPr>
      <w:keepNext/>
      <w:keepLines/>
      <w:numPr>
        <w:ilvl w:val="6"/>
        <w:numId w:val="14"/>
      </w:numPr>
      <w:tabs>
        <w:tab w:val="left" w:pos="1361"/>
      </w:tabs>
      <w:spacing w:before="100" w:beforeAutospacing="1" w:after="120"/>
      <w:jc w:val="both"/>
    </w:pPr>
    <w:rPr>
      <w:i w:val="0"/>
      <w:sz w:val="20"/>
    </w:rPr>
  </w:style>
  <w:style w:type="paragraph" w:customStyle="1" w:styleId="JuH">
    <w:name w:val="Ju_H_–"/>
    <w:aliases w:val="_Head_8"/>
    <w:basedOn w:val="Heading8"/>
    <w:next w:val="JuPara"/>
    <w:uiPriority w:val="17"/>
    <w:rsid w:val="00FC1A1E"/>
    <w:pPr>
      <w:keepNext/>
      <w:keepLines/>
      <w:numPr>
        <w:ilvl w:val="7"/>
        <w:numId w:val="14"/>
      </w:numPr>
      <w:spacing w:before="100" w:beforeAutospacing="1" w:after="120"/>
      <w:jc w:val="both"/>
    </w:pPr>
    <w:rPr>
      <w:i/>
    </w:rPr>
  </w:style>
  <w:style w:type="character" w:customStyle="1" w:styleId="Heading3Char">
    <w:name w:val="Heading 3 Char"/>
    <w:basedOn w:val="DefaultParagraphFont"/>
    <w:link w:val="Heading3"/>
    <w:uiPriority w:val="98"/>
    <w:semiHidden/>
    <w:rsid w:val="00FC1A1E"/>
    <w:rPr>
      <w:rFonts w:asciiTheme="majorHAnsi" w:eastAsiaTheme="majorEastAsia" w:hAnsiTheme="majorHAnsi" w:cstheme="majorBidi"/>
      <w:b/>
      <w:bCs/>
      <w:color w:val="5F5F5F"/>
      <w:lang w:val="ro-RO"/>
    </w:rPr>
  </w:style>
  <w:style w:type="paragraph" w:customStyle="1" w:styleId="JuParaLast">
    <w:name w:val="Ju_Para_Last"/>
    <w:aliases w:val="_Para_Spaced"/>
    <w:basedOn w:val="NormalJustified"/>
    <w:uiPriority w:val="5"/>
    <w:qFormat/>
    <w:rsid w:val="00FC1A1E"/>
    <w:pPr>
      <w:keepNext/>
      <w:keepLines/>
      <w:spacing w:before="240" w:after="240"/>
      <w:ind w:firstLine="284"/>
    </w:pPr>
  </w:style>
  <w:style w:type="character" w:customStyle="1" w:styleId="JuITMark">
    <w:name w:val="Ju_ITMark"/>
    <w:aliases w:val="_ITMark"/>
    <w:basedOn w:val="DefaultParagraphFont"/>
    <w:uiPriority w:val="54"/>
    <w:qFormat/>
    <w:rsid w:val="00FC1A1E"/>
    <w:rPr>
      <w:vanish w:val="0"/>
      <w:color w:val="auto"/>
      <w:sz w:val="14"/>
      <w:bdr w:val="none" w:sz="0" w:space="0" w:color="auto"/>
      <w:shd w:val="clear" w:color="auto" w:fill="BEE5FF" w:themeFill="background1" w:themeFillTint="33"/>
    </w:rPr>
  </w:style>
  <w:style w:type="character" w:customStyle="1" w:styleId="Heading4Char">
    <w:name w:val="Heading 4 Char"/>
    <w:basedOn w:val="DefaultParagraphFont"/>
    <w:link w:val="Heading4"/>
    <w:uiPriority w:val="98"/>
    <w:semiHidden/>
    <w:rsid w:val="00FC1A1E"/>
    <w:rPr>
      <w:rFonts w:asciiTheme="majorHAnsi" w:eastAsiaTheme="majorEastAsia" w:hAnsiTheme="majorHAnsi" w:cstheme="majorBidi"/>
      <w:b/>
      <w:bCs/>
      <w:i/>
      <w:iCs/>
      <w:color w:val="777777"/>
      <w:lang w:val="ro-RO"/>
    </w:rPr>
  </w:style>
  <w:style w:type="paragraph" w:customStyle="1" w:styleId="JuJudges">
    <w:name w:val="Ju_Judges"/>
    <w:aliases w:val="_Judges"/>
    <w:basedOn w:val="Normal"/>
    <w:uiPriority w:val="32"/>
    <w:qFormat/>
    <w:rsid w:val="00FC1A1E"/>
    <w:pPr>
      <w:tabs>
        <w:tab w:val="left" w:pos="567"/>
        <w:tab w:val="left" w:pos="1134"/>
      </w:tabs>
    </w:pPr>
  </w:style>
  <w:style w:type="character" w:customStyle="1" w:styleId="Heading5Char">
    <w:name w:val="Heading 5 Char"/>
    <w:basedOn w:val="DefaultParagraphFont"/>
    <w:link w:val="Heading5"/>
    <w:uiPriority w:val="98"/>
    <w:semiHidden/>
    <w:rsid w:val="00FC1A1E"/>
    <w:rPr>
      <w:rFonts w:asciiTheme="majorHAnsi" w:eastAsiaTheme="majorEastAsia" w:hAnsiTheme="majorHAnsi" w:cstheme="majorBidi"/>
      <w:b/>
      <w:bCs/>
      <w:color w:val="808080"/>
      <w:lang w:val="ro-RO"/>
    </w:rPr>
  </w:style>
  <w:style w:type="character" w:customStyle="1" w:styleId="JUNAMES">
    <w:name w:val="JU_NAMES"/>
    <w:aliases w:val="_Ju_Names"/>
    <w:uiPriority w:val="33"/>
    <w:qFormat/>
    <w:rsid w:val="00FC1A1E"/>
    <w:rPr>
      <w:caps w:val="0"/>
      <w:smallCaps/>
    </w:rPr>
  </w:style>
  <w:style w:type="character" w:styleId="SubtleEmphasis">
    <w:name w:val="Subtle Emphasis"/>
    <w:uiPriority w:val="98"/>
    <w:semiHidden/>
    <w:qFormat/>
    <w:rsid w:val="00FC1A1E"/>
    <w:rPr>
      <w:i/>
      <w:iCs/>
    </w:rPr>
  </w:style>
  <w:style w:type="table" w:customStyle="1" w:styleId="ECHRTable">
    <w:name w:val="ECHR_Table"/>
    <w:basedOn w:val="TableNormal"/>
    <w:rsid w:val="00FC1A1E"/>
    <w:rPr>
      <w:rFonts w:eastAsia="Times New Roman" w:cs="Times New Roman"/>
      <w:sz w:val="20"/>
      <w:szCs w:val="20"/>
    </w:rPr>
    <w:tblPr>
      <w:tblStyleRowBandSize w:val="1"/>
      <w:tblStyleColBandSize w:val="1"/>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rFonts w:asciiTheme="majorHAnsi" w:hAnsiTheme="majorHAnsi"/>
        <w:b/>
        <w:i w:val="0"/>
        <w:color w:val="474747" w:themeColor="accent3" w:themeShade="BF"/>
        <w:sz w:val="22"/>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shd w:val="clear" w:color="auto" w:fill="DFDFDF" w:themeFill="background2" w:themeFillShade="E6"/>
      </w:tcPr>
    </w:tblStylePr>
    <w:tblStylePr w:type="firstCol">
      <w:rPr>
        <w:b/>
      </w:rPr>
    </w:tblStylePr>
    <w:tblStylePr w:type="band2Vert">
      <w:tblPr/>
      <w:tcPr>
        <w:tcBorders>
          <w:top w:val="nil"/>
          <w:left w:val="nil"/>
          <w:bottom w:val="nil"/>
          <w:right w:val="nil"/>
          <w:insideH w:val="nil"/>
          <w:insideV w:val="nil"/>
          <w:tl2br w:val="nil"/>
          <w:tr2bl w:val="nil"/>
        </w:tcBorders>
        <w:shd w:val="clear" w:color="auto" w:fill="DFDFDF" w:themeFill="background2" w:themeFillShade="E6"/>
      </w:tcPr>
    </w:tblStylePr>
    <w:tblStylePr w:type="band2Horz">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shd w:val="clear" w:color="auto" w:fill="DFDFDF" w:themeFill="background2" w:themeFillShade="E6"/>
      </w:tcPr>
    </w:tblStylePr>
  </w:style>
  <w:style w:type="table" w:customStyle="1" w:styleId="ECHRTableBoxHeader">
    <w:name w:val="ECHR_Table_Box_Header"/>
    <w:basedOn w:val="TableNormal"/>
    <w:rsid w:val="00FC1A1E"/>
    <w:rPr>
      <w:rFonts w:ascii="Verdana" w:eastAsia="Times New Roman" w:hAnsi="Verdana" w:cs="Times New Roman"/>
      <w:sz w:val="20"/>
      <w:szCs w:val="20"/>
    </w:rPr>
    <w:tblPr>
      <w:tblCellMar>
        <w:top w:w="57" w:type="dxa"/>
        <w:left w:w="57" w:type="dxa"/>
        <w:bottom w:w="57" w:type="dxa"/>
        <w:right w:w="57" w:type="dxa"/>
      </w:tblCellMar>
    </w:tblPr>
    <w:tcPr>
      <w:shd w:val="clear" w:color="auto" w:fill="F8F8F8" w:themeFill="background2"/>
    </w:tcPr>
    <w:tblStylePr w:type="firstCol">
      <w:rPr>
        <w:b/>
        <w:color w:val="5F5F5F" w:themeColor="accent3"/>
      </w:rPr>
    </w:tblStylePr>
  </w:style>
  <w:style w:type="paragraph" w:customStyle="1" w:styleId="DecHCase">
    <w:name w:val="Dec_H_Case"/>
    <w:aliases w:val="_Title_3"/>
    <w:basedOn w:val="JuPara"/>
    <w:next w:val="JuPara"/>
    <w:uiPriority w:val="38"/>
    <w:qFormat/>
    <w:rsid w:val="00FC1A1E"/>
    <w:pPr>
      <w:keepNext/>
      <w:keepLines/>
      <w:spacing w:after="280"/>
      <w:ind w:firstLine="0"/>
      <w:jc w:val="center"/>
    </w:pPr>
    <w:rPr>
      <w:rFonts w:asciiTheme="majorHAnsi" w:hAnsiTheme="majorHAnsi"/>
    </w:rPr>
  </w:style>
  <w:style w:type="character" w:styleId="Emphasis">
    <w:name w:val="Emphasis"/>
    <w:uiPriority w:val="98"/>
    <w:semiHidden/>
    <w:qFormat/>
    <w:rsid w:val="00FC1A1E"/>
    <w:rPr>
      <w:b/>
      <w:bCs/>
      <w:i/>
      <w:iCs/>
      <w:spacing w:val="10"/>
      <w:bdr w:val="none" w:sz="0" w:space="0" w:color="auto"/>
      <w:shd w:val="clear" w:color="auto" w:fill="auto"/>
    </w:rPr>
  </w:style>
  <w:style w:type="paragraph" w:styleId="Footer0">
    <w:name w:val="footer"/>
    <w:basedOn w:val="Normal"/>
    <w:link w:val="FooterChar"/>
    <w:uiPriority w:val="98"/>
    <w:semiHidden/>
    <w:rsid w:val="00FC1A1E"/>
    <w:pPr>
      <w:tabs>
        <w:tab w:val="center" w:pos="3686"/>
        <w:tab w:val="right" w:pos="7371"/>
      </w:tabs>
    </w:pPr>
  </w:style>
  <w:style w:type="character" w:customStyle="1" w:styleId="FooterChar">
    <w:name w:val="Footer Char"/>
    <w:basedOn w:val="DefaultParagraphFont"/>
    <w:link w:val="Footer0"/>
    <w:uiPriority w:val="98"/>
    <w:semiHidden/>
    <w:rsid w:val="00FC1A1E"/>
    <w:rPr>
      <w:sz w:val="24"/>
      <w:szCs w:val="24"/>
      <w:lang w:val="ro-RO"/>
    </w:rPr>
  </w:style>
  <w:style w:type="character" w:styleId="FootnoteReference">
    <w:name w:val="footnote reference"/>
    <w:basedOn w:val="DefaultParagraphFont"/>
    <w:uiPriority w:val="98"/>
    <w:semiHidden/>
    <w:rsid w:val="00FC1A1E"/>
    <w:rPr>
      <w:vertAlign w:val="superscript"/>
    </w:rPr>
  </w:style>
  <w:style w:type="paragraph" w:styleId="FootnoteText">
    <w:name w:val="footnote text"/>
    <w:basedOn w:val="NormalJustified"/>
    <w:link w:val="FootnoteTextChar"/>
    <w:uiPriority w:val="98"/>
    <w:semiHidden/>
    <w:rsid w:val="00FC1A1E"/>
    <w:rPr>
      <w:sz w:val="20"/>
      <w:szCs w:val="20"/>
    </w:rPr>
  </w:style>
  <w:style w:type="character" w:customStyle="1" w:styleId="FootnoteTextChar">
    <w:name w:val="Footnote Text Char"/>
    <w:basedOn w:val="DefaultParagraphFont"/>
    <w:link w:val="FootnoteText"/>
    <w:uiPriority w:val="98"/>
    <w:semiHidden/>
    <w:rsid w:val="00FC1A1E"/>
    <w:rPr>
      <w:sz w:val="20"/>
      <w:szCs w:val="20"/>
      <w:lang w:val="ro-RO"/>
    </w:rPr>
  </w:style>
  <w:style w:type="character" w:customStyle="1" w:styleId="Heading6Char">
    <w:name w:val="Heading 6 Char"/>
    <w:basedOn w:val="DefaultParagraphFont"/>
    <w:link w:val="Heading6"/>
    <w:uiPriority w:val="98"/>
    <w:semiHidden/>
    <w:rsid w:val="00FC1A1E"/>
    <w:rPr>
      <w:rFonts w:asciiTheme="majorHAnsi" w:eastAsiaTheme="majorEastAsia" w:hAnsiTheme="majorHAnsi" w:cstheme="majorBidi"/>
      <w:b/>
      <w:bCs/>
      <w:i/>
      <w:iCs/>
      <w:color w:val="7F7F7F" w:themeColor="text1" w:themeTint="80"/>
      <w:lang w:val="ro-RO" w:bidi="en-US"/>
    </w:rPr>
  </w:style>
  <w:style w:type="character" w:customStyle="1" w:styleId="Heading7Char">
    <w:name w:val="Heading 7 Char"/>
    <w:basedOn w:val="DefaultParagraphFont"/>
    <w:link w:val="Heading7"/>
    <w:uiPriority w:val="98"/>
    <w:semiHidden/>
    <w:rsid w:val="00FC1A1E"/>
    <w:rPr>
      <w:rFonts w:asciiTheme="majorHAnsi" w:eastAsiaTheme="majorEastAsia" w:hAnsiTheme="majorHAnsi" w:cstheme="majorBidi"/>
      <w:i/>
      <w:iCs/>
      <w:lang w:val="ro-RO" w:bidi="en-US"/>
    </w:rPr>
  </w:style>
  <w:style w:type="character" w:customStyle="1" w:styleId="Heading8Char">
    <w:name w:val="Heading 8 Char"/>
    <w:basedOn w:val="DefaultParagraphFont"/>
    <w:link w:val="Heading8"/>
    <w:uiPriority w:val="98"/>
    <w:semiHidden/>
    <w:rsid w:val="00FC1A1E"/>
    <w:rPr>
      <w:rFonts w:asciiTheme="majorHAnsi" w:eastAsiaTheme="majorEastAsia" w:hAnsiTheme="majorHAnsi" w:cstheme="majorBidi"/>
      <w:sz w:val="20"/>
      <w:szCs w:val="20"/>
      <w:lang w:val="ro-RO" w:bidi="en-US"/>
    </w:rPr>
  </w:style>
  <w:style w:type="character" w:customStyle="1" w:styleId="Heading9Char">
    <w:name w:val="Heading 9 Char"/>
    <w:basedOn w:val="DefaultParagraphFont"/>
    <w:link w:val="Heading9"/>
    <w:uiPriority w:val="98"/>
    <w:semiHidden/>
    <w:rsid w:val="00FC1A1E"/>
    <w:rPr>
      <w:rFonts w:asciiTheme="majorHAnsi" w:eastAsiaTheme="majorEastAsia" w:hAnsiTheme="majorHAnsi" w:cstheme="majorBidi"/>
      <w:i/>
      <w:iCs/>
      <w:spacing w:val="5"/>
      <w:sz w:val="20"/>
      <w:szCs w:val="20"/>
      <w:lang w:val="ro-RO" w:bidi="en-US"/>
    </w:rPr>
  </w:style>
  <w:style w:type="character" w:styleId="Hyperlink">
    <w:name w:val="Hyperlink"/>
    <w:basedOn w:val="DefaultParagraphFont"/>
    <w:uiPriority w:val="98"/>
    <w:semiHidden/>
    <w:rsid w:val="00FC1A1E"/>
    <w:rPr>
      <w:color w:val="0072BC" w:themeColor="hyperlink"/>
      <w:u w:val="single"/>
    </w:rPr>
  </w:style>
  <w:style w:type="character" w:styleId="IntenseEmphasis">
    <w:name w:val="Intense Emphasis"/>
    <w:uiPriority w:val="98"/>
    <w:semiHidden/>
    <w:qFormat/>
    <w:rsid w:val="00FC1A1E"/>
    <w:rPr>
      <w:b/>
      <w:bCs/>
    </w:rPr>
  </w:style>
  <w:style w:type="paragraph" w:styleId="IntenseQuote">
    <w:name w:val="Intense Quote"/>
    <w:basedOn w:val="Normal"/>
    <w:next w:val="Normal"/>
    <w:link w:val="IntenseQuoteChar"/>
    <w:uiPriority w:val="98"/>
    <w:semiHidden/>
    <w:qFormat/>
    <w:rsid w:val="00FC1A1E"/>
    <w:pPr>
      <w:pBdr>
        <w:bottom w:val="single" w:sz="4" w:space="1" w:color="auto"/>
      </w:pBdr>
      <w:spacing w:before="200" w:after="280"/>
      <w:ind w:left="1008" w:right="1152"/>
    </w:pPr>
    <w:rPr>
      <w:b/>
      <w:bCs/>
      <w:i/>
      <w:iCs/>
      <w:lang w:bidi="en-US"/>
    </w:rPr>
  </w:style>
  <w:style w:type="character" w:customStyle="1" w:styleId="IntenseQuoteChar">
    <w:name w:val="Intense Quote Char"/>
    <w:basedOn w:val="DefaultParagraphFont"/>
    <w:link w:val="IntenseQuote"/>
    <w:uiPriority w:val="98"/>
    <w:semiHidden/>
    <w:rsid w:val="00FC1A1E"/>
    <w:rPr>
      <w:b/>
      <w:bCs/>
      <w:i/>
      <w:iCs/>
      <w:sz w:val="24"/>
      <w:szCs w:val="24"/>
      <w:lang w:val="ro-RO" w:bidi="en-US"/>
    </w:rPr>
  </w:style>
  <w:style w:type="character" w:styleId="IntenseReference">
    <w:name w:val="Intense Reference"/>
    <w:uiPriority w:val="98"/>
    <w:semiHidden/>
    <w:qFormat/>
    <w:rsid w:val="00FC1A1E"/>
    <w:rPr>
      <w:smallCaps/>
      <w:spacing w:val="5"/>
      <w:u w:val="single"/>
    </w:rPr>
  </w:style>
  <w:style w:type="paragraph" w:styleId="ListParagraph">
    <w:name w:val="List Paragraph"/>
    <w:basedOn w:val="Normal"/>
    <w:uiPriority w:val="98"/>
    <w:semiHidden/>
    <w:qFormat/>
    <w:rsid w:val="00FC1A1E"/>
    <w:pPr>
      <w:ind w:left="720"/>
      <w:contextualSpacing/>
    </w:pPr>
  </w:style>
  <w:style w:type="table" w:customStyle="1" w:styleId="LtrTableAddress">
    <w:name w:val="Ltr_Table_Address"/>
    <w:aliases w:val="ECHR_Ltr_Table_Address"/>
    <w:basedOn w:val="TableNormal"/>
    <w:uiPriority w:val="99"/>
    <w:rsid w:val="00FC1A1E"/>
    <w:rPr>
      <w:sz w:val="24"/>
      <w:szCs w:val="24"/>
    </w:rPr>
    <w:tblPr>
      <w:tblInd w:w="5103" w:type="dxa"/>
    </w:tblPr>
  </w:style>
  <w:style w:type="paragraph" w:styleId="Quote">
    <w:name w:val="Quote"/>
    <w:basedOn w:val="Normal"/>
    <w:next w:val="Normal"/>
    <w:link w:val="QuoteChar"/>
    <w:uiPriority w:val="98"/>
    <w:semiHidden/>
    <w:qFormat/>
    <w:rsid w:val="00FC1A1E"/>
    <w:pPr>
      <w:spacing w:before="200"/>
      <w:ind w:left="360" w:right="360"/>
    </w:pPr>
    <w:rPr>
      <w:i/>
      <w:iCs/>
      <w:lang w:bidi="en-US"/>
    </w:rPr>
  </w:style>
  <w:style w:type="character" w:customStyle="1" w:styleId="QuoteChar">
    <w:name w:val="Quote Char"/>
    <w:basedOn w:val="DefaultParagraphFont"/>
    <w:link w:val="Quote"/>
    <w:uiPriority w:val="98"/>
    <w:semiHidden/>
    <w:rsid w:val="00FC1A1E"/>
    <w:rPr>
      <w:i/>
      <w:iCs/>
      <w:sz w:val="24"/>
      <w:szCs w:val="24"/>
      <w:lang w:val="ro-RO" w:bidi="en-US"/>
    </w:rPr>
  </w:style>
  <w:style w:type="character" w:styleId="SubtleReference">
    <w:name w:val="Subtle Reference"/>
    <w:uiPriority w:val="98"/>
    <w:semiHidden/>
    <w:qFormat/>
    <w:rsid w:val="00FC1A1E"/>
    <w:rPr>
      <w:smallCaps/>
    </w:rPr>
  </w:style>
  <w:style w:type="table" w:styleId="TableGrid">
    <w:name w:val="Table Grid"/>
    <w:basedOn w:val="TableNormal"/>
    <w:uiPriority w:val="59"/>
    <w:semiHidden/>
    <w:rsid w:val="00FC1A1E"/>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98"/>
    <w:semiHidden/>
    <w:rsid w:val="00FC1A1E"/>
    <w:pPr>
      <w:keepNext/>
      <w:tabs>
        <w:tab w:val="right" w:leader="dot" w:pos="7371"/>
      </w:tabs>
      <w:spacing w:before="160" w:after="60" w:line="240" w:lineRule="exact"/>
      <w:ind w:left="340" w:right="567" w:hanging="340"/>
    </w:pPr>
    <w:rPr>
      <w:b/>
      <w:sz w:val="22"/>
    </w:rPr>
  </w:style>
  <w:style w:type="paragraph" w:styleId="TOC2">
    <w:name w:val="toc 2"/>
    <w:basedOn w:val="Normal"/>
    <w:next w:val="Normal"/>
    <w:autoRedefine/>
    <w:uiPriority w:val="98"/>
    <w:semiHidden/>
    <w:rsid w:val="00FC1A1E"/>
    <w:pPr>
      <w:keepNext/>
      <w:tabs>
        <w:tab w:val="right" w:leader="dot" w:pos="7371"/>
      </w:tabs>
      <w:spacing w:after="60" w:line="240" w:lineRule="exact"/>
      <w:ind w:left="680" w:right="567" w:hanging="340"/>
    </w:pPr>
    <w:rPr>
      <w:sz w:val="22"/>
    </w:rPr>
  </w:style>
  <w:style w:type="paragraph" w:styleId="TOC3">
    <w:name w:val="toc 3"/>
    <w:basedOn w:val="Normal"/>
    <w:next w:val="Normal"/>
    <w:autoRedefine/>
    <w:uiPriority w:val="98"/>
    <w:semiHidden/>
    <w:rsid w:val="00FC1A1E"/>
    <w:pPr>
      <w:keepNext/>
      <w:tabs>
        <w:tab w:val="right" w:leader="dot" w:pos="7371"/>
      </w:tabs>
      <w:spacing w:after="60" w:line="240" w:lineRule="exact"/>
      <w:ind w:left="1020" w:right="567" w:hanging="340"/>
    </w:pPr>
    <w:rPr>
      <w:sz w:val="20"/>
    </w:rPr>
  </w:style>
  <w:style w:type="paragraph" w:styleId="TOC4">
    <w:name w:val="toc 4"/>
    <w:basedOn w:val="Normal"/>
    <w:next w:val="Normal"/>
    <w:autoRedefine/>
    <w:uiPriority w:val="98"/>
    <w:semiHidden/>
    <w:rsid w:val="00FC1A1E"/>
    <w:pPr>
      <w:keepNext/>
      <w:tabs>
        <w:tab w:val="right" w:leader="dot" w:pos="7371"/>
      </w:tabs>
      <w:spacing w:after="60" w:line="240" w:lineRule="exact"/>
      <w:ind w:left="1361" w:right="567" w:hanging="340"/>
    </w:pPr>
    <w:rPr>
      <w:sz w:val="20"/>
    </w:rPr>
  </w:style>
  <w:style w:type="paragraph" w:styleId="TOC5">
    <w:name w:val="toc 5"/>
    <w:basedOn w:val="Normal"/>
    <w:next w:val="Normal"/>
    <w:autoRedefine/>
    <w:uiPriority w:val="98"/>
    <w:semiHidden/>
    <w:rsid w:val="00FC1A1E"/>
    <w:pPr>
      <w:tabs>
        <w:tab w:val="right" w:leader="dot" w:pos="7371"/>
      </w:tabs>
      <w:spacing w:after="60" w:line="240" w:lineRule="exact"/>
      <w:ind w:left="1701" w:right="567" w:hanging="340"/>
    </w:pPr>
    <w:rPr>
      <w:sz w:val="20"/>
    </w:rPr>
  </w:style>
  <w:style w:type="paragraph" w:styleId="TOCHeading">
    <w:name w:val="TOC Heading"/>
    <w:basedOn w:val="Normal"/>
    <w:next w:val="Normal"/>
    <w:uiPriority w:val="98"/>
    <w:semiHidden/>
    <w:qFormat/>
    <w:rsid w:val="00FC1A1E"/>
    <w:pPr>
      <w:keepNext/>
      <w:keepLines/>
      <w:spacing w:before="240"/>
      <w:contextualSpacing/>
      <w:jc w:val="center"/>
    </w:pPr>
    <w:rPr>
      <w:rFonts w:asciiTheme="majorHAnsi" w:hAnsiTheme="majorHAnsi"/>
      <w:b/>
      <w:color w:val="474747" w:themeColor="accent3" w:themeShade="BF"/>
      <w:sz w:val="28"/>
    </w:rPr>
  </w:style>
  <w:style w:type="table" w:customStyle="1" w:styleId="UGTable">
    <w:name w:val="UG_Table"/>
    <w:aliases w:val="ECHR_UG_Table"/>
    <w:basedOn w:val="TableNormal"/>
    <w:uiPriority w:val="99"/>
    <w:rsid w:val="00FC1A1E"/>
    <w:rPr>
      <w:rFonts w:eastAsiaTheme="minorEastAsia"/>
      <w:sz w:val="20"/>
      <w:szCs w:val="24"/>
      <w:lang w:eastAsia="en-GB"/>
    </w:rPr>
    <w:tblPr>
      <w:tblInd w:w="-1191" w:type="dxa"/>
      <w:tblCellMar>
        <w:top w:w="57" w:type="dxa"/>
        <w:left w:w="0" w:type="dxa"/>
        <w:right w:w="0" w:type="dxa"/>
      </w:tblCellMar>
    </w:tblPr>
    <w:tblStylePr w:type="swCell">
      <w:tblPr/>
      <w:tcPr>
        <w:tcBorders>
          <w:top w:val="nil"/>
          <w:left w:val="nil"/>
          <w:bottom w:val="nil"/>
          <w:right w:val="nil"/>
          <w:insideH w:val="nil"/>
          <w:insideV w:val="nil"/>
          <w:tl2br w:val="nil"/>
          <w:tr2bl w:val="nil"/>
        </w:tcBorders>
        <w:shd w:val="clear" w:color="auto" w:fill="EAEAEA"/>
      </w:tcPr>
    </w:tblStylePr>
  </w:style>
  <w:style w:type="table" w:customStyle="1" w:styleId="UGTableWhiteBox">
    <w:name w:val="UG_Table_White_Box"/>
    <w:aliases w:val="ECHR_UG_Table_White_Box"/>
    <w:basedOn w:val="TableNormal"/>
    <w:uiPriority w:val="99"/>
    <w:rsid w:val="00FC1A1E"/>
    <w:rPr>
      <w:rFonts w:eastAsiaTheme="minorEastAsia"/>
      <w:sz w:val="24"/>
      <w:szCs w:val="24"/>
      <w:lang w:eastAsia="en-GB"/>
    </w:rPr>
    <w:tblPr>
      <w:tblBorders>
        <w:top w:val="single" w:sz="4" w:space="0" w:color="B9B9B9" w:themeColor="background2" w:themeShade="BF"/>
        <w:left w:val="single" w:sz="4" w:space="0" w:color="B9B9B9" w:themeColor="background2" w:themeShade="BF"/>
        <w:bottom w:val="single" w:sz="4" w:space="0" w:color="B9B9B9" w:themeColor="background2" w:themeShade="BF"/>
        <w:right w:val="single" w:sz="4" w:space="0" w:color="B9B9B9" w:themeColor="background2" w:themeShade="BF"/>
      </w:tblBorders>
      <w:tblCellMar>
        <w:top w:w="113" w:type="dxa"/>
        <w:left w:w="113" w:type="dxa"/>
        <w:bottom w:w="113" w:type="dxa"/>
        <w:right w:w="113" w:type="dxa"/>
      </w:tblCellMar>
    </w:tblPr>
    <w:tcPr>
      <w:shd w:val="clear" w:color="auto" w:fill="FFFFFF"/>
    </w:tcPr>
  </w:style>
  <w:style w:type="table" w:customStyle="1" w:styleId="PCFTableStyle">
    <w:name w:val="PCF_Table_Style"/>
    <w:aliases w:val="ECHR_PCF_Table_Style"/>
    <w:basedOn w:val="TableNormal"/>
    <w:uiPriority w:val="99"/>
    <w:rsid w:val="00FC1A1E"/>
    <w:rPr>
      <w:color w:val="000000" w:themeColor="text1"/>
      <w:sz w:val="18"/>
      <w:szCs w:val="24"/>
    </w:rPr>
    <w:tblPr>
      <w:tblBorders>
        <w:top w:val="single" w:sz="8" w:space="0" w:color="9F9F9F" w:themeColor="accent3" w:themeTint="99"/>
        <w:left w:val="single" w:sz="8" w:space="0" w:color="9F9F9F" w:themeColor="accent3" w:themeTint="99"/>
        <w:bottom w:val="single" w:sz="8" w:space="0" w:color="9F9F9F" w:themeColor="accent3" w:themeTint="99"/>
        <w:right w:val="single" w:sz="8" w:space="0" w:color="9F9F9F" w:themeColor="accent3" w:themeTint="99"/>
        <w:insideH w:val="single" w:sz="8" w:space="0" w:color="9F9F9F" w:themeColor="accent3" w:themeTint="99"/>
        <w:insideV w:val="single" w:sz="8" w:space="0" w:color="9F9F9F" w:themeColor="accent3" w:themeTint="99"/>
      </w:tblBorders>
    </w:tblPr>
    <w:tblStylePr w:type="firstRow">
      <w:pPr>
        <w:wordWrap/>
        <w:spacing w:beforeLines="0" w:before="120" w:beforeAutospacing="0" w:afterLines="0" w:after="120" w:afterAutospacing="0" w:line="240" w:lineRule="auto"/>
        <w:contextualSpacing/>
        <w:jc w:val="center"/>
      </w:pPr>
      <w:rPr>
        <w:b/>
        <w:i w:val="0"/>
        <w:color w:val="FFFFFF"/>
        <w:sz w:val="20"/>
      </w:rPr>
      <w:tblPr/>
      <w:tcPr>
        <w:tcBorders>
          <w:top w:val="nil"/>
          <w:left w:val="nil"/>
          <w:bottom w:val="nil"/>
          <w:right w:val="nil"/>
          <w:insideH w:val="nil"/>
          <w:insideV w:val="nil"/>
          <w:tl2br w:val="nil"/>
          <w:tr2bl w:val="nil"/>
        </w:tcBorders>
        <w:shd w:val="clear" w:color="auto" w:fill="0072BC" w:themeFill="accent1"/>
        <w:vAlign w:val="center"/>
      </w:tcPr>
    </w:tblStylePr>
    <w:tblStylePr w:type="firstCol">
      <w:pPr>
        <w:jc w:val="left"/>
      </w:pPr>
      <w:tblPr/>
      <w:tcPr>
        <w:vAlign w:val="center"/>
      </w:tcPr>
    </w:tblStylePr>
  </w:style>
  <w:style w:type="table" w:customStyle="1" w:styleId="ECHRTableFax">
    <w:name w:val="ECHR_Table_Fax"/>
    <w:basedOn w:val="TableNormal"/>
    <w:uiPriority w:val="99"/>
    <w:rsid w:val="00FC1A1E"/>
    <w:rPr>
      <w:color w:val="000000" w:themeColor="text1"/>
      <w:sz w:val="24"/>
      <w:szCs w:val="24"/>
    </w:rPr>
    <w:tblPr>
      <w:tblInd w:w="-680" w:type="dxa"/>
      <w:tblBorders>
        <w:insideH w:val="single" w:sz="4" w:space="0" w:color="C6C6C6" w:themeColor="text2"/>
        <w:insideV w:val="single" w:sz="4" w:space="0" w:color="C6C6C6" w:themeColor="text2"/>
      </w:tblBorders>
      <w:tblCellMar>
        <w:top w:w="142" w:type="dxa"/>
        <w:bottom w:w="142" w:type="dxa"/>
      </w:tblCellMar>
    </w:tblPr>
    <w:trPr>
      <w:cantSplit/>
    </w:trPr>
  </w:style>
  <w:style w:type="table" w:customStyle="1" w:styleId="ECHRTableMemo">
    <w:name w:val="ECHR_Table_Memo"/>
    <w:basedOn w:val="TableNormal"/>
    <w:uiPriority w:val="99"/>
    <w:rsid w:val="00FC1A1E"/>
    <w:rPr>
      <w:sz w:val="24"/>
      <w:szCs w:val="24"/>
    </w:rPr>
    <w:tblPr>
      <w:jc w:val="center"/>
      <w:tblCellMar>
        <w:top w:w="113" w:type="dxa"/>
        <w:left w:w="0" w:type="dxa"/>
        <w:bottom w:w="113" w:type="dxa"/>
        <w:right w:w="0" w:type="dxa"/>
      </w:tblCellMar>
    </w:tblPr>
    <w:trPr>
      <w:jc w:val="center"/>
    </w:trPr>
    <w:tblStylePr w:type="lastRow">
      <w:tblPr/>
      <w:tcPr>
        <w:tcBorders>
          <w:top w:val="nil"/>
          <w:left w:val="nil"/>
          <w:bottom w:val="single" w:sz="4" w:space="0" w:color="949494" w:themeColor="text2" w:themeShade="BF"/>
          <w:right w:val="nil"/>
          <w:insideH w:val="nil"/>
          <w:insideV w:val="nil"/>
          <w:tl2br w:val="nil"/>
          <w:tr2bl w:val="nil"/>
        </w:tcBorders>
      </w:tcPr>
    </w:tblStylePr>
  </w:style>
  <w:style w:type="table" w:customStyle="1" w:styleId="ECHRDNTable">
    <w:name w:val="ECHR_DN_Table"/>
    <w:basedOn w:val="TableNormal"/>
    <w:uiPriority w:val="99"/>
    <w:rsid w:val="00FC1A1E"/>
    <w:rPr>
      <w:sz w:val="24"/>
      <w:szCs w:val="24"/>
    </w:rPr>
    <w:tblPr>
      <w:jc w:val="center"/>
      <w:tblBorders>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57" w:type="dxa"/>
        <w:bottom w:w="57" w:type="dxa"/>
      </w:tblCellMar>
    </w:tblPr>
    <w:trPr>
      <w:jc w:val="center"/>
    </w:trPr>
    <w:tcPr>
      <w:vAlign w:val="center"/>
    </w:tcPr>
    <w:tblStylePr w:type="firstRow">
      <w:pPr>
        <w:wordWrap/>
        <w:spacing w:beforeLines="0"/>
        <w:ind w:leftChars="0" w:left="0"/>
      </w:pPr>
      <w:rPr>
        <w:rFonts w:asciiTheme="majorHAnsi" w:hAnsiTheme="majorHAnsi"/>
        <w:b/>
        <w:i w:val="0"/>
        <w:color w:val="474747" w:themeColor="accent3" w:themeShade="BF"/>
        <w:sz w:val="24"/>
      </w:rPr>
      <w:tblPr/>
      <w:tcPr>
        <w:tcBorders>
          <w:top w:val="single" w:sz="4" w:space="0" w:color="949494" w:themeColor="text2" w:themeShade="BF"/>
          <w:left w:val="single" w:sz="4" w:space="0" w:color="949494" w:themeColor="text2" w:themeShade="BF"/>
          <w:bottom w:val="nil"/>
          <w:right w:val="single" w:sz="4" w:space="0" w:color="949494" w:themeColor="text2" w:themeShade="BF"/>
          <w:insideH w:val="nil"/>
          <w:insideV w:val="nil"/>
          <w:tl2br w:val="nil"/>
          <w:tr2bl w:val="nil"/>
        </w:tcBorders>
        <w:shd w:val="clear" w:color="auto" w:fill="DFDFDF" w:themeFill="background2" w:themeFillShade="E6"/>
      </w:tcPr>
    </w:tblStylePr>
  </w:style>
  <w:style w:type="paragraph" w:styleId="TOAHeading">
    <w:name w:val="toa heading"/>
    <w:basedOn w:val="Normal"/>
    <w:next w:val="Normal"/>
    <w:uiPriority w:val="98"/>
    <w:semiHidden/>
    <w:rsid w:val="00FC1A1E"/>
    <w:pPr>
      <w:keepNext/>
      <w:keepLines/>
      <w:spacing w:before="240"/>
      <w:contextualSpacing/>
      <w:jc w:val="center"/>
    </w:pPr>
    <w:rPr>
      <w:rFonts w:asciiTheme="majorHAnsi" w:eastAsiaTheme="majorEastAsia" w:hAnsiTheme="majorHAnsi" w:cstheme="majorBidi"/>
      <w:b/>
      <w:bCs/>
      <w:color w:val="474747" w:themeColor="accent3" w:themeShade="BF"/>
      <w:sz w:val="28"/>
    </w:rPr>
  </w:style>
  <w:style w:type="paragraph" w:styleId="Subtitle">
    <w:name w:val="Subtitle"/>
    <w:basedOn w:val="Normal"/>
    <w:next w:val="Normal"/>
    <w:link w:val="SubtitleChar"/>
    <w:uiPriority w:val="98"/>
    <w:semiHidden/>
    <w:qFormat/>
    <w:rsid w:val="00FC1A1E"/>
    <w:pPr>
      <w:spacing w:after="600"/>
    </w:pPr>
    <w:rPr>
      <w:rFonts w:asciiTheme="majorHAnsi" w:eastAsiaTheme="majorEastAsia" w:hAnsiTheme="majorHAnsi" w:cstheme="majorBidi"/>
      <w:i/>
      <w:iCs/>
      <w:spacing w:val="13"/>
      <w:lang w:bidi="en-US"/>
    </w:rPr>
  </w:style>
  <w:style w:type="paragraph" w:customStyle="1" w:styleId="JuPara">
    <w:name w:val="Ju_Para"/>
    <w:aliases w:val="_Para"/>
    <w:basedOn w:val="NormalJustified"/>
    <w:link w:val="JuParaChar"/>
    <w:uiPriority w:val="4"/>
    <w:qFormat/>
    <w:rsid w:val="00FC1A1E"/>
    <w:pPr>
      <w:ind w:firstLine="284"/>
    </w:pPr>
  </w:style>
  <w:style w:type="character" w:customStyle="1" w:styleId="SubtitleChar">
    <w:name w:val="Subtitle Char"/>
    <w:basedOn w:val="DefaultParagraphFont"/>
    <w:link w:val="Subtitle"/>
    <w:uiPriority w:val="98"/>
    <w:semiHidden/>
    <w:rsid w:val="00FC1A1E"/>
    <w:rPr>
      <w:rFonts w:asciiTheme="majorHAnsi" w:eastAsiaTheme="majorEastAsia" w:hAnsiTheme="majorHAnsi" w:cstheme="majorBidi"/>
      <w:i/>
      <w:iCs/>
      <w:spacing w:val="13"/>
      <w:sz w:val="24"/>
      <w:szCs w:val="24"/>
      <w:lang w:val="ro-RO" w:bidi="en-US"/>
    </w:rPr>
  </w:style>
  <w:style w:type="table" w:customStyle="1" w:styleId="ECHRTableSimpleBox">
    <w:name w:val="ECHR_Table_Simple_Box"/>
    <w:basedOn w:val="TableNormal"/>
    <w:uiPriority w:val="99"/>
    <w:rsid w:val="00FC1A1E"/>
    <w:rPr>
      <w:sz w:val="24"/>
      <w:szCs w:val="24"/>
    </w:rPr>
    <w:tblPr>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tblBorders>
      <w:tblCellMar>
        <w:top w:w="113" w:type="dxa"/>
        <w:bottom w:w="113" w:type="dxa"/>
      </w:tblCellMar>
    </w:tblPr>
  </w:style>
  <w:style w:type="table" w:customStyle="1" w:styleId="ECHRTableNoLines">
    <w:name w:val="ECHR_Table_No_Lines"/>
    <w:basedOn w:val="TableNormal"/>
    <w:uiPriority w:val="99"/>
    <w:rsid w:val="00FC1A1E"/>
    <w:rPr>
      <w:sz w:val="24"/>
      <w:szCs w:val="24"/>
    </w:rPr>
    <w:tblPr>
      <w:tblCellMar>
        <w:top w:w="85" w:type="dxa"/>
        <w:left w:w="142" w:type="dxa"/>
        <w:bottom w:w="28" w:type="dxa"/>
        <w:right w:w="142" w:type="dxa"/>
      </w:tblCellMar>
    </w:tblPr>
    <w:tblStylePr w:type="firstRow">
      <w:rPr>
        <w:rFonts w:asciiTheme="majorHAnsi" w:hAnsiTheme="majorHAnsi"/>
        <w:b/>
        <w:i w:val="0"/>
        <w:color w:val="474747" w:themeColor="accent3" w:themeShade="BF"/>
        <w:sz w:val="24"/>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nil"/>
          <w:insideV w:val="nil"/>
          <w:tl2br w:val="nil"/>
          <w:tr2bl w:val="nil"/>
        </w:tcBorders>
        <w:shd w:val="clear" w:color="auto" w:fill="DFDFDF" w:themeFill="background2" w:themeFillShade="E6"/>
      </w:tcPr>
    </w:tblStylePr>
    <w:tblStylePr w:type="firstCol">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tcPr>
    </w:tblStylePr>
  </w:style>
  <w:style w:type="numbering" w:styleId="111111">
    <w:name w:val="Outline List 2"/>
    <w:basedOn w:val="NoList"/>
    <w:uiPriority w:val="99"/>
    <w:semiHidden/>
    <w:unhideWhenUsed/>
    <w:rsid w:val="00FC1A1E"/>
    <w:pPr>
      <w:numPr>
        <w:numId w:val="1"/>
      </w:numPr>
    </w:pPr>
  </w:style>
  <w:style w:type="table" w:customStyle="1" w:styleId="ECHRTableForInternalUse">
    <w:name w:val="ECHR_Table_For_Internal_Use"/>
    <w:basedOn w:val="TableNormal"/>
    <w:uiPriority w:val="99"/>
    <w:rsid w:val="00FC1A1E"/>
    <w:rPr>
      <w:color w:val="636363" w:themeColor="text2" w:themeShade="80"/>
      <w:sz w:val="18"/>
      <w:szCs w:val="24"/>
    </w:rPr>
    <w:tblPr>
      <w:tblStyleColBandSize w:val="1"/>
      <w:jc w:val="right"/>
      <w:tblCellMar>
        <w:top w:w="113" w:type="dxa"/>
        <w:bottom w:w="28" w:type="dxa"/>
      </w:tblCellMar>
    </w:tblPr>
    <w:trPr>
      <w:jc w:val="right"/>
    </w:trPr>
    <w:tblStylePr w:type="firstRow">
      <w:rPr>
        <w:b/>
      </w:rPr>
    </w:tblStylePr>
    <w:tblStylePr w:type="lastCol">
      <w:pPr>
        <w:jc w:val="right"/>
      </w:p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tcPr>
    </w:tblStylePr>
    <w:tblStylePr w:type="band1Vert">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tcPr>
    </w:tblStylePr>
  </w:style>
  <w:style w:type="table" w:customStyle="1" w:styleId="ECHRListTable">
    <w:name w:val="ECHR_List_Table"/>
    <w:basedOn w:val="TableNormal"/>
    <w:uiPriority w:val="99"/>
    <w:rsid w:val="00FC1A1E"/>
    <w:rPr>
      <w:sz w:val="24"/>
      <w:szCs w:val="24"/>
    </w:rPr>
    <w:tblPr>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b/>
        <w:color w:val="474747" w:themeColor="accent3" w:themeShade="BF"/>
      </w:rPr>
      <w:tblPr/>
      <w:trPr>
        <w:tblHeader/>
      </w:tr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shd w:val="clear" w:color="auto" w:fill="DFDFDF" w:themeFill="background2" w:themeFillShade="E6"/>
      </w:tcPr>
    </w:tblStylePr>
  </w:style>
  <w:style w:type="numbering" w:styleId="1ai">
    <w:name w:val="Outline List 1"/>
    <w:basedOn w:val="NoList"/>
    <w:uiPriority w:val="99"/>
    <w:semiHidden/>
    <w:unhideWhenUsed/>
    <w:rsid w:val="00FC1A1E"/>
    <w:pPr>
      <w:numPr>
        <w:numId w:val="2"/>
      </w:numPr>
    </w:pPr>
  </w:style>
  <w:style w:type="numbering" w:styleId="ArticleSection">
    <w:name w:val="Outline List 3"/>
    <w:basedOn w:val="NoList"/>
    <w:uiPriority w:val="99"/>
    <w:semiHidden/>
    <w:unhideWhenUsed/>
    <w:rsid w:val="00FC1A1E"/>
    <w:pPr>
      <w:numPr>
        <w:numId w:val="3"/>
      </w:numPr>
    </w:pPr>
  </w:style>
  <w:style w:type="table" w:customStyle="1" w:styleId="ECHRHeaderTable">
    <w:name w:val="ECHR_Header_Table"/>
    <w:basedOn w:val="TableNormal"/>
    <w:uiPriority w:val="99"/>
    <w:rsid w:val="00FC1A1E"/>
    <w:rPr>
      <w:sz w:val="24"/>
      <w:szCs w:val="24"/>
    </w:rPr>
    <w:tblPr>
      <w:tblInd w:w="-1474" w:type="dxa"/>
      <w:tblBorders>
        <w:bottom w:val="single" w:sz="6" w:space="0" w:color="949494" w:themeColor="text2" w:themeShade="BF"/>
      </w:tblBorders>
      <w:tblCellMar>
        <w:left w:w="0" w:type="dxa"/>
        <w:bottom w:w="28" w:type="dxa"/>
        <w:right w:w="0" w:type="dxa"/>
      </w:tblCellMar>
    </w:tblPr>
    <w:tcPr>
      <w:vAlign w:val="bottom"/>
    </w:tcPr>
    <w:tblStylePr w:type="lastCol">
      <w:pPr>
        <w:wordWrap/>
        <w:jc w:val="both"/>
      </w:pPr>
    </w:tblStylePr>
  </w:style>
  <w:style w:type="paragraph" w:styleId="Bibliography">
    <w:name w:val="Bibliography"/>
    <w:basedOn w:val="Normal"/>
    <w:next w:val="Normal"/>
    <w:uiPriority w:val="98"/>
    <w:semiHidden/>
    <w:rsid w:val="00FC1A1E"/>
  </w:style>
  <w:style w:type="paragraph" w:styleId="BlockText">
    <w:name w:val="Block Text"/>
    <w:basedOn w:val="Normal"/>
    <w:uiPriority w:val="98"/>
    <w:semiHidden/>
    <w:rsid w:val="00FC1A1E"/>
    <w:pPr>
      <w:pBdr>
        <w:top w:val="single" w:sz="2" w:space="10" w:color="0072BC" w:themeColor="accent1" w:shadow="1" w:frame="1"/>
        <w:left w:val="single" w:sz="2" w:space="10" w:color="0072BC" w:themeColor="accent1" w:shadow="1" w:frame="1"/>
        <w:bottom w:val="single" w:sz="2" w:space="10" w:color="0072BC" w:themeColor="accent1" w:shadow="1" w:frame="1"/>
        <w:right w:val="single" w:sz="2" w:space="10" w:color="0072BC" w:themeColor="accent1" w:shadow="1" w:frame="1"/>
      </w:pBdr>
      <w:ind w:left="1152" w:right="1152"/>
    </w:pPr>
    <w:rPr>
      <w:i/>
      <w:iCs/>
      <w:color w:val="0072BC" w:themeColor="accent1"/>
    </w:rPr>
  </w:style>
  <w:style w:type="table" w:customStyle="1" w:styleId="ECHRTableOddBanded">
    <w:name w:val="ECHR_Table_Odd_Banded"/>
    <w:basedOn w:val="TableNormal"/>
    <w:uiPriority w:val="99"/>
    <w:rsid w:val="00FC1A1E"/>
    <w:tblPr>
      <w:tblStyleRowBandSize w:val="1"/>
      <w:tblStyleColBandSize w:val="1"/>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rFonts w:asciiTheme="majorHAnsi" w:hAnsiTheme="majorHAnsi"/>
        <w:b/>
        <w:i w:val="0"/>
        <w:color w:val="474747" w:themeColor="accent3" w:themeShade="BF"/>
        <w:sz w:val="22"/>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nil"/>
          <w:insideV w:val="single" w:sz="4" w:space="0" w:color="949494" w:themeColor="text2" w:themeShade="BF"/>
          <w:tl2br w:val="nil"/>
          <w:tr2bl w:val="nil"/>
        </w:tcBorders>
        <w:shd w:val="clear" w:color="auto" w:fill="DFDFDF" w:themeFill="background2" w:themeFillShade="E6"/>
      </w:tcPr>
    </w:tblStylePr>
    <w:tblStylePr w:type="band1Vert">
      <w:tblPr/>
      <w:tcPr>
        <w:tcBorders>
          <w:top w:val="nil"/>
          <w:left w:val="nil"/>
          <w:bottom w:val="nil"/>
          <w:right w:val="nil"/>
          <w:insideH w:val="nil"/>
          <w:insideV w:val="nil"/>
          <w:tl2br w:val="nil"/>
          <w:tr2bl w:val="nil"/>
        </w:tcBorders>
        <w:shd w:val="clear" w:color="auto" w:fill="DFDFDF" w:themeFill="background2" w:themeFillShade="E6"/>
      </w:tcPr>
    </w:tblStylePr>
    <w:tblStylePr w:type="band1Horz">
      <w:rPr>
        <w:b/>
      </w:rPr>
      <w:tblPr/>
      <w:tcPr>
        <w:shd w:val="clear" w:color="auto" w:fill="DFDFDF" w:themeFill="background2" w:themeFillShade="E6"/>
      </w:tcPr>
    </w:tblStylePr>
  </w:style>
  <w:style w:type="paragraph" w:styleId="BodyText">
    <w:name w:val="Body Text"/>
    <w:basedOn w:val="Normal"/>
    <w:link w:val="BodyTextChar"/>
    <w:uiPriority w:val="98"/>
    <w:semiHidden/>
    <w:rsid w:val="00FC1A1E"/>
    <w:pPr>
      <w:spacing w:after="120"/>
    </w:pPr>
  </w:style>
  <w:style w:type="table" w:customStyle="1" w:styleId="ECHRHeaderTableReduced">
    <w:name w:val="ECHR_Header_Table_Reduced"/>
    <w:basedOn w:val="TableNormal"/>
    <w:uiPriority w:val="99"/>
    <w:rsid w:val="00FC1A1E"/>
    <w:rPr>
      <w:sz w:val="24"/>
      <w:szCs w:val="24"/>
    </w:rPr>
    <w:tblPr>
      <w:tblInd w:w="-1474" w:type="dxa"/>
      <w:tblCellMar>
        <w:left w:w="0" w:type="dxa"/>
        <w:right w:w="0" w:type="dxa"/>
      </w:tblCellMar>
    </w:tblPr>
    <w:tcPr>
      <w:vAlign w:val="bottom"/>
    </w:tcPr>
    <w:tblStylePr w:type="firstRow">
      <w:rPr>
        <w:sz w:val="18"/>
      </w:rPr>
      <w:tblPr/>
      <w:tcPr>
        <w:tcBorders>
          <w:top w:val="nil"/>
          <w:left w:val="nil"/>
          <w:bottom w:val="single" w:sz="6" w:space="0" w:color="949494" w:themeColor="text2" w:themeShade="BF"/>
          <w:right w:val="nil"/>
          <w:insideH w:val="nil"/>
          <w:insideV w:val="nil"/>
          <w:tl2br w:val="nil"/>
          <w:tr2bl w:val="nil"/>
        </w:tcBorders>
      </w:tcPr>
    </w:tblStylePr>
    <w:tblStylePr w:type="lastRow">
      <w:pPr>
        <w:jc w:val="right"/>
      </w:pPr>
      <w:tblPr/>
      <w:tcPr>
        <w:tcBorders>
          <w:top w:val="single" w:sz="6" w:space="0" w:color="949494" w:themeColor="text2" w:themeShade="BF"/>
          <w:left w:val="nil"/>
          <w:bottom w:val="nil"/>
          <w:right w:val="nil"/>
          <w:insideH w:val="nil"/>
          <w:insideV w:val="nil"/>
          <w:tl2br w:val="nil"/>
          <w:tr2bl w:val="nil"/>
        </w:tcBorders>
      </w:tcPr>
    </w:tblStylePr>
  </w:style>
  <w:style w:type="character" w:styleId="PageNumber">
    <w:name w:val="page number"/>
    <w:uiPriority w:val="98"/>
    <w:semiHidden/>
    <w:rsid w:val="00FC1A1E"/>
    <w:rPr>
      <w:sz w:val="18"/>
    </w:rPr>
  </w:style>
  <w:style w:type="character" w:styleId="CommentReference">
    <w:name w:val="annotation reference"/>
    <w:basedOn w:val="DefaultParagraphFont"/>
    <w:uiPriority w:val="98"/>
    <w:semiHidden/>
    <w:rsid w:val="00FC1A1E"/>
    <w:rPr>
      <w:sz w:val="16"/>
      <w:szCs w:val="16"/>
    </w:rPr>
  </w:style>
  <w:style w:type="paragraph" w:styleId="CommentText">
    <w:name w:val="annotation text"/>
    <w:basedOn w:val="Normal"/>
    <w:link w:val="CommentTextChar"/>
    <w:uiPriority w:val="98"/>
    <w:semiHidden/>
    <w:rsid w:val="00FC1A1E"/>
    <w:rPr>
      <w:sz w:val="20"/>
      <w:szCs w:val="20"/>
    </w:rPr>
  </w:style>
  <w:style w:type="character" w:customStyle="1" w:styleId="CommentTextChar">
    <w:name w:val="Comment Text Char"/>
    <w:basedOn w:val="DefaultParagraphFont"/>
    <w:link w:val="CommentText"/>
    <w:uiPriority w:val="98"/>
    <w:semiHidden/>
    <w:rsid w:val="00FC1A1E"/>
    <w:rPr>
      <w:sz w:val="20"/>
      <w:szCs w:val="20"/>
      <w:lang w:val="ro-RO"/>
    </w:rPr>
  </w:style>
  <w:style w:type="paragraph" w:customStyle="1" w:styleId="JuSigned">
    <w:name w:val="Ju_Signed"/>
    <w:aliases w:val="_Signature"/>
    <w:basedOn w:val="Normal"/>
    <w:next w:val="JuPara"/>
    <w:uiPriority w:val="31"/>
    <w:qFormat/>
    <w:rsid w:val="00FC1A1E"/>
    <w:pPr>
      <w:tabs>
        <w:tab w:val="center" w:pos="1418"/>
        <w:tab w:val="center" w:pos="5954"/>
      </w:tabs>
      <w:spacing w:before="720"/>
    </w:pPr>
  </w:style>
  <w:style w:type="paragraph" w:customStyle="1" w:styleId="JuTitle">
    <w:name w:val="Ju_Title"/>
    <w:aliases w:val="_Title_2"/>
    <w:basedOn w:val="Normal"/>
    <w:next w:val="JuPara"/>
    <w:uiPriority w:val="38"/>
    <w:qFormat/>
    <w:rsid w:val="00FC1A1E"/>
    <w:pPr>
      <w:keepNext/>
      <w:keepLines/>
      <w:spacing w:before="1320" w:after="280"/>
      <w:contextualSpacing/>
      <w:jc w:val="center"/>
    </w:pPr>
    <w:rPr>
      <w:b/>
    </w:rPr>
  </w:style>
  <w:style w:type="paragraph" w:customStyle="1" w:styleId="DecHTitle">
    <w:name w:val="Dec_H_Title"/>
    <w:aliases w:val="_Title_1"/>
    <w:basedOn w:val="JuPara"/>
    <w:next w:val="JuPara"/>
    <w:uiPriority w:val="38"/>
    <w:qFormat/>
    <w:rsid w:val="00FC1A1E"/>
    <w:pPr>
      <w:keepNext/>
      <w:keepLines/>
      <w:spacing w:after="240"/>
      <w:ind w:firstLine="0"/>
      <w:jc w:val="center"/>
      <w:outlineLvl w:val="0"/>
    </w:pPr>
    <w:rPr>
      <w:rFonts w:asciiTheme="majorHAnsi" w:hAnsiTheme="majorHAnsi"/>
      <w:sz w:val="28"/>
    </w:rPr>
  </w:style>
  <w:style w:type="paragraph" w:styleId="ListBullet2">
    <w:name w:val="List Bullet 2"/>
    <w:basedOn w:val="Normal"/>
    <w:uiPriority w:val="98"/>
    <w:semiHidden/>
    <w:rsid w:val="00FC1A1E"/>
    <w:pPr>
      <w:numPr>
        <w:numId w:val="5"/>
      </w:numPr>
      <w:contextualSpacing/>
    </w:pPr>
  </w:style>
  <w:style w:type="paragraph" w:styleId="ListBullet3">
    <w:name w:val="List Bullet 3"/>
    <w:basedOn w:val="Normal"/>
    <w:uiPriority w:val="98"/>
    <w:semiHidden/>
    <w:rsid w:val="00FC1A1E"/>
    <w:pPr>
      <w:numPr>
        <w:numId w:val="6"/>
      </w:numPr>
      <w:contextualSpacing/>
    </w:pPr>
  </w:style>
  <w:style w:type="character" w:customStyle="1" w:styleId="BodyTextChar">
    <w:name w:val="Body Text Char"/>
    <w:basedOn w:val="DefaultParagraphFont"/>
    <w:link w:val="BodyText"/>
    <w:uiPriority w:val="98"/>
    <w:semiHidden/>
    <w:rsid w:val="00FC1A1E"/>
    <w:rPr>
      <w:sz w:val="24"/>
      <w:szCs w:val="24"/>
      <w:lang w:val="ro-RO"/>
    </w:rPr>
  </w:style>
  <w:style w:type="paragraph" w:styleId="BodyText2">
    <w:name w:val="Body Text 2"/>
    <w:basedOn w:val="Normal"/>
    <w:link w:val="BodyText2Char"/>
    <w:uiPriority w:val="98"/>
    <w:semiHidden/>
    <w:rsid w:val="00FC1A1E"/>
    <w:pPr>
      <w:spacing w:after="120" w:line="480" w:lineRule="auto"/>
    </w:pPr>
  </w:style>
  <w:style w:type="character" w:customStyle="1" w:styleId="BodyText2Char">
    <w:name w:val="Body Text 2 Char"/>
    <w:basedOn w:val="DefaultParagraphFont"/>
    <w:link w:val="BodyText2"/>
    <w:uiPriority w:val="98"/>
    <w:semiHidden/>
    <w:rsid w:val="00FC1A1E"/>
    <w:rPr>
      <w:sz w:val="24"/>
      <w:szCs w:val="24"/>
      <w:lang w:val="ro-RO"/>
    </w:rPr>
  </w:style>
  <w:style w:type="paragraph" w:styleId="BodyText3">
    <w:name w:val="Body Text 3"/>
    <w:basedOn w:val="Normal"/>
    <w:link w:val="BodyText3Char"/>
    <w:uiPriority w:val="98"/>
    <w:semiHidden/>
    <w:rsid w:val="00FC1A1E"/>
    <w:pPr>
      <w:spacing w:after="120"/>
    </w:pPr>
    <w:rPr>
      <w:sz w:val="16"/>
      <w:szCs w:val="16"/>
    </w:rPr>
  </w:style>
  <w:style w:type="character" w:customStyle="1" w:styleId="BodyText3Char">
    <w:name w:val="Body Text 3 Char"/>
    <w:basedOn w:val="DefaultParagraphFont"/>
    <w:link w:val="BodyText3"/>
    <w:uiPriority w:val="98"/>
    <w:semiHidden/>
    <w:rsid w:val="00FC1A1E"/>
    <w:rPr>
      <w:sz w:val="16"/>
      <w:szCs w:val="16"/>
      <w:lang w:val="ro-RO"/>
    </w:rPr>
  </w:style>
  <w:style w:type="paragraph" w:styleId="BodyTextFirstIndent">
    <w:name w:val="Body Text First Indent"/>
    <w:basedOn w:val="BodyText"/>
    <w:link w:val="BodyTextFirstIndentChar"/>
    <w:uiPriority w:val="98"/>
    <w:semiHidden/>
    <w:rsid w:val="00FC1A1E"/>
    <w:pPr>
      <w:spacing w:after="0"/>
      <w:ind w:firstLine="360"/>
    </w:pPr>
  </w:style>
  <w:style w:type="character" w:customStyle="1" w:styleId="BodyTextFirstIndentChar">
    <w:name w:val="Body Text First Indent Char"/>
    <w:basedOn w:val="BodyTextChar"/>
    <w:link w:val="BodyTextFirstIndent"/>
    <w:uiPriority w:val="98"/>
    <w:semiHidden/>
    <w:rsid w:val="00FC1A1E"/>
    <w:rPr>
      <w:sz w:val="24"/>
      <w:szCs w:val="24"/>
      <w:lang w:val="ro-RO"/>
    </w:rPr>
  </w:style>
  <w:style w:type="paragraph" w:styleId="BodyTextIndent">
    <w:name w:val="Body Text Indent"/>
    <w:basedOn w:val="Normal"/>
    <w:link w:val="BodyTextIndentChar"/>
    <w:uiPriority w:val="98"/>
    <w:semiHidden/>
    <w:rsid w:val="00FC1A1E"/>
    <w:pPr>
      <w:spacing w:after="120"/>
      <w:ind w:left="283"/>
    </w:pPr>
  </w:style>
  <w:style w:type="character" w:customStyle="1" w:styleId="BodyTextIndentChar">
    <w:name w:val="Body Text Indent Char"/>
    <w:basedOn w:val="DefaultParagraphFont"/>
    <w:link w:val="BodyTextIndent"/>
    <w:uiPriority w:val="98"/>
    <w:semiHidden/>
    <w:rsid w:val="00FC1A1E"/>
    <w:rPr>
      <w:sz w:val="24"/>
      <w:szCs w:val="24"/>
      <w:lang w:val="ro-RO"/>
    </w:rPr>
  </w:style>
  <w:style w:type="paragraph" w:styleId="BodyTextFirstIndent2">
    <w:name w:val="Body Text First Indent 2"/>
    <w:basedOn w:val="BodyTextIndent"/>
    <w:link w:val="BodyTextFirstIndent2Char"/>
    <w:uiPriority w:val="98"/>
    <w:semiHidden/>
    <w:rsid w:val="00FC1A1E"/>
    <w:pPr>
      <w:spacing w:after="0"/>
      <w:ind w:left="360" w:firstLine="360"/>
    </w:pPr>
  </w:style>
  <w:style w:type="character" w:customStyle="1" w:styleId="BodyTextFirstIndent2Char">
    <w:name w:val="Body Text First Indent 2 Char"/>
    <w:basedOn w:val="BodyTextIndentChar"/>
    <w:link w:val="BodyTextFirstIndent2"/>
    <w:uiPriority w:val="98"/>
    <w:semiHidden/>
    <w:rsid w:val="00FC1A1E"/>
    <w:rPr>
      <w:sz w:val="24"/>
      <w:szCs w:val="24"/>
      <w:lang w:val="ro-RO"/>
    </w:rPr>
  </w:style>
  <w:style w:type="paragraph" w:styleId="BodyTextIndent2">
    <w:name w:val="Body Text Indent 2"/>
    <w:basedOn w:val="Normal"/>
    <w:link w:val="BodyTextIndent2Char"/>
    <w:uiPriority w:val="98"/>
    <w:semiHidden/>
    <w:rsid w:val="00FC1A1E"/>
    <w:pPr>
      <w:spacing w:after="120" w:line="480" w:lineRule="auto"/>
      <w:ind w:left="283"/>
    </w:pPr>
  </w:style>
  <w:style w:type="character" w:customStyle="1" w:styleId="BodyTextIndent2Char">
    <w:name w:val="Body Text Indent 2 Char"/>
    <w:basedOn w:val="DefaultParagraphFont"/>
    <w:link w:val="BodyTextIndent2"/>
    <w:uiPriority w:val="98"/>
    <w:semiHidden/>
    <w:rsid w:val="00FC1A1E"/>
    <w:rPr>
      <w:sz w:val="24"/>
      <w:szCs w:val="24"/>
      <w:lang w:val="ro-RO"/>
    </w:rPr>
  </w:style>
  <w:style w:type="paragraph" w:styleId="BodyTextIndent3">
    <w:name w:val="Body Text Indent 3"/>
    <w:basedOn w:val="Normal"/>
    <w:link w:val="BodyTextIndent3Char"/>
    <w:uiPriority w:val="98"/>
    <w:semiHidden/>
    <w:rsid w:val="00FC1A1E"/>
    <w:pPr>
      <w:spacing w:after="120"/>
      <w:ind w:left="283"/>
    </w:pPr>
    <w:rPr>
      <w:sz w:val="16"/>
      <w:szCs w:val="16"/>
    </w:rPr>
  </w:style>
  <w:style w:type="character" w:customStyle="1" w:styleId="BodyTextIndent3Char">
    <w:name w:val="Body Text Indent 3 Char"/>
    <w:basedOn w:val="DefaultParagraphFont"/>
    <w:link w:val="BodyTextIndent3"/>
    <w:uiPriority w:val="98"/>
    <w:semiHidden/>
    <w:rsid w:val="00FC1A1E"/>
    <w:rPr>
      <w:sz w:val="16"/>
      <w:szCs w:val="16"/>
      <w:lang w:val="ro-RO"/>
    </w:rPr>
  </w:style>
  <w:style w:type="paragraph" w:styleId="Caption">
    <w:name w:val="caption"/>
    <w:basedOn w:val="Normal"/>
    <w:next w:val="Normal"/>
    <w:uiPriority w:val="98"/>
    <w:semiHidden/>
    <w:qFormat/>
    <w:rsid w:val="00FC1A1E"/>
    <w:pPr>
      <w:spacing w:after="200"/>
    </w:pPr>
    <w:rPr>
      <w:b/>
      <w:bCs/>
      <w:color w:val="0072BC" w:themeColor="accent1"/>
      <w:sz w:val="18"/>
      <w:szCs w:val="18"/>
    </w:rPr>
  </w:style>
  <w:style w:type="paragraph" w:styleId="Closing">
    <w:name w:val="Closing"/>
    <w:basedOn w:val="Normal"/>
    <w:link w:val="ClosingChar"/>
    <w:uiPriority w:val="98"/>
    <w:semiHidden/>
    <w:rsid w:val="00FC1A1E"/>
    <w:pPr>
      <w:ind w:left="4252"/>
    </w:pPr>
  </w:style>
  <w:style w:type="character" w:customStyle="1" w:styleId="ClosingChar">
    <w:name w:val="Closing Char"/>
    <w:basedOn w:val="DefaultParagraphFont"/>
    <w:link w:val="Closing"/>
    <w:uiPriority w:val="98"/>
    <w:semiHidden/>
    <w:rsid w:val="00FC1A1E"/>
    <w:rPr>
      <w:sz w:val="24"/>
      <w:szCs w:val="24"/>
      <w:lang w:val="ro-RO"/>
    </w:rPr>
  </w:style>
  <w:style w:type="table" w:styleId="ColorfulGrid">
    <w:name w:val="Colorful Grid"/>
    <w:basedOn w:val="TableNormal"/>
    <w:uiPriority w:val="73"/>
    <w:semiHidden/>
    <w:rsid w:val="00FC1A1E"/>
    <w:rPr>
      <w:color w:val="000000" w:themeColor="text1"/>
      <w:sz w:val="24"/>
      <w:szCs w:val="24"/>
    </w:rPr>
    <w:tblPr>
      <w:tblStyleRowBandSize w:val="1"/>
      <w:tblStyleColBandSize w:val="1"/>
      <w:tblBorders>
        <w:insideH w:val="single" w:sz="4" w:space="0" w:color="0072BC"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0072BC" w:themeColor="background1"/>
      </w:rPr>
      <w:tblPr/>
      <w:tcPr>
        <w:shd w:val="clear" w:color="auto" w:fill="000000" w:themeFill="text1" w:themeFillShade="BF"/>
      </w:tcPr>
    </w:tblStylePr>
    <w:tblStylePr w:type="lastCol">
      <w:rPr>
        <w:color w:val="0072BC"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rsid w:val="00FC1A1E"/>
    <w:rPr>
      <w:color w:val="000000" w:themeColor="text1"/>
      <w:sz w:val="24"/>
      <w:szCs w:val="24"/>
    </w:rPr>
    <w:tblPr>
      <w:tblStyleRowBandSize w:val="1"/>
      <w:tblStyleColBandSize w:val="1"/>
      <w:tblBorders>
        <w:insideH w:val="single" w:sz="4" w:space="0" w:color="0072BC" w:themeColor="background1"/>
      </w:tblBorders>
    </w:tblPr>
    <w:tcPr>
      <w:shd w:val="clear" w:color="auto" w:fill="BEE5FF" w:themeFill="accent1" w:themeFillTint="33"/>
    </w:tcPr>
    <w:tblStylePr w:type="firstRow">
      <w:rPr>
        <w:b/>
        <w:bCs/>
      </w:rPr>
      <w:tblPr/>
      <w:tcPr>
        <w:shd w:val="clear" w:color="auto" w:fill="7ECBFF" w:themeFill="accent1" w:themeFillTint="66"/>
      </w:tcPr>
    </w:tblStylePr>
    <w:tblStylePr w:type="lastRow">
      <w:rPr>
        <w:b/>
        <w:bCs/>
        <w:color w:val="000000" w:themeColor="text1"/>
      </w:rPr>
      <w:tblPr/>
      <w:tcPr>
        <w:shd w:val="clear" w:color="auto" w:fill="7ECBFF" w:themeFill="accent1" w:themeFillTint="66"/>
      </w:tcPr>
    </w:tblStylePr>
    <w:tblStylePr w:type="firstCol">
      <w:rPr>
        <w:color w:val="0072BC" w:themeColor="background1"/>
      </w:rPr>
      <w:tblPr/>
      <w:tcPr>
        <w:shd w:val="clear" w:color="auto" w:fill="00548C" w:themeFill="accent1" w:themeFillShade="BF"/>
      </w:tcPr>
    </w:tblStylePr>
    <w:tblStylePr w:type="lastCol">
      <w:rPr>
        <w:color w:val="0072BC" w:themeColor="background1"/>
      </w:rPr>
      <w:tblPr/>
      <w:tcPr>
        <w:shd w:val="clear" w:color="auto" w:fill="00548C" w:themeFill="accent1" w:themeFillShade="BF"/>
      </w:tc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ColorfulGrid-Accent2">
    <w:name w:val="Colorful Grid Accent 2"/>
    <w:basedOn w:val="TableNormal"/>
    <w:uiPriority w:val="73"/>
    <w:semiHidden/>
    <w:rsid w:val="00FC1A1E"/>
    <w:rPr>
      <w:color w:val="000000" w:themeColor="text1"/>
      <w:sz w:val="24"/>
      <w:szCs w:val="24"/>
    </w:rPr>
    <w:tblPr>
      <w:tblStyleRowBandSize w:val="1"/>
      <w:tblStyleColBandSize w:val="1"/>
      <w:tblBorders>
        <w:insideH w:val="single" w:sz="4" w:space="0" w:color="0072BC" w:themeColor="background1"/>
      </w:tblBorders>
    </w:tblPr>
    <w:tcPr>
      <w:shd w:val="clear" w:color="auto" w:fill="FFBFBF" w:themeFill="accent2" w:themeFillTint="33"/>
    </w:tcPr>
    <w:tblStylePr w:type="firstRow">
      <w:rPr>
        <w:b/>
        <w:bCs/>
      </w:rPr>
      <w:tblPr/>
      <w:tcPr>
        <w:shd w:val="clear" w:color="auto" w:fill="FF7F7F" w:themeFill="accent2" w:themeFillTint="66"/>
      </w:tcPr>
    </w:tblStylePr>
    <w:tblStylePr w:type="lastRow">
      <w:rPr>
        <w:b/>
        <w:bCs/>
        <w:color w:val="000000" w:themeColor="text1"/>
      </w:rPr>
      <w:tblPr/>
      <w:tcPr>
        <w:shd w:val="clear" w:color="auto" w:fill="FF7F7F" w:themeFill="accent2" w:themeFillTint="66"/>
      </w:tcPr>
    </w:tblStylePr>
    <w:tblStylePr w:type="firstCol">
      <w:rPr>
        <w:color w:val="0072BC" w:themeColor="background1"/>
      </w:rPr>
      <w:tblPr/>
      <w:tcPr>
        <w:shd w:val="clear" w:color="auto" w:fill="8F0000" w:themeFill="accent2" w:themeFillShade="BF"/>
      </w:tcPr>
    </w:tblStylePr>
    <w:tblStylePr w:type="lastCol">
      <w:rPr>
        <w:color w:val="0072BC" w:themeColor="background1"/>
      </w:rPr>
      <w:tblPr/>
      <w:tcPr>
        <w:shd w:val="clear" w:color="auto" w:fill="8F0000" w:themeFill="accent2" w:themeFillShade="BF"/>
      </w:tc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ColorfulGrid-Accent3">
    <w:name w:val="Colorful Grid Accent 3"/>
    <w:basedOn w:val="TableNormal"/>
    <w:uiPriority w:val="73"/>
    <w:semiHidden/>
    <w:rsid w:val="00FC1A1E"/>
    <w:rPr>
      <w:color w:val="000000" w:themeColor="text1"/>
      <w:sz w:val="24"/>
      <w:szCs w:val="24"/>
    </w:rPr>
    <w:tblPr>
      <w:tblStyleRowBandSize w:val="1"/>
      <w:tblStyleColBandSize w:val="1"/>
      <w:tblBorders>
        <w:insideH w:val="single" w:sz="4" w:space="0" w:color="0072BC" w:themeColor="background1"/>
      </w:tblBorders>
    </w:tblPr>
    <w:tcPr>
      <w:shd w:val="clear" w:color="auto" w:fill="DFDFDF" w:themeFill="accent3" w:themeFillTint="33"/>
    </w:tcPr>
    <w:tblStylePr w:type="firstRow">
      <w:rPr>
        <w:b/>
        <w:bCs/>
      </w:rPr>
      <w:tblPr/>
      <w:tcPr>
        <w:shd w:val="clear" w:color="auto" w:fill="BFBFBF" w:themeFill="accent3" w:themeFillTint="66"/>
      </w:tcPr>
    </w:tblStylePr>
    <w:tblStylePr w:type="lastRow">
      <w:rPr>
        <w:b/>
        <w:bCs/>
        <w:color w:val="000000" w:themeColor="text1"/>
      </w:rPr>
      <w:tblPr/>
      <w:tcPr>
        <w:shd w:val="clear" w:color="auto" w:fill="BFBFBF" w:themeFill="accent3" w:themeFillTint="66"/>
      </w:tcPr>
    </w:tblStylePr>
    <w:tblStylePr w:type="firstCol">
      <w:rPr>
        <w:color w:val="0072BC" w:themeColor="background1"/>
      </w:rPr>
      <w:tblPr/>
      <w:tcPr>
        <w:shd w:val="clear" w:color="auto" w:fill="474747" w:themeFill="accent3" w:themeFillShade="BF"/>
      </w:tcPr>
    </w:tblStylePr>
    <w:tblStylePr w:type="lastCol">
      <w:rPr>
        <w:color w:val="0072BC" w:themeColor="background1"/>
      </w:rPr>
      <w:tblPr/>
      <w:tcPr>
        <w:shd w:val="clear" w:color="auto" w:fill="474747" w:themeFill="accent3" w:themeFillShade="BF"/>
      </w:tcPr>
    </w:tblStylePr>
    <w:tblStylePr w:type="band1Vert">
      <w:tblPr/>
      <w:tcPr>
        <w:shd w:val="clear" w:color="auto" w:fill="AFAFAF" w:themeFill="accent3" w:themeFillTint="7F"/>
      </w:tcPr>
    </w:tblStylePr>
    <w:tblStylePr w:type="band1Horz">
      <w:tblPr/>
      <w:tcPr>
        <w:shd w:val="clear" w:color="auto" w:fill="AFAFAF" w:themeFill="accent3" w:themeFillTint="7F"/>
      </w:tcPr>
    </w:tblStylePr>
  </w:style>
  <w:style w:type="table" w:styleId="ColorfulGrid-Accent4">
    <w:name w:val="Colorful Grid Accent 4"/>
    <w:basedOn w:val="TableNormal"/>
    <w:uiPriority w:val="73"/>
    <w:semiHidden/>
    <w:rsid w:val="00FC1A1E"/>
    <w:rPr>
      <w:color w:val="000000" w:themeColor="text1"/>
      <w:sz w:val="24"/>
      <w:szCs w:val="24"/>
    </w:rPr>
    <w:tblPr>
      <w:tblStyleRowBandSize w:val="1"/>
      <w:tblStyleColBandSize w:val="1"/>
      <w:tblBorders>
        <w:insideH w:val="single" w:sz="4" w:space="0" w:color="0072BC" w:themeColor="background1"/>
      </w:tblBorders>
    </w:tblPr>
    <w:tcPr>
      <w:shd w:val="clear" w:color="auto" w:fill="EAEAEA" w:themeFill="accent4" w:themeFillTint="33"/>
    </w:tcPr>
    <w:tblStylePr w:type="firstRow">
      <w:rPr>
        <w:b/>
        <w:bCs/>
      </w:rPr>
      <w:tblPr/>
      <w:tcPr>
        <w:shd w:val="clear" w:color="auto" w:fill="D5D5D5" w:themeFill="accent4" w:themeFillTint="66"/>
      </w:tcPr>
    </w:tblStylePr>
    <w:tblStylePr w:type="lastRow">
      <w:rPr>
        <w:b/>
        <w:bCs/>
        <w:color w:val="000000" w:themeColor="text1"/>
      </w:rPr>
      <w:tblPr/>
      <w:tcPr>
        <w:shd w:val="clear" w:color="auto" w:fill="D5D5D5" w:themeFill="accent4" w:themeFillTint="66"/>
      </w:tcPr>
    </w:tblStylePr>
    <w:tblStylePr w:type="firstCol">
      <w:rPr>
        <w:color w:val="0072BC" w:themeColor="background1"/>
      </w:rPr>
      <w:tblPr/>
      <w:tcPr>
        <w:shd w:val="clear" w:color="auto" w:fill="707070" w:themeFill="accent4" w:themeFillShade="BF"/>
      </w:tcPr>
    </w:tblStylePr>
    <w:tblStylePr w:type="lastCol">
      <w:rPr>
        <w:color w:val="0072BC" w:themeColor="background1"/>
      </w:rPr>
      <w:tblPr/>
      <w:tcPr>
        <w:shd w:val="clear" w:color="auto" w:fill="707070" w:themeFill="accent4" w:themeFillShade="BF"/>
      </w:tc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ColorfulGrid-Accent5">
    <w:name w:val="Colorful Grid Accent 5"/>
    <w:basedOn w:val="TableNormal"/>
    <w:uiPriority w:val="73"/>
    <w:semiHidden/>
    <w:rsid w:val="00FC1A1E"/>
    <w:rPr>
      <w:color w:val="000000" w:themeColor="text1"/>
      <w:sz w:val="24"/>
      <w:szCs w:val="24"/>
    </w:rPr>
    <w:tblPr>
      <w:tblStyleRowBandSize w:val="1"/>
      <w:tblStyleColBandSize w:val="1"/>
      <w:tblBorders>
        <w:insideH w:val="single" w:sz="4" w:space="0" w:color="0072BC" w:themeColor="background1"/>
      </w:tblBorders>
    </w:tblPr>
    <w:tcPr>
      <w:shd w:val="clear" w:color="auto" w:fill="DFDFDF" w:themeFill="accent5" w:themeFillTint="33"/>
    </w:tcPr>
    <w:tblStylePr w:type="firstRow">
      <w:rPr>
        <w:b/>
        <w:bCs/>
      </w:rPr>
      <w:tblPr/>
      <w:tcPr>
        <w:shd w:val="clear" w:color="auto" w:fill="BFBFBF" w:themeFill="accent5" w:themeFillTint="66"/>
      </w:tcPr>
    </w:tblStylePr>
    <w:tblStylePr w:type="lastRow">
      <w:rPr>
        <w:b/>
        <w:bCs/>
        <w:color w:val="000000" w:themeColor="text1"/>
      </w:rPr>
      <w:tblPr/>
      <w:tcPr>
        <w:shd w:val="clear" w:color="auto" w:fill="BFBFBF" w:themeFill="accent5" w:themeFillTint="66"/>
      </w:tcPr>
    </w:tblStylePr>
    <w:tblStylePr w:type="firstCol">
      <w:rPr>
        <w:color w:val="0072BC" w:themeColor="background1"/>
      </w:rPr>
      <w:tblPr/>
      <w:tcPr>
        <w:shd w:val="clear" w:color="auto" w:fill="474747" w:themeFill="accent5" w:themeFillShade="BF"/>
      </w:tcPr>
    </w:tblStylePr>
    <w:tblStylePr w:type="lastCol">
      <w:rPr>
        <w:color w:val="0072BC" w:themeColor="background1"/>
      </w:rPr>
      <w:tblPr/>
      <w:tcPr>
        <w:shd w:val="clear" w:color="auto" w:fill="474747" w:themeFill="accent5" w:themeFillShade="BF"/>
      </w:tc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ColorfulGrid-Accent6">
    <w:name w:val="Colorful Grid Accent 6"/>
    <w:basedOn w:val="TableNormal"/>
    <w:uiPriority w:val="73"/>
    <w:semiHidden/>
    <w:rsid w:val="00FC1A1E"/>
    <w:rPr>
      <w:color w:val="000000" w:themeColor="text1"/>
      <w:sz w:val="24"/>
      <w:szCs w:val="24"/>
    </w:rPr>
    <w:tblPr>
      <w:tblStyleRowBandSize w:val="1"/>
      <w:tblStyleColBandSize w:val="1"/>
      <w:tblBorders>
        <w:insideH w:val="single" w:sz="4" w:space="0" w:color="0072BC" w:themeColor="background1"/>
      </w:tblBorders>
    </w:tblPr>
    <w:tcPr>
      <w:shd w:val="clear" w:color="auto" w:fill="DBDBDB" w:themeFill="accent6" w:themeFillTint="33"/>
    </w:tcPr>
    <w:tblStylePr w:type="firstRow">
      <w:rPr>
        <w:b/>
        <w:bCs/>
      </w:rPr>
      <w:tblPr/>
      <w:tcPr>
        <w:shd w:val="clear" w:color="auto" w:fill="B7B7B7" w:themeFill="accent6" w:themeFillTint="66"/>
      </w:tcPr>
    </w:tblStylePr>
    <w:tblStylePr w:type="lastRow">
      <w:rPr>
        <w:b/>
        <w:bCs/>
        <w:color w:val="000000" w:themeColor="text1"/>
      </w:rPr>
      <w:tblPr/>
      <w:tcPr>
        <w:shd w:val="clear" w:color="auto" w:fill="B7B7B7" w:themeFill="accent6" w:themeFillTint="66"/>
      </w:tcPr>
    </w:tblStylePr>
    <w:tblStylePr w:type="firstCol">
      <w:rPr>
        <w:color w:val="0072BC" w:themeColor="background1"/>
      </w:rPr>
      <w:tblPr/>
      <w:tcPr>
        <w:shd w:val="clear" w:color="auto" w:fill="393939" w:themeFill="accent6" w:themeFillShade="BF"/>
      </w:tcPr>
    </w:tblStylePr>
    <w:tblStylePr w:type="lastCol">
      <w:rPr>
        <w:color w:val="0072BC" w:themeColor="background1"/>
      </w:rPr>
      <w:tblPr/>
      <w:tcPr>
        <w:shd w:val="clear" w:color="auto" w:fill="393939" w:themeFill="accent6" w:themeFillShade="BF"/>
      </w:tc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ColorfulList">
    <w:name w:val="Colorful List"/>
    <w:basedOn w:val="TableNormal"/>
    <w:uiPriority w:val="72"/>
    <w:semiHidden/>
    <w:rsid w:val="00FC1A1E"/>
    <w:rPr>
      <w:color w:val="000000" w:themeColor="text1"/>
      <w:sz w:val="24"/>
      <w:szCs w:val="24"/>
    </w:rPr>
    <w:tblPr>
      <w:tblStyleRowBandSize w:val="1"/>
      <w:tblStyleColBandSize w:val="1"/>
    </w:tblPr>
    <w:tcPr>
      <w:shd w:val="clear" w:color="auto" w:fill="E6E6E6" w:themeFill="text1"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rsid w:val="00FC1A1E"/>
    <w:rPr>
      <w:color w:val="000000" w:themeColor="text1"/>
      <w:sz w:val="24"/>
      <w:szCs w:val="24"/>
    </w:rPr>
    <w:tblPr>
      <w:tblStyleRowBandSize w:val="1"/>
      <w:tblStyleColBandSize w:val="1"/>
    </w:tblPr>
    <w:tcPr>
      <w:shd w:val="clear" w:color="auto" w:fill="DFF2FF" w:themeFill="accent1"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FDFFF" w:themeFill="accent1" w:themeFillTint="3F"/>
      </w:tcPr>
    </w:tblStylePr>
    <w:tblStylePr w:type="band1Horz">
      <w:tblPr/>
      <w:tcPr>
        <w:shd w:val="clear" w:color="auto" w:fill="BEE5FF" w:themeFill="accent1" w:themeFillTint="33"/>
      </w:tcPr>
    </w:tblStylePr>
  </w:style>
  <w:style w:type="table" w:styleId="ColorfulList-Accent2">
    <w:name w:val="Colorful List Accent 2"/>
    <w:basedOn w:val="TableNormal"/>
    <w:uiPriority w:val="72"/>
    <w:semiHidden/>
    <w:rsid w:val="00FC1A1E"/>
    <w:rPr>
      <w:color w:val="000000" w:themeColor="text1"/>
      <w:sz w:val="24"/>
      <w:szCs w:val="24"/>
    </w:rPr>
    <w:tblPr>
      <w:tblStyleRowBandSize w:val="1"/>
      <w:tblStyleColBandSize w:val="1"/>
    </w:tblPr>
    <w:tcPr>
      <w:shd w:val="clear" w:color="auto" w:fill="FFDFDF" w:themeFill="accent2"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0B0" w:themeFill="accent2" w:themeFillTint="3F"/>
      </w:tcPr>
    </w:tblStylePr>
    <w:tblStylePr w:type="band1Horz">
      <w:tblPr/>
      <w:tcPr>
        <w:shd w:val="clear" w:color="auto" w:fill="FFBFBF" w:themeFill="accent2" w:themeFillTint="33"/>
      </w:tcPr>
    </w:tblStylePr>
  </w:style>
  <w:style w:type="table" w:styleId="ColorfulList-Accent3">
    <w:name w:val="Colorful List Accent 3"/>
    <w:basedOn w:val="TableNormal"/>
    <w:uiPriority w:val="72"/>
    <w:semiHidden/>
    <w:rsid w:val="00FC1A1E"/>
    <w:rPr>
      <w:color w:val="000000" w:themeColor="text1"/>
      <w:sz w:val="24"/>
      <w:szCs w:val="24"/>
    </w:rPr>
    <w:tblPr>
      <w:tblStyleRowBandSize w:val="1"/>
      <w:tblStyleColBandSize w:val="1"/>
    </w:tblPr>
    <w:tcPr>
      <w:shd w:val="clear" w:color="auto" w:fill="EFEFEF" w:themeFill="accent3" w:themeFillTint="19"/>
    </w:tcPr>
    <w:tblStylePr w:type="firstRow">
      <w:rPr>
        <w:b/>
        <w:bCs/>
        <w:color w:val="0072BC" w:themeColor="background1"/>
      </w:rPr>
      <w:tblPr/>
      <w:tcPr>
        <w:tcBorders>
          <w:bottom w:val="single" w:sz="12" w:space="0" w:color="0072BC" w:themeColor="background1"/>
        </w:tcBorders>
        <w:shd w:val="clear" w:color="auto" w:fill="787878" w:themeFill="accent4" w:themeFillShade="CC"/>
      </w:tcPr>
    </w:tblStylePr>
    <w:tblStylePr w:type="lastRow">
      <w:rPr>
        <w:b/>
        <w:bCs/>
        <w:color w:val="787878" w:themeColor="accent4"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3" w:themeFillTint="3F"/>
      </w:tcPr>
    </w:tblStylePr>
    <w:tblStylePr w:type="band1Horz">
      <w:tblPr/>
      <w:tcPr>
        <w:shd w:val="clear" w:color="auto" w:fill="DFDFDF" w:themeFill="accent3" w:themeFillTint="33"/>
      </w:tcPr>
    </w:tblStylePr>
  </w:style>
  <w:style w:type="table" w:styleId="ColorfulList-Accent4">
    <w:name w:val="Colorful List Accent 4"/>
    <w:basedOn w:val="TableNormal"/>
    <w:uiPriority w:val="72"/>
    <w:semiHidden/>
    <w:rsid w:val="00FC1A1E"/>
    <w:rPr>
      <w:color w:val="000000" w:themeColor="text1"/>
      <w:sz w:val="24"/>
      <w:szCs w:val="24"/>
    </w:rPr>
    <w:tblPr>
      <w:tblStyleRowBandSize w:val="1"/>
      <w:tblStyleColBandSize w:val="1"/>
    </w:tblPr>
    <w:tcPr>
      <w:shd w:val="clear" w:color="auto" w:fill="F4F4F4" w:themeFill="accent4" w:themeFillTint="19"/>
    </w:tcPr>
    <w:tblStylePr w:type="firstRow">
      <w:rPr>
        <w:b/>
        <w:bCs/>
        <w:color w:val="0072BC" w:themeColor="background1"/>
      </w:rPr>
      <w:tblPr/>
      <w:tcPr>
        <w:tcBorders>
          <w:bottom w:val="single" w:sz="12" w:space="0" w:color="0072BC" w:themeColor="background1"/>
        </w:tcBorders>
        <w:shd w:val="clear" w:color="auto" w:fill="4C4C4C" w:themeFill="accent3" w:themeFillShade="CC"/>
      </w:tcPr>
    </w:tblStylePr>
    <w:tblStylePr w:type="lastRow">
      <w:rPr>
        <w:b/>
        <w:bCs/>
        <w:color w:val="4C4C4C" w:themeColor="accent3"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5E5" w:themeFill="accent4" w:themeFillTint="3F"/>
      </w:tcPr>
    </w:tblStylePr>
    <w:tblStylePr w:type="band1Horz">
      <w:tblPr/>
      <w:tcPr>
        <w:shd w:val="clear" w:color="auto" w:fill="EAEAEA" w:themeFill="accent4" w:themeFillTint="33"/>
      </w:tcPr>
    </w:tblStylePr>
  </w:style>
  <w:style w:type="table" w:styleId="ColorfulList-Accent5">
    <w:name w:val="Colorful List Accent 5"/>
    <w:basedOn w:val="TableNormal"/>
    <w:uiPriority w:val="72"/>
    <w:semiHidden/>
    <w:rsid w:val="00FC1A1E"/>
    <w:rPr>
      <w:color w:val="000000" w:themeColor="text1"/>
      <w:sz w:val="24"/>
      <w:szCs w:val="24"/>
    </w:rPr>
    <w:tblPr>
      <w:tblStyleRowBandSize w:val="1"/>
      <w:tblStyleColBandSize w:val="1"/>
    </w:tblPr>
    <w:tcPr>
      <w:shd w:val="clear" w:color="auto" w:fill="EFEFEF" w:themeFill="accent5" w:themeFillTint="19"/>
    </w:tcPr>
    <w:tblStylePr w:type="firstRow">
      <w:rPr>
        <w:b/>
        <w:bCs/>
        <w:color w:val="0072BC" w:themeColor="background1"/>
      </w:rPr>
      <w:tblPr/>
      <w:tcPr>
        <w:tcBorders>
          <w:bottom w:val="single" w:sz="12" w:space="0" w:color="0072BC" w:themeColor="background1"/>
        </w:tcBorders>
        <w:shd w:val="clear" w:color="auto" w:fill="3D3D3D" w:themeFill="accent6" w:themeFillShade="CC"/>
      </w:tcPr>
    </w:tblStylePr>
    <w:tblStylePr w:type="lastRow">
      <w:rPr>
        <w:b/>
        <w:bCs/>
        <w:color w:val="3D3D3D" w:themeColor="accent6"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5" w:themeFillTint="3F"/>
      </w:tcPr>
    </w:tblStylePr>
    <w:tblStylePr w:type="band1Horz">
      <w:tblPr/>
      <w:tcPr>
        <w:shd w:val="clear" w:color="auto" w:fill="DFDFDF" w:themeFill="accent5" w:themeFillTint="33"/>
      </w:tcPr>
    </w:tblStylePr>
  </w:style>
  <w:style w:type="table" w:styleId="ColorfulList-Accent6">
    <w:name w:val="Colorful List Accent 6"/>
    <w:basedOn w:val="TableNormal"/>
    <w:uiPriority w:val="72"/>
    <w:semiHidden/>
    <w:rsid w:val="00FC1A1E"/>
    <w:rPr>
      <w:color w:val="000000" w:themeColor="text1"/>
      <w:sz w:val="24"/>
      <w:szCs w:val="24"/>
    </w:rPr>
    <w:tblPr>
      <w:tblStyleRowBandSize w:val="1"/>
      <w:tblStyleColBandSize w:val="1"/>
    </w:tblPr>
    <w:tcPr>
      <w:shd w:val="clear" w:color="auto" w:fill="EDEDED" w:themeFill="accent6" w:themeFillTint="19"/>
    </w:tcPr>
    <w:tblStylePr w:type="firstRow">
      <w:rPr>
        <w:b/>
        <w:bCs/>
        <w:color w:val="0072BC" w:themeColor="background1"/>
      </w:rPr>
      <w:tblPr/>
      <w:tcPr>
        <w:tcBorders>
          <w:bottom w:val="single" w:sz="12" w:space="0" w:color="0072BC" w:themeColor="background1"/>
        </w:tcBorders>
        <w:shd w:val="clear" w:color="auto" w:fill="4C4C4C" w:themeFill="accent5" w:themeFillShade="CC"/>
      </w:tcPr>
    </w:tblStylePr>
    <w:tblStylePr w:type="lastRow">
      <w:rPr>
        <w:b/>
        <w:bCs/>
        <w:color w:val="4C4C4C" w:themeColor="accent5"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3D3" w:themeFill="accent6" w:themeFillTint="3F"/>
      </w:tcPr>
    </w:tblStylePr>
    <w:tblStylePr w:type="band1Horz">
      <w:tblPr/>
      <w:tcPr>
        <w:shd w:val="clear" w:color="auto" w:fill="DBDBDB" w:themeFill="accent6" w:themeFillTint="33"/>
      </w:tcPr>
    </w:tblStylePr>
  </w:style>
  <w:style w:type="table" w:styleId="ColorfulShading">
    <w:name w:val="Colorful Shading"/>
    <w:basedOn w:val="TableNormal"/>
    <w:uiPriority w:val="71"/>
    <w:semiHidden/>
    <w:rsid w:val="00FC1A1E"/>
    <w:rPr>
      <w:color w:val="000000" w:themeColor="text1"/>
      <w:sz w:val="24"/>
      <w:szCs w:val="24"/>
    </w:rPr>
    <w:tblPr>
      <w:tblStyleRowBandSize w:val="1"/>
      <w:tblStyleColBandSize w:val="1"/>
      <w:tblBorders>
        <w:top w:val="single" w:sz="24" w:space="0" w:color="C00000" w:themeColor="accent2"/>
        <w:left w:val="single" w:sz="4" w:space="0" w:color="000000" w:themeColor="text1"/>
        <w:bottom w:val="single" w:sz="4" w:space="0" w:color="000000" w:themeColor="text1"/>
        <w:right w:val="single" w:sz="4" w:space="0" w:color="000000" w:themeColor="text1"/>
        <w:insideH w:val="single" w:sz="4" w:space="0" w:color="0072BC" w:themeColor="background1"/>
        <w:insideV w:val="single" w:sz="4" w:space="0" w:color="0072BC" w:themeColor="background1"/>
      </w:tblBorders>
    </w:tblPr>
    <w:tcPr>
      <w:shd w:val="clear" w:color="auto" w:fill="E6E6E6" w:themeFill="text1"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000000" w:themeFill="text1" w:themeFillShade="99"/>
      </w:tcPr>
    </w:tblStylePr>
    <w:tblStylePr w:type="firstCol">
      <w:rPr>
        <w:color w:val="0072BC"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0072BC"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rsid w:val="00FC1A1E"/>
    <w:rPr>
      <w:color w:val="000000" w:themeColor="text1"/>
      <w:sz w:val="24"/>
      <w:szCs w:val="24"/>
    </w:rPr>
    <w:tblPr>
      <w:tblStyleRowBandSize w:val="1"/>
      <w:tblStyleColBandSize w:val="1"/>
      <w:tblBorders>
        <w:top w:val="single" w:sz="24" w:space="0" w:color="C00000" w:themeColor="accent2"/>
        <w:left w:val="single" w:sz="4" w:space="0" w:color="0072BC" w:themeColor="accent1"/>
        <w:bottom w:val="single" w:sz="4" w:space="0" w:color="0072BC" w:themeColor="accent1"/>
        <w:right w:val="single" w:sz="4" w:space="0" w:color="0072BC" w:themeColor="accent1"/>
        <w:insideH w:val="single" w:sz="4" w:space="0" w:color="0072BC" w:themeColor="background1"/>
        <w:insideV w:val="single" w:sz="4" w:space="0" w:color="0072BC" w:themeColor="background1"/>
      </w:tblBorders>
    </w:tblPr>
    <w:tcPr>
      <w:shd w:val="clear" w:color="auto" w:fill="DFF2FF" w:themeFill="accent1"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004470" w:themeFill="accent1" w:themeFillShade="99"/>
      </w:tcPr>
    </w:tblStylePr>
    <w:tblStylePr w:type="firstCol">
      <w:rPr>
        <w:color w:val="0072BC" w:themeColor="background1"/>
      </w:rPr>
      <w:tblPr/>
      <w:tcPr>
        <w:tcBorders>
          <w:top w:val="nil"/>
          <w:left w:val="nil"/>
          <w:bottom w:val="nil"/>
          <w:right w:val="nil"/>
          <w:insideH w:val="single" w:sz="4" w:space="0" w:color="004470" w:themeColor="accent1" w:themeShade="99"/>
          <w:insideV w:val="nil"/>
        </w:tcBorders>
        <w:shd w:val="clear" w:color="auto" w:fill="004470" w:themeFill="accent1" w:themeFillShade="99"/>
      </w:tcPr>
    </w:tblStylePr>
    <w:tblStylePr w:type="lastCol">
      <w:rPr>
        <w:color w:val="0072BC" w:themeColor="background1"/>
      </w:rPr>
      <w:tblPr/>
      <w:tcPr>
        <w:tcBorders>
          <w:top w:val="nil"/>
          <w:left w:val="nil"/>
          <w:bottom w:val="nil"/>
          <w:right w:val="nil"/>
          <w:insideH w:val="nil"/>
          <w:insideV w:val="nil"/>
        </w:tcBorders>
        <w:shd w:val="clear" w:color="auto" w:fill="004470" w:themeFill="accent1" w:themeFillShade="99"/>
      </w:tcPr>
    </w:tblStylePr>
    <w:tblStylePr w:type="band1Vert">
      <w:tblPr/>
      <w:tcPr>
        <w:shd w:val="clear" w:color="auto" w:fill="7ECBFF" w:themeFill="accent1" w:themeFillTint="66"/>
      </w:tcPr>
    </w:tblStylePr>
    <w:tblStylePr w:type="band1Horz">
      <w:tblPr/>
      <w:tcPr>
        <w:shd w:val="clear" w:color="auto" w:fill="5EBF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rsid w:val="00FC1A1E"/>
    <w:rPr>
      <w:color w:val="000000" w:themeColor="text1"/>
      <w:sz w:val="24"/>
      <w:szCs w:val="24"/>
    </w:rPr>
    <w:tblPr>
      <w:tblStyleRowBandSize w:val="1"/>
      <w:tblStyleColBandSize w:val="1"/>
      <w:tblBorders>
        <w:top w:val="single" w:sz="24" w:space="0" w:color="C00000" w:themeColor="accent2"/>
        <w:left w:val="single" w:sz="4" w:space="0" w:color="C00000" w:themeColor="accent2"/>
        <w:bottom w:val="single" w:sz="4" w:space="0" w:color="C00000" w:themeColor="accent2"/>
        <w:right w:val="single" w:sz="4" w:space="0" w:color="C00000" w:themeColor="accent2"/>
        <w:insideH w:val="single" w:sz="4" w:space="0" w:color="0072BC" w:themeColor="background1"/>
        <w:insideV w:val="single" w:sz="4" w:space="0" w:color="0072BC" w:themeColor="background1"/>
      </w:tblBorders>
    </w:tblPr>
    <w:tcPr>
      <w:shd w:val="clear" w:color="auto" w:fill="FFDFDF" w:themeFill="accent2"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730000" w:themeFill="accent2" w:themeFillShade="99"/>
      </w:tcPr>
    </w:tblStylePr>
    <w:tblStylePr w:type="firstCol">
      <w:rPr>
        <w:color w:val="0072BC" w:themeColor="background1"/>
      </w:rPr>
      <w:tblPr/>
      <w:tcPr>
        <w:tcBorders>
          <w:top w:val="nil"/>
          <w:left w:val="nil"/>
          <w:bottom w:val="nil"/>
          <w:right w:val="nil"/>
          <w:insideH w:val="single" w:sz="4" w:space="0" w:color="730000" w:themeColor="accent2" w:themeShade="99"/>
          <w:insideV w:val="nil"/>
        </w:tcBorders>
        <w:shd w:val="clear" w:color="auto" w:fill="730000" w:themeFill="accent2" w:themeFillShade="99"/>
      </w:tcPr>
    </w:tblStylePr>
    <w:tblStylePr w:type="lastCol">
      <w:rPr>
        <w:color w:val="0072BC" w:themeColor="background1"/>
      </w:rPr>
      <w:tblPr/>
      <w:tcPr>
        <w:tcBorders>
          <w:top w:val="nil"/>
          <w:left w:val="nil"/>
          <w:bottom w:val="nil"/>
          <w:right w:val="nil"/>
          <w:insideH w:val="nil"/>
          <w:insideV w:val="nil"/>
        </w:tcBorders>
        <w:shd w:val="clear" w:color="auto" w:fill="730000" w:themeFill="accent2" w:themeFillShade="99"/>
      </w:tcPr>
    </w:tblStylePr>
    <w:tblStylePr w:type="band1Vert">
      <w:tblPr/>
      <w:tcPr>
        <w:shd w:val="clear" w:color="auto" w:fill="FF7F7F" w:themeFill="accent2" w:themeFillTint="66"/>
      </w:tcPr>
    </w:tblStylePr>
    <w:tblStylePr w:type="band1Horz">
      <w:tblPr/>
      <w:tcPr>
        <w:shd w:val="clear" w:color="auto" w:fill="FF6060"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rsid w:val="00FC1A1E"/>
    <w:rPr>
      <w:color w:val="000000" w:themeColor="text1"/>
      <w:sz w:val="24"/>
      <w:szCs w:val="24"/>
    </w:rPr>
    <w:tblPr>
      <w:tblStyleRowBandSize w:val="1"/>
      <w:tblStyleColBandSize w:val="1"/>
      <w:tblBorders>
        <w:top w:val="single" w:sz="24" w:space="0" w:color="969696" w:themeColor="accent4"/>
        <w:left w:val="single" w:sz="4" w:space="0" w:color="5F5F5F" w:themeColor="accent3"/>
        <w:bottom w:val="single" w:sz="4" w:space="0" w:color="5F5F5F" w:themeColor="accent3"/>
        <w:right w:val="single" w:sz="4" w:space="0" w:color="5F5F5F" w:themeColor="accent3"/>
        <w:insideH w:val="single" w:sz="4" w:space="0" w:color="0072BC" w:themeColor="background1"/>
        <w:insideV w:val="single" w:sz="4" w:space="0" w:color="0072BC" w:themeColor="background1"/>
      </w:tblBorders>
    </w:tblPr>
    <w:tcPr>
      <w:shd w:val="clear" w:color="auto" w:fill="EFEFEF" w:themeFill="accent3" w:themeFillTint="19"/>
    </w:tcPr>
    <w:tblStylePr w:type="firstRow">
      <w:rPr>
        <w:b/>
        <w:bCs/>
      </w:rPr>
      <w:tblPr/>
      <w:tcPr>
        <w:tcBorders>
          <w:top w:val="nil"/>
          <w:left w:val="nil"/>
          <w:bottom w:val="single" w:sz="24" w:space="0" w:color="969696" w:themeColor="accent4"/>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393939" w:themeFill="accent3" w:themeFillShade="99"/>
      </w:tcPr>
    </w:tblStylePr>
    <w:tblStylePr w:type="firstCol">
      <w:rPr>
        <w:color w:val="0072BC" w:themeColor="background1"/>
      </w:rPr>
      <w:tblPr/>
      <w:tcPr>
        <w:tcBorders>
          <w:top w:val="nil"/>
          <w:left w:val="nil"/>
          <w:bottom w:val="nil"/>
          <w:right w:val="nil"/>
          <w:insideH w:val="single" w:sz="4" w:space="0" w:color="393939" w:themeColor="accent3" w:themeShade="99"/>
          <w:insideV w:val="nil"/>
        </w:tcBorders>
        <w:shd w:val="clear" w:color="auto" w:fill="393939" w:themeFill="accent3" w:themeFillShade="99"/>
      </w:tcPr>
    </w:tblStylePr>
    <w:tblStylePr w:type="lastCol">
      <w:rPr>
        <w:color w:val="0072BC" w:themeColor="background1"/>
      </w:rPr>
      <w:tblPr/>
      <w:tcPr>
        <w:tcBorders>
          <w:top w:val="nil"/>
          <w:left w:val="nil"/>
          <w:bottom w:val="nil"/>
          <w:right w:val="nil"/>
          <w:insideH w:val="nil"/>
          <w:insideV w:val="nil"/>
        </w:tcBorders>
        <w:shd w:val="clear" w:color="auto" w:fill="393939" w:themeFill="accent3" w:themeFillShade="99"/>
      </w:tcPr>
    </w:tblStylePr>
    <w:tblStylePr w:type="band1Vert">
      <w:tblPr/>
      <w:tcPr>
        <w:shd w:val="clear" w:color="auto" w:fill="BFBFBF" w:themeFill="accent3" w:themeFillTint="66"/>
      </w:tcPr>
    </w:tblStylePr>
    <w:tblStylePr w:type="band1Horz">
      <w:tblPr/>
      <w:tcPr>
        <w:shd w:val="clear" w:color="auto" w:fill="AFAFAF" w:themeFill="accent3" w:themeFillTint="7F"/>
      </w:tcPr>
    </w:tblStylePr>
  </w:style>
  <w:style w:type="table" w:styleId="ColorfulShading-Accent4">
    <w:name w:val="Colorful Shading Accent 4"/>
    <w:basedOn w:val="TableNormal"/>
    <w:uiPriority w:val="71"/>
    <w:semiHidden/>
    <w:rsid w:val="00FC1A1E"/>
    <w:rPr>
      <w:color w:val="000000" w:themeColor="text1"/>
      <w:sz w:val="24"/>
      <w:szCs w:val="24"/>
    </w:rPr>
    <w:tblPr>
      <w:tblStyleRowBandSize w:val="1"/>
      <w:tblStyleColBandSize w:val="1"/>
      <w:tblBorders>
        <w:top w:val="single" w:sz="24" w:space="0" w:color="5F5F5F" w:themeColor="accent3"/>
        <w:left w:val="single" w:sz="4" w:space="0" w:color="969696" w:themeColor="accent4"/>
        <w:bottom w:val="single" w:sz="4" w:space="0" w:color="969696" w:themeColor="accent4"/>
        <w:right w:val="single" w:sz="4" w:space="0" w:color="969696" w:themeColor="accent4"/>
        <w:insideH w:val="single" w:sz="4" w:space="0" w:color="0072BC" w:themeColor="background1"/>
        <w:insideV w:val="single" w:sz="4" w:space="0" w:color="0072BC" w:themeColor="background1"/>
      </w:tblBorders>
    </w:tblPr>
    <w:tcPr>
      <w:shd w:val="clear" w:color="auto" w:fill="F4F4F4" w:themeFill="accent4" w:themeFillTint="19"/>
    </w:tcPr>
    <w:tblStylePr w:type="firstRow">
      <w:rPr>
        <w:b/>
        <w:bCs/>
      </w:rPr>
      <w:tblPr/>
      <w:tcPr>
        <w:tcBorders>
          <w:top w:val="nil"/>
          <w:left w:val="nil"/>
          <w:bottom w:val="single" w:sz="24" w:space="0" w:color="5F5F5F" w:themeColor="accent3"/>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5A5A5A" w:themeFill="accent4" w:themeFillShade="99"/>
      </w:tcPr>
    </w:tblStylePr>
    <w:tblStylePr w:type="firstCol">
      <w:rPr>
        <w:color w:val="0072BC" w:themeColor="background1"/>
      </w:rPr>
      <w:tblPr/>
      <w:tcPr>
        <w:tcBorders>
          <w:top w:val="nil"/>
          <w:left w:val="nil"/>
          <w:bottom w:val="nil"/>
          <w:right w:val="nil"/>
          <w:insideH w:val="single" w:sz="4" w:space="0" w:color="5A5A5A" w:themeColor="accent4" w:themeShade="99"/>
          <w:insideV w:val="nil"/>
        </w:tcBorders>
        <w:shd w:val="clear" w:color="auto" w:fill="5A5A5A" w:themeFill="accent4" w:themeFillShade="99"/>
      </w:tcPr>
    </w:tblStylePr>
    <w:tblStylePr w:type="lastCol">
      <w:rPr>
        <w:color w:val="0072BC" w:themeColor="background1"/>
      </w:rPr>
      <w:tblPr/>
      <w:tcPr>
        <w:tcBorders>
          <w:top w:val="nil"/>
          <w:left w:val="nil"/>
          <w:bottom w:val="nil"/>
          <w:right w:val="nil"/>
          <w:insideH w:val="nil"/>
          <w:insideV w:val="nil"/>
        </w:tcBorders>
        <w:shd w:val="clear" w:color="auto" w:fill="5A5A5A" w:themeFill="accent4" w:themeFillShade="99"/>
      </w:tcPr>
    </w:tblStylePr>
    <w:tblStylePr w:type="band1Vert">
      <w:tblPr/>
      <w:tcPr>
        <w:shd w:val="clear" w:color="auto" w:fill="D5D5D5" w:themeFill="accent4" w:themeFillTint="66"/>
      </w:tcPr>
    </w:tblStylePr>
    <w:tblStylePr w:type="band1Horz">
      <w:tblPr/>
      <w:tcPr>
        <w:shd w:val="clear" w:color="auto" w:fill="CACACA"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rsid w:val="00FC1A1E"/>
    <w:rPr>
      <w:color w:val="000000" w:themeColor="text1"/>
      <w:sz w:val="24"/>
      <w:szCs w:val="24"/>
    </w:rPr>
    <w:tblPr>
      <w:tblStyleRowBandSize w:val="1"/>
      <w:tblStyleColBandSize w:val="1"/>
      <w:tblBorders>
        <w:top w:val="single" w:sz="24" w:space="0" w:color="4D4D4D" w:themeColor="accent6"/>
        <w:left w:val="single" w:sz="4" w:space="0" w:color="5F5F5F" w:themeColor="accent5"/>
        <w:bottom w:val="single" w:sz="4" w:space="0" w:color="5F5F5F" w:themeColor="accent5"/>
        <w:right w:val="single" w:sz="4" w:space="0" w:color="5F5F5F" w:themeColor="accent5"/>
        <w:insideH w:val="single" w:sz="4" w:space="0" w:color="0072BC" w:themeColor="background1"/>
        <w:insideV w:val="single" w:sz="4" w:space="0" w:color="0072BC" w:themeColor="background1"/>
      </w:tblBorders>
    </w:tblPr>
    <w:tcPr>
      <w:shd w:val="clear" w:color="auto" w:fill="EFEFEF" w:themeFill="accent5" w:themeFillTint="19"/>
    </w:tcPr>
    <w:tblStylePr w:type="firstRow">
      <w:rPr>
        <w:b/>
        <w:bCs/>
      </w:rPr>
      <w:tblPr/>
      <w:tcPr>
        <w:tcBorders>
          <w:top w:val="nil"/>
          <w:left w:val="nil"/>
          <w:bottom w:val="single" w:sz="24" w:space="0" w:color="4D4D4D" w:themeColor="accent6"/>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393939" w:themeFill="accent5" w:themeFillShade="99"/>
      </w:tcPr>
    </w:tblStylePr>
    <w:tblStylePr w:type="firstCol">
      <w:rPr>
        <w:color w:val="0072BC" w:themeColor="background1"/>
      </w:rPr>
      <w:tblPr/>
      <w:tcPr>
        <w:tcBorders>
          <w:top w:val="nil"/>
          <w:left w:val="nil"/>
          <w:bottom w:val="nil"/>
          <w:right w:val="nil"/>
          <w:insideH w:val="single" w:sz="4" w:space="0" w:color="393939" w:themeColor="accent5" w:themeShade="99"/>
          <w:insideV w:val="nil"/>
        </w:tcBorders>
        <w:shd w:val="clear" w:color="auto" w:fill="393939" w:themeFill="accent5" w:themeFillShade="99"/>
      </w:tcPr>
    </w:tblStylePr>
    <w:tblStylePr w:type="lastCol">
      <w:rPr>
        <w:color w:val="0072BC" w:themeColor="background1"/>
      </w:rPr>
      <w:tblPr/>
      <w:tcPr>
        <w:tcBorders>
          <w:top w:val="nil"/>
          <w:left w:val="nil"/>
          <w:bottom w:val="nil"/>
          <w:right w:val="nil"/>
          <w:insideH w:val="nil"/>
          <w:insideV w:val="nil"/>
        </w:tcBorders>
        <w:shd w:val="clear" w:color="auto" w:fill="393939" w:themeFill="accent5" w:themeFillShade="99"/>
      </w:tcPr>
    </w:tblStylePr>
    <w:tblStylePr w:type="band1Vert">
      <w:tblPr/>
      <w:tcPr>
        <w:shd w:val="clear" w:color="auto" w:fill="BFBFBF" w:themeFill="accent5" w:themeFillTint="66"/>
      </w:tcPr>
    </w:tblStylePr>
    <w:tblStylePr w:type="band1Horz">
      <w:tblPr/>
      <w:tcPr>
        <w:shd w:val="clear" w:color="auto" w:fill="AFAFAF"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rsid w:val="00FC1A1E"/>
    <w:rPr>
      <w:color w:val="000000" w:themeColor="text1"/>
      <w:sz w:val="24"/>
      <w:szCs w:val="24"/>
    </w:rPr>
    <w:tblPr>
      <w:tblStyleRowBandSize w:val="1"/>
      <w:tblStyleColBandSize w:val="1"/>
      <w:tblBorders>
        <w:top w:val="single" w:sz="24" w:space="0" w:color="5F5F5F" w:themeColor="accent5"/>
        <w:left w:val="single" w:sz="4" w:space="0" w:color="4D4D4D" w:themeColor="accent6"/>
        <w:bottom w:val="single" w:sz="4" w:space="0" w:color="4D4D4D" w:themeColor="accent6"/>
        <w:right w:val="single" w:sz="4" w:space="0" w:color="4D4D4D" w:themeColor="accent6"/>
        <w:insideH w:val="single" w:sz="4" w:space="0" w:color="0072BC" w:themeColor="background1"/>
        <w:insideV w:val="single" w:sz="4" w:space="0" w:color="0072BC" w:themeColor="background1"/>
      </w:tblBorders>
    </w:tblPr>
    <w:tcPr>
      <w:shd w:val="clear" w:color="auto" w:fill="EDEDED" w:themeFill="accent6" w:themeFillTint="19"/>
    </w:tcPr>
    <w:tblStylePr w:type="firstRow">
      <w:rPr>
        <w:b/>
        <w:bCs/>
      </w:rPr>
      <w:tblPr/>
      <w:tcPr>
        <w:tcBorders>
          <w:top w:val="nil"/>
          <w:left w:val="nil"/>
          <w:bottom w:val="single" w:sz="24" w:space="0" w:color="5F5F5F" w:themeColor="accent5"/>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2E2E2E" w:themeFill="accent6" w:themeFillShade="99"/>
      </w:tcPr>
    </w:tblStylePr>
    <w:tblStylePr w:type="firstCol">
      <w:rPr>
        <w:color w:val="0072BC" w:themeColor="background1"/>
      </w:rPr>
      <w:tblPr/>
      <w:tcPr>
        <w:tcBorders>
          <w:top w:val="nil"/>
          <w:left w:val="nil"/>
          <w:bottom w:val="nil"/>
          <w:right w:val="nil"/>
          <w:insideH w:val="single" w:sz="4" w:space="0" w:color="2E2E2E" w:themeColor="accent6" w:themeShade="99"/>
          <w:insideV w:val="nil"/>
        </w:tcBorders>
        <w:shd w:val="clear" w:color="auto" w:fill="2E2E2E" w:themeFill="accent6" w:themeFillShade="99"/>
      </w:tcPr>
    </w:tblStylePr>
    <w:tblStylePr w:type="lastCol">
      <w:rPr>
        <w:color w:val="0072BC" w:themeColor="background1"/>
      </w:rPr>
      <w:tblPr/>
      <w:tcPr>
        <w:tcBorders>
          <w:top w:val="nil"/>
          <w:left w:val="nil"/>
          <w:bottom w:val="nil"/>
          <w:right w:val="nil"/>
          <w:insideH w:val="nil"/>
          <w:insideV w:val="nil"/>
        </w:tcBorders>
        <w:shd w:val="clear" w:color="auto" w:fill="2E2E2E" w:themeFill="accent6" w:themeFillShade="99"/>
      </w:tcPr>
    </w:tblStylePr>
    <w:tblStylePr w:type="band1Vert">
      <w:tblPr/>
      <w:tcPr>
        <w:shd w:val="clear" w:color="auto" w:fill="B7B7B7" w:themeFill="accent6" w:themeFillTint="66"/>
      </w:tcPr>
    </w:tblStylePr>
    <w:tblStylePr w:type="band1Horz">
      <w:tblPr/>
      <w:tcPr>
        <w:shd w:val="clear" w:color="auto" w:fill="A6A6A6" w:themeFill="accent6" w:themeFillTint="7F"/>
      </w:tcPr>
    </w:tblStylePr>
    <w:tblStylePr w:type="neCell">
      <w:rPr>
        <w:color w:val="000000" w:themeColor="text1"/>
      </w:rPr>
    </w:tblStylePr>
    <w:tblStylePr w:type="nwCell">
      <w:rPr>
        <w:color w:val="000000" w:themeColor="text1"/>
      </w:rPr>
    </w:tblStylePr>
  </w:style>
  <w:style w:type="paragraph" w:styleId="CommentSubject">
    <w:name w:val="annotation subject"/>
    <w:basedOn w:val="CommentText"/>
    <w:next w:val="CommentText"/>
    <w:link w:val="CommentSubjectChar"/>
    <w:uiPriority w:val="98"/>
    <w:semiHidden/>
    <w:rsid w:val="00FC1A1E"/>
    <w:rPr>
      <w:b/>
      <w:bCs/>
    </w:rPr>
  </w:style>
  <w:style w:type="character" w:customStyle="1" w:styleId="CommentSubjectChar">
    <w:name w:val="Comment Subject Char"/>
    <w:basedOn w:val="CommentTextChar"/>
    <w:link w:val="CommentSubject"/>
    <w:uiPriority w:val="98"/>
    <w:semiHidden/>
    <w:rsid w:val="00FC1A1E"/>
    <w:rPr>
      <w:b/>
      <w:bCs/>
      <w:sz w:val="20"/>
      <w:szCs w:val="20"/>
      <w:lang w:val="ro-RO"/>
    </w:rPr>
  </w:style>
  <w:style w:type="table" w:styleId="DarkList">
    <w:name w:val="Dark List"/>
    <w:basedOn w:val="TableNormal"/>
    <w:uiPriority w:val="70"/>
    <w:semiHidden/>
    <w:rsid w:val="00FC1A1E"/>
    <w:rPr>
      <w:color w:val="0072BC" w:themeColor="background1"/>
      <w:sz w:val="24"/>
      <w:szCs w:val="24"/>
    </w:rPr>
    <w:tblPr>
      <w:tblStyleRowBandSize w:val="1"/>
      <w:tblStyleColBandSize w:val="1"/>
    </w:tblPr>
    <w:tcPr>
      <w:shd w:val="clear" w:color="auto" w:fill="000000" w:themeFill="text1"/>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0072BC" w:themeColor="background1"/>
          <w:insideH w:val="nil"/>
          <w:insideV w:val="nil"/>
        </w:tcBorders>
        <w:shd w:val="clear" w:color="auto" w:fill="000000" w:themeFill="text1" w:themeFillShade="BF"/>
      </w:tcPr>
    </w:tblStylePr>
    <w:tblStylePr w:type="lastCol">
      <w:tblPr/>
      <w:tcPr>
        <w:tcBorders>
          <w:top w:val="nil"/>
          <w:left w:val="single" w:sz="18" w:space="0" w:color="0072BC"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rsid w:val="00FC1A1E"/>
    <w:rPr>
      <w:color w:val="0072BC" w:themeColor="background1"/>
      <w:sz w:val="24"/>
      <w:szCs w:val="24"/>
    </w:rPr>
    <w:tblPr>
      <w:tblStyleRowBandSize w:val="1"/>
      <w:tblStyleColBandSize w:val="1"/>
    </w:tblPr>
    <w:tcPr>
      <w:shd w:val="clear" w:color="auto" w:fill="0072BC" w:themeFill="accent1"/>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00385D" w:themeFill="accent1" w:themeFillShade="7F"/>
      </w:tcPr>
    </w:tblStylePr>
    <w:tblStylePr w:type="firstCol">
      <w:tblPr/>
      <w:tcPr>
        <w:tcBorders>
          <w:top w:val="nil"/>
          <w:left w:val="nil"/>
          <w:bottom w:val="nil"/>
          <w:right w:val="single" w:sz="18" w:space="0" w:color="0072BC" w:themeColor="background1"/>
          <w:insideH w:val="nil"/>
          <w:insideV w:val="nil"/>
        </w:tcBorders>
        <w:shd w:val="clear" w:color="auto" w:fill="00548C" w:themeFill="accent1" w:themeFillShade="BF"/>
      </w:tcPr>
    </w:tblStylePr>
    <w:tblStylePr w:type="lastCol">
      <w:tblPr/>
      <w:tcPr>
        <w:tcBorders>
          <w:top w:val="nil"/>
          <w:left w:val="single" w:sz="18" w:space="0" w:color="0072BC" w:themeColor="background1"/>
          <w:bottom w:val="nil"/>
          <w:right w:val="nil"/>
          <w:insideH w:val="nil"/>
          <w:insideV w:val="nil"/>
        </w:tcBorders>
        <w:shd w:val="clear" w:color="auto" w:fill="00548C" w:themeFill="accent1" w:themeFillShade="BF"/>
      </w:tcPr>
    </w:tblStylePr>
    <w:tblStylePr w:type="band1Vert">
      <w:tblPr/>
      <w:tcPr>
        <w:tcBorders>
          <w:top w:val="nil"/>
          <w:left w:val="nil"/>
          <w:bottom w:val="nil"/>
          <w:right w:val="nil"/>
          <w:insideH w:val="nil"/>
          <w:insideV w:val="nil"/>
        </w:tcBorders>
        <w:shd w:val="clear" w:color="auto" w:fill="00548C" w:themeFill="accent1" w:themeFillShade="BF"/>
      </w:tcPr>
    </w:tblStylePr>
    <w:tblStylePr w:type="band1Horz">
      <w:tblPr/>
      <w:tcPr>
        <w:tcBorders>
          <w:top w:val="nil"/>
          <w:left w:val="nil"/>
          <w:bottom w:val="nil"/>
          <w:right w:val="nil"/>
          <w:insideH w:val="nil"/>
          <w:insideV w:val="nil"/>
        </w:tcBorders>
        <w:shd w:val="clear" w:color="auto" w:fill="00548C" w:themeFill="accent1" w:themeFillShade="BF"/>
      </w:tcPr>
    </w:tblStylePr>
  </w:style>
  <w:style w:type="table" w:styleId="DarkList-Accent2">
    <w:name w:val="Dark List Accent 2"/>
    <w:basedOn w:val="TableNormal"/>
    <w:uiPriority w:val="70"/>
    <w:semiHidden/>
    <w:rsid w:val="00FC1A1E"/>
    <w:rPr>
      <w:color w:val="0072BC" w:themeColor="background1"/>
      <w:sz w:val="24"/>
      <w:szCs w:val="24"/>
    </w:rPr>
    <w:tblPr>
      <w:tblStyleRowBandSize w:val="1"/>
      <w:tblStyleColBandSize w:val="1"/>
    </w:tblPr>
    <w:tcPr>
      <w:shd w:val="clear" w:color="auto" w:fill="C00000" w:themeFill="accent2"/>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5F0000" w:themeFill="accent2" w:themeFillShade="7F"/>
      </w:tcPr>
    </w:tblStylePr>
    <w:tblStylePr w:type="firstCol">
      <w:tblPr/>
      <w:tcPr>
        <w:tcBorders>
          <w:top w:val="nil"/>
          <w:left w:val="nil"/>
          <w:bottom w:val="nil"/>
          <w:right w:val="single" w:sz="18" w:space="0" w:color="0072BC" w:themeColor="background1"/>
          <w:insideH w:val="nil"/>
          <w:insideV w:val="nil"/>
        </w:tcBorders>
        <w:shd w:val="clear" w:color="auto" w:fill="8F0000" w:themeFill="accent2" w:themeFillShade="BF"/>
      </w:tcPr>
    </w:tblStylePr>
    <w:tblStylePr w:type="lastCol">
      <w:tblPr/>
      <w:tcPr>
        <w:tcBorders>
          <w:top w:val="nil"/>
          <w:left w:val="single" w:sz="18" w:space="0" w:color="0072BC" w:themeColor="background1"/>
          <w:bottom w:val="nil"/>
          <w:right w:val="nil"/>
          <w:insideH w:val="nil"/>
          <w:insideV w:val="nil"/>
        </w:tcBorders>
        <w:shd w:val="clear" w:color="auto" w:fill="8F0000" w:themeFill="accent2" w:themeFillShade="BF"/>
      </w:tcPr>
    </w:tblStylePr>
    <w:tblStylePr w:type="band1Vert">
      <w:tblPr/>
      <w:tcPr>
        <w:tcBorders>
          <w:top w:val="nil"/>
          <w:left w:val="nil"/>
          <w:bottom w:val="nil"/>
          <w:right w:val="nil"/>
          <w:insideH w:val="nil"/>
          <w:insideV w:val="nil"/>
        </w:tcBorders>
        <w:shd w:val="clear" w:color="auto" w:fill="8F0000" w:themeFill="accent2" w:themeFillShade="BF"/>
      </w:tcPr>
    </w:tblStylePr>
    <w:tblStylePr w:type="band1Horz">
      <w:tblPr/>
      <w:tcPr>
        <w:tcBorders>
          <w:top w:val="nil"/>
          <w:left w:val="nil"/>
          <w:bottom w:val="nil"/>
          <w:right w:val="nil"/>
          <w:insideH w:val="nil"/>
          <w:insideV w:val="nil"/>
        </w:tcBorders>
        <w:shd w:val="clear" w:color="auto" w:fill="8F0000" w:themeFill="accent2" w:themeFillShade="BF"/>
      </w:tcPr>
    </w:tblStylePr>
  </w:style>
  <w:style w:type="table" w:styleId="DarkList-Accent3">
    <w:name w:val="Dark List Accent 3"/>
    <w:basedOn w:val="TableNormal"/>
    <w:uiPriority w:val="70"/>
    <w:semiHidden/>
    <w:rsid w:val="00FC1A1E"/>
    <w:rPr>
      <w:color w:val="0072BC" w:themeColor="background1"/>
      <w:sz w:val="24"/>
      <w:szCs w:val="24"/>
    </w:rPr>
    <w:tblPr>
      <w:tblStyleRowBandSize w:val="1"/>
      <w:tblStyleColBandSize w:val="1"/>
    </w:tblPr>
    <w:tcPr>
      <w:shd w:val="clear" w:color="auto" w:fill="5F5F5F" w:themeFill="accent3"/>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F2F2F" w:themeFill="accent3" w:themeFillShade="7F"/>
      </w:tcPr>
    </w:tblStylePr>
    <w:tblStylePr w:type="firstCol">
      <w:tblPr/>
      <w:tcPr>
        <w:tcBorders>
          <w:top w:val="nil"/>
          <w:left w:val="nil"/>
          <w:bottom w:val="nil"/>
          <w:right w:val="single" w:sz="18" w:space="0" w:color="0072BC" w:themeColor="background1"/>
          <w:insideH w:val="nil"/>
          <w:insideV w:val="nil"/>
        </w:tcBorders>
        <w:shd w:val="clear" w:color="auto" w:fill="474747" w:themeFill="accent3" w:themeFillShade="BF"/>
      </w:tcPr>
    </w:tblStylePr>
    <w:tblStylePr w:type="lastCol">
      <w:tblPr/>
      <w:tcPr>
        <w:tcBorders>
          <w:top w:val="nil"/>
          <w:left w:val="single" w:sz="18" w:space="0" w:color="0072BC" w:themeColor="background1"/>
          <w:bottom w:val="nil"/>
          <w:right w:val="nil"/>
          <w:insideH w:val="nil"/>
          <w:insideV w:val="nil"/>
        </w:tcBorders>
        <w:shd w:val="clear" w:color="auto" w:fill="474747" w:themeFill="accent3" w:themeFillShade="BF"/>
      </w:tcPr>
    </w:tblStylePr>
    <w:tblStylePr w:type="band1Vert">
      <w:tblPr/>
      <w:tcPr>
        <w:tcBorders>
          <w:top w:val="nil"/>
          <w:left w:val="nil"/>
          <w:bottom w:val="nil"/>
          <w:right w:val="nil"/>
          <w:insideH w:val="nil"/>
          <w:insideV w:val="nil"/>
        </w:tcBorders>
        <w:shd w:val="clear" w:color="auto" w:fill="474747" w:themeFill="accent3" w:themeFillShade="BF"/>
      </w:tcPr>
    </w:tblStylePr>
    <w:tblStylePr w:type="band1Horz">
      <w:tblPr/>
      <w:tcPr>
        <w:tcBorders>
          <w:top w:val="nil"/>
          <w:left w:val="nil"/>
          <w:bottom w:val="nil"/>
          <w:right w:val="nil"/>
          <w:insideH w:val="nil"/>
          <w:insideV w:val="nil"/>
        </w:tcBorders>
        <w:shd w:val="clear" w:color="auto" w:fill="474747" w:themeFill="accent3" w:themeFillShade="BF"/>
      </w:tcPr>
    </w:tblStylePr>
  </w:style>
  <w:style w:type="table" w:styleId="DarkList-Accent4">
    <w:name w:val="Dark List Accent 4"/>
    <w:basedOn w:val="TableNormal"/>
    <w:uiPriority w:val="70"/>
    <w:semiHidden/>
    <w:rsid w:val="00FC1A1E"/>
    <w:rPr>
      <w:color w:val="0072BC" w:themeColor="background1"/>
      <w:sz w:val="24"/>
      <w:szCs w:val="24"/>
    </w:rPr>
    <w:tblPr>
      <w:tblStyleRowBandSize w:val="1"/>
      <w:tblStyleColBandSize w:val="1"/>
    </w:tblPr>
    <w:tcPr>
      <w:shd w:val="clear" w:color="auto" w:fill="969696" w:themeFill="accent4"/>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4A4A4A" w:themeFill="accent4" w:themeFillShade="7F"/>
      </w:tcPr>
    </w:tblStylePr>
    <w:tblStylePr w:type="firstCol">
      <w:tblPr/>
      <w:tcPr>
        <w:tcBorders>
          <w:top w:val="nil"/>
          <w:left w:val="nil"/>
          <w:bottom w:val="nil"/>
          <w:right w:val="single" w:sz="18" w:space="0" w:color="0072BC" w:themeColor="background1"/>
          <w:insideH w:val="nil"/>
          <w:insideV w:val="nil"/>
        </w:tcBorders>
        <w:shd w:val="clear" w:color="auto" w:fill="707070" w:themeFill="accent4" w:themeFillShade="BF"/>
      </w:tcPr>
    </w:tblStylePr>
    <w:tblStylePr w:type="lastCol">
      <w:tblPr/>
      <w:tcPr>
        <w:tcBorders>
          <w:top w:val="nil"/>
          <w:left w:val="single" w:sz="18" w:space="0" w:color="0072BC" w:themeColor="background1"/>
          <w:bottom w:val="nil"/>
          <w:right w:val="nil"/>
          <w:insideH w:val="nil"/>
          <w:insideV w:val="nil"/>
        </w:tcBorders>
        <w:shd w:val="clear" w:color="auto" w:fill="707070" w:themeFill="accent4" w:themeFillShade="BF"/>
      </w:tcPr>
    </w:tblStylePr>
    <w:tblStylePr w:type="band1Vert">
      <w:tblPr/>
      <w:tcPr>
        <w:tcBorders>
          <w:top w:val="nil"/>
          <w:left w:val="nil"/>
          <w:bottom w:val="nil"/>
          <w:right w:val="nil"/>
          <w:insideH w:val="nil"/>
          <w:insideV w:val="nil"/>
        </w:tcBorders>
        <w:shd w:val="clear" w:color="auto" w:fill="707070" w:themeFill="accent4" w:themeFillShade="BF"/>
      </w:tcPr>
    </w:tblStylePr>
    <w:tblStylePr w:type="band1Horz">
      <w:tblPr/>
      <w:tcPr>
        <w:tcBorders>
          <w:top w:val="nil"/>
          <w:left w:val="nil"/>
          <w:bottom w:val="nil"/>
          <w:right w:val="nil"/>
          <w:insideH w:val="nil"/>
          <w:insideV w:val="nil"/>
        </w:tcBorders>
        <w:shd w:val="clear" w:color="auto" w:fill="707070" w:themeFill="accent4" w:themeFillShade="BF"/>
      </w:tcPr>
    </w:tblStylePr>
  </w:style>
  <w:style w:type="table" w:styleId="DarkList-Accent5">
    <w:name w:val="Dark List Accent 5"/>
    <w:basedOn w:val="TableNormal"/>
    <w:uiPriority w:val="70"/>
    <w:semiHidden/>
    <w:rsid w:val="00FC1A1E"/>
    <w:rPr>
      <w:color w:val="0072BC" w:themeColor="background1"/>
      <w:sz w:val="24"/>
      <w:szCs w:val="24"/>
    </w:rPr>
    <w:tblPr>
      <w:tblStyleRowBandSize w:val="1"/>
      <w:tblStyleColBandSize w:val="1"/>
    </w:tblPr>
    <w:tcPr>
      <w:shd w:val="clear" w:color="auto" w:fill="5F5F5F" w:themeFill="accent5"/>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F2F2F" w:themeFill="accent5" w:themeFillShade="7F"/>
      </w:tcPr>
    </w:tblStylePr>
    <w:tblStylePr w:type="firstCol">
      <w:tblPr/>
      <w:tcPr>
        <w:tcBorders>
          <w:top w:val="nil"/>
          <w:left w:val="nil"/>
          <w:bottom w:val="nil"/>
          <w:right w:val="single" w:sz="18" w:space="0" w:color="0072BC" w:themeColor="background1"/>
          <w:insideH w:val="nil"/>
          <w:insideV w:val="nil"/>
        </w:tcBorders>
        <w:shd w:val="clear" w:color="auto" w:fill="474747" w:themeFill="accent5" w:themeFillShade="BF"/>
      </w:tcPr>
    </w:tblStylePr>
    <w:tblStylePr w:type="lastCol">
      <w:tblPr/>
      <w:tcPr>
        <w:tcBorders>
          <w:top w:val="nil"/>
          <w:left w:val="single" w:sz="18" w:space="0" w:color="0072BC" w:themeColor="background1"/>
          <w:bottom w:val="nil"/>
          <w:right w:val="nil"/>
          <w:insideH w:val="nil"/>
          <w:insideV w:val="nil"/>
        </w:tcBorders>
        <w:shd w:val="clear" w:color="auto" w:fill="474747" w:themeFill="accent5" w:themeFillShade="BF"/>
      </w:tcPr>
    </w:tblStylePr>
    <w:tblStylePr w:type="band1Vert">
      <w:tblPr/>
      <w:tcPr>
        <w:tcBorders>
          <w:top w:val="nil"/>
          <w:left w:val="nil"/>
          <w:bottom w:val="nil"/>
          <w:right w:val="nil"/>
          <w:insideH w:val="nil"/>
          <w:insideV w:val="nil"/>
        </w:tcBorders>
        <w:shd w:val="clear" w:color="auto" w:fill="474747" w:themeFill="accent5" w:themeFillShade="BF"/>
      </w:tcPr>
    </w:tblStylePr>
    <w:tblStylePr w:type="band1Horz">
      <w:tblPr/>
      <w:tcPr>
        <w:tcBorders>
          <w:top w:val="nil"/>
          <w:left w:val="nil"/>
          <w:bottom w:val="nil"/>
          <w:right w:val="nil"/>
          <w:insideH w:val="nil"/>
          <w:insideV w:val="nil"/>
        </w:tcBorders>
        <w:shd w:val="clear" w:color="auto" w:fill="474747" w:themeFill="accent5" w:themeFillShade="BF"/>
      </w:tcPr>
    </w:tblStylePr>
  </w:style>
  <w:style w:type="table" w:styleId="DarkList-Accent6">
    <w:name w:val="Dark List Accent 6"/>
    <w:basedOn w:val="TableNormal"/>
    <w:uiPriority w:val="70"/>
    <w:semiHidden/>
    <w:rsid w:val="00FC1A1E"/>
    <w:rPr>
      <w:color w:val="0072BC" w:themeColor="background1"/>
      <w:sz w:val="24"/>
      <w:szCs w:val="24"/>
    </w:rPr>
    <w:tblPr>
      <w:tblStyleRowBandSize w:val="1"/>
      <w:tblStyleColBandSize w:val="1"/>
    </w:tblPr>
    <w:tcPr>
      <w:shd w:val="clear" w:color="auto" w:fill="4D4D4D" w:themeFill="accent6"/>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62626" w:themeFill="accent6" w:themeFillShade="7F"/>
      </w:tcPr>
    </w:tblStylePr>
    <w:tblStylePr w:type="firstCol">
      <w:tblPr/>
      <w:tcPr>
        <w:tcBorders>
          <w:top w:val="nil"/>
          <w:left w:val="nil"/>
          <w:bottom w:val="nil"/>
          <w:right w:val="single" w:sz="18" w:space="0" w:color="0072BC" w:themeColor="background1"/>
          <w:insideH w:val="nil"/>
          <w:insideV w:val="nil"/>
        </w:tcBorders>
        <w:shd w:val="clear" w:color="auto" w:fill="393939" w:themeFill="accent6" w:themeFillShade="BF"/>
      </w:tcPr>
    </w:tblStylePr>
    <w:tblStylePr w:type="lastCol">
      <w:tblPr/>
      <w:tcPr>
        <w:tcBorders>
          <w:top w:val="nil"/>
          <w:left w:val="single" w:sz="18" w:space="0" w:color="0072BC" w:themeColor="background1"/>
          <w:bottom w:val="nil"/>
          <w:right w:val="nil"/>
          <w:insideH w:val="nil"/>
          <w:insideV w:val="nil"/>
        </w:tcBorders>
        <w:shd w:val="clear" w:color="auto" w:fill="393939" w:themeFill="accent6" w:themeFillShade="BF"/>
      </w:tcPr>
    </w:tblStylePr>
    <w:tblStylePr w:type="band1Vert">
      <w:tblPr/>
      <w:tcPr>
        <w:tcBorders>
          <w:top w:val="nil"/>
          <w:left w:val="nil"/>
          <w:bottom w:val="nil"/>
          <w:right w:val="nil"/>
          <w:insideH w:val="nil"/>
          <w:insideV w:val="nil"/>
        </w:tcBorders>
        <w:shd w:val="clear" w:color="auto" w:fill="393939" w:themeFill="accent6" w:themeFillShade="BF"/>
      </w:tcPr>
    </w:tblStylePr>
    <w:tblStylePr w:type="band1Horz">
      <w:tblPr/>
      <w:tcPr>
        <w:tcBorders>
          <w:top w:val="nil"/>
          <w:left w:val="nil"/>
          <w:bottom w:val="nil"/>
          <w:right w:val="nil"/>
          <w:insideH w:val="nil"/>
          <w:insideV w:val="nil"/>
        </w:tcBorders>
        <w:shd w:val="clear" w:color="auto" w:fill="393939" w:themeFill="accent6" w:themeFillShade="BF"/>
      </w:tcPr>
    </w:tblStylePr>
  </w:style>
  <w:style w:type="paragraph" w:styleId="Date">
    <w:name w:val="Date"/>
    <w:basedOn w:val="Normal"/>
    <w:next w:val="Normal"/>
    <w:link w:val="DateChar"/>
    <w:uiPriority w:val="98"/>
    <w:semiHidden/>
    <w:rsid w:val="00FC1A1E"/>
  </w:style>
  <w:style w:type="character" w:customStyle="1" w:styleId="DateChar">
    <w:name w:val="Date Char"/>
    <w:basedOn w:val="DefaultParagraphFont"/>
    <w:link w:val="Date"/>
    <w:uiPriority w:val="98"/>
    <w:semiHidden/>
    <w:rsid w:val="00FC1A1E"/>
    <w:rPr>
      <w:sz w:val="24"/>
      <w:szCs w:val="24"/>
      <w:lang w:val="ro-RO"/>
    </w:rPr>
  </w:style>
  <w:style w:type="paragraph" w:styleId="DocumentMap">
    <w:name w:val="Document Map"/>
    <w:basedOn w:val="Normal"/>
    <w:link w:val="DocumentMapChar"/>
    <w:uiPriority w:val="98"/>
    <w:semiHidden/>
    <w:rsid w:val="00FC1A1E"/>
    <w:rPr>
      <w:rFonts w:ascii="Tahoma" w:hAnsi="Tahoma" w:cs="Tahoma"/>
      <w:sz w:val="16"/>
      <w:szCs w:val="16"/>
    </w:rPr>
  </w:style>
  <w:style w:type="character" w:customStyle="1" w:styleId="DocumentMapChar">
    <w:name w:val="Document Map Char"/>
    <w:basedOn w:val="DefaultParagraphFont"/>
    <w:link w:val="DocumentMap"/>
    <w:uiPriority w:val="98"/>
    <w:semiHidden/>
    <w:rsid w:val="00FC1A1E"/>
    <w:rPr>
      <w:rFonts w:ascii="Tahoma" w:hAnsi="Tahoma" w:cs="Tahoma"/>
      <w:sz w:val="16"/>
      <w:szCs w:val="16"/>
      <w:lang w:val="ro-RO"/>
    </w:rPr>
  </w:style>
  <w:style w:type="paragraph" w:styleId="E-mailSignature">
    <w:name w:val="E-mail Signature"/>
    <w:basedOn w:val="Normal"/>
    <w:link w:val="E-mailSignatureChar"/>
    <w:uiPriority w:val="98"/>
    <w:semiHidden/>
    <w:rsid w:val="00FC1A1E"/>
  </w:style>
  <w:style w:type="character" w:customStyle="1" w:styleId="E-mailSignatureChar">
    <w:name w:val="E-mail Signature Char"/>
    <w:basedOn w:val="DefaultParagraphFont"/>
    <w:link w:val="E-mailSignature"/>
    <w:uiPriority w:val="98"/>
    <w:semiHidden/>
    <w:rsid w:val="00FC1A1E"/>
    <w:rPr>
      <w:sz w:val="24"/>
      <w:szCs w:val="24"/>
      <w:lang w:val="ro-RO"/>
    </w:rPr>
  </w:style>
  <w:style w:type="character" w:styleId="EndnoteReference">
    <w:name w:val="endnote reference"/>
    <w:basedOn w:val="DefaultParagraphFont"/>
    <w:uiPriority w:val="98"/>
    <w:semiHidden/>
    <w:rsid w:val="00FC1A1E"/>
    <w:rPr>
      <w:vertAlign w:val="superscript"/>
    </w:rPr>
  </w:style>
  <w:style w:type="paragraph" w:styleId="EndnoteText">
    <w:name w:val="endnote text"/>
    <w:basedOn w:val="Normal"/>
    <w:link w:val="EndnoteTextChar"/>
    <w:uiPriority w:val="98"/>
    <w:semiHidden/>
    <w:rsid w:val="00FC1A1E"/>
    <w:rPr>
      <w:sz w:val="20"/>
      <w:szCs w:val="20"/>
    </w:rPr>
  </w:style>
  <w:style w:type="character" w:customStyle="1" w:styleId="EndnoteTextChar">
    <w:name w:val="Endnote Text Char"/>
    <w:basedOn w:val="DefaultParagraphFont"/>
    <w:link w:val="EndnoteText"/>
    <w:uiPriority w:val="98"/>
    <w:semiHidden/>
    <w:rsid w:val="00FC1A1E"/>
    <w:rPr>
      <w:sz w:val="20"/>
      <w:szCs w:val="20"/>
      <w:lang w:val="ro-RO"/>
    </w:rPr>
  </w:style>
  <w:style w:type="paragraph" w:styleId="EnvelopeAddress">
    <w:name w:val="envelope address"/>
    <w:basedOn w:val="Normal"/>
    <w:uiPriority w:val="98"/>
    <w:semiHidden/>
    <w:rsid w:val="00FC1A1E"/>
    <w:pPr>
      <w:framePr w:w="7938" w:h="1985" w:hRule="exact" w:hSpace="141" w:wrap="auto" w:hAnchor="page" w:xAlign="center" w:yAlign="bottom"/>
      <w:ind w:left="2835"/>
    </w:pPr>
    <w:rPr>
      <w:rFonts w:asciiTheme="majorHAnsi" w:eastAsiaTheme="majorEastAsia" w:hAnsiTheme="majorHAnsi" w:cstheme="majorBidi"/>
    </w:rPr>
  </w:style>
  <w:style w:type="paragraph" w:styleId="EnvelopeReturn">
    <w:name w:val="envelope return"/>
    <w:basedOn w:val="Normal"/>
    <w:uiPriority w:val="98"/>
    <w:semiHidden/>
    <w:rsid w:val="00FC1A1E"/>
    <w:rPr>
      <w:rFonts w:asciiTheme="majorHAnsi" w:eastAsiaTheme="majorEastAsia" w:hAnsiTheme="majorHAnsi" w:cstheme="majorBidi"/>
      <w:sz w:val="20"/>
      <w:szCs w:val="20"/>
    </w:rPr>
  </w:style>
  <w:style w:type="character" w:styleId="FollowedHyperlink">
    <w:name w:val="FollowedHyperlink"/>
    <w:basedOn w:val="DefaultParagraphFont"/>
    <w:uiPriority w:val="98"/>
    <w:semiHidden/>
    <w:rsid w:val="00FC1A1E"/>
    <w:rPr>
      <w:color w:val="7030A0" w:themeColor="followedHyperlink"/>
      <w:u w:val="single"/>
    </w:rPr>
  </w:style>
  <w:style w:type="character" w:styleId="HTMLAcronym">
    <w:name w:val="HTML Acronym"/>
    <w:basedOn w:val="DefaultParagraphFont"/>
    <w:uiPriority w:val="98"/>
    <w:semiHidden/>
    <w:rsid w:val="00FC1A1E"/>
  </w:style>
  <w:style w:type="paragraph" w:styleId="HTMLAddress">
    <w:name w:val="HTML Address"/>
    <w:basedOn w:val="Normal"/>
    <w:link w:val="HTMLAddressChar"/>
    <w:uiPriority w:val="98"/>
    <w:semiHidden/>
    <w:rsid w:val="00FC1A1E"/>
    <w:rPr>
      <w:i/>
      <w:iCs/>
    </w:rPr>
  </w:style>
  <w:style w:type="character" w:customStyle="1" w:styleId="HTMLAddressChar">
    <w:name w:val="HTML Address Char"/>
    <w:basedOn w:val="DefaultParagraphFont"/>
    <w:link w:val="HTMLAddress"/>
    <w:uiPriority w:val="98"/>
    <w:semiHidden/>
    <w:rsid w:val="00FC1A1E"/>
    <w:rPr>
      <w:i/>
      <w:iCs/>
      <w:sz w:val="24"/>
      <w:szCs w:val="24"/>
      <w:lang w:val="ro-RO"/>
    </w:rPr>
  </w:style>
  <w:style w:type="character" w:styleId="HTMLCite">
    <w:name w:val="HTML Cite"/>
    <w:basedOn w:val="DefaultParagraphFont"/>
    <w:uiPriority w:val="98"/>
    <w:semiHidden/>
    <w:rsid w:val="00FC1A1E"/>
    <w:rPr>
      <w:i/>
      <w:iCs/>
    </w:rPr>
  </w:style>
  <w:style w:type="character" w:styleId="HTMLCode">
    <w:name w:val="HTML Code"/>
    <w:basedOn w:val="DefaultParagraphFont"/>
    <w:uiPriority w:val="98"/>
    <w:semiHidden/>
    <w:rsid w:val="00FC1A1E"/>
    <w:rPr>
      <w:rFonts w:ascii="Consolas" w:hAnsi="Consolas" w:cs="Consolas"/>
      <w:sz w:val="20"/>
      <w:szCs w:val="20"/>
    </w:rPr>
  </w:style>
  <w:style w:type="character" w:styleId="HTMLDefinition">
    <w:name w:val="HTML Definition"/>
    <w:basedOn w:val="DefaultParagraphFont"/>
    <w:uiPriority w:val="98"/>
    <w:semiHidden/>
    <w:rsid w:val="00FC1A1E"/>
    <w:rPr>
      <w:i/>
      <w:iCs/>
    </w:rPr>
  </w:style>
  <w:style w:type="character" w:styleId="HTMLKeyboard">
    <w:name w:val="HTML Keyboard"/>
    <w:basedOn w:val="DefaultParagraphFont"/>
    <w:uiPriority w:val="98"/>
    <w:semiHidden/>
    <w:rsid w:val="00FC1A1E"/>
    <w:rPr>
      <w:rFonts w:ascii="Consolas" w:hAnsi="Consolas" w:cs="Consolas"/>
      <w:sz w:val="20"/>
      <w:szCs w:val="20"/>
    </w:rPr>
  </w:style>
  <w:style w:type="paragraph" w:styleId="HTMLPreformatted">
    <w:name w:val="HTML Preformatted"/>
    <w:basedOn w:val="Normal"/>
    <w:link w:val="HTMLPreformattedChar"/>
    <w:uiPriority w:val="98"/>
    <w:semiHidden/>
    <w:rsid w:val="00FC1A1E"/>
    <w:rPr>
      <w:rFonts w:ascii="Consolas" w:hAnsi="Consolas" w:cs="Consolas"/>
      <w:sz w:val="20"/>
      <w:szCs w:val="20"/>
    </w:rPr>
  </w:style>
  <w:style w:type="character" w:customStyle="1" w:styleId="HTMLPreformattedChar">
    <w:name w:val="HTML Preformatted Char"/>
    <w:basedOn w:val="DefaultParagraphFont"/>
    <w:link w:val="HTMLPreformatted"/>
    <w:uiPriority w:val="98"/>
    <w:semiHidden/>
    <w:rsid w:val="00FC1A1E"/>
    <w:rPr>
      <w:rFonts w:ascii="Consolas" w:hAnsi="Consolas" w:cs="Consolas"/>
      <w:sz w:val="20"/>
      <w:szCs w:val="20"/>
      <w:lang w:val="ro-RO"/>
    </w:rPr>
  </w:style>
  <w:style w:type="character" w:styleId="HTMLSample">
    <w:name w:val="HTML Sample"/>
    <w:basedOn w:val="DefaultParagraphFont"/>
    <w:uiPriority w:val="98"/>
    <w:semiHidden/>
    <w:rsid w:val="00FC1A1E"/>
    <w:rPr>
      <w:rFonts w:ascii="Consolas" w:hAnsi="Consolas" w:cs="Consolas"/>
      <w:sz w:val="24"/>
      <w:szCs w:val="24"/>
    </w:rPr>
  </w:style>
  <w:style w:type="character" w:styleId="HTMLTypewriter">
    <w:name w:val="HTML Typewriter"/>
    <w:basedOn w:val="DefaultParagraphFont"/>
    <w:uiPriority w:val="98"/>
    <w:semiHidden/>
    <w:rsid w:val="00FC1A1E"/>
    <w:rPr>
      <w:rFonts w:ascii="Consolas" w:hAnsi="Consolas" w:cs="Consolas"/>
      <w:sz w:val="20"/>
      <w:szCs w:val="20"/>
    </w:rPr>
  </w:style>
  <w:style w:type="character" w:styleId="HTMLVariable">
    <w:name w:val="HTML Variable"/>
    <w:basedOn w:val="DefaultParagraphFont"/>
    <w:uiPriority w:val="98"/>
    <w:semiHidden/>
    <w:rsid w:val="00FC1A1E"/>
    <w:rPr>
      <w:i/>
      <w:iCs/>
    </w:rPr>
  </w:style>
  <w:style w:type="paragraph" w:styleId="Index1">
    <w:name w:val="index 1"/>
    <w:basedOn w:val="Normal"/>
    <w:next w:val="Normal"/>
    <w:autoRedefine/>
    <w:uiPriority w:val="98"/>
    <w:semiHidden/>
    <w:rsid w:val="00FC1A1E"/>
    <w:pPr>
      <w:ind w:left="240" w:hanging="240"/>
    </w:pPr>
  </w:style>
  <w:style w:type="paragraph" w:styleId="Index2">
    <w:name w:val="index 2"/>
    <w:basedOn w:val="Normal"/>
    <w:next w:val="Normal"/>
    <w:autoRedefine/>
    <w:uiPriority w:val="98"/>
    <w:semiHidden/>
    <w:rsid w:val="00FC1A1E"/>
    <w:pPr>
      <w:ind w:left="480" w:hanging="240"/>
    </w:pPr>
  </w:style>
  <w:style w:type="paragraph" w:styleId="Index3">
    <w:name w:val="index 3"/>
    <w:basedOn w:val="Normal"/>
    <w:next w:val="Normal"/>
    <w:autoRedefine/>
    <w:uiPriority w:val="98"/>
    <w:semiHidden/>
    <w:rsid w:val="00FC1A1E"/>
    <w:pPr>
      <w:ind w:left="720" w:hanging="240"/>
    </w:pPr>
  </w:style>
  <w:style w:type="paragraph" w:styleId="Index4">
    <w:name w:val="index 4"/>
    <w:basedOn w:val="Normal"/>
    <w:next w:val="Normal"/>
    <w:autoRedefine/>
    <w:uiPriority w:val="98"/>
    <w:semiHidden/>
    <w:rsid w:val="00FC1A1E"/>
    <w:pPr>
      <w:ind w:left="960" w:hanging="240"/>
    </w:pPr>
  </w:style>
  <w:style w:type="paragraph" w:styleId="Index5">
    <w:name w:val="index 5"/>
    <w:basedOn w:val="Normal"/>
    <w:next w:val="Normal"/>
    <w:autoRedefine/>
    <w:uiPriority w:val="98"/>
    <w:semiHidden/>
    <w:rsid w:val="00FC1A1E"/>
    <w:pPr>
      <w:ind w:left="1200" w:hanging="240"/>
    </w:pPr>
  </w:style>
  <w:style w:type="paragraph" w:styleId="Index6">
    <w:name w:val="index 6"/>
    <w:basedOn w:val="Normal"/>
    <w:next w:val="Normal"/>
    <w:autoRedefine/>
    <w:uiPriority w:val="98"/>
    <w:semiHidden/>
    <w:rsid w:val="00FC1A1E"/>
    <w:pPr>
      <w:ind w:left="1440" w:hanging="240"/>
    </w:pPr>
  </w:style>
  <w:style w:type="paragraph" w:styleId="Index7">
    <w:name w:val="index 7"/>
    <w:basedOn w:val="Normal"/>
    <w:next w:val="Normal"/>
    <w:autoRedefine/>
    <w:uiPriority w:val="98"/>
    <w:semiHidden/>
    <w:rsid w:val="00FC1A1E"/>
    <w:pPr>
      <w:ind w:left="1680" w:hanging="240"/>
    </w:pPr>
  </w:style>
  <w:style w:type="paragraph" w:styleId="Index8">
    <w:name w:val="index 8"/>
    <w:basedOn w:val="Normal"/>
    <w:next w:val="Normal"/>
    <w:autoRedefine/>
    <w:uiPriority w:val="98"/>
    <w:semiHidden/>
    <w:rsid w:val="00FC1A1E"/>
    <w:pPr>
      <w:ind w:left="1920" w:hanging="240"/>
    </w:pPr>
  </w:style>
  <w:style w:type="paragraph" w:styleId="Index9">
    <w:name w:val="index 9"/>
    <w:basedOn w:val="Normal"/>
    <w:next w:val="Normal"/>
    <w:autoRedefine/>
    <w:uiPriority w:val="98"/>
    <w:semiHidden/>
    <w:rsid w:val="00FC1A1E"/>
    <w:pPr>
      <w:ind w:left="2160" w:hanging="240"/>
    </w:pPr>
  </w:style>
  <w:style w:type="paragraph" w:styleId="IndexHeading">
    <w:name w:val="index heading"/>
    <w:basedOn w:val="Normal"/>
    <w:next w:val="Index1"/>
    <w:uiPriority w:val="98"/>
    <w:semiHidden/>
    <w:rsid w:val="00FC1A1E"/>
    <w:rPr>
      <w:rFonts w:asciiTheme="majorHAnsi" w:eastAsiaTheme="majorEastAsia" w:hAnsiTheme="majorHAnsi" w:cstheme="majorBidi"/>
      <w:b/>
      <w:bCs/>
    </w:rPr>
  </w:style>
  <w:style w:type="table" w:styleId="LightGrid">
    <w:name w:val="Light Grid"/>
    <w:basedOn w:val="TableNormal"/>
    <w:uiPriority w:val="62"/>
    <w:semiHidden/>
    <w:rsid w:val="00FC1A1E"/>
    <w:rPr>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rsid w:val="00FC1A1E"/>
    <w:rPr>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18" w:space="0" w:color="0072BC" w:themeColor="accent1"/>
          <w:right w:val="single" w:sz="8" w:space="0" w:color="0072BC" w:themeColor="accent1"/>
          <w:insideH w:val="nil"/>
          <w:insideV w:val="single" w:sz="8" w:space="0" w:color="0072BC"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insideH w:val="nil"/>
          <w:insideV w:val="single" w:sz="8" w:space="0" w:color="0072BC"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shd w:val="clear" w:color="auto" w:fill="AFDFFF" w:themeFill="accent1" w:themeFillTint="3F"/>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shd w:val="clear" w:color="auto" w:fill="AFDFFF" w:themeFill="accent1" w:themeFillTint="3F"/>
      </w:tcPr>
    </w:tblStylePr>
    <w:tblStylePr w:type="band2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tcPr>
    </w:tblStylePr>
  </w:style>
  <w:style w:type="table" w:styleId="LightGrid-Accent2">
    <w:name w:val="Light Grid Accent 2"/>
    <w:basedOn w:val="TableNormal"/>
    <w:uiPriority w:val="62"/>
    <w:semiHidden/>
    <w:rsid w:val="00FC1A1E"/>
    <w:rPr>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18" w:space="0" w:color="C00000" w:themeColor="accent2"/>
          <w:right w:val="single" w:sz="8" w:space="0" w:color="C00000" w:themeColor="accent2"/>
          <w:insideH w:val="nil"/>
          <w:insideV w:val="single" w:sz="8" w:space="0" w:color="C0000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insideH w:val="nil"/>
          <w:insideV w:val="single" w:sz="8" w:space="0" w:color="C0000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shd w:val="clear" w:color="auto" w:fill="FFB0B0" w:themeFill="accent2" w:themeFillTint="3F"/>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shd w:val="clear" w:color="auto" w:fill="FFB0B0" w:themeFill="accent2" w:themeFillTint="3F"/>
      </w:tcPr>
    </w:tblStylePr>
    <w:tblStylePr w:type="band2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tcPr>
    </w:tblStylePr>
  </w:style>
  <w:style w:type="table" w:styleId="LightGrid-Accent3">
    <w:name w:val="Light Grid Accent 3"/>
    <w:basedOn w:val="TableNormal"/>
    <w:uiPriority w:val="62"/>
    <w:semiHidden/>
    <w:rsid w:val="00FC1A1E"/>
    <w:rPr>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insideH w:val="single" w:sz="8" w:space="0" w:color="5F5F5F" w:themeColor="accent3"/>
        <w:insideV w:val="single" w:sz="8" w:space="0" w:color="5F5F5F"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3"/>
          <w:left w:val="single" w:sz="8" w:space="0" w:color="5F5F5F" w:themeColor="accent3"/>
          <w:bottom w:val="single" w:sz="18" w:space="0" w:color="5F5F5F" w:themeColor="accent3"/>
          <w:right w:val="single" w:sz="8" w:space="0" w:color="5F5F5F" w:themeColor="accent3"/>
          <w:insideH w:val="nil"/>
          <w:insideV w:val="single" w:sz="8" w:space="0" w:color="5F5F5F"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3"/>
          <w:left w:val="single" w:sz="8" w:space="0" w:color="5F5F5F" w:themeColor="accent3"/>
          <w:bottom w:val="single" w:sz="8" w:space="0" w:color="5F5F5F" w:themeColor="accent3"/>
          <w:right w:val="single" w:sz="8" w:space="0" w:color="5F5F5F" w:themeColor="accent3"/>
          <w:insideH w:val="nil"/>
          <w:insideV w:val="single" w:sz="8" w:space="0" w:color="5F5F5F"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tblStylePr w:type="band1Vert">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shd w:val="clear" w:color="auto" w:fill="D7D7D7" w:themeFill="accent3" w:themeFillTint="3F"/>
      </w:tcPr>
    </w:tblStylePr>
    <w:tblStylePr w:type="band1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insideV w:val="single" w:sz="8" w:space="0" w:color="5F5F5F" w:themeColor="accent3"/>
        </w:tcBorders>
        <w:shd w:val="clear" w:color="auto" w:fill="D7D7D7" w:themeFill="accent3" w:themeFillTint="3F"/>
      </w:tcPr>
    </w:tblStylePr>
    <w:tblStylePr w:type="band2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insideV w:val="single" w:sz="8" w:space="0" w:color="5F5F5F" w:themeColor="accent3"/>
        </w:tcBorders>
      </w:tcPr>
    </w:tblStylePr>
  </w:style>
  <w:style w:type="table" w:styleId="LightGrid-Accent4">
    <w:name w:val="Light Grid Accent 4"/>
    <w:basedOn w:val="TableNormal"/>
    <w:uiPriority w:val="62"/>
    <w:semiHidden/>
    <w:rsid w:val="00FC1A1E"/>
    <w:rPr>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18" w:space="0" w:color="969696" w:themeColor="accent4"/>
          <w:right w:val="single" w:sz="8" w:space="0" w:color="969696" w:themeColor="accent4"/>
          <w:insideH w:val="nil"/>
          <w:insideV w:val="single" w:sz="8" w:space="0" w:color="969696"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insideH w:val="nil"/>
          <w:insideV w:val="single" w:sz="8" w:space="0" w:color="969696"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shd w:val="clear" w:color="auto" w:fill="E5E5E5" w:themeFill="accent4" w:themeFillTint="3F"/>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shd w:val="clear" w:color="auto" w:fill="E5E5E5" w:themeFill="accent4" w:themeFillTint="3F"/>
      </w:tcPr>
    </w:tblStylePr>
    <w:tblStylePr w:type="band2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tcPr>
    </w:tblStylePr>
  </w:style>
  <w:style w:type="table" w:styleId="LightGrid-Accent5">
    <w:name w:val="Light Grid Accent 5"/>
    <w:basedOn w:val="TableNormal"/>
    <w:uiPriority w:val="62"/>
    <w:semiHidden/>
    <w:rsid w:val="00FC1A1E"/>
    <w:rPr>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18" w:space="0" w:color="5F5F5F" w:themeColor="accent5"/>
          <w:right w:val="single" w:sz="8" w:space="0" w:color="5F5F5F" w:themeColor="accent5"/>
          <w:insideH w:val="nil"/>
          <w:insideV w:val="single" w:sz="8" w:space="0" w:color="5F5F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insideH w:val="nil"/>
          <w:insideV w:val="single" w:sz="8" w:space="0" w:color="5F5F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shd w:val="clear" w:color="auto" w:fill="D7D7D7" w:themeFill="accent5" w:themeFillTint="3F"/>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shd w:val="clear" w:color="auto" w:fill="D7D7D7" w:themeFill="accent5" w:themeFillTint="3F"/>
      </w:tcPr>
    </w:tblStylePr>
    <w:tblStylePr w:type="band2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tcPr>
    </w:tblStylePr>
  </w:style>
  <w:style w:type="table" w:styleId="LightGrid-Accent6">
    <w:name w:val="Light Grid Accent 6"/>
    <w:basedOn w:val="TableNormal"/>
    <w:uiPriority w:val="62"/>
    <w:semiHidden/>
    <w:rsid w:val="00FC1A1E"/>
    <w:rPr>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18" w:space="0" w:color="4D4D4D" w:themeColor="accent6"/>
          <w:right w:val="single" w:sz="8" w:space="0" w:color="4D4D4D" w:themeColor="accent6"/>
          <w:insideH w:val="nil"/>
          <w:insideV w:val="single" w:sz="8" w:space="0" w:color="4D4D4D"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insideH w:val="nil"/>
          <w:insideV w:val="single" w:sz="8" w:space="0" w:color="4D4D4D"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shd w:val="clear" w:color="auto" w:fill="D3D3D3" w:themeFill="accent6" w:themeFillTint="3F"/>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shd w:val="clear" w:color="auto" w:fill="D3D3D3" w:themeFill="accent6" w:themeFillTint="3F"/>
      </w:tcPr>
    </w:tblStylePr>
    <w:tblStylePr w:type="band2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tcPr>
    </w:tblStylePr>
  </w:style>
  <w:style w:type="table" w:styleId="LightList">
    <w:name w:val="Light List"/>
    <w:basedOn w:val="TableNormal"/>
    <w:uiPriority w:val="61"/>
    <w:semiHidden/>
    <w:rsid w:val="00FC1A1E"/>
    <w:rPr>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0072BC"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rsid w:val="00FC1A1E"/>
    <w:rPr>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tblBorders>
    </w:tblPr>
    <w:tblStylePr w:type="firstRow">
      <w:pPr>
        <w:spacing w:before="0" w:after="0" w:line="240" w:lineRule="auto"/>
      </w:pPr>
      <w:rPr>
        <w:b/>
        <w:bCs/>
        <w:color w:val="0072BC" w:themeColor="background1"/>
      </w:rPr>
      <w:tblPr/>
      <w:tcPr>
        <w:shd w:val="clear" w:color="auto" w:fill="0072BC" w:themeFill="accent1"/>
      </w:tcPr>
    </w:tblStylePr>
    <w:tblStylePr w:type="lastRow">
      <w:pPr>
        <w:spacing w:before="0" w:after="0" w:line="240" w:lineRule="auto"/>
      </w:pPr>
      <w:rPr>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tcBorders>
      </w:tcPr>
    </w:tblStylePr>
    <w:tblStylePr w:type="firstCol">
      <w:rPr>
        <w:b/>
        <w:bCs/>
      </w:rPr>
    </w:tblStylePr>
    <w:tblStylePr w:type="lastCol">
      <w:rPr>
        <w:b/>
        <w:bCs/>
      </w:r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style>
  <w:style w:type="table" w:styleId="LightList-Accent2">
    <w:name w:val="Light List Accent 2"/>
    <w:basedOn w:val="TableNormal"/>
    <w:uiPriority w:val="61"/>
    <w:semiHidden/>
    <w:rsid w:val="00FC1A1E"/>
    <w:rPr>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pPr>
        <w:spacing w:before="0" w:after="0" w:line="240" w:lineRule="auto"/>
      </w:pPr>
      <w:rPr>
        <w:b/>
        <w:bCs/>
        <w:color w:val="0072BC" w:themeColor="background1"/>
      </w:rPr>
      <w:tblPr/>
      <w:tcPr>
        <w:shd w:val="clear" w:color="auto" w:fill="C00000" w:themeFill="accent2"/>
      </w:tcPr>
    </w:tblStylePr>
    <w:tblStylePr w:type="lastRow">
      <w:pPr>
        <w:spacing w:before="0" w:after="0" w:line="240" w:lineRule="auto"/>
      </w:pPr>
      <w:rPr>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tcBorders>
      </w:tcPr>
    </w:tblStylePr>
    <w:tblStylePr w:type="firstCol">
      <w:rPr>
        <w:b/>
        <w:bCs/>
      </w:rPr>
    </w:tblStylePr>
    <w:tblStylePr w:type="lastCol">
      <w:rPr>
        <w:b/>
        <w:bCs/>
      </w:r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style>
  <w:style w:type="table" w:styleId="LightList-Accent3">
    <w:name w:val="Light List Accent 3"/>
    <w:basedOn w:val="TableNormal"/>
    <w:uiPriority w:val="61"/>
    <w:semiHidden/>
    <w:rsid w:val="00FC1A1E"/>
    <w:rPr>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tblBorders>
    </w:tblPr>
    <w:tblStylePr w:type="firstRow">
      <w:pPr>
        <w:spacing w:before="0" w:after="0" w:line="240" w:lineRule="auto"/>
      </w:pPr>
      <w:rPr>
        <w:b/>
        <w:bCs/>
        <w:color w:val="0072BC" w:themeColor="background1"/>
      </w:rPr>
      <w:tblPr/>
      <w:tcPr>
        <w:shd w:val="clear" w:color="auto" w:fill="5F5F5F" w:themeFill="accent3"/>
      </w:tcPr>
    </w:tblStylePr>
    <w:tblStylePr w:type="lastRow">
      <w:pPr>
        <w:spacing w:before="0" w:after="0" w:line="240" w:lineRule="auto"/>
      </w:pPr>
      <w:rPr>
        <w:b/>
        <w:bCs/>
      </w:rPr>
      <w:tblPr/>
      <w:tcPr>
        <w:tcBorders>
          <w:top w:val="double" w:sz="6" w:space="0" w:color="5F5F5F" w:themeColor="accent3"/>
          <w:left w:val="single" w:sz="8" w:space="0" w:color="5F5F5F" w:themeColor="accent3"/>
          <w:bottom w:val="single" w:sz="8" w:space="0" w:color="5F5F5F" w:themeColor="accent3"/>
          <w:right w:val="single" w:sz="8" w:space="0" w:color="5F5F5F" w:themeColor="accent3"/>
        </w:tcBorders>
      </w:tcPr>
    </w:tblStylePr>
    <w:tblStylePr w:type="firstCol">
      <w:rPr>
        <w:b/>
        <w:bCs/>
      </w:rPr>
    </w:tblStylePr>
    <w:tblStylePr w:type="lastCol">
      <w:rPr>
        <w:b/>
        <w:bCs/>
      </w:rPr>
    </w:tblStylePr>
    <w:tblStylePr w:type="band1Vert">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tblStylePr w:type="band1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style>
  <w:style w:type="table" w:styleId="LightList-Accent4">
    <w:name w:val="Light List Accent 4"/>
    <w:basedOn w:val="TableNormal"/>
    <w:uiPriority w:val="61"/>
    <w:semiHidden/>
    <w:rsid w:val="00FC1A1E"/>
    <w:rPr>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tblBorders>
    </w:tblPr>
    <w:tblStylePr w:type="firstRow">
      <w:pPr>
        <w:spacing w:before="0" w:after="0" w:line="240" w:lineRule="auto"/>
      </w:pPr>
      <w:rPr>
        <w:b/>
        <w:bCs/>
        <w:color w:val="0072BC" w:themeColor="background1"/>
      </w:rPr>
      <w:tblPr/>
      <w:tcPr>
        <w:shd w:val="clear" w:color="auto" w:fill="969696" w:themeFill="accent4"/>
      </w:tcPr>
    </w:tblStylePr>
    <w:tblStylePr w:type="lastRow">
      <w:pPr>
        <w:spacing w:before="0" w:after="0" w:line="240" w:lineRule="auto"/>
      </w:pPr>
      <w:rPr>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tcBorders>
      </w:tcPr>
    </w:tblStylePr>
    <w:tblStylePr w:type="firstCol">
      <w:rPr>
        <w:b/>
        <w:bCs/>
      </w:rPr>
    </w:tblStylePr>
    <w:tblStylePr w:type="lastCol">
      <w:rPr>
        <w:b/>
        <w:bCs/>
      </w:r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style>
  <w:style w:type="table" w:styleId="LightList-Accent5">
    <w:name w:val="Light List Accent 5"/>
    <w:basedOn w:val="TableNormal"/>
    <w:uiPriority w:val="61"/>
    <w:semiHidden/>
    <w:rsid w:val="00FC1A1E"/>
    <w:rPr>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pPr>
        <w:spacing w:before="0" w:after="0" w:line="240" w:lineRule="auto"/>
      </w:pPr>
      <w:rPr>
        <w:b/>
        <w:bCs/>
        <w:color w:val="0072BC" w:themeColor="background1"/>
      </w:rPr>
      <w:tblPr/>
      <w:tcPr>
        <w:shd w:val="clear" w:color="auto" w:fill="5F5F5F" w:themeFill="accent5"/>
      </w:tcPr>
    </w:tblStylePr>
    <w:tblStylePr w:type="lastRow">
      <w:pPr>
        <w:spacing w:before="0" w:after="0" w:line="240" w:lineRule="auto"/>
      </w:pPr>
      <w:rPr>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tcBorders>
      </w:tcPr>
    </w:tblStylePr>
    <w:tblStylePr w:type="firstCol">
      <w:rPr>
        <w:b/>
        <w:bCs/>
      </w:rPr>
    </w:tblStylePr>
    <w:tblStylePr w:type="lastCol">
      <w:rPr>
        <w:b/>
        <w:bCs/>
      </w:r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style>
  <w:style w:type="table" w:styleId="LightList-Accent6">
    <w:name w:val="Light List Accent 6"/>
    <w:basedOn w:val="TableNormal"/>
    <w:uiPriority w:val="61"/>
    <w:semiHidden/>
    <w:rsid w:val="00FC1A1E"/>
    <w:rPr>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pPr>
        <w:spacing w:before="0" w:after="0" w:line="240" w:lineRule="auto"/>
      </w:pPr>
      <w:rPr>
        <w:b/>
        <w:bCs/>
        <w:color w:val="0072BC" w:themeColor="background1"/>
      </w:rPr>
      <w:tblPr/>
      <w:tcPr>
        <w:shd w:val="clear" w:color="auto" w:fill="4D4D4D" w:themeFill="accent6"/>
      </w:tcPr>
    </w:tblStylePr>
    <w:tblStylePr w:type="lastRow">
      <w:pPr>
        <w:spacing w:before="0" w:after="0" w:line="240" w:lineRule="auto"/>
      </w:pPr>
      <w:rPr>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tcBorders>
      </w:tcPr>
    </w:tblStylePr>
    <w:tblStylePr w:type="firstCol">
      <w:rPr>
        <w:b/>
        <w:bCs/>
      </w:rPr>
    </w:tblStylePr>
    <w:tblStylePr w:type="lastCol">
      <w:rPr>
        <w:b/>
        <w:bCs/>
      </w:r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style>
  <w:style w:type="table" w:styleId="LightShading">
    <w:name w:val="Light Shading"/>
    <w:basedOn w:val="TableNormal"/>
    <w:uiPriority w:val="60"/>
    <w:semiHidden/>
    <w:rsid w:val="00FC1A1E"/>
    <w:rPr>
      <w:color w:val="000000" w:themeColor="text1" w:themeShade="BF"/>
      <w:sz w:val="24"/>
      <w:szCs w:val="24"/>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rsid w:val="00FC1A1E"/>
    <w:rPr>
      <w:color w:val="00548C" w:themeColor="accent1" w:themeShade="BF"/>
      <w:sz w:val="24"/>
      <w:szCs w:val="24"/>
    </w:rPr>
    <w:tblPr>
      <w:tblStyleRowBandSize w:val="1"/>
      <w:tblStyleColBandSize w:val="1"/>
      <w:tblBorders>
        <w:top w:val="single" w:sz="8" w:space="0" w:color="0072BC" w:themeColor="accent1"/>
        <w:bottom w:val="single" w:sz="8" w:space="0" w:color="0072BC" w:themeColor="accent1"/>
      </w:tblBorders>
    </w:tblPr>
    <w:tblStylePr w:type="fir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la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left w:val="nil"/>
          <w:right w:val="nil"/>
          <w:insideH w:val="nil"/>
          <w:insideV w:val="nil"/>
        </w:tcBorders>
        <w:shd w:val="clear" w:color="auto" w:fill="AFDFFF" w:themeFill="accent1" w:themeFillTint="3F"/>
      </w:tcPr>
    </w:tblStylePr>
  </w:style>
  <w:style w:type="table" w:styleId="LightShading-Accent2">
    <w:name w:val="Light Shading Accent 2"/>
    <w:basedOn w:val="TableNormal"/>
    <w:uiPriority w:val="60"/>
    <w:semiHidden/>
    <w:rsid w:val="00FC1A1E"/>
    <w:rPr>
      <w:color w:val="8F0000" w:themeColor="accent2" w:themeShade="BF"/>
      <w:sz w:val="24"/>
      <w:szCs w:val="24"/>
    </w:rPr>
    <w:tblPr>
      <w:tblStyleRowBandSize w:val="1"/>
      <w:tblStyleColBandSize w:val="1"/>
      <w:tblBorders>
        <w:top w:val="single" w:sz="8" w:space="0" w:color="C00000" w:themeColor="accent2"/>
        <w:bottom w:val="single" w:sz="8" w:space="0" w:color="C00000" w:themeColor="accent2"/>
      </w:tblBorders>
    </w:tblPr>
    <w:tblStylePr w:type="fir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la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left w:val="nil"/>
          <w:right w:val="nil"/>
          <w:insideH w:val="nil"/>
          <w:insideV w:val="nil"/>
        </w:tcBorders>
        <w:shd w:val="clear" w:color="auto" w:fill="FFB0B0" w:themeFill="accent2" w:themeFillTint="3F"/>
      </w:tcPr>
    </w:tblStylePr>
  </w:style>
  <w:style w:type="table" w:styleId="LightShading-Accent3">
    <w:name w:val="Light Shading Accent 3"/>
    <w:basedOn w:val="TableNormal"/>
    <w:uiPriority w:val="60"/>
    <w:semiHidden/>
    <w:rsid w:val="00FC1A1E"/>
    <w:rPr>
      <w:color w:val="474747" w:themeColor="accent3" w:themeShade="BF"/>
      <w:sz w:val="24"/>
      <w:szCs w:val="24"/>
    </w:rPr>
    <w:tblPr>
      <w:tblStyleRowBandSize w:val="1"/>
      <w:tblStyleColBandSize w:val="1"/>
      <w:tblBorders>
        <w:top w:val="single" w:sz="8" w:space="0" w:color="5F5F5F" w:themeColor="accent3"/>
        <w:bottom w:val="single" w:sz="8" w:space="0" w:color="5F5F5F" w:themeColor="accent3"/>
      </w:tblBorders>
    </w:tblPr>
    <w:tblStylePr w:type="firstRow">
      <w:pPr>
        <w:spacing w:before="0" w:after="0" w:line="240" w:lineRule="auto"/>
      </w:pPr>
      <w:rPr>
        <w:b/>
        <w:bCs/>
      </w:rPr>
      <w:tblPr/>
      <w:tcPr>
        <w:tcBorders>
          <w:top w:val="single" w:sz="8" w:space="0" w:color="5F5F5F" w:themeColor="accent3"/>
          <w:left w:val="nil"/>
          <w:bottom w:val="single" w:sz="8" w:space="0" w:color="5F5F5F" w:themeColor="accent3"/>
          <w:right w:val="nil"/>
          <w:insideH w:val="nil"/>
          <w:insideV w:val="nil"/>
        </w:tcBorders>
      </w:tcPr>
    </w:tblStylePr>
    <w:tblStylePr w:type="lastRow">
      <w:pPr>
        <w:spacing w:before="0" w:after="0" w:line="240" w:lineRule="auto"/>
      </w:pPr>
      <w:rPr>
        <w:b/>
        <w:bCs/>
      </w:rPr>
      <w:tblPr/>
      <w:tcPr>
        <w:tcBorders>
          <w:top w:val="single" w:sz="8" w:space="0" w:color="5F5F5F" w:themeColor="accent3"/>
          <w:left w:val="nil"/>
          <w:bottom w:val="single" w:sz="8" w:space="0" w:color="5F5F5F"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3" w:themeFillTint="3F"/>
      </w:tcPr>
    </w:tblStylePr>
    <w:tblStylePr w:type="band1Horz">
      <w:tblPr/>
      <w:tcPr>
        <w:tcBorders>
          <w:left w:val="nil"/>
          <w:right w:val="nil"/>
          <w:insideH w:val="nil"/>
          <w:insideV w:val="nil"/>
        </w:tcBorders>
        <w:shd w:val="clear" w:color="auto" w:fill="D7D7D7" w:themeFill="accent3" w:themeFillTint="3F"/>
      </w:tcPr>
    </w:tblStylePr>
  </w:style>
  <w:style w:type="table" w:styleId="LightShading-Accent4">
    <w:name w:val="Light Shading Accent 4"/>
    <w:basedOn w:val="TableNormal"/>
    <w:uiPriority w:val="60"/>
    <w:semiHidden/>
    <w:rsid w:val="00FC1A1E"/>
    <w:rPr>
      <w:color w:val="707070" w:themeColor="accent4" w:themeShade="BF"/>
      <w:sz w:val="24"/>
      <w:szCs w:val="24"/>
    </w:rPr>
    <w:tblPr>
      <w:tblStyleRowBandSize w:val="1"/>
      <w:tblStyleColBandSize w:val="1"/>
      <w:tblBorders>
        <w:top w:val="single" w:sz="8" w:space="0" w:color="969696" w:themeColor="accent4"/>
        <w:bottom w:val="single" w:sz="8" w:space="0" w:color="969696" w:themeColor="accent4"/>
      </w:tblBorders>
    </w:tblPr>
    <w:tblStylePr w:type="fir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la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left w:val="nil"/>
          <w:right w:val="nil"/>
          <w:insideH w:val="nil"/>
          <w:insideV w:val="nil"/>
        </w:tcBorders>
        <w:shd w:val="clear" w:color="auto" w:fill="E5E5E5" w:themeFill="accent4" w:themeFillTint="3F"/>
      </w:tcPr>
    </w:tblStylePr>
  </w:style>
  <w:style w:type="table" w:styleId="LightShading-Accent5">
    <w:name w:val="Light Shading Accent 5"/>
    <w:basedOn w:val="TableNormal"/>
    <w:uiPriority w:val="60"/>
    <w:semiHidden/>
    <w:rsid w:val="00FC1A1E"/>
    <w:rPr>
      <w:color w:val="474747" w:themeColor="accent5" w:themeShade="BF"/>
      <w:sz w:val="24"/>
      <w:szCs w:val="24"/>
    </w:rPr>
    <w:tblPr>
      <w:tblStyleRowBandSize w:val="1"/>
      <w:tblStyleColBandSize w:val="1"/>
      <w:tblBorders>
        <w:top w:val="single" w:sz="8" w:space="0" w:color="5F5F5F" w:themeColor="accent5"/>
        <w:bottom w:val="single" w:sz="8" w:space="0" w:color="5F5F5F" w:themeColor="accent5"/>
      </w:tblBorders>
    </w:tblPr>
    <w:tblStylePr w:type="fir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la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left w:val="nil"/>
          <w:right w:val="nil"/>
          <w:insideH w:val="nil"/>
          <w:insideV w:val="nil"/>
        </w:tcBorders>
        <w:shd w:val="clear" w:color="auto" w:fill="D7D7D7" w:themeFill="accent5" w:themeFillTint="3F"/>
      </w:tcPr>
    </w:tblStylePr>
  </w:style>
  <w:style w:type="table" w:styleId="LightShading-Accent6">
    <w:name w:val="Light Shading Accent 6"/>
    <w:basedOn w:val="TableNormal"/>
    <w:uiPriority w:val="60"/>
    <w:semiHidden/>
    <w:rsid w:val="00FC1A1E"/>
    <w:rPr>
      <w:color w:val="393939" w:themeColor="accent6" w:themeShade="BF"/>
      <w:sz w:val="24"/>
      <w:szCs w:val="24"/>
    </w:rPr>
    <w:tblPr>
      <w:tblStyleRowBandSize w:val="1"/>
      <w:tblStyleColBandSize w:val="1"/>
      <w:tblBorders>
        <w:top w:val="single" w:sz="8" w:space="0" w:color="4D4D4D" w:themeColor="accent6"/>
        <w:bottom w:val="single" w:sz="8" w:space="0" w:color="4D4D4D" w:themeColor="accent6"/>
      </w:tblBorders>
    </w:tblPr>
    <w:tblStylePr w:type="fir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la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left w:val="nil"/>
          <w:right w:val="nil"/>
          <w:insideH w:val="nil"/>
          <w:insideV w:val="nil"/>
        </w:tcBorders>
        <w:shd w:val="clear" w:color="auto" w:fill="D3D3D3" w:themeFill="accent6" w:themeFillTint="3F"/>
      </w:tcPr>
    </w:tblStylePr>
  </w:style>
  <w:style w:type="character" w:styleId="LineNumber">
    <w:name w:val="line number"/>
    <w:basedOn w:val="DefaultParagraphFont"/>
    <w:uiPriority w:val="98"/>
    <w:semiHidden/>
    <w:rsid w:val="00FC1A1E"/>
  </w:style>
  <w:style w:type="paragraph" w:styleId="List">
    <w:name w:val="List"/>
    <w:basedOn w:val="Normal"/>
    <w:uiPriority w:val="98"/>
    <w:semiHidden/>
    <w:rsid w:val="00FC1A1E"/>
    <w:pPr>
      <w:ind w:left="283" w:hanging="283"/>
      <w:contextualSpacing/>
    </w:pPr>
  </w:style>
  <w:style w:type="paragraph" w:styleId="List2">
    <w:name w:val="List 2"/>
    <w:basedOn w:val="Normal"/>
    <w:uiPriority w:val="98"/>
    <w:semiHidden/>
    <w:rsid w:val="00FC1A1E"/>
    <w:pPr>
      <w:ind w:left="566" w:hanging="283"/>
      <w:contextualSpacing/>
    </w:pPr>
  </w:style>
  <w:style w:type="paragraph" w:styleId="List3">
    <w:name w:val="List 3"/>
    <w:basedOn w:val="Normal"/>
    <w:uiPriority w:val="98"/>
    <w:semiHidden/>
    <w:rsid w:val="00FC1A1E"/>
    <w:pPr>
      <w:ind w:left="849" w:hanging="283"/>
      <w:contextualSpacing/>
    </w:pPr>
  </w:style>
  <w:style w:type="paragraph" w:styleId="List4">
    <w:name w:val="List 4"/>
    <w:basedOn w:val="Normal"/>
    <w:uiPriority w:val="98"/>
    <w:semiHidden/>
    <w:rsid w:val="00FC1A1E"/>
    <w:pPr>
      <w:ind w:left="1132" w:hanging="283"/>
      <w:contextualSpacing/>
    </w:pPr>
  </w:style>
  <w:style w:type="paragraph" w:styleId="List5">
    <w:name w:val="List 5"/>
    <w:basedOn w:val="Normal"/>
    <w:uiPriority w:val="98"/>
    <w:semiHidden/>
    <w:rsid w:val="00FC1A1E"/>
    <w:pPr>
      <w:ind w:left="1415" w:hanging="283"/>
      <w:contextualSpacing/>
    </w:pPr>
  </w:style>
  <w:style w:type="paragraph" w:styleId="ListBullet">
    <w:name w:val="List Bullet"/>
    <w:basedOn w:val="Normal"/>
    <w:uiPriority w:val="98"/>
    <w:semiHidden/>
    <w:rsid w:val="00FC1A1E"/>
    <w:pPr>
      <w:numPr>
        <w:numId w:val="4"/>
      </w:numPr>
    </w:pPr>
  </w:style>
  <w:style w:type="paragraph" w:styleId="ListBullet4">
    <w:name w:val="List Bullet 4"/>
    <w:basedOn w:val="Normal"/>
    <w:uiPriority w:val="98"/>
    <w:semiHidden/>
    <w:rsid w:val="00FC1A1E"/>
    <w:pPr>
      <w:numPr>
        <w:numId w:val="7"/>
      </w:numPr>
      <w:contextualSpacing/>
    </w:pPr>
  </w:style>
  <w:style w:type="paragraph" w:styleId="ListBullet5">
    <w:name w:val="List Bullet 5"/>
    <w:basedOn w:val="Normal"/>
    <w:uiPriority w:val="98"/>
    <w:semiHidden/>
    <w:rsid w:val="00FC1A1E"/>
    <w:pPr>
      <w:numPr>
        <w:numId w:val="8"/>
      </w:numPr>
      <w:contextualSpacing/>
    </w:pPr>
  </w:style>
  <w:style w:type="paragraph" w:styleId="ListContinue">
    <w:name w:val="List Continue"/>
    <w:basedOn w:val="Normal"/>
    <w:uiPriority w:val="98"/>
    <w:semiHidden/>
    <w:rsid w:val="00FC1A1E"/>
    <w:pPr>
      <w:spacing w:after="120"/>
      <w:ind w:left="283"/>
      <w:contextualSpacing/>
    </w:pPr>
  </w:style>
  <w:style w:type="paragraph" w:styleId="ListContinue2">
    <w:name w:val="List Continue 2"/>
    <w:basedOn w:val="Normal"/>
    <w:uiPriority w:val="98"/>
    <w:semiHidden/>
    <w:rsid w:val="00FC1A1E"/>
    <w:pPr>
      <w:spacing w:after="120"/>
      <w:ind w:left="566"/>
      <w:contextualSpacing/>
    </w:pPr>
  </w:style>
  <w:style w:type="paragraph" w:styleId="ListContinue3">
    <w:name w:val="List Continue 3"/>
    <w:basedOn w:val="Normal"/>
    <w:uiPriority w:val="98"/>
    <w:semiHidden/>
    <w:rsid w:val="00FC1A1E"/>
    <w:pPr>
      <w:spacing w:after="120"/>
      <w:ind w:left="849"/>
      <w:contextualSpacing/>
    </w:pPr>
  </w:style>
  <w:style w:type="paragraph" w:styleId="ListContinue4">
    <w:name w:val="List Continue 4"/>
    <w:basedOn w:val="Normal"/>
    <w:uiPriority w:val="98"/>
    <w:semiHidden/>
    <w:rsid w:val="00FC1A1E"/>
    <w:pPr>
      <w:spacing w:after="120"/>
      <w:ind w:left="1132"/>
      <w:contextualSpacing/>
    </w:pPr>
  </w:style>
  <w:style w:type="paragraph" w:styleId="ListContinue5">
    <w:name w:val="List Continue 5"/>
    <w:basedOn w:val="Normal"/>
    <w:uiPriority w:val="98"/>
    <w:semiHidden/>
    <w:rsid w:val="00FC1A1E"/>
    <w:pPr>
      <w:spacing w:after="120"/>
      <w:ind w:left="1415"/>
      <w:contextualSpacing/>
    </w:pPr>
  </w:style>
  <w:style w:type="paragraph" w:styleId="ListNumber">
    <w:name w:val="List Number"/>
    <w:basedOn w:val="Normal"/>
    <w:uiPriority w:val="98"/>
    <w:semiHidden/>
    <w:rsid w:val="00FC1A1E"/>
    <w:pPr>
      <w:numPr>
        <w:numId w:val="9"/>
      </w:numPr>
      <w:contextualSpacing/>
    </w:pPr>
  </w:style>
  <w:style w:type="paragraph" w:styleId="ListNumber2">
    <w:name w:val="List Number 2"/>
    <w:basedOn w:val="Normal"/>
    <w:uiPriority w:val="98"/>
    <w:semiHidden/>
    <w:rsid w:val="00FC1A1E"/>
    <w:pPr>
      <w:numPr>
        <w:numId w:val="10"/>
      </w:numPr>
      <w:contextualSpacing/>
    </w:pPr>
  </w:style>
  <w:style w:type="paragraph" w:styleId="ListNumber3">
    <w:name w:val="List Number 3"/>
    <w:basedOn w:val="Normal"/>
    <w:uiPriority w:val="98"/>
    <w:semiHidden/>
    <w:rsid w:val="00FC1A1E"/>
    <w:pPr>
      <w:numPr>
        <w:numId w:val="11"/>
      </w:numPr>
      <w:contextualSpacing/>
    </w:pPr>
  </w:style>
  <w:style w:type="paragraph" w:styleId="ListNumber4">
    <w:name w:val="List Number 4"/>
    <w:basedOn w:val="Normal"/>
    <w:uiPriority w:val="98"/>
    <w:semiHidden/>
    <w:rsid w:val="00FC1A1E"/>
    <w:pPr>
      <w:numPr>
        <w:numId w:val="12"/>
      </w:numPr>
      <w:contextualSpacing/>
    </w:pPr>
  </w:style>
  <w:style w:type="paragraph" w:styleId="ListNumber5">
    <w:name w:val="List Number 5"/>
    <w:basedOn w:val="Normal"/>
    <w:uiPriority w:val="98"/>
    <w:semiHidden/>
    <w:rsid w:val="00FC1A1E"/>
    <w:pPr>
      <w:numPr>
        <w:numId w:val="13"/>
      </w:numPr>
      <w:contextualSpacing/>
    </w:pPr>
  </w:style>
  <w:style w:type="paragraph" w:styleId="MacroText">
    <w:name w:val="macro"/>
    <w:link w:val="MacroTextChar"/>
    <w:uiPriority w:val="98"/>
    <w:semiHidden/>
    <w:rsid w:val="00FC1A1E"/>
    <w:pPr>
      <w:tabs>
        <w:tab w:val="left" w:pos="480"/>
        <w:tab w:val="left" w:pos="960"/>
        <w:tab w:val="left" w:pos="1440"/>
        <w:tab w:val="left" w:pos="1920"/>
        <w:tab w:val="left" w:pos="2400"/>
        <w:tab w:val="left" w:pos="2880"/>
        <w:tab w:val="left" w:pos="3360"/>
        <w:tab w:val="left" w:pos="3840"/>
        <w:tab w:val="left" w:pos="4320"/>
      </w:tabs>
      <w:jc w:val="both"/>
    </w:pPr>
    <w:rPr>
      <w:rFonts w:ascii="Consolas" w:eastAsiaTheme="minorEastAsia" w:hAnsi="Consolas" w:cs="Consolas"/>
      <w:sz w:val="20"/>
      <w:szCs w:val="20"/>
    </w:rPr>
  </w:style>
  <w:style w:type="character" w:customStyle="1" w:styleId="MacroTextChar">
    <w:name w:val="Macro Text Char"/>
    <w:basedOn w:val="DefaultParagraphFont"/>
    <w:link w:val="MacroText"/>
    <w:uiPriority w:val="98"/>
    <w:semiHidden/>
    <w:rsid w:val="00FC1A1E"/>
    <w:rPr>
      <w:rFonts w:ascii="Consolas" w:eastAsiaTheme="minorEastAsia" w:hAnsi="Consolas" w:cs="Consolas"/>
      <w:sz w:val="20"/>
      <w:szCs w:val="20"/>
    </w:rPr>
  </w:style>
  <w:style w:type="table" w:styleId="MediumGrid1">
    <w:name w:val="Medium Grid 1"/>
    <w:basedOn w:val="TableNormal"/>
    <w:uiPriority w:val="67"/>
    <w:semiHidden/>
    <w:rsid w:val="00FC1A1E"/>
    <w:rPr>
      <w:sz w:val="24"/>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rsid w:val="00FC1A1E"/>
    <w:rPr>
      <w:sz w:val="24"/>
      <w:szCs w:val="24"/>
    </w:rPr>
    <w:tblPr>
      <w:tblStyleRowBandSize w:val="1"/>
      <w:tblStyleColBandSize w:val="1"/>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insideV w:val="single" w:sz="8" w:space="0" w:color="0D9FFF" w:themeColor="accent1" w:themeTint="BF"/>
      </w:tblBorders>
    </w:tblPr>
    <w:tcPr>
      <w:shd w:val="clear" w:color="auto" w:fill="AFDFFF" w:themeFill="accent1" w:themeFillTint="3F"/>
    </w:tcPr>
    <w:tblStylePr w:type="firstRow">
      <w:rPr>
        <w:b/>
        <w:bCs/>
      </w:rPr>
    </w:tblStylePr>
    <w:tblStylePr w:type="lastRow">
      <w:rPr>
        <w:b/>
        <w:bCs/>
      </w:rPr>
      <w:tblPr/>
      <w:tcPr>
        <w:tcBorders>
          <w:top w:val="single" w:sz="18" w:space="0" w:color="0D9FFF" w:themeColor="accent1" w:themeTint="BF"/>
        </w:tcBorders>
      </w:tcPr>
    </w:tblStylePr>
    <w:tblStylePr w:type="firstCol">
      <w:rPr>
        <w:b/>
        <w:bCs/>
      </w:rPr>
    </w:tblStylePr>
    <w:tblStylePr w:type="lastCol">
      <w:rPr>
        <w:b/>
        <w:bCs/>
      </w:r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MediumGrid1-Accent2">
    <w:name w:val="Medium Grid 1 Accent 2"/>
    <w:basedOn w:val="TableNormal"/>
    <w:uiPriority w:val="67"/>
    <w:semiHidden/>
    <w:rsid w:val="00FC1A1E"/>
    <w:rPr>
      <w:sz w:val="24"/>
      <w:szCs w:val="24"/>
    </w:rPr>
    <w:tblPr>
      <w:tblStyleRowBandSize w:val="1"/>
      <w:tblStyleColBandSize w:val="1"/>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insideV w:val="single" w:sz="8" w:space="0" w:color="FF1010" w:themeColor="accent2" w:themeTint="BF"/>
      </w:tblBorders>
    </w:tblPr>
    <w:tcPr>
      <w:shd w:val="clear" w:color="auto" w:fill="FFB0B0" w:themeFill="accent2" w:themeFillTint="3F"/>
    </w:tcPr>
    <w:tblStylePr w:type="firstRow">
      <w:rPr>
        <w:b/>
        <w:bCs/>
      </w:rPr>
    </w:tblStylePr>
    <w:tblStylePr w:type="lastRow">
      <w:rPr>
        <w:b/>
        <w:bCs/>
      </w:rPr>
      <w:tblPr/>
      <w:tcPr>
        <w:tcBorders>
          <w:top w:val="single" w:sz="18" w:space="0" w:color="FF1010" w:themeColor="accent2" w:themeTint="BF"/>
        </w:tcBorders>
      </w:tcPr>
    </w:tblStylePr>
    <w:tblStylePr w:type="firstCol">
      <w:rPr>
        <w:b/>
        <w:bCs/>
      </w:rPr>
    </w:tblStylePr>
    <w:tblStylePr w:type="lastCol">
      <w:rPr>
        <w:b/>
        <w:bCs/>
      </w:r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MediumGrid1-Accent3">
    <w:name w:val="Medium Grid 1 Accent 3"/>
    <w:basedOn w:val="TableNormal"/>
    <w:uiPriority w:val="67"/>
    <w:semiHidden/>
    <w:rsid w:val="00FC1A1E"/>
    <w:rPr>
      <w:sz w:val="24"/>
      <w:szCs w:val="24"/>
    </w:rPr>
    <w:tblPr>
      <w:tblStyleRowBandSize w:val="1"/>
      <w:tblStyleColBandSize w:val="1"/>
      <w:tbl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single" w:sz="8" w:space="0" w:color="878787" w:themeColor="accent3" w:themeTint="BF"/>
        <w:insideV w:val="single" w:sz="8" w:space="0" w:color="878787" w:themeColor="accent3" w:themeTint="BF"/>
      </w:tblBorders>
    </w:tblPr>
    <w:tcPr>
      <w:shd w:val="clear" w:color="auto" w:fill="D7D7D7" w:themeFill="accent3" w:themeFillTint="3F"/>
    </w:tcPr>
    <w:tblStylePr w:type="firstRow">
      <w:rPr>
        <w:b/>
        <w:bCs/>
      </w:rPr>
    </w:tblStylePr>
    <w:tblStylePr w:type="lastRow">
      <w:rPr>
        <w:b/>
        <w:bCs/>
      </w:rPr>
      <w:tblPr/>
      <w:tcPr>
        <w:tcBorders>
          <w:top w:val="single" w:sz="18" w:space="0" w:color="878787" w:themeColor="accent3" w:themeTint="BF"/>
        </w:tcBorders>
      </w:tcPr>
    </w:tblStylePr>
    <w:tblStylePr w:type="firstCol">
      <w:rPr>
        <w:b/>
        <w:bCs/>
      </w:rPr>
    </w:tblStylePr>
    <w:tblStylePr w:type="lastCol">
      <w:rPr>
        <w:b/>
        <w:bCs/>
      </w:rPr>
    </w:tblStylePr>
    <w:tblStylePr w:type="band1Vert">
      <w:tblPr/>
      <w:tcPr>
        <w:shd w:val="clear" w:color="auto" w:fill="AFAFAF" w:themeFill="accent3" w:themeFillTint="7F"/>
      </w:tcPr>
    </w:tblStylePr>
    <w:tblStylePr w:type="band1Horz">
      <w:tblPr/>
      <w:tcPr>
        <w:shd w:val="clear" w:color="auto" w:fill="AFAFAF" w:themeFill="accent3" w:themeFillTint="7F"/>
      </w:tcPr>
    </w:tblStylePr>
  </w:style>
  <w:style w:type="table" w:styleId="MediumGrid1-Accent4">
    <w:name w:val="Medium Grid 1 Accent 4"/>
    <w:basedOn w:val="TableNormal"/>
    <w:uiPriority w:val="67"/>
    <w:semiHidden/>
    <w:rsid w:val="00FC1A1E"/>
    <w:rPr>
      <w:sz w:val="24"/>
      <w:szCs w:val="24"/>
    </w:rPr>
    <w:tblPr>
      <w:tblStyleRowBandSize w:val="1"/>
      <w:tblStyleColBandSize w:val="1"/>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insideV w:val="single" w:sz="8" w:space="0" w:color="B0B0B0" w:themeColor="accent4" w:themeTint="BF"/>
      </w:tblBorders>
    </w:tblPr>
    <w:tcPr>
      <w:shd w:val="clear" w:color="auto" w:fill="E5E5E5" w:themeFill="accent4" w:themeFillTint="3F"/>
    </w:tcPr>
    <w:tblStylePr w:type="firstRow">
      <w:rPr>
        <w:b/>
        <w:bCs/>
      </w:rPr>
    </w:tblStylePr>
    <w:tblStylePr w:type="lastRow">
      <w:rPr>
        <w:b/>
        <w:bCs/>
      </w:rPr>
      <w:tblPr/>
      <w:tcPr>
        <w:tcBorders>
          <w:top w:val="single" w:sz="18" w:space="0" w:color="B0B0B0" w:themeColor="accent4" w:themeTint="BF"/>
        </w:tcBorders>
      </w:tcPr>
    </w:tblStylePr>
    <w:tblStylePr w:type="firstCol">
      <w:rPr>
        <w:b/>
        <w:bCs/>
      </w:rPr>
    </w:tblStylePr>
    <w:tblStylePr w:type="lastCol">
      <w:rPr>
        <w:b/>
        <w:bCs/>
      </w:r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MediumGrid1-Accent5">
    <w:name w:val="Medium Grid 1 Accent 5"/>
    <w:basedOn w:val="TableNormal"/>
    <w:uiPriority w:val="67"/>
    <w:semiHidden/>
    <w:rsid w:val="00FC1A1E"/>
    <w:rPr>
      <w:sz w:val="24"/>
      <w:szCs w:val="24"/>
    </w:rPr>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insideV w:val="single" w:sz="8" w:space="0" w:color="878787" w:themeColor="accent5" w:themeTint="BF"/>
      </w:tblBorders>
    </w:tblPr>
    <w:tcPr>
      <w:shd w:val="clear" w:color="auto" w:fill="D7D7D7" w:themeFill="accent5" w:themeFillTint="3F"/>
    </w:tcPr>
    <w:tblStylePr w:type="firstRow">
      <w:rPr>
        <w:b/>
        <w:bCs/>
      </w:rPr>
    </w:tblStylePr>
    <w:tblStylePr w:type="lastRow">
      <w:rPr>
        <w:b/>
        <w:bCs/>
      </w:rPr>
      <w:tblPr/>
      <w:tcPr>
        <w:tcBorders>
          <w:top w:val="single" w:sz="18" w:space="0" w:color="878787" w:themeColor="accent5" w:themeTint="BF"/>
        </w:tcBorders>
      </w:tcPr>
    </w:tblStylePr>
    <w:tblStylePr w:type="firstCol">
      <w:rPr>
        <w:b/>
        <w:bCs/>
      </w:rPr>
    </w:tblStylePr>
    <w:tblStylePr w:type="lastCol">
      <w:rPr>
        <w:b/>
        <w:bCs/>
      </w:r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MediumGrid1-Accent6">
    <w:name w:val="Medium Grid 1 Accent 6"/>
    <w:basedOn w:val="TableNormal"/>
    <w:uiPriority w:val="67"/>
    <w:semiHidden/>
    <w:rsid w:val="00FC1A1E"/>
    <w:rPr>
      <w:sz w:val="24"/>
      <w:szCs w:val="24"/>
    </w:rPr>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insideV w:val="single" w:sz="8" w:space="0" w:color="797979" w:themeColor="accent6" w:themeTint="BF"/>
      </w:tblBorders>
    </w:tblPr>
    <w:tcPr>
      <w:shd w:val="clear" w:color="auto" w:fill="D3D3D3" w:themeFill="accent6" w:themeFillTint="3F"/>
    </w:tcPr>
    <w:tblStylePr w:type="firstRow">
      <w:rPr>
        <w:b/>
        <w:bCs/>
      </w:rPr>
    </w:tblStylePr>
    <w:tblStylePr w:type="lastRow">
      <w:rPr>
        <w:b/>
        <w:bCs/>
      </w:rPr>
      <w:tblPr/>
      <w:tcPr>
        <w:tcBorders>
          <w:top w:val="single" w:sz="18" w:space="0" w:color="797979" w:themeColor="accent6" w:themeTint="BF"/>
        </w:tcBorders>
      </w:tcPr>
    </w:tblStylePr>
    <w:tblStylePr w:type="firstCol">
      <w:rPr>
        <w:b/>
        <w:bCs/>
      </w:rPr>
    </w:tblStylePr>
    <w:tblStylePr w:type="lastCol">
      <w:rPr>
        <w:b/>
        <w:bCs/>
      </w:r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MediumGrid2">
    <w:name w:val="Medium Grid 2"/>
    <w:basedOn w:val="TableNormal"/>
    <w:uiPriority w:val="68"/>
    <w:semiHidden/>
    <w:rsid w:val="00FC1A1E"/>
    <w:rPr>
      <w:rFonts w:asciiTheme="majorHAnsi" w:eastAsiaTheme="majorEastAsia" w:hAnsiTheme="majorHAnsi" w:cstheme="majorBidi"/>
      <w:color w:val="000000" w:themeColor="text1"/>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0072BC" w:themeFill="background1"/>
      </w:tcPr>
    </w:tblStylePr>
  </w:style>
  <w:style w:type="table" w:styleId="MediumGrid2-Accent1">
    <w:name w:val="Medium Grid 2 Accent 1"/>
    <w:basedOn w:val="TableNormal"/>
    <w:uiPriority w:val="68"/>
    <w:semiHidden/>
    <w:rsid w:val="00FC1A1E"/>
    <w:rPr>
      <w:rFonts w:asciiTheme="majorHAnsi" w:eastAsiaTheme="majorEastAsia" w:hAnsiTheme="majorHAnsi" w:cstheme="majorBidi"/>
      <w:color w:val="000000" w:themeColor="text1"/>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Pr>
    <w:tcPr>
      <w:shd w:val="clear" w:color="auto" w:fill="AFDFFF" w:themeFill="accent1" w:themeFillTint="3F"/>
    </w:tcPr>
    <w:tblStylePr w:type="firstRow">
      <w:rPr>
        <w:b/>
        <w:bCs/>
        <w:color w:val="000000" w:themeColor="text1"/>
      </w:rPr>
      <w:tblPr/>
      <w:tcPr>
        <w:shd w:val="clear" w:color="auto" w:fill="DFF2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EE5FF" w:themeFill="accent1" w:themeFillTint="33"/>
      </w:tcPr>
    </w:tblStylePr>
    <w:tblStylePr w:type="band1Vert">
      <w:tblPr/>
      <w:tcPr>
        <w:shd w:val="clear" w:color="auto" w:fill="5EBFFF" w:themeFill="accent1" w:themeFillTint="7F"/>
      </w:tcPr>
    </w:tblStylePr>
    <w:tblStylePr w:type="band1Horz">
      <w:tblPr/>
      <w:tcPr>
        <w:tcBorders>
          <w:insideH w:val="single" w:sz="6" w:space="0" w:color="0072BC" w:themeColor="accent1"/>
          <w:insideV w:val="single" w:sz="6" w:space="0" w:color="0072BC" w:themeColor="accent1"/>
        </w:tcBorders>
        <w:shd w:val="clear" w:color="auto" w:fill="5EBFFF" w:themeFill="accent1" w:themeFillTint="7F"/>
      </w:tcPr>
    </w:tblStylePr>
    <w:tblStylePr w:type="nwCell">
      <w:tblPr/>
      <w:tcPr>
        <w:shd w:val="clear" w:color="auto" w:fill="0072BC" w:themeFill="background1"/>
      </w:tcPr>
    </w:tblStylePr>
  </w:style>
  <w:style w:type="table" w:styleId="MediumGrid2-Accent2">
    <w:name w:val="Medium Grid 2 Accent 2"/>
    <w:basedOn w:val="TableNormal"/>
    <w:uiPriority w:val="68"/>
    <w:semiHidden/>
    <w:rsid w:val="00FC1A1E"/>
    <w:rPr>
      <w:rFonts w:asciiTheme="majorHAnsi" w:eastAsiaTheme="majorEastAsia" w:hAnsiTheme="majorHAnsi" w:cstheme="majorBidi"/>
      <w:color w:val="000000" w:themeColor="text1"/>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Pr>
    <w:tcPr>
      <w:shd w:val="clear" w:color="auto" w:fill="FFB0B0" w:themeFill="accent2" w:themeFillTint="3F"/>
    </w:tcPr>
    <w:tblStylePr w:type="firstRow">
      <w:rPr>
        <w:b/>
        <w:bCs/>
        <w:color w:val="000000" w:themeColor="text1"/>
      </w:rPr>
      <w:tblPr/>
      <w:tcPr>
        <w:shd w:val="clear" w:color="auto" w:fill="FFDFD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BFBF" w:themeFill="accent2" w:themeFillTint="33"/>
      </w:tcPr>
    </w:tblStylePr>
    <w:tblStylePr w:type="band1Vert">
      <w:tblPr/>
      <w:tcPr>
        <w:shd w:val="clear" w:color="auto" w:fill="FF6060" w:themeFill="accent2" w:themeFillTint="7F"/>
      </w:tcPr>
    </w:tblStylePr>
    <w:tblStylePr w:type="band1Horz">
      <w:tblPr/>
      <w:tcPr>
        <w:tcBorders>
          <w:insideH w:val="single" w:sz="6" w:space="0" w:color="C00000" w:themeColor="accent2"/>
          <w:insideV w:val="single" w:sz="6" w:space="0" w:color="C00000" w:themeColor="accent2"/>
        </w:tcBorders>
        <w:shd w:val="clear" w:color="auto" w:fill="FF6060" w:themeFill="accent2" w:themeFillTint="7F"/>
      </w:tcPr>
    </w:tblStylePr>
    <w:tblStylePr w:type="nwCell">
      <w:tblPr/>
      <w:tcPr>
        <w:shd w:val="clear" w:color="auto" w:fill="0072BC" w:themeFill="background1"/>
      </w:tcPr>
    </w:tblStylePr>
  </w:style>
  <w:style w:type="table" w:styleId="MediumGrid2-Accent3">
    <w:name w:val="Medium Grid 2 Accent 3"/>
    <w:basedOn w:val="TableNormal"/>
    <w:uiPriority w:val="68"/>
    <w:semiHidden/>
    <w:rsid w:val="00FC1A1E"/>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insideH w:val="single" w:sz="8" w:space="0" w:color="5F5F5F" w:themeColor="accent3"/>
        <w:insideV w:val="single" w:sz="8" w:space="0" w:color="5F5F5F" w:themeColor="accent3"/>
      </w:tblBorders>
    </w:tblPr>
    <w:tcPr>
      <w:shd w:val="clear" w:color="auto" w:fill="D7D7D7" w:themeFill="accent3" w:themeFillTint="3F"/>
    </w:tcPr>
    <w:tblStylePr w:type="firstRow">
      <w:rPr>
        <w:b/>
        <w:bCs/>
        <w:color w:val="000000" w:themeColor="text1"/>
      </w:rPr>
      <w:tblPr/>
      <w:tcPr>
        <w:shd w:val="clear" w:color="auto" w:fill="EFEFE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3" w:themeFillTint="33"/>
      </w:tcPr>
    </w:tblStylePr>
    <w:tblStylePr w:type="band1Vert">
      <w:tblPr/>
      <w:tcPr>
        <w:shd w:val="clear" w:color="auto" w:fill="AFAFAF" w:themeFill="accent3" w:themeFillTint="7F"/>
      </w:tcPr>
    </w:tblStylePr>
    <w:tblStylePr w:type="band1Horz">
      <w:tblPr/>
      <w:tcPr>
        <w:tcBorders>
          <w:insideH w:val="single" w:sz="6" w:space="0" w:color="5F5F5F" w:themeColor="accent3"/>
          <w:insideV w:val="single" w:sz="6" w:space="0" w:color="5F5F5F" w:themeColor="accent3"/>
        </w:tcBorders>
        <w:shd w:val="clear" w:color="auto" w:fill="AFAFAF" w:themeFill="accent3" w:themeFillTint="7F"/>
      </w:tcPr>
    </w:tblStylePr>
    <w:tblStylePr w:type="nwCell">
      <w:tblPr/>
      <w:tcPr>
        <w:shd w:val="clear" w:color="auto" w:fill="0072BC" w:themeFill="background1"/>
      </w:tcPr>
    </w:tblStylePr>
  </w:style>
  <w:style w:type="table" w:styleId="MediumGrid2-Accent4">
    <w:name w:val="Medium Grid 2 Accent 4"/>
    <w:basedOn w:val="TableNormal"/>
    <w:uiPriority w:val="68"/>
    <w:semiHidden/>
    <w:rsid w:val="00FC1A1E"/>
    <w:rPr>
      <w:rFonts w:asciiTheme="majorHAnsi" w:eastAsiaTheme="majorEastAsia" w:hAnsiTheme="majorHAnsi" w:cstheme="majorBidi"/>
      <w:color w:val="000000" w:themeColor="text1"/>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Pr>
    <w:tcPr>
      <w:shd w:val="clear" w:color="auto" w:fill="E5E5E5" w:themeFill="accent4" w:themeFillTint="3F"/>
    </w:tcPr>
    <w:tblStylePr w:type="firstRow">
      <w:rPr>
        <w:b/>
        <w:bCs/>
        <w:color w:val="000000" w:themeColor="text1"/>
      </w:rPr>
      <w:tblPr/>
      <w:tcPr>
        <w:shd w:val="clear" w:color="auto" w:fill="F4F4F4"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EAEA" w:themeFill="accent4" w:themeFillTint="33"/>
      </w:tcPr>
    </w:tblStylePr>
    <w:tblStylePr w:type="band1Vert">
      <w:tblPr/>
      <w:tcPr>
        <w:shd w:val="clear" w:color="auto" w:fill="CACACA" w:themeFill="accent4" w:themeFillTint="7F"/>
      </w:tcPr>
    </w:tblStylePr>
    <w:tblStylePr w:type="band1Horz">
      <w:tblPr/>
      <w:tcPr>
        <w:tcBorders>
          <w:insideH w:val="single" w:sz="6" w:space="0" w:color="969696" w:themeColor="accent4"/>
          <w:insideV w:val="single" w:sz="6" w:space="0" w:color="969696" w:themeColor="accent4"/>
        </w:tcBorders>
        <w:shd w:val="clear" w:color="auto" w:fill="CACACA" w:themeFill="accent4" w:themeFillTint="7F"/>
      </w:tcPr>
    </w:tblStylePr>
    <w:tblStylePr w:type="nwCell">
      <w:tblPr/>
      <w:tcPr>
        <w:shd w:val="clear" w:color="auto" w:fill="0072BC" w:themeFill="background1"/>
      </w:tcPr>
    </w:tblStylePr>
  </w:style>
  <w:style w:type="table" w:styleId="MediumGrid2-Accent5">
    <w:name w:val="Medium Grid 2 Accent 5"/>
    <w:basedOn w:val="TableNormal"/>
    <w:uiPriority w:val="68"/>
    <w:semiHidden/>
    <w:rsid w:val="00FC1A1E"/>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cPr>
      <w:shd w:val="clear" w:color="auto" w:fill="D7D7D7" w:themeFill="accent5" w:themeFillTint="3F"/>
    </w:tcPr>
    <w:tblStylePr w:type="firstRow">
      <w:rPr>
        <w:b/>
        <w:bCs/>
        <w:color w:val="000000" w:themeColor="text1"/>
      </w:rPr>
      <w:tblPr/>
      <w:tcPr>
        <w:shd w:val="clear" w:color="auto" w:fill="EFEFEF"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5" w:themeFillTint="33"/>
      </w:tcPr>
    </w:tblStylePr>
    <w:tblStylePr w:type="band1Vert">
      <w:tblPr/>
      <w:tcPr>
        <w:shd w:val="clear" w:color="auto" w:fill="AFAFAF" w:themeFill="accent5" w:themeFillTint="7F"/>
      </w:tcPr>
    </w:tblStylePr>
    <w:tblStylePr w:type="band1Horz">
      <w:tblPr/>
      <w:tcPr>
        <w:tcBorders>
          <w:insideH w:val="single" w:sz="6" w:space="0" w:color="5F5F5F" w:themeColor="accent5"/>
          <w:insideV w:val="single" w:sz="6" w:space="0" w:color="5F5F5F" w:themeColor="accent5"/>
        </w:tcBorders>
        <w:shd w:val="clear" w:color="auto" w:fill="AFAFAF" w:themeFill="accent5" w:themeFillTint="7F"/>
      </w:tcPr>
    </w:tblStylePr>
    <w:tblStylePr w:type="nwCell">
      <w:tblPr/>
      <w:tcPr>
        <w:shd w:val="clear" w:color="auto" w:fill="0072BC" w:themeFill="background1"/>
      </w:tcPr>
    </w:tblStylePr>
  </w:style>
  <w:style w:type="table" w:styleId="MediumGrid2-Accent6">
    <w:name w:val="Medium Grid 2 Accent 6"/>
    <w:basedOn w:val="TableNormal"/>
    <w:uiPriority w:val="68"/>
    <w:semiHidden/>
    <w:rsid w:val="00FC1A1E"/>
    <w:rPr>
      <w:rFonts w:asciiTheme="majorHAnsi" w:eastAsiaTheme="majorEastAsia" w:hAnsiTheme="majorHAnsi" w:cstheme="majorBidi"/>
      <w:color w:val="000000" w:themeColor="text1"/>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cPr>
      <w:shd w:val="clear" w:color="auto" w:fill="D3D3D3" w:themeFill="accent6" w:themeFillTint="3F"/>
    </w:tcPr>
    <w:tblStylePr w:type="firstRow">
      <w:rPr>
        <w:b/>
        <w:bCs/>
        <w:color w:val="000000" w:themeColor="text1"/>
      </w:rPr>
      <w:tblPr/>
      <w:tcPr>
        <w:shd w:val="clear" w:color="auto" w:fill="EDEDE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DBDB" w:themeFill="accent6" w:themeFillTint="33"/>
      </w:tcPr>
    </w:tblStylePr>
    <w:tblStylePr w:type="band1Vert">
      <w:tblPr/>
      <w:tcPr>
        <w:shd w:val="clear" w:color="auto" w:fill="A6A6A6" w:themeFill="accent6" w:themeFillTint="7F"/>
      </w:tcPr>
    </w:tblStylePr>
    <w:tblStylePr w:type="band1Horz">
      <w:tblPr/>
      <w:tcPr>
        <w:tcBorders>
          <w:insideH w:val="single" w:sz="6" w:space="0" w:color="4D4D4D" w:themeColor="accent6"/>
          <w:insideV w:val="single" w:sz="6" w:space="0" w:color="4D4D4D" w:themeColor="accent6"/>
        </w:tcBorders>
        <w:shd w:val="clear" w:color="auto" w:fill="A6A6A6" w:themeFill="accent6" w:themeFillTint="7F"/>
      </w:tcPr>
    </w:tblStylePr>
    <w:tblStylePr w:type="nwCell">
      <w:tblPr/>
      <w:tcPr>
        <w:shd w:val="clear" w:color="auto" w:fill="0072BC" w:themeFill="background1"/>
      </w:tcPr>
    </w:tblStylePr>
  </w:style>
  <w:style w:type="table" w:styleId="MediumGrid3">
    <w:name w:val="Medium Grid 3"/>
    <w:basedOn w:val="TableNormal"/>
    <w:uiPriority w:val="69"/>
    <w:semiHidden/>
    <w:rsid w:val="00FC1A1E"/>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C0C0C0" w:themeFill="text1"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000000" w:themeFill="text1"/>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000000" w:themeFill="text1"/>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000000" w:themeFill="text1"/>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000000" w:themeFill="text1"/>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808080" w:themeFill="text1"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808080" w:themeFill="text1" w:themeFillTint="7F"/>
      </w:tcPr>
    </w:tblStylePr>
  </w:style>
  <w:style w:type="table" w:styleId="MediumGrid3-Accent1">
    <w:name w:val="Medium Grid 3 Accent 1"/>
    <w:basedOn w:val="TableNormal"/>
    <w:uiPriority w:val="69"/>
    <w:semiHidden/>
    <w:rsid w:val="00FC1A1E"/>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AFDFFF" w:themeFill="accent1"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0072BC" w:themeFill="accent1"/>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0072BC" w:themeFill="accent1"/>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0072BC" w:themeFill="accent1"/>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0072BC" w:themeFill="accent1"/>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5EBFFF" w:themeFill="accent1"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5EBFFF" w:themeFill="accent1" w:themeFillTint="7F"/>
      </w:tcPr>
    </w:tblStylePr>
  </w:style>
  <w:style w:type="table" w:styleId="MediumGrid3-Accent2">
    <w:name w:val="Medium Grid 3 Accent 2"/>
    <w:basedOn w:val="TableNormal"/>
    <w:uiPriority w:val="69"/>
    <w:semiHidden/>
    <w:rsid w:val="00FC1A1E"/>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FFB0B0" w:themeFill="accent2"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C00000" w:themeFill="accent2"/>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C00000" w:themeFill="accent2"/>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C00000" w:themeFill="accent2"/>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C00000" w:themeFill="accent2"/>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FF6060" w:themeFill="accent2"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FF6060" w:themeFill="accent2" w:themeFillTint="7F"/>
      </w:tcPr>
    </w:tblStylePr>
  </w:style>
  <w:style w:type="table" w:styleId="MediumGrid3-Accent3">
    <w:name w:val="Medium Grid 3 Accent 3"/>
    <w:basedOn w:val="TableNormal"/>
    <w:uiPriority w:val="69"/>
    <w:semiHidden/>
    <w:rsid w:val="00FC1A1E"/>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7D7D7" w:themeFill="accent3"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5F5F5F" w:themeFill="accent3"/>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5F5F5F" w:themeFill="accent3"/>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5F5F5F" w:themeFill="accent3"/>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5F5F5F" w:themeFill="accent3"/>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FAFAF" w:themeFill="accent3"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FAFAF" w:themeFill="accent3" w:themeFillTint="7F"/>
      </w:tcPr>
    </w:tblStylePr>
  </w:style>
  <w:style w:type="table" w:styleId="MediumGrid3-Accent4">
    <w:name w:val="Medium Grid 3 Accent 4"/>
    <w:basedOn w:val="TableNormal"/>
    <w:uiPriority w:val="69"/>
    <w:semiHidden/>
    <w:rsid w:val="00FC1A1E"/>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E5E5E5" w:themeFill="accent4"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969696" w:themeFill="accent4"/>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969696" w:themeFill="accent4"/>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969696" w:themeFill="accent4"/>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969696" w:themeFill="accent4"/>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CACACA" w:themeFill="accent4"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CACACA" w:themeFill="accent4" w:themeFillTint="7F"/>
      </w:tcPr>
    </w:tblStylePr>
  </w:style>
  <w:style w:type="table" w:styleId="MediumGrid3-Accent5">
    <w:name w:val="Medium Grid 3 Accent 5"/>
    <w:basedOn w:val="TableNormal"/>
    <w:uiPriority w:val="69"/>
    <w:semiHidden/>
    <w:rsid w:val="00FC1A1E"/>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7D7D7" w:themeFill="accent5"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5F5F5F" w:themeFill="accent5"/>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5F5F5F" w:themeFill="accent5"/>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5F5F5F" w:themeFill="accent5"/>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5F5F5F" w:themeFill="accent5"/>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FAFAF" w:themeFill="accent5"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FAFAF" w:themeFill="accent5" w:themeFillTint="7F"/>
      </w:tcPr>
    </w:tblStylePr>
  </w:style>
  <w:style w:type="table" w:styleId="MediumGrid3-Accent6">
    <w:name w:val="Medium Grid 3 Accent 6"/>
    <w:basedOn w:val="TableNormal"/>
    <w:uiPriority w:val="69"/>
    <w:semiHidden/>
    <w:rsid w:val="00FC1A1E"/>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3D3D3" w:themeFill="accent6"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4D4D4D" w:themeFill="accent6"/>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4D4D4D" w:themeFill="accent6"/>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4D4D4D" w:themeFill="accent6"/>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4D4D4D" w:themeFill="accent6"/>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6A6A6" w:themeFill="accent6"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6A6A6" w:themeFill="accent6" w:themeFillTint="7F"/>
      </w:tcPr>
    </w:tblStylePr>
  </w:style>
  <w:style w:type="table" w:styleId="MediumList1">
    <w:name w:val="Medium List 1"/>
    <w:basedOn w:val="TableNormal"/>
    <w:uiPriority w:val="65"/>
    <w:semiHidden/>
    <w:rsid w:val="00FC1A1E"/>
    <w:rPr>
      <w:color w:val="000000" w:themeColor="text1"/>
      <w:sz w:val="24"/>
      <w:szCs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C6C6C6"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rsid w:val="00FC1A1E"/>
    <w:rPr>
      <w:color w:val="000000" w:themeColor="text1"/>
      <w:sz w:val="24"/>
      <w:szCs w:val="24"/>
    </w:rPr>
    <w:tblPr>
      <w:tblStyleRowBandSize w:val="1"/>
      <w:tblStyleColBandSize w:val="1"/>
      <w:tblBorders>
        <w:top w:val="single" w:sz="8" w:space="0" w:color="0072BC" w:themeColor="accent1"/>
        <w:bottom w:val="single" w:sz="8" w:space="0" w:color="0072BC" w:themeColor="accent1"/>
      </w:tblBorders>
    </w:tblPr>
    <w:tblStylePr w:type="firstRow">
      <w:rPr>
        <w:rFonts w:asciiTheme="majorHAnsi" w:eastAsiaTheme="majorEastAsia" w:hAnsiTheme="majorHAnsi" w:cstheme="majorBidi"/>
      </w:rPr>
      <w:tblPr/>
      <w:tcPr>
        <w:tcBorders>
          <w:top w:val="nil"/>
          <w:bottom w:val="single" w:sz="8" w:space="0" w:color="0072BC" w:themeColor="accent1"/>
        </w:tcBorders>
      </w:tcPr>
    </w:tblStylePr>
    <w:tblStylePr w:type="lastRow">
      <w:rPr>
        <w:b/>
        <w:bCs/>
        <w:color w:val="C6C6C6" w:themeColor="text2"/>
      </w:rPr>
      <w:tblPr/>
      <w:tcPr>
        <w:tcBorders>
          <w:top w:val="single" w:sz="8" w:space="0" w:color="0072BC" w:themeColor="accent1"/>
          <w:bottom w:val="single" w:sz="8" w:space="0" w:color="0072BC" w:themeColor="accent1"/>
        </w:tcBorders>
      </w:tcPr>
    </w:tblStylePr>
    <w:tblStylePr w:type="firstCol">
      <w:rPr>
        <w:b/>
        <w:bCs/>
      </w:rPr>
    </w:tblStylePr>
    <w:tblStylePr w:type="lastCol">
      <w:rPr>
        <w:b/>
        <w:bCs/>
      </w:rPr>
      <w:tblPr/>
      <w:tcPr>
        <w:tcBorders>
          <w:top w:val="single" w:sz="8" w:space="0" w:color="0072BC" w:themeColor="accent1"/>
          <w:bottom w:val="single" w:sz="8" w:space="0" w:color="0072BC" w:themeColor="accent1"/>
        </w:tcBorders>
      </w:tcPr>
    </w:tblStylePr>
    <w:tblStylePr w:type="band1Vert">
      <w:tblPr/>
      <w:tcPr>
        <w:shd w:val="clear" w:color="auto" w:fill="AFDFFF" w:themeFill="accent1" w:themeFillTint="3F"/>
      </w:tcPr>
    </w:tblStylePr>
    <w:tblStylePr w:type="band1Horz">
      <w:tblPr/>
      <w:tcPr>
        <w:shd w:val="clear" w:color="auto" w:fill="AFDFFF" w:themeFill="accent1" w:themeFillTint="3F"/>
      </w:tcPr>
    </w:tblStylePr>
  </w:style>
  <w:style w:type="table" w:styleId="MediumList1-Accent2">
    <w:name w:val="Medium List 1 Accent 2"/>
    <w:basedOn w:val="TableNormal"/>
    <w:uiPriority w:val="65"/>
    <w:semiHidden/>
    <w:rsid w:val="00FC1A1E"/>
    <w:rPr>
      <w:color w:val="000000" w:themeColor="text1"/>
      <w:sz w:val="24"/>
      <w:szCs w:val="24"/>
    </w:rPr>
    <w:tblPr>
      <w:tblStyleRowBandSize w:val="1"/>
      <w:tblStyleColBandSize w:val="1"/>
      <w:tblBorders>
        <w:top w:val="single" w:sz="8" w:space="0" w:color="C00000" w:themeColor="accent2"/>
        <w:bottom w:val="single" w:sz="8" w:space="0" w:color="C00000" w:themeColor="accent2"/>
      </w:tblBorders>
    </w:tblPr>
    <w:tblStylePr w:type="firstRow">
      <w:rPr>
        <w:rFonts w:asciiTheme="majorHAnsi" w:eastAsiaTheme="majorEastAsia" w:hAnsiTheme="majorHAnsi" w:cstheme="majorBidi"/>
      </w:rPr>
      <w:tblPr/>
      <w:tcPr>
        <w:tcBorders>
          <w:top w:val="nil"/>
          <w:bottom w:val="single" w:sz="8" w:space="0" w:color="C00000" w:themeColor="accent2"/>
        </w:tcBorders>
      </w:tcPr>
    </w:tblStylePr>
    <w:tblStylePr w:type="lastRow">
      <w:rPr>
        <w:b/>
        <w:bCs/>
        <w:color w:val="C6C6C6" w:themeColor="text2"/>
      </w:rPr>
      <w:tblPr/>
      <w:tcPr>
        <w:tcBorders>
          <w:top w:val="single" w:sz="8" w:space="0" w:color="C00000" w:themeColor="accent2"/>
          <w:bottom w:val="single" w:sz="8" w:space="0" w:color="C00000" w:themeColor="accent2"/>
        </w:tcBorders>
      </w:tcPr>
    </w:tblStylePr>
    <w:tblStylePr w:type="firstCol">
      <w:rPr>
        <w:b/>
        <w:bCs/>
      </w:rPr>
    </w:tblStylePr>
    <w:tblStylePr w:type="lastCol">
      <w:rPr>
        <w:b/>
        <w:bCs/>
      </w:rPr>
      <w:tblPr/>
      <w:tcPr>
        <w:tcBorders>
          <w:top w:val="single" w:sz="8" w:space="0" w:color="C00000" w:themeColor="accent2"/>
          <w:bottom w:val="single" w:sz="8" w:space="0" w:color="C00000" w:themeColor="accent2"/>
        </w:tcBorders>
      </w:tcPr>
    </w:tblStylePr>
    <w:tblStylePr w:type="band1Vert">
      <w:tblPr/>
      <w:tcPr>
        <w:shd w:val="clear" w:color="auto" w:fill="FFB0B0" w:themeFill="accent2" w:themeFillTint="3F"/>
      </w:tcPr>
    </w:tblStylePr>
    <w:tblStylePr w:type="band1Horz">
      <w:tblPr/>
      <w:tcPr>
        <w:shd w:val="clear" w:color="auto" w:fill="FFB0B0" w:themeFill="accent2" w:themeFillTint="3F"/>
      </w:tcPr>
    </w:tblStylePr>
  </w:style>
  <w:style w:type="table" w:styleId="MediumList1-Accent3">
    <w:name w:val="Medium List 1 Accent 3"/>
    <w:basedOn w:val="TableNormal"/>
    <w:uiPriority w:val="65"/>
    <w:semiHidden/>
    <w:rsid w:val="00FC1A1E"/>
    <w:rPr>
      <w:color w:val="000000" w:themeColor="text1"/>
      <w:sz w:val="24"/>
      <w:szCs w:val="24"/>
    </w:rPr>
    <w:tblPr>
      <w:tblStyleRowBandSize w:val="1"/>
      <w:tblStyleColBandSize w:val="1"/>
      <w:tblBorders>
        <w:top w:val="single" w:sz="8" w:space="0" w:color="5F5F5F" w:themeColor="accent3"/>
        <w:bottom w:val="single" w:sz="8" w:space="0" w:color="5F5F5F" w:themeColor="accent3"/>
      </w:tblBorders>
    </w:tblPr>
    <w:tblStylePr w:type="firstRow">
      <w:rPr>
        <w:rFonts w:asciiTheme="majorHAnsi" w:eastAsiaTheme="majorEastAsia" w:hAnsiTheme="majorHAnsi" w:cstheme="majorBidi"/>
      </w:rPr>
      <w:tblPr/>
      <w:tcPr>
        <w:tcBorders>
          <w:top w:val="nil"/>
          <w:bottom w:val="single" w:sz="8" w:space="0" w:color="5F5F5F" w:themeColor="accent3"/>
        </w:tcBorders>
      </w:tcPr>
    </w:tblStylePr>
    <w:tblStylePr w:type="lastRow">
      <w:rPr>
        <w:b/>
        <w:bCs/>
        <w:color w:val="C6C6C6" w:themeColor="text2"/>
      </w:rPr>
      <w:tblPr/>
      <w:tcPr>
        <w:tcBorders>
          <w:top w:val="single" w:sz="8" w:space="0" w:color="5F5F5F" w:themeColor="accent3"/>
          <w:bottom w:val="single" w:sz="8" w:space="0" w:color="5F5F5F" w:themeColor="accent3"/>
        </w:tcBorders>
      </w:tcPr>
    </w:tblStylePr>
    <w:tblStylePr w:type="firstCol">
      <w:rPr>
        <w:b/>
        <w:bCs/>
      </w:rPr>
    </w:tblStylePr>
    <w:tblStylePr w:type="lastCol">
      <w:rPr>
        <w:b/>
        <w:bCs/>
      </w:rPr>
      <w:tblPr/>
      <w:tcPr>
        <w:tcBorders>
          <w:top w:val="single" w:sz="8" w:space="0" w:color="5F5F5F" w:themeColor="accent3"/>
          <w:bottom w:val="single" w:sz="8" w:space="0" w:color="5F5F5F" w:themeColor="accent3"/>
        </w:tcBorders>
      </w:tcPr>
    </w:tblStylePr>
    <w:tblStylePr w:type="band1Vert">
      <w:tblPr/>
      <w:tcPr>
        <w:shd w:val="clear" w:color="auto" w:fill="D7D7D7" w:themeFill="accent3" w:themeFillTint="3F"/>
      </w:tcPr>
    </w:tblStylePr>
    <w:tblStylePr w:type="band1Horz">
      <w:tblPr/>
      <w:tcPr>
        <w:shd w:val="clear" w:color="auto" w:fill="D7D7D7" w:themeFill="accent3" w:themeFillTint="3F"/>
      </w:tcPr>
    </w:tblStylePr>
  </w:style>
  <w:style w:type="table" w:styleId="MediumList1-Accent4">
    <w:name w:val="Medium List 1 Accent 4"/>
    <w:basedOn w:val="TableNormal"/>
    <w:uiPriority w:val="65"/>
    <w:semiHidden/>
    <w:rsid w:val="00FC1A1E"/>
    <w:rPr>
      <w:color w:val="000000" w:themeColor="text1"/>
      <w:sz w:val="24"/>
      <w:szCs w:val="24"/>
    </w:rPr>
    <w:tblPr>
      <w:tblStyleRowBandSize w:val="1"/>
      <w:tblStyleColBandSize w:val="1"/>
      <w:tblBorders>
        <w:top w:val="single" w:sz="8" w:space="0" w:color="969696" w:themeColor="accent4"/>
        <w:bottom w:val="single" w:sz="8" w:space="0" w:color="969696" w:themeColor="accent4"/>
      </w:tblBorders>
    </w:tblPr>
    <w:tblStylePr w:type="firstRow">
      <w:rPr>
        <w:rFonts w:asciiTheme="majorHAnsi" w:eastAsiaTheme="majorEastAsia" w:hAnsiTheme="majorHAnsi" w:cstheme="majorBidi"/>
      </w:rPr>
      <w:tblPr/>
      <w:tcPr>
        <w:tcBorders>
          <w:top w:val="nil"/>
          <w:bottom w:val="single" w:sz="8" w:space="0" w:color="969696" w:themeColor="accent4"/>
        </w:tcBorders>
      </w:tcPr>
    </w:tblStylePr>
    <w:tblStylePr w:type="lastRow">
      <w:rPr>
        <w:b/>
        <w:bCs/>
        <w:color w:val="C6C6C6" w:themeColor="text2"/>
      </w:rPr>
      <w:tblPr/>
      <w:tcPr>
        <w:tcBorders>
          <w:top w:val="single" w:sz="8" w:space="0" w:color="969696" w:themeColor="accent4"/>
          <w:bottom w:val="single" w:sz="8" w:space="0" w:color="969696" w:themeColor="accent4"/>
        </w:tcBorders>
      </w:tcPr>
    </w:tblStylePr>
    <w:tblStylePr w:type="firstCol">
      <w:rPr>
        <w:b/>
        <w:bCs/>
      </w:rPr>
    </w:tblStylePr>
    <w:tblStylePr w:type="lastCol">
      <w:rPr>
        <w:b/>
        <w:bCs/>
      </w:rPr>
      <w:tblPr/>
      <w:tcPr>
        <w:tcBorders>
          <w:top w:val="single" w:sz="8" w:space="0" w:color="969696" w:themeColor="accent4"/>
          <w:bottom w:val="single" w:sz="8" w:space="0" w:color="969696" w:themeColor="accent4"/>
        </w:tcBorders>
      </w:tcPr>
    </w:tblStylePr>
    <w:tblStylePr w:type="band1Vert">
      <w:tblPr/>
      <w:tcPr>
        <w:shd w:val="clear" w:color="auto" w:fill="E5E5E5" w:themeFill="accent4" w:themeFillTint="3F"/>
      </w:tcPr>
    </w:tblStylePr>
    <w:tblStylePr w:type="band1Horz">
      <w:tblPr/>
      <w:tcPr>
        <w:shd w:val="clear" w:color="auto" w:fill="E5E5E5" w:themeFill="accent4" w:themeFillTint="3F"/>
      </w:tcPr>
    </w:tblStylePr>
  </w:style>
  <w:style w:type="table" w:styleId="MediumList1-Accent5">
    <w:name w:val="Medium List 1 Accent 5"/>
    <w:basedOn w:val="TableNormal"/>
    <w:uiPriority w:val="65"/>
    <w:semiHidden/>
    <w:rsid w:val="00FC1A1E"/>
    <w:rPr>
      <w:color w:val="000000" w:themeColor="text1"/>
      <w:sz w:val="24"/>
      <w:szCs w:val="24"/>
    </w:rPr>
    <w:tblPr>
      <w:tblStyleRowBandSize w:val="1"/>
      <w:tblStyleColBandSize w:val="1"/>
      <w:tblBorders>
        <w:top w:val="single" w:sz="8" w:space="0" w:color="5F5F5F" w:themeColor="accent5"/>
        <w:bottom w:val="single" w:sz="8" w:space="0" w:color="5F5F5F" w:themeColor="accent5"/>
      </w:tblBorders>
    </w:tblPr>
    <w:tblStylePr w:type="firstRow">
      <w:rPr>
        <w:rFonts w:asciiTheme="majorHAnsi" w:eastAsiaTheme="majorEastAsia" w:hAnsiTheme="majorHAnsi" w:cstheme="majorBidi"/>
      </w:rPr>
      <w:tblPr/>
      <w:tcPr>
        <w:tcBorders>
          <w:top w:val="nil"/>
          <w:bottom w:val="single" w:sz="8" w:space="0" w:color="5F5F5F" w:themeColor="accent5"/>
        </w:tcBorders>
      </w:tcPr>
    </w:tblStylePr>
    <w:tblStylePr w:type="lastRow">
      <w:rPr>
        <w:b/>
        <w:bCs/>
        <w:color w:val="C6C6C6" w:themeColor="text2"/>
      </w:rPr>
      <w:tblPr/>
      <w:tcPr>
        <w:tcBorders>
          <w:top w:val="single" w:sz="8" w:space="0" w:color="5F5F5F" w:themeColor="accent5"/>
          <w:bottom w:val="single" w:sz="8" w:space="0" w:color="5F5F5F" w:themeColor="accent5"/>
        </w:tcBorders>
      </w:tcPr>
    </w:tblStylePr>
    <w:tblStylePr w:type="firstCol">
      <w:rPr>
        <w:b/>
        <w:bCs/>
      </w:rPr>
    </w:tblStylePr>
    <w:tblStylePr w:type="lastCol">
      <w:rPr>
        <w:b/>
        <w:bCs/>
      </w:rPr>
      <w:tblPr/>
      <w:tcPr>
        <w:tcBorders>
          <w:top w:val="single" w:sz="8" w:space="0" w:color="5F5F5F" w:themeColor="accent5"/>
          <w:bottom w:val="single" w:sz="8" w:space="0" w:color="5F5F5F" w:themeColor="accent5"/>
        </w:tcBorders>
      </w:tcPr>
    </w:tblStylePr>
    <w:tblStylePr w:type="band1Vert">
      <w:tblPr/>
      <w:tcPr>
        <w:shd w:val="clear" w:color="auto" w:fill="D7D7D7" w:themeFill="accent5" w:themeFillTint="3F"/>
      </w:tcPr>
    </w:tblStylePr>
    <w:tblStylePr w:type="band1Horz">
      <w:tblPr/>
      <w:tcPr>
        <w:shd w:val="clear" w:color="auto" w:fill="D7D7D7" w:themeFill="accent5" w:themeFillTint="3F"/>
      </w:tcPr>
    </w:tblStylePr>
  </w:style>
  <w:style w:type="table" w:styleId="MediumList1-Accent6">
    <w:name w:val="Medium List 1 Accent 6"/>
    <w:basedOn w:val="TableNormal"/>
    <w:uiPriority w:val="65"/>
    <w:semiHidden/>
    <w:rsid w:val="00FC1A1E"/>
    <w:rPr>
      <w:color w:val="000000" w:themeColor="text1"/>
      <w:sz w:val="24"/>
      <w:szCs w:val="24"/>
    </w:rPr>
    <w:tblPr>
      <w:tblStyleRowBandSize w:val="1"/>
      <w:tblStyleColBandSize w:val="1"/>
      <w:tblBorders>
        <w:top w:val="single" w:sz="8" w:space="0" w:color="4D4D4D" w:themeColor="accent6"/>
        <w:bottom w:val="single" w:sz="8" w:space="0" w:color="4D4D4D" w:themeColor="accent6"/>
      </w:tblBorders>
    </w:tblPr>
    <w:tblStylePr w:type="firstRow">
      <w:rPr>
        <w:rFonts w:asciiTheme="majorHAnsi" w:eastAsiaTheme="majorEastAsia" w:hAnsiTheme="majorHAnsi" w:cstheme="majorBidi"/>
      </w:rPr>
      <w:tblPr/>
      <w:tcPr>
        <w:tcBorders>
          <w:top w:val="nil"/>
          <w:bottom w:val="single" w:sz="8" w:space="0" w:color="4D4D4D" w:themeColor="accent6"/>
        </w:tcBorders>
      </w:tcPr>
    </w:tblStylePr>
    <w:tblStylePr w:type="lastRow">
      <w:rPr>
        <w:b/>
        <w:bCs/>
        <w:color w:val="C6C6C6" w:themeColor="text2"/>
      </w:rPr>
      <w:tblPr/>
      <w:tcPr>
        <w:tcBorders>
          <w:top w:val="single" w:sz="8" w:space="0" w:color="4D4D4D" w:themeColor="accent6"/>
          <w:bottom w:val="single" w:sz="8" w:space="0" w:color="4D4D4D" w:themeColor="accent6"/>
        </w:tcBorders>
      </w:tcPr>
    </w:tblStylePr>
    <w:tblStylePr w:type="firstCol">
      <w:rPr>
        <w:b/>
        <w:bCs/>
      </w:rPr>
    </w:tblStylePr>
    <w:tblStylePr w:type="lastCol">
      <w:rPr>
        <w:b/>
        <w:bCs/>
      </w:rPr>
      <w:tblPr/>
      <w:tcPr>
        <w:tcBorders>
          <w:top w:val="single" w:sz="8" w:space="0" w:color="4D4D4D" w:themeColor="accent6"/>
          <w:bottom w:val="single" w:sz="8" w:space="0" w:color="4D4D4D" w:themeColor="accent6"/>
        </w:tcBorders>
      </w:tcPr>
    </w:tblStylePr>
    <w:tblStylePr w:type="band1Vert">
      <w:tblPr/>
      <w:tcPr>
        <w:shd w:val="clear" w:color="auto" w:fill="D3D3D3" w:themeFill="accent6" w:themeFillTint="3F"/>
      </w:tcPr>
    </w:tblStylePr>
    <w:tblStylePr w:type="band1Horz">
      <w:tblPr/>
      <w:tcPr>
        <w:shd w:val="clear" w:color="auto" w:fill="D3D3D3" w:themeFill="accent6" w:themeFillTint="3F"/>
      </w:tcPr>
    </w:tblStylePr>
  </w:style>
  <w:style w:type="table" w:styleId="MediumList2">
    <w:name w:val="Medium List 2"/>
    <w:basedOn w:val="TableNormal"/>
    <w:uiPriority w:val="66"/>
    <w:semiHidden/>
    <w:rsid w:val="00FC1A1E"/>
    <w:rPr>
      <w:rFonts w:asciiTheme="majorHAnsi" w:eastAsiaTheme="majorEastAsia" w:hAnsiTheme="majorHAnsi" w:cstheme="majorBidi"/>
      <w:color w:val="000000" w:themeColor="text1"/>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0072BC" w:themeFill="background1"/>
      </w:tcPr>
    </w:tblStylePr>
    <w:tblStylePr w:type="lastRow">
      <w:tblPr/>
      <w:tcPr>
        <w:tcBorders>
          <w:top w:val="single" w:sz="8" w:space="0" w:color="000000" w:themeColor="text1"/>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000000" w:themeColor="text1"/>
          <w:insideH w:val="nil"/>
          <w:insideV w:val="nil"/>
        </w:tcBorders>
        <w:shd w:val="clear" w:color="auto" w:fill="0072BC" w:themeFill="background1"/>
      </w:tcPr>
    </w:tblStylePr>
    <w:tblStylePr w:type="lastCol">
      <w:tblPr/>
      <w:tcPr>
        <w:tcBorders>
          <w:top w:val="nil"/>
          <w:left w:val="single" w:sz="8" w:space="0" w:color="000000" w:themeColor="text1"/>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FC1A1E"/>
    <w:rPr>
      <w:rFonts w:asciiTheme="majorHAnsi" w:eastAsiaTheme="majorEastAsia" w:hAnsiTheme="majorHAnsi" w:cstheme="majorBidi"/>
      <w:color w:val="000000" w:themeColor="text1"/>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tblBorders>
    </w:tblPr>
    <w:tblStylePr w:type="firstRow">
      <w:rPr>
        <w:sz w:val="24"/>
        <w:szCs w:val="24"/>
      </w:rPr>
      <w:tblPr/>
      <w:tcPr>
        <w:tcBorders>
          <w:top w:val="nil"/>
          <w:left w:val="nil"/>
          <w:bottom w:val="single" w:sz="24" w:space="0" w:color="0072BC" w:themeColor="accent1"/>
          <w:right w:val="nil"/>
          <w:insideH w:val="nil"/>
          <w:insideV w:val="nil"/>
        </w:tcBorders>
        <w:shd w:val="clear" w:color="auto" w:fill="0072BC" w:themeFill="background1"/>
      </w:tcPr>
    </w:tblStylePr>
    <w:tblStylePr w:type="lastRow">
      <w:tblPr/>
      <w:tcPr>
        <w:tcBorders>
          <w:top w:val="single" w:sz="8" w:space="0" w:color="0072BC" w:themeColor="accent1"/>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0072BC" w:themeColor="accent1"/>
          <w:insideH w:val="nil"/>
          <w:insideV w:val="nil"/>
        </w:tcBorders>
        <w:shd w:val="clear" w:color="auto" w:fill="0072BC" w:themeFill="background1"/>
      </w:tcPr>
    </w:tblStylePr>
    <w:tblStylePr w:type="lastCol">
      <w:tblPr/>
      <w:tcPr>
        <w:tcBorders>
          <w:top w:val="nil"/>
          <w:left w:val="single" w:sz="8" w:space="0" w:color="0072BC" w:themeColor="accent1"/>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top w:val="nil"/>
          <w:bottom w:val="nil"/>
          <w:insideH w:val="nil"/>
          <w:insideV w:val="nil"/>
        </w:tcBorders>
        <w:shd w:val="clear" w:color="auto" w:fill="AFDFFF" w:themeFill="accent1"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FC1A1E"/>
    <w:rPr>
      <w:rFonts w:asciiTheme="majorHAnsi" w:eastAsiaTheme="majorEastAsia" w:hAnsiTheme="majorHAnsi" w:cstheme="majorBidi"/>
      <w:color w:val="000000" w:themeColor="text1"/>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rPr>
        <w:sz w:val="24"/>
        <w:szCs w:val="24"/>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tblPr/>
      <w:tcPr>
        <w:tcBorders>
          <w:top w:val="single" w:sz="8" w:space="0" w:color="C00000" w:themeColor="accent2"/>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C00000" w:themeColor="accent2"/>
          <w:insideH w:val="nil"/>
          <w:insideV w:val="nil"/>
        </w:tcBorders>
        <w:shd w:val="clear" w:color="auto" w:fill="0072BC" w:themeFill="background1"/>
      </w:tcPr>
    </w:tblStylePr>
    <w:tblStylePr w:type="lastCol">
      <w:tblPr/>
      <w:tcPr>
        <w:tcBorders>
          <w:top w:val="nil"/>
          <w:left w:val="single" w:sz="8" w:space="0" w:color="C00000" w:themeColor="accent2"/>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top w:val="nil"/>
          <w:bottom w:val="nil"/>
          <w:insideH w:val="nil"/>
          <w:insideV w:val="nil"/>
        </w:tcBorders>
        <w:shd w:val="clear" w:color="auto" w:fill="FFB0B0" w:themeFill="accent2"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FC1A1E"/>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tblBorders>
    </w:tblPr>
    <w:tblStylePr w:type="firstRow">
      <w:rPr>
        <w:sz w:val="24"/>
        <w:szCs w:val="24"/>
      </w:rPr>
      <w:tblPr/>
      <w:tcPr>
        <w:tcBorders>
          <w:top w:val="nil"/>
          <w:left w:val="nil"/>
          <w:bottom w:val="single" w:sz="24" w:space="0" w:color="5F5F5F" w:themeColor="accent3"/>
          <w:right w:val="nil"/>
          <w:insideH w:val="nil"/>
          <w:insideV w:val="nil"/>
        </w:tcBorders>
        <w:shd w:val="clear" w:color="auto" w:fill="0072BC" w:themeFill="background1"/>
      </w:tcPr>
    </w:tblStylePr>
    <w:tblStylePr w:type="lastRow">
      <w:tblPr/>
      <w:tcPr>
        <w:tcBorders>
          <w:top w:val="single" w:sz="8" w:space="0" w:color="5F5F5F" w:themeColor="accent3"/>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5F5F5F" w:themeColor="accent3"/>
          <w:insideH w:val="nil"/>
          <w:insideV w:val="nil"/>
        </w:tcBorders>
        <w:shd w:val="clear" w:color="auto" w:fill="0072BC" w:themeFill="background1"/>
      </w:tcPr>
    </w:tblStylePr>
    <w:tblStylePr w:type="lastCol">
      <w:tblPr/>
      <w:tcPr>
        <w:tcBorders>
          <w:top w:val="nil"/>
          <w:left w:val="single" w:sz="8" w:space="0" w:color="5F5F5F" w:themeColor="accent3"/>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7D7D7" w:themeFill="accent3" w:themeFillTint="3F"/>
      </w:tcPr>
    </w:tblStylePr>
    <w:tblStylePr w:type="band1Horz">
      <w:tblPr/>
      <w:tcPr>
        <w:tcBorders>
          <w:top w:val="nil"/>
          <w:bottom w:val="nil"/>
          <w:insideH w:val="nil"/>
          <w:insideV w:val="nil"/>
        </w:tcBorders>
        <w:shd w:val="clear" w:color="auto" w:fill="D7D7D7" w:themeFill="accent3"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FC1A1E"/>
    <w:rPr>
      <w:rFonts w:asciiTheme="majorHAnsi" w:eastAsiaTheme="majorEastAsia" w:hAnsiTheme="majorHAnsi" w:cstheme="majorBidi"/>
      <w:color w:val="000000" w:themeColor="text1"/>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tblBorders>
    </w:tblPr>
    <w:tblStylePr w:type="firstRow">
      <w:rPr>
        <w:sz w:val="24"/>
        <w:szCs w:val="24"/>
      </w:rPr>
      <w:tblPr/>
      <w:tcPr>
        <w:tcBorders>
          <w:top w:val="nil"/>
          <w:left w:val="nil"/>
          <w:bottom w:val="single" w:sz="24" w:space="0" w:color="969696" w:themeColor="accent4"/>
          <w:right w:val="nil"/>
          <w:insideH w:val="nil"/>
          <w:insideV w:val="nil"/>
        </w:tcBorders>
        <w:shd w:val="clear" w:color="auto" w:fill="0072BC" w:themeFill="background1"/>
      </w:tcPr>
    </w:tblStylePr>
    <w:tblStylePr w:type="lastRow">
      <w:tblPr/>
      <w:tcPr>
        <w:tcBorders>
          <w:top w:val="single" w:sz="8" w:space="0" w:color="969696" w:themeColor="accent4"/>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969696" w:themeColor="accent4"/>
          <w:insideH w:val="nil"/>
          <w:insideV w:val="nil"/>
        </w:tcBorders>
        <w:shd w:val="clear" w:color="auto" w:fill="0072BC" w:themeFill="background1"/>
      </w:tcPr>
    </w:tblStylePr>
    <w:tblStylePr w:type="lastCol">
      <w:tblPr/>
      <w:tcPr>
        <w:tcBorders>
          <w:top w:val="nil"/>
          <w:left w:val="single" w:sz="8" w:space="0" w:color="969696" w:themeColor="accent4"/>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top w:val="nil"/>
          <w:bottom w:val="nil"/>
          <w:insideH w:val="nil"/>
          <w:insideV w:val="nil"/>
        </w:tcBorders>
        <w:shd w:val="clear" w:color="auto" w:fill="E5E5E5" w:themeFill="accent4"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FC1A1E"/>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rPr>
        <w:sz w:val="24"/>
        <w:szCs w:val="24"/>
      </w:rPr>
      <w:tblPr/>
      <w:tcPr>
        <w:tcBorders>
          <w:top w:val="nil"/>
          <w:left w:val="nil"/>
          <w:bottom w:val="single" w:sz="24" w:space="0" w:color="5F5F5F" w:themeColor="accent5"/>
          <w:right w:val="nil"/>
          <w:insideH w:val="nil"/>
          <w:insideV w:val="nil"/>
        </w:tcBorders>
        <w:shd w:val="clear" w:color="auto" w:fill="0072BC" w:themeFill="background1"/>
      </w:tcPr>
    </w:tblStylePr>
    <w:tblStylePr w:type="lastRow">
      <w:tblPr/>
      <w:tcPr>
        <w:tcBorders>
          <w:top w:val="single" w:sz="8" w:space="0" w:color="5F5F5F" w:themeColor="accent5"/>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5F5F5F" w:themeColor="accent5"/>
          <w:insideH w:val="nil"/>
          <w:insideV w:val="nil"/>
        </w:tcBorders>
        <w:shd w:val="clear" w:color="auto" w:fill="0072BC" w:themeFill="background1"/>
      </w:tcPr>
    </w:tblStylePr>
    <w:tblStylePr w:type="lastCol">
      <w:tblPr/>
      <w:tcPr>
        <w:tcBorders>
          <w:top w:val="nil"/>
          <w:left w:val="single" w:sz="8" w:space="0" w:color="5F5F5F" w:themeColor="accent5"/>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top w:val="nil"/>
          <w:bottom w:val="nil"/>
          <w:insideH w:val="nil"/>
          <w:insideV w:val="nil"/>
        </w:tcBorders>
        <w:shd w:val="clear" w:color="auto" w:fill="D7D7D7" w:themeFill="accent5"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FC1A1E"/>
    <w:rPr>
      <w:rFonts w:asciiTheme="majorHAnsi" w:eastAsiaTheme="majorEastAsia" w:hAnsiTheme="majorHAnsi" w:cstheme="majorBidi"/>
      <w:color w:val="000000" w:themeColor="text1"/>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rPr>
        <w:sz w:val="24"/>
        <w:szCs w:val="24"/>
      </w:rPr>
      <w:tblPr/>
      <w:tcPr>
        <w:tcBorders>
          <w:top w:val="nil"/>
          <w:left w:val="nil"/>
          <w:bottom w:val="single" w:sz="24" w:space="0" w:color="4D4D4D" w:themeColor="accent6"/>
          <w:right w:val="nil"/>
          <w:insideH w:val="nil"/>
          <w:insideV w:val="nil"/>
        </w:tcBorders>
        <w:shd w:val="clear" w:color="auto" w:fill="0072BC" w:themeFill="background1"/>
      </w:tcPr>
    </w:tblStylePr>
    <w:tblStylePr w:type="lastRow">
      <w:tblPr/>
      <w:tcPr>
        <w:tcBorders>
          <w:top w:val="single" w:sz="8" w:space="0" w:color="4D4D4D" w:themeColor="accent6"/>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4D4D4D" w:themeColor="accent6"/>
          <w:insideH w:val="nil"/>
          <w:insideV w:val="nil"/>
        </w:tcBorders>
        <w:shd w:val="clear" w:color="auto" w:fill="0072BC" w:themeFill="background1"/>
      </w:tcPr>
    </w:tblStylePr>
    <w:tblStylePr w:type="lastCol">
      <w:tblPr/>
      <w:tcPr>
        <w:tcBorders>
          <w:top w:val="nil"/>
          <w:left w:val="single" w:sz="8" w:space="0" w:color="4D4D4D" w:themeColor="accent6"/>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top w:val="nil"/>
          <w:bottom w:val="nil"/>
          <w:insideH w:val="nil"/>
          <w:insideV w:val="nil"/>
        </w:tcBorders>
        <w:shd w:val="clear" w:color="auto" w:fill="D3D3D3" w:themeFill="accent6"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Shading1">
    <w:name w:val="Medium Shading 1"/>
    <w:basedOn w:val="TableNormal"/>
    <w:uiPriority w:val="63"/>
    <w:semiHidden/>
    <w:rsid w:val="00FC1A1E"/>
    <w:rPr>
      <w:sz w:val="24"/>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0072BC"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FC1A1E"/>
    <w:rPr>
      <w:sz w:val="24"/>
      <w:szCs w:val="24"/>
    </w:rPr>
    <w:tblPr>
      <w:tblStyleRowBandSize w:val="1"/>
      <w:tblStyleColBandSize w:val="1"/>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tblBorders>
    </w:tblPr>
    <w:tblStylePr w:type="firstRow">
      <w:pPr>
        <w:spacing w:before="0" w:after="0" w:line="240" w:lineRule="auto"/>
      </w:pPr>
      <w:rPr>
        <w:b/>
        <w:bCs/>
        <w:color w:val="0072BC" w:themeColor="background1"/>
      </w:rPr>
      <w:tblPr/>
      <w:tcPr>
        <w:tc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shd w:val="clear" w:color="auto" w:fill="0072BC" w:themeFill="accent1"/>
      </w:tcPr>
    </w:tblStylePr>
    <w:tblStylePr w:type="lastRow">
      <w:pPr>
        <w:spacing w:before="0" w:after="0" w:line="240" w:lineRule="auto"/>
      </w:pPr>
      <w:rPr>
        <w:b/>
        <w:bCs/>
      </w:rPr>
      <w:tblPr/>
      <w:tcPr>
        <w:tcBorders>
          <w:top w:val="double" w:sz="6"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tcPr>
    </w:tblStylePr>
    <w:tblStylePr w:type="firstCol">
      <w:rPr>
        <w:b/>
        <w:bCs/>
      </w:rPr>
    </w:tblStylePr>
    <w:tblStylePr w:type="lastCol">
      <w:rPr>
        <w:b/>
        <w:bCs/>
      </w:rPr>
    </w:tblStylePr>
    <w:tblStylePr w:type="band1Vert">
      <w:tblPr/>
      <w:tcPr>
        <w:shd w:val="clear" w:color="auto" w:fill="AFDFFF" w:themeFill="accent1" w:themeFillTint="3F"/>
      </w:tcPr>
    </w:tblStylePr>
    <w:tblStylePr w:type="band1Horz">
      <w:tblPr/>
      <w:tcPr>
        <w:tcBorders>
          <w:insideH w:val="nil"/>
          <w:insideV w:val="nil"/>
        </w:tcBorders>
        <w:shd w:val="clear" w:color="auto" w:fill="AFDF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FC1A1E"/>
    <w:rPr>
      <w:sz w:val="24"/>
      <w:szCs w:val="24"/>
    </w:rPr>
    <w:tblPr>
      <w:tblStyleRowBandSize w:val="1"/>
      <w:tblStyleColBandSize w:val="1"/>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tblBorders>
    </w:tblPr>
    <w:tblStylePr w:type="firstRow">
      <w:pPr>
        <w:spacing w:before="0" w:after="0" w:line="240" w:lineRule="auto"/>
      </w:pPr>
      <w:rPr>
        <w:b/>
        <w:bCs/>
        <w:color w:val="0072BC" w:themeColor="background1"/>
      </w:rPr>
      <w:tblPr/>
      <w:tcPr>
        <w:tc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shd w:val="clear" w:color="auto" w:fill="C00000" w:themeFill="accent2"/>
      </w:tcPr>
    </w:tblStylePr>
    <w:tblStylePr w:type="lastRow">
      <w:pPr>
        <w:spacing w:before="0" w:after="0" w:line="240" w:lineRule="auto"/>
      </w:pPr>
      <w:rPr>
        <w:b/>
        <w:bCs/>
      </w:rPr>
      <w:tblPr/>
      <w:tcPr>
        <w:tcBorders>
          <w:top w:val="double" w:sz="6"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tcPr>
    </w:tblStylePr>
    <w:tblStylePr w:type="firstCol">
      <w:rPr>
        <w:b/>
        <w:bCs/>
      </w:rPr>
    </w:tblStylePr>
    <w:tblStylePr w:type="lastCol">
      <w:rPr>
        <w:b/>
        <w:bCs/>
      </w:rPr>
    </w:tblStylePr>
    <w:tblStylePr w:type="band1Vert">
      <w:tblPr/>
      <w:tcPr>
        <w:shd w:val="clear" w:color="auto" w:fill="FFB0B0" w:themeFill="accent2" w:themeFillTint="3F"/>
      </w:tcPr>
    </w:tblStylePr>
    <w:tblStylePr w:type="band1Horz">
      <w:tblPr/>
      <w:tcPr>
        <w:tcBorders>
          <w:insideH w:val="nil"/>
          <w:insideV w:val="nil"/>
        </w:tcBorders>
        <w:shd w:val="clear" w:color="auto" w:fill="FFB0B0"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FC1A1E"/>
    <w:rPr>
      <w:sz w:val="24"/>
      <w:szCs w:val="24"/>
    </w:rPr>
    <w:tblPr>
      <w:tblStyleRowBandSize w:val="1"/>
      <w:tblStyleColBandSize w:val="1"/>
      <w:tbl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single" w:sz="8" w:space="0" w:color="878787" w:themeColor="accent3" w:themeTint="BF"/>
      </w:tblBorders>
    </w:tblPr>
    <w:tblStylePr w:type="firstRow">
      <w:pPr>
        <w:spacing w:before="0" w:after="0" w:line="240" w:lineRule="auto"/>
      </w:pPr>
      <w:rPr>
        <w:b/>
        <w:bCs/>
        <w:color w:val="0072BC" w:themeColor="background1"/>
      </w:rPr>
      <w:tblPr/>
      <w:tcPr>
        <w:tc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nil"/>
          <w:insideV w:val="nil"/>
        </w:tcBorders>
        <w:shd w:val="clear" w:color="auto" w:fill="5F5F5F" w:themeFill="accent3"/>
      </w:tcPr>
    </w:tblStylePr>
    <w:tblStylePr w:type="lastRow">
      <w:pPr>
        <w:spacing w:before="0" w:after="0" w:line="240" w:lineRule="auto"/>
      </w:pPr>
      <w:rPr>
        <w:b/>
        <w:bCs/>
      </w:rPr>
      <w:tblPr/>
      <w:tcPr>
        <w:tcBorders>
          <w:top w:val="double" w:sz="6"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3" w:themeFillTint="3F"/>
      </w:tcPr>
    </w:tblStylePr>
    <w:tblStylePr w:type="band1Horz">
      <w:tblPr/>
      <w:tcPr>
        <w:tcBorders>
          <w:insideH w:val="nil"/>
          <w:insideV w:val="nil"/>
        </w:tcBorders>
        <w:shd w:val="clear" w:color="auto" w:fill="D7D7D7"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FC1A1E"/>
    <w:rPr>
      <w:sz w:val="24"/>
      <w:szCs w:val="24"/>
    </w:rPr>
    <w:tblPr>
      <w:tblStyleRowBandSize w:val="1"/>
      <w:tblStyleColBandSize w:val="1"/>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tblBorders>
    </w:tblPr>
    <w:tblStylePr w:type="firstRow">
      <w:pPr>
        <w:spacing w:before="0" w:after="0" w:line="240" w:lineRule="auto"/>
      </w:pPr>
      <w:rPr>
        <w:b/>
        <w:bCs/>
        <w:color w:val="0072BC" w:themeColor="background1"/>
      </w:rPr>
      <w:tblPr/>
      <w:tcPr>
        <w:tc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shd w:val="clear" w:color="auto" w:fill="969696" w:themeFill="accent4"/>
      </w:tcPr>
    </w:tblStylePr>
    <w:tblStylePr w:type="lastRow">
      <w:pPr>
        <w:spacing w:before="0" w:after="0" w:line="240" w:lineRule="auto"/>
      </w:pPr>
      <w:rPr>
        <w:b/>
        <w:bCs/>
      </w:rPr>
      <w:tblPr/>
      <w:tcPr>
        <w:tcBorders>
          <w:top w:val="double" w:sz="6"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tcPr>
    </w:tblStylePr>
    <w:tblStylePr w:type="firstCol">
      <w:rPr>
        <w:b/>
        <w:bCs/>
      </w:rPr>
    </w:tblStylePr>
    <w:tblStylePr w:type="lastCol">
      <w:rPr>
        <w:b/>
        <w:bCs/>
      </w:rPr>
    </w:tblStylePr>
    <w:tblStylePr w:type="band1Vert">
      <w:tblPr/>
      <w:tcPr>
        <w:shd w:val="clear" w:color="auto" w:fill="E5E5E5" w:themeFill="accent4" w:themeFillTint="3F"/>
      </w:tcPr>
    </w:tblStylePr>
    <w:tblStylePr w:type="band1Horz">
      <w:tblPr/>
      <w:tcPr>
        <w:tcBorders>
          <w:insideH w:val="nil"/>
          <w:insideV w:val="nil"/>
        </w:tcBorders>
        <w:shd w:val="clear" w:color="auto" w:fill="E5E5E5"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FC1A1E"/>
    <w:rPr>
      <w:sz w:val="24"/>
      <w:szCs w:val="24"/>
    </w:rPr>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tblBorders>
    </w:tblPr>
    <w:tblStylePr w:type="firstRow">
      <w:pPr>
        <w:spacing w:before="0" w:after="0" w:line="240" w:lineRule="auto"/>
      </w:pPr>
      <w:rPr>
        <w:b/>
        <w:bCs/>
        <w:color w:val="0072BC" w:themeColor="background1"/>
      </w:rPr>
      <w:tblPr/>
      <w:tcPr>
        <w:tc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shd w:val="clear" w:color="auto" w:fill="5F5F5F" w:themeFill="accent5"/>
      </w:tcPr>
    </w:tblStylePr>
    <w:tblStylePr w:type="lastRow">
      <w:pPr>
        <w:spacing w:before="0" w:after="0" w:line="240" w:lineRule="auto"/>
      </w:pPr>
      <w:rPr>
        <w:b/>
        <w:bCs/>
      </w:rPr>
      <w:tblPr/>
      <w:tcPr>
        <w:tcBorders>
          <w:top w:val="double" w:sz="6"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5" w:themeFillTint="3F"/>
      </w:tcPr>
    </w:tblStylePr>
    <w:tblStylePr w:type="band1Horz">
      <w:tblPr/>
      <w:tcPr>
        <w:tcBorders>
          <w:insideH w:val="nil"/>
          <w:insideV w:val="nil"/>
        </w:tcBorders>
        <w:shd w:val="clear" w:color="auto" w:fill="D7D7D7"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FC1A1E"/>
    <w:rPr>
      <w:sz w:val="24"/>
      <w:szCs w:val="24"/>
    </w:rPr>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tblBorders>
    </w:tblPr>
    <w:tblStylePr w:type="firstRow">
      <w:pPr>
        <w:spacing w:before="0" w:after="0" w:line="240" w:lineRule="auto"/>
      </w:pPr>
      <w:rPr>
        <w:b/>
        <w:bCs/>
        <w:color w:val="0072BC" w:themeColor="background1"/>
      </w:rPr>
      <w:tblPr/>
      <w:tcPr>
        <w:tc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shd w:val="clear" w:color="auto" w:fill="4D4D4D" w:themeFill="accent6"/>
      </w:tcPr>
    </w:tblStylePr>
    <w:tblStylePr w:type="lastRow">
      <w:pPr>
        <w:spacing w:before="0" w:after="0" w:line="240" w:lineRule="auto"/>
      </w:pPr>
      <w:rPr>
        <w:b/>
        <w:bCs/>
      </w:rPr>
      <w:tblPr/>
      <w:tcPr>
        <w:tcBorders>
          <w:top w:val="double" w:sz="6"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tcPr>
    </w:tblStylePr>
    <w:tblStylePr w:type="firstCol">
      <w:rPr>
        <w:b/>
        <w:bCs/>
      </w:rPr>
    </w:tblStylePr>
    <w:tblStylePr w:type="lastCol">
      <w:rPr>
        <w:b/>
        <w:bCs/>
      </w:rPr>
    </w:tblStylePr>
    <w:tblStylePr w:type="band1Vert">
      <w:tblPr/>
      <w:tcPr>
        <w:shd w:val="clear" w:color="auto" w:fill="D3D3D3" w:themeFill="accent6" w:themeFillTint="3F"/>
      </w:tcPr>
    </w:tblStylePr>
    <w:tblStylePr w:type="band1Horz">
      <w:tblPr/>
      <w:tcPr>
        <w:tcBorders>
          <w:insideH w:val="nil"/>
          <w:insideV w:val="nil"/>
        </w:tcBorders>
        <w:shd w:val="clear" w:color="auto" w:fill="D3D3D3"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FC1A1E"/>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0072BC"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FC1A1E"/>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72BC"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72BC" w:themeFill="accent1"/>
      </w:tcPr>
    </w:tblStylePr>
    <w:tblStylePr w:type="lastCol">
      <w:rPr>
        <w:b/>
        <w:bCs/>
        <w:color w:val="0072BC" w:themeColor="background1"/>
      </w:rPr>
      <w:tblPr/>
      <w:tcPr>
        <w:tcBorders>
          <w:left w:val="nil"/>
          <w:right w:val="nil"/>
          <w:insideH w:val="nil"/>
          <w:insideV w:val="nil"/>
        </w:tcBorders>
        <w:shd w:val="clear" w:color="auto" w:fill="0072BC" w:themeFill="accen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FC1A1E"/>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C0000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C00000" w:themeFill="accent2"/>
      </w:tcPr>
    </w:tblStylePr>
    <w:tblStylePr w:type="lastCol">
      <w:rPr>
        <w:b/>
        <w:bCs/>
        <w:color w:val="0072BC" w:themeColor="background1"/>
      </w:rPr>
      <w:tblPr/>
      <w:tcPr>
        <w:tcBorders>
          <w:left w:val="nil"/>
          <w:right w:val="nil"/>
          <w:insideH w:val="nil"/>
          <w:insideV w:val="nil"/>
        </w:tcBorders>
        <w:shd w:val="clear" w:color="auto" w:fill="C00000" w:themeFill="accent2"/>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FC1A1E"/>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5F5F5F"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5F5F5F" w:themeFill="accent3"/>
      </w:tcPr>
    </w:tblStylePr>
    <w:tblStylePr w:type="lastCol">
      <w:rPr>
        <w:b/>
        <w:bCs/>
        <w:color w:val="0072BC" w:themeColor="background1"/>
      </w:rPr>
      <w:tblPr/>
      <w:tcPr>
        <w:tcBorders>
          <w:left w:val="nil"/>
          <w:right w:val="nil"/>
          <w:insideH w:val="nil"/>
          <w:insideV w:val="nil"/>
        </w:tcBorders>
        <w:shd w:val="clear" w:color="auto" w:fill="5F5F5F" w:themeFill="accent3"/>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FC1A1E"/>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969696"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969696" w:themeFill="accent4"/>
      </w:tcPr>
    </w:tblStylePr>
    <w:tblStylePr w:type="lastCol">
      <w:rPr>
        <w:b/>
        <w:bCs/>
        <w:color w:val="0072BC" w:themeColor="background1"/>
      </w:rPr>
      <w:tblPr/>
      <w:tcPr>
        <w:tcBorders>
          <w:left w:val="nil"/>
          <w:right w:val="nil"/>
          <w:insideH w:val="nil"/>
          <w:insideV w:val="nil"/>
        </w:tcBorders>
        <w:shd w:val="clear" w:color="auto" w:fill="969696" w:themeFill="accent4"/>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FC1A1E"/>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5F5F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5F5F5F" w:themeFill="accent5"/>
      </w:tcPr>
    </w:tblStylePr>
    <w:tblStylePr w:type="lastCol">
      <w:rPr>
        <w:b/>
        <w:bCs/>
        <w:color w:val="0072BC" w:themeColor="background1"/>
      </w:rPr>
      <w:tblPr/>
      <w:tcPr>
        <w:tcBorders>
          <w:left w:val="nil"/>
          <w:right w:val="nil"/>
          <w:insideH w:val="nil"/>
          <w:insideV w:val="nil"/>
        </w:tcBorders>
        <w:shd w:val="clear" w:color="auto" w:fill="5F5F5F" w:themeFill="accent5"/>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FC1A1E"/>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4D4D4D"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4D4D4D" w:themeFill="accent6"/>
      </w:tcPr>
    </w:tblStylePr>
    <w:tblStylePr w:type="lastCol">
      <w:rPr>
        <w:b/>
        <w:bCs/>
        <w:color w:val="0072BC" w:themeColor="background1"/>
      </w:rPr>
      <w:tblPr/>
      <w:tcPr>
        <w:tcBorders>
          <w:left w:val="nil"/>
          <w:right w:val="nil"/>
          <w:insideH w:val="nil"/>
          <w:insideV w:val="nil"/>
        </w:tcBorders>
        <w:shd w:val="clear" w:color="auto" w:fill="4D4D4D" w:themeFill="accent6"/>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8"/>
    <w:semiHidden/>
    <w:rsid w:val="00FC1A1E"/>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8"/>
    <w:semiHidden/>
    <w:rsid w:val="00FC1A1E"/>
    <w:rPr>
      <w:rFonts w:asciiTheme="majorHAnsi" w:eastAsiaTheme="majorEastAsia" w:hAnsiTheme="majorHAnsi" w:cstheme="majorBidi"/>
      <w:sz w:val="24"/>
      <w:szCs w:val="24"/>
      <w:shd w:val="pct20" w:color="auto" w:fill="auto"/>
      <w:lang w:val="ro-RO"/>
    </w:rPr>
  </w:style>
  <w:style w:type="paragraph" w:styleId="NormalWeb">
    <w:name w:val="Normal (Web)"/>
    <w:basedOn w:val="Normal"/>
    <w:uiPriority w:val="98"/>
    <w:semiHidden/>
    <w:rsid w:val="00FC1A1E"/>
    <w:rPr>
      <w:rFonts w:ascii="Times New Roman" w:hAnsi="Times New Roman" w:cs="Times New Roman"/>
    </w:rPr>
  </w:style>
  <w:style w:type="paragraph" w:styleId="NormalIndent">
    <w:name w:val="Normal Indent"/>
    <w:basedOn w:val="Normal"/>
    <w:uiPriority w:val="98"/>
    <w:semiHidden/>
    <w:rsid w:val="00FC1A1E"/>
    <w:pPr>
      <w:ind w:left="720"/>
    </w:pPr>
  </w:style>
  <w:style w:type="paragraph" w:styleId="NoteHeading">
    <w:name w:val="Note Heading"/>
    <w:basedOn w:val="Normal"/>
    <w:next w:val="Normal"/>
    <w:link w:val="NoteHeadingChar"/>
    <w:uiPriority w:val="98"/>
    <w:semiHidden/>
    <w:rsid w:val="00FC1A1E"/>
  </w:style>
  <w:style w:type="character" w:customStyle="1" w:styleId="NoteHeadingChar">
    <w:name w:val="Note Heading Char"/>
    <w:basedOn w:val="DefaultParagraphFont"/>
    <w:link w:val="NoteHeading"/>
    <w:uiPriority w:val="98"/>
    <w:semiHidden/>
    <w:rsid w:val="00FC1A1E"/>
    <w:rPr>
      <w:sz w:val="24"/>
      <w:szCs w:val="24"/>
      <w:lang w:val="ro-RO"/>
    </w:rPr>
  </w:style>
  <w:style w:type="character" w:styleId="PlaceholderText">
    <w:name w:val="Placeholder Text"/>
    <w:basedOn w:val="DefaultParagraphFont"/>
    <w:uiPriority w:val="98"/>
    <w:semiHidden/>
    <w:rsid w:val="00FC1A1E"/>
    <w:rPr>
      <w:color w:val="auto"/>
      <w:bdr w:val="none" w:sz="0" w:space="0" w:color="auto"/>
      <w:shd w:val="clear" w:color="auto" w:fill="DFDFDF" w:themeFill="background2" w:themeFillShade="E6"/>
    </w:rPr>
  </w:style>
  <w:style w:type="paragraph" w:styleId="PlainText">
    <w:name w:val="Plain Text"/>
    <w:basedOn w:val="Normal"/>
    <w:link w:val="PlainTextChar"/>
    <w:uiPriority w:val="98"/>
    <w:semiHidden/>
    <w:rsid w:val="00FC1A1E"/>
    <w:rPr>
      <w:rFonts w:ascii="Consolas" w:hAnsi="Consolas" w:cs="Consolas"/>
      <w:sz w:val="21"/>
      <w:szCs w:val="21"/>
    </w:rPr>
  </w:style>
  <w:style w:type="character" w:customStyle="1" w:styleId="PlainTextChar">
    <w:name w:val="Plain Text Char"/>
    <w:basedOn w:val="DefaultParagraphFont"/>
    <w:link w:val="PlainText"/>
    <w:uiPriority w:val="98"/>
    <w:semiHidden/>
    <w:rsid w:val="00FC1A1E"/>
    <w:rPr>
      <w:rFonts w:ascii="Consolas" w:hAnsi="Consolas" w:cs="Consolas"/>
      <w:sz w:val="21"/>
      <w:szCs w:val="21"/>
      <w:lang w:val="ro-RO"/>
    </w:rPr>
  </w:style>
  <w:style w:type="paragraph" w:styleId="Salutation">
    <w:name w:val="Salutation"/>
    <w:basedOn w:val="Normal"/>
    <w:next w:val="Normal"/>
    <w:link w:val="SalutationChar"/>
    <w:uiPriority w:val="98"/>
    <w:semiHidden/>
    <w:rsid w:val="00FC1A1E"/>
  </w:style>
  <w:style w:type="character" w:customStyle="1" w:styleId="SalutationChar">
    <w:name w:val="Salutation Char"/>
    <w:basedOn w:val="DefaultParagraphFont"/>
    <w:link w:val="Salutation"/>
    <w:uiPriority w:val="98"/>
    <w:semiHidden/>
    <w:rsid w:val="00FC1A1E"/>
    <w:rPr>
      <w:sz w:val="24"/>
      <w:szCs w:val="24"/>
      <w:lang w:val="ro-RO"/>
    </w:rPr>
  </w:style>
  <w:style w:type="paragraph" w:styleId="Signature">
    <w:name w:val="Signature"/>
    <w:basedOn w:val="Normal"/>
    <w:link w:val="SignatureChar"/>
    <w:uiPriority w:val="98"/>
    <w:semiHidden/>
    <w:rsid w:val="00FC1A1E"/>
    <w:pPr>
      <w:ind w:left="4252"/>
    </w:pPr>
  </w:style>
  <w:style w:type="character" w:customStyle="1" w:styleId="SignatureChar">
    <w:name w:val="Signature Char"/>
    <w:basedOn w:val="DefaultParagraphFont"/>
    <w:link w:val="Signature"/>
    <w:uiPriority w:val="98"/>
    <w:semiHidden/>
    <w:rsid w:val="00FC1A1E"/>
    <w:rPr>
      <w:sz w:val="24"/>
      <w:szCs w:val="24"/>
      <w:lang w:val="ro-RO"/>
    </w:rPr>
  </w:style>
  <w:style w:type="table" w:styleId="Table3Deffects1">
    <w:name w:val="Table 3D effects 1"/>
    <w:basedOn w:val="TableNormal"/>
    <w:uiPriority w:val="99"/>
    <w:semiHidden/>
    <w:unhideWhenUsed/>
    <w:rsid w:val="00FC1A1E"/>
    <w:pPr>
      <w:jc w:val="both"/>
    </w:pPr>
    <w:rPr>
      <w:sz w:val="24"/>
      <w:szCs w:val="24"/>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FC1A1E"/>
    <w:pPr>
      <w:jc w:val="both"/>
    </w:pPr>
    <w:rPr>
      <w:sz w:val="24"/>
      <w:szCs w:val="24"/>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FC1A1E"/>
    <w:pPr>
      <w:jc w:val="both"/>
    </w:pPr>
    <w:rPr>
      <w:sz w:val="24"/>
      <w:szCs w:val="24"/>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FC1A1E"/>
    <w:pPr>
      <w:jc w:val="both"/>
    </w:pPr>
    <w:rPr>
      <w:sz w:val="24"/>
      <w:szCs w:val="24"/>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FC1A1E"/>
    <w:pPr>
      <w:jc w:val="both"/>
    </w:pPr>
    <w:rPr>
      <w:sz w:val="24"/>
      <w:szCs w:val="24"/>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FC1A1E"/>
    <w:pPr>
      <w:jc w:val="both"/>
    </w:pPr>
    <w:rPr>
      <w:color w:val="000080"/>
      <w:sz w:val="24"/>
      <w:szCs w:val="24"/>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FC1A1E"/>
    <w:pPr>
      <w:jc w:val="both"/>
    </w:pPr>
    <w:rPr>
      <w:sz w:val="24"/>
      <w:szCs w:val="24"/>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FC1A1E"/>
    <w:pPr>
      <w:jc w:val="both"/>
    </w:pPr>
    <w:rPr>
      <w:color w:val="FFFFFF"/>
      <w:sz w:val="24"/>
      <w:szCs w:val="24"/>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FC1A1E"/>
    <w:pPr>
      <w:jc w:val="both"/>
    </w:pPr>
    <w:rPr>
      <w:sz w:val="24"/>
      <w:szCs w:val="24"/>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FC1A1E"/>
    <w:pPr>
      <w:jc w:val="both"/>
    </w:pPr>
    <w:rPr>
      <w:sz w:val="24"/>
      <w:szCs w:val="24"/>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FC1A1E"/>
    <w:pPr>
      <w:jc w:val="both"/>
    </w:pPr>
    <w:rPr>
      <w:b/>
      <w:bCs/>
      <w:sz w:val="24"/>
      <w:szCs w:val="24"/>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FC1A1E"/>
    <w:pPr>
      <w:jc w:val="both"/>
    </w:pPr>
    <w:rPr>
      <w:b/>
      <w:bCs/>
      <w:sz w:val="24"/>
      <w:szCs w:val="24"/>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FC1A1E"/>
    <w:pPr>
      <w:jc w:val="both"/>
    </w:pPr>
    <w:rPr>
      <w:b/>
      <w:bCs/>
      <w:sz w:val="24"/>
      <w:szCs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FC1A1E"/>
    <w:pPr>
      <w:jc w:val="both"/>
    </w:pPr>
    <w:rPr>
      <w:sz w:val="24"/>
      <w:szCs w:val="24"/>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FC1A1E"/>
    <w:pPr>
      <w:jc w:val="both"/>
    </w:pPr>
    <w:rPr>
      <w:sz w:val="24"/>
      <w:szCs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FC1A1E"/>
    <w:pPr>
      <w:jc w:val="both"/>
    </w:pPr>
    <w:rPr>
      <w:sz w:val="24"/>
      <w:szCs w:val="24"/>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FC1A1E"/>
    <w:pPr>
      <w:jc w:val="both"/>
    </w:pPr>
    <w:rPr>
      <w:sz w:val="24"/>
      <w:szCs w:val="24"/>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FC1A1E"/>
    <w:pPr>
      <w:jc w:val="both"/>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FC1A1E"/>
    <w:pPr>
      <w:jc w:val="both"/>
    </w:pPr>
    <w:rPr>
      <w:sz w:val="24"/>
      <w:szCs w:val="24"/>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FC1A1E"/>
    <w:pPr>
      <w:jc w:val="both"/>
    </w:pPr>
    <w:rPr>
      <w:sz w:val="24"/>
      <w:szCs w:val="24"/>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FC1A1E"/>
    <w:pPr>
      <w:jc w:val="both"/>
    </w:pPr>
    <w:rPr>
      <w:sz w:val="24"/>
      <w:szCs w:val="24"/>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FC1A1E"/>
    <w:pPr>
      <w:jc w:val="both"/>
    </w:pPr>
    <w:rPr>
      <w:sz w:val="24"/>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FC1A1E"/>
    <w:pPr>
      <w:jc w:val="both"/>
    </w:pPr>
    <w:rPr>
      <w:sz w:val="24"/>
      <w:szCs w:val="24"/>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FC1A1E"/>
    <w:pPr>
      <w:jc w:val="both"/>
    </w:pPr>
    <w:rPr>
      <w:b/>
      <w:bCs/>
      <w:sz w:val="24"/>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FC1A1E"/>
    <w:pPr>
      <w:jc w:val="both"/>
    </w:pPr>
    <w:rPr>
      <w:sz w:val="24"/>
      <w:szCs w:val="24"/>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FC1A1E"/>
    <w:pPr>
      <w:jc w:val="both"/>
    </w:pPr>
    <w:rPr>
      <w:sz w:val="24"/>
      <w:szCs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FC1A1E"/>
    <w:pPr>
      <w:jc w:val="both"/>
    </w:pPr>
    <w:rPr>
      <w:sz w:val="24"/>
      <w:szCs w:val="24"/>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FC1A1E"/>
    <w:pPr>
      <w:jc w:val="both"/>
    </w:pPr>
    <w:rPr>
      <w:sz w:val="24"/>
      <w:szCs w:val="24"/>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FC1A1E"/>
    <w:pPr>
      <w:jc w:val="both"/>
    </w:pPr>
    <w:rPr>
      <w:sz w:val="24"/>
      <w:szCs w:val="24"/>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FC1A1E"/>
    <w:pPr>
      <w:jc w:val="both"/>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FC1A1E"/>
    <w:pPr>
      <w:jc w:val="both"/>
    </w:pPr>
    <w:rPr>
      <w:sz w:val="24"/>
      <w:szCs w:val="24"/>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FC1A1E"/>
    <w:pPr>
      <w:jc w:val="both"/>
    </w:pPr>
    <w:rPr>
      <w:sz w:val="24"/>
      <w:szCs w:val="24"/>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FC1A1E"/>
    <w:pPr>
      <w:jc w:val="both"/>
    </w:pPr>
    <w:rPr>
      <w:sz w:val="24"/>
      <w:szCs w:val="24"/>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8"/>
    <w:semiHidden/>
    <w:rsid w:val="00FC1A1E"/>
    <w:pPr>
      <w:ind w:left="240" w:hanging="240"/>
    </w:pPr>
  </w:style>
  <w:style w:type="paragraph" w:styleId="TableofFigures">
    <w:name w:val="table of figures"/>
    <w:basedOn w:val="Normal"/>
    <w:next w:val="Normal"/>
    <w:uiPriority w:val="98"/>
    <w:semiHidden/>
    <w:rsid w:val="00FC1A1E"/>
  </w:style>
  <w:style w:type="table" w:styleId="TableProfessional">
    <w:name w:val="Table Professional"/>
    <w:basedOn w:val="TableNormal"/>
    <w:uiPriority w:val="99"/>
    <w:semiHidden/>
    <w:unhideWhenUsed/>
    <w:rsid w:val="00FC1A1E"/>
    <w:pPr>
      <w:jc w:val="both"/>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FC1A1E"/>
    <w:pPr>
      <w:jc w:val="both"/>
    </w:pPr>
    <w:rPr>
      <w:sz w:val="24"/>
      <w:szCs w:val="24"/>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FC1A1E"/>
    <w:pPr>
      <w:jc w:val="both"/>
    </w:pPr>
    <w:rPr>
      <w:sz w:val="24"/>
      <w:szCs w:val="24"/>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FC1A1E"/>
    <w:pPr>
      <w:jc w:val="both"/>
    </w:pPr>
    <w:rPr>
      <w:sz w:val="24"/>
      <w:szCs w:val="24"/>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FC1A1E"/>
    <w:pPr>
      <w:jc w:val="both"/>
    </w:pPr>
    <w:rPr>
      <w:sz w:val="24"/>
      <w:szCs w:val="24"/>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FC1A1E"/>
    <w:pPr>
      <w:jc w:val="both"/>
    </w:pPr>
    <w:rPr>
      <w:sz w:val="24"/>
      <w:szCs w:val="24"/>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FC1A1E"/>
    <w:pPr>
      <w:jc w:val="both"/>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FC1A1E"/>
    <w:pPr>
      <w:jc w:val="both"/>
    </w:pPr>
    <w:rPr>
      <w:sz w:val="24"/>
      <w:szCs w:val="24"/>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FC1A1E"/>
    <w:pPr>
      <w:jc w:val="both"/>
    </w:pPr>
    <w:rPr>
      <w:sz w:val="24"/>
      <w:szCs w:val="24"/>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FC1A1E"/>
    <w:pPr>
      <w:jc w:val="both"/>
    </w:pPr>
    <w:rPr>
      <w:sz w:val="24"/>
      <w:szCs w:val="24"/>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C6">
    <w:name w:val="toc 6"/>
    <w:basedOn w:val="Normal"/>
    <w:next w:val="Normal"/>
    <w:autoRedefine/>
    <w:uiPriority w:val="98"/>
    <w:semiHidden/>
    <w:rsid w:val="00FC1A1E"/>
    <w:pPr>
      <w:tabs>
        <w:tab w:val="right" w:leader="dot" w:pos="7371"/>
      </w:tabs>
      <w:spacing w:after="60" w:line="240" w:lineRule="exact"/>
      <w:ind w:left="2041" w:right="567" w:hanging="340"/>
    </w:pPr>
    <w:rPr>
      <w:sz w:val="20"/>
    </w:rPr>
  </w:style>
  <w:style w:type="paragraph" w:styleId="TOC7">
    <w:name w:val="toc 7"/>
    <w:basedOn w:val="Normal"/>
    <w:next w:val="Normal"/>
    <w:autoRedefine/>
    <w:uiPriority w:val="98"/>
    <w:semiHidden/>
    <w:rsid w:val="00FC1A1E"/>
    <w:pPr>
      <w:tabs>
        <w:tab w:val="right" w:leader="dot" w:pos="7371"/>
      </w:tabs>
      <w:spacing w:after="60" w:line="240" w:lineRule="exact"/>
      <w:ind w:left="2381" w:right="567" w:hanging="340"/>
    </w:pPr>
    <w:rPr>
      <w:sz w:val="20"/>
    </w:rPr>
  </w:style>
  <w:style w:type="paragraph" w:styleId="TOC8">
    <w:name w:val="toc 8"/>
    <w:basedOn w:val="Normal"/>
    <w:next w:val="Normal"/>
    <w:autoRedefine/>
    <w:uiPriority w:val="98"/>
    <w:semiHidden/>
    <w:rsid w:val="00FC1A1E"/>
    <w:pPr>
      <w:spacing w:after="100"/>
      <w:ind w:left="1680"/>
    </w:pPr>
  </w:style>
  <w:style w:type="paragraph" w:styleId="TOC9">
    <w:name w:val="toc 9"/>
    <w:basedOn w:val="Normal"/>
    <w:next w:val="Normal"/>
    <w:autoRedefine/>
    <w:uiPriority w:val="98"/>
    <w:semiHidden/>
    <w:rsid w:val="00FC1A1E"/>
    <w:pPr>
      <w:spacing w:after="100"/>
      <w:ind w:left="1920"/>
    </w:pPr>
  </w:style>
  <w:style w:type="paragraph" w:customStyle="1" w:styleId="ECHRFooter">
    <w:name w:val="ECHR_Footer"/>
    <w:aliases w:val="Footer_ECHR"/>
    <w:basedOn w:val="Footer0"/>
    <w:uiPriority w:val="57"/>
    <w:semiHidden/>
    <w:rsid w:val="00F9130D"/>
    <w:rPr>
      <w:sz w:val="8"/>
    </w:rPr>
  </w:style>
  <w:style w:type="paragraph" w:customStyle="1" w:styleId="ECHRFooterLine">
    <w:name w:val="ECHR_Footer_Line"/>
    <w:aliases w:val="_Footer_Line"/>
    <w:basedOn w:val="Normal"/>
    <w:next w:val="Normal"/>
    <w:uiPriority w:val="29"/>
    <w:semiHidden/>
    <w:rsid w:val="00FC1A1E"/>
    <w:pPr>
      <w:pBdr>
        <w:top w:val="single" w:sz="6" w:space="1" w:color="5F5F5F"/>
      </w:pBdr>
      <w:tabs>
        <w:tab w:val="center" w:pos="3686"/>
        <w:tab w:val="right" w:pos="7371"/>
      </w:tabs>
      <w:ind w:left="-1474" w:right="-1474"/>
    </w:pPr>
    <w:rPr>
      <w:color w:val="5F5F5F"/>
    </w:rPr>
  </w:style>
  <w:style w:type="paragraph" w:customStyle="1" w:styleId="ECHRBullet2">
    <w:name w:val="ECHR_Bullet_2"/>
    <w:aliases w:val="_Bul_2"/>
    <w:basedOn w:val="ECHRBullet1"/>
    <w:uiPriority w:val="23"/>
    <w:rsid w:val="00FC1A1E"/>
    <w:pPr>
      <w:numPr>
        <w:ilvl w:val="1"/>
      </w:numPr>
    </w:pPr>
  </w:style>
  <w:style w:type="paragraph" w:customStyle="1" w:styleId="ECHRBullet3">
    <w:name w:val="ECHR_Bullet_3"/>
    <w:aliases w:val="_Bul_3"/>
    <w:basedOn w:val="ECHRBullet2"/>
    <w:uiPriority w:val="23"/>
    <w:rsid w:val="00FC1A1E"/>
    <w:pPr>
      <w:numPr>
        <w:ilvl w:val="2"/>
      </w:numPr>
    </w:pPr>
  </w:style>
  <w:style w:type="paragraph" w:customStyle="1" w:styleId="ECHRBullet4">
    <w:name w:val="ECHR_Bullet_4"/>
    <w:aliases w:val="_Bul_4"/>
    <w:basedOn w:val="ECHRBullet3"/>
    <w:uiPriority w:val="23"/>
    <w:rsid w:val="00FC1A1E"/>
    <w:pPr>
      <w:numPr>
        <w:ilvl w:val="3"/>
      </w:numPr>
    </w:pPr>
  </w:style>
  <w:style w:type="paragraph" w:customStyle="1" w:styleId="ECHRConfidential">
    <w:name w:val="ECHR_Confidential"/>
    <w:aliases w:val="_Confidential"/>
    <w:basedOn w:val="Normal"/>
    <w:next w:val="Normal"/>
    <w:uiPriority w:val="42"/>
    <w:semiHidden/>
    <w:qFormat/>
    <w:rsid w:val="00FC1A1E"/>
    <w:pPr>
      <w:jc w:val="right"/>
    </w:pPr>
    <w:rPr>
      <w:color w:val="C00000"/>
      <w:sz w:val="20"/>
    </w:rPr>
  </w:style>
  <w:style w:type="paragraph" w:customStyle="1" w:styleId="ECHRDecisionBody">
    <w:name w:val="ECHR_Decision_Body"/>
    <w:aliases w:val="_Decision_Body"/>
    <w:basedOn w:val="NormalJustified"/>
    <w:uiPriority w:val="54"/>
    <w:semiHidden/>
    <w:rsid w:val="00FC1A1E"/>
    <w:pPr>
      <w:tabs>
        <w:tab w:val="left" w:pos="567"/>
        <w:tab w:val="left" w:pos="1134"/>
      </w:tabs>
      <w:spacing w:line="240" w:lineRule="exact"/>
      <w:jc w:val="left"/>
    </w:pPr>
  </w:style>
  <w:style w:type="paragraph" w:customStyle="1" w:styleId="ECHRDivisionName">
    <w:name w:val="ECHR_DivisionName"/>
    <w:aliases w:val="_Div_Name"/>
    <w:basedOn w:val="Normal"/>
    <w:link w:val="ECHRDivisionNameChar"/>
    <w:uiPriority w:val="41"/>
    <w:semiHidden/>
    <w:qFormat/>
    <w:rsid w:val="00FC1A1E"/>
    <w:pPr>
      <w:contextualSpacing/>
      <w:jc w:val="center"/>
    </w:pPr>
    <w:rPr>
      <w:rFonts w:ascii="Arial" w:hAnsi="Arial"/>
      <w:i/>
      <w:color w:val="002856"/>
      <w:sz w:val="32"/>
    </w:rPr>
  </w:style>
  <w:style w:type="character" w:customStyle="1" w:styleId="ECHRDivisionNameChar">
    <w:name w:val="ECHR_DivisionName Char"/>
    <w:aliases w:val="_Div_Name Char"/>
    <w:basedOn w:val="DefaultParagraphFont"/>
    <w:link w:val="ECHRDivisionName"/>
    <w:uiPriority w:val="41"/>
    <w:semiHidden/>
    <w:rsid w:val="00FC1A1E"/>
    <w:rPr>
      <w:rFonts w:ascii="Arial" w:hAnsi="Arial"/>
      <w:i/>
      <w:color w:val="002856"/>
      <w:sz w:val="32"/>
      <w:szCs w:val="24"/>
      <w:lang w:val="ro-RO"/>
    </w:rPr>
  </w:style>
  <w:style w:type="paragraph" w:customStyle="1" w:styleId="DummyStyle">
    <w:name w:val="Dummy_Style"/>
    <w:aliases w:val="_Dummy"/>
    <w:basedOn w:val="Normal"/>
    <w:semiHidden/>
    <w:qFormat/>
    <w:rsid w:val="00FC1A1E"/>
    <w:rPr>
      <w:color w:val="00B050"/>
      <w:sz w:val="22"/>
    </w:rPr>
  </w:style>
  <w:style w:type="paragraph" w:customStyle="1" w:styleId="ECHRFooterLineLandscape">
    <w:name w:val="ECHR_Footer_Line_Landscape"/>
    <w:aliases w:val="_Footer_Line_Landscape"/>
    <w:basedOn w:val="Normal"/>
    <w:uiPriority w:val="29"/>
    <w:semiHidden/>
    <w:rsid w:val="00FC1A1E"/>
    <w:pPr>
      <w:pBdr>
        <w:top w:val="single" w:sz="8" w:space="1" w:color="7F7F7F" w:themeColor="text1" w:themeTint="80"/>
      </w:pBdr>
      <w:tabs>
        <w:tab w:val="center" w:pos="6146"/>
        <w:tab w:val="right" w:pos="12293"/>
      </w:tabs>
      <w:ind w:left="-1474" w:right="-1474"/>
    </w:pPr>
    <w:rPr>
      <w:color w:val="474747" w:themeColor="accent3" w:themeShade="BF"/>
      <w:sz w:val="22"/>
    </w:rPr>
  </w:style>
  <w:style w:type="paragraph" w:customStyle="1" w:styleId="ECHRParaHanging">
    <w:name w:val="ECHR_Para_Hanging"/>
    <w:aliases w:val="_Hanging"/>
    <w:basedOn w:val="NormalJustified"/>
    <w:uiPriority w:val="8"/>
    <w:semiHidden/>
    <w:qFormat/>
    <w:rsid w:val="00FC1A1E"/>
    <w:pPr>
      <w:ind w:left="567" w:hanging="567"/>
    </w:pPr>
  </w:style>
  <w:style w:type="paragraph" w:customStyle="1" w:styleId="ECHRHeading9">
    <w:name w:val="ECHR_Heading_9"/>
    <w:aliases w:val="_Head_9"/>
    <w:basedOn w:val="Heading9"/>
    <w:uiPriority w:val="17"/>
    <w:semiHidden/>
    <w:rsid w:val="00FC1A1E"/>
    <w:pPr>
      <w:keepNext/>
      <w:keepLines/>
      <w:numPr>
        <w:ilvl w:val="8"/>
        <w:numId w:val="14"/>
      </w:numPr>
      <w:spacing w:before="100" w:beforeAutospacing="1"/>
      <w:contextualSpacing/>
      <w:jc w:val="both"/>
    </w:pPr>
    <w:rPr>
      <w:i w:val="0"/>
      <w:sz w:val="18"/>
    </w:rPr>
  </w:style>
  <w:style w:type="paragraph" w:customStyle="1" w:styleId="ECHRHeaderLandscape">
    <w:name w:val="ECHR_Header_Landscape"/>
    <w:aliases w:val="_Header_Landscape"/>
    <w:basedOn w:val="JuHeader"/>
    <w:uiPriority w:val="29"/>
    <w:semiHidden/>
    <w:rsid w:val="00FC1A1E"/>
    <w:pPr>
      <w:tabs>
        <w:tab w:val="center" w:pos="6146"/>
        <w:tab w:val="right" w:pos="13778"/>
      </w:tabs>
      <w:ind w:left="-1474" w:right="-1474"/>
    </w:pPr>
  </w:style>
  <w:style w:type="paragraph" w:customStyle="1" w:styleId="ECHRParaIndent">
    <w:name w:val="ECHR_Para_Indent"/>
    <w:aliases w:val="_Indent"/>
    <w:basedOn w:val="NormalJustified"/>
    <w:uiPriority w:val="7"/>
    <w:semiHidden/>
    <w:qFormat/>
    <w:rsid w:val="00FC1A1E"/>
    <w:pPr>
      <w:spacing w:before="120" w:after="120"/>
      <w:ind w:left="567"/>
    </w:pPr>
  </w:style>
  <w:style w:type="paragraph" w:customStyle="1" w:styleId="ECHRLine">
    <w:name w:val="ECHR_Line"/>
    <w:aliases w:val="_Line"/>
    <w:basedOn w:val="NormalJustified"/>
    <w:next w:val="Normal"/>
    <w:uiPriority w:val="46"/>
    <w:semiHidden/>
    <w:rsid w:val="00FC1A1E"/>
    <w:pPr>
      <w:pBdr>
        <w:bottom w:val="single" w:sz="12" w:space="1" w:color="949494" w:themeColor="text2" w:themeShade="BF"/>
      </w:pBdr>
      <w:spacing w:after="120"/>
    </w:pPr>
    <w:rPr>
      <w:sz w:val="12"/>
    </w:rPr>
  </w:style>
  <w:style w:type="paragraph" w:customStyle="1" w:styleId="DecList">
    <w:name w:val="Dec_List"/>
    <w:aliases w:val="_List"/>
    <w:basedOn w:val="JuList"/>
    <w:uiPriority w:val="22"/>
    <w:rsid w:val="00FC1A1E"/>
    <w:pPr>
      <w:numPr>
        <w:numId w:val="0"/>
      </w:numPr>
      <w:ind w:left="284"/>
    </w:pPr>
  </w:style>
  <w:style w:type="paragraph" w:customStyle="1" w:styleId="ECHRNumberedList1">
    <w:name w:val="ECHR_Numbered_List_1"/>
    <w:aliases w:val="_Num_1"/>
    <w:basedOn w:val="NormalJustified"/>
    <w:uiPriority w:val="23"/>
    <w:semiHidden/>
    <w:qFormat/>
    <w:rsid w:val="00FC1A1E"/>
    <w:pPr>
      <w:numPr>
        <w:numId w:val="17"/>
      </w:numPr>
      <w:spacing w:before="60" w:after="60"/>
    </w:pPr>
  </w:style>
  <w:style w:type="paragraph" w:customStyle="1" w:styleId="ECHRNumberedList2">
    <w:name w:val="ECHR_Numbered_List_2"/>
    <w:aliases w:val="_Num_2"/>
    <w:basedOn w:val="ECHRNumberedList1"/>
    <w:uiPriority w:val="23"/>
    <w:semiHidden/>
    <w:rsid w:val="00FC1A1E"/>
    <w:pPr>
      <w:numPr>
        <w:ilvl w:val="1"/>
      </w:numPr>
    </w:pPr>
  </w:style>
  <w:style w:type="paragraph" w:customStyle="1" w:styleId="ECHRNumberedList3">
    <w:name w:val="ECHR_Numbered_List_3"/>
    <w:aliases w:val="_Num_3"/>
    <w:basedOn w:val="ECHRNumberedList2"/>
    <w:uiPriority w:val="23"/>
    <w:semiHidden/>
    <w:rsid w:val="00FC1A1E"/>
    <w:pPr>
      <w:numPr>
        <w:ilvl w:val="2"/>
      </w:numPr>
    </w:pPr>
  </w:style>
  <w:style w:type="paragraph" w:customStyle="1" w:styleId="ECHRPlaceholder">
    <w:name w:val="ECHR_Placeholder"/>
    <w:aliases w:val="_Placeholder"/>
    <w:basedOn w:val="JuSigned"/>
    <w:uiPriority w:val="31"/>
    <w:rsid w:val="00FC1A1E"/>
    <w:rPr>
      <w:color w:val="FFFFFF"/>
    </w:rPr>
  </w:style>
  <w:style w:type="character" w:customStyle="1" w:styleId="ECHRRed">
    <w:name w:val="ECHR_Red"/>
    <w:aliases w:val="_Red"/>
    <w:basedOn w:val="DefaultParagraphFont"/>
    <w:uiPriority w:val="15"/>
    <w:semiHidden/>
    <w:qFormat/>
    <w:rsid w:val="00FC1A1E"/>
    <w:rPr>
      <w:color w:val="C00000" w:themeColor="accent2"/>
    </w:rPr>
  </w:style>
  <w:style w:type="paragraph" w:customStyle="1" w:styleId="ECHRHeaderDate">
    <w:name w:val="ECHR_Header_Date"/>
    <w:aliases w:val="_Ref_Date"/>
    <w:basedOn w:val="Normal"/>
    <w:uiPriority w:val="44"/>
    <w:semiHidden/>
    <w:qFormat/>
    <w:rsid w:val="00FC1A1E"/>
    <w:pPr>
      <w:jc w:val="right"/>
    </w:pPr>
    <w:rPr>
      <w:sz w:val="20"/>
    </w:rPr>
  </w:style>
  <w:style w:type="paragraph" w:customStyle="1" w:styleId="ECHRHeaderRefIt">
    <w:name w:val="ECHR_Header_Ref_It"/>
    <w:aliases w:val="_Ref_Ital"/>
    <w:basedOn w:val="Normal"/>
    <w:next w:val="ECHRHeaderDate"/>
    <w:uiPriority w:val="43"/>
    <w:semiHidden/>
    <w:qFormat/>
    <w:rsid w:val="00FC1A1E"/>
    <w:pPr>
      <w:jc w:val="right"/>
    </w:pPr>
    <w:rPr>
      <w:i/>
      <w:sz w:val="20"/>
    </w:rPr>
  </w:style>
  <w:style w:type="paragraph" w:customStyle="1" w:styleId="ECHRSpacer">
    <w:name w:val="ECHR_Spacer"/>
    <w:aliases w:val="_Spacer"/>
    <w:basedOn w:val="Normal"/>
    <w:uiPriority w:val="45"/>
    <w:semiHidden/>
    <w:rsid w:val="00FC1A1E"/>
    <w:rPr>
      <w:sz w:val="4"/>
    </w:rPr>
  </w:style>
  <w:style w:type="paragraph" w:customStyle="1" w:styleId="ECHRTitleCentre1">
    <w:name w:val="ECHR_Title_Centre_1"/>
    <w:aliases w:val="_Title_C_1"/>
    <w:basedOn w:val="Normal"/>
    <w:next w:val="Normal"/>
    <w:uiPriority w:val="26"/>
    <w:semiHidden/>
    <w:qFormat/>
    <w:rsid w:val="00FC1A1E"/>
    <w:pPr>
      <w:keepNext/>
      <w:keepLines/>
      <w:spacing w:before="240"/>
      <w:contextualSpacing/>
      <w:jc w:val="center"/>
    </w:pPr>
    <w:rPr>
      <w:rFonts w:asciiTheme="majorHAnsi" w:hAnsiTheme="majorHAnsi"/>
      <w:b/>
      <w:color w:val="2F2F2F" w:themeColor="accent3" w:themeShade="80"/>
      <w:sz w:val="32"/>
    </w:rPr>
  </w:style>
  <w:style w:type="paragraph" w:customStyle="1" w:styleId="ECHRTitleCentre2">
    <w:name w:val="ECHR_Title_Centre_2"/>
    <w:aliases w:val="_Title_C_2"/>
    <w:basedOn w:val="Normal"/>
    <w:next w:val="Normal"/>
    <w:uiPriority w:val="26"/>
    <w:semiHidden/>
    <w:qFormat/>
    <w:rsid w:val="00FC1A1E"/>
    <w:pPr>
      <w:keepNext/>
      <w:keepLines/>
      <w:spacing w:before="240"/>
      <w:contextualSpacing/>
      <w:jc w:val="center"/>
    </w:pPr>
    <w:rPr>
      <w:rFonts w:asciiTheme="majorHAnsi" w:hAnsiTheme="majorHAnsi"/>
      <w:b/>
      <w:color w:val="474747" w:themeColor="accent3" w:themeShade="BF"/>
      <w:sz w:val="28"/>
    </w:rPr>
  </w:style>
  <w:style w:type="paragraph" w:customStyle="1" w:styleId="ECHRTitleCentre3">
    <w:name w:val="ECHR_Title_Centre_3"/>
    <w:aliases w:val="_Title_C_3"/>
    <w:basedOn w:val="Normal"/>
    <w:next w:val="Normal"/>
    <w:uiPriority w:val="26"/>
    <w:semiHidden/>
    <w:qFormat/>
    <w:rsid w:val="00FC1A1E"/>
    <w:pPr>
      <w:keepNext/>
      <w:keepLines/>
      <w:spacing w:before="240"/>
      <w:contextualSpacing/>
      <w:jc w:val="center"/>
    </w:pPr>
    <w:rPr>
      <w:rFonts w:asciiTheme="majorHAnsi" w:hAnsiTheme="majorHAnsi"/>
      <w:b/>
      <w:color w:val="474747" w:themeColor="accent3" w:themeShade="BF"/>
    </w:rPr>
  </w:style>
  <w:style w:type="paragraph" w:customStyle="1" w:styleId="ECHRTitleCentreTOC1">
    <w:name w:val="ECHR_Title_Centre_TOC_1"/>
    <w:aliases w:val="_Title_C_TOC"/>
    <w:basedOn w:val="ECHRTitleCentre1"/>
    <w:next w:val="Normal"/>
    <w:uiPriority w:val="25"/>
    <w:semiHidden/>
    <w:qFormat/>
    <w:rsid w:val="00FC1A1E"/>
    <w:pPr>
      <w:outlineLvl w:val="0"/>
    </w:pPr>
  </w:style>
  <w:style w:type="paragraph" w:customStyle="1" w:styleId="ECHRTitle1">
    <w:name w:val="ECHR_Title_1"/>
    <w:aliases w:val="_Title_L_1"/>
    <w:basedOn w:val="Normal"/>
    <w:next w:val="Normal"/>
    <w:uiPriority w:val="28"/>
    <w:semiHidden/>
    <w:qFormat/>
    <w:rsid w:val="00FC1A1E"/>
    <w:pPr>
      <w:keepNext/>
      <w:keepLines/>
      <w:spacing w:before="240"/>
      <w:contextualSpacing/>
    </w:pPr>
    <w:rPr>
      <w:rFonts w:asciiTheme="majorHAnsi" w:hAnsiTheme="majorHAnsi"/>
      <w:b/>
      <w:color w:val="2F2F2F" w:themeColor="accent3" w:themeShade="80"/>
      <w:sz w:val="32"/>
    </w:rPr>
  </w:style>
  <w:style w:type="paragraph" w:customStyle="1" w:styleId="ECHRTitle2">
    <w:name w:val="ECHR_Title_2"/>
    <w:aliases w:val="_Title_L_2"/>
    <w:basedOn w:val="Normal"/>
    <w:next w:val="Normal"/>
    <w:uiPriority w:val="28"/>
    <w:semiHidden/>
    <w:qFormat/>
    <w:rsid w:val="00FC1A1E"/>
    <w:pPr>
      <w:keepNext/>
      <w:keepLines/>
      <w:spacing w:before="240"/>
      <w:contextualSpacing/>
    </w:pPr>
    <w:rPr>
      <w:rFonts w:asciiTheme="majorHAnsi" w:hAnsiTheme="majorHAnsi"/>
      <w:b/>
      <w:color w:val="474747" w:themeColor="accent3" w:themeShade="BF"/>
      <w:sz w:val="28"/>
    </w:rPr>
  </w:style>
  <w:style w:type="paragraph" w:customStyle="1" w:styleId="ECHRTitle3">
    <w:name w:val="ECHR_Title_3"/>
    <w:aliases w:val="_Title_L_3"/>
    <w:basedOn w:val="Normal"/>
    <w:next w:val="Normal"/>
    <w:uiPriority w:val="28"/>
    <w:semiHidden/>
    <w:qFormat/>
    <w:rsid w:val="00FC1A1E"/>
    <w:pPr>
      <w:keepNext/>
      <w:keepLines/>
      <w:spacing w:before="240"/>
      <w:contextualSpacing/>
    </w:pPr>
    <w:rPr>
      <w:rFonts w:asciiTheme="majorHAnsi" w:hAnsiTheme="majorHAnsi"/>
      <w:b/>
      <w:color w:val="474747" w:themeColor="accent3" w:themeShade="BF"/>
    </w:rPr>
  </w:style>
  <w:style w:type="paragraph" w:customStyle="1" w:styleId="ECHRTitleTOC1">
    <w:name w:val="ECHR_Title_TOC_1"/>
    <w:aliases w:val="_Title_L_TOC"/>
    <w:basedOn w:val="ECHRTitle1"/>
    <w:next w:val="Normal"/>
    <w:uiPriority w:val="27"/>
    <w:semiHidden/>
    <w:qFormat/>
    <w:rsid w:val="00FC1A1E"/>
    <w:pPr>
      <w:outlineLvl w:val="0"/>
    </w:pPr>
  </w:style>
  <w:style w:type="table" w:customStyle="1" w:styleId="ECHRTable2">
    <w:name w:val="ECHR_Table_2"/>
    <w:basedOn w:val="TableNormal"/>
    <w:uiPriority w:val="99"/>
    <w:rsid w:val="00FC1A1E"/>
    <w:pPr>
      <w:tabs>
        <w:tab w:val="left" w:pos="567"/>
        <w:tab w:val="left" w:pos="851"/>
        <w:tab w:val="right" w:pos="5273"/>
      </w:tabs>
    </w:pPr>
    <w:rPr>
      <w:color w:val="262626" w:themeColor="text1" w:themeTint="D9"/>
      <w:sz w:val="24"/>
      <w:szCs w:val="24"/>
    </w:rPr>
    <w:tblPr>
      <w:tblStyleRowBandSize w:val="1"/>
      <w:tblStyleColBandSize w:val="1"/>
      <w:tblCellSpacing w:w="28" w:type="dxa"/>
      <w:tblInd w:w="-964" w:type="dxa"/>
      <w:tblCellMar>
        <w:top w:w="85" w:type="dxa"/>
        <w:left w:w="113" w:type="dxa"/>
        <w:bottom w:w="85" w:type="dxa"/>
        <w:right w:w="113" w:type="dxa"/>
      </w:tblCellMar>
    </w:tblPr>
    <w:trPr>
      <w:tblCellSpacing w:w="28" w:type="dxa"/>
    </w:trPr>
    <w:tblStylePr w:type="firstRow">
      <w:pPr>
        <w:jc w:val="center"/>
      </w:pPr>
      <w:rPr>
        <w:b/>
        <w:sz w:val="24"/>
      </w:rPr>
      <w:tblPr/>
      <w:tcPr>
        <w:tcBorders>
          <w:top w:val="nil"/>
          <w:left w:val="nil"/>
          <w:bottom w:val="nil"/>
          <w:right w:val="nil"/>
          <w:insideH w:val="nil"/>
          <w:insideV w:val="nil"/>
          <w:tl2br w:val="nil"/>
          <w:tr2bl w:val="nil"/>
        </w:tcBorders>
        <w:shd w:val="clear" w:color="auto" w:fill="DFDFDF" w:themeFill="background2" w:themeFillShade="E6"/>
      </w:tcPr>
    </w:tblStylePr>
    <w:tblStylePr w:type="lastRow">
      <w:rPr>
        <w:b/>
      </w:rPr>
      <w:tblPr/>
      <w:tcPr>
        <w:tcBorders>
          <w:top w:val="nil"/>
          <w:left w:val="nil"/>
          <w:bottom w:val="nil"/>
          <w:right w:val="nil"/>
          <w:insideH w:val="nil"/>
          <w:insideV w:val="nil"/>
          <w:tl2br w:val="nil"/>
          <w:tr2bl w:val="nil"/>
        </w:tcBorders>
        <w:shd w:val="clear" w:color="auto" w:fill="ECECEC"/>
      </w:tcPr>
    </w:tblStylePr>
    <w:tblStylePr w:type="firstCol">
      <w:tblPr/>
      <w:tcPr>
        <w:tcBorders>
          <w:top w:val="nil"/>
          <w:left w:val="nil"/>
          <w:bottom w:val="nil"/>
          <w:right w:val="nil"/>
          <w:insideH w:val="nil"/>
          <w:insideV w:val="nil"/>
          <w:tl2br w:val="nil"/>
          <w:tr2bl w:val="nil"/>
        </w:tcBorders>
        <w:shd w:val="clear" w:color="auto" w:fill="EFF8FF"/>
      </w:tcPr>
    </w:tblStylePr>
    <w:tblStylePr w:type="lastCol">
      <w:tblPr/>
      <w:tcPr>
        <w:tcBorders>
          <w:top w:val="nil"/>
          <w:left w:val="nil"/>
          <w:bottom w:val="nil"/>
          <w:right w:val="nil"/>
          <w:insideH w:val="nil"/>
          <w:insideV w:val="nil"/>
          <w:tl2br w:val="nil"/>
          <w:tr2bl w:val="nil"/>
        </w:tcBorders>
        <w:shd w:val="clear" w:color="auto" w:fill="F3FCE8"/>
      </w:tcPr>
    </w:tblStylePr>
    <w:tblStylePr w:type="band1Vert">
      <w:pPr>
        <w:jc w:val="center"/>
      </w:pPr>
      <w:rPr>
        <w:b/>
        <w:sz w:val="28"/>
      </w:rPr>
      <w:tblPr/>
      <w:tcPr>
        <w:tcBorders>
          <w:top w:val="nil"/>
          <w:left w:val="nil"/>
          <w:bottom w:val="nil"/>
          <w:right w:val="nil"/>
          <w:insideH w:val="nil"/>
          <w:insideV w:val="nil"/>
          <w:tl2br w:val="nil"/>
          <w:tr2bl w:val="nil"/>
        </w:tcBorders>
        <w:shd w:val="clear" w:color="auto" w:fill="A7DBFF"/>
      </w:tcPr>
    </w:tblStylePr>
    <w:tblStylePr w:type="band2Vert">
      <w:pPr>
        <w:jc w:val="center"/>
      </w:pPr>
      <w:rPr>
        <w:b/>
        <w:sz w:val="28"/>
      </w:rPr>
      <w:tblPr/>
      <w:tcPr>
        <w:tcBorders>
          <w:top w:val="nil"/>
          <w:left w:val="nil"/>
          <w:bottom w:val="nil"/>
          <w:right w:val="nil"/>
          <w:insideH w:val="nil"/>
          <w:insideV w:val="nil"/>
          <w:tl2br w:val="nil"/>
          <w:tr2bl w:val="nil"/>
        </w:tcBorders>
        <w:shd w:val="clear" w:color="auto" w:fill="C6F094"/>
      </w:tcPr>
    </w:tblStylePr>
    <w:tblStylePr w:type="band1Horz">
      <w:tblPr/>
      <w:tcPr>
        <w:tcBorders>
          <w:top w:val="nil"/>
          <w:left w:val="nil"/>
          <w:bottom w:val="nil"/>
          <w:right w:val="nil"/>
          <w:insideH w:val="nil"/>
          <w:insideV w:val="nil"/>
          <w:tl2br w:val="nil"/>
          <w:tr2bl w:val="nil"/>
        </w:tcBorders>
      </w:tcPr>
    </w:tblStylePr>
    <w:tblStylePr w:type="band2Horz">
      <w:tblPr/>
      <w:tcPr>
        <w:tcBorders>
          <w:top w:val="nil"/>
          <w:left w:val="nil"/>
          <w:bottom w:val="nil"/>
          <w:right w:val="nil"/>
          <w:insideH w:val="nil"/>
          <w:insideV w:val="nil"/>
          <w:tl2br w:val="nil"/>
          <w:tr2bl w:val="nil"/>
        </w:tcBorders>
        <w:shd w:val="clear" w:color="auto" w:fill="F8F8F8" w:themeFill="background2"/>
      </w:tcPr>
    </w:tblStylePr>
    <w:tblStylePr w:type="neCell">
      <w:pPr>
        <w:jc w:val="center"/>
      </w:pPr>
      <w:rPr>
        <w:b/>
      </w:rPr>
      <w:tblPr/>
      <w:tcPr>
        <w:tcBorders>
          <w:top w:val="nil"/>
          <w:left w:val="nil"/>
          <w:bottom w:val="nil"/>
          <w:right w:val="nil"/>
          <w:insideH w:val="nil"/>
          <w:insideV w:val="nil"/>
          <w:tl2br w:val="nil"/>
          <w:tr2bl w:val="nil"/>
        </w:tcBorders>
        <w:shd w:val="clear" w:color="auto" w:fill="DCF6BC"/>
      </w:tcPr>
    </w:tblStylePr>
    <w:tblStylePr w:type="nwCell">
      <w:pPr>
        <w:jc w:val="center"/>
      </w:pPr>
      <w:rPr>
        <w:b/>
      </w:rPr>
      <w:tblPr/>
      <w:tcPr>
        <w:tcBorders>
          <w:top w:val="nil"/>
          <w:left w:val="nil"/>
          <w:bottom w:val="nil"/>
          <w:right w:val="nil"/>
          <w:insideH w:val="nil"/>
          <w:insideV w:val="nil"/>
          <w:tl2br w:val="nil"/>
          <w:tr2bl w:val="nil"/>
        </w:tcBorders>
        <w:shd w:val="clear" w:color="auto" w:fill="CDEBFF"/>
      </w:tcPr>
    </w:tblStylePr>
    <w:tblStylePr w:type="seCell">
      <w:tblPr/>
      <w:tcPr>
        <w:tcBorders>
          <w:top w:val="nil"/>
          <w:left w:val="nil"/>
          <w:bottom w:val="nil"/>
          <w:right w:val="nil"/>
          <w:insideH w:val="nil"/>
          <w:insideV w:val="nil"/>
          <w:tl2br w:val="nil"/>
          <w:tr2bl w:val="nil"/>
        </w:tcBorders>
        <w:shd w:val="clear" w:color="auto" w:fill="C6F094"/>
      </w:tcPr>
    </w:tblStylePr>
    <w:tblStylePr w:type="swCell">
      <w:tblPr/>
      <w:tcPr>
        <w:tcBorders>
          <w:top w:val="nil"/>
          <w:left w:val="nil"/>
          <w:bottom w:val="nil"/>
          <w:right w:val="nil"/>
          <w:insideH w:val="nil"/>
          <w:insideV w:val="nil"/>
          <w:tl2br w:val="nil"/>
          <w:tr2bl w:val="nil"/>
        </w:tcBorders>
        <w:shd w:val="clear" w:color="auto" w:fill="A7DBFF"/>
      </w:tcPr>
    </w:tblStylePr>
  </w:style>
  <w:style w:type="table" w:customStyle="1" w:styleId="ECHRTable2016">
    <w:name w:val="ECHR_Table_2016"/>
    <w:basedOn w:val="TableNormal"/>
    <w:uiPriority w:val="99"/>
    <w:rsid w:val="00FC1A1E"/>
    <w:rPr>
      <w:sz w:val="24"/>
      <w:szCs w:val="24"/>
    </w:rPr>
    <w:tblPr>
      <w:tblStyleRowBandSize w:val="1"/>
      <w:tblStyleColBandSize w:val="1"/>
      <w:jc w:val="center"/>
      <w:tbl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5F5F5F" w:themeColor="accent3"/>
      </w:tblBorders>
    </w:tblPr>
    <w:trPr>
      <w:jc w:val="center"/>
    </w:trPr>
    <w:tblStylePr w:type="firstRow">
      <w:rPr>
        <w:rFonts w:asciiTheme="majorHAnsi" w:hAnsiTheme="majorHAnsi"/>
        <w:b/>
        <w:i w:val="0"/>
        <w:color w:val="F8F8F8" w:themeColor="background2"/>
        <w:sz w:val="22"/>
      </w:rPr>
      <w:tblPr/>
      <w:trPr>
        <w:tblHeader/>
      </w:tr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F8F8F8" w:themeColor="background2"/>
          <w:tl2br w:val="nil"/>
          <w:tr2bl w:val="nil"/>
        </w:tcBorders>
        <w:shd w:val="clear" w:color="auto" w:fill="5F5F5F" w:themeFill="accent3"/>
      </w:tcPr>
    </w:tblStylePr>
    <w:tblStylePr w:type="lastRow">
      <w:rPr>
        <w:b/>
        <w:i w:val="0"/>
      </w:rPr>
      <w:tblPr/>
      <w:tcPr>
        <w:tcBorders>
          <w:top w:val="single" w:sz="8" w:space="0" w:color="5F5F5F" w:themeColor="accent3"/>
          <w:left w:val="single" w:sz="4" w:space="0" w:color="5F5F5F" w:themeColor="accent3"/>
          <w:bottom w:val="single" w:sz="8" w:space="0" w:color="5F5F5F" w:themeColor="accent3"/>
          <w:right w:val="single" w:sz="4" w:space="0" w:color="5F5F5F" w:themeColor="accent3"/>
          <w:insideH w:val="nil"/>
          <w:insideV w:val="single" w:sz="4" w:space="0" w:color="5F5F5F" w:themeColor="accent3"/>
          <w:tl2br w:val="nil"/>
          <w:tr2bl w:val="nil"/>
        </w:tcBorders>
      </w:tcPr>
    </w:tblStylePr>
    <w:tblStylePr w:type="firstCol">
      <w:rPr>
        <w:rFonts w:asciiTheme="majorHAnsi" w:hAnsiTheme="majorHAnsi"/>
        <w:b/>
        <w:i w:val="0"/>
        <w:color w:val="3E3E3E" w:themeColor="background2" w:themeShade="40"/>
        <w:sz w:val="22"/>
      </w:rPr>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E8E8E8" w:themeFill="text2" w:themeFillTint="66"/>
      </w:tcPr>
    </w:tblStylePr>
    <w:tblStylePr w:type="lastCol">
      <w:rPr>
        <w:b/>
        <w:i w:val="0"/>
      </w:rPr>
    </w:tblStylePr>
    <w:tblStylePr w:type="band2Vert">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E8E8E8" w:themeFill="text2" w:themeFillTint="66"/>
      </w:tcPr>
    </w:tblStylePr>
    <w:tblStylePr w:type="band2Horz">
      <w:tblPr/>
      <w:tcPr>
        <w:tcBorders>
          <w:top w:val="single" w:sz="4" w:space="0" w:color="0072BC" w:themeColor="accent1"/>
          <w:left w:val="single" w:sz="4" w:space="0" w:color="0072BC" w:themeColor="accent1"/>
          <w:bottom w:val="single" w:sz="4" w:space="0" w:color="0072BC" w:themeColor="accent1"/>
          <w:right w:val="single" w:sz="4" w:space="0" w:color="0072BC" w:themeColor="accent1"/>
          <w:insideH w:val="single" w:sz="4" w:space="0" w:color="0072BC" w:themeColor="accent1"/>
          <w:insideV w:val="single" w:sz="4" w:space="0" w:color="0072BC" w:themeColor="accent1"/>
          <w:tl2br w:val="nil"/>
          <w:tr2bl w:val="nil"/>
        </w:tcBorders>
        <w:shd w:val="clear" w:color="auto" w:fill="E8E8E8" w:themeFill="text2" w:themeFillTint="66"/>
      </w:tcPr>
    </w:tblStylePr>
  </w:style>
  <w:style w:type="table" w:customStyle="1" w:styleId="ECHRTableGrey">
    <w:name w:val="ECHR_Table_Grey"/>
    <w:basedOn w:val="TableNormal"/>
    <w:uiPriority w:val="99"/>
    <w:rsid w:val="00FC1A1E"/>
    <w:pPr>
      <w:tabs>
        <w:tab w:val="left" w:pos="397"/>
      </w:tabs>
    </w:pPr>
    <w:tblPr>
      <w:jc w:val="center"/>
      <w:tblBorders>
        <w:top w:val="single" w:sz="4" w:space="0" w:color="636363" w:themeColor="text2" w:themeShade="80"/>
        <w:left w:val="single" w:sz="4" w:space="0" w:color="636363" w:themeColor="text2" w:themeShade="80"/>
        <w:bottom w:val="single" w:sz="4" w:space="0" w:color="636363" w:themeColor="text2" w:themeShade="80"/>
        <w:right w:val="single" w:sz="4" w:space="0" w:color="636363" w:themeColor="text2" w:themeShade="80"/>
      </w:tblBorders>
      <w:tblCellMar>
        <w:top w:w="142" w:type="dxa"/>
        <w:bottom w:w="85" w:type="dxa"/>
      </w:tblCellMar>
    </w:tblPr>
    <w:trPr>
      <w:jc w:val="center"/>
    </w:trPr>
    <w:tcPr>
      <w:shd w:val="clear" w:color="auto" w:fill="F8F8F8" w:themeFill="background2"/>
    </w:tcPr>
    <w:tblStylePr w:type="firstRow">
      <w:rPr>
        <w:b/>
        <w:color w:val="262626" w:themeColor="text1" w:themeTint="D9"/>
      </w:rPr>
    </w:tblStylePr>
  </w:style>
  <w:style w:type="table" w:styleId="GridTable1Light">
    <w:name w:val="Grid Table 1 Light"/>
    <w:basedOn w:val="TableNormal"/>
    <w:uiPriority w:val="46"/>
    <w:semiHidden/>
    <w:rsid w:val="0045116D"/>
    <w:rPr>
      <w:sz w:val="24"/>
      <w:szCs w:val="24"/>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semiHidden/>
    <w:rsid w:val="0045116D"/>
    <w:rPr>
      <w:sz w:val="24"/>
      <w:szCs w:val="24"/>
    </w:rPr>
    <w:tblPr>
      <w:tblStyleRowBandSize w:val="1"/>
      <w:tblStyleColBandSize w:val="1"/>
      <w:tblBorders>
        <w:top w:val="single" w:sz="4" w:space="0" w:color="7ECBFF" w:themeColor="accent1" w:themeTint="66"/>
        <w:left w:val="single" w:sz="4" w:space="0" w:color="7ECBFF" w:themeColor="accent1" w:themeTint="66"/>
        <w:bottom w:val="single" w:sz="4" w:space="0" w:color="7ECBFF" w:themeColor="accent1" w:themeTint="66"/>
        <w:right w:val="single" w:sz="4" w:space="0" w:color="7ECBFF" w:themeColor="accent1" w:themeTint="66"/>
        <w:insideH w:val="single" w:sz="4" w:space="0" w:color="7ECBFF" w:themeColor="accent1" w:themeTint="66"/>
        <w:insideV w:val="single" w:sz="4" w:space="0" w:color="7ECBFF" w:themeColor="accent1" w:themeTint="66"/>
      </w:tblBorders>
    </w:tblPr>
    <w:tblStylePr w:type="firstRow">
      <w:rPr>
        <w:b/>
        <w:bCs/>
      </w:rPr>
      <w:tblPr/>
      <w:tcPr>
        <w:tcBorders>
          <w:bottom w:val="single" w:sz="12" w:space="0" w:color="3DB2FF" w:themeColor="accent1" w:themeTint="99"/>
        </w:tcBorders>
      </w:tcPr>
    </w:tblStylePr>
    <w:tblStylePr w:type="lastRow">
      <w:rPr>
        <w:b/>
        <w:bCs/>
      </w:rPr>
      <w:tblPr/>
      <w:tcPr>
        <w:tcBorders>
          <w:top w:val="double" w:sz="2" w:space="0" w:color="3DB2FF"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semiHidden/>
    <w:rsid w:val="0045116D"/>
    <w:rPr>
      <w:sz w:val="24"/>
      <w:szCs w:val="24"/>
    </w:rPr>
    <w:tblPr>
      <w:tblStyleRowBandSize w:val="1"/>
      <w:tblStyleColBandSize w:val="1"/>
      <w:tblBorders>
        <w:top w:val="single" w:sz="4" w:space="0" w:color="FF7F7F" w:themeColor="accent2" w:themeTint="66"/>
        <w:left w:val="single" w:sz="4" w:space="0" w:color="FF7F7F" w:themeColor="accent2" w:themeTint="66"/>
        <w:bottom w:val="single" w:sz="4" w:space="0" w:color="FF7F7F" w:themeColor="accent2" w:themeTint="66"/>
        <w:right w:val="single" w:sz="4" w:space="0" w:color="FF7F7F" w:themeColor="accent2" w:themeTint="66"/>
        <w:insideH w:val="single" w:sz="4" w:space="0" w:color="FF7F7F" w:themeColor="accent2" w:themeTint="66"/>
        <w:insideV w:val="single" w:sz="4" w:space="0" w:color="FF7F7F" w:themeColor="accent2" w:themeTint="66"/>
      </w:tblBorders>
    </w:tblPr>
    <w:tblStylePr w:type="firstRow">
      <w:rPr>
        <w:b/>
        <w:bCs/>
      </w:rPr>
      <w:tblPr/>
      <w:tcPr>
        <w:tcBorders>
          <w:bottom w:val="single" w:sz="12" w:space="0" w:color="FF4040" w:themeColor="accent2" w:themeTint="99"/>
        </w:tcBorders>
      </w:tcPr>
    </w:tblStylePr>
    <w:tblStylePr w:type="lastRow">
      <w:rPr>
        <w:b/>
        <w:bCs/>
      </w:rPr>
      <w:tblPr/>
      <w:tcPr>
        <w:tcBorders>
          <w:top w:val="double" w:sz="2" w:space="0" w:color="FF4040"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semiHidden/>
    <w:rsid w:val="0045116D"/>
    <w:rPr>
      <w:sz w:val="24"/>
      <w:szCs w:val="24"/>
    </w:rPr>
    <w:tblPr>
      <w:tblStyleRowBandSize w:val="1"/>
      <w:tblStyleColBandSize w:val="1"/>
      <w:tblBorders>
        <w:top w:val="single" w:sz="4" w:space="0" w:color="BFBFBF" w:themeColor="accent3" w:themeTint="66"/>
        <w:left w:val="single" w:sz="4" w:space="0" w:color="BFBFBF" w:themeColor="accent3" w:themeTint="66"/>
        <w:bottom w:val="single" w:sz="4" w:space="0" w:color="BFBFBF" w:themeColor="accent3" w:themeTint="66"/>
        <w:right w:val="single" w:sz="4" w:space="0" w:color="BFBFBF" w:themeColor="accent3" w:themeTint="66"/>
        <w:insideH w:val="single" w:sz="4" w:space="0" w:color="BFBFBF" w:themeColor="accent3" w:themeTint="66"/>
        <w:insideV w:val="single" w:sz="4" w:space="0" w:color="BFBFBF" w:themeColor="accent3" w:themeTint="66"/>
      </w:tblBorders>
    </w:tblPr>
    <w:tblStylePr w:type="firstRow">
      <w:rPr>
        <w:b/>
        <w:bCs/>
      </w:rPr>
      <w:tblPr/>
      <w:tcPr>
        <w:tcBorders>
          <w:bottom w:val="single" w:sz="12" w:space="0" w:color="9F9F9F" w:themeColor="accent3" w:themeTint="99"/>
        </w:tcBorders>
      </w:tcPr>
    </w:tblStylePr>
    <w:tblStylePr w:type="lastRow">
      <w:rPr>
        <w:b/>
        <w:bCs/>
      </w:rPr>
      <w:tblPr/>
      <w:tcPr>
        <w:tcBorders>
          <w:top w:val="double" w:sz="2" w:space="0" w:color="9F9F9F"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semiHidden/>
    <w:rsid w:val="0045116D"/>
    <w:rPr>
      <w:sz w:val="24"/>
      <w:szCs w:val="24"/>
    </w:rPr>
    <w:tblPr>
      <w:tblStyleRowBandSize w:val="1"/>
      <w:tblStyleColBandSize w:val="1"/>
      <w:tblBorders>
        <w:top w:val="single" w:sz="4" w:space="0" w:color="D5D5D5" w:themeColor="accent4" w:themeTint="66"/>
        <w:left w:val="single" w:sz="4" w:space="0" w:color="D5D5D5" w:themeColor="accent4" w:themeTint="66"/>
        <w:bottom w:val="single" w:sz="4" w:space="0" w:color="D5D5D5" w:themeColor="accent4" w:themeTint="66"/>
        <w:right w:val="single" w:sz="4" w:space="0" w:color="D5D5D5" w:themeColor="accent4" w:themeTint="66"/>
        <w:insideH w:val="single" w:sz="4" w:space="0" w:color="D5D5D5" w:themeColor="accent4" w:themeTint="66"/>
        <w:insideV w:val="single" w:sz="4" w:space="0" w:color="D5D5D5" w:themeColor="accent4" w:themeTint="66"/>
      </w:tblBorders>
    </w:tblPr>
    <w:tblStylePr w:type="firstRow">
      <w:rPr>
        <w:b/>
        <w:bCs/>
      </w:rPr>
      <w:tblPr/>
      <w:tcPr>
        <w:tcBorders>
          <w:bottom w:val="single" w:sz="12" w:space="0" w:color="C0C0C0" w:themeColor="accent4" w:themeTint="99"/>
        </w:tcBorders>
      </w:tcPr>
    </w:tblStylePr>
    <w:tblStylePr w:type="lastRow">
      <w:rPr>
        <w:b/>
        <w:bCs/>
      </w:rPr>
      <w:tblPr/>
      <w:tcPr>
        <w:tcBorders>
          <w:top w:val="double" w:sz="2" w:space="0" w:color="C0C0C0"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semiHidden/>
    <w:rsid w:val="0045116D"/>
    <w:rPr>
      <w:sz w:val="24"/>
      <w:szCs w:val="24"/>
    </w:rPr>
    <w:tblPr>
      <w:tblStyleRowBandSize w:val="1"/>
      <w:tblStyleColBandSize w:val="1"/>
      <w:tblBorders>
        <w:top w:val="single" w:sz="4" w:space="0" w:color="BFBFBF" w:themeColor="accent5" w:themeTint="66"/>
        <w:left w:val="single" w:sz="4" w:space="0" w:color="BFBFBF" w:themeColor="accent5" w:themeTint="66"/>
        <w:bottom w:val="single" w:sz="4" w:space="0" w:color="BFBFBF" w:themeColor="accent5" w:themeTint="66"/>
        <w:right w:val="single" w:sz="4" w:space="0" w:color="BFBFBF" w:themeColor="accent5" w:themeTint="66"/>
        <w:insideH w:val="single" w:sz="4" w:space="0" w:color="BFBFBF" w:themeColor="accent5" w:themeTint="66"/>
        <w:insideV w:val="single" w:sz="4" w:space="0" w:color="BFBFBF" w:themeColor="accent5" w:themeTint="66"/>
      </w:tblBorders>
    </w:tblPr>
    <w:tblStylePr w:type="firstRow">
      <w:rPr>
        <w:b/>
        <w:bCs/>
      </w:rPr>
      <w:tblPr/>
      <w:tcPr>
        <w:tcBorders>
          <w:bottom w:val="single" w:sz="12" w:space="0" w:color="9F9F9F" w:themeColor="accent5" w:themeTint="99"/>
        </w:tcBorders>
      </w:tcPr>
    </w:tblStylePr>
    <w:tblStylePr w:type="lastRow">
      <w:rPr>
        <w:b/>
        <w:bCs/>
      </w:rPr>
      <w:tblPr/>
      <w:tcPr>
        <w:tcBorders>
          <w:top w:val="double" w:sz="2" w:space="0" w:color="9F9F9F"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semiHidden/>
    <w:rsid w:val="0045116D"/>
    <w:rPr>
      <w:sz w:val="24"/>
      <w:szCs w:val="24"/>
    </w:rPr>
    <w:tblPr>
      <w:tblStyleRowBandSize w:val="1"/>
      <w:tblStyleColBandSize w:val="1"/>
      <w:tblBorders>
        <w:top w:val="single" w:sz="4" w:space="0" w:color="B7B7B7" w:themeColor="accent6" w:themeTint="66"/>
        <w:left w:val="single" w:sz="4" w:space="0" w:color="B7B7B7" w:themeColor="accent6" w:themeTint="66"/>
        <w:bottom w:val="single" w:sz="4" w:space="0" w:color="B7B7B7" w:themeColor="accent6" w:themeTint="66"/>
        <w:right w:val="single" w:sz="4" w:space="0" w:color="B7B7B7" w:themeColor="accent6" w:themeTint="66"/>
        <w:insideH w:val="single" w:sz="4" w:space="0" w:color="B7B7B7" w:themeColor="accent6" w:themeTint="66"/>
        <w:insideV w:val="single" w:sz="4" w:space="0" w:color="B7B7B7" w:themeColor="accent6" w:themeTint="66"/>
      </w:tblBorders>
    </w:tblPr>
    <w:tblStylePr w:type="firstRow">
      <w:rPr>
        <w:b/>
        <w:bCs/>
      </w:rPr>
      <w:tblPr/>
      <w:tcPr>
        <w:tcBorders>
          <w:bottom w:val="single" w:sz="12" w:space="0" w:color="949494" w:themeColor="accent6" w:themeTint="99"/>
        </w:tcBorders>
      </w:tcPr>
    </w:tblStylePr>
    <w:tblStylePr w:type="lastRow">
      <w:rPr>
        <w:b/>
        <w:bCs/>
      </w:rPr>
      <w:tblPr/>
      <w:tcPr>
        <w:tcBorders>
          <w:top w:val="double" w:sz="2" w:space="0" w:color="949494"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semiHidden/>
    <w:rsid w:val="0045116D"/>
    <w:rPr>
      <w:sz w:val="24"/>
      <w:szCs w:val="24"/>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0072BC" w:themeFill="background1"/>
      </w:tcPr>
    </w:tblStylePr>
    <w:tblStylePr w:type="lastRow">
      <w:rPr>
        <w:b/>
        <w:bCs/>
      </w:rPr>
      <w:tblPr/>
      <w:tcPr>
        <w:tcBorders>
          <w:top w:val="double" w:sz="2" w:space="0" w:color="666666" w:themeColor="text1"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semiHidden/>
    <w:rsid w:val="0045116D"/>
    <w:rPr>
      <w:sz w:val="24"/>
      <w:szCs w:val="24"/>
    </w:rPr>
    <w:tblPr>
      <w:tblStyleRowBandSize w:val="1"/>
      <w:tblStyleColBandSize w:val="1"/>
      <w:tblBorders>
        <w:top w:val="single" w:sz="2" w:space="0" w:color="3DB2FF" w:themeColor="accent1" w:themeTint="99"/>
        <w:bottom w:val="single" w:sz="2" w:space="0" w:color="3DB2FF" w:themeColor="accent1" w:themeTint="99"/>
        <w:insideH w:val="single" w:sz="2" w:space="0" w:color="3DB2FF" w:themeColor="accent1" w:themeTint="99"/>
        <w:insideV w:val="single" w:sz="2" w:space="0" w:color="3DB2FF" w:themeColor="accent1" w:themeTint="99"/>
      </w:tblBorders>
    </w:tblPr>
    <w:tblStylePr w:type="firstRow">
      <w:rPr>
        <w:b/>
        <w:bCs/>
      </w:rPr>
      <w:tblPr/>
      <w:tcPr>
        <w:tcBorders>
          <w:top w:val="nil"/>
          <w:bottom w:val="single" w:sz="12" w:space="0" w:color="3DB2FF" w:themeColor="accent1" w:themeTint="99"/>
          <w:insideH w:val="nil"/>
          <w:insideV w:val="nil"/>
        </w:tcBorders>
        <w:shd w:val="clear" w:color="auto" w:fill="0072BC" w:themeFill="background1"/>
      </w:tcPr>
    </w:tblStylePr>
    <w:tblStylePr w:type="lastRow">
      <w:rPr>
        <w:b/>
        <w:bCs/>
      </w:rPr>
      <w:tblPr/>
      <w:tcPr>
        <w:tcBorders>
          <w:top w:val="double" w:sz="2" w:space="0" w:color="3DB2FF" w:themeColor="accent1"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GridTable2-Accent2">
    <w:name w:val="Grid Table 2 Accent 2"/>
    <w:basedOn w:val="TableNormal"/>
    <w:uiPriority w:val="47"/>
    <w:semiHidden/>
    <w:rsid w:val="0045116D"/>
    <w:rPr>
      <w:sz w:val="24"/>
      <w:szCs w:val="24"/>
    </w:rPr>
    <w:tblPr>
      <w:tblStyleRowBandSize w:val="1"/>
      <w:tblStyleColBandSize w:val="1"/>
      <w:tblBorders>
        <w:top w:val="single" w:sz="2" w:space="0" w:color="FF4040" w:themeColor="accent2" w:themeTint="99"/>
        <w:bottom w:val="single" w:sz="2" w:space="0" w:color="FF4040" w:themeColor="accent2" w:themeTint="99"/>
        <w:insideH w:val="single" w:sz="2" w:space="0" w:color="FF4040" w:themeColor="accent2" w:themeTint="99"/>
        <w:insideV w:val="single" w:sz="2" w:space="0" w:color="FF4040" w:themeColor="accent2" w:themeTint="99"/>
      </w:tblBorders>
    </w:tblPr>
    <w:tblStylePr w:type="firstRow">
      <w:rPr>
        <w:b/>
        <w:bCs/>
      </w:rPr>
      <w:tblPr/>
      <w:tcPr>
        <w:tcBorders>
          <w:top w:val="nil"/>
          <w:bottom w:val="single" w:sz="12" w:space="0" w:color="FF4040" w:themeColor="accent2" w:themeTint="99"/>
          <w:insideH w:val="nil"/>
          <w:insideV w:val="nil"/>
        </w:tcBorders>
        <w:shd w:val="clear" w:color="auto" w:fill="0072BC" w:themeFill="background1"/>
      </w:tcPr>
    </w:tblStylePr>
    <w:tblStylePr w:type="lastRow">
      <w:rPr>
        <w:b/>
        <w:bCs/>
      </w:rPr>
      <w:tblPr/>
      <w:tcPr>
        <w:tcBorders>
          <w:top w:val="double" w:sz="2" w:space="0" w:color="FF4040" w:themeColor="accent2"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GridTable2-Accent3">
    <w:name w:val="Grid Table 2 Accent 3"/>
    <w:basedOn w:val="TableNormal"/>
    <w:uiPriority w:val="47"/>
    <w:semiHidden/>
    <w:rsid w:val="0045116D"/>
    <w:rPr>
      <w:sz w:val="24"/>
      <w:szCs w:val="24"/>
    </w:rPr>
    <w:tblPr>
      <w:tblStyleRowBandSize w:val="1"/>
      <w:tblStyleColBandSize w:val="1"/>
      <w:tblBorders>
        <w:top w:val="single" w:sz="2" w:space="0" w:color="9F9F9F" w:themeColor="accent3" w:themeTint="99"/>
        <w:bottom w:val="single" w:sz="2" w:space="0" w:color="9F9F9F" w:themeColor="accent3" w:themeTint="99"/>
        <w:insideH w:val="single" w:sz="2" w:space="0" w:color="9F9F9F" w:themeColor="accent3" w:themeTint="99"/>
        <w:insideV w:val="single" w:sz="2" w:space="0" w:color="9F9F9F" w:themeColor="accent3" w:themeTint="99"/>
      </w:tblBorders>
    </w:tblPr>
    <w:tblStylePr w:type="firstRow">
      <w:rPr>
        <w:b/>
        <w:bCs/>
      </w:rPr>
      <w:tblPr/>
      <w:tcPr>
        <w:tcBorders>
          <w:top w:val="nil"/>
          <w:bottom w:val="single" w:sz="12" w:space="0" w:color="9F9F9F" w:themeColor="accent3" w:themeTint="99"/>
          <w:insideH w:val="nil"/>
          <w:insideV w:val="nil"/>
        </w:tcBorders>
        <w:shd w:val="clear" w:color="auto" w:fill="0072BC" w:themeFill="background1"/>
      </w:tcPr>
    </w:tblStylePr>
    <w:tblStylePr w:type="lastRow">
      <w:rPr>
        <w:b/>
        <w:bCs/>
      </w:rPr>
      <w:tblPr/>
      <w:tcPr>
        <w:tcBorders>
          <w:top w:val="double" w:sz="2" w:space="0" w:color="9F9F9F" w:themeColor="accent3"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GridTable2-Accent4">
    <w:name w:val="Grid Table 2 Accent 4"/>
    <w:basedOn w:val="TableNormal"/>
    <w:uiPriority w:val="47"/>
    <w:semiHidden/>
    <w:rsid w:val="0045116D"/>
    <w:rPr>
      <w:sz w:val="24"/>
      <w:szCs w:val="24"/>
    </w:rPr>
    <w:tblPr>
      <w:tblStyleRowBandSize w:val="1"/>
      <w:tblStyleColBandSize w:val="1"/>
      <w:tblBorders>
        <w:top w:val="single" w:sz="2" w:space="0" w:color="C0C0C0" w:themeColor="accent4" w:themeTint="99"/>
        <w:bottom w:val="single" w:sz="2" w:space="0" w:color="C0C0C0" w:themeColor="accent4" w:themeTint="99"/>
        <w:insideH w:val="single" w:sz="2" w:space="0" w:color="C0C0C0" w:themeColor="accent4" w:themeTint="99"/>
        <w:insideV w:val="single" w:sz="2" w:space="0" w:color="C0C0C0" w:themeColor="accent4" w:themeTint="99"/>
      </w:tblBorders>
    </w:tblPr>
    <w:tblStylePr w:type="firstRow">
      <w:rPr>
        <w:b/>
        <w:bCs/>
      </w:rPr>
      <w:tblPr/>
      <w:tcPr>
        <w:tcBorders>
          <w:top w:val="nil"/>
          <w:bottom w:val="single" w:sz="12" w:space="0" w:color="C0C0C0" w:themeColor="accent4" w:themeTint="99"/>
          <w:insideH w:val="nil"/>
          <w:insideV w:val="nil"/>
        </w:tcBorders>
        <w:shd w:val="clear" w:color="auto" w:fill="0072BC" w:themeFill="background1"/>
      </w:tcPr>
    </w:tblStylePr>
    <w:tblStylePr w:type="lastRow">
      <w:rPr>
        <w:b/>
        <w:bCs/>
      </w:rPr>
      <w:tblPr/>
      <w:tcPr>
        <w:tcBorders>
          <w:top w:val="double" w:sz="2" w:space="0" w:color="C0C0C0" w:themeColor="accent4"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GridTable2-Accent5">
    <w:name w:val="Grid Table 2 Accent 5"/>
    <w:basedOn w:val="TableNormal"/>
    <w:uiPriority w:val="47"/>
    <w:semiHidden/>
    <w:rsid w:val="0045116D"/>
    <w:rPr>
      <w:sz w:val="24"/>
      <w:szCs w:val="24"/>
    </w:rPr>
    <w:tblPr>
      <w:tblStyleRowBandSize w:val="1"/>
      <w:tblStyleColBandSize w:val="1"/>
      <w:tblBorders>
        <w:top w:val="single" w:sz="2" w:space="0" w:color="9F9F9F" w:themeColor="accent5" w:themeTint="99"/>
        <w:bottom w:val="single" w:sz="2" w:space="0" w:color="9F9F9F" w:themeColor="accent5" w:themeTint="99"/>
        <w:insideH w:val="single" w:sz="2" w:space="0" w:color="9F9F9F" w:themeColor="accent5" w:themeTint="99"/>
        <w:insideV w:val="single" w:sz="2" w:space="0" w:color="9F9F9F" w:themeColor="accent5" w:themeTint="99"/>
      </w:tblBorders>
    </w:tblPr>
    <w:tblStylePr w:type="firstRow">
      <w:rPr>
        <w:b/>
        <w:bCs/>
      </w:rPr>
      <w:tblPr/>
      <w:tcPr>
        <w:tcBorders>
          <w:top w:val="nil"/>
          <w:bottom w:val="single" w:sz="12" w:space="0" w:color="9F9F9F" w:themeColor="accent5" w:themeTint="99"/>
          <w:insideH w:val="nil"/>
          <w:insideV w:val="nil"/>
        </w:tcBorders>
        <w:shd w:val="clear" w:color="auto" w:fill="0072BC" w:themeFill="background1"/>
      </w:tcPr>
    </w:tblStylePr>
    <w:tblStylePr w:type="lastRow">
      <w:rPr>
        <w:b/>
        <w:bCs/>
      </w:rPr>
      <w:tblPr/>
      <w:tcPr>
        <w:tcBorders>
          <w:top w:val="double" w:sz="2" w:space="0" w:color="9F9F9F" w:themeColor="accent5"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GridTable2-Accent6">
    <w:name w:val="Grid Table 2 Accent 6"/>
    <w:basedOn w:val="TableNormal"/>
    <w:uiPriority w:val="47"/>
    <w:semiHidden/>
    <w:rsid w:val="0045116D"/>
    <w:rPr>
      <w:sz w:val="24"/>
      <w:szCs w:val="24"/>
    </w:rPr>
    <w:tblPr>
      <w:tblStyleRowBandSize w:val="1"/>
      <w:tblStyleColBandSize w:val="1"/>
      <w:tblBorders>
        <w:top w:val="single" w:sz="2" w:space="0" w:color="949494" w:themeColor="accent6" w:themeTint="99"/>
        <w:bottom w:val="single" w:sz="2" w:space="0" w:color="949494" w:themeColor="accent6" w:themeTint="99"/>
        <w:insideH w:val="single" w:sz="2" w:space="0" w:color="949494" w:themeColor="accent6" w:themeTint="99"/>
        <w:insideV w:val="single" w:sz="2" w:space="0" w:color="949494" w:themeColor="accent6" w:themeTint="99"/>
      </w:tblBorders>
    </w:tblPr>
    <w:tblStylePr w:type="firstRow">
      <w:rPr>
        <w:b/>
        <w:bCs/>
      </w:rPr>
      <w:tblPr/>
      <w:tcPr>
        <w:tcBorders>
          <w:top w:val="nil"/>
          <w:bottom w:val="single" w:sz="12" w:space="0" w:color="949494" w:themeColor="accent6" w:themeTint="99"/>
          <w:insideH w:val="nil"/>
          <w:insideV w:val="nil"/>
        </w:tcBorders>
        <w:shd w:val="clear" w:color="auto" w:fill="0072BC" w:themeFill="background1"/>
      </w:tcPr>
    </w:tblStylePr>
    <w:tblStylePr w:type="lastRow">
      <w:rPr>
        <w:b/>
        <w:bCs/>
      </w:rPr>
      <w:tblPr/>
      <w:tcPr>
        <w:tcBorders>
          <w:top w:val="double" w:sz="2" w:space="0" w:color="949494" w:themeColor="accent6"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GridTable3">
    <w:name w:val="Grid Table 3"/>
    <w:basedOn w:val="TableNormal"/>
    <w:uiPriority w:val="48"/>
    <w:semiHidden/>
    <w:rsid w:val="0045116D"/>
    <w:rPr>
      <w:sz w:val="24"/>
      <w:szCs w:val="24"/>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semiHidden/>
    <w:rsid w:val="0045116D"/>
    <w:rPr>
      <w:sz w:val="24"/>
      <w:szCs w:val="24"/>
    </w:rPr>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BEE5FF" w:themeFill="accent1" w:themeFillTint="33"/>
      </w:tcPr>
    </w:tblStylePr>
    <w:tblStylePr w:type="band1Horz">
      <w:tblPr/>
      <w:tcPr>
        <w:shd w:val="clear" w:color="auto" w:fill="BEE5FF" w:themeFill="accent1" w:themeFillTint="33"/>
      </w:tcPr>
    </w:tblStylePr>
    <w:tblStylePr w:type="neCell">
      <w:tblPr/>
      <w:tcPr>
        <w:tcBorders>
          <w:bottom w:val="single" w:sz="4" w:space="0" w:color="3DB2FF" w:themeColor="accent1" w:themeTint="99"/>
        </w:tcBorders>
      </w:tcPr>
    </w:tblStylePr>
    <w:tblStylePr w:type="nwCell">
      <w:tblPr/>
      <w:tcPr>
        <w:tcBorders>
          <w:bottom w:val="single" w:sz="4" w:space="0" w:color="3DB2FF" w:themeColor="accent1" w:themeTint="99"/>
        </w:tcBorders>
      </w:tcPr>
    </w:tblStylePr>
    <w:tblStylePr w:type="seCell">
      <w:tblPr/>
      <w:tcPr>
        <w:tcBorders>
          <w:top w:val="single" w:sz="4" w:space="0" w:color="3DB2FF" w:themeColor="accent1" w:themeTint="99"/>
        </w:tcBorders>
      </w:tcPr>
    </w:tblStylePr>
    <w:tblStylePr w:type="swCell">
      <w:tblPr/>
      <w:tcPr>
        <w:tcBorders>
          <w:top w:val="single" w:sz="4" w:space="0" w:color="3DB2FF" w:themeColor="accent1" w:themeTint="99"/>
        </w:tcBorders>
      </w:tcPr>
    </w:tblStylePr>
  </w:style>
  <w:style w:type="table" w:styleId="GridTable3-Accent2">
    <w:name w:val="Grid Table 3 Accent 2"/>
    <w:basedOn w:val="TableNormal"/>
    <w:uiPriority w:val="48"/>
    <w:semiHidden/>
    <w:rsid w:val="0045116D"/>
    <w:rPr>
      <w:sz w:val="24"/>
      <w:szCs w:val="24"/>
    </w:rPr>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FFBFBF" w:themeFill="accent2" w:themeFillTint="33"/>
      </w:tcPr>
    </w:tblStylePr>
    <w:tblStylePr w:type="band1Horz">
      <w:tblPr/>
      <w:tcPr>
        <w:shd w:val="clear" w:color="auto" w:fill="FFBFBF" w:themeFill="accent2" w:themeFillTint="33"/>
      </w:tcPr>
    </w:tblStylePr>
    <w:tblStylePr w:type="neCell">
      <w:tblPr/>
      <w:tcPr>
        <w:tcBorders>
          <w:bottom w:val="single" w:sz="4" w:space="0" w:color="FF4040" w:themeColor="accent2" w:themeTint="99"/>
        </w:tcBorders>
      </w:tcPr>
    </w:tblStylePr>
    <w:tblStylePr w:type="nwCell">
      <w:tblPr/>
      <w:tcPr>
        <w:tcBorders>
          <w:bottom w:val="single" w:sz="4" w:space="0" w:color="FF4040" w:themeColor="accent2" w:themeTint="99"/>
        </w:tcBorders>
      </w:tcPr>
    </w:tblStylePr>
    <w:tblStylePr w:type="seCell">
      <w:tblPr/>
      <w:tcPr>
        <w:tcBorders>
          <w:top w:val="single" w:sz="4" w:space="0" w:color="FF4040" w:themeColor="accent2" w:themeTint="99"/>
        </w:tcBorders>
      </w:tcPr>
    </w:tblStylePr>
    <w:tblStylePr w:type="swCell">
      <w:tblPr/>
      <w:tcPr>
        <w:tcBorders>
          <w:top w:val="single" w:sz="4" w:space="0" w:color="FF4040" w:themeColor="accent2" w:themeTint="99"/>
        </w:tcBorders>
      </w:tcPr>
    </w:tblStylePr>
  </w:style>
  <w:style w:type="table" w:styleId="GridTable3-Accent3">
    <w:name w:val="Grid Table 3 Accent 3"/>
    <w:basedOn w:val="TableNormal"/>
    <w:uiPriority w:val="48"/>
    <w:semiHidden/>
    <w:rsid w:val="0045116D"/>
    <w:rPr>
      <w:sz w:val="24"/>
      <w:szCs w:val="24"/>
    </w:rPr>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insideV w:val="single" w:sz="4" w:space="0" w:color="9F9F9F" w:themeColor="accent3"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FDFDF" w:themeFill="accent3" w:themeFillTint="33"/>
      </w:tcPr>
    </w:tblStylePr>
    <w:tblStylePr w:type="band1Horz">
      <w:tblPr/>
      <w:tcPr>
        <w:shd w:val="clear" w:color="auto" w:fill="DFDFDF" w:themeFill="accent3" w:themeFillTint="33"/>
      </w:tcPr>
    </w:tblStylePr>
    <w:tblStylePr w:type="neCell">
      <w:tblPr/>
      <w:tcPr>
        <w:tcBorders>
          <w:bottom w:val="single" w:sz="4" w:space="0" w:color="9F9F9F" w:themeColor="accent3" w:themeTint="99"/>
        </w:tcBorders>
      </w:tcPr>
    </w:tblStylePr>
    <w:tblStylePr w:type="nwCell">
      <w:tblPr/>
      <w:tcPr>
        <w:tcBorders>
          <w:bottom w:val="single" w:sz="4" w:space="0" w:color="9F9F9F" w:themeColor="accent3" w:themeTint="99"/>
        </w:tcBorders>
      </w:tcPr>
    </w:tblStylePr>
    <w:tblStylePr w:type="seCell">
      <w:tblPr/>
      <w:tcPr>
        <w:tcBorders>
          <w:top w:val="single" w:sz="4" w:space="0" w:color="9F9F9F" w:themeColor="accent3" w:themeTint="99"/>
        </w:tcBorders>
      </w:tcPr>
    </w:tblStylePr>
    <w:tblStylePr w:type="swCell">
      <w:tblPr/>
      <w:tcPr>
        <w:tcBorders>
          <w:top w:val="single" w:sz="4" w:space="0" w:color="9F9F9F" w:themeColor="accent3" w:themeTint="99"/>
        </w:tcBorders>
      </w:tcPr>
    </w:tblStylePr>
  </w:style>
  <w:style w:type="table" w:styleId="GridTable3-Accent4">
    <w:name w:val="Grid Table 3 Accent 4"/>
    <w:basedOn w:val="TableNormal"/>
    <w:uiPriority w:val="48"/>
    <w:semiHidden/>
    <w:rsid w:val="0045116D"/>
    <w:rPr>
      <w:sz w:val="24"/>
      <w:szCs w:val="24"/>
    </w:rPr>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EAEAEA" w:themeFill="accent4" w:themeFillTint="33"/>
      </w:tcPr>
    </w:tblStylePr>
    <w:tblStylePr w:type="band1Horz">
      <w:tblPr/>
      <w:tcPr>
        <w:shd w:val="clear" w:color="auto" w:fill="EAEAEA" w:themeFill="accent4" w:themeFillTint="33"/>
      </w:tcPr>
    </w:tblStylePr>
    <w:tblStylePr w:type="neCell">
      <w:tblPr/>
      <w:tcPr>
        <w:tcBorders>
          <w:bottom w:val="single" w:sz="4" w:space="0" w:color="C0C0C0" w:themeColor="accent4" w:themeTint="99"/>
        </w:tcBorders>
      </w:tcPr>
    </w:tblStylePr>
    <w:tblStylePr w:type="nwCell">
      <w:tblPr/>
      <w:tcPr>
        <w:tcBorders>
          <w:bottom w:val="single" w:sz="4" w:space="0" w:color="C0C0C0" w:themeColor="accent4" w:themeTint="99"/>
        </w:tcBorders>
      </w:tcPr>
    </w:tblStylePr>
    <w:tblStylePr w:type="seCell">
      <w:tblPr/>
      <w:tcPr>
        <w:tcBorders>
          <w:top w:val="single" w:sz="4" w:space="0" w:color="C0C0C0" w:themeColor="accent4" w:themeTint="99"/>
        </w:tcBorders>
      </w:tcPr>
    </w:tblStylePr>
    <w:tblStylePr w:type="swCell">
      <w:tblPr/>
      <w:tcPr>
        <w:tcBorders>
          <w:top w:val="single" w:sz="4" w:space="0" w:color="C0C0C0" w:themeColor="accent4" w:themeTint="99"/>
        </w:tcBorders>
      </w:tcPr>
    </w:tblStylePr>
  </w:style>
  <w:style w:type="table" w:styleId="GridTable3-Accent5">
    <w:name w:val="Grid Table 3 Accent 5"/>
    <w:basedOn w:val="TableNormal"/>
    <w:uiPriority w:val="48"/>
    <w:semiHidden/>
    <w:rsid w:val="0045116D"/>
    <w:rPr>
      <w:sz w:val="24"/>
      <w:szCs w:val="24"/>
    </w:rPr>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FDFDF" w:themeFill="accent5" w:themeFillTint="33"/>
      </w:tcPr>
    </w:tblStylePr>
    <w:tblStylePr w:type="band1Horz">
      <w:tblPr/>
      <w:tcPr>
        <w:shd w:val="clear" w:color="auto" w:fill="DFDFDF" w:themeFill="accent5" w:themeFillTint="33"/>
      </w:tcPr>
    </w:tblStylePr>
    <w:tblStylePr w:type="neCell">
      <w:tblPr/>
      <w:tcPr>
        <w:tcBorders>
          <w:bottom w:val="single" w:sz="4" w:space="0" w:color="9F9F9F" w:themeColor="accent5" w:themeTint="99"/>
        </w:tcBorders>
      </w:tcPr>
    </w:tblStylePr>
    <w:tblStylePr w:type="nwCell">
      <w:tblPr/>
      <w:tcPr>
        <w:tcBorders>
          <w:bottom w:val="single" w:sz="4" w:space="0" w:color="9F9F9F" w:themeColor="accent5" w:themeTint="99"/>
        </w:tcBorders>
      </w:tcPr>
    </w:tblStylePr>
    <w:tblStylePr w:type="seCell">
      <w:tblPr/>
      <w:tcPr>
        <w:tcBorders>
          <w:top w:val="single" w:sz="4" w:space="0" w:color="9F9F9F" w:themeColor="accent5" w:themeTint="99"/>
        </w:tcBorders>
      </w:tcPr>
    </w:tblStylePr>
    <w:tblStylePr w:type="swCell">
      <w:tblPr/>
      <w:tcPr>
        <w:tcBorders>
          <w:top w:val="single" w:sz="4" w:space="0" w:color="9F9F9F" w:themeColor="accent5" w:themeTint="99"/>
        </w:tcBorders>
      </w:tcPr>
    </w:tblStylePr>
  </w:style>
  <w:style w:type="table" w:styleId="GridTable3-Accent6">
    <w:name w:val="Grid Table 3 Accent 6"/>
    <w:basedOn w:val="TableNormal"/>
    <w:uiPriority w:val="48"/>
    <w:semiHidden/>
    <w:rsid w:val="0045116D"/>
    <w:rPr>
      <w:sz w:val="24"/>
      <w:szCs w:val="24"/>
    </w:rPr>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BDBDB" w:themeFill="accent6" w:themeFillTint="33"/>
      </w:tcPr>
    </w:tblStylePr>
    <w:tblStylePr w:type="band1Horz">
      <w:tblPr/>
      <w:tcPr>
        <w:shd w:val="clear" w:color="auto" w:fill="DBDBDB" w:themeFill="accent6" w:themeFillTint="33"/>
      </w:tcPr>
    </w:tblStylePr>
    <w:tblStylePr w:type="neCell">
      <w:tblPr/>
      <w:tcPr>
        <w:tcBorders>
          <w:bottom w:val="single" w:sz="4" w:space="0" w:color="949494" w:themeColor="accent6" w:themeTint="99"/>
        </w:tcBorders>
      </w:tcPr>
    </w:tblStylePr>
    <w:tblStylePr w:type="nwCell">
      <w:tblPr/>
      <w:tcPr>
        <w:tcBorders>
          <w:bottom w:val="single" w:sz="4" w:space="0" w:color="949494" w:themeColor="accent6" w:themeTint="99"/>
        </w:tcBorders>
      </w:tcPr>
    </w:tblStylePr>
    <w:tblStylePr w:type="seCell">
      <w:tblPr/>
      <w:tcPr>
        <w:tcBorders>
          <w:top w:val="single" w:sz="4" w:space="0" w:color="949494" w:themeColor="accent6" w:themeTint="99"/>
        </w:tcBorders>
      </w:tcPr>
    </w:tblStylePr>
    <w:tblStylePr w:type="swCell">
      <w:tblPr/>
      <w:tcPr>
        <w:tcBorders>
          <w:top w:val="single" w:sz="4" w:space="0" w:color="949494" w:themeColor="accent6" w:themeTint="99"/>
        </w:tcBorders>
      </w:tcPr>
    </w:tblStylePr>
  </w:style>
  <w:style w:type="table" w:styleId="GridTable4">
    <w:name w:val="Grid Table 4"/>
    <w:basedOn w:val="TableNormal"/>
    <w:uiPriority w:val="49"/>
    <w:semiHidden/>
    <w:rsid w:val="0045116D"/>
    <w:rPr>
      <w:sz w:val="24"/>
      <w:szCs w:val="24"/>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0072BC"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semiHidden/>
    <w:rsid w:val="0045116D"/>
    <w:rPr>
      <w:sz w:val="24"/>
      <w:szCs w:val="24"/>
    </w:rPr>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color w:val="0072BC" w:themeColor="background1"/>
      </w:rPr>
      <w:tblPr/>
      <w:tcPr>
        <w:tcBorders>
          <w:top w:val="single" w:sz="4" w:space="0" w:color="0072BC" w:themeColor="accent1"/>
          <w:left w:val="single" w:sz="4" w:space="0" w:color="0072BC" w:themeColor="accent1"/>
          <w:bottom w:val="single" w:sz="4" w:space="0" w:color="0072BC" w:themeColor="accent1"/>
          <w:right w:val="single" w:sz="4" w:space="0" w:color="0072BC" w:themeColor="accent1"/>
          <w:insideH w:val="nil"/>
          <w:insideV w:val="nil"/>
        </w:tcBorders>
        <w:shd w:val="clear" w:color="auto" w:fill="0072BC" w:themeFill="accent1"/>
      </w:tcPr>
    </w:tblStylePr>
    <w:tblStylePr w:type="lastRow">
      <w:rPr>
        <w:b/>
        <w:bCs/>
      </w:rPr>
      <w:tblPr/>
      <w:tcPr>
        <w:tcBorders>
          <w:top w:val="double" w:sz="4" w:space="0" w:color="0072BC" w:themeColor="accent1"/>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GridTable4-Accent2">
    <w:name w:val="Grid Table 4 Accent 2"/>
    <w:basedOn w:val="TableNormal"/>
    <w:uiPriority w:val="49"/>
    <w:semiHidden/>
    <w:rsid w:val="0045116D"/>
    <w:rPr>
      <w:sz w:val="24"/>
      <w:szCs w:val="24"/>
    </w:rPr>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color w:val="0072BC" w:themeColor="background1"/>
      </w:rPr>
      <w:tblPr/>
      <w:tcPr>
        <w:tcBorders>
          <w:top w:val="single" w:sz="4" w:space="0" w:color="C00000" w:themeColor="accent2"/>
          <w:left w:val="single" w:sz="4" w:space="0" w:color="C00000" w:themeColor="accent2"/>
          <w:bottom w:val="single" w:sz="4" w:space="0" w:color="C00000" w:themeColor="accent2"/>
          <w:right w:val="single" w:sz="4" w:space="0" w:color="C00000" w:themeColor="accent2"/>
          <w:insideH w:val="nil"/>
          <w:insideV w:val="nil"/>
        </w:tcBorders>
        <w:shd w:val="clear" w:color="auto" w:fill="C00000" w:themeFill="accent2"/>
      </w:tcPr>
    </w:tblStylePr>
    <w:tblStylePr w:type="lastRow">
      <w:rPr>
        <w:b/>
        <w:bCs/>
      </w:rPr>
      <w:tblPr/>
      <w:tcPr>
        <w:tcBorders>
          <w:top w:val="double" w:sz="4" w:space="0" w:color="C00000" w:themeColor="accent2"/>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GridTable4-Accent3">
    <w:name w:val="Grid Table 4 Accent 3"/>
    <w:basedOn w:val="TableNormal"/>
    <w:uiPriority w:val="49"/>
    <w:semiHidden/>
    <w:rsid w:val="0045116D"/>
    <w:rPr>
      <w:sz w:val="24"/>
      <w:szCs w:val="24"/>
    </w:rPr>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insideV w:val="single" w:sz="4" w:space="0" w:color="9F9F9F" w:themeColor="accent3" w:themeTint="99"/>
      </w:tblBorders>
    </w:tblPr>
    <w:tblStylePr w:type="firstRow">
      <w:rPr>
        <w:b/>
        <w:bCs/>
        <w:color w:val="0072BC" w:themeColor="background1"/>
      </w:rPr>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cBorders>
        <w:shd w:val="clear" w:color="auto" w:fill="5F5F5F" w:themeFill="accent3"/>
      </w:tcPr>
    </w:tblStylePr>
    <w:tblStylePr w:type="lastRow">
      <w:rPr>
        <w:b/>
        <w:bCs/>
      </w:rPr>
      <w:tblPr/>
      <w:tcPr>
        <w:tcBorders>
          <w:top w:val="double" w:sz="4" w:space="0" w:color="5F5F5F" w:themeColor="accent3"/>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GridTable4-Accent4">
    <w:name w:val="Grid Table 4 Accent 4"/>
    <w:basedOn w:val="TableNormal"/>
    <w:uiPriority w:val="49"/>
    <w:semiHidden/>
    <w:rsid w:val="0045116D"/>
    <w:rPr>
      <w:sz w:val="24"/>
      <w:szCs w:val="24"/>
    </w:rPr>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color w:val="0072BC" w:themeColor="background1"/>
      </w:rPr>
      <w:tblPr/>
      <w:tcPr>
        <w:tcBorders>
          <w:top w:val="single" w:sz="4" w:space="0" w:color="969696" w:themeColor="accent4"/>
          <w:left w:val="single" w:sz="4" w:space="0" w:color="969696" w:themeColor="accent4"/>
          <w:bottom w:val="single" w:sz="4" w:space="0" w:color="969696" w:themeColor="accent4"/>
          <w:right w:val="single" w:sz="4" w:space="0" w:color="969696" w:themeColor="accent4"/>
          <w:insideH w:val="nil"/>
          <w:insideV w:val="nil"/>
        </w:tcBorders>
        <w:shd w:val="clear" w:color="auto" w:fill="969696" w:themeFill="accent4"/>
      </w:tcPr>
    </w:tblStylePr>
    <w:tblStylePr w:type="lastRow">
      <w:rPr>
        <w:b/>
        <w:bCs/>
      </w:rPr>
      <w:tblPr/>
      <w:tcPr>
        <w:tcBorders>
          <w:top w:val="double" w:sz="4" w:space="0" w:color="969696" w:themeColor="accent4"/>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GridTable4-Accent5">
    <w:name w:val="Grid Table 4 Accent 5"/>
    <w:basedOn w:val="TableNormal"/>
    <w:uiPriority w:val="49"/>
    <w:semiHidden/>
    <w:rsid w:val="0045116D"/>
    <w:rPr>
      <w:sz w:val="24"/>
      <w:szCs w:val="24"/>
    </w:rPr>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color w:val="0072BC" w:themeColor="background1"/>
      </w:rPr>
      <w:tblPr/>
      <w:tcPr>
        <w:tcBorders>
          <w:top w:val="single" w:sz="4" w:space="0" w:color="5F5F5F" w:themeColor="accent5"/>
          <w:left w:val="single" w:sz="4" w:space="0" w:color="5F5F5F" w:themeColor="accent5"/>
          <w:bottom w:val="single" w:sz="4" w:space="0" w:color="5F5F5F" w:themeColor="accent5"/>
          <w:right w:val="single" w:sz="4" w:space="0" w:color="5F5F5F" w:themeColor="accent5"/>
          <w:insideH w:val="nil"/>
          <w:insideV w:val="nil"/>
        </w:tcBorders>
        <w:shd w:val="clear" w:color="auto" w:fill="5F5F5F" w:themeFill="accent5"/>
      </w:tcPr>
    </w:tblStylePr>
    <w:tblStylePr w:type="lastRow">
      <w:rPr>
        <w:b/>
        <w:bCs/>
      </w:rPr>
      <w:tblPr/>
      <w:tcPr>
        <w:tcBorders>
          <w:top w:val="double" w:sz="4" w:space="0" w:color="5F5F5F" w:themeColor="accent5"/>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GridTable4-Accent6">
    <w:name w:val="Grid Table 4 Accent 6"/>
    <w:basedOn w:val="TableNormal"/>
    <w:uiPriority w:val="49"/>
    <w:semiHidden/>
    <w:rsid w:val="0045116D"/>
    <w:rPr>
      <w:sz w:val="24"/>
      <w:szCs w:val="24"/>
    </w:rPr>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color w:val="0072BC" w:themeColor="background1"/>
      </w:rPr>
      <w:tblPr/>
      <w:tcPr>
        <w:tcBorders>
          <w:top w:val="single" w:sz="4" w:space="0" w:color="4D4D4D" w:themeColor="accent6"/>
          <w:left w:val="single" w:sz="4" w:space="0" w:color="4D4D4D" w:themeColor="accent6"/>
          <w:bottom w:val="single" w:sz="4" w:space="0" w:color="4D4D4D" w:themeColor="accent6"/>
          <w:right w:val="single" w:sz="4" w:space="0" w:color="4D4D4D" w:themeColor="accent6"/>
          <w:insideH w:val="nil"/>
          <w:insideV w:val="nil"/>
        </w:tcBorders>
        <w:shd w:val="clear" w:color="auto" w:fill="4D4D4D" w:themeFill="accent6"/>
      </w:tcPr>
    </w:tblStylePr>
    <w:tblStylePr w:type="lastRow">
      <w:rPr>
        <w:b/>
        <w:bCs/>
      </w:rPr>
      <w:tblPr/>
      <w:tcPr>
        <w:tcBorders>
          <w:top w:val="double" w:sz="4" w:space="0" w:color="4D4D4D" w:themeColor="accent6"/>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GridTable5Dark">
    <w:name w:val="Grid Table 5 Dark"/>
    <w:basedOn w:val="TableNormal"/>
    <w:uiPriority w:val="50"/>
    <w:semiHidden/>
    <w:rsid w:val="0045116D"/>
    <w:rPr>
      <w:sz w:val="24"/>
      <w:szCs w:val="24"/>
    </w:rPr>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CCCCCC" w:themeFill="text1"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000000" w:themeFill="text1"/>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000000" w:themeFill="text1"/>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000000" w:themeFill="text1"/>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semiHidden/>
    <w:rsid w:val="0045116D"/>
    <w:rPr>
      <w:sz w:val="24"/>
      <w:szCs w:val="24"/>
    </w:rPr>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BEE5FF" w:themeFill="accent1"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0072BC" w:themeFill="accent1"/>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0072BC" w:themeFill="accent1"/>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0072BC" w:themeFill="accent1"/>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0072BC" w:themeFill="accent1"/>
      </w:tcPr>
    </w:tblStylePr>
    <w:tblStylePr w:type="band1Vert">
      <w:tblPr/>
      <w:tcPr>
        <w:shd w:val="clear" w:color="auto" w:fill="7ECBFF" w:themeFill="accent1" w:themeFillTint="66"/>
      </w:tcPr>
    </w:tblStylePr>
    <w:tblStylePr w:type="band1Horz">
      <w:tblPr/>
      <w:tcPr>
        <w:shd w:val="clear" w:color="auto" w:fill="7ECBFF" w:themeFill="accent1" w:themeFillTint="66"/>
      </w:tcPr>
    </w:tblStylePr>
  </w:style>
  <w:style w:type="table" w:styleId="GridTable5Dark-Accent2">
    <w:name w:val="Grid Table 5 Dark Accent 2"/>
    <w:basedOn w:val="TableNormal"/>
    <w:uiPriority w:val="50"/>
    <w:semiHidden/>
    <w:rsid w:val="0045116D"/>
    <w:rPr>
      <w:sz w:val="24"/>
      <w:szCs w:val="24"/>
    </w:rPr>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FFBFBF" w:themeFill="accent2"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C00000" w:themeFill="accent2"/>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C00000" w:themeFill="accent2"/>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C00000" w:themeFill="accent2"/>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C00000" w:themeFill="accent2"/>
      </w:tcPr>
    </w:tblStylePr>
    <w:tblStylePr w:type="band1Vert">
      <w:tblPr/>
      <w:tcPr>
        <w:shd w:val="clear" w:color="auto" w:fill="FF7F7F" w:themeFill="accent2" w:themeFillTint="66"/>
      </w:tcPr>
    </w:tblStylePr>
    <w:tblStylePr w:type="band1Horz">
      <w:tblPr/>
      <w:tcPr>
        <w:shd w:val="clear" w:color="auto" w:fill="FF7F7F" w:themeFill="accent2" w:themeFillTint="66"/>
      </w:tcPr>
    </w:tblStylePr>
  </w:style>
  <w:style w:type="table" w:styleId="GridTable5Dark-Accent3">
    <w:name w:val="Grid Table 5 Dark Accent 3"/>
    <w:basedOn w:val="TableNormal"/>
    <w:uiPriority w:val="50"/>
    <w:semiHidden/>
    <w:rsid w:val="0045116D"/>
    <w:rPr>
      <w:sz w:val="24"/>
      <w:szCs w:val="24"/>
    </w:rPr>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DFDFDF" w:themeFill="accent3"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5F5F5F" w:themeFill="accent3"/>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5F5F5F" w:themeFill="accent3"/>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5F5F5F" w:themeFill="accent3"/>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5F5F5F" w:themeFill="accent3"/>
      </w:tcPr>
    </w:tblStylePr>
    <w:tblStylePr w:type="band1Vert">
      <w:tblPr/>
      <w:tcPr>
        <w:shd w:val="clear" w:color="auto" w:fill="BFBFBF" w:themeFill="accent3" w:themeFillTint="66"/>
      </w:tcPr>
    </w:tblStylePr>
    <w:tblStylePr w:type="band1Horz">
      <w:tblPr/>
      <w:tcPr>
        <w:shd w:val="clear" w:color="auto" w:fill="BFBFBF" w:themeFill="accent3" w:themeFillTint="66"/>
      </w:tcPr>
    </w:tblStylePr>
  </w:style>
  <w:style w:type="table" w:styleId="GridTable5Dark-Accent4">
    <w:name w:val="Grid Table 5 Dark Accent 4"/>
    <w:basedOn w:val="TableNormal"/>
    <w:uiPriority w:val="50"/>
    <w:semiHidden/>
    <w:rsid w:val="0045116D"/>
    <w:rPr>
      <w:sz w:val="24"/>
      <w:szCs w:val="24"/>
    </w:rPr>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EAEAEA" w:themeFill="accent4"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969696" w:themeFill="accent4"/>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969696" w:themeFill="accent4"/>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969696" w:themeFill="accent4"/>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969696" w:themeFill="accent4"/>
      </w:tcPr>
    </w:tblStylePr>
    <w:tblStylePr w:type="band1Vert">
      <w:tblPr/>
      <w:tcPr>
        <w:shd w:val="clear" w:color="auto" w:fill="D5D5D5" w:themeFill="accent4" w:themeFillTint="66"/>
      </w:tcPr>
    </w:tblStylePr>
    <w:tblStylePr w:type="band1Horz">
      <w:tblPr/>
      <w:tcPr>
        <w:shd w:val="clear" w:color="auto" w:fill="D5D5D5" w:themeFill="accent4" w:themeFillTint="66"/>
      </w:tcPr>
    </w:tblStylePr>
  </w:style>
  <w:style w:type="table" w:styleId="GridTable5Dark-Accent5">
    <w:name w:val="Grid Table 5 Dark Accent 5"/>
    <w:basedOn w:val="TableNormal"/>
    <w:uiPriority w:val="50"/>
    <w:semiHidden/>
    <w:rsid w:val="0045116D"/>
    <w:rPr>
      <w:sz w:val="24"/>
      <w:szCs w:val="24"/>
    </w:rPr>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DFDFDF" w:themeFill="accent5"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5F5F5F" w:themeFill="accent5"/>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5F5F5F" w:themeFill="accent5"/>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5F5F5F" w:themeFill="accent5"/>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5F5F5F" w:themeFill="accent5"/>
      </w:tcPr>
    </w:tblStylePr>
    <w:tblStylePr w:type="band1Vert">
      <w:tblPr/>
      <w:tcPr>
        <w:shd w:val="clear" w:color="auto" w:fill="BFBFBF" w:themeFill="accent5" w:themeFillTint="66"/>
      </w:tcPr>
    </w:tblStylePr>
    <w:tblStylePr w:type="band1Horz">
      <w:tblPr/>
      <w:tcPr>
        <w:shd w:val="clear" w:color="auto" w:fill="BFBFBF" w:themeFill="accent5" w:themeFillTint="66"/>
      </w:tcPr>
    </w:tblStylePr>
  </w:style>
  <w:style w:type="table" w:styleId="GridTable5Dark-Accent6">
    <w:name w:val="Grid Table 5 Dark Accent 6"/>
    <w:basedOn w:val="TableNormal"/>
    <w:uiPriority w:val="50"/>
    <w:semiHidden/>
    <w:rsid w:val="0045116D"/>
    <w:rPr>
      <w:sz w:val="24"/>
      <w:szCs w:val="24"/>
    </w:rPr>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DBDBDB" w:themeFill="accent6"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4D4D4D" w:themeFill="accent6"/>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4D4D4D" w:themeFill="accent6"/>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4D4D4D" w:themeFill="accent6"/>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4D4D4D" w:themeFill="accent6"/>
      </w:tcPr>
    </w:tblStylePr>
    <w:tblStylePr w:type="band1Vert">
      <w:tblPr/>
      <w:tcPr>
        <w:shd w:val="clear" w:color="auto" w:fill="B7B7B7" w:themeFill="accent6" w:themeFillTint="66"/>
      </w:tcPr>
    </w:tblStylePr>
    <w:tblStylePr w:type="band1Horz">
      <w:tblPr/>
      <w:tcPr>
        <w:shd w:val="clear" w:color="auto" w:fill="B7B7B7" w:themeFill="accent6" w:themeFillTint="66"/>
      </w:tcPr>
    </w:tblStylePr>
  </w:style>
  <w:style w:type="table" w:styleId="GridTable6Colorful">
    <w:name w:val="Grid Table 6 Colorful"/>
    <w:basedOn w:val="TableNormal"/>
    <w:uiPriority w:val="51"/>
    <w:semiHidden/>
    <w:rsid w:val="0045116D"/>
    <w:rPr>
      <w:color w:val="000000" w:themeColor="text1"/>
      <w:sz w:val="24"/>
      <w:szCs w:val="24"/>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semiHidden/>
    <w:rsid w:val="0045116D"/>
    <w:rPr>
      <w:color w:val="00548C" w:themeColor="accent1" w:themeShade="BF"/>
      <w:sz w:val="24"/>
      <w:szCs w:val="24"/>
    </w:rPr>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rPr>
      <w:tblPr/>
      <w:tcPr>
        <w:tcBorders>
          <w:bottom w:val="single" w:sz="12" w:space="0" w:color="3DB2FF" w:themeColor="accent1" w:themeTint="99"/>
        </w:tcBorders>
      </w:tcPr>
    </w:tblStylePr>
    <w:tblStylePr w:type="lastRow">
      <w:rPr>
        <w:b/>
        <w:bCs/>
      </w:rPr>
      <w:tblPr/>
      <w:tcPr>
        <w:tcBorders>
          <w:top w:val="double" w:sz="4" w:space="0" w:color="3DB2FF" w:themeColor="accent1" w:themeTint="99"/>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GridTable6Colorful-Accent2">
    <w:name w:val="Grid Table 6 Colorful Accent 2"/>
    <w:basedOn w:val="TableNormal"/>
    <w:uiPriority w:val="51"/>
    <w:semiHidden/>
    <w:rsid w:val="0045116D"/>
    <w:rPr>
      <w:color w:val="8F0000" w:themeColor="accent2" w:themeShade="BF"/>
      <w:sz w:val="24"/>
      <w:szCs w:val="24"/>
    </w:rPr>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rPr>
      <w:tblPr/>
      <w:tcPr>
        <w:tcBorders>
          <w:bottom w:val="single" w:sz="12" w:space="0" w:color="FF4040" w:themeColor="accent2" w:themeTint="99"/>
        </w:tcBorders>
      </w:tcPr>
    </w:tblStylePr>
    <w:tblStylePr w:type="lastRow">
      <w:rPr>
        <w:b/>
        <w:bCs/>
      </w:rPr>
      <w:tblPr/>
      <w:tcPr>
        <w:tcBorders>
          <w:top w:val="double" w:sz="4" w:space="0" w:color="FF4040" w:themeColor="accent2" w:themeTint="99"/>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GridTable6Colorful-Accent3">
    <w:name w:val="Grid Table 6 Colorful Accent 3"/>
    <w:basedOn w:val="TableNormal"/>
    <w:uiPriority w:val="51"/>
    <w:semiHidden/>
    <w:rsid w:val="0045116D"/>
    <w:rPr>
      <w:color w:val="474747" w:themeColor="accent3" w:themeShade="BF"/>
      <w:sz w:val="24"/>
      <w:szCs w:val="24"/>
    </w:rPr>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insideV w:val="single" w:sz="4" w:space="0" w:color="9F9F9F" w:themeColor="accent3" w:themeTint="99"/>
      </w:tblBorders>
    </w:tblPr>
    <w:tblStylePr w:type="firstRow">
      <w:rPr>
        <w:b/>
        <w:bCs/>
      </w:rPr>
      <w:tblPr/>
      <w:tcPr>
        <w:tcBorders>
          <w:bottom w:val="single" w:sz="12" w:space="0" w:color="9F9F9F" w:themeColor="accent3" w:themeTint="99"/>
        </w:tcBorders>
      </w:tcPr>
    </w:tblStylePr>
    <w:tblStylePr w:type="lastRow">
      <w:rPr>
        <w:b/>
        <w:bCs/>
      </w:rPr>
      <w:tblPr/>
      <w:tcPr>
        <w:tcBorders>
          <w:top w:val="double" w:sz="4" w:space="0" w:color="9F9F9F" w:themeColor="accent3" w:themeTint="99"/>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GridTable6Colorful-Accent4">
    <w:name w:val="Grid Table 6 Colorful Accent 4"/>
    <w:basedOn w:val="TableNormal"/>
    <w:uiPriority w:val="51"/>
    <w:semiHidden/>
    <w:rsid w:val="0045116D"/>
    <w:rPr>
      <w:color w:val="707070" w:themeColor="accent4" w:themeShade="BF"/>
      <w:sz w:val="24"/>
      <w:szCs w:val="24"/>
    </w:rPr>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rPr>
      <w:tblPr/>
      <w:tcPr>
        <w:tcBorders>
          <w:bottom w:val="single" w:sz="12" w:space="0" w:color="C0C0C0" w:themeColor="accent4" w:themeTint="99"/>
        </w:tcBorders>
      </w:tcPr>
    </w:tblStylePr>
    <w:tblStylePr w:type="lastRow">
      <w:rPr>
        <w:b/>
        <w:bCs/>
      </w:rPr>
      <w:tblPr/>
      <w:tcPr>
        <w:tcBorders>
          <w:top w:val="double" w:sz="4" w:space="0" w:color="C0C0C0" w:themeColor="accent4" w:themeTint="99"/>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GridTable6Colorful-Accent5">
    <w:name w:val="Grid Table 6 Colorful Accent 5"/>
    <w:basedOn w:val="TableNormal"/>
    <w:uiPriority w:val="51"/>
    <w:semiHidden/>
    <w:rsid w:val="0045116D"/>
    <w:rPr>
      <w:color w:val="474747" w:themeColor="accent5" w:themeShade="BF"/>
      <w:sz w:val="24"/>
      <w:szCs w:val="24"/>
    </w:rPr>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rPr>
      <w:tblPr/>
      <w:tcPr>
        <w:tcBorders>
          <w:bottom w:val="single" w:sz="12" w:space="0" w:color="9F9F9F" w:themeColor="accent5" w:themeTint="99"/>
        </w:tcBorders>
      </w:tcPr>
    </w:tblStylePr>
    <w:tblStylePr w:type="lastRow">
      <w:rPr>
        <w:b/>
        <w:bCs/>
      </w:rPr>
      <w:tblPr/>
      <w:tcPr>
        <w:tcBorders>
          <w:top w:val="double" w:sz="4" w:space="0" w:color="9F9F9F" w:themeColor="accent5" w:themeTint="99"/>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GridTable6Colorful-Accent6">
    <w:name w:val="Grid Table 6 Colorful Accent 6"/>
    <w:basedOn w:val="TableNormal"/>
    <w:uiPriority w:val="51"/>
    <w:semiHidden/>
    <w:rsid w:val="0045116D"/>
    <w:rPr>
      <w:color w:val="393939" w:themeColor="accent6" w:themeShade="BF"/>
      <w:sz w:val="24"/>
      <w:szCs w:val="24"/>
    </w:rPr>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rPr>
      <w:tblPr/>
      <w:tcPr>
        <w:tcBorders>
          <w:bottom w:val="single" w:sz="12" w:space="0" w:color="949494" w:themeColor="accent6" w:themeTint="99"/>
        </w:tcBorders>
      </w:tcPr>
    </w:tblStylePr>
    <w:tblStylePr w:type="lastRow">
      <w:rPr>
        <w:b/>
        <w:bCs/>
      </w:rPr>
      <w:tblPr/>
      <w:tcPr>
        <w:tcBorders>
          <w:top w:val="doub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GridTable7Colorful">
    <w:name w:val="Grid Table 7 Colorful"/>
    <w:basedOn w:val="TableNormal"/>
    <w:uiPriority w:val="52"/>
    <w:semiHidden/>
    <w:rsid w:val="0045116D"/>
    <w:rPr>
      <w:color w:val="000000" w:themeColor="text1"/>
      <w:sz w:val="24"/>
      <w:szCs w:val="24"/>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semiHidden/>
    <w:rsid w:val="0045116D"/>
    <w:rPr>
      <w:color w:val="00548C" w:themeColor="accent1" w:themeShade="BF"/>
      <w:sz w:val="24"/>
      <w:szCs w:val="24"/>
    </w:rPr>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BEE5FF" w:themeFill="accent1" w:themeFillTint="33"/>
      </w:tcPr>
    </w:tblStylePr>
    <w:tblStylePr w:type="band1Horz">
      <w:tblPr/>
      <w:tcPr>
        <w:shd w:val="clear" w:color="auto" w:fill="BEE5FF" w:themeFill="accent1" w:themeFillTint="33"/>
      </w:tcPr>
    </w:tblStylePr>
    <w:tblStylePr w:type="neCell">
      <w:tblPr/>
      <w:tcPr>
        <w:tcBorders>
          <w:bottom w:val="single" w:sz="4" w:space="0" w:color="3DB2FF" w:themeColor="accent1" w:themeTint="99"/>
        </w:tcBorders>
      </w:tcPr>
    </w:tblStylePr>
    <w:tblStylePr w:type="nwCell">
      <w:tblPr/>
      <w:tcPr>
        <w:tcBorders>
          <w:bottom w:val="single" w:sz="4" w:space="0" w:color="3DB2FF" w:themeColor="accent1" w:themeTint="99"/>
        </w:tcBorders>
      </w:tcPr>
    </w:tblStylePr>
    <w:tblStylePr w:type="seCell">
      <w:tblPr/>
      <w:tcPr>
        <w:tcBorders>
          <w:top w:val="single" w:sz="4" w:space="0" w:color="3DB2FF" w:themeColor="accent1" w:themeTint="99"/>
        </w:tcBorders>
      </w:tcPr>
    </w:tblStylePr>
    <w:tblStylePr w:type="swCell">
      <w:tblPr/>
      <w:tcPr>
        <w:tcBorders>
          <w:top w:val="single" w:sz="4" w:space="0" w:color="3DB2FF" w:themeColor="accent1" w:themeTint="99"/>
        </w:tcBorders>
      </w:tcPr>
    </w:tblStylePr>
  </w:style>
  <w:style w:type="table" w:styleId="GridTable7Colorful-Accent2">
    <w:name w:val="Grid Table 7 Colorful Accent 2"/>
    <w:basedOn w:val="TableNormal"/>
    <w:uiPriority w:val="52"/>
    <w:semiHidden/>
    <w:rsid w:val="0045116D"/>
    <w:rPr>
      <w:color w:val="8F0000" w:themeColor="accent2" w:themeShade="BF"/>
      <w:sz w:val="24"/>
      <w:szCs w:val="24"/>
    </w:rPr>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FFBFBF" w:themeFill="accent2" w:themeFillTint="33"/>
      </w:tcPr>
    </w:tblStylePr>
    <w:tblStylePr w:type="band1Horz">
      <w:tblPr/>
      <w:tcPr>
        <w:shd w:val="clear" w:color="auto" w:fill="FFBFBF" w:themeFill="accent2" w:themeFillTint="33"/>
      </w:tcPr>
    </w:tblStylePr>
    <w:tblStylePr w:type="neCell">
      <w:tblPr/>
      <w:tcPr>
        <w:tcBorders>
          <w:bottom w:val="single" w:sz="4" w:space="0" w:color="FF4040" w:themeColor="accent2" w:themeTint="99"/>
        </w:tcBorders>
      </w:tcPr>
    </w:tblStylePr>
    <w:tblStylePr w:type="nwCell">
      <w:tblPr/>
      <w:tcPr>
        <w:tcBorders>
          <w:bottom w:val="single" w:sz="4" w:space="0" w:color="FF4040" w:themeColor="accent2" w:themeTint="99"/>
        </w:tcBorders>
      </w:tcPr>
    </w:tblStylePr>
    <w:tblStylePr w:type="seCell">
      <w:tblPr/>
      <w:tcPr>
        <w:tcBorders>
          <w:top w:val="single" w:sz="4" w:space="0" w:color="FF4040" w:themeColor="accent2" w:themeTint="99"/>
        </w:tcBorders>
      </w:tcPr>
    </w:tblStylePr>
    <w:tblStylePr w:type="swCell">
      <w:tblPr/>
      <w:tcPr>
        <w:tcBorders>
          <w:top w:val="single" w:sz="4" w:space="0" w:color="FF4040" w:themeColor="accent2" w:themeTint="99"/>
        </w:tcBorders>
      </w:tcPr>
    </w:tblStylePr>
  </w:style>
  <w:style w:type="table" w:styleId="GridTable7Colorful-Accent3">
    <w:name w:val="Grid Table 7 Colorful Accent 3"/>
    <w:basedOn w:val="TableNormal"/>
    <w:uiPriority w:val="52"/>
    <w:semiHidden/>
    <w:rsid w:val="0045116D"/>
    <w:rPr>
      <w:color w:val="474747" w:themeColor="accent3" w:themeShade="BF"/>
      <w:sz w:val="24"/>
      <w:szCs w:val="24"/>
    </w:rPr>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insideV w:val="single" w:sz="4" w:space="0" w:color="9F9F9F" w:themeColor="accent3"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FDFDF" w:themeFill="accent3" w:themeFillTint="33"/>
      </w:tcPr>
    </w:tblStylePr>
    <w:tblStylePr w:type="band1Horz">
      <w:tblPr/>
      <w:tcPr>
        <w:shd w:val="clear" w:color="auto" w:fill="DFDFDF" w:themeFill="accent3" w:themeFillTint="33"/>
      </w:tcPr>
    </w:tblStylePr>
    <w:tblStylePr w:type="neCell">
      <w:tblPr/>
      <w:tcPr>
        <w:tcBorders>
          <w:bottom w:val="single" w:sz="4" w:space="0" w:color="9F9F9F" w:themeColor="accent3" w:themeTint="99"/>
        </w:tcBorders>
      </w:tcPr>
    </w:tblStylePr>
    <w:tblStylePr w:type="nwCell">
      <w:tblPr/>
      <w:tcPr>
        <w:tcBorders>
          <w:bottom w:val="single" w:sz="4" w:space="0" w:color="9F9F9F" w:themeColor="accent3" w:themeTint="99"/>
        </w:tcBorders>
      </w:tcPr>
    </w:tblStylePr>
    <w:tblStylePr w:type="seCell">
      <w:tblPr/>
      <w:tcPr>
        <w:tcBorders>
          <w:top w:val="single" w:sz="4" w:space="0" w:color="9F9F9F" w:themeColor="accent3" w:themeTint="99"/>
        </w:tcBorders>
      </w:tcPr>
    </w:tblStylePr>
    <w:tblStylePr w:type="swCell">
      <w:tblPr/>
      <w:tcPr>
        <w:tcBorders>
          <w:top w:val="single" w:sz="4" w:space="0" w:color="9F9F9F" w:themeColor="accent3" w:themeTint="99"/>
        </w:tcBorders>
      </w:tcPr>
    </w:tblStylePr>
  </w:style>
  <w:style w:type="table" w:styleId="GridTable7Colorful-Accent4">
    <w:name w:val="Grid Table 7 Colorful Accent 4"/>
    <w:basedOn w:val="TableNormal"/>
    <w:uiPriority w:val="52"/>
    <w:semiHidden/>
    <w:rsid w:val="0045116D"/>
    <w:rPr>
      <w:color w:val="707070" w:themeColor="accent4" w:themeShade="BF"/>
      <w:sz w:val="24"/>
      <w:szCs w:val="24"/>
    </w:rPr>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EAEAEA" w:themeFill="accent4" w:themeFillTint="33"/>
      </w:tcPr>
    </w:tblStylePr>
    <w:tblStylePr w:type="band1Horz">
      <w:tblPr/>
      <w:tcPr>
        <w:shd w:val="clear" w:color="auto" w:fill="EAEAEA" w:themeFill="accent4" w:themeFillTint="33"/>
      </w:tcPr>
    </w:tblStylePr>
    <w:tblStylePr w:type="neCell">
      <w:tblPr/>
      <w:tcPr>
        <w:tcBorders>
          <w:bottom w:val="single" w:sz="4" w:space="0" w:color="C0C0C0" w:themeColor="accent4" w:themeTint="99"/>
        </w:tcBorders>
      </w:tcPr>
    </w:tblStylePr>
    <w:tblStylePr w:type="nwCell">
      <w:tblPr/>
      <w:tcPr>
        <w:tcBorders>
          <w:bottom w:val="single" w:sz="4" w:space="0" w:color="C0C0C0" w:themeColor="accent4" w:themeTint="99"/>
        </w:tcBorders>
      </w:tcPr>
    </w:tblStylePr>
    <w:tblStylePr w:type="seCell">
      <w:tblPr/>
      <w:tcPr>
        <w:tcBorders>
          <w:top w:val="single" w:sz="4" w:space="0" w:color="C0C0C0" w:themeColor="accent4" w:themeTint="99"/>
        </w:tcBorders>
      </w:tcPr>
    </w:tblStylePr>
    <w:tblStylePr w:type="swCell">
      <w:tblPr/>
      <w:tcPr>
        <w:tcBorders>
          <w:top w:val="single" w:sz="4" w:space="0" w:color="C0C0C0" w:themeColor="accent4" w:themeTint="99"/>
        </w:tcBorders>
      </w:tcPr>
    </w:tblStylePr>
  </w:style>
  <w:style w:type="table" w:styleId="GridTable7Colorful-Accent5">
    <w:name w:val="Grid Table 7 Colorful Accent 5"/>
    <w:basedOn w:val="TableNormal"/>
    <w:uiPriority w:val="52"/>
    <w:semiHidden/>
    <w:rsid w:val="0045116D"/>
    <w:rPr>
      <w:color w:val="474747" w:themeColor="accent5" w:themeShade="BF"/>
      <w:sz w:val="24"/>
      <w:szCs w:val="24"/>
    </w:rPr>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FDFDF" w:themeFill="accent5" w:themeFillTint="33"/>
      </w:tcPr>
    </w:tblStylePr>
    <w:tblStylePr w:type="band1Horz">
      <w:tblPr/>
      <w:tcPr>
        <w:shd w:val="clear" w:color="auto" w:fill="DFDFDF" w:themeFill="accent5" w:themeFillTint="33"/>
      </w:tcPr>
    </w:tblStylePr>
    <w:tblStylePr w:type="neCell">
      <w:tblPr/>
      <w:tcPr>
        <w:tcBorders>
          <w:bottom w:val="single" w:sz="4" w:space="0" w:color="9F9F9F" w:themeColor="accent5" w:themeTint="99"/>
        </w:tcBorders>
      </w:tcPr>
    </w:tblStylePr>
    <w:tblStylePr w:type="nwCell">
      <w:tblPr/>
      <w:tcPr>
        <w:tcBorders>
          <w:bottom w:val="single" w:sz="4" w:space="0" w:color="9F9F9F" w:themeColor="accent5" w:themeTint="99"/>
        </w:tcBorders>
      </w:tcPr>
    </w:tblStylePr>
    <w:tblStylePr w:type="seCell">
      <w:tblPr/>
      <w:tcPr>
        <w:tcBorders>
          <w:top w:val="single" w:sz="4" w:space="0" w:color="9F9F9F" w:themeColor="accent5" w:themeTint="99"/>
        </w:tcBorders>
      </w:tcPr>
    </w:tblStylePr>
    <w:tblStylePr w:type="swCell">
      <w:tblPr/>
      <w:tcPr>
        <w:tcBorders>
          <w:top w:val="single" w:sz="4" w:space="0" w:color="9F9F9F" w:themeColor="accent5" w:themeTint="99"/>
        </w:tcBorders>
      </w:tcPr>
    </w:tblStylePr>
  </w:style>
  <w:style w:type="table" w:styleId="GridTable7Colorful-Accent6">
    <w:name w:val="Grid Table 7 Colorful Accent 6"/>
    <w:basedOn w:val="TableNormal"/>
    <w:uiPriority w:val="52"/>
    <w:semiHidden/>
    <w:rsid w:val="0045116D"/>
    <w:rPr>
      <w:color w:val="393939" w:themeColor="accent6" w:themeShade="BF"/>
      <w:sz w:val="24"/>
      <w:szCs w:val="24"/>
    </w:rPr>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BDBDB" w:themeFill="accent6" w:themeFillTint="33"/>
      </w:tcPr>
    </w:tblStylePr>
    <w:tblStylePr w:type="band1Horz">
      <w:tblPr/>
      <w:tcPr>
        <w:shd w:val="clear" w:color="auto" w:fill="DBDBDB" w:themeFill="accent6" w:themeFillTint="33"/>
      </w:tcPr>
    </w:tblStylePr>
    <w:tblStylePr w:type="neCell">
      <w:tblPr/>
      <w:tcPr>
        <w:tcBorders>
          <w:bottom w:val="single" w:sz="4" w:space="0" w:color="949494" w:themeColor="accent6" w:themeTint="99"/>
        </w:tcBorders>
      </w:tcPr>
    </w:tblStylePr>
    <w:tblStylePr w:type="nwCell">
      <w:tblPr/>
      <w:tcPr>
        <w:tcBorders>
          <w:bottom w:val="single" w:sz="4" w:space="0" w:color="949494" w:themeColor="accent6" w:themeTint="99"/>
        </w:tcBorders>
      </w:tcPr>
    </w:tblStylePr>
    <w:tblStylePr w:type="seCell">
      <w:tblPr/>
      <w:tcPr>
        <w:tcBorders>
          <w:top w:val="single" w:sz="4" w:space="0" w:color="949494" w:themeColor="accent6" w:themeTint="99"/>
        </w:tcBorders>
      </w:tcPr>
    </w:tblStylePr>
    <w:tblStylePr w:type="swCell">
      <w:tblPr/>
      <w:tcPr>
        <w:tcBorders>
          <w:top w:val="single" w:sz="4" w:space="0" w:color="949494" w:themeColor="accent6" w:themeTint="99"/>
        </w:tcBorders>
      </w:tcPr>
    </w:tblStylePr>
  </w:style>
  <w:style w:type="character" w:customStyle="1" w:styleId="Hashtag1">
    <w:name w:val="Hashtag1"/>
    <w:basedOn w:val="DefaultParagraphFont"/>
    <w:uiPriority w:val="99"/>
    <w:semiHidden/>
    <w:unhideWhenUsed/>
    <w:rsid w:val="0045116D"/>
    <w:rPr>
      <w:color w:val="2B579A"/>
      <w:shd w:val="clear" w:color="auto" w:fill="E1DFDD"/>
    </w:rPr>
  </w:style>
  <w:style w:type="table" w:styleId="ListTable1Light">
    <w:name w:val="List Table 1 Light"/>
    <w:basedOn w:val="TableNormal"/>
    <w:uiPriority w:val="46"/>
    <w:semiHidden/>
    <w:rsid w:val="0045116D"/>
    <w:rPr>
      <w:sz w:val="24"/>
      <w:szCs w:val="24"/>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semiHidden/>
    <w:rsid w:val="0045116D"/>
    <w:rPr>
      <w:sz w:val="24"/>
      <w:szCs w:val="24"/>
    </w:rPr>
    <w:tblPr>
      <w:tblStyleRowBandSize w:val="1"/>
      <w:tblStyleColBandSize w:val="1"/>
    </w:tblPr>
    <w:tblStylePr w:type="firstRow">
      <w:rPr>
        <w:b/>
        <w:bCs/>
      </w:rPr>
      <w:tblPr/>
      <w:tcPr>
        <w:tcBorders>
          <w:bottom w:val="single" w:sz="4" w:space="0" w:color="3DB2FF" w:themeColor="accent1" w:themeTint="99"/>
        </w:tcBorders>
      </w:tcPr>
    </w:tblStylePr>
    <w:tblStylePr w:type="lastRow">
      <w:rPr>
        <w:b/>
        <w:bCs/>
      </w:rPr>
      <w:tblPr/>
      <w:tcPr>
        <w:tcBorders>
          <w:top w:val="single" w:sz="4" w:space="0" w:color="3DB2FF" w:themeColor="accent1" w:themeTint="99"/>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1Light-Accent2">
    <w:name w:val="List Table 1 Light Accent 2"/>
    <w:basedOn w:val="TableNormal"/>
    <w:uiPriority w:val="46"/>
    <w:semiHidden/>
    <w:rsid w:val="0045116D"/>
    <w:rPr>
      <w:sz w:val="24"/>
      <w:szCs w:val="24"/>
    </w:rPr>
    <w:tblPr>
      <w:tblStyleRowBandSize w:val="1"/>
      <w:tblStyleColBandSize w:val="1"/>
    </w:tblPr>
    <w:tblStylePr w:type="firstRow">
      <w:rPr>
        <w:b/>
        <w:bCs/>
      </w:rPr>
      <w:tblPr/>
      <w:tcPr>
        <w:tcBorders>
          <w:bottom w:val="single" w:sz="4" w:space="0" w:color="FF4040" w:themeColor="accent2" w:themeTint="99"/>
        </w:tcBorders>
      </w:tcPr>
    </w:tblStylePr>
    <w:tblStylePr w:type="lastRow">
      <w:rPr>
        <w:b/>
        <w:bCs/>
      </w:rPr>
      <w:tblPr/>
      <w:tcPr>
        <w:tcBorders>
          <w:top w:val="single" w:sz="4" w:space="0" w:color="FF4040" w:themeColor="accent2" w:themeTint="99"/>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1Light-Accent3">
    <w:name w:val="List Table 1 Light Accent 3"/>
    <w:basedOn w:val="TableNormal"/>
    <w:uiPriority w:val="46"/>
    <w:semiHidden/>
    <w:rsid w:val="0045116D"/>
    <w:rPr>
      <w:sz w:val="24"/>
      <w:szCs w:val="24"/>
    </w:rPr>
    <w:tblPr>
      <w:tblStyleRowBandSize w:val="1"/>
      <w:tblStyleColBandSize w:val="1"/>
    </w:tblPr>
    <w:tblStylePr w:type="firstRow">
      <w:rPr>
        <w:b/>
        <w:bCs/>
      </w:rPr>
      <w:tblPr/>
      <w:tcPr>
        <w:tcBorders>
          <w:bottom w:val="single" w:sz="4" w:space="0" w:color="9F9F9F" w:themeColor="accent3" w:themeTint="99"/>
        </w:tcBorders>
      </w:tcPr>
    </w:tblStylePr>
    <w:tblStylePr w:type="lastRow">
      <w:rPr>
        <w:b/>
        <w:bCs/>
      </w:rPr>
      <w:tblPr/>
      <w:tcPr>
        <w:tcBorders>
          <w:top w:val="single" w:sz="4" w:space="0" w:color="9F9F9F" w:themeColor="accent3" w:themeTint="99"/>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ListTable1Light-Accent4">
    <w:name w:val="List Table 1 Light Accent 4"/>
    <w:basedOn w:val="TableNormal"/>
    <w:uiPriority w:val="46"/>
    <w:semiHidden/>
    <w:rsid w:val="0045116D"/>
    <w:rPr>
      <w:sz w:val="24"/>
      <w:szCs w:val="24"/>
    </w:rPr>
    <w:tblPr>
      <w:tblStyleRowBandSize w:val="1"/>
      <w:tblStyleColBandSize w:val="1"/>
    </w:tblPr>
    <w:tblStylePr w:type="firstRow">
      <w:rPr>
        <w:b/>
        <w:bCs/>
      </w:rPr>
      <w:tblPr/>
      <w:tcPr>
        <w:tcBorders>
          <w:bottom w:val="single" w:sz="4" w:space="0" w:color="C0C0C0" w:themeColor="accent4" w:themeTint="99"/>
        </w:tcBorders>
      </w:tcPr>
    </w:tblStylePr>
    <w:tblStylePr w:type="lastRow">
      <w:rPr>
        <w:b/>
        <w:bCs/>
      </w:rPr>
      <w:tblPr/>
      <w:tcPr>
        <w:tcBorders>
          <w:top w:val="single" w:sz="4" w:space="0" w:color="C0C0C0" w:themeColor="accent4" w:themeTint="99"/>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1Light-Accent5">
    <w:name w:val="List Table 1 Light Accent 5"/>
    <w:basedOn w:val="TableNormal"/>
    <w:uiPriority w:val="46"/>
    <w:semiHidden/>
    <w:rsid w:val="0045116D"/>
    <w:rPr>
      <w:sz w:val="24"/>
      <w:szCs w:val="24"/>
    </w:rPr>
    <w:tblPr>
      <w:tblStyleRowBandSize w:val="1"/>
      <w:tblStyleColBandSize w:val="1"/>
    </w:tblPr>
    <w:tblStylePr w:type="firstRow">
      <w:rPr>
        <w:b/>
        <w:bCs/>
      </w:rPr>
      <w:tblPr/>
      <w:tcPr>
        <w:tcBorders>
          <w:bottom w:val="single" w:sz="4" w:space="0" w:color="9F9F9F" w:themeColor="accent5" w:themeTint="99"/>
        </w:tcBorders>
      </w:tcPr>
    </w:tblStylePr>
    <w:tblStylePr w:type="lastRow">
      <w:rPr>
        <w:b/>
        <w:bCs/>
      </w:rPr>
      <w:tblPr/>
      <w:tcPr>
        <w:tcBorders>
          <w:top w:val="single" w:sz="4" w:space="0" w:color="9F9F9F" w:themeColor="accent5" w:themeTint="99"/>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1Light-Accent6">
    <w:name w:val="List Table 1 Light Accent 6"/>
    <w:basedOn w:val="TableNormal"/>
    <w:uiPriority w:val="46"/>
    <w:semiHidden/>
    <w:rsid w:val="0045116D"/>
    <w:rPr>
      <w:sz w:val="24"/>
      <w:szCs w:val="24"/>
    </w:rPr>
    <w:tblPr>
      <w:tblStyleRowBandSize w:val="1"/>
      <w:tblStyleColBandSize w:val="1"/>
    </w:tblPr>
    <w:tblStylePr w:type="firstRow">
      <w:rPr>
        <w:b/>
        <w:bCs/>
      </w:rPr>
      <w:tblPr/>
      <w:tcPr>
        <w:tcBorders>
          <w:bottom w:val="single" w:sz="4" w:space="0" w:color="949494" w:themeColor="accent6" w:themeTint="99"/>
        </w:tcBorders>
      </w:tcPr>
    </w:tblStylePr>
    <w:tblStylePr w:type="lastRow">
      <w:rPr>
        <w:b/>
        <w:bCs/>
      </w:rPr>
      <w:tblPr/>
      <w:tcPr>
        <w:tcBorders>
          <w:top w:val="sing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2">
    <w:name w:val="List Table 2"/>
    <w:basedOn w:val="TableNormal"/>
    <w:uiPriority w:val="47"/>
    <w:semiHidden/>
    <w:rsid w:val="0045116D"/>
    <w:rPr>
      <w:sz w:val="24"/>
      <w:szCs w:val="24"/>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semiHidden/>
    <w:rsid w:val="0045116D"/>
    <w:rPr>
      <w:sz w:val="24"/>
      <w:szCs w:val="24"/>
    </w:rPr>
    <w:tblPr>
      <w:tblStyleRowBandSize w:val="1"/>
      <w:tblStyleColBandSize w:val="1"/>
      <w:tblBorders>
        <w:top w:val="single" w:sz="4" w:space="0" w:color="3DB2FF" w:themeColor="accent1" w:themeTint="99"/>
        <w:bottom w:val="single" w:sz="4" w:space="0" w:color="3DB2FF" w:themeColor="accent1" w:themeTint="99"/>
        <w:insideH w:val="single" w:sz="4" w:space="0" w:color="3DB2F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2-Accent2">
    <w:name w:val="List Table 2 Accent 2"/>
    <w:basedOn w:val="TableNormal"/>
    <w:uiPriority w:val="47"/>
    <w:semiHidden/>
    <w:rsid w:val="0045116D"/>
    <w:rPr>
      <w:sz w:val="24"/>
      <w:szCs w:val="24"/>
    </w:rPr>
    <w:tblPr>
      <w:tblStyleRowBandSize w:val="1"/>
      <w:tblStyleColBandSize w:val="1"/>
      <w:tblBorders>
        <w:top w:val="single" w:sz="4" w:space="0" w:color="FF4040" w:themeColor="accent2" w:themeTint="99"/>
        <w:bottom w:val="single" w:sz="4" w:space="0" w:color="FF4040" w:themeColor="accent2" w:themeTint="99"/>
        <w:insideH w:val="single" w:sz="4" w:space="0" w:color="FF4040"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2-Accent3">
    <w:name w:val="List Table 2 Accent 3"/>
    <w:basedOn w:val="TableNormal"/>
    <w:uiPriority w:val="47"/>
    <w:semiHidden/>
    <w:rsid w:val="0045116D"/>
    <w:rPr>
      <w:sz w:val="24"/>
      <w:szCs w:val="24"/>
    </w:rPr>
    <w:tblPr>
      <w:tblStyleRowBandSize w:val="1"/>
      <w:tblStyleColBandSize w:val="1"/>
      <w:tblBorders>
        <w:top w:val="single" w:sz="4" w:space="0" w:color="9F9F9F" w:themeColor="accent3" w:themeTint="99"/>
        <w:bottom w:val="single" w:sz="4" w:space="0" w:color="9F9F9F" w:themeColor="accent3" w:themeTint="99"/>
        <w:insideH w:val="single" w:sz="4" w:space="0" w:color="9F9F9F"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ListTable2-Accent4">
    <w:name w:val="List Table 2 Accent 4"/>
    <w:basedOn w:val="TableNormal"/>
    <w:uiPriority w:val="47"/>
    <w:semiHidden/>
    <w:rsid w:val="0045116D"/>
    <w:rPr>
      <w:sz w:val="24"/>
      <w:szCs w:val="24"/>
    </w:rPr>
    <w:tblPr>
      <w:tblStyleRowBandSize w:val="1"/>
      <w:tblStyleColBandSize w:val="1"/>
      <w:tblBorders>
        <w:top w:val="single" w:sz="4" w:space="0" w:color="C0C0C0" w:themeColor="accent4" w:themeTint="99"/>
        <w:bottom w:val="single" w:sz="4" w:space="0" w:color="C0C0C0" w:themeColor="accent4" w:themeTint="99"/>
        <w:insideH w:val="single" w:sz="4" w:space="0" w:color="C0C0C0"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2-Accent5">
    <w:name w:val="List Table 2 Accent 5"/>
    <w:basedOn w:val="TableNormal"/>
    <w:uiPriority w:val="47"/>
    <w:semiHidden/>
    <w:rsid w:val="0045116D"/>
    <w:rPr>
      <w:sz w:val="24"/>
      <w:szCs w:val="24"/>
    </w:rPr>
    <w:tblPr>
      <w:tblStyleRowBandSize w:val="1"/>
      <w:tblStyleColBandSize w:val="1"/>
      <w:tblBorders>
        <w:top w:val="single" w:sz="4" w:space="0" w:color="9F9F9F" w:themeColor="accent5" w:themeTint="99"/>
        <w:bottom w:val="single" w:sz="4" w:space="0" w:color="9F9F9F" w:themeColor="accent5" w:themeTint="99"/>
        <w:insideH w:val="single" w:sz="4" w:space="0" w:color="9F9F9F"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2-Accent6">
    <w:name w:val="List Table 2 Accent 6"/>
    <w:basedOn w:val="TableNormal"/>
    <w:uiPriority w:val="47"/>
    <w:semiHidden/>
    <w:rsid w:val="0045116D"/>
    <w:rPr>
      <w:sz w:val="24"/>
      <w:szCs w:val="24"/>
    </w:rPr>
    <w:tblPr>
      <w:tblStyleRowBandSize w:val="1"/>
      <w:tblStyleColBandSize w:val="1"/>
      <w:tblBorders>
        <w:top w:val="single" w:sz="4" w:space="0" w:color="949494" w:themeColor="accent6" w:themeTint="99"/>
        <w:bottom w:val="single" w:sz="4" w:space="0" w:color="949494" w:themeColor="accent6" w:themeTint="99"/>
        <w:insideH w:val="single" w:sz="4" w:space="0" w:color="94949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3">
    <w:name w:val="List Table 3"/>
    <w:basedOn w:val="TableNormal"/>
    <w:uiPriority w:val="48"/>
    <w:semiHidden/>
    <w:rsid w:val="0045116D"/>
    <w:rPr>
      <w:sz w:val="24"/>
      <w:szCs w:val="24"/>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0072BC"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semiHidden/>
    <w:rsid w:val="0045116D"/>
    <w:rPr>
      <w:sz w:val="24"/>
      <w:szCs w:val="24"/>
    </w:rPr>
    <w:tblPr>
      <w:tblStyleRowBandSize w:val="1"/>
      <w:tblStyleColBandSize w:val="1"/>
      <w:tblBorders>
        <w:top w:val="single" w:sz="4" w:space="0" w:color="0072BC" w:themeColor="accent1"/>
        <w:left w:val="single" w:sz="4" w:space="0" w:color="0072BC" w:themeColor="accent1"/>
        <w:bottom w:val="single" w:sz="4" w:space="0" w:color="0072BC" w:themeColor="accent1"/>
        <w:right w:val="single" w:sz="4" w:space="0" w:color="0072BC" w:themeColor="accent1"/>
      </w:tblBorders>
    </w:tblPr>
    <w:tblStylePr w:type="firstRow">
      <w:rPr>
        <w:b/>
        <w:bCs/>
        <w:color w:val="0072BC" w:themeColor="background1"/>
      </w:rPr>
      <w:tblPr/>
      <w:tcPr>
        <w:shd w:val="clear" w:color="auto" w:fill="0072BC" w:themeFill="accent1"/>
      </w:tcPr>
    </w:tblStylePr>
    <w:tblStylePr w:type="lastRow">
      <w:rPr>
        <w:b/>
        <w:bCs/>
      </w:rPr>
      <w:tblPr/>
      <w:tcPr>
        <w:tcBorders>
          <w:top w:val="double" w:sz="4" w:space="0" w:color="0072BC" w:themeColor="accent1"/>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0072BC" w:themeColor="accent1"/>
          <w:right w:val="single" w:sz="4" w:space="0" w:color="0072BC" w:themeColor="accent1"/>
        </w:tcBorders>
      </w:tcPr>
    </w:tblStylePr>
    <w:tblStylePr w:type="band1Horz">
      <w:tblPr/>
      <w:tcPr>
        <w:tcBorders>
          <w:top w:val="single" w:sz="4" w:space="0" w:color="0072BC" w:themeColor="accent1"/>
          <w:bottom w:val="single" w:sz="4" w:space="0" w:color="0072BC"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72BC" w:themeColor="accent1"/>
          <w:left w:val="nil"/>
        </w:tcBorders>
      </w:tcPr>
    </w:tblStylePr>
    <w:tblStylePr w:type="swCell">
      <w:tblPr/>
      <w:tcPr>
        <w:tcBorders>
          <w:top w:val="double" w:sz="4" w:space="0" w:color="0072BC" w:themeColor="accent1"/>
          <w:right w:val="nil"/>
        </w:tcBorders>
      </w:tcPr>
    </w:tblStylePr>
  </w:style>
  <w:style w:type="table" w:styleId="ListTable3-Accent2">
    <w:name w:val="List Table 3 Accent 2"/>
    <w:basedOn w:val="TableNormal"/>
    <w:uiPriority w:val="48"/>
    <w:semiHidden/>
    <w:rsid w:val="0045116D"/>
    <w:rPr>
      <w:sz w:val="24"/>
      <w:szCs w:val="24"/>
    </w:rPr>
    <w:tblPr>
      <w:tblStyleRowBandSize w:val="1"/>
      <w:tblStyleColBandSize w:val="1"/>
      <w:tblBorders>
        <w:top w:val="single" w:sz="4" w:space="0" w:color="C00000" w:themeColor="accent2"/>
        <w:left w:val="single" w:sz="4" w:space="0" w:color="C00000" w:themeColor="accent2"/>
        <w:bottom w:val="single" w:sz="4" w:space="0" w:color="C00000" w:themeColor="accent2"/>
        <w:right w:val="single" w:sz="4" w:space="0" w:color="C00000" w:themeColor="accent2"/>
      </w:tblBorders>
    </w:tblPr>
    <w:tblStylePr w:type="firstRow">
      <w:rPr>
        <w:b/>
        <w:bCs/>
        <w:color w:val="0072BC" w:themeColor="background1"/>
      </w:rPr>
      <w:tblPr/>
      <w:tcPr>
        <w:shd w:val="clear" w:color="auto" w:fill="C00000" w:themeFill="accent2"/>
      </w:tcPr>
    </w:tblStylePr>
    <w:tblStylePr w:type="lastRow">
      <w:rPr>
        <w:b/>
        <w:bCs/>
      </w:rPr>
      <w:tblPr/>
      <w:tcPr>
        <w:tcBorders>
          <w:top w:val="double" w:sz="4" w:space="0" w:color="C00000" w:themeColor="accent2"/>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C00000" w:themeColor="accent2"/>
          <w:right w:val="single" w:sz="4" w:space="0" w:color="C00000" w:themeColor="accent2"/>
        </w:tcBorders>
      </w:tcPr>
    </w:tblStylePr>
    <w:tblStylePr w:type="band1Horz">
      <w:tblPr/>
      <w:tcPr>
        <w:tcBorders>
          <w:top w:val="single" w:sz="4" w:space="0" w:color="C00000" w:themeColor="accent2"/>
          <w:bottom w:val="single" w:sz="4" w:space="0" w:color="C00000"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0000" w:themeColor="accent2"/>
          <w:left w:val="nil"/>
        </w:tcBorders>
      </w:tcPr>
    </w:tblStylePr>
    <w:tblStylePr w:type="swCell">
      <w:tblPr/>
      <w:tcPr>
        <w:tcBorders>
          <w:top w:val="double" w:sz="4" w:space="0" w:color="C00000" w:themeColor="accent2"/>
          <w:right w:val="nil"/>
        </w:tcBorders>
      </w:tcPr>
    </w:tblStylePr>
  </w:style>
  <w:style w:type="table" w:styleId="ListTable3-Accent3">
    <w:name w:val="List Table 3 Accent 3"/>
    <w:basedOn w:val="TableNormal"/>
    <w:uiPriority w:val="48"/>
    <w:semiHidden/>
    <w:rsid w:val="0045116D"/>
    <w:rPr>
      <w:sz w:val="24"/>
      <w:szCs w:val="24"/>
    </w:rPr>
    <w:tblPr>
      <w:tblStyleRowBandSize w:val="1"/>
      <w:tblStyleColBandSize w:val="1"/>
      <w:tblBorders>
        <w:top w:val="single" w:sz="4" w:space="0" w:color="5F5F5F" w:themeColor="accent3"/>
        <w:left w:val="single" w:sz="4" w:space="0" w:color="5F5F5F" w:themeColor="accent3"/>
        <w:bottom w:val="single" w:sz="4" w:space="0" w:color="5F5F5F" w:themeColor="accent3"/>
        <w:right w:val="single" w:sz="4" w:space="0" w:color="5F5F5F" w:themeColor="accent3"/>
      </w:tblBorders>
    </w:tblPr>
    <w:tblStylePr w:type="firstRow">
      <w:rPr>
        <w:b/>
        <w:bCs/>
        <w:color w:val="0072BC" w:themeColor="background1"/>
      </w:rPr>
      <w:tblPr/>
      <w:tcPr>
        <w:shd w:val="clear" w:color="auto" w:fill="5F5F5F" w:themeFill="accent3"/>
      </w:tcPr>
    </w:tblStylePr>
    <w:tblStylePr w:type="lastRow">
      <w:rPr>
        <w:b/>
        <w:bCs/>
      </w:rPr>
      <w:tblPr/>
      <w:tcPr>
        <w:tcBorders>
          <w:top w:val="double" w:sz="4" w:space="0" w:color="5F5F5F" w:themeColor="accent3"/>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5F5F5F" w:themeColor="accent3"/>
          <w:right w:val="single" w:sz="4" w:space="0" w:color="5F5F5F" w:themeColor="accent3"/>
        </w:tcBorders>
      </w:tcPr>
    </w:tblStylePr>
    <w:tblStylePr w:type="band1Horz">
      <w:tblPr/>
      <w:tcPr>
        <w:tcBorders>
          <w:top w:val="single" w:sz="4" w:space="0" w:color="5F5F5F" w:themeColor="accent3"/>
          <w:bottom w:val="single" w:sz="4" w:space="0" w:color="5F5F5F"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5F5F" w:themeColor="accent3"/>
          <w:left w:val="nil"/>
        </w:tcBorders>
      </w:tcPr>
    </w:tblStylePr>
    <w:tblStylePr w:type="swCell">
      <w:tblPr/>
      <w:tcPr>
        <w:tcBorders>
          <w:top w:val="double" w:sz="4" w:space="0" w:color="5F5F5F" w:themeColor="accent3"/>
          <w:right w:val="nil"/>
        </w:tcBorders>
      </w:tcPr>
    </w:tblStylePr>
  </w:style>
  <w:style w:type="table" w:styleId="ListTable3-Accent4">
    <w:name w:val="List Table 3 Accent 4"/>
    <w:basedOn w:val="TableNormal"/>
    <w:uiPriority w:val="48"/>
    <w:semiHidden/>
    <w:rsid w:val="0045116D"/>
    <w:rPr>
      <w:sz w:val="24"/>
      <w:szCs w:val="24"/>
    </w:rPr>
    <w:tblPr>
      <w:tblStyleRowBandSize w:val="1"/>
      <w:tblStyleColBandSize w:val="1"/>
      <w:tblBorders>
        <w:top w:val="single" w:sz="4" w:space="0" w:color="969696" w:themeColor="accent4"/>
        <w:left w:val="single" w:sz="4" w:space="0" w:color="969696" w:themeColor="accent4"/>
        <w:bottom w:val="single" w:sz="4" w:space="0" w:color="969696" w:themeColor="accent4"/>
        <w:right w:val="single" w:sz="4" w:space="0" w:color="969696" w:themeColor="accent4"/>
      </w:tblBorders>
    </w:tblPr>
    <w:tblStylePr w:type="firstRow">
      <w:rPr>
        <w:b/>
        <w:bCs/>
        <w:color w:val="0072BC" w:themeColor="background1"/>
      </w:rPr>
      <w:tblPr/>
      <w:tcPr>
        <w:shd w:val="clear" w:color="auto" w:fill="969696" w:themeFill="accent4"/>
      </w:tcPr>
    </w:tblStylePr>
    <w:tblStylePr w:type="lastRow">
      <w:rPr>
        <w:b/>
        <w:bCs/>
      </w:rPr>
      <w:tblPr/>
      <w:tcPr>
        <w:tcBorders>
          <w:top w:val="double" w:sz="4" w:space="0" w:color="969696" w:themeColor="accent4"/>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969696" w:themeColor="accent4"/>
          <w:right w:val="single" w:sz="4" w:space="0" w:color="969696" w:themeColor="accent4"/>
        </w:tcBorders>
      </w:tcPr>
    </w:tblStylePr>
    <w:tblStylePr w:type="band1Horz">
      <w:tblPr/>
      <w:tcPr>
        <w:tcBorders>
          <w:top w:val="single" w:sz="4" w:space="0" w:color="969696" w:themeColor="accent4"/>
          <w:bottom w:val="single" w:sz="4" w:space="0" w:color="969696"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69696" w:themeColor="accent4"/>
          <w:left w:val="nil"/>
        </w:tcBorders>
      </w:tcPr>
    </w:tblStylePr>
    <w:tblStylePr w:type="swCell">
      <w:tblPr/>
      <w:tcPr>
        <w:tcBorders>
          <w:top w:val="double" w:sz="4" w:space="0" w:color="969696" w:themeColor="accent4"/>
          <w:right w:val="nil"/>
        </w:tcBorders>
      </w:tcPr>
    </w:tblStylePr>
  </w:style>
  <w:style w:type="table" w:styleId="ListTable3-Accent5">
    <w:name w:val="List Table 3 Accent 5"/>
    <w:basedOn w:val="TableNormal"/>
    <w:uiPriority w:val="48"/>
    <w:semiHidden/>
    <w:rsid w:val="0045116D"/>
    <w:rPr>
      <w:sz w:val="24"/>
      <w:szCs w:val="24"/>
    </w:rPr>
    <w:tblPr>
      <w:tblStyleRowBandSize w:val="1"/>
      <w:tblStyleColBandSize w:val="1"/>
      <w:tblBorders>
        <w:top w:val="single" w:sz="4" w:space="0" w:color="5F5F5F" w:themeColor="accent5"/>
        <w:left w:val="single" w:sz="4" w:space="0" w:color="5F5F5F" w:themeColor="accent5"/>
        <w:bottom w:val="single" w:sz="4" w:space="0" w:color="5F5F5F" w:themeColor="accent5"/>
        <w:right w:val="single" w:sz="4" w:space="0" w:color="5F5F5F" w:themeColor="accent5"/>
      </w:tblBorders>
    </w:tblPr>
    <w:tblStylePr w:type="firstRow">
      <w:rPr>
        <w:b/>
        <w:bCs/>
        <w:color w:val="0072BC" w:themeColor="background1"/>
      </w:rPr>
      <w:tblPr/>
      <w:tcPr>
        <w:shd w:val="clear" w:color="auto" w:fill="5F5F5F" w:themeFill="accent5"/>
      </w:tcPr>
    </w:tblStylePr>
    <w:tblStylePr w:type="lastRow">
      <w:rPr>
        <w:b/>
        <w:bCs/>
      </w:rPr>
      <w:tblPr/>
      <w:tcPr>
        <w:tcBorders>
          <w:top w:val="double" w:sz="4" w:space="0" w:color="5F5F5F" w:themeColor="accent5"/>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5F5F5F" w:themeColor="accent5"/>
          <w:right w:val="single" w:sz="4" w:space="0" w:color="5F5F5F" w:themeColor="accent5"/>
        </w:tcBorders>
      </w:tcPr>
    </w:tblStylePr>
    <w:tblStylePr w:type="band1Horz">
      <w:tblPr/>
      <w:tcPr>
        <w:tcBorders>
          <w:top w:val="single" w:sz="4" w:space="0" w:color="5F5F5F" w:themeColor="accent5"/>
          <w:bottom w:val="single" w:sz="4" w:space="0" w:color="5F5F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5F5F" w:themeColor="accent5"/>
          <w:left w:val="nil"/>
        </w:tcBorders>
      </w:tcPr>
    </w:tblStylePr>
    <w:tblStylePr w:type="swCell">
      <w:tblPr/>
      <w:tcPr>
        <w:tcBorders>
          <w:top w:val="double" w:sz="4" w:space="0" w:color="5F5F5F" w:themeColor="accent5"/>
          <w:right w:val="nil"/>
        </w:tcBorders>
      </w:tcPr>
    </w:tblStylePr>
  </w:style>
  <w:style w:type="table" w:styleId="ListTable3-Accent6">
    <w:name w:val="List Table 3 Accent 6"/>
    <w:basedOn w:val="TableNormal"/>
    <w:uiPriority w:val="48"/>
    <w:semiHidden/>
    <w:rsid w:val="0045116D"/>
    <w:rPr>
      <w:sz w:val="24"/>
      <w:szCs w:val="24"/>
    </w:rPr>
    <w:tblPr>
      <w:tblStyleRowBandSize w:val="1"/>
      <w:tblStyleColBandSize w:val="1"/>
      <w:tblBorders>
        <w:top w:val="single" w:sz="4" w:space="0" w:color="4D4D4D" w:themeColor="accent6"/>
        <w:left w:val="single" w:sz="4" w:space="0" w:color="4D4D4D" w:themeColor="accent6"/>
        <w:bottom w:val="single" w:sz="4" w:space="0" w:color="4D4D4D" w:themeColor="accent6"/>
        <w:right w:val="single" w:sz="4" w:space="0" w:color="4D4D4D" w:themeColor="accent6"/>
      </w:tblBorders>
    </w:tblPr>
    <w:tblStylePr w:type="firstRow">
      <w:rPr>
        <w:b/>
        <w:bCs/>
        <w:color w:val="0072BC" w:themeColor="background1"/>
      </w:rPr>
      <w:tblPr/>
      <w:tcPr>
        <w:shd w:val="clear" w:color="auto" w:fill="4D4D4D" w:themeFill="accent6"/>
      </w:tcPr>
    </w:tblStylePr>
    <w:tblStylePr w:type="lastRow">
      <w:rPr>
        <w:b/>
        <w:bCs/>
      </w:rPr>
      <w:tblPr/>
      <w:tcPr>
        <w:tcBorders>
          <w:top w:val="double" w:sz="4" w:space="0" w:color="4D4D4D" w:themeColor="accent6"/>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4D4D4D" w:themeColor="accent6"/>
          <w:right w:val="single" w:sz="4" w:space="0" w:color="4D4D4D" w:themeColor="accent6"/>
        </w:tcBorders>
      </w:tcPr>
    </w:tblStylePr>
    <w:tblStylePr w:type="band1Horz">
      <w:tblPr/>
      <w:tcPr>
        <w:tcBorders>
          <w:top w:val="single" w:sz="4" w:space="0" w:color="4D4D4D" w:themeColor="accent6"/>
          <w:bottom w:val="single" w:sz="4" w:space="0" w:color="4D4D4D"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D4D4D" w:themeColor="accent6"/>
          <w:left w:val="nil"/>
        </w:tcBorders>
      </w:tcPr>
    </w:tblStylePr>
    <w:tblStylePr w:type="swCell">
      <w:tblPr/>
      <w:tcPr>
        <w:tcBorders>
          <w:top w:val="double" w:sz="4" w:space="0" w:color="4D4D4D" w:themeColor="accent6"/>
          <w:right w:val="nil"/>
        </w:tcBorders>
      </w:tcPr>
    </w:tblStylePr>
  </w:style>
  <w:style w:type="table" w:styleId="ListTable4">
    <w:name w:val="List Table 4"/>
    <w:basedOn w:val="TableNormal"/>
    <w:uiPriority w:val="49"/>
    <w:semiHidden/>
    <w:rsid w:val="0045116D"/>
    <w:rPr>
      <w:sz w:val="24"/>
      <w:szCs w:val="24"/>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0072BC"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semiHidden/>
    <w:rsid w:val="0045116D"/>
    <w:rPr>
      <w:sz w:val="24"/>
      <w:szCs w:val="24"/>
    </w:rPr>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tblBorders>
    </w:tblPr>
    <w:tblStylePr w:type="firstRow">
      <w:rPr>
        <w:b/>
        <w:bCs/>
        <w:color w:val="0072BC" w:themeColor="background1"/>
      </w:rPr>
      <w:tblPr/>
      <w:tcPr>
        <w:tcBorders>
          <w:top w:val="single" w:sz="4" w:space="0" w:color="0072BC" w:themeColor="accent1"/>
          <w:left w:val="single" w:sz="4" w:space="0" w:color="0072BC" w:themeColor="accent1"/>
          <w:bottom w:val="single" w:sz="4" w:space="0" w:color="0072BC" w:themeColor="accent1"/>
          <w:right w:val="single" w:sz="4" w:space="0" w:color="0072BC" w:themeColor="accent1"/>
          <w:insideH w:val="nil"/>
        </w:tcBorders>
        <w:shd w:val="clear" w:color="auto" w:fill="0072BC" w:themeFill="accent1"/>
      </w:tcPr>
    </w:tblStylePr>
    <w:tblStylePr w:type="lastRow">
      <w:rPr>
        <w:b/>
        <w:bCs/>
      </w:rPr>
      <w:tblPr/>
      <w:tcPr>
        <w:tcBorders>
          <w:top w:val="double" w:sz="4" w:space="0" w:color="3DB2FF" w:themeColor="accent1" w:themeTint="99"/>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4-Accent2">
    <w:name w:val="List Table 4 Accent 2"/>
    <w:basedOn w:val="TableNormal"/>
    <w:uiPriority w:val="49"/>
    <w:semiHidden/>
    <w:rsid w:val="0045116D"/>
    <w:rPr>
      <w:sz w:val="24"/>
      <w:szCs w:val="24"/>
    </w:rPr>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tblBorders>
    </w:tblPr>
    <w:tblStylePr w:type="firstRow">
      <w:rPr>
        <w:b/>
        <w:bCs/>
        <w:color w:val="0072BC" w:themeColor="background1"/>
      </w:rPr>
      <w:tblPr/>
      <w:tcPr>
        <w:tcBorders>
          <w:top w:val="single" w:sz="4" w:space="0" w:color="C00000" w:themeColor="accent2"/>
          <w:left w:val="single" w:sz="4" w:space="0" w:color="C00000" w:themeColor="accent2"/>
          <w:bottom w:val="single" w:sz="4" w:space="0" w:color="C00000" w:themeColor="accent2"/>
          <w:right w:val="single" w:sz="4" w:space="0" w:color="C00000" w:themeColor="accent2"/>
          <w:insideH w:val="nil"/>
        </w:tcBorders>
        <w:shd w:val="clear" w:color="auto" w:fill="C00000" w:themeFill="accent2"/>
      </w:tcPr>
    </w:tblStylePr>
    <w:tblStylePr w:type="lastRow">
      <w:rPr>
        <w:b/>
        <w:bCs/>
      </w:rPr>
      <w:tblPr/>
      <w:tcPr>
        <w:tcBorders>
          <w:top w:val="double" w:sz="4" w:space="0" w:color="FF4040" w:themeColor="accent2" w:themeTint="99"/>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4-Accent3">
    <w:name w:val="List Table 4 Accent 3"/>
    <w:basedOn w:val="TableNormal"/>
    <w:uiPriority w:val="49"/>
    <w:semiHidden/>
    <w:rsid w:val="0045116D"/>
    <w:rPr>
      <w:sz w:val="24"/>
      <w:szCs w:val="24"/>
    </w:rPr>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tblBorders>
    </w:tblPr>
    <w:tblStylePr w:type="firstRow">
      <w:rPr>
        <w:b/>
        <w:bCs/>
        <w:color w:val="0072BC" w:themeColor="background1"/>
      </w:rPr>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tcBorders>
        <w:shd w:val="clear" w:color="auto" w:fill="5F5F5F" w:themeFill="accent3"/>
      </w:tcPr>
    </w:tblStylePr>
    <w:tblStylePr w:type="lastRow">
      <w:rPr>
        <w:b/>
        <w:bCs/>
      </w:rPr>
      <w:tblPr/>
      <w:tcPr>
        <w:tcBorders>
          <w:top w:val="double" w:sz="4" w:space="0" w:color="9F9F9F" w:themeColor="accent3" w:themeTint="99"/>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ListTable4-Accent4">
    <w:name w:val="List Table 4 Accent 4"/>
    <w:basedOn w:val="TableNormal"/>
    <w:uiPriority w:val="49"/>
    <w:semiHidden/>
    <w:rsid w:val="0045116D"/>
    <w:rPr>
      <w:sz w:val="24"/>
      <w:szCs w:val="24"/>
    </w:rPr>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tblBorders>
    </w:tblPr>
    <w:tblStylePr w:type="firstRow">
      <w:rPr>
        <w:b/>
        <w:bCs/>
        <w:color w:val="0072BC" w:themeColor="background1"/>
      </w:rPr>
      <w:tblPr/>
      <w:tcPr>
        <w:tcBorders>
          <w:top w:val="single" w:sz="4" w:space="0" w:color="969696" w:themeColor="accent4"/>
          <w:left w:val="single" w:sz="4" w:space="0" w:color="969696" w:themeColor="accent4"/>
          <w:bottom w:val="single" w:sz="4" w:space="0" w:color="969696" w:themeColor="accent4"/>
          <w:right w:val="single" w:sz="4" w:space="0" w:color="969696" w:themeColor="accent4"/>
          <w:insideH w:val="nil"/>
        </w:tcBorders>
        <w:shd w:val="clear" w:color="auto" w:fill="969696" w:themeFill="accent4"/>
      </w:tcPr>
    </w:tblStylePr>
    <w:tblStylePr w:type="lastRow">
      <w:rPr>
        <w:b/>
        <w:bCs/>
      </w:rPr>
      <w:tblPr/>
      <w:tcPr>
        <w:tcBorders>
          <w:top w:val="double" w:sz="4" w:space="0" w:color="C0C0C0" w:themeColor="accent4" w:themeTint="99"/>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4-Accent5">
    <w:name w:val="List Table 4 Accent 5"/>
    <w:basedOn w:val="TableNormal"/>
    <w:uiPriority w:val="49"/>
    <w:semiHidden/>
    <w:rsid w:val="0045116D"/>
    <w:rPr>
      <w:sz w:val="24"/>
      <w:szCs w:val="24"/>
    </w:rPr>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tblBorders>
    </w:tblPr>
    <w:tblStylePr w:type="firstRow">
      <w:rPr>
        <w:b/>
        <w:bCs/>
        <w:color w:val="0072BC" w:themeColor="background1"/>
      </w:rPr>
      <w:tblPr/>
      <w:tcPr>
        <w:tcBorders>
          <w:top w:val="single" w:sz="4" w:space="0" w:color="5F5F5F" w:themeColor="accent5"/>
          <w:left w:val="single" w:sz="4" w:space="0" w:color="5F5F5F" w:themeColor="accent5"/>
          <w:bottom w:val="single" w:sz="4" w:space="0" w:color="5F5F5F" w:themeColor="accent5"/>
          <w:right w:val="single" w:sz="4" w:space="0" w:color="5F5F5F" w:themeColor="accent5"/>
          <w:insideH w:val="nil"/>
        </w:tcBorders>
        <w:shd w:val="clear" w:color="auto" w:fill="5F5F5F" w:themeFill="accent5"/>
      </w:tcPr>
    </w:tblStylePr>
    <w:tblStylePr w:type="lastRow">
      <w:rPr>
        <w:b/>
        <w:bCs/>
      </w:rPr>
      <w:tblPr/>
      <w:tcPr>
        <w:tcBorders>
          <w:top w:val="double" w:sz="4" w:space="0" w:color="9F9F9F" w:themeColor="accent5" w:themeTint="99"/>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4-Accent6">
    <w:name w:val="List Table 4 Accent 6"/>
    <w:basedOn w:val="TableNormal"/>
    <w:uiPriority w:val="49"/>
    <w:semiHidden/>
    <w:rsid w:val="0045116D"/>
    <w:rPr>
      <w:sz w:val="24"/>
      <w:szCs w:val="24"/>
    </w:rPr>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tblBorders>
    </w:tblPr>
    <w:tblStylePr w:type="firstRow">
      <w:rPr>
        <w:b/>
        <w:bCs/>
        <w:color w:val="0072BC" w:themeColor="background1"/>
      </w:rPr>
      <w:tblPr/>
      <w:tcPr>
        <w:tcBorders>
          <w:top w:val="single" w:sz="4" w:space="0" w:color="4D4D4D" w:themeColor="accent6"/>
          <w:left w:val="single" w:sz="4" w:space="0" w:color="4D4D4D" w:themeColor="accent6"/>
          <w:bottom w:val="single" w:sz="4" w:space="0" w:color="4D4D4D" w:themeColor="accent6"/>
          <w:right w:val="single" w:sz="4" w:space="0" w:color="4D4D4D" w:themeColor="accent6"/>
          <w:insideH w:val="nil"/>
        </w:tcBorders>
        <w:shd w:val="clear" w:color="auto" w:fill="4D4D4D" w:themeFill="accent6"/>
      </w:tcPr>
    </w:tblStylePr>
    <w:tblStylePr w:type="lastRow">
      <w:rPr>
        <w:b/>
        <w:bCs/>
      </w:rPr>
      <w:tblPr/>
      <w:tcPr>
        <w:tcBorders>
          <w:top w:val="doub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5Dark">
    <w:name w:val="List Table 5 Dark"/>
    <w:basedOn w:val="TableNormal"/>
    <w:uiPriority w:val="50"/>
    <w:semiHidden/>
    <w:rsid w:val="0045116D"/>
    <w:rPr>
      <w:color w:val="0072BC" w:themeColor="background1"/>
      <w:sz w:val="24"/>
      <w:szCs w:val="24"/>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semiHidden/>
    <w:rsid w:val="0045116D"/>
    <w:rPr>
      <w:color w:val="0072BC" w:themeColor="background1"/>
      <w:sz w:val="24"/>
      <w:szCs w:val="24"/>
    </w:rPr>
    <w:tblPr>
      <w:tblStyleRowBandSize w:val="1"/>
      <w:tblStyleColBandSize w:val="1"/>
      <w:tblBorders>
        <w:top w:val="single" w:sz="24" w:space="0" w:color="0072BC" w:themeColor="accent1"/>
        <w:left w:val="single" w:sz="24" w:space="0" w:color="0072BC" w:themeColor="accent1"/>
        <w:bottom w:val="single" w:sz="24" w:space="0" w:color="0072BC" w:themeColor="accent1"/>
        <w:right w:val="single" w:sz="24" w:space="0" w:color="0072BC" w:themeColor="accent1"/>
      </w:tblBorders>
    </w:tblPr>
    <w:tcPr>
      <w:shd w:val="clear" w:color="auto" w:fill="0072BC" w:themeFill="accent1"/>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semiHidden/>
    <w:rsid w:val="0045116D"/>
    <w:rPr>
      <w:color w:val="0072BC" w:themeColor="background1"/>
      <w:sz w:val="24"/>
      <w:szCs w:val="24"/>
    </w:rPr>
    <w:tblPr>
      <w:tblStyleRowBandSize w:val="1"/>
      <w:tblStyleColBandSize w:val="1"/>
      <w:tblBorders>
        <w:top w:val="single" w:sz="24" w:space="0" w:color="C00000" w:themeColor="accent2"/>
        <w:left w:val="single" w:sz="24" w:space="0" w:color="C00000" w:themeColor="accent2"/>
        <w:bottom w:val="single" w:sz="24" w:space="0" w:color="C00000" w:themeColor="accent2"/>
        <w:right w:val="single" w:sz="24" w:space="0" w:color="C00000" w:themeColor="accent2"/>
      </w:tblBorders>
    </w:tblPr>
    <w:tcPr>
      <w:shd w:val="clear" w:color="auto" w:fill="C00000" w:themeFill="accent2"/>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semiHidden/>
    <w:rsid w:val="0045116D"/>
    <w:rPr>
      <w:color w:val="0072BC" w:themeColor="background1"/>
      <w:sz w:val="24"/>
      <w:szCs w:val="24"/>
    </w:rPr>
    <w:tblPr>
      <w:tblStyleRowBandSize w:val="1"/>
      <w:tblStyleColBandSize w:val="1"/>
      <w:tblBorders>
        <w:top w:val="single" w:sz="24" w:space="0" w:color="5F5F5F" w:themeColor="accent3"/>
        <w:left w:val="single" w:sz="24" w:space="0" w:color="5F5F5F" w:themeColor="accent3"/>
        <w:bottom w:val="single" w:sz="24" w:space="0" w:color="5F5F5F" w:themeColor="accent3"/>
        <w:right w:val="single" w:sz="24" w:space="0" w:color="5F5F5F" w:themeColor="accent3"/>
      </w:tblBorders>
    </w:tblPr>
    <w:tcPr>
      <w:shd w:val="clear" w:color="auto" w:fill="5F5F5F" w:themeFill="accent3"/>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semiHidden/>
    <w:rsid w:val="0045116D"/>
    <w:rPr>
      <w:color w:val="0072BC" w:themeColor="background1"/>
      <w:sz w:val="24"/>
      <w:szCs w:val="24"/>
    </w:rPr>
    <w:tblPr>
      <w:tblStyleRowBandSize w:val="1"/>
      <w:tblStyleColBandSize w:val="1"/>
      <w:tblBorders>
        <w:top w:val="single" w:sz="24" w:space="0" w:color="969696" w:themeColor="accent4"/>
        <w:left w:val="single" w:sz="24" w:space="0" w:color="969696" w:themeColor="accent4"/>
        <w:bottom w:val="single" w:sz="24" w:space="0" w:color="969696" w:themeColor="accent4"/>
        <w:right w:val="single" w:sz="24" w:space="0" w:color="969696" w:themeColor="accent4"/>
      </w:tblBorders>
    </w:tblPr>
    <w:tcPr>
      <w:shd w:val="clear" w:color="auto" w:fill="969696" w:themeFill="accent4"/>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semiHidden/>
    <w:rsid w:val="0045116D"/>
    <w:rPr>
      <w:color w:val="0072BC" w:themeColor="background1"/>
      <w:sz w:val="24"/>
      <w:szCs w:val="24"/>
    </w:rPr>
    <w:tblPr>
      <w:tblStyleRowBandSize w:val="1"/>
      <w:tblStyleColBandSize w:val="1"/>
      <w:tblBorders>
        <w:top w:val="single" w:sz="24" w:space="0" w:color="5F5F5F" w:themeColor="accent5"/>
        <w:left w:val="single" w:sz="24" w:space="0" w:color="5F5F5F" w:themeColor="accent5"/>
        <w:bottom w:val="single" w:sz="24" w:space="0" w:color="5F5F5F" w:themeColor="accent5"/>
        <w:right w:val="single" w:sz="24" w:space="0" w:color="5F5F5F" w:themeColor="accent5"/>
      </w:tblBorders>
    </w:tblPr>
    <w:tcPr>
      <w:shd w:val="clear" w:color="auto" w:fill="5F5F5F" w:themeFill="accent5"/>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semiHidden/>
    <w:rsid w:val="0045116D"/>
    <w:rPr>
      <w:color w:val="0072BC" w:themeColor="background1"/>
      <w:sz w:val="24"/>
      <w:szCs w:val="24"/>
    </w:rPr>
    <w:tblPr>
      <w:tblStyleRowBandSize w:val="1"/>
      <w:tblStyleColBandSize w:val="1"/>
      <w:tblBorders>
        <w:top w:val="single" w:sz="24" w:space="0" w:color="4D4D4D" w:themeColor="accent6"/>
        <w:left w:val="single" w:sz="24" w:space="0" w:color="4D4D4D" w:themeColor="accent6"/>
        <w:bottom w:val="single" w:sz="24" w:space="0" w:color="4D4D4D" w:themeColor="accent6"/>
        <w:right w:val="single" w:sz="24" w:space="0" w:color="4D4D4D" w:themeColor="accent6"/>
      </w:tblBorders>
    </w:tblPr>
    <w:tcPr>
      <w:shd w:val="clear" w:color="auto" w:fill="4D4D4D" w:themeFill="accent6"/>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semiHidden/>
    <w:rsid w:val="0045116D"/>
    <w:rPr>
      <w:color w:val="000000" w:themeColor="text1"/>
      <w:sz w:val="24"/>
      <w:szCs w:val="24"/>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semiHidden/>
    <w:rsid w:val="0045116D"/>
    <w:rPr>
      <w:color w:val="00548C" w:themeColor="accent1" w:themeShade="BF"/>
      <w:sz w:val="24"/>
      <w:szCs w:val="24"/>
    </w:rPr>
    <w:tblPr>
      <w:tblStyleRowBandSize w:val="1"/>
      <w:tblStyleColBandSize w:val="1"/>
      <w:tblBorders>
        <w:top w:val="single" w:sz="4" w:space="0" w:color="0072BC" w:themeColor="accent1"/>
        <w:bottom w:val="single" w:sz="4" w:space="0" w:color="0072BC" w:themeColor="accent1"/>
      </w:tblBorders>
    </w:tblPr>
    <w:tblStylePr w:type="firstRow">
      <w:rPr>
        <w:b/>
        <w:bCs/>
      </w:rPr>
      <w:tblPr/>
      <w:tcPr>
        <w:tcBorders>
          <w:bottom w:val="single" w:sz="4" w:space="0" w:color="0072BC" w:themeColor="accent1"/>
        </w:tcBorders>
      </w:tcPr>
    </w:tblStylePr>
    <w:tblStylePr w:type="lastRow">
      <w:rPr>
        <w:b/>
        <w:bCs/>
      </w:rPr>
      <w:tblPr/>
      <w:tcPr>
        <w:tcBorders>
          <w:top w:val="double" w:sz="4" w:space="0" w:color="0072BC" w:themeColor="accent1"/>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6Colorful-Accent2">
    <w:name w:val="List Table 6 Colorful Accent 2"/>
    <w:basedOn w:val="TableNormal"/>
    <w:uiPriority w:val="51"/>
    <w:semiHidden/>
    <w:rsid w:val="0045116D"/>
    <w:rPr>
      <w:color w:val="8F0000" w:themeColor="accent2" w:themeShade="BF"/>
      <w:sz w:val="24"/>
      <w:szCs w:val="24"/>
    </w:rPr>
    <w:tblPr>
      <w:tblStyleRowBandSize w:val="1"/>
      <w:tblStyleColBandSize w:val="1"/>
      <w:tblBorders>
        <w:top w:val="single" w:sz="4" w:space="0" w:color="C00000" w:themeColor="accent2"/>
        <w:bottom w:val="single" w:sz="4" w:space="0" w:color="C00000" w:themeColor="accent2"/>
      </w:tblBorders>
    </w:tblPr>
    <w:tblStylePr w:type="firstRow">
      <w:rPr>
        <w:b/>
        <w:bCs/>
      </w:rPr>
      <w:tblPr/>
      <w:tcPr>
        <w:tcBorders>
          <w:bottom w:val="single" w:sz="4" w:space="0" w:color="C00000" w:themeColor="accent2"/>
        </w:tcBorders>
      </w:tcPr>
    </w:tblStylePr>
    <w:tblStylePr w:type="lastRow">
      <w:rPr>
        <w:b/>
        <w:bCs/>
      </w:rPr>
      <w:tblPr/>
      <w:tcPr>
        <w:tcBorders>
          <w:top w:val="double" w:sz="4" w:space="0" w:color="C00000" w:themeColor="accent2"/>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6Colorful-Accent3">
    <w:name w:val="List Table 6 Colorful Accent 3"/>
    <w:basedOn w:val="TableNormal"/>
    <w:uiPriority w:val="51"/>
    <w:semiHidden/>
    <w:rsid w:val="0045116D"/>
    <w:rPr>
      <w:color w:val="474747" w:themeColor="accent3" w:themeShade="BF"/>
      <w:sz w:val="24"/>
      <w:szCs w:val="24"/>
    </w:rPr>
    <w:tblPr>
      <w:tblStyleRowBandSize w:val="1"/>
      <w:tblStyleColBandSize w:val="1"/>
      <w:tblBorders>
        <w:top w:val="single" w:sz="4" w:space="0" w:color="5F5F5F" w:themeColor="accent3"/>
        <w:bottom w:val="single" w:sz="4" w:space="0" w:color="5F5F5F" w:themeColor="accent3"/>
      </w:tblBorders>
    </w:tblPr>
    <w:tblStylePr w:type="firstRow">
      <w:rPr>
        <w:b/>
        <w:bCs/>
      </w:rPr>
      <w:tblPr/>
      <w:tcPr>
        <w:tcBorders>
          <w:bottom w:val="single" w:sz="4" w:space="0" w:color="5F5F5F" w:themeColor="accent3"/>
        </w:tcBorders>
      </w:tcPr>
    </w:tblStylePr>
    <w:tblStylePr w:type="lastRow">
      <w:rPr>
        <w:b/>
        <w:bCs/>
      </w:rPr>
      <w:tblPr/>
      <w:tcPr>
        <w:tcBorders>
          <w:top w:val="double" w:sz="4" w:space="0" w:color="5F5F5F" w:themeColor="accent3"/>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ListTable6Colorful-Accent4">
    <w:name w:val="List Table 6 Colorful Accent 4"/>
    <w:basedOn w:val="TableNormal"/>
    <w:uiPriority w:val="51"/>
    <w:semiHidden/>
    <w:rsid w:val="0045116D"/>
    <w:rPr>
      <w:color w:val="707070" w:themeColor="accent4" w:themeShade="BF"/>
      <w:sz w:val="24"/>
      <w:szCs w:val="24"/>
    </w:rPr>
    <w:tblPr>
      <w:tblStyleRowBandSize w:val="1"/>
      <w:tblStyleColBandSize w:val="1"/>
      <w:tblBorders>
        <w:top w:val="single" w:sz="4" w:space="0" w:color="969696" w:themeColor="accent4"/>
        <w:bottom w:val="single" w:sz="4" w:space="0" w:color="969696" w:themeColor="accent4"/>
      </w:tblBorders>
    </w:tblPr>
    <w:tblStylePr w:type="firstRow">
      <w:rPr>
        <w:b/>
        <w:bCs/>
      </w:rPr>
      <w:tblPr/>
      <w:tcPr>
        <w:tcBorders>
          <w:bottom w:val="single" w:sz="4" w:space="0" w:color="969696" w:themeColor="accent4"/>
        </w:tcBorders>
      </w:tcPr>
    </w:tblStylePr>
    <w:tblStylePr w:type="lastRow">
      <w:rPr>
        <w:b/>
        <w:bCs/>
      </w:rPr>
      <w:tblPr/>
      <w:tcPr>
        <w:tcBorders>
          <w:top w:val="double" w:sz="4" w:space="0" w:color="969696" w:themeColor="accent4"/>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6Colorful-Accent5">
    <w:name w:val="List Table 6 Colorful Accent 5"/>
    <w:basedOn w:val="TableNormal"/>
    <w:uiPriority w:val="51"/>
    <w:semiHidden/>
    <w:rsid w:val="0045116D"/>
    <w:rPr>
      <w:color w:val="474747" w:themeColor="accent5" w:themeShade="BF"/>
      <w:sz w:val="24"/>
      <w:szCs w:val="24"/>
    </w:rPr>
    <w:tblPr>
      <w:tblStyleRowBandSize w:val="1"/>
      <w:tblStyleColBandSize w:val="1"/>
      <w:tblBorders>
        <w:top w:val="single" w:sz="4" w:space="0" w:color="5F5F5F" w:themeColor="accent5"/>
        <w:bottom w:val="single" w:sz="4" w:space="0" w:color="5F5F5F" w:themeColor="accent5"/>
      </w:tblBorders>
    </w:tblPr>
    <w:tblStylePr w:type="firstRow">
      <w:rPr>
        <w:b/>
        <w:bCs/>
      </w:rPr>
      <w:tblPr/>
      <w:tcPr>
        <w:tcBorders>
          <w:bottom w:val="single" w:sz="4" w:space="0" w:color="5F5F5F" w:themeColor="accent5"/>
        </w:tcBorders>
      </w:tcPr>
    </w:tblStylePr>
    <w:tblStylePr w:type="lastRow">
      <w:rPr>
        <w:b/>
        <w:bCs/>
      </w:rPr>
      <w:tblPr/>
      <w:tcPr>
        <w:tcBorders>
          <w:top w:val="double" w:sz="4" w:space="0" w:color="5F5F5F" w:themeColor="accent5"/>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6Colorful-Accent6">
    <w:name w:val="List Table 6 Colorful Accent 6"/>
    <w:basedOn w:val="TableNormal"/>
    <w:uiPriority w:val="51"/>
    <w:semiHidden/>
    <w:rsid w:val="0045116D"/>
    <w:rPr>
      <w:color w:val="393939" w:themeColor="accent6" w:themeShade="BF"/>
      <w:sz w:val="24"/>
      <w:szCs w:val="24"/>
    </w:rPr>
    <w:tblPr>
      <w:tblStyleRowBandSize w:val="1"/>
      <w:tblStyleColBandSize w:val="1"/>
      <w:tblBorders>
        <w:top w:val="single" w:sz="4" w:space="0" w:color="4D4D4D" w:themeColor="accent6"/>
        <w:bottom w:val="single" w:sz="4" w:space="0" w:color="4D4D4D" w:themeColor="accent6"/>
      </w:tblBorders>
    </w:tblPr>
    <w:tblStylePr w:type="firstRow">
      <w:rPr>
        <w:b/>
        <w:bCs/>
      </w:rPr>
      <w:tblPr/>
      <w:tcPr>
        <w:tcBorders>
          <w:bottom w:val="single" w:sz="4" w:space="0" w:color="4D4D4D" w:themeColor="accent6"/>
        </w:tcBorders>
      </w:tcPr>
    </w:tblStylePr>
    <w:tblStylePr w:type="lastRow">
      <w:rPr>
        <w:b/>
        <w:bCs/>
      </w:rPr>
      <w:tblPr/>
      <w:tcPr>
        <w:tcBorders>
          <w:top w:val="double" w:sz="4" w:space="0" w:color="4D4D4D" w:themeColor="accent6"/>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7Colorful">
    <w:name w:val="List Table 7 Colorful"/>
    <w:basedOn w:val="TableNormal"/>
    <w:uiPriority w:val="52"/>
    <w:semiHidden/>
    <w:rsid w:val="0045116D"/>
    <w:rPr>
      <w:color w:val="000000" w:themeColor="text1"/>
      <w:sz w:val="24"/>
      <w:szCs w:val="24"/>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0072BC"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semiHidden/>
    <w:rsid w:val="0045116D"/>
    <w:rPr>
      <w:color w:val="00548C" w:themeColor="accent1" w:themeShade="BF"/>
      <w:sz w:val="24"/>
      <w:szCs w:val="24"/>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72BC" w:themeColor="accent1"/>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0072BC" w:themeColor="accent1"/>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72BC" w:themeColor="accent1"/>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0072BC" w:themeColor="accent1"/>
        </w:tcBorders>
        <w:shd w:val="clear" w:color="auto" w:fill="0072BC" w:themeFill="background1"/>
      </w:tcPr>
    </w:tblStylePr>
    <w:tblStylePr w:type="band1Vert">
      <w:tblPr/>
      <w:tcPr>
        <w:shd w:val="clear" w:color="auto" w:fill="BEE5FF" w:themeFill="accent1" w:themeFillTint="33"/>
      </w:tcPr>
    </w:tblStylePr>
    <w:tblStylePr w:type="band1Horz">
      <w:tblPr/>
      <w:tcPr>
        <w:shd w:val="clear" w:color="auto" w:fill="BEE5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semiHidden/>
    <w:rsid w:val="0045116D"/>
    <w:rPr>
      <w:color w:val="8F0000" w:themeColor="accent2" w:themeShade="BF"/>
      <w:sz w:val="24"/>
      <w:szCs w:val="24"/>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0000" w:themeColor="accent2"/>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C00000" w:themeColor="accent2"/>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0000" w:themeColor="accent2"/>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C00000" w:themeColor="accent2"/>
        </w:tcBorders>
        <w:shd w:val="clear" w:color="auto" w:fill="0072BC" w:themeFill="background1"/>
      </w:tcPr>
    </w:tblStylePr>
    <w:tblStylePr w:type="band1Vert">
      <w:tblPr/>
      <w:tcPr>
        <w:shd w:val="clear" w:color="auto" w:fill="FFBFBF" w:themeFill="accent2" w:themeFillTint="33"/>
      </w:tcPr>
    </w:tblStylePr>
    <w:tblStylePr w:type="band1Horz">
      <w:tblPr/>
      <w:tcPr>
        <w:shd w:val="clear" w:color="auto" w:fill="FFBFBF"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semiHidden/>
    <w:rsid w:val="0045116D"/>
    <w:rPr>
      <w:color w:val="474747" w:themeColor="accent3" w:themeShade="BF"/>
      <w:sz w:val="24"/>
      <w:szCs w:val="24"/>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F5F5F" w:themeColor="accent3"/>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5F5F5F" w:themeColor="accent3"/>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F5F5F" w:themeColor="accent3"/>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5F5F5F" w:themeColor="accent3"/>
        </w:tcBorders>
        <w:shd w:val="clear" w:color="auto" w:fill="0072BC" w:themeFill="background1"/>
      </w:tcPr>
    </w:tblStylePr>
    <w:tblStylePr w:type="band1Vert">
      <w:tblPr/>
      <w:tcPr>
        <w:shd w:val="clear" w:color="auto" w:fill="DFDFDF" w:themeFill="accent3" w:themeFillTint="33"/>
      </w:tcPr>
    </w:tblStylePr>
    <w:tblStylePr w:type="band1Horz">
      <w:tblPr/>
      <w:tcPr>
        <w:shd w:val="clear" w:color="auto" w:fill="DFDFDF"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semiHidden/>
    <w:rsid w:val="0045116D"/>
    <w:rPr>
      <w:color w:val="707070" w:themeColor="accent4" w:themeShade="BF"/>
      <w:sz w:val="24"/>
      <w:szCs w:val="24"/>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69696" w:themeColor="accent4"/>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969696" w:themeColor="accent4"/>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69696" w:themeColor="accent4"/>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969696" w:themeColor="accent4"/>
        </w:tcBorders>
        <w:shd w:val="clear" w:color="auto" w:fill="0072BC" w:themeFill="background1"/>
      </w:tcPr>
    </w:tblStylePr>
    <w:tblStylePr w:type="band1Vert">
      <w:tblPr/>
      <w:tcPr>
        <w:shd w:val="clear" w:color="auto" w:fill="EAEAEA" w:themeFill="accent4" w:themeFillTint="33"/>
      </w:tcPr>
    </w:tblStylePr>
    <w:tblStylePr w:type="band1Horz">
      <w:tblPr/>
      <w:tcPr>
        <w:shd w:val="clear" w:color="auto" w:fill="EAEAEA"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semiHidden/>
    <w:rsid w:val="0045116D"/>
    <w:rPr>
      <w:color w:val="474747" w:themeColor="accent5" w:themeShade="BF"/>
      <w:sz w:val="24"/>
      <w:szCs w:val="24"/>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F5F5F" w:themeColor="accent5"/>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5F5F5F" w:themeColor="accent5"/>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F5F5F" w:themeColor="accent5"/>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5F5F5F" w:themeColor="accent5"/>
        </w:tcBorders>
        <w:shd w:val="clear" w:color="auto" w:fill="0072BC" w:themeFill="background1"/>
      </w:tcPr>
    </w:tblStylePr>
    <w:tblStylePr w:type="band1Vert">
      <w:tblPr/>
      <w:tcPr>
        <w:shd w:val="clear" w:color="auto" w:fill="DFDFDF" w:themeFill="accent5" w:themeFillTint="33"/>
      </w:tcPr>
    </w:tblStylePr>
    <w:tblStylePr w:type="band1Horz">
      <w:tblPr/>
      <w:tcPr>
        <w:shd w:val="clear" w:color="auto" w:fill="DFDFDF"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semiHidden/>
    <w:rsid w:val="0045116D"/>
    <w:rPr>
      <w:color w:val="393939" w:themeColor="accent6" w:themeShade="BF"/>
      <w:sz w:val="24"/>
      <w:szCs w:val="24"/>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D4D4D" w:themeColor="accent6"/>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4D4D4D" w:themeColor="accent6"/>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D4D4D" w:themeColor="accent6"/>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4D4D4D" w:themeColor="accent6"/>
        </w:tcBorders>
        <w:shd w:val="clear" w:color="auto" w:fill="0072BC" w:themeFill="background1"/>
      </w:tcPr>
    </w:tblStylePr>
    <w:tblStylePr w:type="band1Vert">
      <w:tblPr/>
      <w:tcPr>
        <w:shd w:val="clear" w:color="auto" w:fill="DBDBDB" w:themeFill="accent6" w:themeFillTint="33"/>
      </w:tcPr>
    </w:tblStylePr>
    <w:tblStylePr w:type="band1Horz">
      <w:tblPr/>
      <w:tcPr>
        <w:shd w:val="clear" w:color="auto" w:fill="DBDBD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Mention1">
    <w:name w:val="Mention1"/>
    <w:basedOn w:val="DefaultParagraphFont"/>
    <w:uiPriority w:val="99"/>
    <w:semiHidden/>
    <w:unhideWhenUsed/>
    <w:rsid w:val="0045116D"/>
    <w:rPr>
      <w:color w:val="2B579A"/>
      <w:shd w:val="clear" w:color="auto" w:fill="E1DFDD"/>
    </w:rPr>
  </w:style>
  <w:style w:type="table" w:styleId="PlainTable1">
    <w:name w:val="Plain Table 1"/>
    <w:basedOn w:val="TableNormal"/>
    <w:uiPriority w:val="41"/>
    <w:semiHidden/>
    <w:rsid w:val="0045116D"/>
    <w:rPr>
      <w:sz w:val="24"/>
      <w:szCs w:val="24"/>
    </w:rPr>
    <w:tblPr>
      <w:tblStyleRowBandSize w:val="1"/>
      <w:tblStyleColBandSize w:val="1"/>
      <w:tblBorders>
        <w:top w:val="single" w:sz="4" w:space="0" w:color="00548C" w:themeColor="background1" w:themeShade="BF"/>
        <w:left w:val="single" w:sz="4" w:space="0" w:color="00548C" w:themeColor="background1" w:themeShade="BF"/>
        <w:bottom w:val="single" w:sz="4" w:space="0" w:color="00548C" w:themeColor="background1" w:themeShade="BF"/>
        <w:right w:val="single" w:sz="4" w:space="0" w:color="00548C" w:themeColor="background1" w:themeShade="BF"/>
        <w:insideH w:val="single" w:sz="4" w:space="0" w:color="00548C" w:themeColor="background1" w:themeShade="BF"/>
        <w:insideV w:val="single" w:sz="4" w:space="0" w:color="00548C" w:themeColor="background1" w:themeShade="BF"/>
      </w:tblBorders>
    </w:tblPr>
    <w:tblStylePr w:type="firstRow">
      <w:rPr>
        <w:b/>
        <w:bCs/>
      </w:rPr>
    </w:tblStylePr>
    <w:tblStylePr w:type="lastRow">
      <w:rPr>
        <w:b/>
        <w:bCs/>
      </w:rPr>
      <w:tblPr/>
      <w:tcPr>
        <w:tcBorders>
          <w:top w:val="double" w:sz="4" w:space="0" w:color="00548C" w:themeColor="background1" w:themeShade="BF"/>
        </w:tcBorders>
      </w:tcPr>
    </w:tblStylePr>
    <w:tblStylePr w:type="firstCol">
      <w:rPr>
        <w:b/>
        <w:bCs/>
      </w:rPr>
    </w:tblStylePr>
    <w:tblStylePr w:type="lastCol">
      <w:rPr>
        <w:b/>
        <w:bCs/>
      </w:rPr>
    </w:tblStylePr>
    <w:tblStylePr w:type="band1Vert">
      <w:tblPr/>
      <w:tcPr>
        <w:shd w:val="clear" w:color="auto" w:fill="006BB2" w:themeFill="background1" w:themeFillShade="F2"/>
      </w:tcPr>
    </w:tblStylePr>
    <w:tblStylePr w:type="band1Horz">
      <w:tblPr/>
      <w:tcPr>
        <w:shd w:val="clear" w:color="auto" w:fill="006BB2" w:themeFill="background1" w:themeFillShade="F2"/>
      </w:tcPr>
    </w:tblStylePr>
  </w:style>
  <w:style w:type="table" w:styleId="PlainTable2">
    <w:name w:val="Plain Table 2"/>
    <w:basedOn w:val="TableNormal"/>
    <w:uiPriority w:val="42"/>
    <w:semiHidden/>
    <w:rsid w:val="0045116D"/>
    <w:rPr>
      <w:sz w:val="24"/>
      <w:szCs w:val="24"/>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semiHidden/>
    <w:rsid w:val="0045116D"/>
    <w:rPr>
      <w:sz w:val="24"/>
      <w:szCs w:val="24"/>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006BB2" w:themeFill="background1" w:themeFillShade="F2"/>
      </w:tcPr>
    </w:tblStylePr>
    <w:tblStylePr w:type="band1Horz">
      <w:tblPr/>
      <w:tcPr>
        <w:shd w:val="clear" w:color="auto" w:fill="006BB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semiHidden/>
    <w:rsid w:val="0045116D"/>
    <w:rPr>
      <w:sz w:val="24"/>
      <w:szCs w:val="24"/>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006BB2" w:themeFill="background1" w:themeFillShade="F2"/>
      </w:tcPr>
    </w:tblStylePr>
    <w:tblStylePr w:type="band1Horz">
      <w:tblPr/>
      <w:tcPr>
        <w:shd w:val="clear" w:color="auto" w:fill="006BB2" w:themeFill="background1" w:themeFillShade="F2"/>
      </w:tcPr>
    </w:tblStylePr>
  </w:style>
  <w:style w:type="table" w:styleId="PlainTable5">
    <w:name w:val="Plain Table 5"/>
    <w:basedOn w:val="TableNormal"/>
    <w:uiPriority w:val="45"/>
    <w:semiHidden/>
    <w:rsid w:val="0045116D"/>
    <w:rPr>
      <w:sz w:val="24"/>
      <w:szCs w:val="24"/>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0072BC" w:themeFill="background1"/>
      </w:tcPr>
    </w:tblStylePr>
    <w:tblStylePr w:type="band1Vert">
      <w:tblPr/>
      <w:tcPr>
        <w:shd w:val="clear" w:color="auto" w:fill="006BB2" w:themeFill="background1" w:themeFillShade="F2"/>
      </w:tcPr>
    </w:tblStylePr>
    <w:tblStylePr w:type="band1Horz">
      <w:tblPr/>
      <w:tcPr>
        <w:shd w:val="clear" w:color="auto" w:fill="006BB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SmartHyperlink1">
    <w:name w:val="Smart Hyperlink1"/>
    <w:basedOn w:val="DefaultParagraphFont"/>
    <w:uiPriority w:val="99"/>
    <w:semiHidden/>
    <w:unhideWhenUsed/>
    <w:rsid w:val="0045116D"/>
    <w:rPr>
      <w:u w:val="dotted"/>
    </w:rPr>
  </w:style>
  <w:style w:type="character" w:customStyle="1" w:styleId="SmartLink1">
    <w:name w:val="SmartLink1"/>
    <w:basedOn w:val="DefaultParagraphFont"/>
    <w:uiPriority w:val="99"/>
    <w:semiHidden/>
    <w:unhideWhenUsed/>
    <w:rsid w:val="0045116D"/>
    <w:rPr>
      <w:color w:val="0000FF"/>
      <w:u w:val="single"/>
      <w:shd w:val="clear" w:color="auto" w:fill="F3F2F1"/>
    </w:rPr>
  </w:style>
  <w:style w:type="table" w:styleId="TableGridLight">
    <w:name w:val="Grid Table Light"/>
    <w:basedOn w:val="TableNormal"/>
    <w:uiPriority w:val="40"/>
    <w:semiHidden/>
    <w:rsid w:val="0045116D"/>
    <w:rPr>
      <w:sz w:val="24"/>
      <w:szCs w:val="24"/>
    </w:rPr>
    <w:tblPr>
      <w:tblBorders>
        <w:top w:val="single" w:sz="4" w:space="0" w:color="00548C" w:themeColor="background1" w:themeShade="BF"/>
        <w:left w:val="single" w:sz="4" w:space="0" w:color="00548C" w:themeColor="background1" w:themeShade="BF"/>
        <w:bottom w:val="single" w:sz="4" w:space="0" w:color="00548C" w:themeColor="background1" w:themeShade="BF"/>
        <w:right w:val="single" w:sz="4" w:space="0" w:color="00548C" w:themeColor="background1" w:themeShade="BF"/>
        <w:insideH w:val="single" w:sz="4" w:space="0" w:color="00548C" w:themeColor="background1" w:themeShade="BF"/>
        <w:insideV w:val="single" w:sz="4" w:space="0" w:color="00548C" w:themeColor="background1" w:themeShade="BF"/>
      </w:tblBorders>
    </w:tblPr>
  </w:style>
  <w:style w:type="character" w:customStyle="1" w:styleId="UnresolvedMention1">
    <w:name w:val="Unresolved Mention1"/>
    <w:basedOn w:val="DefaultParagraphFont"/>
    <w:uiPriority w:val="99"/>
    <w:semiHidden/>
    <w:unhideWhenUsed/>
    <w:rsid w:val="0045116D"/>
    <w:rPr>
      <w:color w:val="605E5C"/>
      <w:shd w:val="clear" w:color="auto" w:fill="E1DFDD"/>
    </w:rPr>
  </w:style>
  <w:style w:type="character" w:customStyle="1" w:styleId="JuParaChar">
    <w:name w:val="Ju_Para Char"/>
    <w:aliases w:val="_Para Char"/>
    <w:link w:val="JuPara"/>
    <w:uiPriority w:val="4"/>
    <w:rsid w:val="0045116D"/>
    <w:rPr>
      <w:sz w:val="24"/>
      <w:szCs w:val="24"/>
      <w:lang w:val="ro-RO"/>
    </w:rPr>
  </w:style>
  <w:style w:type="paragraph" w:styleId="Revision">
    <w:name w:val="Revision"/>
    <w:hidden/>
    <w:uiPriority w:val="99"/>
    <w:semiHidden/>
    <w:rsid w:val="0045116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1458085">
      <w:bodyDiv w:val="1"/>
      <w:marLeft w:val="0"/>
      <w:marRight w:val="0"/>
      <w:marTop w:val="0"/>
      <w:marBottom w:val="0"/>
      <w:divBdr>
        <w:top w:val="none" w:sz="0" w:space="0" w:color="auto"/>
        <w:left w:val="none" w:sz="0" w:space="0" w:color="auto"/>
        <w:bottom w:val="none" w:sz="0" w:space="0" w:color="auto"/>
        <w:right w:val="none" w:sz="0" w:space="0" w:color="auto"/>
      </w:divBdr>
    </w:div>
    <w:div w:id="1645431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ier.gov.ro/" TargetMode="External"/></Relationships>
</file>

<file path=word/theme/theme1.xml><?xml version="1.0" encoding="utf-8"?>
<a:theme xmlns:a="http://schemas.openxmlformats.org/drawingml/2006/main" name="ECHR_Theme_Judgments_Decisions_Reports">
  <a:themeElements>
    <a:clrScheme name="ECHR_grey">
      <a:dk1>
        <a:sysClr val="windowText" lastClr="000000"/>
      </a:dk1>
      <a:lt1>
        <a:srgbClr val="0072BC"/>
      </a:lt1>
      <a:dk2>
        <a:srgbClr val="C6C6C6"/>
      </a:dk2>
      <a:lt2>
        <a:srgbClr val="F8F8F8"/>
      </a:lt2>
      <a:accent1>
        <a:srgbClr val="0072BC"/>
      </a:accent1>
      <a:accent2>
        <a:srgbClr val="C00000"/>
      </a:accent2>
      <a:accent3>
        <a:srgbClr val="5F5F5F"/>
      </a:accent3>
      <a:accent4>
        <a:srgbClr val="969696"/>
      </a:accent4>
      <a:accent5>
        <a:srgbClr val="5F5F5F"/>
      </a:accent5>
      <a:accent6>
        <a:srgbClr val="4D4D4D"/>
      </a:accent6>
      <a:hlink>
        <a:srgbClr val="0072BC"/>
      </a:hlink>
      <a:folHlink>
        <a:srgbClr val="7030A0"/>
      </a:folHlink>
    </a:clrScheme>
    <a:fontScheme name="ECHR_Judgments_Reports_Decisions">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58EB02BDB9E204AB350EDD385B68E10" ma:contentTypeVersion="0" ma:contentTypeDescription="Create a new document." ma:contentTypeScope="" ma:versionID="4c0f801ee557d5c8fba2c83aceb7a3a2">
  <xsd:schema xmlns:xsd="http://www.w3.org/2001/XMLSchema" xmlns:xs="http://www.w3.org/2001/XMLSchema" xmlns:p="http://schemas.microsoft.com/office/2006/metadata/properties" targetNamespace="http://schemas.microsoft.com/office/2006/metadata/properties" ma:root="true" ma:fieldsID="66a9e0779a85d62bb2248c31b91edb7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779664-D19E-4BF6-9B72-4CB154063958}">
  <ds:schemaRefs>
    <ds:schemaRef ds:uri="http://schemas.microsoft.com/sharepoint/v3/contenttype/forms"/>
  </ds:schemaRefs>
</ds:datastoreItem>
</file>

<file path=customXml/itemProps2.xml><?xml version="1.0" encoding="utf-8"?>
<ds:datastoreItem xmlns:ds="http://schemas.openxmlformats.org/officeDocument/2006/customXml" ds:itemID="{5697E882-8CC2-44FB-B6D5-536B3BD7686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DDF211E-F253-49FD-945E-5D6B0B3047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E1EE1DCA-78A6-4B77-A37F-F0856C3C62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7910</Words>
  <Characters>45091</Characters>
  <Application>Microsoft Office Word</Application>
  <DocSecurity>0</DocSecurity>
  <Lines>375</Lines>
  <Paragraphs>105</Paragraphs>
  <ScaleCrop>false</ScaleCrop>
  <HeadingPairs>
    <vt:vector size="2" baseType="variant">
      <vt:variant>
        <vt:lpstr>Title</vt:lpstr>
      </vt:variant>
      <vt:variant>
        <vt:i4>1</vt:i4>
      </vt:variant>
    </vt:vector>
  </HeadingPairs>
  <TitlesOfParts>
    <vt:vector size="1" baseType="lpstr">
      <vt:lpstr>ECHR</vt:lpstr>
    </vt:vector>
  </TitlesOfParts>
  <Manager/>
  <Company/>
  <LinksUpToDate>false</LinksUpToDate>
  <CharactersWithSpaces>52896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ECHR</dc:title>
  <dc:subject>DCF</dc:subject>
  <dc:creator/>
  <cp:lastModifiedBy/>
  <cp:revision>1</cp:revision>
  <dcterms:created xsi:type="dcterms:W3CDTF">2023-01-31T07:50:00Z</dcterms:created>
  <dcterms:modified xsi:type="dcterms:W3CDTF">2023-04-11T12:57:00Z</dcterms:modified>
  <cp:category>ECHR Template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tLanguage">
    <vt:i4>1036</vt:i4>
  </property>
  <property fmtid="{D5CDD505-2E9C-101B-9397-08002B2CF9AE}" pid="3" name="RegisteredNo">
    <vt:lpwstr>83460/17</vt:lpwstr>
  </property>
  <property fmtid="{D5CDD505-2E9C-101B-9397-08002B2CF9AE}" pid="4" name="CASEID">
    <vt:lpwstr>1356722</vt:lpwstr>
  </property>
  <property fmtid="{D5CDD505-2E9C-101B-9397-08002B2CF9AE}" pid="5" name="ContentTypeId">
    <vt:lpwstr>0x010100558EB02BDB9E204AB350EDD385B68E10</vt:lpwstr>
  </property>
</Properties>
</file>