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AD1" w:rsidRPr="00D7351D" w:rsidRDefault="00AB0AD1" w:rsidP="00D7351D">
      <w:pPr>
        <w:jc w:val="center"/>
        <w:rPr>
          <w:rFonts w:ascii="Times New Roman" w:hAnsi="Times New Roman" w:cs="Times New Roman"/>
          <w:noProof/>
        </w:rPr>
      </w:pPr>
    </w:p>
    <w:p w:rsidR="00DB6832" w:rsidRPr="00C955D0" w:rsidRDefault="00C955D0" w:rsidP="00C955D0">
      <w:pPr>
        <w:jc w:val="center"/>
        <w:rPr>
          <w:rFonts w:asciiTheme="majorHAnsi" w:hAnsiTheme="majorHAnsi"/>
          <w:sz w:val="28"/>
        </w:rPr>
      </w:pPr>
      <w:r>
        <w:rPr>
          <w:rFonts w:asciiTheme="majorHAnsi" w:hAnsiTheme="majorHAnsi"/>
          <w:sz w:val="28"/>
        </w:rPr>
        <w:t>CURTEA EUROPEANĂ A DREPTURILOR OMULUI</w:t>
      </w:r>
    </w:p>
    <w:p w:rsidR="007A4070" w:rsidRPr="00D7351D" w:rsidRDefault="007A4070" w:rsidP="00D7351D">
      <w:pPr>
        <w:jc w:val="center"/>
      </w:pPr>
    </w:p>
    <w:p w:rsidR="007A4070" w:rsidRPr="00D7351D" w:rsidRDefault="00AB0AD1" w:rsidP="00D7351D">
      <w:pPr>
        <w:pStyle w:val="DecHTitle"/>
      </w:pPr>
      <w:r>
        <w:t>SECȚIA A PATRA</w:t>
      </w:r>
    </w:p>
    <w:p w:rsidR="007A4070" w:rsidRPr="00D7351D" w:rsidRDefault="007A4070" w:rsidP="00D7351D">
      <w:pPr>
        <w:pStyle w:val="JuTitle"/>
      </w:pPr>
      <w:r>
        <w:t>CAUZA CIOROIANU ÎMPOTRIVA ROMÂNIEI</w:t>
      </w:r>
    </w:p>
    <w:p w:rsidR="007A4070" w:rsidRPr="00D7351D" w:rsidRDefault="007A4070" w:rsidP="00D7351D">
      <w:pPr>
        <w:pStyle w:val="ECHRCoverTitle4"/>
      </w:pPr>
      <w:r>
        <w:t>(Cererea nr. 24621/18)</w:t>
      </w:r>
    </w:p>
    <w:p w:rsidR="007A4070" w:rsidRPr="00D7351D" w:rsidRDefault="007A4070" w:rsidP="00D7351D">
      <w:pPr>
        <w:pStyle w:val="DecHCase"/>
      </w:pPr>
    </w:p>
    <w:p w:rsidR="007A4070" w:rsidRPr="00D7351D" w:rsidRDefault="007A4070" w:rsidP="00D7351D">
      <w:pPr>
        <w:pStyle w:val="DecHCase"/>
      </w:pPr>
    </w:p>
    <w:p w:rsidR="007A4070" w:rsidRPr="00D7351D" w:rsidRDefault="007A4070" w:rsidP="00D7351D">
      <w:pPr>
        <w:pStyle w:val="DecHCase"/>
      </w:pPr>
    </w:p>
    <w:p w:rsidR="007A4070" w:rsidRPr="00D7351D" w:rsidRDefault="007A4070" w:rsidP="00D7351D">
      <w:pPr>
        <w:pStyle w:val="DecHCase"/>
      </w:pPr>
    </w:p>
    <w:p w:rsidR="007A4070" w:rsidRPr="00D7351D" w:rsidRDefault="007A4070" w:rsidP="00D7351D">
      <w:pPr>
        <w:pStyle w:val="DecHCase"/>
      </w:pPr>
    </w:p>
    <w:p w:rsidR="007A4070" w:rsidRPr="00D7351D" w:rsidRDefault="007A4070" w:rsidP="00D7351D">
      <w:pPr>
        <w:pStyle w:val="DecHCase"/>
      </w:pPr>
    </w:p>
    <w:p w:rsidR="004B51E1" w:rsidRPr="00D7351D" w:rsidRDefault="007A4070" w:rsidP="00D7351D">
      <w:pPr>
        <w:pStyle w:val="DecHCase"/>
      </w:pPr>
      <w:r>
        <w:t>HOTĂRÂRE</w:t>
      </w:r>
      <w:r>
        <w:br/>
      </w:r>
    </w:p>
    <w:p w:rsidR="00DB6832" w:rsidRPr="00D7351D" w:rsidRDefault="004B51E1" w:rsidP="00D7351D">
      <w:pPr>
        <w:pStyle w:val="DecHCase"/>
        <w:rPr>
          <w:i/>
          <w:iCs/>
          <w:sz w:val="22"/>
          <w:szCs w:val="22"/>
        </w:rPr>
      </w:pPr>
      <w:r>
        <w:rPr>
          <w:i/>
          <w:sz w:val="22"/>
        </w:rPr>
        <w:t>Această versiune a fost rectificată în conformitate cu art. 81 din Regulamentul Curții la 13 februarie 2023.</w:t>
      </w:r>
    </w:p>
    <w:p w:rsidR="007A4070" w:rsidRPr="00D7351D" w:rsidRDefault="007A4070" w:rsidP="00D7351D">
      <w:pPr>
        <w:pStyle w:val="DecHCase"/>
      </w:pPr>
      <w:bookmarkStart w:id="0" w:name="_GoBack"/>
      <w:bookmarkEnd w:id="0"/>
    </w:p>
    <w:p w:rsidR="007A4070" w:rsidRPr="00D7351D" w:rsidRDefault="007A4070" w:rsidP="00D7351D">
      <w:pPr>
        <w:pStyle w:val="DecHCase"/>
      </w:pPr>
      <w:r>
        <w:t>STRASBOURG</w:t>
      </w:r>
    </w:p>
    <w:p w:rsidR="007A4070" w:rsidRPr="00D7351D" w:rsidRDefault="00AB0AD1" w:rsidP="00D7351D">
      <w:pPr>
        <w:pStyle w:val="DecHCase"/>
      </w:pPr>
      <w:r>
        <w:t>31 ianuarie 2023</w:t>
      </w:r>
    </w:p>
    <w:p w:rsidR="00516B59" w:rsidRPr="00D7351D" w:rsidRDefault="007A4070" w:rsidP="006E73D9">
      <w:pPr>
        <w:jc w:val="center"/>
        <w:rPr>
          <w:rFonts w:ascii="Times New Roman" w:hAnsi="Times New Roman" w:cs="Times New Roman"/>
          <w:i/>
          <w:sz w:val="22"/>
        </w:rPr>
      </w:pPr>
      <w:r>
        <w:rPr>
          <w:i/>
          <w:sz w:val="22"/>
        </w:rPr>
        <w:t>Hotărârea este definitivă. Poate suferi modificări de formă.</w:t>
      </w:r>
    </w:p>
    <w:p w:rsidR="00516B59" w:rsidRPr="00D7351D" w:rsidRDefault="00516B59" w:rsidP="006E73D9">
      <w:pPr>
        <w:ind w:left="720"/>
        <w:jc w:val="center"/>
        <w:rPr>
          <w:rFonts w:ascii="Times New Roman" w:hAnsi="Times New Roman" w:cs="Times New Roman"/>
          <w:sz w:val="22"/>
        </w:rPr>
        <w:sectPr w:rsidR="00516B59" w:rsidRPr="00D7351D"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D7351D" w:rsidRDefault="004344E6" w:rsidP="00D7351D">
      <w:pPr>
        <w:pStyle w:val="JuCase"/>
      </w:pPr>
      <w:r>
        <w:lastRenderedPageBreak/>
        <w:t>În cauza Cioroianu împotriva României,</w:t>
      </w:r>
    </w:p>
    <w:p w:rsidR="004344E6" w:rsidRPr="00D7351D" w:rsidRDefault="004344E6" w:rsidP="00D7351D">
      <w:pPr>
        <w:pStyle w:val="JuPara"/>
      </w:pPr>
      <w:r>
        <w:t>Curtea Europeană a Drepturilor Omului (Secția a patra), reunită într-o cameră compusă din:</w:t>
      </w:r>
    </w:p>
    <w:p w:rsidR="004344E6" w:rsidRPr="00D7351D" w:rsidRDefault="00372D45" w:rsidP="00D7351D">
      <w:pPr>
        <w:pStyle w:val="JuJudges"/>
      </w:pPr>
      <w:r>
        <w:tab/>
        <w:t>Faris Vehabović</w:t>
      </w:r>
      <w:r>
        <w:rPr>
          <w:i/>
        </w:rPr>
        <w:t>, președinte</w:t>
      </w:r>
      <w:r>
        <w:t>,</w:t>
      </w:r>
      <w:r>
        <w:br/>
      </w:r>
      <w:r>
        <w:tab/>
        <w:t>Iulia Antoanella Motoc,</w:t>
      </w:r>
      <w:r>
        <w:br/>
      </w:r>
      <w:r>
        <w:tab/>
        <w:t>Branko Lubarda</w:t>
      </w:r>
      <w:r>
        <w:rPr>
          <w:i/>
        </w:rPr>
        <w:t>, judecători</w:t>
      </w:r>
      <w:r>
        <w:t>,</w:t>
      </w:r>
      <w:r>
        <w:br/>
        <w:t xml:space="preserve">și Crina Kaufman, </w:t>
      </w:r>
      <w:r>
        <w:rPr>
          <w:i/>
          <w:iCs/>
        </w:rPr>
        <w:t>grefier adjunct de secție a.i.</w:t>
      </w:r>
      <w:r>
        <w:rPr>
          <w:i/>
        </w:rPr>
        <w:t>,</w:t>
      </w:r>
    </w:p>
    <w:p w:rsidR="00AB0AD1" w:rsidRPr="00D7351D" w:rsidRDefault="00AB0AD1" w:rsidP="00D7351D">
      <w:pPr>
        <w:pStyle w:val="JuPara"/>
      </w:pPr>
      <w:r>
        <w:t>având în vedere cererea (nr. 24621/18) îndreptată împotriva României, prin care doi resortisanți al acestui stat, domnul Ștefan Cioroianu și doamna Maria Cioroianu („reclamanții”), născuți respectiv în 1955 și în 1932 și domiciliind în Poiana Mare, reprezentați de domnul Ș. Cioroianu, avocat în Poiana Mare, au sesizat Curtea la 12 mai 2018 în temeiul art. 34 din Convenția pentru apărarea drepturilor omului și a libertăților fundamentale („Convenția”),</w:t>
      </w:r>
    </w:p>
    <w:p w:rsidR="00AB0AD1" w:rsidRPr="00D7351D" w:rsidRDefault="00AB0AD1" w:rsidP="00D7351D">
      <w:pPr>
        <w:pStyle w:val="JuPara"/>
      </w:pPr>
      <w:r>
        <w:t>Având în vedere decizia de a aduce la cunoștința Guvernului român („Guvernul”), reprezentat de agentul guvernamental, doamna O.F. Ezer, din cadrul Ministerului Afacerilor Externe, capătul de cerere privind art. 2 din Convenție și de a declara cererea inadmisibilă pentru celelalte capete de cerere,</w:t>
      </w:r>
    </w:p>
    <w:p w:rsidR="00AB0AD1" w:rsidRPr="00D7351D" w:rsidRDefault="00AB0AD1" w:rsidP="00D7351D">
      <w:pPr>
        <w:pStyle w:val="JuPara"/>
      </w:pPr>
      <w:r>
        <w:t>având în vedere observațiile părților,</w:t>
      </w:r>
    </w:p>
    <w:p w:rsidR="004344E6" w:rsidRPr="00D7351D" w:rsidRDefault="004344E6" w:rsidP="00D7351D">
      <w:pPr>
        <w:pStyle w:val="JuPara"/>
      </w:pPr>
      <w:r>
        <w:t>după ce a deliberat în camera de consiliu, la 10 ianuarie 2023,</w:t>
      </w:r>
    </w:p>
    <w:p w:rsidR="00876F03" w:rsidRPr="00D7351D" w:rsidRDefault="004344E6" w:rsidP="00D7351D">
      <w:pPr>
        <w:pStyle w:val="JuPara"/>
      </w:pPr>
      <w:r>
        <w:t>pronunță prezenta hotărâre, adoptată la aceeași dată:</w:t>
      </w:r>
    </w:p>
    <w:p w:rsidR="00AB0AD1" w:rsidRPr="00D7351D" w:rsidRDefault="00AB0AD1" w:rsidP="00D7351D">
      <w:pPr>
        <w:pStyle w:val="JuHHead"/>
      </w:pPr>
      <w:r>
        <w:t>OBIECTUL CAUZEI</w:t>
      </w:r>
    </w:p>
    <w:p w:rsidR="00AB0AD1" w:rsidRPr="00D7351D" w:rsidRDefault="006E73D9" w:rsidP="00D7351D">
      <w:pPr>
        <w:pStyle w:val="JuPara"/>
      </w:pPr>
      <w:r>
        <w:fldChar w:fldCharType="begin"/>
      </w:r>
      <w:r>
        <w:instrText xml:space="preserve"> SEQ level0 \*arabic </w:instrText>
      </w:r>
      <w:r>
        <w:fldChar w:fldCharType="separate"/>
      </w:r>
      <w:r w:rsidR="00D7351D" w:rsidRPr="00D7351D">
        <w:t>1</w:t>
      </w:r>
      <w:r>
        <w:fldChar w:fldCharType="end"/>
      </w:r>
      <w:r w:rsidR="00AB0AD1">
        <w:t>.  Cererea are ca obiect, în temeiul art. 2 din Convenție, acuzația de neefectuare a unei anchete efective cu privire la decesul domnului Constantin Cioroianu, tatăl reclamantului și soțul reclamantei, în împrejurări care au fost încadrate de autoritățile naționale drept accident rutier, persoana în cauză fiind lovită, pe când se deplasa pe jos, de o motocicletă condusă de un minor care nu era titular al unui permis de conducere.</w:t>
      </w:r>
    </w:p>
    <w:p w:rsidR="00AB0AD1" w:rsidRPr="00D7351D" w:rsidRDefault="001026B8" w:rsidP="00D7351D">
      <w:pPr>
        <w:pStyle w:val="JuPara"/>
      </w:pPr>
      <w:fldSimple w:instr=" SEQ level0 \*arabic \* MERGEFORMAT ">
        <w:r w:rsidR="00D7351D" w:rsidRPr="00D7351D">
          <w:rPr>
            <w:noProof/>
          </w:rPr>
          <w:t>2</w:t>
        </w:r>
      </w:fldSimple>
      <w:r w:rsidR="00592C89">
        <w:t>.  La 27 mai 2006, domnul Constantin Cioroianu, la vremea respectivă, în vârstă de șaptezeci și șapte de ani, a fost izbit de o motocicletă pe când mergea pe marginea unui drum în comuna în care locuia. Acesta a decedat înainte de sosirea ambulanței. În aceeași zi, poliția a procedat la cercetare la fața locului. A întocmit un proces‑verbal și a realizat o planșă fotografică și schița accidentului.</w:t>
      </w:r>
    </w:p>
    <w:p w:rsidR="00AB0AD1" w:rsidRPr="00D7351D" w:rsidRDefault="001026B8" w:rsidP="00D7351D">
      <w:pPr>
        <w:pStyle w:val="JuPara"/>
      </w:pPr>
      <w:fldSimple w:instr=" SEQ level0 \*arabic \* MERGEFORMAT ">
        <w:bookmarkStart w:id="1" w:name="paragraph00003"/>
        <w:r w:rsidR="00D7351D" w:rsidRPr="00D7351D">
          <w:rPr>
            <w:noProof/>
          </w:rPr>
          <w:t>3</w:t>
        </w:r>
        <w:bookmarkEnd w:id="1"/>
      </w:fldSimple>
      <w:r w:rsidR="00592C89">
        <w:t>.  La 8 iunie 2006, reclamantul a depus o plângere pentru omor, susținând că fie conducătorul motocicletei, fie terți neidentificați înrudiți cu el, l-au lovit pe tatăl său și l-au omorât în bătaie pe motivul daunelor produse motocicletei după ce conducătorul s-a răsturnat accidental.</w:t>
      </w:r>
      <w:r w:rsidR="004B51E1" w:rsidRPr="00D7351D">
        <w:rPr>
          <w:rStyle w:val="FootnoteReference"/>
        </w:rPr>
        <w:footnoteReference w:id="1"/>
      </w:r>
    </w:p>
    <w:p w:rsidR="00AB0AD1" w:rsidRPr="00D7351D" w:rsidRDefault="001026B8" w:rsidP="00D7351D">
      <w:pPr>
        <w:pStyle w:val="JuPara"/>
      </w:pPr>
      <w:fldSimple w:instr=" SEQ level0 \*arabic \* MERGEFORMAT ">
        <w:bookmarkStart w:id="2" w:name="paragraph00004"/>
        <w:r w:rsidR="00D7351D" w:rsidRPr="00D7351D">
          <w:rPr>
            <w:noProof/>
          </w:rPr>
          <w:t>4</w:t>
        </w:r>
        <w:bookmarkEnd w:id="2"/>
      </w:fldSimple>
      <w:r w:rsidR="00592C89">
        <w:t>.  La 28 iunie 2006, organele de urmărire penală de la Poliția Municipiului Calafat au solicitat ca pentru aceste fapte să fie începută urmărirea penală față de P.M. pentru săvârșirea infracțiunilor de ucidere din culpă și conducere fără permis pe drumurile publice a unui vehicul neînmatriculat, infracțiuni pedepsite respectiv la art. 178 alin. (2) din Codul penal în vigoare la data săvârșirii faptelor (Codul penal din 1968, sau „Vechiul Cod penal“, „VCP“) și la art. 77 alin. (1) și 78 alin. (1) din Ordonanța de urgență a Guvernului nr. 195/2002. Prin rezoluția din 7 iulie 2006, procurorul de la Parchetul de pe lângă Judecătoria Calafat a confirmat decizia, constatând că învinuitul, care era minor, a condus pe drumurile publice, fără permis de conducere, o motocicletă Honda neînmatriculată și că a provocat un accident de circulație care a cauzat decesul domnului Constantin Cioroianu.</w:t>
      </w:r>
    </w:p>
    <w:p w:rsidR="00AB0AD1" w:rsidRPr="00D7351D" w:rsidRDefault="001026B8" w:rsidP="00D7351D">
      <w:pPr>
        <w:pStyle w:val="JuPara"/>
      </w:pPr>
      <w:fldSimple w:instr=" SEQ level0 \*arabic \* MERGEFORMAT ">
        <w:r w:rsidR="00D7351D" w:rsidRPr="00D7351D">
          <w:rPr>
            <w:noProof/>
          </w:rPr>
          <w:t>5</w:t>
        </w:r>
      </w:fldSimple>
      <w:r w:rsidR="00592C89">
        <w:t>.  După audierea a nouăsprezece martori în mai și iunie 2006, învinuitul P.M. a fost audiat la 8 și 16 noiembrie 2006.</w:t>
      </w:r>
    </w:p>
    <w:p w:rsidR="00AB0AD1" w:rsidRPr="00D7351D" w:rsidRDefault="001026B8" w:rsidP="00D7351D">
      <w:pPr>
        <w:pStyle w:val="JuPara"/>
      </w:pPr>
      <w:fldSimple w:instr=" SEQ level0 \*arabic \* MERGEFORMAT ">
        <w:r w:rsidR="00D7351D" w:rsidRPr="00D7351D">
          <w:rPr>
            <w:noProof/>
          </w:rPr>
          <w:t>6</w:t>
        </w:r>
      </w:fldSimple>
      <w:r w:rsidR="00592C89">
        <w:t>.  La 23 noiembrie 2006, Parchetul de pe lângă Judecătoria Calafat și-a declinat competența pentru Parchetul de pe lângă Tribunalul Dolj, căruia i-a fost trimis dosarul.</w:t>
      </w:r>
    </w:p>
    <w:p w:rsidR="00AB0AD1" w:rsidRPr="00D7351D" w:rsidRDefault="001026B8" w:rsidP="00D7351D">
      <w:pPr>
        <w:pStyle w:val="JuPara"/>
      </w:pPr>
      <w:fldSimple w:instr=" SEQ level0 \*arabic \* MERGEFORMAT ">
        <w:r w:rsidR="00D7351D" w:rsidRPr="00D7351D">
          <w:rPr>
            <w:noProof/>
          </w:rPr>
          <w:t>7</w:t>
        </w:r>
      </w:fldSimple>
      <w:r w:rsidR="00592C89">
        <w:t>.  La 8 februarie 2007, reclamanții s-au constituit ca parte civilă în procedura penală declanșată împotriva lui P.M.</w:t>
      </w:r>
    </w:p>
    <w:p w:rsidR="00AB0AD1" w:rsidRPr="00D7351D" w:rsidRDefault="001026B8" w:rsidP="00D7351D">
      <w:pPr>
        <w:pStyle w:val="JuPara"/>
      </w:pPr>
      <w:fldSimple w:instr=" SEQ level0 \*arabic \* MERGEFORMAT ">
        <w:r w:rsidR="00D7351D" w:rsidRPr="00D7351D">
          <w:rPr>
            <w:noProof/>
          </w:rPr>
          <w:t>8</w:t>
        </w:r>
      </w:fldSimple>
      <w:r w:rsidR="00592C89">
        <w:t xml:space="preserve">.  La 11 aprilie 2007, Parchetul de pe lângă Tribunalul Dolj a dispus neînceperea urmăririi penale în legătură cu infracțiunea de omor pedepsită prin art. 174 din VCP, declarându-se necompetent să se pronunțe în ceea ce privește infracțiunile descrise supra, pct. </w:t>
      </w:r>
      <w:r w:rsidR="00AB0AD1" w:rsidRPr="00D7351D">
        <w:fldChar w:fldCharType="begin"/>
      </w:r>
      <w:r w:rsidR="00AB0AD1" w:rsidRPr="00D7351D">
        <w:instrText xml:space="preserve"> REF paragraph00004 \h  \* CharFormat </w:instrText>
      </w:r>
      <w:r w:rsidR="00AB0AD1" w:rsidRPr="00D7351D">
        <w:fldChar w:fldCharType="separate"/>
      </w:r>
      <w:r w:rsidR="00D7351D" w:rsidRPr="00D7351D">
        <w:t>4</w:t>
      </w:r>
      <w:r w:rsidR="00AB0AD1" w:rsidRPr="00D7351D">
        <w:fldChar w:fldCharType="end"/>
      </w:r>
      <w:r w:rsidR="00592C89">
        <w:t>, deoarece îi  revenea Parchetului de pe lângă Judecătoria Calafat să continue ancheta penală aferentă.</w:t>
      </w:r>
    </w:p>
    <w:p w:rsidR="00AB0AD1" w:rsidRPr="00D7351D" w:rsidRDefault="001026B8" w:rsidP="00D7351D">
      <w:pPr>
        <w:pStyle w:val="JuPara"/>
      </w:pPr>
      <w:fldSimple w:instr=" SEQ level0 \*arabic \* MERGEFORMAT ">
        <w:bookmarkStart w:id="3" w:name="paragraph00009"/>
        <w:r w:rsidR="00D7351D" w:rsidRPr="00D7351D">
          <w:rPr>
            <w:noProof/>
          </w:rPr>
          <w:t>9</w:t>
        </w:r>
        <w:bookmarkEnd w:id="3"/>
      </w:fldSimple>
      <w:r w:rsidR="00592C89">
        <w:t>.  La 12 septembrie 2007, sesizat de reclamanți cu recurs împotriva ordonanței de neîncepere a urmăririi penale, Tribunalul Dolj a infirmat-o și a dispus redeschiderea anchetei penale. Tribunalul a hotărât în plus că raportul de expertiză medico-legală efectuat trebuia avizat de comisia superioară a Institutului Național de Medicină Legală („INML“) și că martorii trebuiau ascultați din nou, în special într-o confruntare care să clarifice aspecte contradictorii ale depozițiilor lor.</w:t>
      </w:r>
    </w:p>
    <w:p w:rsidR="00AB0AD1" w:rsidRPr="00D7351D" w:rsidRDefault="001026B8" w:rsidP="00D7351D">
      <w:pPr>
        <w:pStyle w:val="JuPara"/>
      </w:pPr>
      <w:fldSimple w:instr=" SEQ level0 \*arabic \* MERGEFORMAT ">
        <w:bookmarkStart w:id="4" w:name="paragraph00010"/>
        <w:r w:rsidR="00D7351D" w:rsidRPr="00D7351D">
          <w:rPr>
            <w:noProof/>
          </w:rPr>
          <w:t>10</w:t>
        </w:r>
        <w:bookmarkEnd w:id="4"/>
      </w:fldSimple>
      <w:r w:rsidR="00592C89">
        <w:t>.  La 21 ianuarie 2008, Comisia de avizare și control din cadrul Institutului de Medicină Legală („IML“) din Craiova a transmis un aviz. La 28 februarie 2008, procurorul a admis totuși solicitările reclamanților de realizare a unei expertize medico-legale ale cărei obiective au fost stabilite în prezența învinuitului. La 3 și 20 martie 2008, reclamanții au solicitat succesiv două amânări ale expertizei pentru a putea fi asistați de un expert ales.</w:t>
      </w:r>
    </w:p>
    <w:p w:rsidR="00AB0AD1" w:rsidRPr="00D7351D" w:rsidRDefault="001026B8" w:rsidP="00D7351D">
      <w:pPr>
        <w:pStyle w:val="JuPara"/>
      </w:pPr>
      <w:fldSimple w:instr=" SEQ level0 \*arabic \* MERGEFORMAT ">
        <w:bookmarkStart w:id="5" w:name="paragraph00011"/>
        <w:r w:rsidR="00D7351D" w:rsidRPr="00D7351D">
          <w:rPr>
            <w:noProof/>
          </w:rPr>
          <w:t>11</w:t>
        </w:r>
        <w:bookmarkEnd w:id="5"/>
      </w:fldSimple>
      <w:r w:rsidR="00592C89">
        <w:t xml:space="preserve">.  La 27 mai 2008, în cadrul unui act de anchetă din 16 mai 2008 prin care procurorul dispusese anumite măsuri de investigare, IML Craiova a emis </w:t>
      </w:r>
      <w:r w:rsidR="00592C89">
        <w:lastRenderedPageBreak/>
        <w:t>un buletin de analiză a urmelor de sânge recoltate de pe oglinda retrovizoare a motocicletei. Examinarea motocicletei s-a efectuat la 8 august 2008.</w:t>
      </w:r>
    </w:p>
    <w:p w:rsidR="00AB0AD1" w:rsidRPr="00D7351D" w:rsidRDefault="001026B8" w:rsidP="00D7351D">
      <w:pPr>
        <w:pStyle w:val="JuPara"/>
      </w:pPr>
      <w:fldSimple w:instr=" SEQ level0 \*arabic \* MERGEFORMAT ">
        <w:bookmarkStart w:id="6" w:name="paragraph00012"/>
        <w:r w:rsidR="00D7351D" w:rsidRPr="00D7351D">
          <w:rPr>
            <w:noProof/>
          </w:rPr>
          <w:t>12</w:t>
        </w:r>
        <w:bookmarkEnd w:id="6"/>
      </w:fldSimple>
      <w:r w:rsidR="00592C89">
        <w:t>.  În mai și în august 2008, reclamantul a depus, respectiv, un raport de expertiză tehnică și un raport de expertiză stomatologică pentru a demonstra că tipul vătămărilor constatate pe maxilarele victimei, constând în special în avulsia mai multor dinți, nu putea fi cauzat de simpla ciocnire cu motocicleta implicată.</w:t>
      </w:r>
    </w:p>
    <w:p w:rsidR="00AB0AD1" w:rsidRPr="00D7351D" w:rsidRDefault="001026B8" w:rsidP="00D7351D">
      <w:pPr>
        <w:pStyle w:val="JuPara"/>
      </w:pPr>
      <w:fldSimple w:instr=" SEQ level0 \*arabic \* MERGEFORMAT ">
        <w:r w:rsidR="00D7351D" w:rsidRPr="00D7351D">
          <w:rPr>
            <w:noProof/>
          </w:rPr>
          <w:t>13</w:t>
        </w:r>
      </w:fldSimple>
      <w:r w:rsidR="00592C89">
        <w:t>.  Informat cu privire la ancheta în curs prin scrisoarea reclamantului din 19 noiembrie 2008, Procurorul general al Parchetului de pe lângă Înalta Curte de Casație și Justiție („ICCJ“) a dispus, printr-o rezoluție din 29 ianuarie 2009, ca dosarul anchetei să fie trimis la acest parchet pentru continuarea cercetărilor.</w:t>
      </w:r>
    </w:p>
    <w:p w:rsidR="00AB0AD1" w:rsidRPr="00D7351D" w:rsidRDefault="001026B8" w:rsidP="00D7351D">
      <w:pPr>
        <w:pStyle w:val="JuPara"/>
      </w:pPr>
      <w:fldSimple w:instr=" SEQ level0 \*arabic \* MERGEFORMAT ">
        <w:bookmarkStart w:id="7" w:name="paragraph00014"/>
        <w:r w:rsidR="00D7351D" w:rsidRPr="00D7351D">
          <w:rPr>
            <w:noProof/>
          </w:rPr>
          <w:t>14</w:t>
        </w:r>
        <w:bookmarkEnd w:id="7"/>
      </w:fldSimple>
      <w:r w:rsidR="00592C89">
        <w:t xml:space="preserve">.  La 17 februarie 2010, procurorul Parchetului de pe lângă ICCJ a infirmat decizia din 28 februarie 2008 (supra, pct. </w:t>
      </w:r>
      <w:r w:rsidR="0094368A" w:rsidRPr="00D7351D">
        <w:fldChar w:fldCharType="begin"/>
      </w:r>
      <w:r w:rsidR="0094368A" w:rsidRPr="00D7351D">
        <w:instrText xml:space="preserve"> REF paragraph00010 \h  \* CharFormat </w:instrText>
      </w:r>
      <w:r w:rsidR="0094368A" w:rsidRPr="00D7351D">
        <w:fldChar w:fldCharType="separate"/>
      </w:r>
      <w:r w:rsidR="00D7351D" w:rsidRPr="00D7351D">
        <w:t>10</w:t>
      </w:r>
      <w:r w:rsidR="0094368A" w:rsidRPr="00D7351D">
        <w:fldChar w:fldCharType="end"/>
      </w:r>
      <w:r w:rsidR="00592C89">
        <w:t>), precum și o decizie din 25 septembrie 2008 prin care a fost dispusă o expertiză tehnică a vehiculului. La 23 martie 2010, Parchetul de pe lângă ICCJ a dispus exhumarea cadavrului victimei pentru a fi realizată o nouă expertiză medico-legală. Obiectivele măsurii au fost precizate în ordonanța din 9 august 2010. Raportul de expertiză a fost depus la 15 septembrie 2010.</w:t>
      </w:r>
    </w:p>
    <w:p w:rsidR="00AB0AD1" w:rsidRPr="00D7351D" w:rsidRDefault="001026B8" w:rsidP="00D7351D">
      <w:pPr>
        <w:pStyle w:val="JuPara"/>
      </w:pPr>
      <w:fldSimple w:instr=" SEQ level0 \*arabic \* MERGEFORMAT ">
        <w:bookmarkStart w:id="8" w:name="paragraph00015"/>
        <w:r w:rsidR="00D7351D" w:rsidRPr="00D7351D">
          <w:rPr>
            <w:noProof/>
          </w:rPr>
          <w:t>15</w:t>
        </w:r>
        <w:bookmarkEnd w:id="8"/>
      </w:fldSimple>
      <w:r w:rsidR="00592C89">
        <w:t>.  După ce le-a făcut cunoscut părților civile raportul și după ce a audiat reclamanta, la 18 februarie 2011 procurorul a infirmat decizia sa din 23 martie 2010. La 1 aprilie 2011, a dispus o nouă exhumare a corpului victimei în vederea unei autopsii a acestuia. Autopsia a fost efectuată la 12 noiembrie 2011 în prezența celor doi experți desemnați de către părți.</w:t>
      </w:r>
    </w:p>
    <w:p w:rsidR="00AB0AD1" w:rsidRPr="00D7351D" w:rsidRDefault="001026B8" w:rsidP="00D7351D">
      <w:pPr>
        <w:pStyle w:val="JuPara"/>
      </w:pPr>
      <w:fldSimple w:instr=" SEQ level0 \*arabic \* MERGEFORMAT ">
        <w:bookmarkStart w:id="9" w:name="paragraph00016"/>
        <w:r w:rsidR="00D7351D" w:rsidRPr="00D7351D">
          <w:rPr>
            <w:noProof/>
          </w:rPr>
          <w:t>16</w:t>
        </w:r>
        <w:bookmarkEnd w:id="9"/>
      </w:fldSimple>
      <w:r w:rsidR="00592C89">
        <w:t>.  La 7 decembrie 2012, experții au depus raportul, care a fost aprobat de comisia de control a INML la 17 aprilie 2013.</w:t>
      </w:r>
    </w:p>
    <w:p w:rsidR="00AB0AD1" w:rsidRPr="00D7351D" w:rsidRDefault="001026B8" w:rsidP="00D7351D">
      <w:pPr>
        <w:pStyle w:val="JuPara"/>
      </w:pPr>
      <w:fldSimple w:instr=" SEQ level0 \*arabic \* MERGEFORMAT ">
        <w:bookmarkStart w:id="10" w:name="paragraph00017"/>
        <w:r w:rsidR="00D7351D" w:rsidRPr="00D7351D">
          <w:rPr>
            <w:noProof/>
          </w:rPr>
          <w:t>17</w:t>
        </w:r>
        <w:bookmarkEnd w:id="10"/>
      </w:fldSimple>
      <w:r w:rsidR="00592C89">
        <w:t>.  La 17 ianuarie 2014, procurorul a dispus o expertiză criminalistică a vehiculului.</w:t>
      </w:r>
    </w:p>
    <w:p w:rsidR="00AB0AD1" w:rsidRPr="00D7351D" w:rsidRDefault="001026B8" w:rsidP="00D7351D">
      <w:pPr>
        <w:pStyle w:val="JuPara"/>
      </w:pPr>
      <w:fldSimple w:instr=" SEQ level0 \*arabic \* MERGEFORMAT ">
        <w:bookmarkStart w:id="11" w:name="paragraph00018"/>
        <w:r w:rsidR="00D7351D" w:rsidRPr="00D7351D">
          <w:rPr>
            <w:noProof/>
          </w:rPr>
          <w:t>18</w:t>
        </w:r>
        <w:bookmarkEnd w:id="11"/>
      </w:fldSimple>
      <w:r w:rsidR="00592C89">
        <w:t>.  La 26 iunie 2015, Parchetului de pe lângă ICCJ a clasat cauza. Bazându-se pe rezultatele autopsiei, precum și pe cele două expertize medico-legale și pe expertiza tehnică, conform cărora leziunile constatate ar fi putut fi provocate de ciocnirea cu motocicleta în cauză, acesta a considerat că accidentul a fost provocat de comportamentul imprudent al victimei. De asemenea, cu privire la infracțiunile de punere în circulație sau conducere a unui vehicul neînmatriculat și de conducere fără permis a unui vehicul, acesta a clasat cauza pe motivul prescripției răspunderii penale a învinuitului.</w:t>
      </w:r>
    </w:p>
    <w:p w:rsidR="00AB0AD1" w:rsidRPr="00D7351D" w:rsidRDefault="001026B8" w:rsidP="00D7351D">
      <w:pPr>
        <w:pStyle w:val="JuPara"/>
      </w:pPr>
      <w:fldSimple w:instr=" SEQ level0 \*arabic \* MERGEFORMAT ">
        <w:r w:rsidR="00D7351D" w:rsidRPr="00D7351D">
          <w:rPr>
            <w:noProof/>
          </w:rPr>
          <w:t>19</w:t>
        </w:r>
      </w:fldSimple>
      <w:r w:rsidR="00592C89">
        <w:t>.  La 9 octombrie 2015, reclamanții au contestat ordonanța procurorului. Recursul lor a dus la o serie de conflicte negative de competență, până când aceasta a fost stabilită definitiv în favoarea Tribunalului Dolj.</w:t>
      </w:r>
    </w:p>
    <w:p w:rsidR="00AB0AD1" w:rsidRPr="00D7351D" w:rsidRDefault="001026B8" w:rsidP="00D7351D">
      <w:pPr>
        <w:pStyle w:val="JuPara"/>
      </w:pPr>
      <w:fldSimple w:instr=" SEQ level0 \*arabic \* MERGEFORMAT ">
        <w:r w:rsidR="00D7351D" w:rsidRPr="00D7351D">
          <w:rPr>
            <w:noProof/>
          </w:rPr>
          <w:t>20</w:t>
        </w:r>
      </w:fldSimple>
      <w:r w:rsidR="00592C89">
        <w:t>.  Printr-o hotărâre definitivă din 11 septembrie 2017, Tribunalul Dolj a confirmat clasarea plângerii.</w:t>
      </w:r>
    </w:p>
    <w:p w:rsidR="00AB0AD1" w:rsidRPr="00D7351D" w:rsidRDefault="00AB0AD1" w:rsidP="00D7351D">
      <w:pPr>
        <w:pStyle w:val="JuHHead"/>
      </w:pPr>
      <w:r>
        <w:lastRenderedPageBreak/>
        <w:t>MOTIVAREA CURȚII</w:t>
      </w:r>
    </w:p>
    <w:p w:rsidR="00AB0AD1" w:rsidRPr="00D7351D" w:rsidRDefault="00AB0AD1" w:rsidP="00D7351D">
      <w:pPr>
        <w:pStyle w:val="JuHIRoman"/>
        <w:numPr>
          <w:ilvl w:val="0"/>
          <w:numId w:val="0"/>
        </w:numPr>
        <w:ind w:left="369"/>
      </w:pPr>
      <w:r>
        <w:t>CU PRIVIRE LA PRETINSA ÎNCĂLCARE A ART. 2 DIN CONVENȚIE</w:t>
      </w:r>
    </w:p>
    <w:p w:rsidR="00AB0AD1" w:rsidRPr="00D7351D" w:rsidRDefault="006E73D9" w:rsidP="00D7351D">
      <w:pPr>
        <w:pStyle w:val="JuPara"/>
      </w:pPr>
      <w:r>
        <w:fldChar w:fldCharType="begin"/>
      </w:r>
      <w:r>
        <w:instrText xml:space="preserve"> SEQ level0 \*arabic </w:instrText>
      </w:r>
      <w:r>
        <w:fldChar w:fldCharType="separate"/>
      </w:r>
      <w:r w:rsidR="00D7351D" w:rsidRPr="00D7351D">
        <w:t>21</w:t>
      </w:r>
      <w:r>
        <w:fldChar w:fldCharType="end"/>
      </w:r>
      <w:r w:rsidR="00AB0AD1">
        <w:t>.  Constatând că acest capăt de cerere nu este în mod vădit nefondat și că nu prezintă niciun alt motiv de inadmisibilitate în sensul art. 35 din Convenție, Curtea îl declară admisibil.</w:t>
      </w:r>
    </w:p>
    <w:p w:rsidR="00AB0AD1" w:rsidRPr="00D7351D" w:rsidRDefault="006E73D9" w:rsidP="00D7351D">
      <w:pPr>
        <w:pStyle w:val="JuPara"/>
      </w:pPr>
      <w:r>
        <w:fldChar w:fldCharType="begin"/>
      </w:r>
      <w:r>
        <w:instrText xml:space="preserve"> SEQ level0 \*arabic </w:instrText>
      </w:r>
      <w:r>
        <w:fldChar w:fldCharType="separate"/>
      </w:r>
      <w:r w:rsidR="00D7351D" w:rsidRPr="00D7351D">
        <w:t>22</w:t>
      </w:r>
      <w:r>
        <w:fldChar w:fldCharType="end"/>
      </w:r>
      <w:r w:rsidR="00AB0AD1">
        <w:t xml:space="preserve">.  Principiile generale cu privire la obligațiile procedurale care revin statului în temeiul art. 2 din Convenție au fost rezumate în hotărârea </w:t>
      </w:r>
      <w:r w:rsidR="00AB0AD1">
        <w:rPr>
          <w:i/>
        </w:rPr>
        <w:t>Nicolae Virgiliu Tănase împotriva României</w:t>
      </w:r>
      <w:r w:rsidR="00AB0AD1">
        <w:t xml:space="preserve"> [(MC), nr. 41720/13, pct. 137-139, 25 iunie 2019].</w:t>
      </w:r>
    </w:p>
    <w:p w:rsidR="00AB0AD1" w:rsidRPr="00D7351D" w:rsidRDefault="006E73D9" w:rsidP="00D7351D">
      <w:pPr>
        <w:pStyle w:val="JuPara"/>
      </w:pPr>
      <w:r>
        <w:fldChar w:fldCharType="begin"/>
      </w:r>
      <w:r>
        <w:instrText xml:space="preserve"> SEQ level0 \*arabic </w:instrText>
      </w:r>
      <w:r>
        <w:fldChar w:fldCharType="separate"/>
      </w:r>
      <w:r w:rsidR="00D7351D" w:rsidRPr="00D7351D">
        <w:t>23</w:t>
      </w:r>
      <w:r>
        <w:fldChar w:fldCharType="end"/>
      </w:r>
      <w:r w:rsidR="00AB0AD1">
        <w:t xml:space="preserve">.  În special, în caz de accidente mortale, statul trebuie să  asigure un sistem judiciar eficient care poate varia în funcție de circumstanțe, dar care trebuie să permită în orice caz, pe termen scurt, să fie stabilite faptele, să îi constrângă pe responsabili să răspundă pentru ele și să acorde victimelor o reparație corespunzătoare. În plus, Curtea a concluzionat deja că art. 2 este aplicabil accidentelor, în special accidentelor de circulație, soldate cu decesul victimei directe (a se vedea, de exemplu, </w:t>
      </w:r>
      <w:r w:rsidR="00AB0AD1">
        <w:rPr>
          <w:i/>
        </w:rPr>
        <w:t>Anna Todorova</w:t>
      </w:r>
      <w:r w:rsidR="00AB0AD1">
        <w:t xml:space="preserve"> </w:t>
      </w:r>
      <w:r w:rsidR="00AB0AD1">
        <w:rPr>
          <w:i/>
          <w:iCs/>
        </w:rPr>
        <w:t>împotriva Bulgariei</w:t>
      </w:r>
      <w:r w:rsidR="00AB0AD1">
        <w:t xml:space="preserve">, nr. 23302/03, pct. 9 și 83, 24 mai 2011, și </w:t>
      </w:r>
      <w:r w:rsidR="00AB0AD1">
        <w:rPr>
          <w:i/>
        </w:rPr>
        <w:t>Fatih Çakır și Merve Nisa Çakır</w:t>
      </w:r>
      <w:r w:rsidR="00AB0AD1">
        <w:t xml:space="preserve"> </w:t>
      </w:r>
      <w:r w:rsidR="00AB0AD1">
        <w:rPr>
          <w:i/>
          <w:iCs/>
        </w:rPr>
        <w:t>împotriva Turciei</w:t>
      </w:r>
      <w:r w:rsidR="00AB0AD1">
        <w:t>, nr. 54558/11, pct. 41, 5 iunie 2018).</w:t>
      </w:r>
    </w:p>
    <w:p w:rsidR="00AB0AD1" w:rsidRPr="00D7351D" w:rsidRDefault="001026B8" w:rsidP="00D7351D">
      <w:pPr>
        <w:pStyle w:val="JuPara"/>
      </w:pPr>
      <w:fldSimple w:instr=" SEQ level0 \*arabic \* MERGEFORMAT ">
        <w:r w:rsidR="00D7351D" w:rsidRPr="00D7351D">
          <w:rPr>
            <w:noProof/>
          </w:rPr>
          <w:t>24</w:t>
        </w:r>
      </w:fldSimple>
      <w:r w:rsidR="00592C89">
        <w:t xml:space="preserve">.  Cerințele indicate mai sus sunt cu atât mai relevante atunci când, ca în speță, victimele contestă ipoteza accidentului mortal invocând probe științifice precum expertizele medico-legale (supra, pct. </w:t>
      </w:r>
      <w:r w:rsidR="00AB0AD1" w:rsidRPr="00D7351D">
        <w:fldChar w:fldCharType="begin"/>
      </w:r>
      <w:r w:rsidR="00AB0AD1" w:rsidRPr="00D7351D">
        <w:instrText xml:space="preserve"> REF paragraph00003 \h  \* CharFormat </w:instrText>
      </w:r>
      <w:r w:rsidR="00AB0AD1" w:rsidRPr="00D7351D">
        <w:fldChar w:fldCharType="separate"/>
      </w:r>
      <w:r w:rsidR="00D7351D" w:rsidRPr="00D7351D">
        <w:t>3</w:t>
      </w:r>
      <w:r w:rsidR="00AB0AD1" w:rsidRPr="00D7351D">
        <w:fldChar w:fldCharType="end"/>
      </w:r>
      <w:r w:rsidR="00592C89">
        <w:t xml:space="preserve"> și </w:t>
      </w:r>
      <w:r w:rsidR="00AB0AD1" w:rsidRPr="00D7351D">
        <w:fldChar w:fldCharType="begin"/>
      </w:r>
      <w:r w:rsidR="00AB0AD1" w:rsidRPr="00D7351D">
        <w:instrText xml:space="preserve"> REF paragraph00012 \h  \* CharFormat </w:instrText>
      </w:r>
      <w:r w:rsidR="00AB0AD1" w:rsidRPr="00D7351D">
        <w:fldChar w:fldCharType="separate"/>
      </w:r>
      <w:r w:rsidR="00D7351D" w:rsidRPr="00D7351D">
        <w:t>12</w:t>
      </w:r>
      <w:r w:rsidR="00AB0AD1" w:rsidRPr="00D7351D">
        <w:fldChar w:fldCharType="end"/>
      </w:r>
      <w:r w:rsidR="00592C89">
        <w:t>).</w:t>
      </w:r>
    </w:p>
    <w:p w:rsidR="00AB0AD1" w:rsidRPr="00D7351D" w:rsidRDefault="001026B8" w:rsidP="00D7351D">
      <w:pPr>
        <w:pStyle w:val="JuPara"/>
      </w:pPr>
      <w:fldSimple w:instr=" SEQ level0 \*arabic \* MERGEFORMAT ">
        <w:r w:rsidR="00D7351D" w:rsidRPr="00D7351D">
          <w:rPr>
            <w:noProof/>
          </w:rPr>
          <w:t>25</w:t>
        </w:r>
      </w:fldSimple>
      <w:r w:rsidR="00592C89">
        <w:t xml:space="preserve">.  În speță, Curtea reține că ancheta privind decesul domnului Constantin Cioroianu în împrejurări considerate de autorități, </w:t>
      </w:r>
      <w:r w:rsidR="00592C89">
        <w:rPr>
          <w:i/>
        </w:rPr>
        <w:t>in fine</w:t>
      </w:r>
      <w:r w:rsidR="00592C89">
        <w:t xml:space="preserve">, ca fiind ale unui accident rutier obișnuit, a durat unsprezece ani și trei luni, dintre care peste nouă ani în fața parchetului și că acest interval a dus la prescripția răspunderii penale a învinuitului în legătură cu anumite infracțiuni pentru care a fost inculpat, în special pentru că a condus fără permis pe drumurile publice o motocicletă neînmatriculată (supra, pct. </w:t>
      </w:r>
      <w:r w:rsidR="00AB0AD1" w:rsidRPr="00D7351D">
        <w:fldChar w:fldCharType="begin"/>
      </w:r>
      <w:r w:rsidR="00AB0AD1" w:rsidRPr="00D7351D">
        <w:instrText xml:space="preserve"> REF paragraph00018 \h  \* CharFormat  \* MERGEFORMAT </w:instrText>
      </w:r>
      <w:r w:rsidR="00AB0AD1" w:rsidRPr="00D7351D">
        <w:fldChar w:fldCharType="separate"/>
      </w:r>
      <w:r w:rsidR="00D7351D" w:rsidRPr="00D7351D">
        <w:t>18</w:t>
      </w:r>
      <w:r w:rsidR="00AB0AD1" w:rsidRPr="00D7351D">
        <w:fldChar w:fldCharType="end"/>
      </w:r>
      <w:r w:rsidR="00592C89">
        <w:t xml:space="preserve">). Or, această perioadă de peste unsprezece ani a fost marcată de faze de inactivitate (supra, pct. </w:t>
      </w:r>
      <w:r w:rsidR="00AB0AD1" w:rsidRPr="00D7351D">
        <w:fldChar w:fldCharType="begin"/>
      </w:r>
      <w:r w:rsidR="00AB0AD1" w:rsidRPr="00D7351D">
        <w:instrText xml:space="preserve"> REF paragraph00014 \h  \* CharFormat </w:instrText>
      </w:r>
      <w:r w:rsidR="00AB0AD1" w:rsidRPr="00D7351D">
        <w:fldChar w:fldCharType="separate"/>
      </w:r>
      <w:r w:rsidR="00D7351D" w:rsidRPr="00D7351D">
        <w:t>14</w:t>
      </w:r>
      <w:r w:rsidR="00AB0AD1" w:rsidRPr="00D7351D">
        <w:fldChar w:fldCharType="end"/>
      </w:r>
      <w:r w:rsidR="00592C89">
        <w:t>-</w:t>
      </w:r>
      <w:r w:rsidR="00AB0AD1" w:rsidRPr="00D7351D">
        <w:fldChar w:fldCharType="begin"/>
      </w:r>
      <w:r w:rsidR="00AB0AD1" w:rsidRPr="00D7351D">
        <w:instrText xml:space="preserve"> REF paragraph00015 \h  \* CharFormat </w:instrText>
      </w:r>
      <w:r w:rsidR="00AB0AD1" w:rsidRPr="00D7351D">
        <w:fldChar w:fldCharType="separate"/>
      </w:r>
      <w:r w:rsidR="00D7351D" w:rsidRPr="00D7351D">
        <w:t>15</w:t>
      </w:r>
      <w:r w:rsidR="00AB0AD1" w:rsidRPr="00D7351D">
        <w:fldChar w:fldCharType="end"/>
      </w:r>
      <w:r w:rsidR="00592C89">
        <w:t xml:space="preserve">), ca și de întârzieri cauzate, pe de o parte, de nevoia de a recurge din nou la importante măsuri de anchetă care fuseseră anulate (supra, pct. </w:t>
      </w:r>
      <w:r w:rsidR="00AB0AD1" w:rsidRPr="00D7351D">
        <w:fldChar w:fldCharType="begin"/>
      </w:r>
      <w:r w:rsidR="00AB0AD1" w:rsidRPr="00D7351D">
        <w:instrText xml:space="preserve"> REF paragraph00016 \h  \* CharFormat </w:instrText>
      </w:r>
      <w:r w:rsidR="00AB0AD1" w:rsidRPr="00D7351D">
        <w:fldChar w:fldCharType="separate"/>
      </w:r>
      <w:r w:rsidR="00D7351D" w:rsidRPr="00D7351D">
        <w:t>16</w:t>
      </w:r>
      <w:r w:rsidR="00AB0AD1" w:rsidRPr="00D7351D">
        <w:fldChar w:fldCharType="end"/>
      </w:r>
      <w:r w:rsidR="00592C89">
        <w:t>-</w:t>
      </w:r>
      <w:r w:rsidR="00AB0AD1" w:rsidRPr="00D7351D">
        <w:fldChar w:fldCharType="begin"/>
      </w:r>
      <w:r w:rsidR="00AB0AD1" w:rsidRPr="00D7351D">
        <w:instrText xml:space="preserve"> REF paragraph00017 \h  \* CharFormat </w:instrText>
      </w:r>
      <w:r w:rsidR="00AB0AD1" w:rsidRPr="00D7351D">
        <w:fldChar w:fldCharType="separate"/>
      </w:r>
      <w:r w:rsidR="00D7351D" w:rsidRPr="00D7351D">
        <w:t>17</w:t>
      </w:r>
      <w:r w:rsidR="00AB0AD1" w:rsidRPr="00D7351D">
        <w:fldChar w:fldCharType="end"/>
      </w:r>
      <w:r w:rsidR="00592C89">
        <w:t xml:space="preserve">) și, pe de altă parte, de conflicte de competență (supra, pct. </w:t>
      </w:r>
      <w:r w:rsidR="00AB0AD1" w:rsidRPr="00D7351D">
        <w:fldChar w:fldCharType="begin"/>
      </w:r>
      <w:r w:rsidR="00AB0AD1" w:rsidRPr="00D7351D">
        <w:instrText xml:space="preserve"> REF paragraph00018 \h  \* CharFormat </w:instrText>
      </w:r>
      <w:r w:rsidR="00AB0AD1" w:rsidRPr="00D7351D">
        <w:fldChar w:fldCharType="separate"/>
      </w:r>
      <w:r w:rsidR="00D7351D" w:rsidRPr="00D7351D">
        <w:t>18</w:t>
      </w:r>
      <w:r w:rsidR="00AB0AD1" w:rsidRPr="00D7351D">
        <w:fldChar w:fldCharType="end"/>
      </w:r>
      <w:r w:rsidR="00592C89">
        <w:t>).</w:t>
      </w:r>
    </w:p>
    <w:p w:rsidR="00AB0AD1" w:rsidRPr="00D7351D" w:rsidRDefault="001026B8" w:rsidP="00D7351D">
      <w:pPr>
        <w:pStyle w:val="JuPara"/>
      </w:pPr>
      <w:fldSimple w:instr=" SEQ level0 \*arabic \* MERGEFORMAT ">
        <w:r w:rsidR="00D7351D" w:rsidRPr="00D7351D">
          <w:rPr>
            <w:noProof/>
          </w:rPr>
          <w:t>26</w:t>
        </w:r>
      </w:fldSimple>
      <w:r w:rsidR="00592C89">
        <w:t xml:space="preserve">.  În plus, Curtea constată că doar în 2008, adică la doi ani de la evenimentul în care își pierduse viața tatăl reclamantului, și după infirmarea primei încetări a urmăririi penale, parchetul a dispus măsuri de investigare atât de esențiale precum examinarea motocicletei implicate în accident sau expertiza biologică a urmelor de sânge recoltate de pe oglinda retrovizoare a motocicletei (supra, pct. </w:t>
      </w:r>
      <w:r w:rsidR="00AB0AD1" w:rsidRPr="00D7351D">
        <w:fldChar w:fldCharType="begin"/>
      </w:r>
      <w:r w:rsidR="00AB0AD1" w:rsidRPr="00D7351D">
        <w:instrText xml:space="preserve"> REF paragraph00011 \h  \* CharFormat </w:instrText>
      </w:r>
      <w:r w:rsidR="00AB0AD1" w:rsidRPr="00D7351D">
        <w:fldChar w:fldCharType="separate"/>
      </w:r>
      <w:r w:rsidR="00D7351D" w:rsidRPr="00D7351D">
        <w:t>11</w:t>
      </w:r>
      <w:r w:rsidR="00AB0AD1" w:rsidRPr="00D7351D">
        <w:fldChar w:fldCharType="end"/>
      </w:r>
      <w:r w:rsidR="00592C89">
        <w:t xml:space="preserve">). În plus, durata anchetei a avut drept consecințe lipsuri importante în modul în care s-a derulat ancheta. Așadar, din informațiile prezentate Curții, nu reiese că s-a dat curs deciziei din 12 septembrie 2007 a Tribunalului Dolj care dispunea o confruntare a martorilor </w:t>
      </w:r>
      <w:r w:rsidR="00592C89">
        <w:lastRenderedPageBreak/>
        <w:t xml:space="preserve">pentru clarificarea contradicțiilor din declarațiile lor și stabilirea derulării exacte a faptelor (supra, pct. </w:t>
      </w:r>
      <w:r w:rsidR="00AB0AD1" w:rsidRPr="00D7351D">
        <w:fldChar w:fldCharType="begin"/>
      </w:r>
      <w:r w:rsidR="00AB0AD1" w:rsidRPr="00D7351D">
        <w:instrText xml:space="preserve"> REF paragraph00009 \h  \* CharFormat </w:instrText>
      </w:r>
      <w:r w:rsidR="00AB0AD1" w:rsidRPr="00D7351D">
        <w:fldChar w:fldCharType="separate"/>
      </w:r>
      <w:r w:rsidR="00D7351D" w:rsidRPr="00D7351D">
        <w:t>9</w:t>
      </w:r>
      <w:r w:rsidR="00AB0AD1" w:rsidRPr="00D7351D">
        <w:fldChar w:fldCharType="end"/>
      </w:r>
      <w:r w:rsidR="00592C89">
        <w:t>).</w:t>
      </w:r>
    </w:p>
    <w:p w:rsidR="00AB0AD1" w:rsidRPr="00D7351D" w:rsidRDefault="006E73D9" w:rsidP="00D7351D">
      <w:pPr>
        <w:pStyle w:val="JuPara"/>
      </w:pPr>
      <w:r>
        <w:fldChar w:fldCharType="begin"/>
      </w:r>
      <w:r>
        <w:instrText xml:space="preserve"> SEQ level0 \*arabic </w:instrText>
      </w:r>
      <w:r>
        <w:fldChar w:fldCharType="separate"/>
      </w:r>
      <w:r w:rsidR="00D7351D" w:rsidRPr="00D7351D">
        <w:t>27</w:t>
      </w:r>
      <w:r>
        <w:fldChar w:fldCharType="end"/>
      </w:r>
      <w:r w:rsidR="00AB0AD1">
        <w:t>.  Ținând seama de deficiențele arătate mai sus, Curtea consideră că reclamanții nu au beneficiat de o anchetă care să răspundă cerințelor 2 din Convenție.</w:t>
      </w:r>
    </w:p>
    <w:p w:rsidR="00AB0AD1" w:rsidRPr="00D7351D" w:rsidRDefault="00AB0AD1" w:rsidP="00D7351D">
      <w:pPr>
        <w:pStyle w:val="JuPara"/>
      </w:pPr>
      <w:r>
        <w:t>Prin urmare, dispoziția a fost încălcată sub aspect procedural.</w:t>
      </w:r>
    </w:p>
    <w:p w:rsidR="00AB0AD1" w:rsidRPr="00D7351D" w:rsidRDefault="00AB0AD1" w:rsidP="00D7351D">
      <w:pPr>
        <w:pStyle w:val="JuHHead"/>
      </w:pPr>
      <w:r>
        <w:t>CU PRIVIRE LA APLICAREA ART. 41 DIN CONVENȚIE</w:t>
      </w:r>
    </w:p>
    <w:p w:rsidR="00AB0AD1" w:rsidRPr="00D7351D" w:rsidRDefault="001026B8" w:rsidP="00D7351D">
      <w:pPr>
        <w:pStyle w:val="JuPara"/>
      </w:pPr>
      <w:fldSimple w:instr=" SEQ level0 \*arabic \* MERGEFORMAT ">
        <w:r w:rsidR="00D7351D" w:rsidRPr="00D7351D">
          <w:rPr>
            <w:noProof/>
          </w:rPr>
          <w:t>28</w:t>
        </w:r>
      </w:fldSimple>
      <w:r w:rsidR="00592C89">
        <w:t>.  Reclamanții solicită în solidar 247 000 euro (EUR) pentru prejudiciul material și moral și 31 750 EUR pentru cheltuielile de judecată pe care susțin că le-au efectuat.</w:t>
      </w:r>
    </w:p>
    <w:p w:rsidR="00AB0AD1" w:rsidRPr="00D7351D" w:rsidRDefault="006E73D9" w:rsidP="00D7351D">
      <w:pPr>
        <w:pStyle w:val="JuPara"/>
      </w:pPr>
      <w:r>
        <w:fldChar w:fldCharType="begin"/>
      </w:r>
      <w:r>
        <w:instrText xml:space="preserve"> SEQ level0 \*arabic </w:instrText>
      </w:r>
      <w:r>
        <w:fldChar w:fldCharType="separate"/>
      </w:r>
      <w:r w:rsidR="00D7351D" w:rsidRPr="00D7351D">
        <w:t>29</w:t>
      </w:r>
      <w:r>
        <w:fldChar w:fldCharType="end"/>
      </w:r>
      <w:r w:rsidR="00AB0AD1">
        <w:t>.  Guvernul afirmă că pretenţiile sunt excesive și observă că reclamanții nu au furnizat dovezi justificative în legătură cu pretinsul prejudiciu material și cu cheltuielile de judecată.</w:t>
      </w:r>
    </w:p>
    <w:p w:rsidR="00AB0AD1" w:rsidRPr="00D7351D" w:rsidRDefault="006E73D9" w:rsidP="00D7351D">
      <w:pPr>
        <w:pStyle w:val="JuPara"/>
      </w:pPr>
      <w:r>
        <w:fldChar w:fldCharType="begin"/>
      </w:r>
      <w:r>
        <w:instrText xml:space="preserve"> SEQ level0 \*arabic </w:instrText>
      </w:r>
      <w:r>
        <w:fldChar w:fldCharType="separate"/>
      </w:r>
      <w:r w:rsidR="00D7351D" w:rsidRPr="00D7351D">
        <w:t>30</w:t>
      </w:r>
      <w:r>
        <w:fldChar w:fldCharType="end"/>
      </w:r>
      <w:r w:rsidR="00AB0AD1">
        <w:t>.  Curtea precizează că cererea cu privire la prejudiciul material și la cheltuielile de judecată nu este susținută. Prin urmare, respinge pretenţiile formulate cu acest titlu și acordă fiecăruia dintre reclamanți 20 000 EUR pentru prejudiciul moral, plus orice sumă ce poate fi datorată cu titlu de impozit pe această sumă.</w:t>
      </w:r>
    </w:p>
    <w:p w:rsidR="00AB0AD1" w:rsidRPr="00D7351D" w:rsidRDefault="00AB0AD1" w:rsidP="00D7351D">
      <w:pPr>
        <w:pStyle w:val="JuHHead"/>
      </w:pPr>
      <w:r>
        <w:t>PENTRU ACESTE MOTIVE, CURTEA, ÎN UNANIMITATE,</w:t>
      </w:r>
    </w:p>
    <w:p w:rsidR="00AB0AD1" w:rsidRPr="00D7351D" w:rsidRDefault="00AB0AD1" w:rsidP="00D7351D">
      <w:pPr>
        <w:pStyle w:val="JuList"/>
      </w:pPr>
      <w:r>
        <w:rPr>
          <w:i/>
          <w:iCs/>
        </w:rPr>
        <w:t>Declară</w:t>
      </w:r>
      <w:r>
        <w:t xml:space="preserve"> admisibil capătul de cerere întemeiat pe art. 2 din Convenție;</w:t>
      </w:r>
    </w:p>
    <w:p w:rsidR="00AB0AD1" w:rsidRPr="00D7351D" w:rsidRDefault="00AB0AD1" w:rsidP="00D7351D">
      <w:pPr>
        <w:pStyle w:val="JuList"/>
      </w:pPr>
      <w:r>
        <w:rPr>
          <w:i/>
        </w:rPr>
        <w:t>Hotărăște că</w:t>
      </w:r>
      <w:r>
        <w:t xml:space="preserve"> a fost încălcat art. 2 din Convenție sub aspect procedural;</w:t>
      </w:r>
    </w:p>
    <w:p w:rsidR="00AB0AD1" w:rsidRPr="00D7351D" w:rsidRDefault="00AB0AD1" w:rsidP="00D7351D">
      <w:pPr>
        <w:pStyle w:val="JuList"/>
        <w:rPr>
          <w:i/>
          <w:iCs/>
        </w:rPr>
      </w:pPr>
      <w:r>
        <w:rPr>
          <w:i/>
          <w:iCs/>
        </w:rPr>
        <w:t>Hotărăște</w:t>
      </w:r>
    </w:p>
    <w:p w:rsidR="00AB0AD1" w:rsidRPr="00D7351D" w:rsidRDefault="00AB0AD1" w:rsidP="00D7351D">
      <w:pPr>
        <w:pStyle w:val="JuLista"/>
        <w:numPr>
          <w:ilvl w:val="1"/>
          <w:numId w:val="1"/>
        </w:numPr>
      </w:pPr>
      <w:r>
        <w:t>că statul pârât trebuie să plătească fiecăruia dintre reclamanți, în termen de trei luni, suma de 20 000 EUR (douăzeci mii de euro), care trebuie convertită în moneda statului pârât la rata de schimb aplicabilă la data plății, plus orice sumă ce poate fi datorată cu titlu de impozit, cu titlu de despăgubire pentru prejudiciul moral;</w:t>
      </w:r>
    </w:p>
    <w:p w:rsidR="00AB0AD1" w:rsidRPr="00D7351D" w:rsidRDefault="00AB0AD1" w:rsidP="00D7351D">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D7351D" w:rsidRDefault="00AB0AD1" w:rsidP="00D7351D">
      <w:pPr>
        <w:pStyle w:val="JuList"/>
        <w:keepNext/>
        <w:keepLines/>
      </w:pPr>
      <w:r>
        <w:rPr>
          <w:i/>
          <w:iCs/>
        </w:rPr>
        <w:lastRenderedPageBreak/>
        <w:t>Respinge</w:t>
      </w:r>
      <w:r>
        <w:t xml:space="preserve"> cererea de acordare a unei reparații echitabile pentru celelalte capete de cerere.</w:t>
      </w:r>
    </w:p>
    <w:p w:rsidR="00893F30" w:rsidRPr="00D7351D" w:rsidRDefault="00893F30" w:rsidP="00D7351D">
      <w:pPr>
        <w:pStyle w:val="JuParaLast"/>
      </w:pPr>
      <w:r>
        <w:t>Redactată în limba franceză, apoi comunicată în scris la 31 ianuarie 2023, în temeiul art. 77 § 2 și art. 77 § 3 din Regulament.</w:t>
      </w:r>
    </w:p>
    <w:p w:rsidR="00F94531" w:rsidRPr="00D7351D" w:rsidRDefault="00510D77" w:rsidP="00D7351D">
      <w:pPr>
        <w:pStyle w:val="JuSigned"/>
        <w:keepNext/>
        <w:keepLines/>
        <w:rPr>
          <w:color w:val="F8F8F8" w:themeColor="background2"/>
        </w:rPr>
      </w:pPr>
      <w:r>
        <w:rPr>
          <w:color w:val="F8F8F8" w:themeColor="background2"/>
        </w:rPr>
        <w:tab/>
      </w:r>
    </w:p>
    <w:p w:rsidR="00372D45" w:rsidRPr="00D7351D" w:rsidRDefault="00372D45" w:rsidP="00D7351D">
      <w:pPr>
        <w:pStyle w:val="JuSigned"/>
      </w:pPr>
      <w:r>
        <w:tab/>
        <w:t>Crina Kaufman</w:t>
      </w:r>
      <w:r>
        <w:tab/>
        <w:t>Faris Vehabović</w:t>
      </w:r>
    </w:p>
    <w:p w:rsidR="00372D45" w:rsidRPr="00D7351D" w:rsidRDefault="00372D45" w:rsidP="00D7351D">
      <w:pPr>
        <w:pStyle w:val="JuSigned"/>
        <w:contextualSpacing/>
        <w:rPr>
          <w:noProof/>
        </w:rPr>
      </w:pPr>
      <w:r>
        <w:tab/>
        <w:t>Grefier adjunct a.i.</w:t>
      </w:r>
      <w:r>
        <w:tab/>
        <w:t>Președinte</w:t>
      </w:r>
    </w:p>
    <w:sectPr w:rsidR="00372D45" w:rsidRPr="00D7351D">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6B8" w:rsidRPr="00AB0AD1" w:rsidRDefault="001026B8" w:rsidP="00516B59">
      <w:r w:rsidRPr="00AB0AD1">
        <w:separator/>
      </w:r>
    </w:p>
  </w:endnote>
  <w:endnote w:type="continuationSeparator" w:id="0">
    <w:p w:rsidR="001026B8" w:rsidRPr="00AB0AD1" w:rsidRDefault="001026B8" w:rsidP="00516B59">
      <w:r w:rsidRPr="00AB0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AB0AD1" w:rsidRDefault="00AB0AD1" w:rsidP="00954AD6">
    <w:pPr>
      <w:pStyle w:val="JuHeader"/>
    </w:pPr>
    <w:r>
      <w:fldChar w:fldCharType="begin"/>
    </w:r>
    <w:r>
      <w:instrText xml:space="preserve"> PAGE </w:instrText>
    </w:r>
    <w:r>
      <w:fldChar w:fldCharType="separate"/>
    </w:r>
    <w:r w:rsidR="006E73D9">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D1" w:rsidRPr="00150BFA" w:rsidRDefault="00AB0AD1" w:rsidP="0020718E">
    <w:pPr>
      <w:jc w:val="center"/>
    </w:pPr>
    <w:r>
      <w:rPr>
        <w:noProof/>
        <w:lang w:eastAsia="ro-RO"/>
      </w:rPr>
      <w:drawing>
        <wp:inline distT="0" distB="0" distL="0" distR="0" wp14:anchorId="29BD018E" wp14:editId="52F170F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22D5C" w:rsidRPr="00AB0AD1" w:rsidRDefault="006E73D9"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D1" w:rsidRPr="00150BFA" w:rsidRDefault="00AB0AD1" w:rsidP="0020718E">
    <w:pPr>
      <w:jc w:val="center"/>
    </w:pPr>
    <w:r>
      <w:rPr>
        <w:noProof/>
        <w:lang w:eastAsia="ro-RO"/>
      </w:rPr>
      <w:drawing>
        <wp:inline distT="0" distB="0" distL="0" distR="0" wp14:anchorId="006B6D37" wp14:editId="344995FF">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2601" w:rsidRPr="00AB0AD1"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AB0AD1" w:rsidP="00662882">
    <w:pPr>
      <w:pStyle w:val="JuHeader"/>
    </w:pPr>
    <w:r>
      <w:fldChar w:fldCharType="begin"/>
    </w:r>
    <w:r>
      <w:instrText xml:space="preserve"> PAGE </w:instrText>
    </w:r>
    <w:r>
      <w:fldChar w:fldCharType="separate"/>
    </w:r>
    <w:r w:rsidR="006E73D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6B8" w:rsidRPr="00AB0AD1" w:rsidRDefault="001026B8" w:rsidP="00516B59">
      <w:r w:rsidRPr="00AB0AD1">
        <w:separator/>
      </w:r>
    </w:p>
  </w:footnote>
  <w:footnote w:type="continuationSeparator" w:id="0">
    <w:p w:rsidR="001026B8" w:rsidRPr="00AB0AD1" w:rsidRDefault="001026B8" w:rsidP="00516B59">
      <w:r w:rsidRPr="00AB0AD1">
        <w:continuationSeparator/>
      </w:r>
    </w:p>
  </w:footnote>
  <w:footnote w:id="1">
    <w:p w:rsidR="004B51E1" w:rsidRDefault="004B51E1">
      <w:pPr>
        <w:pStyle w:val="FootnoteText"/>
      </w:pPr>
      <w:r>
        <w:rPr>
          <w:rStyle w:val="FootnoteReference"/>
        </w:rPr>
        <w:footnoteRef/>
      </w:r>
      <w:r>
        <w:t xml:space="preserve"> Rectificat la 13 februarie 2023: textul era următorul: „La 8 iunie 2006, reclamantul a depus o plângere pentru omor, susținând că fie conducătorul motocicletei, fie terți neidentificați înrudiți cu el, l-au lovit pe tatăl său și l-au omorât în bătaie pe motivul daunelor produse motocicletei după ce conducătorul a răsturnat accidental victima.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AD1" w:rsidRPr="00A45145" w:rsidRDefault="00AB0AD1" w:rsidP="00A45145">
    <w:pPr>
      <w:jc w:val="center"/>
    </w:pPr>
    <w:r>
      <w:rPr>
        <w:noProof/>
        <w:lang w:eastAsia="ro-RO"/>
      </w:rPr>
      <w:drawing>
        <wp:inline distT="0" distB="0" distL="0" distR="0" wp14:anchorId="5EA46D77" wp14:editId="650866B7">
          <wp:extent cx="2962275" cy="1219200"/>
          <wp:effectExtent l="0" t="0" r="9525" b="0"/>
          <wp:docPr id="78" name="Picture 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22D5C" w:rsidRPr="00AB0AD1" w:rsidRDefault="006E73D9"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9AD" w:rsidRDefault="00E619AD" w:rsidP="00E619AD">
    <w:pPr>
      <w:jc w:val="right"/>
    </w:pPr>
    <w:r>
      <w:t>Tradus și revizuit de IER (</w:t>
    </w:r>
    <w:hyperlink r:id="rId1" w:history="1">
      <w:r w:rsidRPr="009044A4">
        <w:rPr>
          <w:rStyle w:val="Hyperlink"/>
        </w:rPr>
        <w:t>http://ier.gov.ro/</w:t>
      </w:r>
    </w:hyperlink>
    <w:r>
      <w:t>)</w:t>
    </w:r>
  </w:p>
  <w:p w:rsidR="00AB0AD1" w:rsidRPr="00A45145" w:rsidRDefault="00AB0AD1" w:rsidP="00A45145">
    <w:pPr>
      <w:jc w:val="center"/>
    </w:pPr>
    <w:r>
      <w:rPr>
        <w:noProof/>
        <w:lang w:eastAsia="ro-RO"/>
      </w:rPr>
      <w:drawing>
        <wp:inline distT="0" distB="0" distL="0" distR="0" wp14:anchorId="61C3FEB5" wp14:editId="370F5B9E">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02601" w:rsidRPr="00AB0AD1"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A21624" w:rsidP="00A21624">
    <w:pPr>
      <w:pStyle w:val="JuHeader"/>
    </w:pPr>
    <w:r>
      <w:t xml:space="preserve">HOTĂRÂREA CIOROIANU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256F45" w:rsidP="00662882">
    <w:pPr>
      <w:pStyle w:val="JuHeader"/>
    </w:pPr>
    <w:r>
      <w:t xml:space="preserve">HOTĂRÂREA CIOROIANU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68829918"/>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68829918"/>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lvlOverride w:ilvl="0">
      <w:lvl w:ilvl="0">
        <w:start w:val="1"/>
        <w:numFmt w:val="decimal"/>
        <w:pStyle w:val="JuList"/>
        <w:lvlText w:val="%1."/>
        <w:lvlJc w:val="left"/>
        <w:pPr>
          <w:tabs>
            <w:tab w:val="num" w:pos="340"/>
          </w:tabs>
          <w:ind w:left="340" w:hanging="340"/>
        </w:pPr>
        <w:rPr>
          <w:rFonts w:hint="default"/>
          <w:i w:val="0"/>
          <w:iCs w:val="0"/>
        </w:rPr>
      </w:lvl>
    </w:lvlOverride>
  </w:num>
  <w:num w:numId="18">
    <w:abstractNumId w:val="15"/>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1"/>
    <w:docVar w:name="SignForeName" w:val="0"/>
    <w:docVar w:name="SndCaseNumber" w:val="Error!Nodocumentvariablesupplied."/>
  </w:docVars>
  <w:rsids>
    <w:rsidRoot w:val="00AB0AD1"/>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26B8"/>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6D19"/>
    <w:rsid w:val="00337EE4"/>
    <w:rsid w:val="00340FFD"/>
    <w:rsid w:val="003471AF"/>
    <w:rsid w:val="003506B1"/>
    <w:rsid w:val="00356AC7"/>
    <w:rsid w:val="003609FA"/>
    <w:rsid w:val="00361D45"/>
    <w:rsid w:val="00367B4F"/>
    <w:rsid w:val="003710C8"/>
    <w:rsid w:val="003722CE"/>
    <w:rsid w:val="00372D45"/>
    <w:rsid w:val="003750BE"/>
    <w:rsid w:val="00387B9D"/>
    <w:rsid w:val="0039364F"/>
    <w:rsid w:val="00396686"/>
    <w:rsid w:val="0039778E"/>
    <w:rsid w:val="003A37B8"/>
    <w:rsid w:val="003B4941"/>
    <w:rsid w:val="003B6A2E"/>
    <w:rsid w:val="003C5714"/>
    <w:rsid w:val="003C6B9F"/>
    <w:rsid w:val="003C6E2A"/>
    <w:rsid w:val="003D0299"/>
    <w:rsid w:val="003D32BE"/>
    <w:rsid w:val="003E192F"/>
    <w:rsid w:val="003E3FE3"/>
    <w:rsid w:val="003E6D80"/>
    <w:rsid w:val="003E7A9C"/>
    <w:rsid w:val="003F05FA"/>
    <w:rsid w:val="003F244A"/>
    <w:rsid w:val="003F30B8"/>
    <w:rsid w:val="003F4C45"/>
    <w:rsid w:val="003F5F7B"/>
    <w:rsid w:val="003F7D64"/>
    <w:rsid w:val="00401F7D"/>
    <w:rsid w:val="0041177B"/>
    <w:rsid w:val="00414300"/>
    <w:rsid w:val="004160C1"/>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A21ED"/>
    <w:rsid w:val="004B013B"/>
    <w:rsid w:val="004B112B"/>
    <w:rsid w:val="004B51E1"/>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9"/>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3D9"/>
    <w:rsid w:val="006E7E80"/>
    <w:rsid w:val="006F48CA"/>
    <w:rsid w:val="006F64DD"/>
    <w:rsid w:val="00715127"/>
    <w:rsid w:val="00715E8E"/>
    <w:rsid w:val="007172B0"/>
    <w:rsid w:val="00720A16"/>
    <w:rsid w:val="00723580"/>
    <w:rsid w:val="00723755"/>
    <w:rsid w:val="00724AE2"/>
    <w:rsid w:val="00730B5C"/>
    <w:rsid w:val="0073136C"/>
    <w:rsid w:val="00731F0F"/>
    <w:rsid w:val="00733250"/>
    <w:rsid w:val="00735951"/>
    <w:rsid w:val="00741404"/>
    <w:rsid w:val="007449E5"/>
    <w:rsid w:val="00747FF0"/>
    <w:rsid w:val="00757C9F"/>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167E5"/>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368A"/>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0AD1"/>
    <w:rsid w:val="00AB4328"/>
    <w:rsid w:val="00AB5628"/>
    <w:rsid w:val="00AC00C2"/>
    <w:rsid w:val="00AC5872"/>
    <w:rsid w:val="00AD2473"/>
    <w:rsid w:val="00AD70CA"/>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1D73"/>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1978"/>
    <w:rsid w:val="00C939FE"/>
    <w:rsid w:val="00C955D0"/>
    <w:rsid w:val="00CA4BDA"/>
    <w:rsid w:val="00CA7C61"/>
    <w:rsid w:val="00CB1F66"/>
    <w:rsid w:val="00CB2951"/>
    <w:rsid w:val="00CC5875"/>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351D"/>
    <w:rsid w:val="00D75E28"/>
    <w:rsid w:val="00D772C2"/>
    <w:rsid w:val="00D8008E"/>
    <w:rsid w:val="00D82C45"/>
    <w:rsid w:val="00D908A8"/>
    <w:rsid w:val="00D977B6"/>
    <w:rsid w:val="00DA3634"/>
    <w:rsid w:val="00DA4A31"/>
    <w:rsid w:val="00DA7B04"/>
    <w:rsid w:val="00DB36C2"/>
    <w:rsid w:val="00DB5CBD"/>
    <w:rsid w:val="00DB6832"/>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19AD"/>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517D"/>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0AF4"/>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B6832"/>
    <w:rPr>
      <w:sz w:val="24"/>
      <w:szCs w:val="24"/>
    </w:rPr>
  </w:style>
  <w:style w:type="paragraph" w:styleId="Heading1">
    <w:name w:val="heading 1"/>
    <w:basedOn w:val="Normal"/>
    <w:next w:val="Normal"/>
    <w:link w:val="Heading1Char"/>
    <w:uiPriority w:val="98"/>
    <w:semiHidden/>
    <w:rsid w:val="00DB683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B683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B683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B683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B683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B683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B683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B683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B683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B6832"/>
    <w:rPr>
      <w:rFonts w:ascii="Tahoma" w:hAnsi="Tahoma" w:cs="Tahoma"/>
      <w:sz w:val="16"/>
      <w:szCs w:val="16"/>
    </w:rPr>
  </w:style>
  <w:style w:type="character" w:customStyle="1" w:styleId="BalloonTextChar">
    <w:name w:val="Balloon Text Char"/>
    <w:basedOn w:val="DefaultParagraphFont"/>
    <w:link w:val="BalloonText"/>
    <w:uiPriority w:val="98"/>
    <w:semiHidden/>
    <w:rsid w:val="00DB6832"/>
    <w:rPr>
      <w:rFonts w:ascii="Tahoma" w:hAnsi="Tahoma" w:cs="Tahoma"/>
      <w:sz w:val="16"/>
      <w:szCs w:val="16"/>
      <w:lang w:val="ro-RO"/>
    </w:rPr>
  </w:style>
  <w:style w:type="character" w:styleId="BookTitle">
    <w:name w:val="Book Title"/>
    <w:uiPriority w:val="98"/>
    <w:semiHidden/>
    <w:qFormat/>
    <w:rsid w:val="00DB6832"/>
    <w:rPr>
      <w:i/>
      <w:iCs/>
      <w:smallCaps/>
      <w:spacing w:val="5"/>
    </w:rPr>
  </w:style>
  <w:style w:type="paragraph" w:customStyle="1" w:styleId="JuHeader">
    <w:name w:val="Ju_Header"/>
    <w:aliases w:val="_Header"/>
    <w:basedOn w:val="Header"/>
    <w:uiPriority w:val="29"/>
    <w:qFormat/>
    <w:rsid w:val="00DB6832"/>
    <w:pPr>
      <w:tabs>
        <w:tab w:val="clear" w:pos="4536"/>
        <w:tab w:val="clear" w:pos="9072"/>
      </w:tabs>
      <w:jc w:val="center"/>
    </w:pPr>
    <w:rPr>
      <w:sz w:val="18"/>
    </w:rPr>
  </w:style>
  <w:style w:type="paragraph" w:customStyle="1" w:styleId="DummyStyle">
    <w:name w:val="Dummy_Style"/>
    <w:aliases w:val="_Dummy"/>
    <w:basedOn w:val="Normal"/>
    <w:semiHidden/>
    <w:qFormat/>
    <w:rsid w:val="00DB6832"/>
    <w:rPr>
      <w:color w:val="00B050"/>
      <w:sz w:val="22"/>
    </w:rPr>
  </w:style>
  <w:style w:type="character" w:styleId="Strong">
    <w:name w:val="Strong"/>
    <w:uiPriority w:val="98"/>
    <w:semiHidden/>
    <w:qFormat/>
    <w:rsid w:val="00DB6832"/>
    <w:rPr>
      <w:b/>
      <w:bCs/>
    </w:rPr>
  </w:style>
  <w:style w:type="paragraph" w:styleId="NoSpacing">
    <w:name w:val="No Spacing"/>
    <w:basedOn w:val="Normal"/>
    <w:link w:val="NoSpacingChar"/>
    <w:uiPriority w:val="98"/>
    <w:semiHidden/>
    <w:qFormat/>
    <w:rsid w:val="00DB6832"/>
  </w:style>
  <w:style w:type="character" w:customStyle="1" w:styleId="NoSpacingChar">
    <w:name w:val="No Spacing Char"/>
    <w:basedOn w:val="DefaultParagraphFont"/>
    <w:link w:val="NoSpacing"/>
    <w:uiPriority w:val="98"/>
    <w:semiHidden/>
    <w:rsid w:val="00DB6832"/>
    <w:rPr>
      <w:sz w:val="24"/>
      <w:szCs w:val="24"/>
      <w:lang w:val="ro-RO"/>
    </w:rPr>
  </w:style>
  <w:style w:type="paragraph" w:customStyle="1" w:styleId="JuQuot">
    <w:name w:val="Ju_Quot"/>
    <w:aliases w:val="_Quote"/>
    <w:basedOn w:val="NormalJustified"/>
    <w:uiPriority w:val="20"/>
    <w:qFormat/>
    <w:rsid w:val="00DB6832"/>
    <w:pPr>
      <w:spacing w:before="120" w:after="120"/>
      <w:ind w:left="425" w:firstLine="142"/>
    </w:pPr>
    <w:rPr>
      <w:sz w:val="20"/>
    </w:rPr>
  </w:style>
  <w:style w:type="paragraph" w:customStyle="1" w:styleId="JuList">
    <w:name w:val="Ju_List"/>
    <w:aliases w:val="_List_1"/>
    <w:basedOn w:val="NormalJustified"/>
    <w:uiPriority w:val="23"/>
    <w:qFormat/>
    <w:rsid w:val="00DB6832"/>
    <w:pPr>
      <w:numPr>
        <w:numId w:val="17"/>
      </w:numPr>
      <w:spacing w:before="280" w:after="60"/>
    </w:pPr>
  </w:style>
  <w:style w:type="paragraph" w:customStyle="1" w:styleId="JuLista">
    <w:name w:val="Ju_List_a"/>
    <w:aliases w:val="_List_2"/>
    <w:basedOn w:val="NormalJustified"/>
    <w:uiPriority w:val="23"/>
    <w:rsid w:val="00DB6832"/>
    <w:pPr>
      <w:numPr>
        <w:ilvl w:val="1"/>
        <w:numId w:val="17"/>
      </w:numPr>
    </w:pPr>
  </w:style>
  <w:style w:type="paragraph" w:customStyle="1" w:styleId="JuListi">
    <w:name w:val="Ju_List_i"/>
    <w:aliases w:val="_List_3"/>
    <w:basedOn w:val="NormalJustified"/>
    <w:uiPriority w:val="23"/>
    <w:rsid w:val="00DB6832"/>
    <w:pPr>
      <w:numPr>
        <w:ilvl w:val="2"/>
        <w:numId w:val="17"/>
      </w:numPr>
    </w:pPr>
  </w:style>
  <w:style w:type="paragraph" w:customStyle="1" w:styleId="DecHTitle">
    <w:name w:val="Dec_H_Title"/>
    <w:aliases w:val="_Title_1"/>
    <w:basedOn w:val="JuPara"/>
    <w:next w:val="JuPara"/>
    <w:uiPriority w:val="38"/>
    <w:qFormat/>
    <w:rsid w:val="00DB6832"/>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DB6832"/>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DB6832"/>
    <w:pPr>
      <w:keepNext/>
      <w:keepLines/>
      <w:tabs>
        <w:tab w:val="right" w:pos="7938"/>
      </w:tabs>
      <w:ind w:firstLine="0"/>
      <w:jc w:val="center"/>
    </w:pPr>
    <w:rPr>
      <w:i/>
    </w:rPr>
  </w:style>
  <w:style w:type="numbering" w:customStyle="1" w:styleId="ECHRA1StyleBulletedSquare">
    <w:name w:val="ECHR_A1_Style_Bulleted_Square"/>
    <w:basedOn w:val="NoList"/>
    <w:rsid w:val="00DB6832"/>
    <w:pPr>
      <w:numPr>
        <w:numId w:val="16"/>
      </w:numPr>
    </w:pPr>
  </w:style>
  <w:style w:type="paragraph" w:customStyle="1" w:styleId="JuHHead">
    <w:name w:val="Ju_H_Head"/>
    <w:aliases w:val="_Head_1"/>
    <w:basedOn w:val="Heading1"/>
    <w:next w:val="JuPara"/>
    <w:uiPriority w:val="17"/>
    <w:qFormat/>
    <w:rsid w:val="00DB6832"/>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DB6832"/>
    <w:pPr>
      <w:numPr>
        <w:numId w:val="19"/>
      </w:numPr>
    </w:pPr>
  </w:style>
  <w:style w:type="paragraph" w:customStyle="1" w:styleId="JuSigned">
    <w:name w:val="Ju_Signed"/>
    <w:aliases w:val="_Signature"/>
    <w:basedOn w:val="Normal"/>
    <w:next w:val="JuPara"/>
    <w:uiPriority w:val="31"/>
    <w:qFormat/>
    <w:rsid w:val="00DB6832"/>
    <w:pPr>
      <w:tabs>
        <w:tab w:val="center" w:pos="1418"/>
        <w:tab w:val="center" w:pos="5954"/>
      </w:tabs>
      <w:spacing w:before="720"/>
    </w:pPr>
  </w:style>
  <w:style w:type="paragraph" w:styleId="Title">
    <w:name w:val="Title"/>
    <w:basedOn w:val="Normal"/>
    <w:next w:val="Normal"/>
    <w:link w:val="TitleChar"/>
    <w:uiPriority w:val="98"/>
    <w:semiHidden/>
    <w:qFormat/>
    <w:rsid w:val="00DB683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B6832"/>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DB6832"/>
    <w:pPr>
      <w:numPr>
        <w:numId w:val="18"/>
      </w:numPr>
    </w:pPr>
  </w:style>
  <w:style w:type="table" w:customStyle="1" w:styleId="ECHRTable2019">
    <w:name w:val="ECHR_Table_2019"/>
    <w:basedOn w:val="TableNormal"/>
    <w:uiPriority w:val="99"/>
    <w:rsid w:val="00DB683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DB6832"/>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DB6832"/>
    <w:pPr>
      <w:tabs>
        <w:tab w:val="center" w:pos="6407"/>
      </w:tabs>
      <w:spacing w:before="720"/>
      <w:jc w:val="right"/>
    </w:pPr>
  </w:style>
  <w:style w:type="paragraph" w:customStyle="1" w:styleId="JuHIRoman">
    <w:name w:val="Ju_H_I_Roman"/>
    <w:aliases w:val="_Head_2"/>
    <w:basedOn w:val="Heading2"/>
    <w:next w:val="JuPara"/>
    <w:uiPriority w:val="17"/>
    <w:qFormat/>
    <w:rsid w:val="00DB6832"/>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B6832"/>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B6832"/>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DB6832"/>
    <w:pPr>
      <w:tabs>
        <w:tab w:val="center" w:pos="4536"/>
        <w:tab w:val="right" w:pos="9072"/>
      </w:tabs>
    </w:pPr>
  </w:style>
  <w:style w:type="character" w:customStyle="1" w:styleId="HeaderChar">
    <w:name w:val="Header Char"/>
    <w:basedOn w:val="DefaultParagraphFont"/>
    <w:link w:val="Header"/>
    <w:uiPriority w:val="98"/>
    <w:semiHidden/>
    <w:rsid w:val="00DB6832"/>
    <w:rPr>
      <w:sz w:val="24"/>
      <w:szCs w:val="24"/>
      <w:lang w:val="ro-RO"/>
    </w:rPr>
  </w:style>
  <w:style w:type="character" w:customStyle="1" w:styleId="Heading1Char">
    <w:name w:val="Heading 1 Char"/>
    <w:basedOn w:val="DefaultParagraphFont"/>
    <w:link w:val="Heading1"/>
    <w:uiPriority w:val="98"/>
    <w:semiHidden/>
    <w:rsid w:val="00DB6832"/>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B6832"/>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DB6832"/>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B6832"/>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B6832"/>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B6832"/>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DB6832"/>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B6832"/>
    <w:pPr>
      <w:keepNext/>
      <w:keepLines/>
      <w:spacing w:before="240" w:after="240"/>
      <w:ind w:firstLine="284"/>
    </w:pPr>
  </w:style>
  <w:style w:type="paragraph" w:customStyle="1" w:styleId="JuJudges">
    <w:name w:val="Ju_Judges"/>
    <w:aliases w:val="_Judges"/>
    <w:basedOn w:val="Normal"/>
    <w:uiPriority w:val="32"/>
    <w:qFormat/>
    <w:rsid w:val="00DB6832"/>
    <w:pPr>
      <w:tabs>
        <w:tab w:val="left" w:pos="567"/>
        <w:tab w:val="left" w:pos="1134"/>
      </w:tabs>
    </w:pPr>
  </w:style>
  <w:style w:type="character" w:customStyle="1" w:styleId="Heading4Char">
    <w:name w:val="Heading 4 Char"/>
    <w:basedOn w:val="DefaultParagraphFont"/>
    <w:link w:val="Heading4"/>
    <w:uiPriority w:val="98"/>
    <w:semiHidden/>
    <w:rsid w:val="00DB6832"/>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DB6832"/>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DB6832"/>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DB6832"/>
    <w:rPr>
      <w:caps w:val="0"/>
      <w:smallCaps/>
    </w:rPr>
  </w:style>
  <w:style w:type="paragraph" w:customStyle="1" w:styleId="NormalJustified">
    <w:name w:val="Normal_Justified"/>
    <w:basedOn w:val="Normal"/>
    <w:semiHidden/>
    <w:rsid w:val="00DB6832"/>
    <w:pPr>
      <w:jc w:val="both"/>
    </w:pPr>
  </w:style>
  <w:style w:type="character" w:styleId="SubtleEmphasis">
    <w:name w:val="Subtle Emphasis"/>
    <w:uiPriority w:val="98"/>
    <w:semiHidden/>
    <w:qFormat/>
    <w:rsid w:val="00DB6832"/>
    <w:rPr>
      <w:i/>
      <w:iCs/>
    </w:rPr>
  </w:style>
  <w:style w:type="table" w:customStyle="1" w:styleId="ECHRTable">
    <w:name w:val="ECHR_Table"/>
    <w:basedOn w:val="TableNormal"/>
    <w:rsid w:val="00DB6832"/>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B683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B6832"/>
    <w:rPr>
      <w:b/>
      <w:bCs/>
      <w:i/>
      <w:iCs/>
      <w:spacing w:val="10"/>
      <w:bdr w:val="none" w:sz="0" w:space="0" w:color="auto"/>
      <w:shd w:val="clear" w:color="auto" w:fill="auto"/>
    </w:rPr>
  </w:style>
  <w:style w:type="paragraph" w:styleId="Footer0">
    <w:name w:val="footer"/>
    <w:basedOn w:val="Normal"/>
    <w:link w:val="FooterChar"/>
    <w:uiPriority w:val="98"/>
    <w:semiHidden/>
    <w:rsid w:val="00DB6832"/>
    <w:pPr>
      <w:tabs>
        <w:tab w:val="center" w:pos="3686"/>
        <w:tab w:val="right" w:pos="7371"/>
      </w:tabs>
    </w:pPr>
  </w:style>
  <w:style w:type="character" w:customStyle="1" w:styleId="FooterChar">
    <w:name w:val="Footer Char"/>
    <w:basedOn w:val="DefaultParagraphFont"/>
    <w:link w:val="Footer0"/>
    <w:uiPriority w:val="98"/>
    <w:semiHidden/>
    <w:rsid w:val="00DB6832"/>
    <w:rPr>
      <w:sz w:val="24"/>
      <w:szCs w:val="24"/>
      <w:lang w:val="ro-RO"/>
    </w:rPr>
  </w:style>
  <w:style w:type="character" w:styleId="FootnoteReference">
    <w:name w:val="footnote reference"/>
    <w:basedOn w:val="DefaultParagraphFont"/>
    <w:uiPriority w:val="98"/>
    <w:semiHidden/>
    <w:rsid w:val="00DB6832"/>
    <w:rPr>
      <w:vertAlign w:val="superscript"/>
    </w:rPr>
  </w:style>
  <w:style w:type="paragraph" w:styleId="FootnoteText">
    <w:name w:val="footnote text"/>
    <w:basedOn w:val="NormalJustified"/>
    <w:link w:val="FootnoteTextChar"/>
    <w:uiPriority w:val="98"/>
    <w:semiHidden/>
    <w:rsid w:val="00DB6832"/>
    <w:rPr>
      <w:sz w:val="20"/>
      <w:szCs w:val="20"/>
    </w:rPr>
  </w:style>
  <w:style w:type="character" w:customStyle="1" w:styleId="FootnoteTextChar">
    <w:name w:val="Footnote Text Char"/>
    <w:basedOn w:val="DefaultParagraphFont"/>
    <w:link w:val="FootnoteText"/>
    <w:uiPriority w:val="98"/>
    <w:semiHidden/>
    <w:rsid w:val="00DB6832"/>
    <w:rPr>
      <w:sz w:val="20"/>
      <w:szCs w:val="20"/>
      <w:lang w:val="ro-RO"/>
    </w:rPr>
  </w:style>
  <w:style w:type="character" w:customStyle="1" w:styleId="Heading6Char">
    <w:name w:val="Heading 6 Char"/>
    <w:basedOn w:val="DefaultParagraphFont"/>
    <w:link w:val="Heading6"/>
    <w:uiPriority w:val="98"/>
    <w:semiHidden/>
    <w:rsid w:val="00DB683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B683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B683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B683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DB6832"/>
    <w:rPr>
      <w:color w:val="0072BC" w:themeColor="hyperlink"/>
      <w:u w:val="single"/>
    </w:rPr>
  </w:style>
  <w:style w:type="character" w:styleId="IntenseEmphasis">
    <w:name w:val="Intense Emphasis"/>
    <w:uiPriority w:val="98"/>
    <w:semiHidden/>
    <w:qFormat/>
    <w:rsid w:val="00DB6832"/>
    <w:rPr>
      <w:b/>
      <w:bCs/>
    </w:rPr>
  </w:style>
  <w:style w:type="paragraph" w:styleId="IntenseQuote">
    <w:name w:val="Intense Quote"/>
    <w:basedOn w:val="Normal"/>
    <w:next w:val="Normal"/>
    <w:link w:val="IntenseQuoteChar"/>
    <w:uiPriority w:val="98"/>
    <w:semiHidden/>
    <w:qFormat/>
    <w:rsid w:val="00DB683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B6832"/>
    <w:rPr>
      <w:b/>
      <w:bCs/>
      <w:i/>
      <w:iCs/>
      <w:sz w:val="24"/>
      <w:szCs w:val="24"/>
      <w:lang w:val="ro-RO" w:bidi="en-US"/>
    </w:rPr>
  </w:style>
  <w:style w:type="character" w:styleId="IntenseReference">
    <w:name w:val="Intense Reference"/>
    <w:uiPriority w:val="98"/>
    <w:semiHidden/>
    <w:qFormat/>
    <w:rsid w:val="00DB6832"/>
    <w:rPr>
      <w:smallCaps/>
      <w:spacing w:val="5"/>
      <w:u w:val="single"/>
    </w:rPr>
  </w:style>
  <w:style w:type="paragraph" w:styleId="ListParagraph">
    <w:name w:val="List Paragraph"/>
    <w:basedOn w:val="Normal"/>
    <w:uiPriority w:val="98"/>
    <w:semiHidden/>
    <w:qFormat/>
    <w:rsid w:val="00DB6832"/>
    <w:pPr>
      <w:ind w:left="720"/>
      <w:contextualSpacing/>
    </w:pPr>
  </w:style>
  <w:style w:type="table" w:customStyle="1" w:styleId="LtrTableAddress">
    <w:name w:val="Ltr_Table_Address"/>
    <w:aliases w:val="ECHR_Ltr_Table_Address"/>
    <w:basedOn w:val="TableNormal"/>
    <w:uiPriority w:val="99"/>
    <w:rsid w:val="00DB6832"/>
    <w:rPr>
      <w:sz w:val="24"/>
      <w:szCs w:val="24"/>
    </w:rPr>
    <w:tblPr>
      <w:tblInd w:w="5103" w:type="dxa"/>
    </w:tblPr>
  </w:style>
  <w:style w:type="paragraph" w:styleId="Quote">
    <w:name w:val="Quote"/>
    <w:basedOn w:val="Normal"/>
    <w:next w:val="Normal"/>
    <w:link w:val="QuoteChar"/>
    <w:uiPriority w:val="98"/>
    <w:semiHidden/>
    <w:qFormat/>
    <w:rsid w:val="00DB6832"/>
    <w:pPr>
      <w:spacing w:before="200"/>
      <w:ind w:left="360" w:right="360"/>
    </w:pPr>
    <w:rPr>
      <w:i/>
      <w:iCs/>
      <w:lang w:bidi="en-US"/>
    </w:rPr>
  </w:style>
  <w:style w:type="character" w:customStyle="1" w:styleId="QuoteChar">
    <w:name w:val="Quote Char"/>
    <w:basedOn w:val="DefaultParagraphFont"/>
    <w:link w:val="Quote"/>
    <w:uiPriority w:val="98"/>
    <w:semiHidden/>
    <w:rsid w:val="00DB6832"/>
    <w:rPr>
      <w:i/>
      <w:iCs/>
      <w:sz w:val="24"/>
      <w:szCs w:val="24"/>
      <w:lang w:val="ro-RO" w:bidi="en-US"/>
    </w:rPr>
  </w:style>
  <w:style w:type="character" w:styleId="SubtleReference">
    <w:name w:val="Subtle Reference"/>
    <w:uiPriority w:val="98"/>
    <w:semiHidden/>
    <w:qFormat/>
    <w:rsid w:val="00DB6832"/>
    <w:rPr>
      <w:smallCaps/>
    </w:rPr>
  </w:style>
  <w:style w:type="table" w:styleId="TableGrid">
    <w:name w:val="Table Grid"/>
    <w:basedOn w:val="TableNormal"/>
    <w:uiPriority w:val="59"/>
    <w:semiHidden/>
    <w:rsid w:val="00DB683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B683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B683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B683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B683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B683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B6832"/>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B683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B683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B6832"/>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B6832"/>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B683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B6832"/>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B6832"/>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B683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B683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B6832"/>
    <w:pPr>
      <w:numPr>
        <w:numId w:val="2"/>
      </w:numPr>
    </w:pPr>
  </w:style>
  <w:style w:type="paragraph" w:customStyle="1" w:styleId="JuPara">
    <w:name w:val="Ju_Para"/>
    <w:aliases w:val="_Para"/>
    <w:basedOn w:val="NormalJustified"/>
    <w:link w:val="JuParaChar"/>
    <w:uiPriority w:val="4"/>
    <w:qFormat/>
    <w:rsid w:val="00DB6832"/>
    <w:pPr>
      <w:ind w:firstLine="284"/>
    </w:pPr>
  </w:style>
  <w:style w:type="numbering" w:styleId="1ai">
    <w:name w:val="Outline List 1"/>
    <w:basedOn w:val="NoList"/>
    <w:uiPriority w:val="99"/>
    <w:semiHidden/>
    <w:unhideWhenUsed/>
    <w:rsid w:val="00DB6832"/>
    <w:pPr>
      <w:numPr>
        <w:numId w:val="3"/>
      </w:numPr>
    </w:pPr>
  </w:style>
  <w:style w:type="table" w:customStyle="1" w:styleId="ECHRTableSimpleBox">
    <w:name w:val="ECHR_Table_Simple_Box"/>
    <w:basedOn w:val="TableNormal"/>
    <w:uiPriority w:val="99"/>
    <w:rsid w:val="00DB6832"/>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B6832"/>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B6832"/>
    <w:pPr>
      <w:numPr>
        <w:numId w:val="4"/>
      </w:numPr>
    </w:pPr>
  </w:style>
  <w:style w:type="table" w:customStyle="1" w:styleId="ECHRTableForInternalUse">
    <w:name w:val="ECHR_Table_For_Internal_Use"/>
    <w:basedOn w:val="TableNormal"/>
    <w:uiPriority w:val="99"/>
    <w:rsid w:val="00DB6832"/>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B6832"/>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B6832"/>
  </w:style>
  <w:style w:type="paragraph" w:styleId="BlockText">
    <w:name w:val="Block Text"/>
    <w:basedOn w:val="Normal"/>
    <w:uiPriority w:val="98"/>
    <w:semiHidden/>
    <w:rsid w:val="00DB683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B6832"/>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B6832"/>
    <w:pPr>
      <w:spacing w:after="120"/>
    </w:pPr>
  </w:style>
  <w:style w:type="character" w:customStyle="1" w:styleId="BodyTextChar">
    <w:name w:val="Body Text Char"/>
    <w:basedOn w:val="DefaultParagraphFont"/>
    <w:link w:val="BodyText"/>
    <w:uiPriority w:val="98"/>
    <w:semiHidden/>
    <w:rsid w:val="00DB6832"/>
    <w:rPr>
      <w:sz w:val="24"/>
      <w:szCs w:val="24"/>
      <w:lang w:val="ro-RO"/>
    </w:rPr>
  </w:style>
  <w:style w:type="table" w:customStyle="1" w:styleId="ECHRTableOddBanded">
    <w:name w:val="ECHR_Table_Odd_Banded"/>
    <w:basedOn w:val="TableNormal"/>
    <w:uiPriority w:val="99"/>
    <w:rsid w:val="00DB6832"/>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B6832"/>
    <w:pPr>
      <w:spacing w:after="120" w:line="480" w:lineRule="auto"/>
    </w:pPr>
  </w:style>
  <w:style w:type="table" w:customStyle="1" w:styleId="ECHRHeaderTableReduced">
    <w:name w:val="ECHR_Header_Table_Reduced"/>
    <w:basedOn w:val="TableNormal"/>
    <w:uiPriority w:val="99"/>
    <w:rsid w:val="00DB683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B6832"/>
    <w:pPr>
      <w:ind w:firstLine="284"/>
    </w:pPr>
    <w:rPr>
      <w:b/>
    </w:rPr>
  </w:style>
  <w:style w:type="character" w:styleId="PageNumber">
    <w:name w:val="page number"/>
    <w:uiPriority w:val="98"/>
    <w:semiHidden/>
    <w:rsid w:val="00DB6832"/>
    <w:rPr>
      <w:sz w:val="18"/>
    </w:rPr>
  </w:style>
  <w:style w:type="paragraph" w:styleId="ListBullet2">
    <w:name w:val="List Bullet 2"/>
    <w:basedOn w:val="Normal"/>
    <w:uiPriority w:val="98"/>
    <w:semiHidden/>
    <w:rsid w:val="00DB6832"/>
    <w:pPr>
      <w:numPr>
        <w:numId w:val="6"/>
      </w:numPr>
      <w:contextualSpacing/>
    </w:pPr>
  </w:style>
  <w:style w:type="character" w:customStyle="1" w:styleId="BodyText2Char">
    <w:name w:val="Body Text 2 Char"/>
    <w:basedOn w:val="DefaultParagraphFont"/>
    <w:link w:val="BodyText2"/>
    <w:uiPriority w:val="98"/>
    <w:semiHidden/>
    <w:rsid w:val="00DB6832"/>
    <w:rPr>
      <w:sz w:val="24"/>
      <w:szCs w:val="24"/>
      <w:lang w:val="ro-RO"/>
    </w:rPr>
  </w:style>
  <w:style w:type="paragraph" w:styleId="BodyText3">
    <w:name w:val="Body Text 3"/>
    <w:basedOn w:val="Normal"/>
    <w:link w:val="BodyText3Char"/>
    <w:uiPriority w:val="98"/>
    <w:semiHidden/>
    <w:rsid w:val="00DB6832"/>
    <w:pPr>
      <w:spacing w:after="120"/>
    </w:pPr>
    <w:rPr>
      <w:sz w:val="16"/>
      <w:szCs w:val="16"/>
    </w:rPr>
  </w:style>
  <w:style w:type="character" w:customStyle="1" w:styleId="BodyText3Char">
    <w:name w:val="Body Text 3 Char"/>
    <w:basedOn w:val="DefaultParagraphFont"/>
    <w:link w:val="BodyText3"/>
    <w:uiPriority w:val="98"/>
    <w:semiHidden/>
    <w:rsid w:val="00DB6832"/>
    <w:rPr>
      <w:sz w:val="16"/>
      <w:szCs w:val="16"/>
      <w:lang w:val="ro-RO"/>
    </w:rPr>
  </w:style>
  <w:style w:type="paragraph" w:styleId="BodyTextFirstIndent">
    <w:name w:val="Body Text First Indent"/>
    <w:basedOn w:val="BodyText"/>
    <w:link w:val="BodyTextFirstIndentChar"/>
    <w:uiPriority w:val="98"/>
    <w:semiHidden/>
    <w:rsid w:val="00DB6832"/>
    <w:pPr>
      <w:spacing w:after="0"/>
      <w:ind w:firstLine="360"/>
    </w:pPr>
  </w:style>
  <w:style w:type="character" w:customStyle="1" w:styleId="BodyTextFirstIndentChar">
    <w:name w:val="Body Text First Indent Char"/>
    <w:basedOn w:val="BodyTextChar"/>
    <w:link w:val="BodyTextFirstIndent"/>
    <w:uiPriority w:val="98"/>
    <w:semiHidden/>
    <w:rsid w:val="00DB6832"/>
    <w:rPr>
      <w:sz w:val="24"/>
      <w:szCs w:val="24"/>
      <w:lang w:val="ro-RO"/>
    </w:rPr>
  </w:style>
  <w:style w:type="paragraph" w:styleId="BodyTextIndent">
    <w:name w:val="Body Text Indent"/>
    <w:basedOn w:val="Normal"/>
    <w:link w:val="BodyTextIndentChar"/>
    <w:uiPriority w:val="98"/>
    <w:semiHidden/>
    <w:rsid w:val="00DB6832"/>
    <w:pPr>
      <w:spacing w:after="120"/>
      <w:ind w:left="283"/>
    </w:pPr>
  </w:style>
  <w:style w:type="character" w:customStyle="1" w:styleId="BodyTextIndentChar">
    <w:name w:val="Body Text Indent Char"/>
    <w:basedOn w:val="DefaultParagraphFont"/>
    <w:link w:val="BodyTextIndent"/>
    <w:uiPriority w:val="98"/>
    <w:semiHidden/>
    <w:rsid w:val="00DB6832"/>
    <w:rPr>
      <w:sz w:val="24"/>
      <w:szCs w:val="24"/>
      <w:lang w:val="ro-RO"/>
    </w:rPr>
  </w:style>
  <w:style w:type="paragraph" w:styleId="BodyTextFirstIndent2">
    <w:name w:val="Body Text First Indent 2"/>
    <w:basedOn w:val="BodyTextIndent"/>
    <w:link w:val="BodyTextFirstIndent2Char"/>
    <w:uiPriority w:val="98"/>
    <w:semiHidden/>
    <w:rsid w:val="00DB6832"/>
    <w:pPr>
      <w:spacing w:after="0"/>
      <w:ind w:left="360" w:firstLine="360"/>
    </w:pPr>
  </w:style>
  <w:style w:type="character" w:customStyle="1" w:styleId="BodyTextFirstIndent2Char">
    <w:name w:val="Body Text First Indent 2 Char"/>
    <w:basedOn w:val="BodyTextIndentChar"/>
    <w:link w:val="BodyTextFirstIndent2"/>
    <w:uiPriority w:val="98"/>
    <w:semiHidden/>
    <w:rsid w:val="00DB6832"/>
    <w:rPr>
      <w:sz w:val="24"/>
      <w:szCs w:val="24"/>
      <w:lang w:val="ro-RO"/>
    </w:rPr>
  </w:style>
  <w:style w:type="paragraph" w:styleId="BodyTextIndent2">
    <w:name w:val="Body Text Indent 2"/>
    <w:basedOn w:val="Normal"/>
    <w:link w:val="BodyTextIndent2Char"/>
    <w:uiPriority w:val="98"/>
    <w:semiHidden/>
    <w:rsid w:val="00DB6832"/>
    <w:pPr>
      <w:spacing w:after="120" w:line="480" w:lineRule="auto"/>
      <w:ind w:left="283"/>
    </w:pPr>
  </w:style>
  <w:style w:type="character" w:customStyle="1" w:styleId="BodyTextIndent2Char">
    <w:name w:val="Body Text Indent 2 Char"/>
    <w:basedOn w:val="DefaultParagraphFont"/>
    <w:link w:val="BodyTextIndent2"/>
    <w:uiPriority w:val="98"/>
    <w:semiHidden/>
    <w:rsid w:val="00DB6832"/>
    <w:rPr>
      <w:sz w:val="24"/>
      <w:szCs w:val="24"/>
      <w:lang w:val="ro-RO"/>
    </w:rPr>
  </w:style>
  <w:style w:type="paragraph" w:styleId="BodyTextIndent3">
    <w:name w:val="Body Text Indent 3"/>
    <w:basedOn w:val="Normal"/>
    <w:link w:val="BodyTextIndent3Char"/>
    <w:uiPriority w:val="98"/>
    <w:semiHidden/>
    <w:rsid w:val="00DB683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B6832"/>
    <w:rPr>
      <w:sz w:val="16"/>
      <w:szCs w:val="16"/>
      <w:lang w:val="ro-RO"/>
    </w:rPr>
  </w:style>
  <w:style w:type="paragraph" w:styleId="Caption">
    <w:name w:val="caption"/>
    <w:basedOn w:val="Normal"/>
    <w:next w:val="Normal"/>
    <w:uiPriority w:val="98"/>
    <w:semiHidden/>
    <w:qFormat/>
    <w:rsid w:val="00DB6832"/>
    <w:pPr>
      <w:spacing w:after="200"/>
    </w:pPr>
    <w:rPr>
      <w:b/>
      <w:bCs/>
      <w:color w:val="0072BC" w:themeColor="accent1"/>
      <w:sz w:val="18"/>
      <w:szCs w:val="18"/>
    </w:rPr>
  </w:style>
  <w:style w:type="paragraph" w:styleId="Closing">
    <w:name w:val="Closing"/>
    <w:basedOn w:val="Normal"/>
    <w:link w:val="ClosingChar"/>
    <w:uiPriority w:val="98"/>
    <w:semiHidden/>
    <w:rsid w:val="00DB6832"/>
    <w:pPr>
      <w:ind w:left="4252"/>
    </w:pPr>
  </w:style>
  <w:style w:type="character" w:customStyle="1" w:styleId="ClosingChar">
    <w:name w:val="Closing Char"/>
    <w:basedOn w:val="DefaultParagraphFont"/>
    <w:link w:val="Closing"/>
    <w:uiPriority w:val="98"/>
    <w:semiHidden/>
    <w:rsid w:val="00DB6832"/>
    <w:rPr>
      <w:sz w:val="24"/>
      <w:szCs w:val="24"/>
      <w:lang w:val="ro-RO"/>
    </w:rPr>
  </w:style>
  <w:style w:type="table" w:styleId="ColorfulGrid">
    <w:name w:val="Colorful Grid"/>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B6832"/>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B6832"/>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B6832"/>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B6832"/>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B6832"/>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B6832"/>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B6832"/>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B6832"/>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B683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B683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B683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B6832"/>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B6832"/>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B683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B683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B6832"/>
    <w:rPr>
      <w:sz w:val="16"/>
      <w:szCs w:val="16"/>
    </w:rPr>
  </w:style>
  <w:style w:type="paragraph" w:styleId="CommentText">
    <w:name w:val="annotation text"/>
    <w:basedOn w:val="Normal"/>
    <w:link w:val="CommentTextChar"/>
    <w:uiPriority w:val="98"/>
    <w:semiHidden/>
    <w:rsid w:val="00DB6832"/>
    <w:rPr>
      <w:sz w:val="20"/>
      <w:szCs w:val="20"/>
    </w:rPr>
  </w:style>
  <w:style w:type="character" w:customStyle="1" w:styleId="CommentTextChar">
    <w:name w:val="Comment Text Char"/>
    <w:basedOn w:val="DefaultParagraphFont"/>
    <w:link w:val="CommentText"/>
    <w:uiPriority w:val="98"/>
    <w:semiHidden/>
    <w:rsid w:val="00DB6832"/>
    <w:rPr>
      <w:sz w:val="20"/>
      <w:szCs w:val="20"/>
      <w:lang w:val="ro-RO"/>
    </w:rPr>
  </w:style>
  <w:style w:type="paragraph" w:styleId="CommentSubject">
    <w:name w:val="annotation subject"/>
    <w:basedOn w:val="CommentText"/>
    <w:next w:val="CommentText"/>
    <w:link w:val="CommentSubjectChar"/>
    <w:uiPriority w:val="98"/>
    <w:semiHidden/>
    <w:rsid w:val="00DB6832"/>
    <w:rPr>
      <w:b/>
      <w:bCs/>
    </w:rPr>
  </w:style>
  <w:style w:type="character" w:customStyle="1" w:styleId="CommentSubjectChar">
    <w:name w:val="Comment Subject Char"/>
    <w:basedOn w:val="CommentTextChar"/>
    <w:link w:val="CommentSubject"/>
    <w:uiPriority w:val="98"/>
    <w:semiHidden/>
    <w:rsid w:val="00DB6832"/>
    <w:rPr>
      <w:b/>
      <w:bCs/>
      <w:sz w:val="20"/>
      <w:szCs w:val="20"/>
      <w:lang w:val="ro-RO"/>
    </w:rPr>
  </w:style>
  <w:style w:type="table" w:styleId="DarkList">
    <w:name w:val="Dark List"/>
    <w:basedOn w:val="TableNormal"/>
    <w:uiPriority w:val="70"/>
    <w:semiHidden/>
    <w:rsid w:val="00DB6832"/>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B6832"/>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B6832"/>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B6832"/>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B6832"/>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B6832"/>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B6832"/>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B6832"/>
  </w:style>
  <w:style w:type="character" w:customStyle="1" w:styleId="DateChar">
    <w:name w:val="Date Char"/>
    <w:basedOn w:val="DefaultParagraphFont"/>
    <w:link w:val="Date"/>
    <w:uiPriority w:val="98"/>
    <w:semiHidden/>
    <w:rsid w:val="00DB6832"/>
    <w:rPr>
      <w:sz w:val="24"/>
      <w:szCs w:val="24"/>
      <w:lang w:val="ro-RO"/>
    </w:rPr>
  </w:style>
  <w:style w:type="paragraph" w:styleId="DocumentMap">
    <w:name w:val="Document Map"/>
    <w:basedOn w:val="Normal"/>
    <w:link w:val="DocumentMapChar"/>
    <w:uiPriority w:val="98"/>
    <w:semiHidden/>
    <w:rsid w:val="00DB6832"/>
    <w:rPr>
      <w:rFonts w:ascii="Tahoma" w:hAnsi="Tahoma" w:cs="Tahoma"/>
      <w:sz w:val="16"/>
      <w:szCs w:val="16"/>
    </w:rPr>
  </w:style>
  <w:style w:type="character" w:customStyle="1" w:styleId="DocumentMapChar">
    <w:name w:val="Document Map Char"/>
    <w:basedOn w:val="DefaultParagraphFont"/>
    <w:link w:val="DocumentMap"/>
    <w:uiPriority w:val="98"/>
    <w:semiHidden/>
    <w:rsid w:val="00DB6832"/>
    <w:rPr>
      <w:rFonts w:ascii="Tahoma" w:hAnsi="Tahoma" w:cs="Tahoma"/>
      <w:sz w:val="16"/>
      <w:szCs w:val="16"/>
      <w:lang w:val="ro-RO"/>
    </w:rPr>
  </w:style>
  <w:style w:type="paragraph" w:styleId="E-mailSignature">
    <w:name w:val="E-mail Signature"/>
    <w:basedOn w:val="Normal"/>
    <w:link w:val="E-mailSignatureChar"/>
    <w:uiPriority w:val="98"/>
    <w:semiHidden/>
    <w:rsid w:val="00DB6832"/>
  </w:style>
  <w:style w:type="character" w:customStyle="1" w:styleId="E-mailSignatureChar">
    <w:name w:val="E-mail Signature Char"/>
    <w:basedOn w:val="DefaultParagraphFont"/>
    <w:link w:val="E-mailSignature"/>
    <w:uiPriority w:val="98"/>
    <w:semiHidden/>
    <w:rsid w:val="00DB6832"/>
    <w:rPr>
      <w:sz w:val="24"/>
      <w:szCs w:val="24"/>
      <w:lang w:val="ro-RO"/>
    </w:rPr>
  </w:style>
  <w:style w:type="character" w:styleId="EndnoteReference">
    <w:name w:val="endnote reference"/>
    <w:basedOn w:val="DefaultParagraphFont"/>
    <w:uiPriority w:val="98"/>
    <w:semiHidden/>
    <w:rsid w:val="00DB6832"/>
    <w:rPr>
      <w:vertAlign w:val="superscript"/>
    </w:rPr>
  </w:style>
  <w:style w:type="paragraph" w:styleId="EndnoteText">
    <w:name w:val="endnote text"/>
    <w:basedOn w:val="Normal"/>
    <w:link w:val="EndnoteTextChar"/>
    <w:uiPriority w:val="98"/>
    <w:semiHidden/>
    <w:rsid w:val="00DB6832"/>
    <w:rPr>
      <w:sz w:val="20"/>
      <w:szCs w:val="20"/>
    </w:rPr>
  </w:style>
  <w:style w:type="character" w:customStyle="1" w:styleId="EndnoteTextChar">
    <w:name w:val="Endnote Text Char"/>
    <w:basedOn w:val="DefaultParagraphFont"/>
    <w:link w:val="EndnoteText"/>
    <w:uiPriority w:val="98"/>
    <w:semiHidden/>
    <w:rsid w:val="00DB6832"/>
    <w:rPr>
      <w:sz w:val="20"/>
      <w:szCs w:val="20"/>
      <w:lang w:val="ro-RO"/>
    </w:rPr>
  </w:style>
  <w:style w:type="paragraph" w:styleId="EnvelopeAddress">
    <w:name w:val="envelope address"/>
    <w:basedOn w:val="Normal"/>
    <w:uiPriority w:val="98"/>
    <w:semiHidden/>
    <w:rsid w:val="00DB683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B683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B6832"/>
    <w:rPr>
      <w:color w:val="7030A0" w:themeColor="followedHyperlink"/>
      <w:u w:val="single"/>
    </w:rPr>
  </w:style>
  <w:style w:type="character" w:styleId="HTMLAcronym">
    <w:name w:val="HTML Acronym"/>
    <w:basedOn w:val="DefaultParagraphFont"/>
    <w:uiPriority w:val="98"/>
    <w:semiHidden/>
    <w:rsid w:val="00DB6832"/>
  </w:style>
  <w:style w:type="paragraph" w:styleId="HTMLAddress">
    <w:name w:val="HTML Address"/>
    <w:basedOn w:val="Normal"/>
    <w:link w:val="HTMLAddressChar"/>
    <w:uiPriority w:val="98"/>
    <w:semiHidden/>
    <w:rsid w:val="00DB6832"/>
    <w:rPr>
      <w:i/>
      <w:iCs/>
    </w:rPr>
  </w:style>
  <w:style w:type="character" w:customStyle="1" w:styleId="HTMLAddressChar">
    <w:name w:val="HTML Address Char"/>
    <w:basedOn w:val="DefaultParagraphFont"/>
    <w:link w:val="HTMLAddress"/>
    <w:uiPriority w:val="98"/>
    <w:semiHidden/>
    <w:rsid w:val="00DB6832"/>
    <w:rPr>
      <w:i/>
      <w:iCs/>
      <w:sz w:val="24"/>
      <w:szCs w:val="24"/>
      <w:lang w:val="ro-RO"/>
    </w:rPr>
  </w:style>
  <w:style w:type="character" w:styleId="HTMLCite">
    <w:name w:val="HTML Cite"/>
    <w:basedOn w:val="DefaultParagraphFont"/>
    <w:uiPriority w:val="98"/>
    <w:semiHidden/>
    <w:rsid w:val="00DB6832"/>
    <w:rPr>
      <w:i/>
      <w:iCs/>
    </w:rPr>
  </w:style>
  <w:style w:type="character" w:styleId="HTMLCode">
    <w:name w:val="HTML Code"/>
    <w:basedOn w:val="DefaultParagraphFont"/>
    <w:uiPriority w:val="98"/>
    <w:semiHidden/>
    <w:rsid w:val="00DB6832"/>
    <w:rPr>
      <w:rFonts w:ascii="Consolas" w:hAnsi="Consolas" w:cs="Consolas"/>
      <w:sz w:val="20"/>
      <w:szCs w:val="20"/>
    </w:rPr>
  </w:style>
  <w:style w:type="character" w:styleId="HTMLDefinition">
    <w:name w:val="HTML Definition"/>
    <w:basedOn w:val="DefaultParagraphFont"/>
    <w:uiPriority w:val="98"/>
    <w:semiHidden/>
    <w:rsid w:val="00DB6832"/>
    <w:rPr>
      <w:i/>
      <w:iCs/>
    </w:rPr>
  </w:style>
  <w:style w:type="character" w:styleId="HTMLKeyboard">
    <w:name w:val="HTML Keyboard"/>
    <w:basedOn w:val="DefaultParagraphFont"/>
    <w:uiPriority w:val="98"/>
    <w:semiHidden/>
    <w:rsid w:val="00DB6832"/>
    <w:rPr>
      <w:rFonts w:ascii="Consolas" w:hAnsi="Consolas" w:cs="Consolas"/>
      <w:sz w:val="20"/>
      <w:szCs w:val="20"/>
    </w:rPr>
  </w:style>
  <w:style w:type="paragraph" w:styleId="HTMLPreformatted">
    <w:name w:val="HTML Preformatted"/>
    <w:basedOn w:val="Normal"/>
    <w:link w:val="HTMLPreformattedChar"/>
    <w:uiPriority w:val="98"/>
    <w:semiHidden/>
    <w:rsid w:val="00DB683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B6832"/>
    <w:rPr>
      <w:rFonts w:ascii="Consolas" w:hAnsi="Consolas" w:cs="Consolas"/>
      <w:sz w:val="20"/>
      <w:szCs w:val="20"/>
      <w:lang w:val="ro-RO"/>
    </w:rPr>
  </w:style>
  <w:style w:type="character" w:styleId="HTMLSample">
    <w:name w:val="HTML Sample"/>
    <w:basedOn w:val="DefaultParagraphFont"/>
    <w:uiPriority w:val="98"/>
    <w:semiHidden/>
    <w:rsid w:val="00DB6832"/>
    <w:rPr>
      <w:rFonts w:ascii="Consolas" w:hAnsi="Consolas" w:cs="Consolas"/>
      <w:sz w:val="24"/>
      <w:szCs w:val="24"/>
    </w:rPr>
  </w:style>
  <w:style w:type="character" w:styleId="HTMLTypewriter">
    <w:name w:val="HTML Typewriter"/>
    <w:basedOn w:val="DefaultParagraphFont"/>
    <w:uiPriority w:val="98"/>
    <w:semiHidden/>
    <w:rsid w:val="00DB6832"/>
    <w:rPr>
      <w:rFonts w:ascii="Consolas" w:hAnsi="Consolas" w:cs="Consolas"/>
      <w:sz w:val="20"/>
      <w:szCs w:val="20"/>
    </w:rPr>
  </w:style>
  <w:style w:type="character" w:styleId="HTMLVariable">
    <w:name w:val="HTML Variable"/>
    <w:basedOn w:val="DefaultParagraphFont"/>
    <w:uiPriority w:val="98"/>
    <w:semiHidden/>
    <w:rsid w:val="00DB6832"/>
    <w:rPr>
      <w:i/>
      <w:iCs/>
    </w:rPr>
  </w:style>
  <w:style w:type="paragraph" w:styleId="Index1">
    <w:name w:val="index 1"/>
    <w:basedOn w:val="Normal"/>
    <w:next w:val="Normal"/>
    <w:autoRedefine/>
    <w:uiPriority w:val="98"/>
    <w:semiHidden/>
    <w:rsid w:val="00DB6832"/>
    <w:pPr>
      <w:ind w:left="240" w:hanging="240"/>
    </w:pPr>
  </w:style>
  <w:style w:type="paragraph" w:styleId="Index2">
    <w:name w:val="index 2"/>
    <w:basedOn w:val="Normal"/>
    <w:next w:val="Normal"/>
    <w:autoRedefine/>
    <w:uiPriority w:val="98"/>
    <w:semiHidden/>
    <w:rsid w:val="00DB6832"/>
    <w:pPr>
      <w:ind w:left="480" w:hanging="240"/>
    </w:pPr>
  </w:style>
  <w:style w:type="paragraph" w:styleId="Index3">
    <w:name w:val="index 3"/>
    <w:basedOn w:val="Normal"/>
    <w:next w:val="Normal"/>
    <w:autoRedefine/>
    <w:uiPriority w:val="98"/>
    <w:semiHidden/>
    <w:rsid w:val="00DB6832"/>
    <w:pPr>
      <w:ind w:left="720" w:hanging="240"/>
    </w:pPr>
  </w:style>
  <w:style w:type="paragraph" w:styleId="Index4">
    <w:name w:val="index 4"/>
    <w:basedOn w:val="Normal"/>
    <w:next w:val="Normal"/>
    <w:autoRedefine/>
    <w:uiPriority w:val="98"/>
    <w:semiHidden/>
    <w:rsid w:val="00DB6832"/>
    <w:pPr>
      <w:ind w:left="960" w:hanging="240"/>
    </w:pPr>
  </w:style>
  <w:style w:type="paragraph" w:styleId="Index5">
    <w:name w:val="index 5"/>
    <w:basedOn w:val="Normal"/>
    <w:next w:val="Normal"/>
    <w:autoRedefine/>
    <w:uiPriority w:val="98"/>
    <w:semiHidden/>
    <w:rsid w:val="00DB6832"/>
    <w:pPr>
      <w:ind w:left="1200" w:hanging="240"/>
    </w:pPr>
  </w:style>
  <w:style w:type="paragraph" w:styleId="Index6">
    <w:name w:val="index 6"/>
    <w:basedOn w:val="Normal"/>
    <w:next w:val="Normal"/>
    <w:autoRedefine/>
    <w:uiPriority w:val="98"/>
    <w:semiHidden/>
    <w:rsid w:val="00DB6832"/>
    <w:pPr>
      <w:ind w:left="1440" w:hanging="240"/>
    </w:pPr>
  </w:style>
  <w:style w:type="paragraph" w:styleId="Index7">
    <w:name w:val="index 7"/>
    <w:basedOn w:val="Normal"/>
    <w:next w:val="Normal"/>
    <w:autoRedefine/>
    <w:uiPriority w:val="98"/>
    <w:semiHidden/>
    <w:rsid w:val="00DB6832"/>
    <w:pPr>
      <w:ind w:left="1680" w:hanging="240"/>
    </w:pPr>
  </w:style>
  <w:style w:type="paragraph" w:styleId="Index8">
    <w:name w:val="index 8"/>
    <w:basedOn w:val="Normal"/>
    <w:next w:val="Normal"/>
    <w:autoRedefine/>
    <w:uiPriority w:val="98"/>
    <w:semiHidden/>
    <w:rsid w:val="00DB6832"/>
    <w:pPr>
      <w:ind w:left="1920" w:hanging="240"/>
    </w:pPr>
  </w:style>
  <w:style w:type="paragraph" w:styleId="Index9">
    <w:name w:val="index 9"/>
    <w:basedOn w:val="Normal"/>
    <w:next w:val="Normal"/>
    <w:autoRedefine/>
    <w:uiPriority w:val="98"/>
    <w:semiHidden/>
    <w:rsid w:val="00DB6832"/>
    <w:pPr>
      <w:ind w:left="2160" w:hanging="240"/>
    </w:pPr>
  </w:style>
  <w:style w:type="paragraph" w:styleId="IndexHeading">
    <w:name w:val="index heading"/>
    <w:basedOn w:val="Normal"/>
    <w:next w:val="Index1"/>
    <w:uiPriority w:val="98"/>
    <w:semiHidden/>
    <w:rsid w:val="00DB6832"/>
    <w:rPr>
      <w:rFonts w:asciiTheme="majorHAnsi" w:eastAsiaTheme="majorEastAsia" w:hAnsiTheme="majorHAnsi" w:cstheme="majorBidi"/>
      <w:b/>
      <w:bCs/>
    </w:rPr>
  </w:style>
  <w:style w:type="table" w:styleId="LightGrid">
    <w:name w:val="Light Grid"/>
    <w:basedOn w:val="TableNormal"/>
    <w:uiPriority w:val="62"/>
    <w:semiHidden/>
    <w:rsid w:val="00DB683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B683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B683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B683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B683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B683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B683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B683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B683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B683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B683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B683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B683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B683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B683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B683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B683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B6832"/>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B683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B683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B683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B6832"/>
  </w:style>
  <w:style w:type="paragraph" w:styleId="List">
    <w:name w:val="List"/>
    <w:basedOn w:val="Normal"/>
    <w:uiPriority w:val="98"/>
    <w:semiHidden/>
    <w:rsid w:val="00DB6832"/>
    <w:pPr>
      <w:ind w:left="283" w:hanging="283"/>
      <w:contextualSpacing/>
    </w:pPr>
  </w:style>
  <w:style w:type="paragraph" w:styleId="List2">
    <w:name w:val="List 2"/>
    <w:basedOn w:val="Normal"/>
    <w:uiPriority w:val="98"/>
    <w:semiHidden/>
    <w:rsid w:val="00DB6832"/>
    <w:pPr>
      <w:ind w:left="566" w:hanging="283"/>
      <w:contextualSpacing/>
    </w:pPr>
  </w:style>
  <w:style w:type="paragraph" w:styleId="List3">
    <w:name w:val="List 3"/>
    <w:basedOn w:val="Normal"/>
    <w:uiPriority w:val="98"/>
    <w:semiHidden/>
    <w:rsid w:val="00DB6832"/>
    <w:pPr>
      <w:ind w:left="849" w:hanging="283"/>
      <w:contextualSpacing/>
    </w:pPr>
  </w:style>
  <w:style w:type="paragraph" w:styleId="List4">
    <w:name w:val="List 4"/>
    <w:basedOn w:val="Normal"/>
    <w:uiPriority w:val="98"/>
    <w:semiHidden/>
    <w:rsid w:val="00DB6832"/>
    <w:pPr>
      <w:ind w:left="1132" w:hanging="283"/>
      <w:contextualSpacing/>
    </w:pPr>
  </w:style>
  <w:style w:type="paragraph" w:styleId="List5">
    <w:name w:val="List 5"/>
    <w:basedOn w:val="Normal"/>
    <w:uiPriority w:val="98"/>
    <w:semiHidden/>
    <w:rsid w:val="00DB6832"/>
    <w:pPr>
      <w:ind w:left="1415" w:hanging="283"/>
      <w:contextualSpacing/>
    </w:pPr>
  </w:style>
  <w:style w:type="paragraph" w:styleId="ListBullet">
    <w:name w:val="List Bullet"/>
    <w:basedOn w:val="Normal"/>
    <w:uiPriority w:val="98"/>
    <w:semiHidden/>
    <w:rsid w:val="00DB6832"/>
    <w:pPr>
      <w:numPr>
        <w:numId w:val="5"/>
      </w:numPr>
    </w:pPr>
  </w:style>
  <w:style w:type="paragraph" w:styleId="ListBullet3">
    <w:name w:val="List Bullet 3"/>
    <w:basedOn w:val="Normal"/>
    <w:uiPriority w:val="98"/>
    <w:semiHidden/>
    <w:rsid w:val="00DB6832"/>
    <w:pPr>
      <w:numPr>
        <w:numId w:val="7"/>
      </w:numPr>
      <w:contextualSpacing/>
    </w:pPr>
  </w:style>
  <w:style w:type="paragraph" w:styleId="ListBullet4">
    <w:name w:val="List Bullet 4"/>
    <w:basedOn w:val="Normal"/>
    <w:uiPriority w:val="98"/>
    <w:semiHidden/>
    <w:rsid w:val="00DB6832"/>
    <w:pPr>
      <w:numPr>
        <w:numId w:val="8"/>
      </w:numPr>
      <w:contextualSpacing/>
    </w:pPr>
  </w:style>
  <w:style w:type="paragraph" w:styleId="ListBullet5">
    <w:name w:val="List Bullet 5"/>
    <w:basedOn w:val="Normal"/>
    <w:uiPriority w:val="98"/>
    <w:semiHidden/>
    <w:rsid w:val="00DB6832"/>
    <w:pPr>
      <w:numPr>
        <w:numId w:val="9"/>
      </w:numPr>
      <w:contextualSpacing/>
    </w:pPr>
  </w:style>
  <w:style w:type="paragraph" w:styleId="ListContinue">
    <w:name w:val="List Continue"/>
    <w:basedOn w:val="Normal"/>
    <w:uiPriority w:val="98"/>
    <w:semiHidden/>
    <w:rsid w:val="00DB6832"/>
    <w:pPr>
      <w:spacing w:after="120"/>
      <w:ind w:left="283"/>
      <w:contextualSpacing/>
    </w:pPr>
  </w:style>
  <w:style w:type="paragraph" w:styleId="ListContinue2">
    <w:name w:val="List Continue 2"/>
    <w:basedOn w:val="Normal"/>
    <w:uiPriority w:val="98"/>
    <w:semiHidden/>
    <w:rsid w:val="00DB6832"/>
    <w:pPr>
      <w:spacing w:after="120"/>
      <w:ind w:left="566"/>
      <w:contextualSpacing/>
    </w:pPr>
  </w:style>
  <w:style w:type="paragraph" w:styleId="ListContinue3">
    <w:name w:val="List Continue 3"/>
    <w:basedOn w:val="Normal"/>
    <w:uiPriority w:val="98"/>
    <w:semiHidden/>
    <w:rsid w:val="00DB6832"/>
    <w:pPr>
      <w:spacing w:after="120"/>
      <w:ind w:left="849"/>
      <w:contextualSpacing/>
    </w:pPr>
  </w:style>
  <w:style w:type="paragraph" w:styleId="ListContinue4">
    <w:name w:val="List Continue 4"/>
    <w:basedOn w:val="Normal"/>
    <w:uiPriority w:val="98"/>
    <w:semiHidden/>
    <w:rsid w:val="00DB6832"/>
    <w:pPr>
      <w:spacing w:after="120"/>
      <w:ind w:left="1132"/>
      <w:contextualSpacing/>
    </w:pPr>
  </w:style>
  <w:style w:type="paragraph" w:styleId="ListContinue5">
    <w:name w:val="List Continue 5"/>
    <w:basedOn w:val="Normal"/>
    <w:uiPriority w:val="98"/>
    <w:semiHidden/>
    <w:rsid w:val="00DB6832"/>
    <w:pPr>
      <w:spacing w:after="120"/>
      <w:ind w:left="1415"/>
      <w:contextualSpacing/>
    </w:pPr>
  </w:style>
  <w:style w:type="paragraph" w:styleId="ListNumber">
    <w:name w:val="List Number"/>
    <w:basedOn w:val="Normal"/>
    <w:uiPriority w:val="98"/>
    <w:semiHidden/>
    <w:rsid w:val="00DB6832"/>
    <w:pPr>
      <w:numPr>
        <w:numId w:val="10"/>
      </w:numPr>
      <w:contextualSpacing/>
    </w:pPr>
  </w:style>
  <w:style w:type="paragraph" w:styleId="ListNumber2">
    <w:name w:val="List Number 2"/>
    <w:basedOn w:val="Normal"/>
    <w:uiPriority w:val="98"/>
    <w:semiHidden/>
    <w:rsid w:val="00DB6832"/>
    <w:pPr>
      <w:numPr>
        <w:numId w:val="11"/>
      </w:numPr>
      <w:contextualSpacing/>
    </w:pPr>
  </w:style>
  <w:style w:type="paragraph" w:styleId="ListNumber3">
    <w:name w:val="List Number 3"/>
    <w:basedOn w:val="Normal"/>
    <w:uiPriority w:val="98"/>
    <w:semiHidden/>
    <w:rsid w:val="00DB6832"/>
    <w:pPr>
      <w:numPr>
        <w:numId w:val="12"/>
      </w:numPr>
      <w:contextualSpacing/>
    </w:pPr>
  </w:style>
  <w:style w:type="paragraph" w:styleId="ListNumber4">
    <w:name w:val="List Number 4"/>
    <w:basedOn w:val="Normal"/>
    <w:uiPriority w:val="98"/>
    <w:semiHidden/>
    <w:rsid w:val="00DB6832"/>
    <w:pPr>
      <w:numPr>
        <w:numId w:val="13"/>
      </w:numPr>
      <w:contextualSpacing/>
    </w:pPr>
  </w:style>
  <w:style w:type="paragraph" w:styleId="ListNumber5">
    <w:name w:val="List Number 5"/>
    <w:basedOn w:val="Normal"/>
    <w:uiPriority w:val="98"/>
    <w:semiHidden/>
    <w:rsid w:val="00DB6832"/>
    <w:pPr>
      <w:numPr>
        <w:numId w:val="14"/>
      </w:numPr>
      <w:contextualSpacing/>
    </w:pPr>
  </w:style>
  <w:style w:type="paragraph" w:styleId="MacroText">
    <w:name w:val="macro"/>
    <w:link w:val="MacroTextChar"/>
    <w:uiPriority w:val="98"/>
    <w:semiHidden/>
    <w:rsid w:val="00DB683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B6832"/>
    <w:rPr>
      <w:rFonts w:ascii="Consolas" w:eastAsiaTheme="minorEastAsia" w:hAnsi="Consolas" w:cs="Consolas"/>
      <w:sz w:val="20"/>
      <w:szCs w:val="20"/>
    </w:rPr>
  </w:style>
  <w:style w:type="table" w:styleId="MediumGrid1">
    <w:name w:val="Medium Grid 1"/>
    <w:basedOn w:val="TableNormal"/>
    <w:uiPriority w:val="67"/>
    <w:semiHidden/>
    <w:rsid w:val="00DB683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B683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B683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B683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B683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B683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B683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B683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B683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B683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B683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B6832"/>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B683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B683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B683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B683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B683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B683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B683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B683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B683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B683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B683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B683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B683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B683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B6832"/>
    <w:rPr>
      <w:rFonts w:ascii="Times New Roman" w:hAnsi="Times New Roman" w:cs="Times New Roman"/>
    </w:rPr>
  </w:style>
  <w:style w:type="paragraph" w:styleId="NormalIndent">
    <w:name w:val="Normal Indent"/>
    <w:basedOn w:val="Normal"/>
    <w:uiPriority w:val="98"/>
    <w:semiHidden/>
    <w:rsid w:val="00DB6832"/>
    <w:pPr>
      <w:ind w:left="720"/>
    </w:pPr>
  </w:style>
  <w:style w:type="paragraph" w:styleId="NoteHeading">
    <w:name w:val="Note Heading"/>
    <w:basedOn w:val="Normal"/>
    <w:next w:val="Normal"/>
    <w:link w:val="NoteHeadingChar"/>
    <w:uiPriority w:val="98"/>
    <w:semiHidden/>
    <w:rsid w:val="00DB6832"/>
  </w:style>
  <w:style w:type="character" w:customStyle="1" w:styleId="NoteHeadingChar">
    <w:name w:val="Note Heading Char"/>
    <w:basedOn w:val="DefaultParagraphFont"/>
    <w:link w:val="NoteHeading"/>
    <w:uiPriority w:val="98"/>
    <w:semiHidden/>
    <w:rsid w:val="00DB6832"/>
    <w:rPr>
      <w:sz w:val="24"/>
      <w:szCs w:val="24"/>
      <w:lang w:val="ro-RO"/>
    </w:rPr>
  </w:style>
  <w:style w:type="character" w:styleId="PlaceholderText">
    <w:name w:val="Placeholder Text"/>
    <w:basedOn w:val="DefaultParagraphFont"/>
    <w:uiPriority w:val="98"/>
    <w:semiHidden/>
    <w:rsid w:val="00DB683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B6832"/>
    <w:rPr>
      <w:rFonts w:ascii="Consolas" w:hAnsi="Consolas" w:cs="Consolas"/>
      <w:sz w:val="21"/>
      <w:szCs w:val="21"/>
    </w:rPr>
  </w:style>
  <w:style w:type="character" w:customStyle="1" w:styleId="PlainTextChar">
    <w:name w:val="Plain Text Char"/>
    <w:basedOn w:val="DefaultParagraphFont"/>
    <w:link w:val="PlainText"/>
    <w:uiPriority w:val="98"/>
    <w:semiHidden/>
    <w:rsid w:val="00DB6832"/>
    <w:rPr>
      <w:rFonts w:ascii="Consolas" w:hAnsi="Consolas" w:cs="Consolas"/>
      <w:sz w:val="21"/>
      <w:szCs w:val="21"/>
      <w:lang w:val="ro-RO"/>
    </w:rPr>
  </w:style>
  <w:style w:type="paragraph" w:styleId="Salutation">
    <w:name w:val="Salutation"/>
    <w:basedOn w:val="Normal"/>
    <w:next w:val="Normal"/>
    <w:link w:val="SalutationChar"/>
    <w:uiPriority w:val="98"/>
    <w:semiHidden/>
    <w:rsid w:val="00DB6832"/>
  </w:style>
  <w:style w:type="character" w:customStyle="1" w:styleId="SalutationChar">
    <w:name w:val="Salutation Char"/>
    <w:basedOn w:val="DefaultParagraphFont"/>
    <w:link w:val="Salutation"/>
    <w:uiPriority w:val="98"/>
    <w:semiHidden/>
    <w:rsid w:val="00DB6832"/>
    <w:rPr>
      <w:sz w:val="24"/>
      <w:szCs w:val="24"/>
      <w:lang w:val="ro-RO"/>
    </w:rPr>
  </w:style>
  <w:style w:type="paragraph" w:styleId="Signature">
    <w:name w:val="Signature"/>
    <w:basedOn w:val="Normal"/>
    <w:link w:val="SignatureChar"/>
    <w:uiPriority w:val="98"/>
    <w:semiHidden/>
    <w:rsid w:val="00DB6832"/>
    <w:pPr>
      <w:ind w:left="4252"/>
    </w:pPr>
  </w:style>
  <w:style w:type="character" w:customStyle="1" w:styleId="SignatureChar">
    <w:name w:val="Signature Char"/>
    <w:basedOn w:val="DefaultParagraphFont"/>
    <w:link w:val="Signature"/>
    <w:uiPriority w:val="98"/>
    <w:semiHidden/>
    <w:rsid w:val="00DB6832"/>
    <w:rPr>
      <w:sz w:val="24"/>
      <w:szCs w:val="24"/>
      <w:lang w:val="ro-RO"/>
    </w:rPr>
  </w:style>
  <w:style w:type="table" w:styleId="Table3Deffects1">
    <w:name w:val="Table 3D effects 1"/>
    <w:basedOn w:val="TableNormal"/>
    <w:uiPriority w:val="99"/>
    <w:semiHidden/>
    <w:unhideWhenUsed/>
    <w:rsid w:val="00DB683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683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683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683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683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683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683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683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683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683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683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683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683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683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683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683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683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683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683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683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683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683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683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683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683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683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683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683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683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683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683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683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683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B6832"/>
    <w:pPr>
      <w:ind w:left="240" w:hanging="240"/>
    </w:pPr>
  </w:style>
  <w:style w:type="paragraph" w:styleId="TableofFigures">
    <w:name w:val="table of figures"/>
    <w:basedOn w:val="Normal"/>
    <w:next w:val="Normal"/>
    <w:uiPriority w:val="98"/>
    <w:semiHidden/>
    <w:rsid w:val="00DB6832"/>
  </w:style>
  <w:style w:type="table" w:styleId="TableProfessional">
    <w:name w:val="Table Professional"/>
    <w:basedOn w:val="TableNormal"/>
    <w:uiPriority w:val="99"/>
    <w:semiHidden/>
    <w:unhideWhenUsed/>
    <w:rsid w:val="00DB683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683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683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683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683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683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683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683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683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683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B683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B683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B6832"/>
    <w:pPr>
      <w:spacing w:after="100"/>
      <w:ind w:left="1680"/>
    </w:pPr>
  </w:style>
  <w:style w:type="paragraph" w:styleId="TOC9">
    <w:name w:val="toc 9"/>
    <w:basedOn w:val="Normal"/>
    <w:next w:val="Normal"/>
    <w:autoRedefine/>
    <w:uiPriority w:val="98"/>
    <w:semiHidden/>
    <w:rsid w:val="00DB6832"/>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DB683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B683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B6832"/>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B6832"/>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B6832"/>
    <w:pPr>
      <w:numPr>
        <w:numId w:val="16"/>
      </w:numPr>
      <w:spacing w:before="60" w:after="60"/>
    </w:pPr>
  </w:style>
  <w:style w:type="paragraph" w:customStyle="1" w:styleId="ECHRBullet2">
    <w:name w:val="ECHR_Bullet_2"/>
    <w:aliases w:val="_Bul_2"/>
    <w:basedOn w:val="ECHRBullet1"/>
    <w:uiPriority w:val="23"/>
    <w:semiHidden/>
    <w:rsid w:val="00DB6832"/>
    <w:pPr>
      <w:numPr>
        <w:ilvl w:val="1"/>
      </w:numPr>
    </w:pPr>
  </w:style>
  <w:style w:type="paragraph" w:customStyle="1" w:styleId="ECHRBullet3">
    <w:name w:val="ECHR_Bullet_3"/>
    <w:aliases w:val="_Bul_3"/>
    <w:basedOn w:val="ECHRBullet2"/>
    <w:uiPriority w:val="23"/>
    <w:semiHidden/>
    <w:rsid w:val="00DB6832"/>
    <w:pPr>
      <w:numPr>
        <w:ilvl w:val="2"/>
      </w:numPr>
    </w:pPr>
  </w:style>
  <w:style w:type="paragraph" w:customStyle="1" w:styleId="ECHRBullet4">
    <w:name w:val="ECHR_Bullet_4"/>
    <w:aliases w:val="_Bul_4"/>
    <w:basedOn w:val="ECHRBullet3"/>
    <w:uiPriority w:val="23"/>
    <w:semiHidden/>
    <w:rsid w:val="00DB6832"/>
    <w:pPr>
      <w:numPr>
        <w:ilvl w:val="3"/>
      </w:numPr>
    </w:pPr>
  </w:style>
  <w:style w:type="paragraph" w:customStyle="1" w:styleId="ECHRConfidential">
    <w:name w:val="ECHR_Confidential"/>
    <w:aliases w:val="_Confidential"/>
    <w:basedOn w:val="Normal"/>
    <w:next w:val="Normal"/>
    <w:uiPriority w:val="42"/>
    <w:semiHidden/>
    <w:qFormat/>
    <w:rsid w:val="00DB6832"/>
    <w:pPr>
      <w:jc w:val="right"/>
    </w:pPr>
    <w:rPr>
      <w:color w:val="C00000"/>
      <w:sz w:val="20"/>
    </w:rPr>
  </w:style>
  <w:style w:type="paragraph" w:customStyle="1" w:styleId="ECHRDecisionBody">
    <w:name w:val="ECHR_Decision_Body"/>
    <w:aliases w:val="_Decision_Body"/>
    <w:basedOn w:val="NormalJustified"/>
    <w:uiPriority w:val="54"/>
    <w:semiHidden/>
    <w:rsid w:val="00DB683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B683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B6832"/>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DB6832"/>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B6832"/>
    <w:pPr>
      <w:jc w:val="right"/>
    </w:pPr>
    <w:rPr>
      <w:sz w:val="20"/>
    </w:rPr>
  </w:style>
  <w:style w:type="paragraph" w:customStyle="1" w:styleId="ECHRHeaderRefIt">
    <w:name w:val="ECHR_Header_Ref_It"/>
    <w:aliases w:val="_Ref_Ital"/>
    <w:basedOn w:val="Normal"/>
    <w:next w:val="ECHRHeaderDate"/>
    <w:uiPriority w:val="43"/>
    <w:semiHidden/>
    <w:qFormat/>
    <w:rsid w:val="00DB6832"/>
    <w:pPr>
      <w:jc w:val="right"/>
    </w:pPr>
    <w:rPr>
      <w:i/>
      <w:sz w:val="20"/>
    </w:rPr>
  </w:style>
  <w:style w:type="paragraph" w:customStyle="1" w:styleId="ECHRHeading9">
    <w:name w:val="ECHR_Heading_9"/>
    <w:aliases w:val="_Head_9"/>
    <w:basedOn w:val="Heading9"/>
    <w:uiPriority w:val="17"/>
    <w:semiHidden/>
    <w:rsid w:val="00DB6832"/>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B6832"/>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B6832"/>
    <w:pPr>
      <w:numPr>
        <w:numId w:val="18"/>
      </w:numPr>
      <w:spacing w:before="60" w:after="60"/>
    </w:pPr>
  </w:style>
  <w:style w:type="paragraph" w:customStyle="1" w:styleId="ECHRNumberedList2">
    <w:name w:val="ECHR_Numbered_List_2"/>
    <w:aliases w:val="_Num_2"/>
    <w:basedOn w:val="ECHRNumberedList1"/>
    <w:uiPriority w:val="23"/>
    <w:semiHidden/>
    <w:rsid w:val="00DB6832"/>
    <w:pPr>
      <w:numPr>
        <w:ilvl w:val="1"/>
      </w:numPr>
    </w:pPr>
  </w:style>
  <w:style w:type="paragraph" w:customStyle="1" w:styleId="ECHRNumberedList3">
    <w:name w:val="ECHR_Numbered_List_3"/>
    <w:aliases w:val="_Num_3"/>
    <w:basedOn w:val="ECHRNumberedList2"/>
    <w:uiPriority w:val="23"/>
    <w:semiHidden/>
    <w:rsid w:val="00DB6832"/>
    <w:pPr>
      <w:numPr>
        <w:ilvl w:val="2"/>
      </w:numPr>
    </w:pPr>
  </w:style>
  <w:style w:type="paragraph" w:customStyle="1" w:styleId="ECHRParaHanging">
    <w:name w:val="ECHR_Para_Hanging"/>
    <w:aliases w:val="_Hanging"/>
    <w:basedOn w:val="NormalJustified"/>
    <w:uiPriority w:val="8"/>
    <w:semiHidden/>
    <w:qFormat/>
    <w:rsid w:val="00DB6832"/>
    <w:pPr>
      <w:ind w:left="567" w:hanging="567"/>
    </w:pPr>
  </w:style>
  <w:style w:type="paragraph" w:customStyle="1" w:styleId="ECHRParaIndent">
    <w:name w:val="ECHR_Para_Indent"/>
    <w:aliases w:val="_Indent"/>
    <w:basedOn w:val="NormalJustified"/>
    <w:uiPriority w:val="7"/>
    <w:semiHidden/>
    <w:qFormat/>
    <w:rsid w:val="00DB6832"/>
    <w:pPr>
      <w:spacing w:before="120" w:after="120"/>
      <w:ind w:left="567"/>
    </w:pPr>
  </w:style>
  <w:style w:type="character" w:customStyle="1" w:styleId="ECHRRed">
    <w:name w:val="ECHR_Red"/>
    <w:aliases w:val="_Red"/>
    <w:basedOn w:val="DefaultParagraphFont"/>
    <w:uiPriority w:val="15"/>
    <w:semiHidden/>
    <w:qFormat/>
    <w:rsid w:val="00DB6832"/>
    <w:rPr>
      <w:color w:val="C00000" w:themeColor="accent2"/>
    </w:rPr>
  </w:style>
  <w:style w:type="paragraph" w:customStyle="1" w:styleId="DecList">
    <w:name w:val="Dec_List"/>
    <w:aliases w:val="_List"/>
    <w:basedOn w:val="JuList"/>
    <w:uiPriority w:val="22"/>
    <w:rsid w:val="00DB6832"/>
    <w:pPr>
      <w:numPr>
        <w:numId w:val="0"/>
      </w:numPr>
      <w:ind w:left="284"/>
    </w:pPr>
  </w:style>
  <w:style w:type="table" w:customStyle="1" w:styleId="ECHRTable2">
    <w:name w:val="ECHR_Table_2"/>
    <w:basedOn w:val="TableNormal"/>
    <w:uiPriority w:val="99"/>
    <w:rsid w:val="00DB683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B683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B6832"/>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B6832"/>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B6832"/>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B6832"/>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B6832"/>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B6832"/>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B6832"/>
    <w:pPr>
      <w:outlineLvl w:val="0"/>
    </w:pPr>
  </w:style>
  <w:style w:type="paragraph" w:customStyle="1" w:styleId="ECHRTitleTOC1">
    <w:name w:val="ECHR_Title_TOC_1"/>
    <w:aliases w:val="_Title_L_TOC"/>
    <w:basedOn w:val="ECHRTitle1"/>
    <w:next w:val="Normal"/>
    <w:uiPriority w:val="27"/>
    <w:semiHidden/>
    <w:qFormat/>
    <w:rsid w:val="00DB6832"/>
    <w:pPr>
      <w:outlineLvl w:val="0"/>
    </w:pPr>
  </w:style>
  <w:style w:type="paragraph" w:customStyle="1" w:styleId="ECHRPlaceholder">
    <w:name w:val="ECHR_Placeholder"/>
    <w:aliases w:val="_Placeholder"/>
    <w:basedOn w:val="JuSigned"/>
    <w:uiPriority w:val="31"/>
    <w:rsid w:val="00DB6832"/>
    <w:rPr>
      <w:color w:val="FFFFFF"/>
    </w:rPr>
  </w:style>
  <w:style w:type="paragraph" w:customStyle="1" w:styleId="ECHRSpacer">
    <w:name w:val="ECHR_Spacer"/>
    <w:aliases w:val="_Spacer"/>
    <w:basedOn w:val="Normal"/>
    <w:uiPriority w:val="45"/>
    <w:semiHidden/>
    <w:rsid w:val="00DB6832"/>
    <w:rPr>
      <w:sz w:val="4"/>
    </w:rPr>
  </w:style>
  <w:style w:type="table" w:customStyle="1" w:styleId="ECHRTableGrey">
    <w:name w:val="ECHR_Table_Grey"/>
    <w:basedOn w:val="TableNormal"/>
    <w:uiPriority w:val="99"/>
    <w:rsid w:val="00DB6832"/>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AB0AD1"/>
    <w:rPr>
      <w:sz w:val="24"/>
      <w:szCs w:val="24"/>
      <w:lang w:val="ro-RO"/>
    </w:rPr>
  </w:style>
  <w:style w:type="table" w:styleId="GridTable1Light">
    <w:name w:val="Grid Table 1 Light"/>
    <w:basedOn w:val="TableNormal"/>
    <w:uiPriority w:val="46"/>
    <w:semiHidden/>
    <w:rsid w:val="00372D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72D4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72D4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72D4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72D4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72D4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72D4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72D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72D4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72D4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72D4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72D4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72D4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72D4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72D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72D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72D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72D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72D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72D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72D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72D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72D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72D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72D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72D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72D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72D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72D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72D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72D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72D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72D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72D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72D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72D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72D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72D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72D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72D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72D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72D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72D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372D45"/>
    <w:rPr>
      <w:color w:val="2B579A"/>
      <w:shd w:val="clear" w:color="auto" w:fill="E1DFDD"/>
    </w:rPr>
  </w:style>
  <w:style w:type="table" w:styleId="ListTable1Light">
    <w:name w:val="List Table 1 Light"/>
    <w:basedOn w:val="TableNormal"/>
    <w:uiPriority w:val="46"/>
    <w:semiHidden/>
    <w:rsid w:val="00372D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72D4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72D4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72D4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72D4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72D4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72D4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72D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72D4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72D4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72D4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72D4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72D4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72D4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72D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72D4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72D4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72D4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72D4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72D4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72D4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72D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72D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72D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72D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72D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72D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72D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72D4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72D4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72D4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72D4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72D4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72D4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72D4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72D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72D4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72D4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72D4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72D4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72D4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72D4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72D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72D4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72D4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72D4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72D4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72D4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72D4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372D45"/>
    <w:rPr>
      <w:color w:val="2B579A"/>
      <w:shd w:val="clear" w:color="auto" w:fill="E1DFDD"/>
    </w:rPr>
  </w:style>
  <w:style w:type="table" w:styleId="PlainTable1">
    <w:name w:val="Plain Table 1"/>
    <w:basedOn w:val="TableNormal"/>
    <w:uiPriority w:val="41"/>
    <w:semiHidden/>
    <w:rsid w:val="00372D4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72D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72D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72D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72D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372D45"/>
    <w:rPr>
      <w:u w:val="dotted"/>
    </w:rPr>
  </w:style>
  <w:style w:type="character" w:customStyle="1" w:styleId="SmartLink">
    <w:name w:val="Smart Link"/>
    <w:basedOn w:val="DefaultParagraphFont"/>
    <w:uiPriority w:val="99"/>
    <w:semiHidden/>
    <w:unhideWhenUsed/>
    <w:rsid w:val="00372D45"/>
    <w:rPr>
      <w:color w:val="0000FF"/>
      <w:u w:val="single"/>
      <w:shd w:val="clear" w:color="auto" w:fill="F3F2F1"/>
    </w:rPr>
  </w:style>
  <w:style w:type="table" w:styleId="TableGridLight">
    <w:name w:val="Grid Table Light"/>
    <w:basedOn w:val="TableNormal"/>
    <w:uiPriority w:val="40"/>
    <w:semiHidden/>
    <w:rsid w:val="00372D4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517DF-E585-4147-9991-0C42BC3B08D5}">
  <ds:schemaRefs>
    <ds:schemaRef ds:uri="http://schemas.microsoft.com/sharepoint/v3/contenttype/forms"/>
  </ds:schemaRefs>
</ds:datastoreItem>
</file>

<file path=customXml/itemProps2.xml><?xml version="1.0" encoding="utf-8"?>
<ds:datastoreItem xmlns:ds="http://schemas.openxmlformats.org/officeDocument/2006/customXml" ds:itemID="{A349B91D-0EEC-470D-B62C-E236467546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49994E-7A08-406D-8CD4-0BA5F498A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BED4C4-845E-4B80-B7E8-1508261B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2192</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2023-07-31T10:21:00Z</dcterms:created>
  <dcterms:modified xsi:type="dcterms:W3CDTF">2023-09-07T11:29:00Z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24621/18</vt:lpwstr>
  </property>
  <property fmtid="{D5CDD505-2E9C-101B-9397-08002B2CF9AE}" pid="4" name="CASEID">
    <vt:lpwstr>1382657</vt:lpwstr>
  </property>
  <property fmtid="{D5CDD505-2E9C-101B-9397-08002B2CF9AE}" pid="5" name="ContentTypeId">
    <vt:lpwstr>0x010100558EB02BDB9E204AB350EDD385B68E10</vt:lpwstr>
  </property>
</Properties>
</file>