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BF364" w14:textId="77777777" w:rsidR="003F7E80" w:rsidRPr="00211EA3" w:rsidRDefault="003F7E80" w:rsidP="00DC579E">
      <w:pPr>
        <w:rPr>
          <w:rFonts w:asciiTheme="majorHAnsi" w:hAnsiTheme="majorHAnsi"/>
          <w:lang w:val="en-GB"/>
        </w:rPr>
      </w:pPr>
    </w:p>
    <w:p w14:paraId="5D100B3A" w14:textId="033DE9EE" w:rsidR="00DC579E" w:rsidRPr="00211EA3" w:rsidRDefault="005A1299" w:rsidP="005A1299">
      <w:pPr>
        <w:jc w:val="center"/>
        <w:rPr>
          <w:rFonts w:asciiTheme="majorHAnsi" w:hAnsiTheme="majorHAnsi"/>
          <w:lang w:val="en-GB"/>
        </w:rPr>
      </w:pPr>
      <w:r>
        <w:rPr>
          <w:rFonts w:asciiTheme="majorHAnsi" w:hAnsiTheme="majorHAnsi"/>
          <w:lang w:val="en-GB"/>
        </w:rPr>
        <w:t>CURTEA EUROPEANĂ A DREPTURILOR OMULUI</w:t>
      </w:r>
    </w:p>
    <w:p w14:paraId="4B8B99B8" w14:textId="77777777" w:rsidR="00E255CC" w:rsidRPr="006B7E09" w:rsidRDefault="00AB0410" w:rsidP="00DC579E">
      <w:pPr>
        <w:pStyle w:val="ECHRCoverTitle1"/>
        <w:rPr>
          <w:rFonts w:asciiTheme="majorHAnsi" w:hAnsiTheme="majorHAnsi"/>
        </w:rPr>
      </w:pPr>
      <w:r>
        <w:rPr>
          <w:rFonts w:asciiTheme="majorHAnsi" w:hAnsiTheme="majorHAnsi"/>
        </w:rPr>
        <w:t xml:space="preserve">Ghid privind art. 7 </w:t>
      </w:r>
      <w:r>
        <w:rPr>
          <w:rFonts w:asciiTheme="majorHAnsi" w:hAnsiTheme="majorHAnsi"/>
        </w:rPr>
        <w:br/>
        <w:t xml:space="preserve">din Convenția europeană </w:t>
      </w:r>
      <w:r>
        <w:rPr>
          <w:rFonts w:asciiTheme="majorHAnsi" w:hAnsiTheme="majorHAnsi"/>
        </w:rPr>
        <w:br/>
        <w:t>a drepturilor omului</w:t>
      </w:r>
    </w:p>
    <w:p w14:paraId="45950607" w14:textId="77777777" w:rsidR="00E255CC" w:rsidRPr="006B7E09" w:rsidRDefault="008F1CEE" w:rsidP="00A11F94">
      <w:pPr>
        <w:pStyle w:val="ECHRCoverTitle2"/>
        <w:ind w:left="1701" w:right="1656"/>
      </w:pPr>
      <w:r>
        <w:t xml:space="preserve">Nicio pedeapsă fără lege: </w:t>
      </w:r>
      <w:r>
        <w:br/>
        <w:t>principiul că numai legea poate să definească o infracțiune și să prescrie o pedeapsă</w:t>
      </w:r>
    </w:p>
    <w:p w14:paraId="011520C0" w14:textId="72E8B1DF" w:rsidR="00D97A4F" w:rsidRPr="006B7E09" w:rsidRDefault="00E94904" w:rsidP="00D97A4F">
      <w:pPr>
        <w:pStyle w:val="ECHRCoverTitle3"/>
        <w:rPr>
          <w:rFonts w:asciiTheme="majorHAnsi" w:hAnsiTheme="majorHAnsi"/>
        </w:rPr>
      </w:pPr>
      <w:r>
        <w:rPr>
          <w:rFonts w:asciiTheme="majorHAnsi" w:hAnsiTheme="majorHAnsi"/>
        </w:rPr>
        <w:t>Actualizat la</w:t>
      </w:r>
      <w:r>
        <w:t xml:space="preserve"> 31 august 2023</w:t>
      </w:r>
    </w:p>
    <w:p w14:paraId="3DF8D46B" w14:textId="0DF9D70E" w:rsidR="006328D0" w:rsidRPr="00EC44D0" w:rsidRDefault="006328D0">
      <w:pPr>
        <w:rPr>
          <w:rFonts w:asciiTheme="majorHAnsi" w:hAnsiTheme="majorHAnsi"/>
          <w:lang w:val="fr-FR"/>
        </w:rPr>
      </w:pPr>
    </w:p>
    <w:p w14:paraId="1F9262DE" w14:textId="77777777" w:rsidR="005A1299" w:rsidRDefault="005A1299" w:rsidP="006328D0">
      <w:pPr>
        <w:jc w:val="center"/>
        <w:rPr>
          <w:rFonts w:asciiTheme="majorHAnsi" w:hAnsiTheme="majorHAnsi"/>
        </w:rPr>
      </w:pPr>
      <w:bookmarkStart w:id="0" w:name="_Hlk84421819"/>
      <w:bookmarkStart w:id="1" w:name="_Hlk84430609"/>
    </w:p>
    <w:p w14:paraId="6631EC30" w14:textId="77777777" w:rsidR="00992016" w:rsidRPr="006B7E09" w:rsidRDefault="006328D0" w:rsidP="006328D0">
      <w:pPr>
        <w:jc w:val="center"/>
        <w:rPr>
          <w:rFonts w:asciiTheme="majorHAnsi" w:hAnsiTheme="majorHAnsi"/>
          <w:bCs/>
        </w:rPr>
      </w:pPr>
      <w:r>
        <w:rPr>
          <w:rFonts w:asciiTheme="majorHAnsi" w:hAnsiTheme="majorHAnsi"/>
        </w:rPr>
        <w:t xml:space="preserve">Întocmit de Grefă. </w:t>
      </w:r>
      <w:r>
        <w:t>Nu obligă Curtea</w:t>
      </w:r>
      <w:bookmarkEnd w:id="0"/>
      <w:r>
        <w:rPr>
          <w:rFonts w:asciiTheme="majorHAnsi" w:hAnsiTheme="majorHAnsi"/>
        </w:rPr>
        <w:t>.</w:t>
      </w:r>
      <w:bookmarkEnd w:id="1"/>
    </w:p>
    <w:p w14:paraId="22960FF0" w14:textId="6D68BD45" w:rsidR="00E255CC" w:rsidRPr="006B7E09" w:rsidRDefault="00E255CC" w:rsidP="006328D0">
      <w:pPr>
        <w:jc w:val="center"/>
        <w:rPr>
          <w:rFonts w:asciiTheme="majorHAnsi" w:hAnsiTheme="majorHAnsi"/>
        </w:rPr>
      </w:pPr>
      <w:r>
        <w:br w:type="page"/>
      </w:r>
    </w:p>
    <w:p w14:paraId="71EE27C7" w14:textId="77777777" w:rsidR="002438F4" w:rsidRPr="006B7E09" w:rsidRDefault="002438F4" w:rsidP="002438F4">
      <w:pPr>
        <w:rPr>
          <w:rFonts w:asciiTheme="majorHAnsi" w:hAnsiTheme="majorHAnsi"/>
          <w:lang w:val="en-GB"/>
        </w:rPr>
      </w:pPr>
    </w:p>
    <w:p w14:paraId="5878EE79" w14:textId="77777777" w:rsidR="002438F4" w:rsidRPr="006B7E09" w:rsidRDefault="002438F4" w:rsidP="002438F4">
      <w:pPr>
        <w:rPr>
          <w:rFonts w:asciiTheme="majorHAnsi" w:hAnsiTheme="majorHAnsi"/>
          <w:lang w:val="en-GB"/>
        </w:rPr>
      </w:pPr>
    </w:p>
    <w:p w14:paraId="32616CDA" w14:textId="77777777" w:rsidR="002438F4" w:rsidRPr="006B7E09" w:rsidRDefault="002438F4" w:rsidP="002438F4">
      <w:pPr>
        <w:rPr>
          <w:rFonts w:asciiTheme="majorHAnsi" w:hAnsiTheme="majorHAnsi"/>
          <w:lang w:val="en-GB"/>
        </w:rPr>
      </w:pPr>
    </w:p>
    <w:p w14:paraId="5E99B951" w14:textId="77777777" w:rsidR="002438F4" w:rsidRPr="006B7E09" w:rsidRDefault="002438F4" w:rsidP="002438F4">
      <w:pPr>
        <w:rPr>
          <w:rFonts w:asciiTheme="majorHAnsi" w:hAnsiTheme="majorHAnsi"/>
          <w:lang w:val="en-GB"/>
        </w:rPr>
      </w:pPr>
    </w:p>
    <w:p w14:paraId="4A673543" w14:textId="77777777" w:rsidR="002438F4" w:rsidRPr="006B7E09" w:rsidRDefault="002438F4" w:rsidP="002438F4">
      <w:pPr>
        <w:rPr>
          <w:rFonts w:asciiTheme="majorHAnsi" w:hAnsiTheme="majorHAnsi"/>
          <w:lang w:val="en-GB"/>
        </w:rPr>
      </w:pPr>
    </w:p>
    <w:p w14:paraId="74732733" w14:textId="77777777" w:rsidR="002438F4" w:rsidRPr="006B7E09" w:rsidRDefault="002438F4" w:rsidP="002438F4">
      <w:pPr>
        <w:rPr>
          <w:rFonts w:asciiTheme="majorHAnsi" w:hAnsiTheme="majorHAnsi"/>
          <w:lang w:val="en-GB"/>
        </w:rPr>
      </w:pPr>
    </w:p>
    <w:p w14:paraId="00B3C3E5" w14:textId="77777777" w:rsidR="002438F4" w:rsidRPr="006B7E09" w:rsidRDefault="002438F4" w:rsidP="002438F4">
      <w:pPr>
        <w:rPr>
          <w:rFonts w:asciiTheme="majorHAnsi" w:hAnsiTheme="majorHAnsi"/>
          <w:lang w:val="en-GB"/>
        </w:rPr>
      </w:pPr>
    </w:p>
    <w:p w14:paraId="0B6EDF1E" w14:textId="77777777" w:rsidR="002438F4" w:rsidRPr="006B7E09" w:rsidRDefault="002438F4" w:rsidP="002438F4">
      <w:pPr>
        <w:rPr>
          <w:rFonts w:asciiTheme="majorHAnsi" w:hAnsiTheme="majorHAnsi"/>
          <w:lang w:val="en-GB"/>
        </w:rPr>
      </w:pPr>
    </w:p>
    <w:p w14:paraId="37723AD9" w14:textId="77777777" w:rsidR="002438F4" w:rsidRPr="006B7E09" w:rsidRDefault="002438F4" w:rsidP="002438F4">
      <w:pPr>
        <w:rPr>
          <w:rFonts w:asciiTheme="majorHAnsi" w:hAnsiTheme="majorHAnsi"/>
          <w:lang w:val="en-GB"/>
        </w:rPr>
      </w:pPr>
    </w:p>
    <w:p w14:paraId="3448579C" w14:textId="77777777" w:rsidR="002438F4" w:rsidRPr="006B7E09" w:rsidRDefault="002438F4" w:rsidP="002438F4">
      <w:pPr>
        <w:rPr>
          <w:rFonts w:asciiTheme="majorHAnsi" w:hAnsiTheme="majorHAnsi"/>
          <w:lang w:val="en-GB"/>
        </w:rPr>
      </w:pPr>
    </w:p>
    <w:p w14:paraId="5655C374" w14:textId="77777777" w:rsidR="002438F4" w:rsidRPr="006B7E09" w:rsidRDefault="002438F4" w:rsidP="002438F4">
      <w:pPr>
        <w:rPr>
          <w:rFonts w:asciiTheme="majorHAnsi" w:hAnsiTheme="majorHAnsi"/>
          <w:lang w:val="en-GB"/>
        </w:rPr>
      </w:pPr>
    </w:p>
    <w:p w14:paraId="3338136E" w14:textId="77777777" w:rsidR="002438F4" w:rsidRPr="006B7E09" w:rsidRDefault="002438F4" w:rsidP="002438F4">
      <w:pPr>
        <w:rPr>
          <w:rFonts w:asciiTheme="majorHAnsi" w:hAnsiTheme="majorHAnsi"/>
          <w:lang w:val="en-GB"/>
        </w:rPr>
      </w:pPr>
    </w:p>
    <w:p w14:paraId="094E3815" w14:textId="77777777" w:rsidR="002438F4" w:rsidRPr="006B7E09" w:rsidRDefault="002438F4" w:rsidP="002438F4">
      <w:pPr>
        <w:rPr>
          <w:rFonts w:asciiTheme="majorHAnsi" w:hAnsiTheme="majorHAnsi"/>
          <w:lang w:val="en-GB"/>
        </w:rPr>
      </w:pPr>
    </w:p>
    <w:p w14:paraId="18CA3E4B" w14:textId="77777777" w:rsidR="002438F4" w:rsidRPr="006B7E09" w:rsidRDefault="002438F4" w:rsidP="002438F4">
      <w:pPr>
        <w:rPr>
          <w:rFonts w:asciiTheme="majorHAnsi" w:hAnsiTheme="majorHAnsi"/>
          <w:lang w:val="en-GB"/>
        </w:rPr>
      </w:pPr>
    </w:p>
    <w:p w14:paraId="21C493B9" w14:textId="77777777" w:rsidR="00302ABC" w:rsidRPr="006B7E09" w:rsidRDefault="00302ABC" w:rsidP="002438F4">
      <w:pPr>
        <w:rPr>
          <w:rFonts w:asciiTheme="majorHAnsi" w:hAnsiTheme="majorHAnsi"/>
          <w:lang w:val="en-GB"/>
        </w:rPr>
      </w:pPr>
    </w:p>
    <w:p w14:paraId="0D63D6D5" w14:textId="77777777" w:rsidR="00302ABC" w:rsidRPr="006B7E09" w:rsidRDefault="00302ABC" w:rsidP="002438F4">
      <w:pPr>
        <w:rPr>
          <w:rFonts w:asciiTheme="majorHAnsi" w:hAnsiTheme="majorHAnsi"/>
          <w:lang w:val="en-GB"/>
        </w:rPr>
      </w:pPr>
    </w:p>
    <w:p w14:paraId="4A356CD0" w14:textId="77777777" w:rsidR="00953042" w:rsidRPr="006B7E09" w:rsidRDefault="00953042" w:rsidP="002438F4">
      <w:pPr>
        <w:rPr>
          <w:rFonts w:asciiTheme="majorHAnsi" w:hAnsiTheme="majorHAnsi"/>
          <w:lang w:val="en-GB"/>
        </w:rPr>
      </w:pPr>
    </w:p>
    <w:p w14:paraId="7E9C53AE" w14:textId="77777777" w:rsidR="002438F4" w:rsidRPr="006B7E09" w:rsidRDefault="002438F4" w:rsidP="002438F4">
      <w:pPr>
        <w:rPr>
          <w:rFonts w:asciiTheme="majorHAnsi" w:hAnsiTheme="majorHAnsi"/>
          <w:lang w:val="en-GB"/>
        </w:rPr>
      </w:pPr>
    </w:p>
    <w:tbl>
      <w:tblPr>
        <w:tblStyle w:val="TableGrid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9061"/>
      </w:tblGrid>
      <w:tr w:rsidR="00953042" w:rsidRPr="006B7E09" w14:paraId="42FA2BD4" w14:textId="77777777" w:rsidTr="006B7E09">
        <w:tc>
          <w:tcPr>
            <w:tcW w:w="9277" w:type="dxa"/>
            <w:shd w:val="clear" w:color="auto" w:fill="F8F8F8" w:themeFill="background2"/>
            <w:tcMar>
              <w:right w:w="227" w:type="dxa"/>
            </w:tcMar>
          </w:tcPr>
          <w:p w14:paraId="725E825C" w14:textId="62F3591C" w:rsidR="00B602BD" w:rsidRPr="005A1299" w:rsidRDefault="00953042" w:rsidP="00B602BD">
            <w:pPr>
              <w:pStyle w:val="ECHRParaSpaced"/>
            </w:pPr>
            <w:r w:rsidRPr="005A1299">
              <w:rPr>
                <w:color w:val="272833"/>
                <w:shd w:val="clear" w:color="auto" w:fill="F7F8F9"/>
              </w:rPr>
              <w:t>Invităm editorii sau organizațiile care doresc să traducă și/sau să reproducă integral sau parțial acest raport, în format tipărit sau electronic, să c</w:t>
            </w:r>
            <w:r w:rsidR="005A1299" w:rsidRPr="005A1299">
              <w:rPr>
                <w:color w:val="272833"/>
                <w:shd w:val="clear" w:color="auto" w:fill="F7F8F9"/>
              </w:rPr>
              <w:t xml:space="preserve">ompleteze formularul de contact: </w:t>
            </w:r>
            <w:hyperlink r:id="rId8" w:tgtFrame="_blank" w:history="1">
              <w:r w:rsidR="005A1299" w:rsidRPr="005A1299">
                <w:rPr>
                  <w:rStyle w:val="Hyperlink"/>
                  <w:shd w:val="clear" w:color="auto" w:fill="F7F8F9"/>
                </w:rPr>
                <w:t>cerere de reproducere sau republicare a unei traduceri</w:t>
              </w:r>
            </w:hyperlink>
            <w:r w:rsidRPr="005A1299">
              <w:t xml:space="preserve"> pentru a se informa cu privire la procedura de autorizare.</w:t>
            </w:r>
          </w:p>
          <w:p w14:paraId="04C2DF38" w14:textId="4467FB0C" w:rsidR="00953042" w:rsidRPr="006B7E09" w:rsidRDefault="00B602BD" w:rsidP="00B602BD">
            <w:pPr>
              <w:pStyle w:val="ECHRParaSpaced"/>
              <w:rPr>
                <w:rFonts w:asciiTheme="majorHAnsi" w:hAnsiTheme="majorHAnsi"/>
                <w:sz w:val="20"/>
                <w:szCs w:val="20"/>
              </w:rPr>
            </w:pPr>
            <w:r w:rsidRPr="005A1299">
              <w:t xml:space="preserve">Pentru informații privind traducerile în curs de realizare ale ghidurilor privind jurisprudența, vă rugăm consultați lista </w:t>
            </w:r>
            <w:hyperlink r:id="rId9" w:history="1">
              <w:r w:rsidRPr="005A1299">
                <w:rPr>
                  <w:rStyle w:val="Hyperlink"/>
                </w:rPr>
                <w:t>Traduceri în curs</w:t>
              </w:r>
            </w:hyperlink>
            <w:r w:rsidRPr="005A1299">
              <w:t>.</w:t>
            </w:r>
          </w:p>
        </w:tc>
      </w:tr>
    </w:tbl>
    <w:p w14:paraId="12703E9B" w14:textId="77777777" w:rsidR="002438F4" w:rsidRPr="006B7E09" w:rsidRDefault="002438F4" w:rsidP="002438F4">
      <w:pPr>
        <w:rPr>
          <w:rFonts w:asciiTheme="majorHAnsi" w:hAnsiTheme="majorHAnsi"/>
          <w:lang w:val="en-GB"/>
        </w:rPr>
      </w:pPr>
    </w:p>
    <w:p w14:paraId="771E8AEF" w14:textId="77777777" w:rsidR="002438F4" w:rsidRPr="006B7E09" w:rsidRDefault="002438F4" w:rsidP="002438F4">
      <w:pPr>
        <w:rPr>
          <w:rFonts w:asciiTheme="majorHAnsi" w:hAnsiTheme="majorHAnsi"/>
          <w:lang w:val="en-GB"/>
        </w:rPr>
      </w:pPr>
    </w:p>
    <w:p w14:paraId="69C4EFBA" w14:textId="77777777" w:rsidR="002438F4" w:rsidRPr="006B7E09" w:rsidRDefault="002438F4" w:rsidP="002438F4">
      <w:pPr>
        <w:rPr>
          <w:rFonts w:asciiTheme="majorHAnsi" w:hAnsiTheme="majorHAnsi"/>
          <w:lang w:val="en-GB"/>
        </w:rPr>
      </w:pPr>
    </w:p>
    <w:p w14:paraId="432DAAFB" w14:textId="77777777" w:rsidR="002438F4" w:rsidRPr="006B7E09" w:rsidRDefault="002438F4" w:rsidP="002438F4">
      <w:pPr>
        <w:rPr>
          <w:rFonts w:asciiTheme="majorHAnsi" w:hAnsiTheme="majorHAnsi"/>
          <w:lang w:val="en-GB"/>
        </w:rPr>
      </w:pPr>
    </w:p>
    <w:p w14:paraId="4A05350D" w14:textId="77777777" w:rsidR="002438F4" w:rsidRPr="006B7E09" w:rsidRDefault="002438F4" w:rsidP="002438F4">
      <w:pPr>
        <w:rPr>
          <w:rFonts w:asciiTheme="majorHAnsi" w:hAnsiTheme="majorHAnsi"/>
          <w:lang w:val="en-GB"/>
        </w:rPr>
      </w:pPr>
    </w:p>
    <w:p w14:paraId="44D113B5" w14:textId="77777777" w:rsidR="002438F4" w:rsidRPr="006B7E09" w:rsidRDefault="002438F4" w:rsidP="002438F4">
      <w:pPr>
        <w:rPr>
          <w:rFonts w:asciiTheme="majorHAnsi" w:hAnsiTheme="majorHAnsi"/>
          <w:lang w:val="en-GB"/>
        </w:rPr>
      </w:pPr>
    </w:p>
    <w:p w14:paraId="23EDD462" w14:textId="77777777" w:rsidR="002438F4" w:rsidRPr="006B7E09" w:rsidRDefault="002438F4" w:rsidP="002438F4">
      <w:pPr>
        <w:rPr>
          <w:rFonts w:asciiTheme="majorHAnsi" w:hAnsiTheme="majorHAnsi"/>
          <w:lang w:val="en-GB"/>
        </w:rPr>
      </w:pPr>
    </w:p>
    <w:p w14:paraId="75F96DF8" w14:textId="77777777" w:rsidR="002438F4" w:rsidRPr="006B7E09" w:rsidRDefault="002438F4" w:rsidP="002438F4">
      <w:pPr>
        <w:rPr>
          <w:rFonts w:asciiTheme="majorHAnsi" w:hAnsiTheme="majorHAnsi"/>
          <w:lang w:val="en-GB"/>
        </w:rPr>
      </w:pPr>
    </w:p>
    <w:p w14:paraId="7CFCB009" w14:textId="77777777" w:rsidR="002438F4" w:rsidRPr="006B7E09" w:rsidRDefault="002438F4" w:rsidP="002438F4">
      <w:pPr>
        <w:rPr>
          <w:rFonts w:asciiTheme="majorHAnsi" w:hAnsiTheme="majorHAnsi"/>
          <w:lang w:val="en-GB"/>
        </w:rPr>
      </w:pPr>
    </w:p>
    <w:p w14:paraId="04FA4DAC" w14:textId="77777777" w:rsidR="002438F4" w:rsidRPr="006B7E09" w:rsidRDefault="002438F4" w:rsidP="002438F4">
      <w:pPr>
        <w:rPr>
          <w:rFonts w:asciiTheme="majorHAnsi" w:hAnsiTheme="majorHAnsi"/>
          <w:lang w:val="en-GB"/>
        </w:rPr>
      </w:pPr>
    </w:p>
    <w:p w14:paraId="11827177" w14:textId="77777777" w:rsidR="00953042" w:rsidRPr="006B7E09" w:rsidRDefault="00953042" w:rsidP="002438F4">
      <w:pPr>
        <w:rPr>
          <w:rFonts w:asciiTheme="majorHAnsi" w:hAnsiTheme="majorHAnsi"/>
          <w:lang w:val="en-GB"/>
        </w:rPr>
      </w:pPr>
    </w:p>
    <w:p w14:paraId="54479BA0" w14:textId="77777777" w:rsidR="00953042" w:rsidRPr="006B7E09" w:rsidRDefault="00953042" w:rsidP="002438F4">
      <w:pPr>
        <w:rPr>
          <w:rFonts w:asciiTheme="majorHAnsi" w:hAnsiTheme="majorHAnsi"/>
          <w:lang w:val="en-GB"/>
        </w:rPr>
      </w:pPr>
    </w:p>
    <w:p w14:paraId="5A2A2835" w14:textId="77777777" w:rsidR="00953042" w:rsidRPr="006B7E09" w:rsidRDefault="00953042" w:rsidP="002438F4">
      <w:pPr>
        <w:rPr>
          <w:rFonts w:asciiTheme="majorHAnsi" w:hAnsiTheme="majorHAnsi"/>
          <w:lang w:val="en-GB"/>
        </w:rPr>
      </w:pPr>
    </w:p>
    <w:p w14:paraId="1E55665A" w14:textId="77777777" w:rsidR="00953042" w:rsidRPr="006B7E09" w:rsidRDefault="00953042" w:rsidP="002438F4">
      <w:pPr>
        <w:rPr>
          <w:rFonts w:asciiTheme="majorHAnsi" w:hAnsiTheme="majorHAnsi"/>
          <w:lang w:val="en-GB"/>
        </w:rPr>
      </w:pPr>
    </w:p>
    <w:p w14:paraId="4D445027" w14:textId="77777777" w:rsidR="00953042" w:rsidRPr="006B7E09" w:rsidRDefault="00953042" w:rsidP="002438F4">
      <w:pPr>
        <w:rPr>
          <w:rFonts w:asciiTheme="majorHAnsi" w:hAnsiTheme="majorHAnsi"/>
          <w:lang w:val="en-GB"/>
        </w:rPr>
      </w:pPr>
    </w:p>
    <w:p w14:paraId="50C3D09E" w14:textId="700C838E" w:rsidR="002438F4" w:rsidRPr="006B7E09" w:rsidRDefault="002438F4" w:rsidP="002438F4">
      <w:pPr>
        <w:rPr>
          <w:rFonts w:asciiTheme="majorHAnsi" w:hAnsiTheme="majorHAnsi"/>
          <w:lang w:val="en-GB"/>
        </w:rPr>
      </w:pPr>
    </w:p>
    <w:p w14:paraId="2B1FC0AB" w14:textId="7C2F311D" w:rsidR="006328D0" w:rsidRPr="006B7E09" w:rsidRDefault="006328D0" w:rsidP="002438F4">
      <w:pPr>
        <w:rPr>
          <w:rFonts w:asciiTheme="majorHAnsi" w:hAnsiTheme="majorHAnsi"/>
          <w:lang w:val="en-GB"/>
        </w:rPr>
      </w:pPr>
    </w:p>
    <w:p w14:paraId="5C58AD2E" w14:textId="4C7232C1" w:rsidR="001870DC" w:rsidRPr="006B7E09" w:rsidRDefault="006328D0" w:rsidP="00601D12">
      <w:pPr>
        <w:pStyle w:val="ECHRCoverTitle4"/>
      </w:pPr>
      <w:r>
        <w:rPr>
          <w:rFonts w:asciiTheme="majorHAnsi" w:hAnsiTheme="majorHAnsi"/>
        </w:rPr>
        <w:t>Textul original al acestui ghid este redactat în limba franceză. Este actualizat periodic, data cea mai recentă fiind 31 august 2023. Poate suferi modificări de formă.</w:t>
      </w:r>
    </w:p>
    <w:p w14:paraId="50F8A449" w14:textId="59460AFC" w:rsidR="00601D12" w:rsidRPr="006B7E09" w:rsidRDefault="00A11F94" w:rsidP="00601D12">
      <w:pPr>
        <w:pStyle w:val="ECHRCoverTitle4"/>
        <w:rPr>
          <w:rFonts w:asciiTheme="majorHAnsi" w:hAnsiTheme="majorHAnsi"/>
        </w:rPr>
      </w:pPr>
      <w:r>
        <w:rPr>
          <w:rFonts w:asciiTheme="majorHAnsi" w:hAnsiTheme="majorHAnsi"/>
        </w:rPr>
        <w:t xml:space="preserve">Ghidurile privind jurisprudența pot fi descărcate de la adresa </w:t>
      </w:r>
      <w:hyperlink r:id="rId10" w:tgtFrame="_blank" w:history="1">
        <w:r>
          <w:rPr>
            <w:rStyle w:val="Hyperlink"/>
          </w:rPr>
          <w:t>https://ks.echr.coe.int</w:t>
        </w:r>
      </w:hyperlink>
      <w:r>
        <w:rPr>
          <w:rFonts w:asciiTheme="majorHAnsi" w:hAnsiTheme="majorHAnsi"/>
        </w:rPr>
        <w:t>. Pentru informații actualizate despre publicații, vă rugăm să vizitați contul de Twitter al Curții</w:t>
      </w:r>
      <w:r>
        <w:t xml:space="preserve"> </w:t>
      </w:r>
      <w:hyperlink r:id="rId11" w:history="1">
        <w:r>
          <w:rPr>
            <w:rStyle w:val="Hyperlink"/>
          </w:rPr>
          <w:t>https://twitter.com/ECHR_CEDH</w:t>
        </w:r>
      </w:hyperlink>
      <w:r>
        <w:rPr>
          <w:rFonts w:asciiTheme="majorHAnsi" w:hAnsiTheme="majorHAnsi"/>
        </w:rPr>
        <w:t>.</w:t>
      </w:r>
    </w:p>
    <w:p w14:paraId="44860645" w14:textId="77777777" w:rsidR="005A1299" w:rsidRPr="00B84864" w:rsidRDefault="005A1299" w:rsidP="005A1299">
      <w:pPr>
        <w:pStyle w:val="ECHRCoverTitle4"/>
      </w:pPr>
      <w:r w:rsidRPr="00CD50B1">
        <w:rPr>
          <w:color w:val="auto"/>
        </w:rPr>
        <w:t>Prezenta traducere este publicată cu acordul Consiliului Europei și al Curții Europene a Drepturilor Omului și reprezintă responsabilitatea exclusivă a Institutului European din România</w:t>
      </w:r>
      <w:r>
        <w:rPr>
          <w:color w:val="auto"/>
        </w:rPr>
        <w:t>.</w:t>
      </w:r>
    </w:p>
    <w:p w14:paraId="7EDBF4FD" w14:textId="40DD682D" w:rsidR="00C726D5" w:rsidRPr="006B7E09" w:rsidRDefault="00601D12" w:rsidP="006328D0">
      <w:pPr>
        <w:pStyle w:val="ECHRCoverTitle4"/>
        <w:rPr>
          <w:rFonts w:asciiTheme="majorHAnsi" w:hAnsiTheme="majorHAnsi"/>
        </w:rPr>
      </w:pPr>
      <w:r>
        <w:rPr>
          <w:rFonts w:asciiTheme="majorHAnsi" w:hAnsiTheme="majorHAnsi"/>
        </w:rPr>
        <w:t>© Consiliul Europei/Curtea Europeană a Drepturilor Omului, 2023</w:t>
      </w:r>
      <w:r>
        <w:rPr>
          <w:rFonts w:asciiTheme="majorHAnsi" w:hAnsiTheme="majorHAnsi"/>
        </w:rPr>
        <w:br w:type="page"/>
      </w:r>
    </w:p>
    <w:p w14:paraId="57529BE6" w14:textId="77777777" w:rsidR="00C85727" w:rsidRPr="006B7E09" w:rsidRDefault="000D7979" w:rsidP="00A11F94">
      <w:pPr>
        <w:pStyle w:val="ECHRTitleCentre1"/>
      </w:pPr>
      <w:r>
        <w:lastRenderedPageBreak/>
        <w:t>Cuprins</w:t>
      </w:r>
    </w:p>
    <w:p w14:paraId="1733A87D" w14:textId="77777777" w:rsidR="0005616D" w:rsidRPr="006B7E09" w:rsidRDefault="0005616D" w:rsidP="0005616D">
      <w:pPr>
        <w:rPr>
          <w:rFonts w:asciiTheme="majorHAnsi" w:hAnsiTheme="majorHAnsi"/>
          <w:lang w:val="en-GB"/>
        </w:rPr>
      </w:pPr>
    </w:p>
    <w:bookmarkStart w:id="2" w:name="_GoBack"/>
    <w:bookmarkEnd w:id="2"/>
    <w:p w14:paraId="0255B79F" w14:textId="77777777" w:rsidR="00922003" w:rsidRDefault="000D7979">
      <w:pPr>
        <w:pStyle w:val="TOC1"/>
        <w:rPr>
          <w:rFonts w:eastAsiaTheme="minorEastAsia"/>
          <w:b w:val="0"/>
          <w:noProof/>
          <w:color w:val="auto"/>
          <w:sz w:val="22"/>
          <w:lang w:val="en-US"/>
        </w:rPr>
      </w:pPr>
      <w:r w:rsidRPr="006B7E09">
        <w:rPr>
          <w:rFonts w:asciiTheme="majorHAnsi" w:hAnsiTheme="majorHAnsi"/>
        </w:rPr>
        <w:fldChar w:fldCharType="begin"/>
      </w:r>
      <w:r w:rsidRPr="006B7E09">
        <w:rPr>
          <w:rFonts w:asciiTheme="majorHAnsi" w:hAnsiTheme="majorHAnsi"/>
        </w:rPr>
        <w:instrText xml:space="preserve"> TOC \o "1-</w:instrText>
      </w:r>
      <w:r w:rsidR="00230918" w:rsidRPr="006B7E09">
        <w:rPr>
          <w:rFonts w:asciiTheme="majorHAnsi" w:hAnsiTheme="majorHAnsi"/>
        </w:rPr>
        <w:instrText>7” \t “_blank”</w:instrText>
      </w:r>
      <w:r w:rsidRPr="006B7E09">
        <w:rPr>
          <w:rFonts w:asciiTheme="majorHAnsi" w:hAnsiTheme="majorHAnsi"/>
        </w:rPr>
        <w:instrText xml:space="preserve"> \h \z \u </w:instrText>
      </w:r>
      <w:r w:rsidRPr="006B7E09">
        <w:rPr>
          <w:rFonts w:asciiTheme="majorHAnsi" w:hAnsiTheme="majorHAnsi"/>
        </w:rPr>
        <w:fldChar w:fldCharType="separate"/>
      </w:r>
      <w:hyperlink w:anchor="_Toc162517947" w:history="1">
        <w:r w:rsidR="00922003" w:rsidRPr="003175F3">
          <w:rPr>
            <w:rStyle w:val="Hyperlink"/>
            <w:noProof/>
          </w:rPr>
          <w:t>În atenția cititorilor</w:t>
        </w:r>
        <w:r w:rsidR="00922003">
          <w:rPr>
            <w:noProof/>
            <w:webHidden/>
          </w:rPr>
          <w:tab/>
        </w:r>
        <w:r w:rsidR="00922003">
          <w:rPr>
            <w:noProof/>
            <w:webHidden/>
          </w:rPr>
          <w:fldChar w:fldCharType="begin"/>
        </w:r>
        <w:r w:rsidR="00922003">
          <w:rPr>
            <w:noProof/>
            <w:webHidden/>
          </w:rPr>
          <w:instrText xml:space="preserve"> PAGEREF _Toc162517947 \h </w:instrText>
        </w:r>
        <w:r w:rsidR="00922003">
          <w:rPr>
            <w:noProof/>
            <w:webHidden/>
          </w:rPr>
        </w:r>
        <w:r w:rsidR="00922003">
          <w:rPr>
            <w:noProof/>
            <w:webHidden/>
          </w:rPr>
          <w:fldChar w:fldCharType="separate"/>
        </w:r>
        <w:r w:rsidR="00C84E1E">
          <w:rPr>
            <w:noProof/>
            <w:webHidden/>
          </w:rPr>
          <w:t>4</w:t>
        </w:r>
        <w:r w:rsidR="00922003">
          <w:rPr>
            <w:noProof/>
            <w:webHidden/>
          </w:rPr>
          <w:fldChar w:fldCharType="end"/>
        </w:r>
      </w:hyperlink>
    </w:p>
    <w:p w14:paraId="2D71F6A0" w14:textId="77777777" w:rsidR="00922003" w:rsidRDefault="00922003">
      <w:pPr>
        <w:pStyle w:val="TOC1"/>
        <w:rPr>
          <w:rFonts w:eastAsiaTheme="minorEastAsia"/>
          <w:b w:val="0"/>
          <w:noProof/>
          <w:color w:val="auto"/>
          <w:sz w:val="22"/>
          <w:lang w:val="en-US"/>
        </w:rPr>
      </w:pPr>
      <w:hyperlink w:anchor="_Toc162517948" w:history="1">
        <w:r w:rsidRPr="003175F3">
          <w:rPr>
            <w:rStyle w:val="Hyperlink"/>
            <w:noProof/>
          </w:rPr>
          <w:t>I.   Introducere</w:t>
        </w:r>
        <w:r>
          <w:rPr>
            <w:noProof/>
            <w:webHidden/>
          </w:rPr>
          <w:tab/>
        </w:r>
        <w:r>
          <w:rPr>
            <w:noProof/>
            <w:webHidden/>
          </w:rPr>
          <w:fldChar w:fldCharType="begin"/>
        </w:r>
        <w:r>
          <w:rPr>
            <w:noProof/>
            <w:webHidden/>
          </w:rPr>
          <w:instrText xml:space="preserve"> PAGEREF _Toc162517948 \h </w:instrText>
        </w:r>
        <w:r>
          <w:rPr>
            <w:noProof/>
            <w:webHidden/>
          </w:rPr>
        </w:r>
        <w:r>
          <w:rPr>
            <w:noProof/>
            <w:webHidden/>
          </w:rPr>
          <w:fldChar w:fldCharType="separate"/>
        </w:r>
        <w:r w:rsidR="00C84E1E">
          <w:rPr>
            <w:noProof/>
            <w:webHidden/>
          </w:rPr>
          <w:t>5</w:t>
        </w:r>
        <w:r>
          <w:rPr>
            <w:noProof/>
            <w:webHidden/>
          </w:rPr>
          <w:fldChar w:fldCharType="end"/>
        </w:r>
      </w:hyperlink>
    </w:p>
    <w:p w14:paraId="080F23E2" w14:textId="77777777" w:rsidR="00922003" w:rsidRDefault="00922003">
      <w:pPr>
        <w:pStyle w:val="TOC1"/>
        <w:rPr>
          <w:rFonts w:eastAsiaTheme="minorEastAsia"/>
          <w:b w:val="0"/>
          <w:noProof/>
          <w:color w:val="auto"/>
          <w:sz w:val="22"/>
          <w:lang w:val="en-US"/>
        </w:rPr>
      </w:pPr>
      <w:hyperlink w:anchor="_Toc162517949" w:history="1">
        <w:r w:rsidRPr="003175F3">
          <w:rPr>
            <w:rStyle w:val="Hyperlink"/>
            <w:noProof/>
          </w:rPr>
          <w:t>II.   Domeniu de aplicare</w:t>
        </w:r>
        <w:r>
          <w:rPr>
            <w:noProof/>
            <w:webHidden/>
          </w:rPr>
          <w:tab/>
        </w:r>
        <w:r>
          <w:rPr>
            <w:noProof/>
            <w:webHidden/>
          </w:rPr>
          <w:fldChar w:fldCharType="begin"/>
        </w:r>
        <w:r>
          <w:rPr>
            <w:noProof/>
            <w:webHidden/>
          </w:rPr>
          <w:instrText xml:space="preserve"> PAGEREF _Toc162517949 \h </w:instrText>
        </w:r>
        <w:r>
          <w:rPr>
            <w:noProof/>
            <w:webHidden/>
          </w:rPr>
        </w:r>
        <w:r>
          <w:rPr>
            <w:noProof/>
            <w:webHidden/>
          </w:rPr>
          <w:fldChar w:fldCharType="separate"/>
        </w:r>
        <w:r w:rsidR="00C84E1E">
          <w:rPr>
            <w:noProof/>
            <w:webHidden/>
          </w:rPr>
          <w:t>6</w:t>
        </w:r>
        <w:r>
          <w:rPr>
            <w:noProof/>
            <w:webHidden/>
          </w:rPr>
          <w:fldChar w:fldCharType="end"/>
        </w:r>
      </w:hyperlink>
    </w:p>
    <w:p w14:paraId="47E051B8" w14:textId="77777777" w:rsidR="00922003" w:rsidRDefault="00922003">
      <w:pPr>
        <w:pStyle w:val="TOC2"/>
        <w:tabs>
          <w:tab w:val="right" w:leader="dot" w:pos="9017"/>
        </w:tabs>
        <w:rPr>
          <w:rFonts w:eastAsiaTheme="minorEastAsia"/>
          <w:noProof/>
          <w:lang w:val="en-US"/>
        </w:rPr>
      </w:pPr>
      <w:hyperlink w:anchor="_Toc162517950" w:history="1">
        <w:r w:rsidRPr="003175F3">
          <w:rPr>
            <w:rStyle w:val="Hyperlink"/>
            <w:noProof/>
          </w:rPr>
          <w:t>A.   Noțiunea de „constatare a vinovăției”</w:t>
        </w:r>
        <w:r>
          <w:rPr>
            <w:noProof/>
            <w:webHidden/>
          </w:rPr>
          <w:tab/>
        </w:r>
        <w:r>
          <w:rPr>
            <w:noProof/>
            <w:webHidden/>
          </w:rPr>
          <w:fldChar w:fldCharType="begin"/>
        </w:r>
        <w:r>
          <w:rPr>
            <w:noProof/>
            <w:webHidden/>
          </w:rPr>
          <w:instrText xml:space="preserve"> PAGEREF _Toc162517950 \h </w:instrText>
        </w:r>
        <w:r>
          <w:rPr>
            <w:noProof/>
            <w:webHidden/>
          </w:rPr>
        </w:r>
        <w:r>
          <w:rPr>
            <w:noProof/>
            <w:webHidden/>
          </w:rPr>
          <w:fldChar w:fldCharType="separate"/>
        </w:r>
        <w:r w:rsidR="00C84E1E">
          <w:rPr>
            <w:noProof/>
            <w:webHidden/>
          </w:rPr>
          <w:t>6</w:t>
        </w:r>
        <w:r>
          <w:rPr>
            <w:noProof/>
            <w:webHidden/>
          </w:rPr>
          <w:fldChar w:fldCharType="end"/>
        </w:r>
      </w:hyperlink>
    </w:p>
    <w:p w14:paraId="03ABD7AA" w14:textId="77777777" w:rsidR="00922003" w:rsidRDefault="00922003">
      <w:pPr>
        <w:pStyle w:val="TOC2"/>
        <w:tabs>
          <w:tab w:val="right" w:leader="dot" w:pos="9017"/>
        </w:tabs>
        <w:rPr>
          <w:rFonts w:eastAsiaTheme="minorEastAsia"/>
          <w:noProof/>
          <w:lang w:val="en-US"/>
        </w:rPr>
      </w:pPr>
      <w:hyperlink w:anchor="_Toc162517951" w:history="1">
        <w:r w:rsidRPr="003175F3">
          <w:rPr>
            <w:rStyle w:val="Hyperlink"/>
            <w:noProof/>
          </w:rPr>
          <w:t>B.   Noțiunea de „infracțiune”</w:t>
        </w:r>
        <w:r>
          <w:rPr>
            <w:noProof/>
            <w:webHidden/>
          </w:rPr>
          <w:tab/>
        </w:r>
        <w:r>
          <w:rPr>
            <w:noProof/>
            <w:webHidden/>
          </w:rPr>
          <w:fldChar w:fldCharType="begin"/>
        </w:r>
        <w:r>
          <w:rPr>
            <w:noProof/>
            <w:webHidden/>
          </w:rPr>
          <w:instrText xml:space="preserve"> PAGEREF _Toc162517951 \h </w:instrText>
        </w:r>
        <w:r>
          <w:rPr>
            <w:noProof/>
            <w:webHidden/>
          </w:rPr>
        </w:r>
        <w:r>
          <w:rPr>
            <w:noProof/>
            <w:webHidden/>
          </w:rPr>
          <w:fldChar w:fldCharType="separate"/>
        </w:r>
        <w:r w:rsidR="00C84E1E">
          <w:rPr>
            <w:noProof/>
            <w:webHidden/>
          </w:rPr>
          <w:t>6</w:t>
        </w:r>
        <w:r>
          <w:rPr>
            <w:noProof/>
            <w:webHidden/>
          </w:rPr>
          <w:fldChar w:fldCharType="end"/>
        </w:r>
      </w:hyperlink>
    </w:p>
    <w:p w14:paraId="727D43BC" w14:textId="77777777" w:rsidR="00922003" w:rsidRDefault="00922003">
      <w:pPr>
        <w:pStyle w:val="TOC2"/>
        <w:tabs>
          <w:tab w:val="right" w:leader="dot" w:pos="9017"/>
        </w:tabs>
        <w:rPr>
          <w:rFonts w:eastAsiaTheme="minorEastAsia"/>
          <w:noProof/>
          <w:lang w:val="en-US"/>
        </w:rPr>
      </w:pPr>
      <w:hyperlink w:anchor="_Toc162517952" w:history="1">
        <w:r w:rsidRPr="003175F3">
          <w:rPr>
            <w:rStyle w:val="Hyperlink"/>
            <w:noProof/>
          </w:rPr>
          <w:t>C.   Noțiunea de „drept”</w:t>
        </w:r>
        <w:r>
          <w:rPr>
            <w:noProof/>
            <w:webHidden/>
          </w:rPr>
          <w:tab/>
        </w:r>
        <w:r>
          <w:rPr>
            <w:noProof/>
            <w:webHidden/>
          </w:rPr>
          <w:fldChar w:fldCharType="begin"/>
        </w:r>
        <w:r>
          <w:rPr>
            <w:noProof/>
            <w:webHidden/>
          </w:rPr>
          <w:instrText xml:space="preserve"> PAGEREF _Toc162517952 \h </w:instrText>
        </w:r>
        <w:r>
          <w:rPr>
            <w:noProof/>
            <w:webHidden/>
          </w:rPr>
        </w:r>
        <w:r>
          <w:rPr>
            <w:noProof/>
            <w:webHidden/>
          </w:rPr>
          <w:fldChar w:fldCharType="separate"/>
        </w:r>
        <w:r w:rsidR="00C84E1E">
          <w:rPr>
            <w:noProof/>
            <w:webHidden/>
          </w:rPr>
          <w:t>7</w:t>
        </w:r>
        <w:r>
          <w:rPr>
            <w:noProof/>
            <w:webHidden/>
          </w:rPr>
          <w:fldChar w:fldCharType="end"/>
        </w:r>
      </w:hyperlink>
    </w:p>
    <w:p w14:paraId="4A9C7F3A" w14:textId="77777777" w:rsidR="00922003" w:rsidRDefault="00922003">
      <w:pPr>
        <w:pStyle w:val="TOC2"/>
        <w:tabs>
          <w:tab w:val="right" w:leader="dot" w:pos="9017"/>
        </w:tabs>
        <w:rPr>
          <w:rFonts w:eastAsiaTheme="minorEastAsia"/>
          <w:noProof/>
          <w:lang w:val="en-US"/>
        </w:rPr>
      </w:pPr>
      <w:hyperlink w:anchor="_Toc162517953" w:history="1">
        <w:r w:rsidRPr="003175F3">
          <w:rPr>
            <w:rStyle w:val="Hyperlink"/>
            <w:noProof/>
          </w:rPr>
          <w:t>D.   Noțiunea de „pedeapsă”</w:t>
        </w:r>
        <w:r>
          <w:rPr>
            <w:noProof/>
            <w:webHidden/>
          </w:rPr>
          <w:tab/>
        </w:r>
        <w:r>
          <w:rPr>
            <w:noProof/>
            <w:webHidden/>
          </w:rPr>
          <w:fldChar w:fldCharType="begin"/>
        </w:r>
        <w:r>
          <w:rPr>
            <w:noProof/>
            <w:webHidden/>
          </w:rPr>
          <w:instrText xml:space="preserve"> PAGEREF _Toc162517953 \h </w:instrText>
        </w:r>
        <w:r>
          <w:rPr>
            <w:noProof/>
            <w:webHidden/>
          </w:rPr>
        </w:r>
        <w:r>
          <w:rPr>
            <w:noProof/>
            <w:webHidden/>
          </w:rPr>
          <w:fldChar w:fldCharType="separate"/>
        </w:r>
        <w:r w:rsidR="00C84E1E">
          <w:rPr>
            <w:noProof/>
            <w:webHidden/>
          </w:rPr>
          <w:t>7</w:t>
        </w:r>
        <w:r>
          <w:rPr>
            <w:noProof/>
            <w:webHidden/>
          </w:rPr>
          <w:fldChar w:fldCharType="end"/>
        </w:r>
      </w:hyperlink>
    </w:p>
    <w:p w14:paraId="70C9BEB1" w14:textId="77777777" w:rsidR="00922003" w:rsidRDefault="00922003">
      <w:pPr>
        <w:pStyle w:val="TOC3"/>
        <w:tabs>
          <w:tab w:val="right" w:leader="dot" w:pos="9017"/>
        </w:tabs>
        <w:rPr>
          <w:rFonts w:eastAsiaTheme="minorEastAsia"/>
          <w:noProof/>
          <w:lang w:val="en-US"/>
        </w:rPr>
      </w:pPr>
      <w:hyperlink w:anchor="_Toc162517954" w:history="1">
        <w:r w:rsidRPr="003175F3">
          <w:rPr>
            <w:rStyle w:val="Hyperlink"/>
            <w:noProof/>
          </w:rPr>
          <w:t>1.   Considerații generale</w:t>
        </w:r>
        <w:r>
          <w:rPr>
            <w:noProof/>
            <w:webHidden/>
          </w:rPr>
          <w:tab/>
        </w:r>
        <w:r>
          <w:rPr>
            <w:noProof/>
            <w:webHidden/>
          </w:rPr>
          <w:fldChar w:fldCharType="begin"/>
        </w:r>
        <w:r>
          <w:rPr>
            <w:noProof/>
            <w:webHidden/>
          </w:rPr>
          <w:instrText xml:space="preserve"> PAGEREF _Toc162517954 \h </w:instrText>
        </w:r>
        <w:r>
          <w:rPr>
            <w:noProof/>
            <w:webHidden/>
          </w:rPr>
        </w:r>
        <w:r>
          <w:rPr>
            <w:noProof/>
            <w:webHidden/>
          </w:rPr>
          <w:fldChar w:fldCharType="separate"/>
        </w:r>
        <w:r w:rsidR="00C84E1E">
          <w:rPr>
            <w:noProof/>
            <w:webHidden/>
          </w:rPr>
          <w:t>7</w:t>
        </w:r>
        <w:r>
          <w:rPr>
            <w:noProof/>
            <w:webHidden/>
          </w:rPr>
          <w:fldChar w:fldCharType="end"/>
        </w:r>
      </w:hyperlink>
    </w:p>
    <w:p w14:paraId="06A5785A" w14:textId="77777777" w:rsidR="00922003" w:rsidRDefault="00922003">
      <w:pPr>
        <w:pStyle w:val="TOC3"/>
        <w:tabs>
          <w:tab w:val="right" w:leader="dot" w:pos="9017"/>
        </w:tabs>
        <w:rPr>
          <w:rFonts w:eastAsiaTheme="minorEastAsia"/>
          <w:noProof/>
          <w:lang w:val="en-US"/>
        </w:rPr>
      </w:pPr>
      <w:hyperlink w:anchor="_Toc162517955" w:history="1">
        <w:r w:rsidRPr="003175F3">
          <w:rPr>
            <w:rStyle w:val="Hyperlink"/>
            <w:noProof/>
          </w:rPr>
          <w:t>2.   Distincția între drept material penal și drept procedural</w:t>
        </w:r>
        <w:r>
          <w:rPr>
            <w:noProof/>
            <w:webHidden/>
          </w:rPr>
          <w:tab/>
        </w:r>
        <w:r>
          <w:rPr>
            <w:noProof/>
            <w:webHidden/>
          </w:rPr>
          <w:fldChar w:fldCharType="begin"/>
        </w:r>
        <w:r>
          <w:rPr>
            <w:noProof/>
            <w:webHidden/>
          </w:rPr>
          <w:instrText xml:space="preserve"> PAGEREF _Toc162517955 \h </w:instrText>
        </w:r>
        <w:r>
          <w:rPr>
            <w:noProof/>
            <w:webHidden/>
          </w:rPr>
        </w:r>
        <w:r>
          <w:rPr>
            <w:noProof/>
            <w:webHidden/>
          </w:rPr>
          <w:fldChar w:fldCharType="separate"/>
        </w:r>
        <w:r w:rsidR="00C84E1E">
          <w:rPr>
            <w:noProof/>
            <w:webHidden/>
          </w:rPr>
          <w:t>10</w:t>
        </w:r>
        <w:r>
          <w:rPr>
            <w:noProof/>
            <w:webHidden/>
          </w:rPr>
          <w:fldChar w:fldCharType="end"/>
        </w:r>
      </w:hyperlink>
    </w:p>
    <w:p w14:paraId="1506C57A" w14:textId="77777777" w:rsidR="00922003" w:rsidRDefault="00922003">
      <w:pPr>
        <w:pStyle w:val="TOC3"/>
        <w:tabs>
          <w:tab w:val="right" w:leader="dot" w:pos="9017"/>
        </w:tabs>
        <w:rPr>
          <w:rFonts w:eastAsiaTheme="minorEastAsia"/>
          <w:noProof/>
          <w:lang w:val="en-US"/>
        </w:rPr>
      </w:pPr>
      <w:hyperlink w:anchor="_Toc162517956" w:history="1">
        <w:r w:rsidRPr="003175F3">
          <w:rPr>
            <w:rStyle w:val="Hyperlink"/>
            <w:noProof/>
          </w:rPr>
          <w:t>3.   Trebuie făcută o distincție între „pedeapsă” și „executarea” sa</w:t>
        </w:r>
        <w:r>
          <w:rPr>
            <w:noProof/>
            <w:webHidden/>
          </w:rPr>
          <w:tab/>
        </w:r>
        <w:r>
          <w:rPr>
            <w:noProof/>
            <w:webHidden/>
          </w:rPr>
          <w:fldChar w:fldCharType="begin"/>
        </w:r>
        <w:r>
          <w:rPr>
            <w:noProof/>
            <w:webHidden/>
          </w:rPr>
          <w:instrText xml:space="preserve"> PAGEREF _Toc162517956 \h </w:instrText>
        </w:r>
        <w:r>
          <w:rPr>
            <w:noProof/>
            <w:webHidden/>
          </w:rPr>
        </w:r>
        <w:r>
          <w:rPr>
            <w:noProof/>
            <w:webHidden/>
          </w:rPr>
          <w:fldChar w:fldCharType="separate"/>
        </w:r>
        <w:r w:rsidR="00C84E1E">
          <w:rPr>
            <w:noProof/>
            <w:webHidden/>
          </w:rPr>
          <w:t>11</w:t>
        </w:r>
        <w:r>
          <w:rPr>
            <w:noProof/>
            <w:webHidden/>
          </w:rPr>
          <w:fldChar w:fldCharType="end"/>
        </w:r>
      </w:hyperlink>
    </w:p>
    <w:p w14:paraId="3FD29650" w14:textId="77777777" w:rsidR="00922003" w:rsidRDefault="00922003">
      <w:pPr>
        <w:pStyle w:val="TOC3"/>
        <w:tabs>
          <w:tab w:val="right" w:leader="dot" w:pos="9017"/>
        </w:tabs>
        <w:rPr>
          <w:rFonts w:eastAsiaTheme="minorEastAsia"/>
          <w:noProof/>
          <w:lang w:val="en-US"/>
        </w:rPr>
      </w:pPr>
      <w:hyperlink w:anchor="_Toc162517957" w:history="1">
        <w:r w:rsidRPr="003175F3">
          <w:rPr>
            <w:rStyle w:val="Hyperlink"/>
            <w:noProof/>
          </w:rPr>
          <w:t>4.   Legături cu alte dispoziții ale Convenției și ale Protocoalelor la aceasta</w:t>
        </w:r>
        <w:r>
          <w:rPr>
            <w:noProof/>
            <w:webHidden/>
          </w:rPr>
          <w:tab/>
        </w:r>
        <w:r>
          <w:rPr>
            <w:noProof/>
            <w:webHidden/>
          </w:rPr>
          <w:fldChar w:fldCharType="begin"/>
        </w:r>
        <w:r>
          <w:rPr>
            <w:noProof/>
            <w:webHidden/>
          </w:rPr>
          <w:instrText xml:space="preserve"> PAGEREF _Toc162517957 \h </w:instrText>
        </w:r>
        <w:r>
          <w:rPr>
            <w:noProof/>
            <w:webHidden/>
          </w:rPr>
        </w:r>
        <w:r>
          <w:rPr>
            <w:noProof/>
            <w:webHidden/>
          </w:rPr>
          <w:fldChar w:fldCharType="separate"/>
        </w:r>
        <w:r w:rsidR="00C84E1E">
          <w:rPr>
            <w:noProof/>
            <w:webHidden/>
          </w:rPr>
          <w:t>12</w:t>
        </w:r>
        <w:r>
          <w:rPr>
            <w:noProof/>
            <w:webHidden/>
          </w:rPr>
          <w:fldChar w:fldCharType="end"/>
        </w:r>
      </w:hyperlink>
    </w:p>
    <w:p w14:paraId="0CDD4F5C" w14:textId="77777777" w:rsidR="00922003" w:rsidRDefault="00922003">
      <w:pPr>
        <w:pStyle w:val="TOC1"/>
        <w:rPr>
          <w:rFonts w:eastAsiaTheme="minorEastAsia"/>
          <w:b w:val="0"/>
          <w:noProof/>
          <w:color w:val="auto"/>
          <w:sz w:val="22"/>
          <w:lang w:val="en-US"/>
        </w:rPr>
      </w:pPr>
      <w:hyperlink w:anchor="_Toc162517958" w:history="1">
        <w:r w:rsidRPr="003175F3">
          <w:rPr>
            <w:rStyle w:val="Hyperlink"/>
            <w:noProof/>
          </w:rPr>
          <w:t>III.   Principiul că numai legea poate să definească o infracțiune și să prescrie o pedeapsă</w:t>
        </w:r>
        <w:r>
          <w:rPr>
            <w:noProof/>
            <w:webHidden/>
          </w:rPr>
          <w:tab/>
        </w:r>
        <w:r>
          <w:rPr>
            <w:noProof/>
            <w:webHidden/>
          </w:rPr>
          <w:fldChar w:fldCharType="begin"/>
        </w:r>
        <w:r>
          <w:rPr>
            <w:noProof/>
            <w:webHidden/>
          </w:rPr>
          <w:instrText xml:space="preserve"> PAGEREF _Toc162517958 \h </w:instrText>
        </w:r>
        <w:r>
          <w:rPr>
            <w:noProof/>
            <w:webHidden/>
          </w:rPr>
        </w:r>
        <w:r>
          <w:rPr>
            <w:noProof/>
            <w:webHidden/>
          </w:rPr>
          <w:fldChar w:fldCharType="separate"/>
        </w:r>
        <w:r w:rsidR="00C84E1E">
          <w:rPr>
            <w:noProof/>
            <w:webHidden/>
          </w:rPr>
          <w:t>12</w:t>
        </w:r>
        <w:r>
          <w:rPr>
            <w:noProof/>
            <w:webHidden/>
          </w:rPr>
          <w:fldChar w:fldCharType="end"/>
        </w:r>
      </w:hyperlink>
    </w:p>
    <w:p w14:paraId="213A3D2A" w14:textId="77777777" w:rsidR="00922003" w:rsidRDefault="00922003">
      <w:pPr>
        <w:pStyle w:val="TOC2"/>
        <w:tabs>
          <w:tab w:val="right" w:leader="dot" w:pos="9017"/>
        </w:tabs>
        <w:rPr>
          <w:rFonts w:eastAsiaTheme="minorEastAsia"/>
          <w:noProof/>
          <w:lang w:val="en-US"/>
        </w:rPr>
      </w:pPr>
      <w:hyperlink w:anchor="_Toc162517959" w:history="1">
        <w:r w:rsidRPr="003175F3">
          <w:rPr>
            <w:rStyle w:val="Hyperlink"/>
            <w:noProof/>
          </w:rPr>
          <w:t>A.   Accesibilitatea</w:t>
        </w:r>
        <w:r>
          <w:rPr>
            <w:noProof/>
            <w:webHidden/>
          </w:rPr>
          <w:tab/>
        </w:r>
        <w:r>
          <w:rPr>
            <w:noProof/>
            <w:webHidden/>
          </w:rPr>
          <w:fldChar w:fldCharType="begin"/>
        </w:r>
        <w:r>
          <w:rPr>
            <w:noProof/>
            <w:webHidden/>
          </w:rPr>
          <w:instrText xml:space="preserve"> PAGEREF _Toc162517959 \h </w:instrText>
        </w:r>
        <w:r>
          <w:rPr>
            <w:noProof/>
            <w:webHidden/>
          </w:rPr>
        </w:r>
        <w:r>
          <w:rPr>
            <w:noProof/>
            <w:webHidden/>
          </w:rPr>
          <w:fldChar w:fldCharType="separate"/>
        </w:r>
        <w:r w:rsidR="00C84E1E">
          <w:rPr>
            <w:noProof/>
            <w:webHidden/>
          </w:rPr>
          <w:t>13</w:t>
        </w:r>
        <w:r>
          <w:rPr>
            <w:noProof/>
            <w:webHidden/>
          </w:rPr>
          <w:fldChar w:fldCharType="end"/>
        </w:r>
      </w:hyperlink>
    </w:p>
    <w:p w14:paraId="52492556" w14:textId="77777777" w:rsidR="00922003" w:rsidRDefault="00922003">
      <w:pPr>
        <w:pStyle w:val="TOC2"/>
        <w:tabs>
          <w:tab w:val="right" w:leader="dot" w:pos="9017"/>
        </w:tabs>
        <w:rPr>
          <w:rFonts w:eastAsiaTheme="minorEastAsia"/>
          <w:noProof/>
          <w:lang w:val="en-US"/>
        </w:rPr>
      </w:pPr>
      <w:hyperlink w:anchor="_Toc162517960" w:history="1">
        <w:r w:rsidRPr="003175F3">
          <w:rPr>
            <w:rStyle w:val="Hyperlink"/>
            <w:noProof/>
          </w:rPr>
          <w:t>B.   Previzibilitatea</w:t>
        </w:r>
        <w:r>
          <w:rPr>
            <w:noProof/>
            <w:webHidden/>
          </w:rPr>
          <w:tab/>
        </w:r>
        <w:r>
          <w:rPr>
            <w:noProof/>
            <w:webHidden/>
          </w:rPr>
          <w:fldChar w:fldCharType="begin"/>
        </w:r>
        <w:r>
          <w:rPr>
            <w:noProof/>
            <w:webHidden/>
          </w:rPr>
          <w:instrText xml:space="preserve"> PAGEREF _Toc162517960 \h </w:instrText>
        </w:r>
        <w:r>
          <w:rPr>
            <w:noProof/>
            <w:webHidden/>
          </w:rPr>
        </w:r>
        <w:r>
          <w:rPr>
            <w:noProof/>
            <w:webHidden/>
          </w:rPr>
          <w:fldChar w:fldCharType="separate"/>
        </w:r>
        <w:r w:rsidR="00C84E1E">
          <w:rPr>
            <w:noProof/>
            <w:webHidden/>
          </w:rPr>
          <w:t>14</w:t>
        </w:r>
        <w:r>
          <w:rPr>
            <w:noProof/>
            <w:webHidden/>
          </w:rPr>
          <w:fldChar w:fldCharType="end"/>
        </w:r>
      </w:hyperlink>
    </w:p>
    <w:p w14:paraId="5B2A2D1B" w14:textId="77777777" w:rsidR="00922003" w:rsidRDefault="00922003">
      <w:pPr>
        <w:pStyle w:val="TOC3"/>
        <w:tabs>
          <w:tab w:val="right" w:leader="dot" w:pos="9017"/>
        </w:tabs>
        <w:rPr>
          <w:rFonts w:eastAsiaTheme="minorEastAsia"/>
          <w:noProof/>
          <w:lang w:val="en-US"/>
        </w:rPr>
      </w:pPr>
      <w:hyperlink w:anchor="_Toc162517961" w:history="1">
        <w:r w:rsidRPr="003175F3">
          <w:rPr>
            <w:rStyle w:val="Hyperlink"/>
            <w:noProof/>
          </w:rPr>
          <w:t>1.   Considerații generale</w:t>
        </w:r>
        <w:r>
          <w:rPr>
            <w:noProof/>
            <w:webHidden/>
          </w:rPr>
          <w:tab/>
        </w:r>
        <w:r>
          <w:rPr>
            <w:noProof/>
            <w:webHidden/>
          </w:rPr>
          <w:fldChar w:fldCharType="begin"/>
        </w:r>
        <w:r>
          <w:rPr>
            <w:noProof/>
            <w:webHidden/>
          </w:rPr>
          <w:instrText xml:space="preserve"> PAGEREF _Toc162517961 \h </w:instrText>
        </w:r>
        <w:r>
          <w:rPr>
            <w:noProof/>
            <w:webHidden/>
          </w:rPr>
        </w:r>
        <w:r>
          <w:rPr>
            <w:noProof/>
            <w:webHidden/>
          </w:rPr>
          <w:fldChar w:fldCharType="separate"/>
        </w:r>
        <w:r w:rsidR="00C84E1E">
          <w:rPr>
            <w:noProof/>
            <w:webHidden/>
          </w:rPr>
          <w:t>14</w:t>
        </w:r>
        <w:r>
          <w:rPr>
            <w:noProof/>
            <w:webHidden/>
          </w:rPr>
          <w:fldChar w:fldCharType="end"/>
        </w:r>
      </w:hyperlink>
    </w:p>
    <w:p w14:paraId="7C114EFB" w14:textId="77777777" w:rsidR="00922003" w:rsidRDefault="00922003">
      <w:pPr>
        <w:pStyle w:val="TOC3"/>
        <w:tabs>
          <w:tab w:val="right" w:leader="dot" w:pos="9017"/>
        </w:tabs>
        <w:rPr>
          <w:rFonts w:eastAsiaTheme="minorEastAsia"/>
          <w:noProof/>
          <w:lang w:val="en-US"/>
        </w:rPr>
      </w:pPr>
      <w:hyperlink w:anchor="_Toc162517962" w:history="1">
        <w:r w:rsidRPr="003175F3">
          <w:rPr>
            <w:rStyle w:val="Hyperlink"/>
            <w:noProof/>
          </w:rPr>
          <w:t>2.   Interpretarea judiciară: clarificarea normelor juridice</w:t>
        </w:r>
        <w:r>
          <w:rPr>
            <w:noProof/>
            <w:webHidden/>
          </w:rPr>
          <w:tab/>
        </w:r>
        <w:r>
          <w:rPr>
            <w:noProof/>
            <w:webHidden/>
          </w:rPr>
          <w:fldChar w:fldCharType="begin"/>
        </w:r>
        <w:r>
          <w:rPr>
            <w:noProof/>
            <w:webHidden/>
          </w:rPr>
          <w:instrText xml:space="preserve"> PAGEREF _Toc162517962 \h </w:instrText>
        </w:r>
        <w:r>
          <w:rPr>
            <w:noProof/>
            <w:webHidden/>
          </w:rPr>
        </w:r>
        <w:r>
          <w:rPr>
            <w:noProof/>
            <w:webHidden/>
          </w:rPr>
          <w:fldChar w:fldCharType="separate"/>
        </w:r>
        <w:r w:rsidR="00C84E1E">
          <w:rPr>
            <w:noProof/>
            <w:webHidden/>
          </w:rPr>
          <w:t>16</w:t>
        </w:r>
        <w:r>
          <w:rPr>
            <w:noProof/>
            <w:webHidden/>
          </w:rPr>
          <w:fldChar w:fldCharType="end"/>
        </w:r>
      </w:hyperlink>
    </w:p>
    <w:p w14:paraId="3F0FDBC9" w14:textId="77777777" w:rsidR="00922003" w:rsidRDefault="00922003">
      <w:pPr>
        <w:pStyle w:val="TOC3"/>
        <w:tabs>
          <w:tab w:val="right" w:leader="dot" w:pos="9017"/>
        </w:tabs>
        <w:rPr>
          <w:rFonts w:eastAsiaTheme="minorEastAsia"/>
          <w:noProof/>
          <w:lang w:val="en-US"/>
        </w:rPr>
      </w:pPr>
      <w:hyperlink w:anchor="_Toc162517963" w:history="1">
        <w:r w:rsidRPr="003175F3">
          <w:rPr>
            <w:rStyle w:val="Hyperlink"/>
            <w:noProof/>
          </w:rPr>
          <w:t>3.   Cazul special al succesiunii statului</w:t>
        </w:r>
        <w:r>
          <w:rPr>
            <w:noProof/>
            <w:webHidden/>
          </w:rPr>
          <w:tab/>
        </w:r>
        <w:r>
          <w:rPr>
            <w:noProof/>
            <w:webHidden/>
          </w:rPr>
          <w:fldChar w:fldCharType="begin"/>
        </w:r>
        <w:r>
          <w:rPr>
            <w:noProof/>
            <w:webHidden/>
          </w:rPr>
          <w:instrText xml:space="preserve"> PAGEREF _Toc162517963 \h </w:instrText>
        </w:r>
        <w:r>
          <w:rPr>
            <w:noProof/>
            <w:webHidden/>
          </w:rPr>
        </w:r>
        <w:r>
          <w:rPr>
            <w:noProof/>
            <w:webHidden/>
          </w:rPr>
          <w:fldChar w:fldCharType="separate"/>
        </w:r>
        <w:r w:rsidR="00C84E1E">
          <w:rPr>
            <w:noProof/>
            <w:webHidden/>
          </w:rPr>
          <w:t>18</w:t>
        </w:r>
        <w:r>
          <w:rPr>
            <w:noProof/>
            <w:webHidden/>
          </w:rPr>
          <w:fldChar w:fldCharType="end"/>
        </w:r>
      </w:hyperlink>
    </w:p>
    <w:p w14:paraId="5E6F775F" w14:textId="77777777" w:rsidR="00922003" w:rsidRDefault="00922003">
      <w:pPr>
        <w:pStyle w:val="TOC3"/>
        <w:tabs>
          <w:tab w:val="right" w:leader="dot" w:pos="9017"/>
        </w:tabs>
        <w:rPr>
          <w:rFonts w:eastAsiaTheme="minorEastAsia"/>
          <w:noProof/>
          <w:lang w:val="en-US"/>
        </w:rPr>
      </w:pPr>
      <w:hyperlink w:anchor="_Toc162517964" w:history="1">
        <w:r w:rsidRPr="003175F3">
          <w:rPr>
            <w:rStyle w:val="Hyperlink"/>
            <w:noProof/>
          </w:rPr>
          <w:t>4.   Cazul special al jurisdicției penale universale a statului și legislația națională aplicabilă</w:t>
        </w:r>
        <w:r>
          <w:rPr>
            <w:noProof/>
            <w:webHidden/>
          </w:rPr>
          <w:tab/>
        </w:r>
        <w:r>
          <w:rPr>
            <w:noProof/>
            <w:webHidden/>
          </w:rPr>
          <w:fldChar w:fldCharType="begin"/>
        </w:r>
        <w:r>
          <w:rPr>
            <w:noProof/>
            <w:webHidden/>
          </w:rPr>
          <w:instrText xml:space="preserve"> PAGEREF _Toc162517964 \h </w:instrText>
        </w:r>
        <w:r>
          <w:rPr>
            <w:noProof/>
            <w:webHidden/>
          </w:rPr>
        </w:r>
        <w:r>
          <w:rPr>
            <w:noProof/>
            <w:webHidden/>
          </w:rPr>
          <w:fldChar w:fldCharType="separate"/>
        </w:r>
        <w:r w:rsidR="00C84E1E">
          <w:rPr>
            <w:noProof/>
            <w:webHidden/>
          </w:rPr>
          <w:t>18</w:t>
        </w:r>
        <w:r>
          <w:rPr>
            <w:noProof/>
            <w:webHidden/>
          </w:rPr>
          <w:fldChar w:fldCharType="end"/>
        </w:r>
      </w:hyperlink>
    </w:p>
    <w:p w14:paraId="7543710B" w14:textId="77777777" w:rsidR="00922003" w:rsidRDefault="00922003">
      <w:pPr>
        <w:pStyle w:val="TOC1"/>
        <w:rPr>
          <w:rFonts w:eastAsiaTheme="minorEastAsia"/>
          <w:b w:val="0"/>
          <w:noProof/>
          <w:color w:val="auto"/>
          <w:sz w:val="22"/>
          <w:lang w:val="en-US"/>
        </w:rPr>
      </w:pPr>
      <w:hyperlink w:anchor="_Toc162517965" w:history="1">
        <w:r w:rsidRPr="003175F3">
          <w:rPr>
            <w:rStyle w:val="Hyperlink"/>
            <w:noProof/>
          </w:rPr>
          <w:t>IV.   Principiul neretroactivității legislației penale</w:t>
        </w:r>
        <w:r>
          <w:rPr>
            <w:noProof/>
            <w:webHidden/>
          </w:rPr>
          <w:tab/>
        </w:r>
        <w:r>
          <w:rPr>
            <w:noProof/>
            <w:webHidden/>
          </w:rPr>
          <w:fldChar w:fldCharType="begin"/>
        </w:r>
        <w:r>
          <w:rPr>
            <w:noProof/>
            <w:webHidden/>
          </w:rPr>
          <w:instrText xml:space="preserve"> PAGEREF _Toc162517965 \h </w:instrText>
        </w:r>
        <w:r>
          <w:rPr>
            <w:noProof/>
            <w:webHidden/>
          </w:rPr>
        </w:r>
        <w:r>
          <w:rPr>
            <w:noProof/>
            <w:webHidden/>
          </w:rPr>
          <w:fldChar w:fldCharType="separate"/>
        </w:r>
        <w:r w:rsidR="00C84E1E">
          <w:rPr>
            <w:noProof/>
            <w:webHidden/>
          </w:rPr>
          <w:t>20</w:t>
        </w:r>
        <w:r>
          <w:rPr>
            <w:noProof/>
            <w:webHidden/>
          </w:rPr>
          <w:fldChar w:fldCharType="end"/>
        </w:r>
      </w:hyperlink>
    </w:p>
    <w:p w14:paraId="3754A4AA" w14:textId="77777777" w:rsidR="00922003" w:rsidRDefault="00922003">
      <w:pPr>
        <w:pStyle w:val="TOC2"/>
        <w:tabs>
          <w:tab w:val="right" w:leader="dot" w:pos="9017"/>
        </w:tabs>
        <w:rPr>
          <w:rFonts w:eastAsiaTheme="minorEastAsia"/>
          <w:noProof/>
          <w:lang w:val="en-US"/>
        </w:rPr>
      </w:pPr>
      <w:hyperlink w:anchor="_Toc162517966" w:history="1">
        <w:r w:rsidRPr="003175F3">
          <w:rPr>
            <w:rStyle w:val="Hyperlink"/>
            <w:noProof/>
          </w:rPr>
          <w:t>A.   Considerații generale</w:t>
        </w:r>
        <w:r>
          <w:rPr>
            <w:noProof/>
            <w:webHidden/>
          </w:rPr>
          <w:tab/>
        </w:r>
        <w:r>
          <w:rPr>
            <w:noProof/>
            <w:webHidden/>
          </w:rPr>
          <w:fldChar w:fldCharType="begin"/>
        </w:r>
        <w:r>
          <w:rPr>
            <w:noProof/>
            <w:webHidden/>
          </w:rPr>
          <w:instrText xml:space="preserve"> PAGEREF _Toc162517966 \h </w:instrText>
        </w:r>
        <w:r>
          <w:rPr>
            <w:noProof/>
            <w:webHidden/>
          </w:rPr>
        </w:r>
        <w:r>
          <w:rPr>
            <w:noProof/>
            <w:webHidden/>
          </w:rPr>
          <w:fldChar w:fldCharType="separate"/>
        </w:r>
        <w:r w:rsidR="00C84E1E">
          <w:rPr>
            <w:noProof/>
            <w:webHidden/>
          </w:rPr>
          <w:t>20</w:t>
        </w:r>
        <w:r>
          <w:rPr>
            <w:noProof/>
            <w:webHidden/>
          </w:rPr>
          <w:fldChar w:fldCharType="end"/>
        </w:r>
      </w:hyperlink>
    </w:p>
    <w:p w14:paraId="453DD65D" w14:textId="77777777" w:rsidR="00922003" w:rsidRDefault="00922003">
      <w:pPr>
        <w:pStyle w:val="TOC2"/>
        <w:tabs>
          <w:tab w:val="right" w:leader="dot" w:pos="9017"/>
        </w:tabs>
        <w:rPr>
          <w:rFonts w:eastAsiaTheme="minorEastAsia"/>
          <w:noProof/>
          <w:lang w:val="en-US"/>
        </w:rPr>
      </w:pPr>
      <w:hyperlink w:anchor="_Toc162517967" w:history="1">
        <w:r w:rsidRPr="003175F3">
          <w:rPr>
            <w:rStyle w:val="Hyperlink"/>
            <w:noProof/>
          </w:rPr>
          <w:t>B.   Infracțiunile în formă continuată</w:t>
        </w:r>
        <w:r>
          <w:rPr>
            <w:noProof/>
            <w:webHidden/>
          </w:rPr>
          <w:tab/>
        </w:r>
        <w:r>
          <w:rPr>
            <w:noProof/>
            <w:webHidden/>
          </w:rPr>
          <w:fldChar w:fldCharType="begin"/>
        </w:r>
        <w:r>
          <w:rPr>
            <w:noProof/>
            <w:webHidden/>
          </w:rPr>
          <w:instrText xml:space="preserve"> PAGEREF _Toc162517967 \h </w:instrText>
        </w:r>
        <w:r>
          <w:rPr>
            <w:noProof/>
            <w:webHidden/>
          </w:rPr>
        </w:r>
        <w:r>
          <w:rPr>
            <w:noProof/>
            <w:webHidden/>
          </w:rPr>
          <w:fldChar w:fldCharType="separate"/>
        </w:r>
        <w:r w:rsidR="00C84E1E">
          <w:rPr>
            <w:noProof/>
            <w:webHidden/>
          </w:rPr>
          <w:t>21</w:t>
        </w:r>
        <w:r>
          <w:rPr>
            <w:noProof/>
            <w:webHidden/>
          </w:rPr>
          <w:fldChar w:fldCharType="end"/>
        </w:r>
      </w:hyperlink>
    </w:p>
    <w:p w14:paraId="705587FF" w14:textId="77777777" w:rsidR="00922003" w:rsidRDefault="00922003">
      <w:pPr>
        <w:pStyle w:val="TOC2"/>
        <w:tabs>
          <w:tab w:val="right" w:leader="dot" w:pos="9017"/>
        </w:tabs>
        <w:rPr>
          <w:rFonts w:eastAsiaTheme="minorEastAsia"/>
          <w:noProof/>
          <w:lang w:val="en-US"/>
        </w:rPr>
      </w:pPr>
      <w:hyperlink w:anchor="_Toc162517968" w:history="1">
        <w:r w:rsidRPr="003175F3">
          <w:rPr>
            <w:rStyle w:val="Hyperlink"/>
            <w:noProof/>
          </w:rPr>
          <w:t>C.   Recidivarea</w:t>
        </w:r>
        <w:r>
          <w:rPr>
            <w:noProof/>
            <w:webHidden/>
          </w:rPr>
          <w:tab/>
        </w:r>
        <w:r>
          <w:rPr>
            <w:noProof/>
            <w:webHidden/>
          </w:rPr>
          <w:fldChar w:fldCharType="begin"/>
        </w:r>
        <w:r>
          <w:rPr>
            <w:noProof/>
            <w:webHidden/>
          </w:rPr>
          <w:instrText xml:space="preserve"> PAGEREF _Toc162517968 \h </w:instrText>
        </w:r>
        <w:r>
          <w:rPr>
            <w:noProof/>
            <w:webHidden/>
          </w:rPr>
        </w:r>
        <w:r>
          <w:rPr>
            <w:noProof/>
            <w:webHidden/>
          </w:rPr>
          <w:fldChar w:fldCharType="separate"/>
        </w:r>
        <w:r w:rsidR="00C84E1E">
          <w:rPr>
            <w:noProof/>
            <w:webHidden/>
          </w:rPr>
          <w:t>22</w:t>
        </w:r>
        <w:r>
          <w:rPr>
            <w:noProof/>
            <w:webHidden/>
          </w:rPr>
          <w:fldChar w:fldCharType="end"/>
        </w:r>
      </w:hyperlink>
    </w:p>
    <w:p w14:paraId="1C4F3627" w14:textId="77777777" w:rsidR="00922003" w:rsidRDefault="00922003">
      <w:pPr>
        <w:pStyle w:val="TOC1"/>
        <w:rPr>
          <w:rFonts w:eastAsiaTheme="minorEastAsia"/>
          <w:b w:val="0"/>
          <w:noProof/>
          <w:color w:val="auto"/>
          <w:sz w:val="22"/>
          <w:lang w:val="en-US"/>
        </w:rPr>
      </w:pPr>
      <w:hyperlink w:anchor="_Toc162517969" w:history="1">
        <w:r w:rsidRPr="003175F3">
          <w:rPr>
            <w:rStyle w:val="Hyperlink"/>
            <w:noProof/>
          </w:rPr>
          <w:t>V.   Principiul aplicării retroactive a legii penale mai favorabile</w:t>
        </w:r>
        <w:r>
          <w:rPr>
            <w:noProof/>
            <w:webHidden/>
          </w:rPr>
          <w:tab/>
        </w:r>
        <w:r>
          <w:rPr>
            <w:noProof/>
            <w:webHidden/>
          </w:rPr>
          <w:fldChar w:fldCharType="begin"/>
        </w:r>
        <w:r>
          <w:rPr>
            <w:noProof/>
            <w:webHidden/>
          </w:rPr>
          <w:instrText xml:space="preserve"> PAGEREF _Toc162517969 \h </w:instrText>
        </w:r>
        <w:r>
          <w:rPr>
            <w:noProof/>
            <w:webHidden/>
          </w:rPr>
        </w:r>
        <w:r>
          <w:rPr>
            <w:noProof/>
            <w:webHidden/>
          </w:rPr>
          <w:fldChar w:fldCharType="separate"/>
        </w:r>
        <w:r w:rsidR="00C84E1E">
          <w:rPr>
            <w:noProof/>
            <w:webHidden/>
          </w:rPr>
          <w:t>22</w:t>
        </w:r>
        <w:r>
          <w:rPr>
            <w:noProof/>
            <w:webHidden/>
          </w:rPr>
          <w:fldChar w:fldCharType="end"/>
        </w:r>
      </w:hyperlink>
    </w:p>
    <w:p w14:paraId="25DD3B07" w14:textId="77777777" w:rsidR="00922003" w:rsidRDefault="00922003">
      <w:pPr>
        <w:pStyle w:val="TOC1"/>
        <w:rPr>
          <w:rFonts w:eastAsiaTheme="minorEastAsia"/>
          <w:b w:val="0"/>
          <w:noProof/>
          <w:color w:val="auto"/>
          <w:sz w:val="22"/>
          <w:lang w:val="en-US"/>
        </w:rPr>
      </w:pPr>
      <w:hyperlink w:anchor="_Toc162517970" w:history="1">
        <w:r w:rsidRPr="003175F3">
          <w:rPr>
            <w:rStyle w:val="Hyperlink"/>
            <w:noProof/>
          </w:rPr>
          <w:t>VI.   Art. 7 § 2: principiile generale de drept recunoscute de națiunile civilizate</w:t>
        </w:r>
        <w:r>
          <w:rPr>
            <w:noProof/>
            <w:webHidden/>
          </w:rPr>
          <w:tab/>
        </w:r>
        <w:r>
          <w:rPr>
            <w:noProof/>
            <w:webHidden/>
          </w:rPr>
          <w:fldChar w:fldCharType="begin"/>
        </w:r>
        <w:r>
          <w:rPr>
            <w:noProof/>
            <w:webHidden/>
          </w:rPr>
          <w:instrText xml:space="preserve"> PAGEREF _Toc162517970 \h </w:instrText>
        </w:r>
        <w:r>
          <w:rPr>
            <w:noProof/>
            <w:webHidden/>
          </w:rPr>
        </w:r>
        <w:r>
          <w:rPr>
            <w:noProof/>
            <w:webHidden/>
          </w:rPr>
          <w:fldChar w:fldCharType="separate"/>
        </w:r>
        <w:r w:rsidR="00C84E1E">
          <w:rPr>
            <w:noProof/>
            <w:webHidden/>
          </w:rPr>
          <w:t>23</w:t>
        </w:r>
        <w:r>
          <w:rPr>
            <w:noProof/>
            <w:webHidden/>
          </w:rPr>
          <w:fldChar w:fldCharType="end"/>
        </w:r>
      </w:hyperlink>
    </w:p>
    <w:p w14:paraId="332E529C" w14:textId="77777777" w:rsidR="00922003" w:rsidRDefault="00922003">
      <w:pPr>
        <w:pStyle w:val="TOC1"/>
        <w:rPr>
          <w:rFonts w:eastAsiaTheme="minorEastAsia"/>
          <w:b w:val="0"/>
          <w:noProof/>
          <w:color w:val="auto"/>
          <w:sz w:val="22"/>
          <w:lang w:val="en-US"/>
        </w:rPr>
      </w:pPr>
      <w:hyperlink w:anchor="_Toc162517971" w:history="1">
        <w:r w:rsidRPr="003175F3">
          <w:rPr>
            <w:rStyle w:val="Hyperlink"/>
            <w:noProof/>
          </w:rPr>
          <w:t>VII.   Măsuri indicate de Curte în cauze privind încălcarea art. 7 din Convenție</w:t>
        </w:r>
        <w:r>
          <w:rPr>
            <w:noProof/>
            <w:webHidden/>
          </w:rPr>
          <w:tab/>
        </w:r>
        <w:r>
          <w:rPr>
            <w:noProof/>
            <w:webHidden/>
          </w:rPr>
          <w:fldChar w:fldCharType="begin"/>
        </w:r>
        <w:r>
          <w:rPr>
            <w:noProof/>
            <w:webHidden/>
          </w:rPr>
          <w:instrText xml:space="preserve"> PAGEREF _Toc162517971 \h </w:instrText>
        </w:r>
        <w:r>
          <w:rPr>
            <w:noProof/>
            <w:webHidden/>
          </w:rPr>
        </w:r>
        <w:r>
          <w:rPr>
            <w:noProof/>
            <w:webHidden/>
          </w:rPr>
          <w:fldChar w:fldCharType="separate"/>
        </w:r>
        <w:r w:rsidR="00C84E1E">
          <w:rPr>
            <w:noProof/>
            <w:webHidden/>
          </w:rPr>
          <w:t>24</w:t>
        </w:r>
        <w:r>
          <w:rPr>
            <w:noProof/>
            <w:webHidden/>
          </w:rPr>
          <w:fldChar w:fldCharType="end"/>
        </w:r>
      </w:hyperlink>
    </w:p>
    <w:p w14:paraId="13240710" w14:textId="77777777" w:rsidR="00922003" w:rsidRDefault="00922003">
      <w:pPr>
        <w:pStyle w:val="TOC1"/>
        <w:rPr>
          <w:rFonts w:eastAsiaTheme="minorEastAsia"/>
          <w:b w:val="0"/>
          <w:noProof/>
          <w:color w:val="auto"/>
          <w:sz w:val="22"/>
          <w:lang w:val="en-US"/>
        </w:rPr>
      </w:pPr>
      <w:hyperlink w:anchor="_Toc162517972" w:history="1">
        <w:r w:rsidRPr="003175F3">
          <w:rPr>
            <w:rStyle w:val="Hyperlink"/>
            <w:noProof/>
          </w:rPr>
          <w:t>Lista cauzelor citate</w:t>
        </w:r>
        <w:r>
          <w:rPr>
            <w:noProof/>
            <w:webHidden/>
          </w:rPr>
          <w:tab/>
        </w:r>
        <w:r>
          <w:rPr>
            <w:noProof/>
            <w:webHidden/>
          </w:rPr>
          <w:fldChar w:fldCharType="begin"/>
        </w:r>
        <w:r>
          <w:rPr>
            <w:noProof/>
            <w:webHidden/>
          </w:rPr>
          <w:instrText xml:space="preserve"> PAGEREF _Toc162517972 \h </w:instrText>
        </w:r>
        <w:r>
          <w:rPr>
            <w:noProof/>
            <w:webHidden/>
          </w:rPr>
        </w:r>
        <w:r>
          <w:rPr>
            <w:noProof/>
            <w:webHidden/>
          </w:rPr>
          <w:fldChar w:fldCharType="separate"/>
        </w:r>
        <w:r w:rsidR="00C84E1E">
          <w:rPr>
            <w:noProof/>
            <w:webHidden/>
          </w:rPr>
          <w:t>25</w:t>
        </w:r>
        <w:r>
          <w:rPr>
            <w:noProof/>
            <w:webHidden/>
          </w:rPr>
          <w:fldChar w:fldCharType="end"/>
        </w:r>
      </w:hyperlink>
    </w:p>
    <w:p w14:paraId="666A36B7" w14:textId="1CD3CB24" w:rsidR="00757E39" w:rsidRPr="006B7E09" w:rsidRDefault="000D7979" w:rsidP="008C70C0">
      <w:pPr>
        <w:pStyle w:val="ECHRParaSpaced"/>
        <w:rPr>
          <w:rFonts w:asciiTheme="majorHAnsi" w:hAnsiTheme="majorHAnsi"/>
        </w:rPr>
      </w:pPr>
      <w:r w:rsidRPr="006B7E09">
        <w:rPr>
          <w:rFonts w:asciiTheme="majorHAnsi" w:hAnsiTheme="majorHAnsi"/>
        </w:rPr>
        <w:fldChar w:fldCharType="end"/>
      </w:r>
      <w:r>
        <w:br w:type="page"/>
      </w:r>
    </w:p>
    <w:p w14:paraId="13C1F3C2" w14:textId="77777777" w:rsidR="00D32009" w:rsidRPr="006B7E09" w:rsidRDefault="00930B6F" w:rsidP="002438F4">
      <w:pPr>
        <w:pStyle w:val="ECHRTitleCentreTOC1"/>
      </w:pPr>
      <w:bookmarkStart w:id="3" w:name="_Toc446516419"/>
      <w:bookmarkStart w:id="4" w:name="_Toc162517947"/>
      <w:r>
        <w:lastRenderedPageBreak/>
        <w:t>În atenția cititorilor</w:t>
      </w:r>
      <w:bookmarkEnd w:id="3"/>
      <w:bookmarkEnd w:id="4"/>
    </w:p>
    <w:p w14:paraId="12B114D3" w14:textId="77777777" w:rsidR="002438F4" w:rsidRPr="00EC44D0" w:rsidRDefault="002438F4" w:rsidP="00FA0D99">
      <w:pPr>
        <w:pStyle w:val="ECHRParaSpaced"/>
        <w:rPr>
          <w:rFonts w:asciiTheme="majorHAnsi" w:hAnsiTheme="majorHAnsi"/>
        </w:rPr>
      </w:pPr>
    </w:p>
    <w:p w14:paraId="2E7890BC" w14:textId="77777777" w:rsidR="00930B6F" w:rsidRPr="006B7E09" w:rsidRDefault="00930B6F" w:rsidP="00C726D5">
      <w:pPr>
        <w:pStyle w:val="ECHRParaSpaced"/>
        <w:rPr>
          <w:rFonts w:asciiTheme="majorHAnsi" w:hAnsiTheme="majorHAnsi"/>
        </w:rPr>
      </w:pPr>
      <w:r>
        <w:rPr>
          <w:rFonts w:asciiTheme="majorHAnsi" w:hAnsiTheme="majorHAnsi"/>
        </w:rPr>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aceasta. Prezentul ghid analizează și rezumă jurisprudența în temeiul art. 7 din Convenția europeană a drepturilor omului (denumită în continuare „Convenția” sau „Convenția europeană”). Cititorii vor găsi aici principiile-cheie dezvoltate în acest domeniu și precedentele relevante.</w:t>
      </w:r>
    </w:p>
    <w:p w14:paraId="62554AF8" w14:textId="77777777" w:rsidR="00930B6F" w:rsidRPr="006B7E09" w:rsidRDefault="00930B6F" w:rsidP="00C726D5">
      <w:pPr>
        <w:pStyle w:val="ECHRParaSpaced"/>
        <w:rPr>
          <w:rFonts w:asciiTheme="majorHAnsi" w:hAnsiTheme="majorHAnsi"/>
        </w:rPr>
      </w:pPr>
      <w:r>
        <w:rPr>
          <w:rFonts w:asciiTheme="majorHAnsi" w:hAnsiTheme="majorHAnsi"/>
        </w:rPr>
        <w:t>Jurisprudența citată a fost selectată dintre hotărârile și deciziile de referință, importante și/sau recente.*</w:t>
      </w:r>
    </w:p>
    <w:p w14:paraId="7D2A01A7" w14:textId="50C18D6D" w:rsidR="00A11F94" w:rsidRPr="006B7E09" w:rsidRDefault="00A11F94" w:rsidP="00A11F94">
      <w:pPr>
        <w:pStyle w:val="ECHRParaSpaced"/>
        <w:rPr>
          <w:rFonts w:asciiTheme="majorHAnsi" w:hAnsiTheme="majorHAnsi"/>
        </w:rPr>
      </w:pPr>
      <w:r>
        <w:t xml:space="preserve">Hotărârile și deciziile Curții nu </w:t>
      </w:r>
      <w:r w:rsidR="005A1299">
        <w:t>doar</w:t>
      </w:r>
      <w:r>
        <w:t xml:space="preserve"> soluționează cauzele cu care a fost sesizată, ci servesc, în sens mai larg, pentru a clarifica, proteja</w:t>
      </w:r>
      <w:r w:rsidR="005A1299">
        <w:t xml:space="preserve"> și dezvolta normele Convenției, contribuind astfel</w:t>
      </w:r>
      <w:r>
        <w:t xml:space="preserve"> la respectarea</w:t>
      </w:r>
      <w:r w:rsidR="005A1299">
        <w:t>,</w:t>
      </w:r>
      <w:r>
        <w:t xml:space="preserve"> de către state</w:t>
      </w:r>
      <w:r w:rsidR="005A1299">
        <w:t>,</w:t>
      </w:r>
      <w:r>
        <w:t xml:space="preserve"> a angajamentelor pe care și le-au asumat în calitate de părți contractante [</w:t>
      </w:r>
      <w:hyperlink r:id="rId12" w:history="1">
        <w:r>
          <w:rPr>
            <w:rStyle w:val="Hyperlink"/>
            <w:rFonts w:asciiTheme="majorHAnsi" w:hAnsiTheme="majorHAnsi"/>
          </w:rPr>
          <w:t>Irlanda împotriva Regatului Unit</w:t>
        </w:r>
      </w:hyperlink>
      <w:r>
        <w:t xml:space="preserve">, pct. 154, 18 ianuarie 1978, seria A nr. 25 și, mai recent, </w:t>
      </w:r>
      <w:hyperlink r:id="rId13" w:history="1">
        <w:r>
          <w:rPr>
            <w:rStyle w:val="Hyperlink"/>
            <w:rFonts w:asciiTheme="majorHAnsi" w:hAnsiTheme="majorHAnsi"/>
          </w:rPr>
          <w:t>Jeronovičs împotriva Letoniei</w:t>
        </w:r>
      </w:hyperlink>
      <w:r>
        <w:t xml:space="preserve"> (MC), nr. 44898/10, pct. 109, CEDO 2016].</w:t>
      </w:r>
    </w:p>
    <w:p w14:paraId="4F8E63A5" w14:textId="7231AA8F" w:rsidR="00A11F94" w:rsidRPr="006B7E09" w:rsidRDefault="00A11F94" w:rsidP="00A11F94">
      <w:pPr>
        <w:pStyle w:val="ECHRParaSpaced"/>
        <w:rPr>
          <w:rFonts w:asciiTheme="majorHAnsi" w:hAnsiTheme="majorHAnsi"/>
        </w:rPr>
      </w:pPr>
      <w:r>
        <w:t>Sistemul instituit de Convenție are ca finalitate să soluționeze, în interesul general, probleme care țin de ordinea publică, ridicând standardele de protecție a drepturilor omului și extinzând jurisprudența din acest domeniu la întreaga comunitate a statelor care sunt părți la Convenție [</w:t>
      </w:r>
      <w:hyperlink r:id="rId14" w:tgtFrame="_blank" w:history="1">
        <w:r>
          <w:rPr>
            <w:rStyle w:val="Hyperlink"/>
            <w:rFonts w:asciiTheme="majorHAnsi" w:hAnsiTheme="majorHAnsi"/>
          </w:rPr>
          <w:t>Konstantin Markin împotriva Rusiei</w:t>
        </w:r>
      </w:hyperlink>
      <w:r>
        <w:t xml:space="preserve"> (MC), pct. 89, nr. 30078/06, CEDO 2012].</w:t>
      </w:r>
      <w:r>
        <w:rPr>
          <w:rFonts w:asciiTheme="majorHAnsi" w:hAnsiTheme="majorHAnsi"/>
        </w:rPr>
        <w:t xml:space="preserve"> </w:t>
      </w:r>
      <w:r>
        <w:t>Astfel, Curtea a subliniat rolul Convenției ca „instrument constituțional al ordinii publice europene” în domeniul drepturilor omului [</w:t>
      </w:r>
      <w:hyperlink r:id="rId15" w:history="1">
        <w:r>
          <w:rPr>
            <w:rStyle w:val="Hyperlink"/>
            <w:rFonts w:asciiTheme="majorHAnsi" w:hAnsiTheme="majorHAnsi"/>
          </w:rPr>
          <w:t>Bosphorus Hava Yolları Turizm ve Ticaret Anonim Şirketi împotriva Irlandei</w:t>
        </w:r>
      </w:hyperlink>
      <w:r>
        <w:t xml:space="preserve"> (MC), nr. 45036/98, pct. 156, CEDO 2005-VI, și mai recent,  </w:t>
      </w:r>
      <w:hyperlink r:id="rId16" w:history="1">
        <w:r>
          <w:rPr>
            <w:rStyle w:val="Hyperlink"/>
            <w:rFonts w:asciiTheme="majorHAnsi" w:hAnsiTheme="majorHAnsi"/>
          </w:rPr>
          <w:t>N.D. și N.T. împotriva Spaniei</w:t>
        </w:r>
      </w:hyperlink>
      <w:r>
        <w:rPr>
          <w:i/>
        </w:rPr>
        <w:t xml:space="preserve"> </w:t>
      </w:r>
      <w:r>
        <w:t>(MC), nr.</w:t>
      </w:r>
      <w:bookmarkStart w:id="5" w:name="_Hlk84421861"/>
      <w:r>
        <w:rPr>
          <w:rFonts w:asciiTheme="majorHAnsi" w:hAnsiTheme="majorHAnsi"/>
        </w:rPr>
        <w:t xml:space="preserve"> </w:t>
      </w:r>
      <w:r>
        <w:t>8675/15 și 8697/15, pct. 110, 13 februarie 2020</w:t>
      </w:r>
      <w:bookmarkEnd w:id="5"/>
      <w:r>
        <w:t>]</w:t>
      </w:r>
      <w:r>
        <w:rPr>
          <w:rFonts w:asciiTheme="majorHAnsi" w:hAnsiTheme="majorHAnsi"/>
        </w:rPr>
        <w:t>.</w:t>
      </w:r>
    </w:p>
    <w:p w14:paraId="7E1A7B58" w14:textId="3F428A6D" w:rsidR="004A5F35" w:rsidRPr="006B7E09" w:rsidRDefault="004A5F35" w:rsidP="004A5F35">
      <w:pPr>
        <w:pStyle w:val="ECHRParaSpaced"/>
      </w:pPr>
      <w:bookmarkStart w:id="6" w:name="_Hlk109038103"/>
      <w:bookmarkStart w:id="7" w:name="_Hlk112922502"/>
      <w:r>
        <w:t xml:space="preserve">Protocolul nr. 15 la Convenție a introdus recent principiul subsidiarității în preambulul Convenției. Acest principiu impune </w:t>
      </w:r>
      <w:r w:rsidR="00C05EA2">
        <w:t>„</w:t>
      </w:r>
      <w:r>
        <w:t>o r</w:t>
      </w:r>
      <w:r w:rsidR="00C05EA2">
        <w:t xml:space="preserve">esponsabilitate </w:t>
      </w:r>
      <w:r>
        <w:t xml:space="preserve">comună a statelor părți și a Curții” în ceea ce privește protecția drepturilor omului, iar autoritățile și instanțele naționale trebuie să interpreteze și să aplice dreptul </w:t>
      </w:r>
      <w:r w:rsidR="00C05EA2">
        <w:t>intern</w:t>
      </w:r>
      <w:r>
        <w:t xml:space="preserve"> într-un mod care să asigure efectul deplin al drepturilor și libertăților definite în Convenție și în protocoalele la aceasta [</w:t>
      </w:r>
      <w:hyperlink r:id="rId17" w:history="1">
        <w:r>
          <w:rPr>
            <w:rStyle w:val="Hyperlink"/>
          </w:rPr>
          <w:t>Grzęda împotriva Poloniei</w:t>
        </w:r>
      </w:hyperlink>
      <w:r>
        <w:t xml:space="preserve"> (MC), pct. 324].</w:t>
      </w:r>
      <w:bookmarkEnd w:id="6"/>
    </w:p>
    <w:bookmarkEnd w:id="7"/>
    <w:p w14:paraId="24919413" w14:textId="0A75FB40" w:rsidR="00A11F94" w:rsidRPr="006B7E09" w:rsidRDefault="00A11F94" w:rsidP="00A11F94">
      <w:pPr>
        <w:pStyle w:val="ECHRParaSpaced"/>
        <w:rPr>
          <w:rFonts w:asciiTheme="majorHAnsi" w:hAnsiTheme="majorHAnsi"/>
        </w:rPr>
      </w:pPr>
      <w:r>
        <w:rPr>
          <w:rFonts w:asciiTheme="majorHAnsi" w:hAnsiTheme="majorHAnsi"/>
        </w:rPr>
        <w:t xml:space="preserve">Prezentul ghid include trimiteri la cuvintele-cheie din fiecare articol citat din Convenție sau din protocoalele </w:t>
      </w:r>
      <w:r w:rsidR="00C05EA2">
        <w:rPr>
          <w:rFonts w:asciiTheme="majorHAnsi" w:hAnsiTheme="majorHAnsi"/>
        </w:rPr>
        <w:t>la aceasta</w:t>
      </w:r>
      <w:r>
        <w:rPr>
          <w:rFonts w:asciiTheme="majorHAnsi" w:hAnsiTheme="majorHAnsi"/>
        </w:rPr>
        <w:t xml:space="preserve">. </w:t>
      </w:r>
      <w:r>
        <w:t xml:space="preserve">Problemele juridice abordate în fiecare cauză sunt sintetizate într-o </w:t>
      </w:r>
      <w:hyperlink r:id="rId18" w:history="1">
        <w:r>
          <w:rPr>
            <w:rStyle w:val="Hyperlink"/>
            <w:rFonts w:asciiTheme="majorHAnsi" w:hAnsiTheme="majorHAnsi"/>
          </w:rPr>
          <w:t>Listă de cuvinte-cheie</w:t>
        </w:r>
      </w:hyperlink>
      <w:r>
        <w:t xml:space="preserve">, </w:t>
      </w:r>
      <w:r w:rsidR="00C05EA2">
        <w:t xml:space="preserve">selectate </w:t>
      </w:r>
      <w:r>
        <w:t xml:space="preserve">dintr-un tezaur </w:t>
      </w:r>
      <w:r w:rsidR="00C05EA2">
        <w:t>de</w:t>
      </w:r>
      <w:r>
        <w:t xml:space="preserve"> termeni extrași (în </w:t>
      </w:r>
      <w:r w:rsidR="00C05EA2">
        <w:t>majoritatea cazurilor</w:t>
      </w:r>
      <w:r>
        <w:t>) direct din textul Convenției și din protocoalele</w:t>
      </w:r>
      <w:r w:rsidR="00C05EA2">
        <w:t xml:space="preserve"> la aceasta</w:t>
      </w:r>
      <w:r>
        <w:t>.</w:t>
      </w:r>
    </w:p>
    <w:p w14:paraId="7FEA5C4A" w14:textId="1707F7EB" w:rsidR="00601D12" w:rsidRPr="006B7E09" w:rsidRDefault="008E32D6" w:rsidP="00A11F94">
      <w:pPr>
        <w:pStyle w:val="ECHRParaSpaced"/>
        <w:rPr>
          <w:rFonts w:asciiTheme="majorHAnsi" w:hAnsiTheme="majorHAnsi"/>
        </w:rPr>
      </w:pPr>
      <w:hyperlink r:id="rId19" w:history="1">
        <w:r w:rsidR="00A11F94">
          <w:rPr>
            <w:rStyle w:val="Hyperlink"/>
            <w:rFonts w:asciiTheme="majorHAnsi" w:hAnsiTheme="majorHAnsi"/>
          </w:rPr>
          <w:t xml:space="preserve">Baza de date </w:t>
        </w:r>
        <w:r w:rsidR="00A11F94">
          <w:rPr>
            <w:rStyle w:val="Hyperlink"/>
            <w:rFonts w:asciiTheme="majorHAnsi" w:hAnsiTheme="majorHAnsi"/>
            <w:u w:val="single"/>
          </w:rPr>
          <w:t>HUDOC</w:t>
        </w:r>
      </w:hyperlink>
      <w:r w:rsidR="00A11F94">
        <w:t xml:space="preserve"> a jurisprudenței Curții permite </w:t>
      </w:r>
      <w:r w:rsidR="00A11F94">
        <w:rPr>
          <w:rFonts w:asciiTheme="majorHAnsi" w:hAnsiTheme="majorHAnsi"/>
        </w:rPr>
        <w:t>căutarea după cuvinte-cheie. Căutarea după aceste cuvinte-cheie permite găsi</w:t>
      </w:r>
      <w:r w:rsidR="00C05EA2">
        <w:rPr>
          <w:rFonts w:asciiTheme="majorHAnsi" w:hAnsiTheme="majorHAnsi"/>
        </w:rPr>
        <w:t>rea</w:t>
      </w:r>
      <w:r w:rsidR="00A11F94">
        <w:rPr>
          <w:rFonts w:asciiTheme="majorHAnsi" w:hAnsiTheme="majorHAnsi"/>
        </w:rPr>
        <w:t xml:space="preserve"> un</w:t>
      </w:r>
      <w:r w:rsidR="00C05EA2">
        <w:rPr>
          <w:rFonts w:asciiTheme="majorHAnsi" w:hAnsiTheme="majorHAnsi"/>
        </w:rPr>
        <w:t>ui</w:t>
      </w:r>
      <w:r w:rsidR="00A11F94">
        <w:rPr>
          <w:rFonts w:asciiTheme="majorHAnsi" w:hAnsiTheme="majorHAnsi"/>
        </w:rPr>
        <w:t xml:space="preserve"> grup de documente cu un conținut juridic similar (motivarea și concluziile Curții din fiecare cauză sunt rezumate prin cuvinte-cheie). Cuvintele-cheie pentru fiecare cauză sunt disponibile în </w:t>
      </w:r>
      <w:r w:rsidR="00C05EA2">
        <w:rPr>
          <w:rFonts w:asciiTheme="majorHAnsi" w:hAnsiTheme="majorHAnsi"/>
        </w:rPr>
        <w:t>fila Detalii</w:t>
      </w:r>
      <w:r w:rsidR="00A11F94">
        <w:rPr>
          <w:rFonts w:asciiTheme="majorHAnsi" w:hAnsiTheme="majorHAnsi"/>
        </w:rPr>
        <w:t xml:space="preserve"> cauz</w:t>
      </w:r>
      <w:r w:rsidR="00C05EA2">
        <w:rPr>
          <w:rFonts w:asciiTheme="majorHAnsi" w:hAnsiTheme="majorHAnsi"/>
        </w:rPr>
        <w:t>ă</w:t>
      </w:r>
      <w:r w:rsidR="00A11F94">
        <w:rPr>
          <w:rFonts w:asciiTheme="majorHAnsi" w:hAnsiTheme="majorHAnsi"/>
        </w:rPr>
        <w:t xml:space="preserve">, în baza de date HUDOC. </w:t>
      </w:r>
      <w:r w:rsidR="00A11F94">
        <w:t xml:space="preserve">Pentru informații </w:t>
      </w:r>
      <w:r w:rsidR="00C05EA2">
        <w:t xml:space="preserve">suplimentare </w:t>
      </w:r>
      <w:r w:rsidR="00A11F94">
        <w:t xml:space="preserve">privind baza de date și cuvintele-cheie, consultați </w:t>
      </w:r>
      <w:hyperlink r:id="rId20" w:history="1">
        <w:r w:rsidR="00C05EA2">
          <w:rPr>
            <w:rStyle w:val="Hyperlink"/>
            <w:rFonts w:asciiTheme="majorHAnsi" w:hAnsiTheme="majorHAnsi"/>
          </w:rPr>
          <w:t>Manual</w:t>
        </w:r>
        <w:r w:rsidR="00A11F94">
          <w:rPr>
            <w:rStyle w:val="Hyperlink"/>
            <w:rFonts w:asciiTheme="majorHAnsi" w:hAnsiTheme="majorHAnsi"/>
          </w:rPr>
          <w:t xml:space="preserve"> de utilizare HUDOC</w:t>
        </w:r>
      </w:hyperlink>
      <w:r w:rsidR="00A11F94">
        <w:t>.</w:t>
      </w:r>
    </w:p>
    <w:p w14:paraId="5CE37659" w14:textId="77777777" w:rsidR="00904E3A" w:rsidRPr="00EC44D0" w:rsidRDefault="00904E3A" w:rsidP="00502947">
      <w:pPr>
        <w:pStyle w:val="ECHRParaSpaced"/>
        <w:rPr>
          <w:rFonts w:asciiTheme="majorHAnsi" w:hAnsiTheme="majorHAnsi"/>
          <w:lang w:val="fr-FR"/>
        </w:rPr>
      </w:pPr>
    </w:p>
    <w:p w14:paraId="11ECE1A6" w14:textId="77777777" w:rsidR="002438F4" w:rsidRPr="006B7E09" w:rsidRDefault="002438F4" w:rsidP="002438F4">
      <w:pPr>
        <w:rPr>
          <w:rFonts w:asciiTheme="majorHAnsi" w:hAnsiTheme="majorHAnsi"/>
          <w:lang w:val="en-GB"/>
        </w:rPr>
      </w:pPr>
      <w:r w:rsidRPr="006B7E09">
        <w:rPr>
          <w:rFonts w:asciiTheme="majorHAnsi" w:hAnsiTheme="majorHAnsi"/>
          <w:lang w:val="en-GB"/>
        </w:rPr>
        <w:separator/>
      </w:r>
    </w:p>
    <w:p w14:paraId="61B9A370" w14:textId="69DD56A1" w:rsidR="00AD1135" w:rsidRPr="006B7E09" w:rsidRDefault="00930B6F" w:rsidP="004A5F35">
      <w:pPr>
        <w:pStyle w:val="FootnoteText"/>
        <w:rPr>
          <w:rFonts w:asciiTheme="majorHAnsi" w:hAnsiTheme="majorHAnsi"/>
        </w:rPr>
      </w:pPr>
      <w:r>
        <w:rPr>
          <w:rFonts w:asciiTheme="majorHAnsi" w:hAnsiTheme="majorHAnsi"/>
        </w:rPr>
        <w:t xml:space="preserve">* Jurisprudența citată poate fi în una sau în ambele limbi oficiale (engleză și franceză) ale Curții și ale Comisiei Europene a Drepturilor Omului. Dacă </w:t>
      </w:r>
      <w:r w:rsidR="005A1299" w:rsidRPr="004E77FD">
        <w:rPr>
          <w:rFonts w:cstheme="minorHAnsi"/>
        </w:rPr>
        <w:t>nu se specifică altfel, trimiterea este la o hotărâre pe fond, pronunțată de o Cameră a Curții. Abrevierea „(dec.)” arată că este vorba despre o decizie a Curții, iar „(MC)” că respectiva cauză a fost examinată de Marea Cameră. Hotărârile pronunțate de o Cameră, care nu sunt definitive la data publicării prezentei actualizări, sunt marcate cu un asterisc</w:t>
      </w:r>
      <w:r w:rsidR="005A1299">
        <w:t xml:space="preserve"> (*).</w:t>
      </w:r>
      <w:r>
        <w:rPr>
          <w:rFonts w:asciiTheme="majorHAnsi" w:hAnsiTheme="majorHAnsi"/>
        </w:rPr>
        <w:br w:type="page"/>
      </w:r>
    </w:p>
    <w:p w14:paraId="29BFD88E" w14:textId="77777777" w:rsidR="00A93D91" w:rsidRPr="006B7E09" w:rsidRDefault="00A93D91" w:rsidP="006E7F7A">
      <w:pPr>
        <w:pStyle w:val="ECHRHeading1"/>
      </w:pPr>
      <w:bookmarkStart w:id="8" w:name="_Toc162517948"/>
      <w:r>
        <w:lastRenderedPageBreak/>
        <w:t>Introducere</w:t>
      </w:r>
      <w:bookmarkEnd w:id="8"/>
    </w:p>
    <w:p w14:paraId="3FE38365" w14:textId="77777777" w:rsidR="00A11F94" w:rsidRPr="006B7E09" w:rsidRDefault="00A11F94" w:rsidP="00A11F94">
      <w:pPr>
        <w:pStyle w:val="ECHRParaHanging"/>
        <w:rPr>
          <w:rFonts w:asciiTheme="majorHAnsi" w:hAnsiTheme="majorHAnsi"/>
        </w:rPr>
      </w:pPr>
    </w:p>
    <w:tbl>
      <w:tblPr>
        <w:tblStyle w:val="TableGrid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9061"/>
      </w:tblGrid>
      <w:tr w:rsidR="00A11F94" w:rsidRPr="006B7E09" w14:paraId="5B48155A" w14:textId="77777777" w:rsidTr="00B21BD1">
        <w:tc>
          <w:tcPr>
            <w:tcW w:w="9277" w:type="dxa"/>
            <w:shd w:val="clear" w:color="auto" w:fill="F8F8F8" w:themeFill="background2"/>
            <w:tcMar>
              <w:right w:w="227" w:type="dxa"/>
            </w:tcMar>
          </w:tcPr>
          <w:p w14:paraId="1634A24B" w14:textId="77777777" w:rsidR="00A11F94" w:rsidRPr="006B7E09" w:rsidRDefault="00A11F94" w:rsidP="00A11F94">
            <w:pPr>
              <w:spacing w:before="120" w:after="120"/>
              <w:jc w:val="both"/>
              <w:rPr>
                <w:rFonts w:asciiTheme="majorHAnsi" w:hAnsiTheme="majorHAnsi"/>
                <w:b/>
                <w:color w:val="00548C" w:themeColor="background1" w:themeShade="BF"/>
              </w:rPr>
            </w:pPr>
            <w:r>
              <w:rPr>
                <w:rFonts w:asciiTheme="majorHAnsi" w:hAnsiTheme="majorHAnsi"/>
                <w:b/>
                <w:color w:val="00548C" w:themeColor="background1" w:themeShade="BF"/>
              </w:rPr>
              <w:t>Art. 7 din Convenție– Nicio pedeapsă fără lege</w:t>
            </w:r>
          </w:p>
          <w:p w14:paraId="7C42E099" w14:textId="77777777" w:rsidR="00A11F94" w:rsidRPr="006B7E09" w:rsidRDefault="00A11F94" w:rsidP="00037C14">
            <w:pPr>
              <w:pStyle w:val="ECHRParaQuote"/>
              <w:rPr>
                <w:rFonts w:asciiTheme="majorHAnsi" w:hAnsiTheme="majorHAnsi"/>
              </w:rPr>
            </w:pPr>
            <w:r>
              <w:rPr>
                <w:rFonts w:asciiTheme="majorHAnsi" w:hAnsiTheme="majorHAnsi"/>
              </w:rPr>
              <w:t>„1.  Nimeni nu poate fi condamnat pentru o acțiune sau o omisiune care, în momentul în care a fost săvârșită, nu constituia o infracțiune, potrivit dreptului național și internațional. De asemenea, nu se poate aplica o pedeapsă mai severă decât aceea care era aplicabilă în momentul săvârșirii infracțiunii.</w:t>
            </w:r>
          </w:p>
          <w:p w14:paraId="2CAF471E" w14:textId="77777777" w:rsidR="00A11F94" w:rsidRPr="006B7E09" w:rsidRDefault="00A11F94" w:rsidP="00037C14">
            <w:pPr>
              <w:pStyle w:val="ECHRParaQuote"/>
              <w:rPr>
                <w:rFonts w:asciiTheme="majorHAnsi" w:hAnsiTheme="majorHAnsi"/>
              </w:rPr>
            </w:pPr>
            <w:r>
              <w:rPr>
                <w:rFonts w:asciiTheme="majorHAnsi" w:hAnsiTheme="majorHAnsi"/>
              </w:rPr>
              <w:t>2.  Prezentul articol nu va aduce atingere judecării și pedepsirii unei persoane vinovate de o acțiune sau de o omisiune care, în momentul săvârșirii sale, era considerată infracțiune potrivit principiilor generale de drept recunoscute de națiunile civilizate.”</w:t>
            </w:r>
          </w:p>
        </w:tc>
      </w:tr>
      <w:tr w:rsidR="00A11F94" w:rsidRPr="006B7E09" w14:paraId="520C6F6F" w14:textId="77777777" w:rsidTr="00B21BD1">
        <w:tc>
          <w:tcPr>
            <w:tcW w:w="9277" w:type="dxa"/>
            <w:shd w:val="clear" w:color="auto" w:fill="F8F8F8" w:themeFill="background2"/>
            <w:tcMar>
              <w:right w:w="227" w:type="dxa"/>
            </w:tcMar>
          </w:tcPr>
          <w:p w14:paraId="7767F429" w14:textId="77777777" w:rsidR="00A11F94" w:rsidRPr="006B7E09" w:rsidRDefault="00A11F94" w:rsidP="00A11F94">
            <w:pPr>
              <w:spacing w:before="120" w:after="120"/>
              <w:jc w:val="both"/>
              <w:rPr>
                <w:rFonts w:asciiTheme="majorHAnsi" w:hAnsiTheme="majorHAnsi"/>
                <w:b/>
                <w:color w:val="00548C" w:themeColor="background1" w:themeShade="BF"/>
              </w:rPr>
            </w:pPr>
            <w:r>
              <w:rPr>
                <w:rFonts w:asciiTheme="majorHAnsi" w:hAnsiTheme="majorHAnsi"/>
                <w:b/>
                <w:color w:val="00548C" w:themeColor="background1" w:themeShade="BF"/>
              </w:rPr>
              <w:t>Cuvinte-cheie HUDOC</w:t>
            </w:r>
          </w:p>
          <w:p w14:paraId="6A0EBA42" w14:textId="77777777" w:rsidR="00A11F94" w:rsidRPr="006B7E09" w:rsidRDefault="00A11F94" w:rsidP="00037C14">
            <w:pPr>
              <w:pStyle w:val="ECHRParaQuote"/>
              <w:rPr>
                <w:rFonts w:asciiTheme="majorHAnsi" w:hAnsiTheme="majorHAnsi"/>
              </w:rPr>
            </w:pPr>
            <w:r>
              <w:rPr>
                <w:rStyle w:val="CLLItalic"/>
                <w:rFonts w:asciiTheme="majorHAnsi" w:hAnsiTheme="majorHAnsi"/>
              </w:rPr>
              <w:t>Nullum crimen sine lege</w:t>
            </w:r>
            <w:r>
              <w:rPr>
                <w:rFonts w:asciiTheme="majorHAnsi" w:hAnsiTheme="majorHAnsi"/>
              </w:rPr>
              <w:t xml:space="preserve"> (7-1) – </w:t>
            </w:r>
            <w:r>
              <w:rPr>
                <w:rStyle w:val="CLLItalic"/>
                <w:rFonts w:asciiTheme="majorHAnsi" w:hAnsiTheme="majorHAnsi"/>
              </w:rPr>
              <w:t>Nulla poena sine lege</w:t>
            </w:r>
            <w:r>
              <w:rPr>
                <w:rFonts w:asciiTheme="majorHAnsi" w:hAnsiTheme="majorHAnsi"/>
              </w:rPr>
              <w:t xml:space="preserve"> (7-1) – Condamnare (7-1) – Pedeapsă mai severă (7-1) – Infracțiune (7-1) – Momentul săvârșirii actului sau a omisiunii (7-1) – Retroactivitate (7-1) – Faptă penală (7-2) – Principii generale de drept recunoscute de națiunile civilizate (7-2)</w:t>
            </w:r>
          </w:p>
        </w:tc>
      </w:tr>
    </w:tbl>
    <w:p w14:paraId="421BE006" w14:textId="77777777" w:rsidR="00A11F94" w:rsidRPr="006B7E09" w:rsidRDefault="00A11F94" w:rsidP="00A11F94">
      <w:pPr>
        <w:pStyle w:val="ECHRParaHanging"/>
        <w:rPr>
          <w:rFonts w:asciiTheme="majorHAnsi" w:hAnsiTheme="majorHAnsi"/>
        </w:rPr>
      </w:pPr>
    </w:p>
    <w:p w14:paraId="426E12D5" w14:textId="2348918E" w:rsidR="00E976B6" w:rsidRPr="006B7E09" w:rsidRDefault="00340FE2" w:rsidP="00D22D34">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1</w:t>
      </w:r>
      <w:r w:rsidRPr="006B7E09">
        <w:rPr>
          <w:rFonts w:asciiTheme="majorHAnsi" w:hAnsiTheme="majorHAnsi"/>
        </w:rPr>
        <w:fldChar w:fldCharType="end"/>
      </w:r>
      <w:r>
        <w:rPr>
          <w:rFonts w:asciiTheme="majorHAnsi" w:hAnsiTheme="majorHAnsi"/>
        </w:rPr>
        <w:t xml:space="preserve">.  Garanția consacrată în art. 7, care este un element esențial al statului de drept, ocupă un loc important în sistemul de protecție al Convenției, astfel cum se subliniază prin faptul că nu se permite nicio derogare de la aceasta în temeiul art. 15 în caz de război sau de alt pericol public. </w:t>
      </w:r>
      <w:r>
        <w:t>Aceasta trebuie interpretată și aplicată, astfel cum rezultă din obiectul și scopul ei, astfel încât să ofere garanții eficiente împotriva urmăririi penale, condamnării și pedepsirii arbitrare</w:t>
      </w:r>
      <w:r>
        <w:rPr>
          <w:rFonts w:asciiTheme="majorHAnsi" w:hAnsiTheme="majorHAnsi"/>
        </w:rPr>
        <w:t xml:space="preserve"> [</w:t>
      </w:r>
      <w:hyperlink r:id="rId21" w:history="1">
        <w:hyperlink r:id="rId22" w:history="1">
          <w:r>
            <w:rPr>
              <w:rStyle w:val="Hyperlink"/>
              <w:rFonts w:asciiTheme="majorHAnsi" w:hAnsiTheme="majorHAnsi"/>
            </w:rPr>
            <w:t>S.W. împotriva Regatului Unit</w:t>
          </w:r>
        </w:hyperlink>
      </w:hyperlink>
      <w:r>
        <w:rPr>
          <w:rFonts w:asciiTheme="majorHAnsi" w:hAnsiTheme="majorHAnsi"/>
        </w:rPr>
        <w:t xml:space="preserve">, 1995, pct. 34; </w:t>
      </w:r>
      <w:hyperlink r:id="rId23" w:history="1">
        <w:r>
          <w:rPr>
            <w:rStyle w:val="Hyperlink"/>
            <w:rFonts w:asciiTheme="majorHAnsi" w:hAnsiTheme="majorHAnsi"/>
          </w:rPr>
          <w:t>C.R. împotriva Regatului Unit</w:t>
        </w:r>
      </w:hyperlink>
      <w:r>
        <w:rPr>
          <w:rFonts w:asciiTheme="majorHAnsi" w:hAnsiTheme="majorHAnsi"/>
        </w:rPr>
        <w:t xml:space="preserve">, 1995, pct. 32; </w:t>
      </w:r>
      <w:hyperlink r:id="rId24" w:history="1">
        <w:hyperlink r:id="rId25" w:history="1">
          <w:r>
            <w:rPr>
              <w:rStyle w:val="Hyperlink"/>
              <w:rFonts w:asciiTheme="majorHAnsi" w:hAnsiTheme="majorHAnsi"/>
            </w:rPr>
            <w:t>Del Río Prada împotriva Spaniei</w:t>
          </w:r>
        </w:hyperlink>
      </w:hyperlink>
      <w:r>
        <w:rPr>
          <w:rFonts w:asciiTheme="majorHAnsi" w:hAnsiTheme="majorHAnsi"/>
        </w:rPr>
        <w:t xml:space="preserve"> (MC), 2013, pct. 77; </w:t>
      </w:r>
      <w:hyperlink r:id="rId26" w:history="1">
        <w:hyperlink r:id="rId27" w:history="1">
          <w:r>
            <w:rPr>
              <w:rStyle w:val="Hyperlink"/>
              <w:rFonts w:asciiTheme="majorHAnsi" w:hAnsiTheme="majorHAnsi"/>
            </w:rPr>
            <w:t>Vasiliauskas împotriva Lituaniei</w:t>
          </w:r>
        </w:hyperlink>
      </w:hyperlink>
      <w:r>
        <w:rPr>
          <w:rFonts w:asciiTheme="majorHAnsi" w:hAnsiTheme="majorHAnsi"/>
        </w:rPr>
        <w:t xml:space="preserve"> (MC), 2015, pct. 153].</w:t>
      </w:r>
    </w:p>
    <w:p w14:paraId="13D54841" w14:textId="5B4D2579" w:rsidR="006D2C5E" w:rsidRPr="006B7E09" w:rsidRDefault="00A93D91" w:rsidP="00D22D34">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2</w:t>
      </w:r>
      <w:r w:rsidRPr="006B7E09">
        <w:rPr>
          <w:rFonts w:asciiTheme="majorHAnsi" w:hAnsiTheme="majorHAnsi"/>
        </w:rPr>
        <w:fldChar w:fldCharType="end"/>
      </w:r>
      <w:r>
        <w:rPr>
          <w:rFonts w:asciiTheme="majorHAnsi" w:hAnsiTheme="majorHAnsi"/>
        </w:rPr>
        <w:t>.  Art. 7 din Convenție nu se mărginește la interdicția de a aplica retroactiv legea penală în dezavantajul acuzatului. Acesta consacră, mai general, principiul că numai legea poate să definească o infracțiune și să prescrie o pedeapsă (</w:t>
      </w:r>
      <w:r>
        <w:rPr>
          <w:rStyle w:val="CLLItalic"/>
          <w:rFonts w:asciiTheme="majorHAnsi" w:hAnsiTheme="majorHAnsi"/>
        </w:rPr>
        <w:t>nullum crimen, nulla poena sine lege</w:t>
      </w:r>
      <w:r>
        <w:rPr>
          <w:rFonts w:asciiTheme="majorHAnsi" w:hAnsiTheme="majorHAnsi"/>
        </w:rPr>
        <w:t>) și cel că legea penală nu trebuie interpretată în mod extensiv în defavoarea inculpatului, de exemplu prin analogie  (</w:t>
      </w:r>
      <w:hyperlink r:id="rId28" w:history="1">
        <w:hyperlink r:id="rId29" w:history="1">
          <w:r>
            <w:rPr>
              <w:rStyle w:val="Hyperlink"/>
              <w:rFonts w:asciiTheme="majorHAnsi" w:hAnsiTheme="majorHAnsi"/>
            </w:rPr>
            <w:t>ibid.</w:t>
          </w:r>
        </w:hyperlink>
      </w:hyperlink>
      <w:r>
        <w:rPr>
          <w:rFonts w:asciiTheme="majorHAnsi" w:hAnsiTheme="majorHAnsi"/>
        </w:rPr>
        <w:t xml:space="preserve">, pct. 154; </w:t>
      </w:r>
      <w:hyperlink r:id="rId30" w:history="1">
        <w:hyperlink r:id="rId31" w:history="1">
          <w:r>
            <w:rPr>
              <w:rStyle w:val="Hyperlink"/>
              <w:rFonts w:asciiTheme="majorHAnsi" w:hAnsiTheme="majorHAnsi"/>
            </w:rPr>
            <w:t>Kokkinakis împotriva Greciei</w:t>
          </w:r>
        </w:hyperlink>
      </w:hyperlink>
      <w:r>
        <w:rPr>
          <w:rFonts w:asciiTheme="majorHAnsi" w:hAnsiTheme="majorHAnsi"/>
        </w:rPr>
        <w:t>, 1993, pct. 52).</w:t>
      </w:r>
    </w:p>
    <w:p w14:paraId="7841950A" w14:textId="77777777" w:rsidR="006D2C5E" w:rsidRPr="006B7E09" w:rsidRDefault="006D2C5E">
      <w:pPr>
        <w:rPr>
          <w:rFonts w:asciiTheme="majorHAnsi" w:hAnsiTheme="majorHAnsi"/>
        </w:rPr>
      </w:pPr>
      <w:r>
        <w:br w:type="page"/>
      </w:r>
    </w:p>
    <w:p w14:paraId="06FFA004" w14:textId="77777777" w:rsidR="00A93D91" w:rsidRPr="006B7E09" w:rsidRDefault="00B158F8" w:rsidP="00F54C93">
      <w:pPr>
        <w:pStyle w:val="ECHRHeading1"/>
      </w:pPr>
      <w:bookmarkStart w:id="9" w:name="_Toc436664097"/>
      <w:bookmarkStart w:id="10" w:name="_Toc436664764"/>
      <w:bookmarkStart w:id="11" w:name="_Toc436741690"/>
      <w:bookmarkStart w:id="12" w:name="_Toc162517949"/>
      <w:r>
        <w:lastRenderedPageBreak/>
        <w:t>Domeniu de aplicare</w:t>
      </w:r>
      <w:bookmarkEnd w:id="12"/>
    </w:p>
    <w:p w14:paraId="17AA64D7" w14:textId="77777777" w:rsidR="00962AC3" w:rsidRPr="006B7E09" w:rsidRDefault="00B158F8" w:rsidP="00F54C93">
      <w:pPr>
        <w:pStyle w:val="ECHRHeading2"/>
      </w:pPr>
      <w:bookmarkStart w:id="13" w:name="_Toc443056773"/>
      <w:bookmarkStart w:id="14" w:name="_Toc162517950"/>
      <w:bookmarkEnd w:id="9"/>
      <w:bookmarkEnd w:id="10"/>
      <w:bookmarkEnd w:id="11"/>
      <w:r>
        <w:t>Noțiunea de „constatare a vinovăției”</w:t>
      </w:r>
      <w:bookmarkEnd w:id="13"/>
      <w:bookmarkEnd w:id="14"/>
    </w:p>
    <w:p w14:paraId="7EEB4619" w14:textId="76AB28B2" w:rsidR="00A93D91" w:rsidRPr="006B7E09" w:rsidRDefault="00A93D91" w:rsidP="00816A5A">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3</w:t>
      </w:r>
      <w:r w:rsidRPr="006B7E09">
        <w:rPr>
          <w:rFonts w:asciiTheme="majorHAnsi" w:hAnsiTheme="majorHAnsi"/>
        </w:rPr>
        <w:fldChar w:fldCharType="end"/>
      </w:r>
      <w:r>
        <w:rPr>
          <w:rFonts w:asciiTheme="majorHAnsi" w:hAnsiTheme="majorHAnsi"/>
        </w:rPr>
        <w:t>.  Art. 7 se aplică doar atunci când persoana a fost „găsită vinovată” de săvârșirea unei infracțiuni. Acesta nu se referă la simple urmăriri penale în curs, de exemplu (</w:t>
      </w:r>
      <w:hyperlink r:id="rId32" w:history="1">
        <w:hyperlink r:id="rId33" w:history="1">
          <w:r>
            <w:rPr>
              <w:rStyle w:val="Hyperlink"/>
              <w:rFonts w:asciiTheme="majorHAnsi" w:hAnsiTheme="majorHAnsi"/>
            </w:rPr>
            <w:t>Lukanov împotriva Bulgariei</w:t>
          </w:r>
        </w:hyperlink>
      </w:hyperlink>
      <w:r>
        <w:rPr>
          <w:rFonts w:asciiTheme="majorHAnsi" w:hAnsiTheme="majorHAnsi"/>
        </w:rPr>
        <w:t>, decizia Comisiei din 1995), sau la decizia de a extrăda o persoană (</w:t>
      </w:r>
      <w:hyperlink r:id="rId34" w:history="1">
        <w:r>
          <w:rPr>
            <w:rStyle w:val="Hyperlink"/>
            <w:rFonts w:asciiTheme="majorHAnsi" w:hAnsiTheme="majorHAnsi"/>
          </w:rPr>
          <w:t>X împotriva Țărilor de Jos</w:t>
        </w:r>
      </w:hyperlink>
      <w:r>
        <w:rPr>
          <w:rFonts w:asciiTheme="majorHAnsi" w:hAnsiTheme="majorHAnsi"/>
        </w:rPr>
        <w:t xml:space="preserve">, decizia Comisiei din 1976). </w:t>
      </w:r>
      <w:r>
        <w:t>În vederea aplicării</w:t>
      </w:r>
      <w:r>
        <w:rPr>
          <w:rFonts w:asciiTheme="majorHAnsi" w:hAnsiTheme="majorHAnsi"/>
        </w:rPr>
        <w:t xml:space="preserve"> Convenției, nu poate exista o „condamnare” decât dacă s-a stabilit în conformitate cu legea că a existat o infracțiune (</w:t>
      </w:r>
      <w:hyperlink r:id="rId35" w:history="1">
        <w:hyperlink r:id="rId36" w:history="1">
          <w:r>
            <w:rPr>
              <w:rStyle w:val="Hyperlink"/>
              <w:rFonts w:asciiTheme="majorHAnsi" w:hAnsiTheme="majorHAnsi"/>
            </w:rPr>
            <w:t>Varvara împotriva Italiei</w:t>
          </w:r>
        </w:hyperlink>
      </w:hyperlink>
      <w:r>
        <w:rPr>
          <w:rFonts w:asciiTheme="majorHAnsi" w:hAnsiTheme="majorHAnsi"/>
        </w:rPr>
        <w:t>, 2013, pct. 69).</w:t>
      </w:r>
    </w:p>
    <w:p w14:paraId="22ED1D8D" w14:textId="7217EF9E" w:rsidR="00A93D91" w:rsidRPr="006B7E09" w:rsidRDefault="00A93D91" w:rsidP="00816A5A">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4</w:t>
      </w:r>
      <w:r w:rsidRPr="006B7E09">
        <w:rPr>
          <w:rFonts w:asciiTheme="majorHAnsi" w:hAnsiTheme="majorHAnsi"/>
        </w:rPr>
        <w:fldChar w:fldCharType="end"/>
      </w:r>
      <w:r>
        <w:rPr>
          <w:rFonts w:asciiTheme="majorHAnsi" w:hAnsiTheme="majorHAnsi"/>
        </w:rPr>
        <w:t>.  </w:t>
      </w:r>
      <w:r>
        <w:t>Logica „pedepsei“ și a „pedepsirii“</w:t>
      </w:r>
      <w:r>
        <w:rPr>
          <w:rFonts w:asciiTheme="majorHAnsi" w:hAnsiTheme="majorHAnsi"/>
        </w:rPr>
        <w:t xml:space="preserve"> și noțiunile de „vinovat” și, respectiv, de „</w:t>
      </w:r>
      <w:r>
        <w:rPr>
          <w:rStyle w:val="CLLItalic"/>
          <w:rFonts w:asciiTheme="majorHAnsi" w:hAnsiTheme="majorHAnsi"/>
        </w:rPr>
        <w:t>personne coupable</w:t>
      </w:r>
      <w:r>
        <w:rPr>
          <w:rFonts w:asciiTheme="majorHAnsi" w:hAnsiTheme="majorHAnsi"/>
        </w:rPr>
        <w:t>” (în versiunea în limba franceză) susțin o interpretare a art. 7 care prevede, pentru a pedepsi, stabilirea răspunderii de către instanțele naționale astfel încât infracțiunea să poată fi atribuită și autorul acesteia să poată fi pedepsit [</w:t>
      </w:r>
      <w:hyperlink r:id="rId37" w:history="1">
        <w:hyperlink r:id="rId38" w:history="1">
          <w:r>
            <w:rPr>
              <w:rStyle w:val="Hyperlink"/>
              <w:rFonts w:asciiTheme="majorHAnsi" w:hAnsiTheme="majorHAnsi"/>
            </w:rPr>
            <w:t>Varvara împotriva Italiei</w:t>
          </w:r>
        </w:hyperlink>
      </w:hyperlink>
      <w:r>
        <w:rPr>
          <w:rFonts w:asciiTheme="majorHAnsi" w:hAnsiTheme="majorHAnsi"/>
        </w:rPr>
        <w:t xml:space="preserve">, 2013, pct. 71; a se vedea, de asemenea, în ceea ce privește cerința de </w:t>
      </w:r>
      <w:r>
        <w:rPr>
          <w:rStyle w:val="CLLItalic"/>
          <w:rFonts w:asciiTheme="majorHAnsi" w:hAnsiTheme="majorHAnsi"/>
        </w:rPr>
        <w:t xml:space="preserve">mens rea </w:t>
      </w:r>
      <w:r>
        <w:rPr>
          <w:rFonts w:asciiTheme="majorHAnsi" w:hAnsiTheme="majorHAnsi"/>
        </w:rPr>
        <w:t xml:space="preserve">a autorului infracțiunii, </w:t>
      </w:r>
      <w:hyperlink r:id="rId39" w:history="1">
        <w:r>
          <w:rPr>
            <w:rStyle w:val="Hyperlink"/>
            <w:rFonts w:asciiTheme="majorHAnsi" w:hAnsiTheme="majorHAnsi"/>
          </w:rPr>
          <w:t>Sud Fondi srl și alții împotriva Italiei</w:t>
        </w:r>
      </w:hyperlink>
      <w:r>
        <w:rPr>
          <w:rFonts w:asciiTheme="majorHAnsi" w:hAnsiTheme="majorHAnsi"/>
        </w:rPr>
        <w:t xml:space="preserve">, 2009, pct. 116, și </w:t>
      </w:r>
      <w:hyperlink r:id="rId40" w:history="1">
        <w:r>
          <w:rPr>
            <w:rStyle w:val="Hyperlink"/>
            <w:rFonts w:asciiTheme="majorHAnsi" w:hAnsiTheme="majorHAnsi"/>
          </w:rPr>
          <w:t>G.I.E.M.</w:t>
        </w:r>
      </w:hyperlink>
      <w:hyperlink r:id="rId41" w:history="1">
        <w:r>
          <w:rPr>
            <w:rStyle w:val="Hyperlink"/>
            <w:rFonts w:asciiTheme="majorHAnsi" w:hAnsiTheme="majorHAnsi"/>
          </w:rPr>
          <w:t xml:space="preserve"> S.R.L. și alții împotriva Italiei</w:t>
        </w:r>
      </w:hyperlink>
      <w:r>
        <w:rPr>
          <w:rStyle w:val="ECHRParaChar"/>
          <w:rFonts w:asciiTheme="majorHAnsi" w:hAnsiTheme="majorHAnsi"/>
          <w:sz w:val="22"/>
        </w:rPr>
        <w:t xml:space="preserve"> </w:t>
      </w:r>
      <w:r>
        <w:rPr>
          <w:rFonts w:asciiTheme="majorHAnsi" w:hAnsiTheme="majorHAnsi"/>
        </w:rPr>
        <w:t xml:space="preserve">(fond) </w:t>
      </w:r>
      <w:r>
        <w:rPr>
          <w:rStyle w:val="ECHRParaChar"/>
          <w:rFonts w:asciiTheme="majorHAnsi" w:hAnsiTheme="majorHAnsi"/>
          <w:sz w:val="22"/>
        </w:rPr>
        <w:t>(MC),</w:t>
      </w:r>
      <w:r>
        <w:rPr>
          <w:rFonts w:asciiTheme="majorHAnsi" w:hAnsiTheme="majorHAnsi"/>
        </w:rPr>
        <w:t xml:space="preserve"> 2018, pct. 241-242 și 246].</w:t>
      </w:r>
    </w:p>
    <w:p w14:paraId="7D93766C" w14:textId="664412E6" w:rsidR="00C97818" w:rsidRPr="006B7E09" w:rsidRDefault="00C97818" w:rsidP="00C97818">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5</w:t>
      </w:r>
      <w:r w:rsidRPr="006B7E09">
        <w:rPr>
          <w:rFonts w:asciiTheme="majorHAnsi" w:hAnsiTheme="majorHAnsi"/>
        </w:rPr>
        <w:fldChar w:fldCharType="end"/>
      </w:r>
      <w:r>
        <w:rPr>
          <w:rFonts w:asciiTheme="majorHAnsi" w:hAnsiTheme="majorHAnsi"/>
        </w:rPr>
        <w:t>.  </w:t>
      </w:r>
      <w:r>
        <w:t>Hotărârea în cauza</w:t>
      </w:r>
      <w:r>
        <w:rPr>
          <w:rFonts w:asciiTheme="majorHAnsi" w:hAnsiTheme="majorHAnsi"/>
        </w:rPr>
        <w:t xml:space="preserve"> </w:t>
      </w:r>
      <w:hyperlink r:id="rId42" w:history="1">
        <w:r>
          <w:rPr>
            <w:rStyle w:val="Hyperlink"/>
            <w:rFonts w:asciiTheme="majorHAnsi" w:hAnsiTheme="majorHAnsi"/>
          </w:rPr>
          <w:t>G.I.E.M.</w:t>
        </w:r>
      </w:hyperlink>
      <w:hyperlink r:id="rId43" w:history="1">
        <w:r>
          <w:rPr>
            <w:rStyle w:val="Hyperlink"/>
            <w:rFonts w:asciiTheme="majorHAnsi" w:hAnsiTheme="majorHAnsi"/>
          </w:rPr>
          <w:t xml:space="preserve"> S.R.L. și alții împotriva Italiei</w:t>
        </w:r>
      </w:hyperlink>
      <w:r>
        <w:rPr>
          <w:rStyle w:val="ECHRParaChar"/>
          <w:rFonts w:asciiTheme="majorHAnsi" w:hAnsiTheme="majorHAnsi"/>
          <w:sz w:val="22"/>
        </w:rPr>
        <w:t xml:space="preserve"> </w:t>
      </w:r>
      <w:r>
        <w:rPr>
          <w:rFonts w:asciiTheme="majorHAnsi" w:hAnsiTheme="majorHAnsi"/>
        </w:rPr>
        <w:t xml:space="preserve">(fond) </w:t>
      </w:r>
      <w:r>
        <w:rPr>
          <w:rStyle w:val="ECHRParaChar"/>
          <w:rFonts w:asciiTheme="majorHAnsi" w:hAnsiTheme="majorHAnsi"/>
          <w:sz w:val="22"/>
        </w:rPr>
        <w:t xml:space="preserve">(MC), </w:t>
      </w:r>
      <w:r>
        <w:rPr>
          <w:rFonts w:asciiTheme="majorHAnsi" w:hAnsiTheme="majorHAnsi"/>
        </w:rPr>
        <w:t>2018, pct. 251, a precizat că art. 7 se opune ca o sancțiune de natură penală să fie aplicată unei persoane fără ca, în prealabil, să-i fie stabilită și declarată răspunderea penală. Cu toate acestea, nu este obligatoriu ca declararea răspunderii penale să se facă într-o hotărâre penală de condamnare formală a inculpatului (</w:t>
      </w:r>
      <w:r>
        <w:rPr>
          <w:rFonts w:asciiTheme="majorHAnsi" w:hAnsiTheme="majorHAnsi"/>
          <w:i/>
          <w:iCs/>
        </w:rPr>
        <w:t>ibidem</w:t>
      </w:r>
      <w:r>
        <w:rPr>
          <w:rFonts w:asciiTheme="majorHAnsi" w:hAnsiTheme="majorHAnsi"/>
        </w:rPr>
        <w:t>, pct. 252). În acest sens, aplicabilitatea acestei prevederi nu are ca efect să impună „atribuirea unui caracter penal” de către state unor proceduri pe care, în exercitarea puterii lor discreționare, nu le-au clasificat ca fiind strict de drept penal (</w:t>
      </w:r>
      <w:r>
        <w:rPr>
          <w:rFonts w:asciiTheme="majorHAnsi" w:hAnsiTheme="majorHAnsi"/>
          <w:i/>
        </w:rPr>
        <w:t>ibidem</w:t>
      </w:r>
      <w:r>
        <w:rPr>
          <w:rFonts w:asciiTheme="majorHAnsi" w:hAnsiTheme="majorHAnsi"/>
        </w:rPr>
        <w:t xml:space="preserve">, pct. 253). </w:t>
      </w:r>
      <w:r>
        <w:t xml:space="preserve">Eliminând astfel necesitatea unei proceduri penale </w:t>
      </w:r>
      <w:r>
        <w:rPr>
          <w:rFonts w:asciiTheme="majorHAnsi" w:hAnsiTheme="majorHAnsi"/>
          <w:i/>
        </w:rPr>
        <w:t>stricto sensu</w:t>
      </w:r>
      <w:r>
        <w:rPr>
          <w:rFonts w:asciiTheme="majorHAnsi" w:hAnsiTheme="majorHAnsi"/>
        </w:rPr>
        <w:t xml:space="preserve"> în </w:t>
      </w:r>
      <w:hyperlink r:id="rId44" w:history="1">
        <w:r>
          <w:rPr>
            <w:rStyle w:val="Hyperlink"/>
            <w:rFonts w:asciiTheme="majorHAnsi" w:hAnsiTheme="majorHAnsi"/>
          </w:rPr>
          <w:t>G.I.E.M.</w:t>
        </w:r>
      </w:hyperlink>
      <w:hyperlink r:id="rId45" w:history="1">
        <w:r>
          <w:rPr>
            <w:rStyle w:val="Hyperlink"/>
            <w:rFonts w:asciiTheme="majorHAnsi" w:hAnsiTheme="majorHAnsi"/>
          </w:rPr>
          <w:t xml:space="preserve"> S.R.L.  și alții împotriva Italiei</w:t>
        </w:r>
      </w:hyperlink>
      <w:r>
        <w:rPr>
          <w:rStyle w:val="ECHRParaChar"/>
          <w:rFonts w:asciiTheme="majorHAnsi" w:hAnsiTheme="majorHAnsi"/>
          <w:sz w:val="22"/>
        </w:rPr>
        <w:t xml:space="preserve"> </w:t>
      </w:r>
      <w:r>
        <w:rPr>
          <w:rFonts w:asciiTheme="majorHAnsi" w:hAnsiTheme="majorHAnsi"/>
        </w:rPr>
        <w:t xml:space="preserve">(fond) </w:t>
      </w:r>
      <w:r>
        <w:rPr>
          <w:rStyle w:val="ECHRParaChar"/>
          <w:rFonts w:asciiTheme="majorHAnsi" w:hAnsiTheme="majorHAnsi"/>
          <w:sz w:val="22"/>
        </w:rPr>
        <w:t xml:space="preserve">(MC), </w:t>
      </w:r>
      <w:r>
        <w:rPr>
          <w:rFonts w:asciiTheme="majorHAnsi" w:hAnsiTheme="majorHAnsi"/>
        </w:rPr>
        <w:t xml:space="preserve">2018,  Curtea a analizat dacă a existat cel puțin o declarație formală privind răspunderea penală anterior aplicării sancțiunii penale. Unul dintre reclamanți a fost trimis în judecată pentru lotizare ilegală, dar nu a fost condamnat ca urmare a intervenției prescripției.  S-au confiscat totuși integral terenurile lotizate ilegal.  </w:t>
      </w:r>
      <w:r>
        <w:t>Deoarece instanțele naționale au constatat că au fost întrunite toate elementele infracțiunii de lotizare ilegală, deși au dispus încetarea procesului penal doar ca urmare a intervenției prescripției, Curtea a concluzionat că a existat o „condamnare” în sensul art. 7, astfel încât nu a fost încălcată această prevedere în cazul reclamantului (</w:t>
      </w:r>
      <w:hyperlink r:id="rId46" w:history="1">
        <w:r>
          <w:rPr>
            <w:rStyle w:val="Hyperlink"/>
            <w:rFonts w:asciiTheme="majorHAnsi" w:hAnsiTheme="majorHAnsi"/>
          </w:rPr>
          <w:t>ibidem</w:t>
        </w:r>
      </w:hyperlink>
      <w:r>
        <w:t>, pct. 258-261).</w:t>
      </w:r>
      <w:r>
        <w:rPr>
          <w:rFonts w:asciiTheme="majorHAnsi" w:hAnsiTheme="majorHAnsi"/>
        </w:rPr>
        <w:t xml:space="preserve"> Cu privire la companiile reclamantului (entități juridice cu personalitate juridică distinctă de cea a directorilor sau a acționarilor), în măsura în care nu au fost urmărite penal ca atare și nu au fost părți în acțiunea penală, acestea nu ar fi putut face obiectul unei astfel de declarații privind răspunderea penală, astfel încât confiscarea proprietății lor a fost incompatibilă cu art. 7 (</w:t>
      </w:r>
      <w:r>
        <w:rPr>
          <w:rFonts w:asciiTheme="majorHAnsi" w:hAnsiTheme="majorHAnsi"/>
          <w:i/>
        </w:rPr>
        <w:t>ibidem</w:t>
      </w:r>
      <w:r>
        <w:rPr>
          <w:rFonts w:asciiTheme="majorHAnsi" w:hAnsiTheme="majorHAnsi"/>
        </w:rPr>
        <w:t>,</w:t>
      </w:r>
      <w:r>
        <w:rPr>
          <w:rFonts w:asciiTheme="majorHAnsi" w:hAnsiTheme="majorHAnsi"/>
          <w:i/>
        </w:rPr>
        <w:t xml:space="preserve"> </w:t>
      </w:r>
      <w:r>
        <w:rPr>
          <w:rFonts w:asciiTheme="majorHAnsi" w:hAnsiTheme="majorHAnsi"/>
        </w:rPr>
        <w:t>pct. 257 și 265-274).</w:t>
      </w:r>
    </w:p>
    <w:p w14:paraId="1D330306" w14:textId="77777777" w:rsidR="00962AC3" w:rsidRPr="006B7E09" w:rsidRDefault="007A6D19" w:rsidP="00A93D91">
      <w:pPr>
        <w:pStyle w:val="ECHRHeading2"/>
      </w:pPr>
      <w:bookmarkStart w:id="15" w:name="_Toc443056774"/>
      <w:bookmarkStart w:id="16" w:name="_Toc162517951"/>
      <w:r>
        <w:t>Noțiunea de „infracțiune”</w:t>
      </w:r>
      <w:bookmarkEnd w:id="15"/>
      <w:bookmarkEnd w:id="16"/>
    </w:p>
    <w:p w14:paraId="4907C556" w14:textId="3EA99368" w:rsidR="00A93D91" w:rsidRPr="006B7E09" w:rsidRDefault="00E66FBD" w:rsidP="00A93D91">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6</w:t>
      </w:r>
      <w:r w:rsidRPr="006B7E09">
        <w:rPr>
          <w:rFonts w:asciiTheme="majorHAnsi" w:hAnsiTheme="majorHAnsi"/>
        </w:rPr>
        <w:fldChar w:fldCharType="end"/>
      </w:r>
      <w:r>
        <w:rPr>
          <w:rFonts w:asciiTheme="majorHAnsi" w:hAnsiTheme="majorHAnsi"/>
        </w:rPr>
        <w:t>.  Noțiunea de „infracțiune” (“</w:t>
      </w:r>
      <w:r>
        <w:rPr>
          <w:rStyle w:val="CLLItalic"/>
          <w:rFonts w:asciiTheme="majorHAnsi" w:hAnsiTheme="majorHAnsi"/>
        </w:rPr>
        <w:t>infraction</w:t>
      </w:r>
      <w:r>
        <w:rPr>
          <w:rFonts w:asciiTheme="majorHAnsi" w:hAnsiTheme="majorHAnsi"/>
        </w:rPr>
        <w:t>” în versiunea în limba franceză) are un sens autonom, ca și „acuzație în materie penală” în art. 6 din Convenție</w:t>
      </w:r>
      <w:r w:rsidR="00A93D91" w:rsidRPr="006B7E09">
        <w:rPr>
          <w:rStyle w:val="CLLSuperscript"/>
          <w:rFonts w:asciiTheme="majorHAnsi" w:hAnsiTheme="majorHAnsi"/>
          <w:lang w:val="en-GB"/>
        </w:rPr>
        <w:footnoteReference w:id="1"/>
      </w:r>
      <w:r>
        <w:rPr>
          <w:rFonts w:asciiTheme="majorHAnsi" w:hAnsiTheme="majorHAnsi"/>
        </w:rPr>
        <w:t xml:space="preserve">. </w:t>
      </w:r>
      <w:r>
        <w:t xml:space="preserve">Cele trei criterii stabilite în cauza </w:t>
      </w:r>
      <w:hyperlink r:id="rId47" w:history="1">
        <w:r>
          <w:rPr>
            <w:rStyle w:val="Hyperlink"/>
            <w:rFonts w:asciiTheme="majorHAnsi" w:hAnsiTheme="majorHAnsi"/>
          </w:rPr>
          <w:t>Engel și alții împotriva Țărilor de Jos</w:t>
        </w:r>
      </w:hyperlink>
      <w:r>
        <w:rPr>
          <w:rFonts w:asciiTheme="majorHAnsi" w:hAnsiTheme="majorHAnsi"/>
        </w:rPr>
        <w:t xml:space="preserve">, 1976, pct. 82 [reiterate în </w:t>
      </w:r>
      <w:hyperlink r:id="rId48" w:history="1">
        <w:hyperlink r:id="rId49" w:history="1">
          <w:r>
            <w:rPr>
              <w:rStyle w:val="Hyperlink"/>
              <w:rFonts w:asciiTheme="majorHAnsi" w:hAnsiTheme="majorHAnsi"/>
            </w:rPr>
            <w:t>Jussila împotriva Finlandei</w:t>
          </w:r>
        </w:hyperlink>
      </w:hyperlink>
      <w:r>
        <w:rPr>
          <w:rFonts w:asciiTheme="majorHAnsi" w:hAnsiTheme="majorHAnsi"/>
        </w:rPr>
        <w:t xml:space="preserve"> (MC), 2006, pct. 30] pentru a califica o acuzație drept „penală“ în sensul art. 6 trebuie aplicate și în privința art.  7 [</w:t>
      </w:r>
      <w:hyperlink r:id="rId50" w:history="1">
        <w:r>
          <w:rPr>
            <w:rStyle w:val="Hyperlink"/>
            <w:rFonts w:asciiTheme="majorHAnsi" w:hAnsiTheme="majorHAnsi"/>
          </w:rPr>
          <w:t>Brown împotriva Regatului Unit</w:t>
        </w:r>
      </w:hyperlink>
      <w:r>
        <w:rPr>
          <w:rFonts w:asciiTheme="majorHAnsi" w:hAnsiTheme="majorHAnsi"/>
        </w:rPr>
        <w:t xml:space="preserve"> (dec.), 1998; </w:t>
      </w:r>
      <w:hyperlink r:id="rId51" w:history="1">
        <w:r>
          <w:rPr>
            <w:rStyle w:val="Hyperlink"/>
            <w:rFonts w:asciiTheme="majorHAnsi" w:hAnsiTheme="majorHAnsi"/>
          </w:rPr>
          <w:t>Société Oxygène Plus împotriva Franței</w:t>
        </w:r>
      </w:hyperlink>
      <w:r>
        <w:rPr>
          <w:rFonts w:asciiTheme="majorHAnsi" w:hAnsiTheme="majorHAnsi"/>
        </w:rPr>
        <w:t xml:space="preserve"> (dec.), 2016, pct. 43; </w:t>
      </w:r>
      <w:hyperlink r:id="rId52" w:history="1">
        <w:r>
          <w:rPr>
            <w:rStyle w:val="Hyperlink"/>
            <w:rFonts w:asciiTheme="majorHAnsi" w:hAnsiTheme="majorHAnsi"/>
          </w:rPr>
          <w:t>Žaja împotriva Croației</w:t>
        </w:r>
      </w:hyperlink>
      <w:r>
        <w:rPr>
          <w:rFonts w:asciiTheme="majorHAnsi" w:hAnsiTheme="majorHAnsi"/>
        </w:rPr>
        <w:t>, 2016, pct. 86]:</w:t>
      </w:r>
    </w:p>
    <w:p w14:paraId="4A2A4B02" w14:textId="77777777" w:rsidR="00A93D91" w:rsidRPr="006B7E09" w:rsidRDefault="005013AF" w:rsidP="00A93D91">
      <w:pPr>
        <w:pStyle w:val="ECHRBullet1"/>
        <w:rPr>
          <w:rFonts w:asciiTheme="majorHAnsi" w:hAnsiTheme="majorHAnsi"/>
        </w:rPr>
      </w:pPr>
      <w:r>
        <w:rPr>
          <w:rFonts w:asciiTheme="majorHAnsi" w:hAnsiTheme="majorHAnsi"/>
        </w:rPr>
        <w:t>încadrarea în legea națională;</w:t>
      </w:r>
    </w:p>
    <w:p w14:paraId="538C729A" w14:textId="3DFD6AAD" w:rsidR="00A93D91" w:rsidRPr="006B7E09" w:rsidRDefault="00312EF8" w:rsidP="00A93D91">
      <w:pPr>
        <w:pStyle w:val="ECHRBullet1"/>
        <w:rPr>
          <w:rFonts w:asciiTheme="majorHAnsi" w:hAnsiTheme="majorHAnsi"/>
        </w:rPr>
      </w:pPr>
      <w:r>
        <w:rPr>
          <w:rFonts w:asciiTheme="majorHAnsi" w:hAnsiTheme="majorHAnsi"/>
        </w:rPr>
        <w:t xml:space="preserve">natura însăși a infracțiunii [criteriul cel mai important, a se vedea </w:t>
      </w:r>
      <w:hyperlink r:id="rId53" w:history="1">
        <w:hyperlink r:id="rId54" w:history="1">
          <w:r>
            <w:rPr>
              <w:rStyle w:val="Hyperlink"/>
              <w:rFonts w:asciiTheme="majorHAnsi" w:hAnsiTheme="majorHAnsi"/>
            </w:rPr>
            <w:t>Jussila împotriva Finlandei</w:t>
          </w:r>
        </w:hyperlink>
      </w:hyperlink>
      <w:r>
        <w:rPr>
          <w:rFonts w:asciiTheme="majorHAnsi" w:hAnsiTheme="majorHAnsi"/>
        </w:rPr>
        <w:t xml:space="preserve"> (MC), 2006, pct. 38];</w:t>
      </w:r>
    </w:p>
    <w:p w14:paraId="4E1566D8" w14:textId="77777777" w:rsidR="00A93D91" w:rsidRPr="006B7E09" w:rsidRDefault="003F1B75" w:rsidP="00A93D91">
      <w:pPr>
        <w:pStyle w:val="ECHRBullet1"/>
        <w:rPr>
          <w:rFonts w:asciiTheme="majorHAnsi" w:hAnsiTheme="majorHAnsi"/>
        </w:rPr>
      </w:pPr>
      <w:r>
        <w:rPr>
          <w:rFonts w:asciiTheme="majorHAnsi" w:hAnsiTheme="majorHAnsi"/>
        </w:rPr>
        <w:lastRenderedPageBreak/>
        <w:t>nivelul de</w:t>
      </w:r>
      <w:r>
        <w:rPr>
          <w:rStyle w:val="ECHRParaSpacedChar"/>
          <w:rFonts w:asciiTheme="majorHAnsi" w:hAnsiTheme="majorHAnsi"/>
        </w:rPr>
        <w:t xml:space="preserve"> gravitate a pedepsei pe care persoana în cauză riscă să o suporte</w:t>
      </w:r>
      <w:r>
        <w:rPr>
          <w:rFonts w:asciiTheme="majorHAnsi" w:hAnsiTheme="majorHAnsi"/>
        </w:rPr>
        <w:t>.</w:t>
      </w:r>
    </w:p>
    <w:p w14:paraId="261751B3" w14:textId="06E8DD0A" w:rsidR="00A93D91" w:rsidRPr="006B7E09" w:rsidRDefault="00E66FBD" w:rsidP="00816A5A">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7</w:t>
      </w:r>
      <w:r w:rsidRPr="006B7E09">
        <w:rPr>
          <w:rFonts w:asciiTheme="majorHAnsi" w:hAnsiTheme="majorHAnsi"/>
        </w:rPr>
        <w:fldChar w:fldCharType="end"/>
      </w:r>
      <w:r>
        <w:rPr>
          <w:rFonts w:asciiTheme="majorHAnsi" w:hAnsiTheme="majorHAnsi"/>
        </w:rPr>
        <w:t>.  </w:t>
      </w:r>
      <w:r>
        <w:t xml:space="preserve">Aplicând aceste criterii, Curtea a considerat că o infracțiune contra ordinii și disciplinei militare nu intră în sfera „penală“ nici în sensul art. 6 și nici în sensul art. 7 </w:t>
      </w:r>
      <w:r>
        <w:rPr>
          <w:rFonts w:asciiTheme="majorHAnsi" w:hAnsiTheme="majorHAnsi"/>
        </w:rPr>
        <w:t>[</w:t>
      </w:r>
      <w:hyperlink r:id="rId55" w:history="1">
        <w:r>
          <w:rPr>
            <w:rStyle w:val="Hyperlink"/>
            <w:rFonts w:asciiTheme="majorHAnsi" w:hAnsiTheme="majorHAnsi"/>
          </w:rPr>
          <w:t>Çelikateş și alții împotriva Turciei</w:t>
        </w:r>
      </w:hyperlink>
      <w:r>
        <w:rPr>
          <w:rFonts w:asciiTheme="majorHAnsi" w:hAnsiTheme="majorHAnsi"/>
        </w:rPr>
        <w:t xml:space="preserve"> (dec.), 2000]. </w:t>
      </w:r>
      <w:r>
        <w:t>Situația este valabilă și în cazul</w:t>
      </w:r>
      <w:r>
        <w:rPr>
          <w:rFonts w:asciiTheme="majorHAnsi" w:hAnsiTheme="majorHAnsi"/>
        </w:rPr>
        <w:t xml:space="preserve"> concedierilor și al restricțiilor privind angajarea foștilor agenți KGB [</w:t>
      </w:r>
      <w:hyperlink r:id="rId56" w:history="1">
        <w:hyperlink r:id="rId57" w:history="1">
          <w:r>
            <w:rPr>
              <w:rStyle w:val="Hyperlink"/>
              <w:rFonts w:asciiTheme="majorHAnsi" w:hAnsiTheme="majorHAnsi"/>
            </w:rPr>
            <w:t>Sidabras și Džiautas împotriva Lituaniei</w:t>
          </w:r>
        </w:hyperlink>
      </w:hyperlink>
      <w:r>
        <w:rPr>
          <w:rFonts w:asciiTheme="majorHAnsi" w:hAnsiTheme="majorHAnsi"/>
        </w:rPr>
        <w:t xml:space="preserve"> (dec.), 2003], al abaterii disciplinare săvârșite de un student în incinta universității [</w:t>
      </w:r>
      <w:hyperlink r:id="rId58" w:history="1">
        <w:hyperlink r:id="rId59" w:history="1">
          <w:r>
            <w:rPr>
              <w:rStyle w:val="Hyperlink"/>
              <w:rFonts w:asciiTheme="majorHAnsi" w:hAnsiTheme="majorHAnsi"/>
            </w:rPr>
            <w:t>Monaco împotriva Italiei</w:t>
          </w:r>
        </w:hyperlink>
      </w:hyperlink>
      <w:r>
        <w:rPr>
          <w:rFonts w:asciiTheme="majorHAnsi" w:hAnsiTheme="majorHAnsi"/>
        </w:rPr>
        <w:t xml:space="preserve"> (dec.), 2015, pct. 40 și 68-69] și al procedurii de punere sub acuzare îndreptată împotriva Președintelui Republicii pentru încălcări grave ale Constituției [</w:t>
      </w:r>
      <w:hyperlink r:id="rId60" w:history="1">
        <w:hyperlink r:id="rId61" w:history="1">
          <w:r>
            <w:rPr>
              <w:rStyle w:val="Hyperlink"/>
              <w:rFonts w:asciiTheme="majorHAnsi" w:hAnsiTheme="majorHAnsi"/>
            </w:rPr>
            <w:t>Paksas împotriva Lituaniei</w:t>
          </w:r>
        </w:hyperlink>
      </w:hyperlink>
      <w:r>
        <w:rPr>
          <w:rFonts w:asciiTheme="majorHAnsi" w:hAnsiTheme="majorHAnsi"/>
        </w:rPr>
        <w:t xml:space="preserve"> (MC), 2011, pct. 64-69]. În absența unei „infracțiuni”, Curtea a constatat că plângerea era incompatibilă </w:t>
      </w:r>
      <w:r>
        <w:rPr>
          <w:rStyle w:val="CLLItalic"/>
          <w:rFonts w:asciiTheme="majorHAnsi" w:hAnsiTheme="majorHAnsi"/>
        </w:rPr>
        <w:t>ratione materiae</w:t>
      </w:r>
      <w:r>
        <w:rPr>
          <w:rFonts w:asciiTheme="majorHAnsi" w:hAnsiTheme="majorHAnsi"/>
        </w:rPr>
        <w:t xml:space="preserve"> cu dispozițiile Convenției invocate.</w:t>
      </w:r>
    </w:p>
    <w:p w14:paraId="67A602B6" w14:textId="77777777" w:rsidR="00A93D91" w:rsidRPr="006B7E09" w:rsidRDefault="009F7CCC" w:rsidP="00A93D91">
      <w:pPr>
        <w:pStyle w:val="ECHRHeading2"/>
      </w:pPr>
      <w:bookmarkStart w:id="17" w:name="_Toc162517952"/>
      <w:r>
        <w:t>Noțiunea de „drept”</w:t>
      </w:r>
      <w:bookmarkEnd w:id="17"/>
    </w:p>
    <w:p w14:paraId="66C2F348" w14:textId="3CAF5C12" w:rsidR="00E46527" w:rsidRPr="006B7E09" w:rsidRDefault="00E66FBD" w:rsidP="00816A5A">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8</w:t>
      </w:r>
      <w:r w:rsidRPr="006B7E09">
        <w:rPr>
          <w:rFonts w:asciiTheme="majorHAnsi" w:hAnsiTheme="majorHAnsi"/>
        </w:rPr>
        <w:fldChar w:fldCharType="end"/>
      </w:r>
      <w:r>
        <w:rPr>
          <w:rFonts w:asciiTheme="majorHAnsi" w:hAnsiTheme="majorHAnsi"/>
        </w:rPr>
        <w:t>.  </w:t>
      </w:r>
      <w:r>
        <w:t>Noțiunea de „drept”</w:t>
      </w:r>
      <w:r>
        <w:rPr>
          <w:rFonts w:asciiTheme="majorHAnsi" w:hAnsiTheme="majorHAnsi"/>
        </w:rPr>
        <w:t xml:space="preserve"> (“</w:t>
      </w:r>
      <w:r>
        <w:rPr>
          <w:rStyle w:val="CLLItalic"/>
          <w:rFonts w:asciiTheme="majorHAnsi" w:hAnsiTheme="majorHAnsi"/>
        </w:rPr>
        <w:t>droit</w:t>
      </w:r>
      <w:r>
        <w:rPr>
          <w:rFonts w:asciiTheme="majorHAnsi" w:hAnsiTheme="majorHAnsi"/>
        </w:rPr>
        <w:t>” în versiunea în limba franceză) așa cum este folosită la art. 7 se corelează cu cea prevăzut în alte articole din Convenție, acoperind atât legislația, cât și jurisprudența interne și implică cerințe de calitate, mai cu seamă accesibilitatea și previzibilitatea [</w:t>
      </w:r>
      <w:hyperlink r:id="rId62" w:history="1">
        <w:hyperlink r:id="rId63" w:history="1">
          <w:hyperlink r:id="rId64" w:history="1">
            <w:r>
              <w:rPr>
                <w:rStyle w:val="Hyperlink"/>
                <w:rFonts w:asciiTheme="majorHAnsi" w:hAnsiTheme="majorHAnsi"/>
              </w:rPr>
              <w:t>Del Río Prada împotriva Spaniei</w:t>
            </w:r>
          </w:hyperlink>
        </w:hyperlink>
      </w:hyperlink>
      <w:r>
        <w:rPr>
          <w:rFonts w:asciiTheme="majorHAnsi" w:hAnsiTheme="majorHAnsi"/>
        </w:rPr>
        <w:t xml:space="preserve"> (MC), 2013, pct. 91; </w:t>
      </w:r>
      <w:hyperlink r:id="rId65" w:history="1">
        <w:r>
          <w:rPr>
            <w:rStyle w:val="Hyperlink"/>
            <w:rFonts w:asciiTheme="majorHAnsi" w:hAnsiTheme="majorHAnsi"/>
          </w:rPr>
          <w:t>S.W. împotriva Regatului Unit</w:t>
        </w:r>
      </w:hyperlink>
      <w:r>
        <w:rPr>
          <w:rFonts w:asciiTheme="majorHAnsi" w:hAnsiTheme="majorHAnsi"/>
        </w:rPr>
        <w:t xml:space="preserve">, 1995, pct. 35]. </w:t>
      </w:r>
      <w:r>
        <w:t xml:space="preserve">Aceasta include în mod evident nu doar legiferarea </w:t>
      </w:r>
      <w:r>
        <w:rPr>
          <w:rFonts w:asciiTheme="majorHAnsi" w:hAnsiTheme="majorHAnsi"/>
        </w:rPr>
        <w:t>(</w:t>
      </w:r>
      <w:hyperlink r:id="rId66" w:history="1">
        <w:r>
          <w:rPr>
            <w:rStyle w:val="Hyperlink"/>
            <w:rFonts w:asciiTheme="majorHAnsi" w:hAnsiTheme="majorHAnsi"/>
          </w:rPr>
          <w:t>ibidem</w:t>
        </w:r>
      </w:hyperlink>
      <w:r>
        <w:rPr>
          <w:rFonts w:asciiTheme="majorHAnsi" w:hAnsiTheme="majorHAnsi"/>
        </w:rPr>
        <w:t xml:space="preserve">, pct. 36 și 41-43; </w:t>
      </w:r>
      <w:hyperlink r:id="rId67" w:history="1">
        <w:r>
          <w:rPr>
            <w:rStyle w:val="Hyperlink"/>
            <w:rFonts w:asciiTheme="majorHAnsi" w:hAnsiTheme="majorHAnsi"/>
          </w:rPr>
          <w:t>Norman împotriva Regatului Unit</w:t>
        </w:r>
      </w:hyperlink>
      <w:r>
        <w:rPr>
          <w:rFonts w:asciiTheme="majorHAnsi" w:hAnsiTheme="majorHAnsi"/>
        </w:rPr>
        <w:t xml:space="preserve">, 2021, pct. 62-66, privind infracțiunile de drept cutumiar), dar și legislația și promulgarea la nivelul infralegislativ de reglementare [un regulament de organizare și funcționare a unui penitenciar în </w:t>
      </w:r>
      <w:hyperlink r:id="rId68" w:history="1">
        <w:r>
          <w:rPr>
            <w:rStyle w:val="Hyperlink"/>
            <w:rFonts w:asciiTheme="majorHAnsi" w:hAnsiTheme="majorHAnsi"/>
          </w:rPr>
          <w:t>Kafkaris împotriva Ciprului</w:t>
        </w:r>
      </w:hyperlink>
      <w:r>
        <w:rPr>
          <w:rFonts w:asciiTheme="majorHAnsi" w:hAnsiTheme="majorHAnsi"/>
        </w:rPr>
        <w:t xml:space="preserve"> (MC), 2008, pct. 145-146], precum și cutume constituționale necodificate [</w:t>
      </w:r>
      <w:hyperlink r:id="rId69" w:history="1">
        <w:r>
          <w:rPr>
            <w:rStyle w:val="Hyperlink"/>
            <w:rFonts w:asciiTheme="majorHAnsi" w:hAnsiTheme="majorHAnsi"/>
          </w:rPr>
          <w:t>Aviz consultativ privind folosirea „referinței generale” sau a tehnicii „legislației prin referire” în definiția unei infracțiuni și standardele comparației dintre legislația penală în vigoare la data comiterii infracțiunii și legislația penală modificată</w:t>
        </w:r>
      </w:hyperlink>
      <w:r>
        <w:rPr>
          <w:rFonts w:asciiTheme="majorHAnsi" w:hAnsiTheme="majorHAnsi"/>
        </w:rPr>
        <w:t>,(MC), 2020, pct. 69]. Art. 7 nu impune ca o infracțiune să aibă un temei juridic (</w:t>
      </w:r>
      <w:hyperlink r:id="rId70" w:history="1">
        <w:r>
          <w:rPr>
            <w:rStyle w:val="Hyperlink"/>
            <w:rFonts w:asciiTheme="majorHAnsi" w:hAnsiTheme="majorHAnsi"/>
          </w:rPr>
          <w:t>Norman împotriva Regatului Unit</w:t>
        </w:r>
      </w:hyperlink>
      <w:r>
        <w:rPr>
          <w:rFonts w:asciiTheme="majorHAnsi" w:hAnsiTheme="majorHAnsi"/>
        </w:rPr>
        <w:t>, 2021, pct. 62). Curtea trebuie să ia în considerare dreptul intern „în ansamblu” și modul în care acesta era aplicat la vremea respectivă [</w:t>
      </w:r>
      <w:hyperlink r:id="rId71" w:history="1">
        <w:r>
          <w:rPr>
            <w:rStyle w:val="Hyperlink"/>
            <w:rFonts w:asciiTheme="majorHAnsi" w:hAnsiTheme="majorHAnsi"/>
          </w:rPr>
          <w:t>Kafkaris împotriva Ciprului</w:t>
        </w:r>
      </w:hyperlink>
      <w:r>
        <w:rPr>
          <w:rFonts w:asciiTheme="majorHAnsi" w:hAnsiTheme="majorHAnsi"/>
        </w:rPr>
        <w:t>, pct. 145;</w:t>
      </w:r>
      <w:hyperlink r:id="rId72" w:history="1">
        <w:hyperlink r:id="rId73" w:history="1">
          <w:r>
            <w:rPr>
              <w:rFonts w:asciiTheme="majorHAnsi" w:hAnsiTheme="majorHAnsi"/>
            </w:rPr>
            <w:t xml:space="preserve"> </w:t>
          </w:r>
          <w:hyperlink r:id="rId74" w:history="1">
            <w:r>
              <w:rPr>
                <w:rStyle w:val="Hyperlink"/>
                <w:rFonts w:asciiTheme="majorHAnsi" w:hAnsiTheme="majorHAnsi"/>
              </w:rPr>
              <w:t>Del Río Prada împotriva Spaniei</w:t>
            </w:r>
          </w:hyperlink>
        </w:hyperlink>
      </w:hyperlink>
      <w:r>
        <w:rPr>
          <w:rFonts w:asciiTheme="majorHAnsi" w:hAnsiTheme="majorHAnsi"/>
        </w:rPr>
        <w:t xml:space="preserve"> (MC), 2013, pct. 90].</w:t>
      </w:r>
    </w:p>
    <w:p w14:paraId="5FFBF1F6" w14:textId="6F6F70CA" w:rsidR="006355D3" w:rsidRPr="006B7E09" w:rsidRDefault="00E66FBD" w:rsidP="00816A5A">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9</w:t>
      </w:r>
      <w:r w:rsidRPr="006B7E09">
        <w:rPr>
          <w:rFonts w:asciiTheme="majorHAnsi" w:hAnsiTheme="majorHAnsi"/>
        </w:rPr>
        <w:fldChar w:fldCharType="end"/>
      </w:r>
      <w:r>
        <w:rPr>
          <w:rFonts w:asciiTheme="majorHAnsi" w:hAnsiTheme="majorHAnsi"/>
        </w:rPr>
        <w:t>.  </w:t>
      </w:r>
      <w:r>
        <w:t xml:space="preserve">Pe de altă parte, practica statului </w:t>
      </w:r>
      <w:r>
        <w:rPr>
          <w:rFonts w:asciiTheme="majorHAnsi" w:hAnsiTheme="majorHAnsi"/>
        </w:rPr>
        <w:t xml:space="preserve">incompatibilă cu normele legii scrise în vigoare și care golea de substanță legislația pe care se presupunea că se întemeiază nu putea fi considerată ca fiind „drept” în înțelesul art. 7 [practica politicii de frontieră a Republicii Democrate Germane (RDG) cu flagrantă încălcare a propriului sistem juridic și a drepturilor fundamentale, în </w:t>
      </w:r>
      <w:hyperlink r:id="rId75" w:history="1">
        <w:hyperlink r:id="rId76" w:history="1">
          <w:r>
            <w:rPr>
              <w:rStyle w:val="Hyperlink"/>
              <w:rFonts w:asciiTheme="majorHAnsi" w:hAnsiTheme="majorHAnsi"/>
            </w:rPr>
            <w:t>Streletz, Kessler și Krenz împotriva Germaniei</w:t>
          </w:r>
        </w:hyperlink>
      </w:hyperlink>
      <w:r>
        <w:rPr>
          <w:rFonts w:asciiTheme="majorHAnsi" w:hAnsiTheme="majorHAnsi"/>
        </w:rPr>
        <w:t xml:space="preserve"> (MC), 2001, pct. 67-87; de asemenea, practica eliminării opozanților regimului comunist prin intermediul pedepselor cu moartea aplicate în urma proceselor desfășurate cu încălcarea flagrantă a legislației și a constituției fostei Cehoslovacii, în </w:t>
      </w:r>
      <w:hyperlink r:id="rId77" w:history="1">
        <w:r>
          <w:rPr>
            <w:rStyle w:val="Hyperlink"/>
            <w:rFonts w:asciiTheme="majorHAnsi" w:hAnsiTheme="majorHAnsi"/>
          </w:rPr>
          <w:t>Polednová împotriva Republicii Cehe</w:t>
        </w:r>
      </w:hyperlink>
      <w:r>
        <w:rPr>
          <w:rFonts w:asciiTheme="majorHAnsi" w:hAnsiTheme="majorHAnsi"/>
        </w:rPr>
        <w:t xml:space="preserve"> (dec.), 2011].</w:t>
      </w:r>
    </w:p>
    <w:p w14:paraId="5F7E5E48" w14:textId="6DF5A5C4" w:rsidR="00C60B79" w:rsidRPr="006B7E09" w:rsidRDefault="00E66FBD" w:rsidP="00816A5A">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10</w:t>
      </w:r>
      <w:r w:rsidRPr="006B7E09">
        <w:rPr>
          <w:rFonts w:asciiTheme="majorHAnsi" w:hAnsiTheme="majorHAnsi"/>
        </w:rPr>
        <w:fldChar w:fldCharType="end"/>
      </w:r>
      <w:r>
        <w:rPr>
          <w:rFonts w:asciiTheme="majorHAnsi" w:hAnsiTheme="majorHAnsi"/>
        </w:rPr>
        <w:t>.  </w:t>
      </w:r>
      <w:r>
        <w:t xml:space="preserve">Noțiunea </w:t>
      </w:r>
      <w:r>
        <w:rPr>
          <w:rFonts w:asciiTheme="majorHAnsi" w:hAnsiTheme="majorHAnsi"/>
        </w:rPr>
        <w:t>de „drept internațional” expus la art. 7 § 1 face trimitere la tratatele internaționale ratificate de statul respectiv [</w:t>
      </w:r>
      <w:hyperlink r:id="rId78" w:history="1">
        <w:hyperlink r:id="rId79" w:history="1">
          <w:r>
            <w:rPr>
              <w:rStyle w:val="Hyperlink"/>
              <w:rFonts w:asciiTheme="majorHAnsi" w:hAnsiTheme="majorHAnsi"/>
            </w:rPr>
            <w:t>Streletz, Kessler și Krenz împotriva Germaniei</w:t>
          </w:r>
        </w:hyperlink>
      </w:hyperlink>
      <w:r>
        <w:rPr>
          <w:rFonts w:asciiTheme="majorHAnsi" w:hAnsiTheme="majorHAnsi"/>
        </w:rPr>
        <w:t xml:space="preserve"> (MC), 2001, pct. 90-106], precum și la dreptul cutumiar internaţional [pentru legi și cutume de război internaționale, a se vedea </w:t>
      </w:r>
      <w:hyperlink r:id="rId80" w:history="1">
        <w:hyperlink r:id="rId81" w:history="1">
          <w:r>
            <w:rPr>
              <w:rStyle w:val="Hyperlink"/>
              <w:rFonts w:asciiTheme="majorHAnsi" w:hAnsiTheme="majorHAnsi"/>
            </w:rPr>
            <w:t>Kononov împotriva Letoniei</w:t>
          </w:r>
        </w:hyperlink>
      </w:hyperlink>
      <w:r>
        <w:rPr>
          <w:rFonts w:asciiTheme="majorHAnsi" w:hAnsiTheme="majorHAnsi"/>
        </w:rPr>
        <w:t xml:space="preserve"> (MC), 2010, pct. 186, 213, 227, 237 și 244; cu privire la noțiunea de „crime împotriva umanităţii”, a se vedea </w:t>
      </w:r>
      <w:hyperlink r:id="rId82" w:history="1">
        <w:hyperlink r:id="rId83" w:history="1">
          <w:r>
            <w:rPr>
              <w:rStyle w:val="Hyperlink"/>
              <w:rFonts w:asciiTheme="majorHAnsi" w:hAnsiTheme="majorHAnsi"/>
            </w:rPr>
            <w:t>Korbely împotriva Ungariei</w:t>
          </w:r>
        </w:hyperlink>
      </w:hyperlink>
      <w:r>
        <w:rPr>
          <w:rFonts w:asciiTheme="majorHAnsi" w:hAnsiTheme="majorHAnsi"/>
        </w:rPr>
        <w:t xml:space="preserve"> (MC), 2008, pct. 78-85; și pentru noțiunea de „genocid” a se vedea </w:t>
      </w:r>
      <w:hyperlink r:id="rId84" w:history="1">
        <w:hyperlink r:id="rId85" w:history="1">
          <w:r>
            <w:rPr>
              <w:rStyle w:val="Hyperlink"/>
              <w:rFonts w:asciiTheme="majorHAnsi" w:hAnsiTheme="majorHAnsi"/>
            </w:rPr>
            <w:t>Vasiliauskas împotriva Lituaniei</w:t>
          </w:r>
        </w:hyperlink>
      </w:hyperlink>
      <w:r>
        <w:rPr>
          <w:rFonts w:asciiTheme="majorHAnsi" w:hAnsiTheme="majorHAnsi"/>
        </w:rPr>
        <w:t xml:space="preserve"> (MC), 2015, pct. 171-175 și 178], chiar dacă legislația respectivă nu a fost niciodată publicată [</w:t>
      </w:r>
      <w:hyperlink r:id="rId86" w:history="1">
        <w:hyperlink r:id="rId87" w:history="1">
          <w:hyperlink r:id="rId88" w:history="1">
            <w:r>
              <w:rPr>
                <w:rStyle w:val="Hyperlink"/>
                <w:rFonts w:asciiTheme="majorHAnsi" w:hAnsiTheme="majorHAnsi"/>
              </w:rPr>
              <w:t>Kononov împotriva Letoniei</w:t>
            </w:r>
          </w:hyperlink>
        </w:hyperlink>
      </w:hyperlink>
      <w:r>
        <w:rPr>
          <w:rFonts w:asciiTheme="majorHAnsi" w:hAnsiTheme="majorHAnsi"/>
        </w:rPr>
        <w:t xml:space="preserve"> (MC), 2010, pct. 237].</w:t>
      </w:r>
    </w:p>
    <w:p w14:paraId="0DF3C9EC" w14:textId="77777777" w:rsidR="001D3149" w:rsidRPr="006B7E09" w:rsidRDefault="0033132E" w:rsidP="00816A5A">
      <w:pPr>
        <w:pStyle w:val="ECHRHeading2"/>
      </w:pPr>
      <w:bookmarkStart w:id="18" w:name="_Toc162517953"/>
      <w:r>
        <w:t>Noțiunea de „pedeapsă”</w:t>
      </w:r>
      <w:bookmarkEnd w:id="18"/>
    </w:p>
    <w:p w14:paraId="5C962D70" w14:textId="77777777" w:rsidR="00785778" w:rsidRPr="006B7E09" w:rsidRDefault="00717D43" w:rsidP="00F54C93">
      <w:pPr>
        <w:pStyle w:val="ECHRHeading3"/>
      </w:pPr>
      <w:bookmarkStart w:id="19" w:name="_Toc162517954"/>
      <w:r>
        <w:t>Considerații generale</w:t>
      </w:r>
      <w:bookmarkEnd w:id="19"/>
    </w:p>
    <w:p w14:paraId="0859FF34" w14:textId="6A27FA29" w:rsidR="00B71ECE" w:rsidRPr="006B7E09" w:rsidRDefault="00832232" w:rsidP="00AB4EF0">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11</w:t>
      </w:r>
      <w:r w:rsidRPr="006B7E09">
        <w:rPr>
          <w:rFonts w:asciiTheme="majorHAnsi" w:hAnsiTheme="majorHAnsi"/>
        </w:rPr>
        <w:fldChar w:fldCharType="end"/>
      </w:r>
      <w:r>
        <w:rPr>
          <w:rFonts w:asciiTheme="majorHAnsi" w:hAnsiTheme="majorHAnsi"/>
        </w:rPr>
        <w:t>.  </w:t>
      </w:r>
      <w:r>
        <w:t>Noțiunea de „pedeapsă”</w:t>
      </w:r>
      <w:r>
        <w:rPr>
          <w:rFonts w:asciiTheme="majorHAnsi" w:hAnsiTheme="majorHAnsi"/>
        </w:rPr>
        <w:t xml:space="preserve"> expusă la art. 7 § 1 din Convenție este totodată autonom ca amploare </w:t>
      </w:r>
      <w:hyperlink r:id="rId89" w:history="1">
        <w:r>
          <w:rPr>
            <w:rStyle w:val="Hyperlink"/>
            <w:rFonts w:asciiTheme="majorHAnsi" w:hAnsiTheme="majorHAnsi"/>
          </w:rPr>
          <w:t>G.I.E.M.</w:t>
        </w:r>
      </w:hyperlink>
      <w:hyperlink r:id="rId90" w:history="1">
        <w:r>
          <w:rPr>
            <w:rStyle w:val="Hyperlink"/>
            <w:rFonts w:asciiTheme="majorHAnsi" w:hAnsiTheme="majorHAnsi"/>
          </w:rPr>
          <w:t xml:space="preserve"> S.R.L. și alții împotriva Italiei</w:t>
        </w:r>
      </w:hyperlink>
      <w:r>
        <w:rPr>
          <w:rStyle w:val="ECHRParaChar"/>
          <w:sz w:val="22"/>
        </w:rPr>
        <w:t xml:space="preserve"> (fond) (MC), 2018, pct. 210</w:t>
      </w:r>
      <w:r>
        <w:t>.</w:t>
      </w:r>
      <w:r>
        <w:rPr>
          <w:rFonts w:asciiTheme="majorHAnsi" w:hAnsiTheme="majorHAnsi"/>
        </w:rPr>
        <w:t xml:space="preserve"> Pentru a asigura eficiența protecției acordate în temeiul acestui articol, Curtea trebuie să fie liberă să treacă dincolo de aparențe și să </w:t>
      </w:r>
      <w:r>
        <w:rPr>
          <w:rFonts w:asciiTheme="majorHAnsi" w:hAnsiTheme="majorHAnsi"/>
        </w:rPr>
        <w:lastRenderedPageBreak/>
        <w:t xml:space="preserve">aprecieze autonom dacă o anumită măsură este, în esență, o „pedeapsă” în sensul art. 7 § 1. Punctul de plecare în orice evaluare a </w:t>
      </w:r>
      <w:r w:rsidR="00EC44D0">
        <w:rPr>
          <w:rFonts w:asciiTheme="majorHAnsi" w:hAnsiTheme="majorHAnsi"/>
        </w:rPr>
        <w:t>existenței</w:t>
      </w:r>
      <w:r>
        <w:rPr>
          <w:rFonts w:asciiTheme="majorHAnsi" w:hAnsiTheme="majorHAnsi"/>
        </w:rPr>
        <w:t xml:space="preserve"> unei „pedepse” este să se aprecieze dacă măsura în cauză este impusă în urma condamnării pentru o „</w:t>
      </w:r>
      <w:r w:rsidR="00EC44D0">
        <w:rPr>
          <w:rFonts w:asciiTheme="majorHAnsi" w:hAnsiTheme="majorHAnsi"/>
        </w:rPr>
        <w:t>infracțiune</w:t>
      </w:r>
      <w:r>
        <w:rPr>
          <w:rFonts w:asciiTheme="majorHAnsi" w:hAnsiTheme="majorHAnsi"/>
        </w:rPr>
        <w:t xml:space="preserve">”. Totuși, acest criteriu este doar unul dintre criteriile relevante; absența unei condamnări de către instanțele penale nu este suficientă pentru a exclude </w:t>
      </w:r>
      <w:r w:rsidR="00EC44D0">
        <w:rPr>
          <w:rFonts w:asciiTheme="majorHAnsi" w:hAnsiTheme="majorHAnsi"/>
        </w:rPr>
        <w:t>existența</w:t>
      </w:r>
      <w:r>
        <w:rPr>
          <w:rFonts w:asciiTheme="majorHAnsi" w:hAnsiTheme="majorHAnsi"/>
        </w:rPr>
        <w:t xml:space="preserve"> „pedepsei” în sensul art. 7 [</w:t>
      </w:r>
      <w:hyperlink r:id="rId91" w:history="1">
        <w:r>
          <w:rPr>
            <w:rStyle w:val="Hyperlink"/>
            <w:rFonts w:asciiTheme="majorHAnsi" w:hAnsiTheme="majorHAnsi"/>
          </w:rPr>
          <w:t>G.I.E.M.</w:t>
        </w:r>
      </w:hyperlink>
      <w:hyperlink r:id="rId92" w:history="1">
        <w:r>
          <w:rPr>
            <w:rStyle w:val="Hyperlink"/>
            <w:rFonts w:asciiTheme="majorHAnsi" w:hAnsiTheme="majorHAnsi"/>
          </w:rPr>
          <w:t xml:space="preserve"> S.R.L). și alții împotriva Italiei</w:t>
        </w:r>
      </w:hyperlink>
      <w:r>
        <w:rPr>
          <w:rStyle w:val="ECHRParaChar"/>
          <w:sz w:val="22"/>
        </w:rPr>
        <w:t xml:space="preserve"> (fond) (MC), 2018, pct. 215-219].</w:t>
      </w:r>
    </w:p>
    <w:p w14:paraId="7FA01560" w14:textId="002D45C2" w:rsidR="008B470B" w:rsidRPr="006B7E09" w:rsidRDefault="00B71ECE" w:rsidP="00AB4EF0">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12</w:t>
      </w:r>
      <w:r w:rsidRPr="006B7E09">
        <w:rPr>
          <w:rFonts w:asciiTheme="majorHAnsi" w:hAnsiTheme="majorHAnsi"/>
        </w:rPr>
        <w:fldChar w:fldCharType="end"/>
      </w:r>
      <w:r>
        <w:rPr>
          <w:rFonts w:asciiTheme="majorHAnsi" w:hAnsiTheme="majorHAnsi"/>
        </w:rPr>
        <w:t>.  </w:t>
      </w:r>
      <w:r>
        <w:t>Alți factori ar putea fi</w:t>
      </w:r>
      <w:r>
        <w:rPr>
          <w:rFonts w:asciiTheme="majorHAnsi" w:hAnsiTheme="majorHAnsi"/>
        </w:rPr>
        <w:t xml:space="preserve"> considerați relevanți în această privință: natura și scopul măsurii în cauză (în special scopul său punitiv), încadrarea sa în temeiul dreptului național, procedurile implicate în adoptarea și aplicarea sa și nivelul său de severitate [</w:t>
      </w:r>
      <w:hyperlink r:id="rId93" w:history="1">
        <w:r>
          <w:rPr>
            <w:rStyle w:val="Hyperlink"/>
            <w:rFonts w:asciiTheme="majorHAnsi" w:hAnsiTheme="majorHAnsi"/>
          </w:rPr>
          <w:t>G.I.E.M.</w:t>
        </w:r>
      </w:hyperlink>
      <w:hyperlink r:id="rId94" w:history="1">
        <w:r>
          <w:rPr>
            <w:rStyle w:val="Hyperlink"/>
            <w:rFonts w:asciiTheme="majorHAnsi" w:hAnsiTheme="majorHAnsi"/>
          </w:rPr>
          <w:t xml:space="preserve"> S.R.L. și alții împotriva Italiei</w:t>
        </w:r>
      </w:hyperlink>
      <w:r>
        <w:rPr>
          <w:rStyle w:val="ECHRParaChar"/>
          <w:rFonts w:asciiTheme="majorHAnsi" w:hAnsiTheme="majorHAnsi"/>
          <w:sz w:val="22"/>
        </w:rPr>
        <w:t xml:space="preserve"> </w:t>
      </w:r>
      <w:r>
        <w:rPr>
          <w:rFonts w:asciiTheme="majorHAnsi" w:hAnsiTheme="majorHAnsi"/>
        </w:rPr>
        <w:t xml:space="preserve">(fond) </w:t>
      </w:r>
      <w:r>
        <w:rPr>
          <w:rStyle w:val="ECHRParaChar"/>
          <w:rFonts w:asciiTheme="majorHAnsi" w:hAnsiTheme="majorHAnsi"/>
          <w:sz w:val="22"/>
        </w:rPr>
        <w:t xml:space="preserve">(MC), </w:t>
      </w:r>
      <w:r>
        <w:rPr>
          <w:rFonts w:asciiTheme="majorHAnsi" w:hAnsiTheme="majorHAnsi"/>
        </w:rPr>
        <w:t xml:space="preserve">2018, </w:t>
      </w:r>
      <w:r>
        <w:rPr>
          <w:rStyle w:val="ECHRParaChar"/>
          <w:rFonts w:asciiTheme="majorHAnsi" w:hAnsiTheme="majorHAnsi"/>
          <w:sz w:val="22"/>
        </w:rPr>
        <w:t xml:space="preserve">pct. 211; </w:t>
      </w:r>
      <w:hyperlink r:id="rId95" w:history="1">
        <w:r>
          <w:rPr>
            <w:rStyle w:val="Hyperlink"/>
            <w:rFonts w:asciiTheme="majorHAnsi" w:hAnsiTheme="majorHAnsi"/>
          </w:rPr>
          <w:t>Welch împotriva Regatului Unit</w:t>
        </w:r>
      </w:hyperlink>
      <w:r>
        <w:rPr>
          <w:rFonts w:asciiTheme="majorHAnsi" w:hAnsiTheme="majorHAnsi"/>
        </w:rPr>
        <w:t xml:space="preserve">, 1995, pct. 28; </w:t>
      </w:r>
      <w:hyperlink r:id="rId96" w:history="1">
        <w:hyperlink r:id="rId97" w:history="1">
          <w:hyperlink r:id="rId98" w:history="1">
            <w:r>
              <w:rPr>
                <w:rStyle w:val="Hyperlink"/>
                <w:rFonts w:asciiTheme="majorHAnsi" w:hAnsiTheme="majorHAnsi"/>
              </w:rPr>
              <w:t>Del Río Prada împotriva Spaniei</w:t>
            </w:r>
          </w:hyperlink>
        </w:hyperlink>
      </w:hyperlink>
      <w:r>
        <w:rPr>
          <w:rFonts w:asciiTheme="majorHAnsi" w:hAnsiTheme="majorHAnsi"/>
        </w:rPr>
        <w:t xml:space="preserve"> (MC), 2013, pct. 82; </w:t>
      </w:r>
      <w:hyperlink r:id="rId99" w:history="1">
        <w:r>
          <w:rPr>
            <w:rStyle w:val="Hyperlink"/>
            <w:rFonts w:asciiTheme="majorHAnsi" w:hAnsiTheme="majorHAnsi"/>
          </w:rPr>
          <w:t>Galan împotriva Italiei</w:t>
        </w:r>
      </w:hyperlink>
      <w:r>
        <w:rPr>
          <w:rFonts w:asciiTheme="majorHAnsi" w:hAnsiTheme="majorHAnsi"/>
          <w:i/>
        </w:rPr>
        <w:t xml:space="preserve"> </w:t>
      </w:r>
      <w:r>
        <w:rPr>
          <w:rFonts w:asciiTheme="majorHAnsi" w:hAnsiTheme="majorHAnsi"/>
        </w:rPr>
        <w:t xml:space="preserve">(dec.), 2021, </w:t>
      </w:r>
      <w:r>
        <w:rPr>
          <w:rStyle w:val="ECHRParaChar"/>
          <w:rFonts w:asciiTheme="majorHAnsi" w:hAnsiTheme="majorHAnsi"/>
          <w:sz w:val="22"/>
        </w:rPr>
        <w:t>pct.</w:t>
      </w:r>
      <w:r>
        <w:rPr>
          <w:rFonts w:asciiTheme="majorHAnsi" w:hAnsiTheme="majorHAnsi"/>
        </w:rPr>
        <w:t xml:space="preserve">70 și 85-96]. </w:t>
      </w:r>
      <w:r>
        <w:t>Totuși, severitatea măsurii nu este decisivă în sine, întrucât numeroase măsuri preventive dar fără caracter penal pot avea un efect substanțial asupra persoanei în cauză</w:t>
      </w:r>
      <w:r>
        <w:rPr>
          <w:rFonts w:asciiTheme="majorHAnsi" w:hAnsiTheme="majorHAnsi"/>
        </w:rPr>
        <w:t xml:space="preserve"> [</w:t>
      </w:r>
      <w:hyperlink r:id="rId100" w:history="1">
        <w:hyperlink r:id="rId101" w:history="1">
          <w:hyperlink r:id="rId102" w:history="1">
            <w:r>
              <w:rPr>
                <w:rStyle w:val="Hyperlink"/>
                <w:rFonts w:asciiTheme="majorHAnsi" w:hAnsiTheme="majorHAnsi"/>
              </w:rPr>
              <w:t>Del Río Prada împotriva Spaniei</w:t>
            </w:r>
          </w:hyperlink>
        </w:hyperlink>
      </w:hyperlink>
      <w:r>
        <w:rPr>
          <w:rFonts w:asciiTheme="majorHAnsi" w:hAnsiTheme="majorHAnsi"/>
        </w:rPr>
        <w:t xml:space="preserve"> (MC), 2013, </w:t>
      </w:r>
      <w:r>
        <w:rPr>
          <w:rStyle w:val="ECHRParaChar"/>
          <w:rFonts w:asciiTheme="majorHAnsi" w:hAnsiTheme="majorHAnsi"/>
          <w:sz w:val="22"/>
        </w:rPr>
        <w:t>pct. 82</w:t>
      </w:r>
      <w:r>
        <w:rPr>
          <w:rFonts w:asciiTheme="majorHAnsi" w:hAnsiTheme="majorHAnsi"/>
        </w:rPr>
        <w:t>;</w:t>
      </w:r>
      <w:r>
        <w:rPr>
          <w:rFonts w:asciiTheme="majorHAnsi" w:hAnsiTheme="majorHAnsi"/>
          <w:i/>
        </w:rPr>
        <w:t xml:space="preserve"> </w:t>
      </w:r>
      <w:hyperlink r:id="rId103" w:history="1">
        <w:r>
          <w:rPr>
            <w:rStyle w:val="Hyperlink"/>
            <w:rFonts w:asciiTheme="majorHAnsi" w:hAnsiTheme="majorHAnsi"/>
          </w:rPr>
          <w:t>Van der Velden împotriva Țărilor de Jos</w:t>
        </w:r>
      </w:hyperlink>
      <w:r>
        <w:rPr>
          <w:rFonts w:asciiTheme="majorHAnsi" w:hAnsiTheme="majorHAnsi"/>
        </w:rPr>
        <w:t xml:space="preserve"> (dec.), 2006].</w:t>
      </w:r>
    </w:p>
    <w:p w14:paraId="3B60F983" w14:textId="73E7F42B" w:rsidR="00FC1BD0" w:rsidRPr="006B7E09" w:rsidRDefault="008E32D6" w:rsidP="00AB4EF0">
      <w:pPr>
        <w:pStyle w:val="ECHRParaSpaced"/>
      </w:pPr>
      <w:r>
        <w:fldChar w:fldCharType="begin"/>
      </w:r>
      <w:r>
        <w:instrText xml:space="preserve"> SEQ level0 \*arabic </w:instrText>
      </w:r>
      <w:r>
        <w:fldChar w:fldCharType="separate"/>
      </w:r>
      <w:r w:rsidR="00C84E1E">
        <w:rPr>
          <w:noProof/>
        </w:rPr>
        <w:t>13</w:t>
      </w:r>
      <w:r>
        <w:fldChar w:fldCharType="end"/>
      </w:r>
      <w:r w:rsidR="003546B0">
        <w:t>.  </w:t>
      </w:r>
      <w:r w:rsidR="003546B0">
        <w:rPr>
          <w:rStyle w:val="sb8d990e2"/>
        </w:rPr>
        <w:t xml:space="preserve"> Condițiile specifice de executare a măsurii respective pot fi relevante în special pentru natură și scop, ca și pentru severitatea acestei măsuri și, prin urmare, pentru a evalua dacă măsura poate fi încadrată drept o pedeapsă în sensul art. 7 § 1 </w:t>
      </w:r>
      <w:r w:rsidR="003546B0">
        <w:t>[</w:t>
      </w:r>
      <w:hyperlink r:id="rId104" w:history="1">
        <w:r w:rsidR="003546B0">
          <w:rPr>
            <w:rStyle w:val="Hyperlink"/>
          </w:rPr>
          <w:t>Ilnseher împotriva Germaniei</w:t>
        </w:r>
      </w:hyperlink>
      <w:r w:rsidR="003546B0">
        <w:t xml:space="preserve"> (MC), 2018, pct. 204]</w:t>
      </w:r>
      <w:r w:rsidR="003546B0">
        <w:rPr>
          <w:rStyle w:val="sb8d990e2"/>
        </w:rPr>
        <w:t xml:space="preserve">. </w:t>
      </w:r>
      <w:r w:rsidR="003546B0">
        <w:t>În</w:t>
      </w:r>
      <w:r w:rsidR="003546B0">
        <w:rPr>
          <w:rStyle w:val="sb8d990e2"/>
        </w:rPr>
        <w:t xml:space="preserve"> unele cauze, în special dacă </w:t>
      </w:r>
      <w:r w:rsidR="00620C6D">
        <w:rPr>
          <w:rStyle w:val="sb8d990e2"/>
        </w:rPr>
        <w:t>legislația</w:t>
      </w:r>
      <w:r w:rsidR="003546B0">
        <w:rPr>
          <w:rStyle w:val="sb8d990e2"/>
        </w:rPr>
        <w:t xml:space="preserve"> </w:t>
      </w:r>
      <w:r w:rsidR="00620C6D">
        <w:rPr>
          <w:rStyle w:val="sb8d990e2"/>
        </w:rPr>
        <w:t>națională</w:t>
      </w:r>
      <w:r w:rsidR="003546B0">
        <w:rPr>
          <w:rStyle w:val="sb8d990e2"/>
        </w:rPr>
        <w:t xml:space="preserve"> nu califică o măsură drept o pedeapsă și dacă scopul său este terapeutic, o schimbare substanțială, în special în condițiile executării măsurii, poate retrage calificarea inițială a măsurii drept pedeapsă în sensul art. 7 din Convenție, chiar dacă măsura este aplicată pe baza aceluiași mandat de executare a pedepsei sau a măsurii privative de libertate </w:t>
      </w:r>
      <w:bookmarkStart w:id="20" w:name="lt_pId977"/>
      <w:r w:rsidR="003546B0">
        <w:t>(</w:t>
      </w:r>
      <w:hyperlink r:id="rId105" w:history="1">
        <w:r w:rsidR="003546B0">
          <w:rPr>
            <w:rStyle w:val="Hyperlink"/>
          </w:rPr>
          <w:t>ibidem</w:t>
        </w:r>
      </w:hyperlink>
      <w:r w:rsidR="003546B0">
        <w:t>, pct. 206).</w:t>
      </w:r>
      <w:bookmarkEnd w:id="20"/>
      <w:r w:rsidR="003546B0">
        <w:t xml:space="preserve"> Curtea a precizat că unele dintre criteriile folosite pentru a stabili dacă o măsură reprezintă, în esență, o pedeapsă sunt „statice” (de exemplu, criteriul </w:t>
      </w:r>
      <w:r w:rsidR="003546B0">
        <w:rPr>
          <w:rStyle w:val="sb8d990e2"/>
        </w:rPr>
        <w:t>dacă măsura respectivă a fost impusă în urma condamnării pentru o infracțiune</w:t>
      </w:r>
      <w:r w:rsidR="003546B0">
        <w:t xml:space="preserve">), iar unele sunt „dinamice” (și, prin urmare, susceptibile să se schimbe în timp, de exemplu </w:t>
      </w:r>
      <w:r w:rsidR="003546B0">
        <w:rPr>
          <w:rStyle w:val="sb8d990e2"/>
        </w:rPr>
        <w:t>natura și scopul măsurii și nivelul său de severitate</w:t>
      </w:r>
      <w:r w:rsidR="003546B0">
        <w:t>) (</w:t>
      </w:r>
      <w:hyperlink r:id="rId106" w:history="1">
        <w:r w:rsidR="003546B0">
          <w:rPr>
            <w:rStyle w:val="Hyperlink"/>
          </w:rPr>
          <w:t>ibidem</w:t>
        </w:r>
      </w:hyperlink>
      <w:r w:rsidR="003546B0">
        <w:t>, pct. 208).</w:t>
      </w:r>
    </w:p>
    <w:p w14:paraId="1250F753" w14:textId="1B1D8D5E" w:rsidR="00AB4EF0" w:rsidRPr="006B7E09" w:rsidRDefault="00220EBC" w:rsidP="00AB4EF0">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14</w:t>
      </w:r>
      <w:r w:rsidRPr="006B7E09">
        <w:rPr>
          <w:rFonts w:asciiTheme="majorHAnsi" w:hAnsiTheme="majorHAnsi"/>
        </w:rPr>
        <w:fldChar w:fldCharType="end"/>
      </w:r>
      <w:r>
        <w:rPr>
          <w:rFonts w:asciiTheme="majorHAnsi" w:hAnsiTheme="majorHAnsi"/>
        </w:rPr>
        <w:t>.  În aplicarea acestor criterii, Curtea a identificat, în special, următoarele măsuri drept „pedepse“:</w:t>
      </w:r>
    </w:p>
    <w:p w14:paraId="472CF1BC" w14:textId="57C50672" w:rsidR="00291681" w:rsidRPr="006B7E09" w:rsidRDefault="00824BCF" w:rsidP="000B2716">
      <w:pPr>
        <w:pStyle w:val="ECHRBullet1"/>
        <w:rPr>
          <w:rFonts w:asciiTheme="majorHAnsi" w:hAnsiTheme="majorHAnsi"/>
        </w:rPr>
      </w:pPr>
      <w:r>
        <w:t>un ordin de confiscare a produsului unei infracțiuni în urma unei condamnări, în vederea scopului punitiv, în plus față de natura sa preventivă și reparatorie</w:t>
      </w:r>
      <w:r>
        <w:rPr>
          <w:rFonts w:asciiTheme="majorHAnsi" w:hAnsiTheme="majorHAnsi"/>
        </w:rPr>
        <w:t xml:space="preserve"> (</w:t>
      </w:r>
      <w:hyperlink r:id="rId107" w:history="1">
        <w:r>
          <w:rPr>
            <w:rStyle w:val="Hyperlink"/>
            <w:rFonts w:asciiTheme="majorHAnsi" w:hAnsiTheme="majorHAnsi"/>
          </w:rPr>
          <w:t>Welch împotriva Regatului Unit</w:t>
        </w:r>
      </w:hyperlink>
      <w:r>
        <w:rPr>
          <w:rFonts w:asciiTheme="majorHAnsi" w:hAnsiTheme="majorHAnsi"/>
        </w:rPr>
        <w:t>, 1995, pct. 29-35, privind confiscarea produsului traficului de droguri în care judecătorul poate lua în considerare nivelul de vinovăție a acuzatului în stabilirea cuantumului și ordinul de confiscare se poate executa prin privare de libertate pentru neplată);</w:t>
      </w:r>
    </w:p>
    <w:p w14:paraId="2242972F" w14:textId="3FDAD4EC" w:rsidR="00291681" w:rsidRPr="006B7E09" w:rsidRDefault="005431B8" w:rsidP="000B2716">
      <w:pPr>
        <w:pStyle w:val="ECHRBullet1"/>
        <w:rPr>
          <w:rFonts w:asciiTheme="majorHAnsi" w:hAnsiTheme="majorHAnsi"/>
        </w:rPr>
      </w:pPr>
      <w:r>
        <w:t>lipsirea de libertate în caz de neplată, menită să garanteze plata unei amenzi prin aplicarea împotriva persoanei debitorului care nu a demonstrat că este insolvabil</w:t>
      </w:r>
      <w:r>
        <w:rPr>
          <w:rFonts w:asciiTheme="majorHAnsi" w:hAnsiTheme="majorHAnsi"/>
        </w:rPr>
        <w:t xml:space="preserve"> (</w:t>
      </w:r>
      <w:hyperlink r:id="rId108" w:history="1">
        <w:hyperlink r:id="rId109" w:history="1">
          <w:r>
            <w:rPr>
              <w:rStyle w:val="Hyperlink"/>
              <w:rFonts w:asciiTheme="majorHAnsi" w:hAnsiTheme="majorHAnsi"/>
            </w:rPr>
            <w:t>Jamil împotriva Franței</w:t>
          </w:r>
        </w:hyperlink>
      </w:hyperlink>
      <w:r>
        <w:rPr>
          <w:rFonts w:asciiTheme="majorHAnsi" w:hAnsiTheme="majorHAnsi"/>
        </w:rPr>
        <w:t>, 1995, pct. 32);</w:t>
      </w:r>
    </w:p>
    <w:p w14:paraId="6FAEB067" w14:textId="21CC375C" w:rsidR="00783D31" w:rsidRPr="006B7E09" w:rsidRDefault="005431B8" w:rsidP="00E458FC">
      <w:pPr>
        <w:pStyle w:val="ECHRBullet1"/>
        <w:rPr>
          <w:rFonts w:asciiTheme="majorHAnsi" w:hAnsiTheme="majorHAnsi"/>
        </w:rPr>
      </w:pPr>
      <w:r>
        <w:t>o amendă administrativă aplicată în domeniul urbanismului echivalentă cu 100% din valoarea lucrării construite abuziv, amendă al cărei scop era atât preventiv, cât și represiv [</w:t>
      </w:r>
      <w:hyperlink r:id="rId110" w:history="1">
        <w:hyperlink r:id="rId111" w:history="1">
          <w:r>
            <w:rPr>
              <w:rStyle w:val="Hyperlink"/>
              <w:rFonts w:asciiTheme="majorHAnsi" w:hAnsiTheme="majorHAnsi"/>
            </w:rPr>
            <w:t>Valico SLR împotriva Italiei</w:t>
          </w:r>
        </w:hyperlink>
      </w:hyperlink>
      <w:r>
        <w:rPr>
          <w:rFonts w:asciiTheme="majorHAnsi" w:hAnsiTheme="majorHAnsi"/>
        </w:rPr>
        <w:t xml:space="preserve"> (dec.), 2006] și o amendă administrativă aplicată pentru manipularea pieței contrară legii bursei de valori (</w:t>
      </w:r>
      <w:hyperlink r:id="rId112" w:history="1">
        <w:r>
          <w:rPr>
            <w:rStyle w:val="Hyperlink"/>
            <w:rFonts w:asciiTheme="majorHAnsi" w:hAnsiTheme="majorHAnsi"/>
          </w:rPr>
          <w:t>Georgouleas și Nestoras împotriva Greciei</w:t>
        </w:r>
      </w:hyperlink>
      <w:r>
        <w:rPr>
          <w:rFonts w:asciiTheme="majorHAnsi" w:hAnsiTheme="majorHAnsi"/>
        </w:rPr>
        <w:t>, 2020, pct. 33-43);</w:t>
      </w:r>
    </w:p>
    <w:p w14:paraId="1BB24074" w14:textId="1AFA557C" w:rsidR="00483BE8" w:rsidRPr="006B7E09" w:rsidRDefault="00AB4EF0" w:rsidP="000B2716">
      <w:pPr>
        <w:pStyle w:val="ECHRBullet1"/>
        <w:rPr>
          <w:rFonts w:asciiTheme="majorHAnsi" w:hAnsiTheme="majorHAnsi"/>
        </w:rPr>
      </w:pPr>
      <w:r>
        <w:t>confiscarea unor terenuri pe motivul construirii abuzive dispusă de instanța penală ca urmare a unei achitări, vizând în principal a preveni repetarea încălcării legii și reprezentând, prin urmare, o măsură preventivă și represivă [</w:t>
      </w:r>
      <w:hyperlink r:id="rId113" w:history="1">
        <w:r>
          <w:rPr>
            <w:rStyle w:val="Hyperlink"/>
            <w:rFonts w:asciiTheme="majorHAnsi" w:hAnsiTheme="majorHAnsi"/>
          </w:rPr>
          <w:t>Sud Fondi srl și alții împotriva Italiei</w:t>
        </w:r>
      </w:hyperlink>
      <w:r>
        <w:rPr>
          <w:rFonts w:asciiTheme="majorHAnsi" w:hAnsiTheme="majorHAnsi"/>
        </w:rPr>
        <w:t xml:space="preserve"> (dec.), 2007; </w:t>
      </w:r>
      <w:hyperlink r:id="rId114" w:history="1">
        <w:hyperlink r:id="rId115" w:history="1">
          <w:r>
            <w:rPr>
              <w:rStyle w:val="Hyperlink"/>
              <w:rFonts w:asciiTheme="majorHAnsi" w:hAnsiTheme="majorHAnsi"/>
            </w:rPr>
            <w:t>Varvara împotriva Italiei</w:t>
          </w:r>
        </w:hyperlink>
      </w:hyperlink>
      <w:r>
        <w:rPr>
          <w:rFonts w:asciiTheme="majorHAnsi" w:hAnsiTheme="majorHAnsi"/>
        </w:rPr>
        <w:t>, 2013, pct. 22 și 51] și confiscarea unor terenuri pentru ridicarea ilegală de situri pronunțată de instanța penală în urma deciziei de încetare a procesului penal ca urmare a intervenției prescripției ori în lipsa oricărei participări în procesul penal [</w:t>
      </w:r>
      <w:hyperlink r:id="rId116" w:history="1">
        <w:r>
          <w:rPr>
            <w:rStyle w:val="Hyperlink"/>
            <w:rFonts w:asciiTheme="majorHAnsi" w:hAnsiTheme="majorHAnsi"/>
          </w:rPr>
          <w:t>G.I.E.M.</w:t>
        </w:r>
      </w:hyperlink>
      <w:hyperlink r:id="rId117" w:history="1">
        <w:r>
          <w:rPr>
            <w:rStyle w:val="Hyperlink"/>
            <w:rFonts w:asciiTheme="majorHAnsi" w:hAnsiTheme="majorHAnsi"/>
          </w:rPr>
          <w:t xml:space="preserve"> S.R.L). și alții împotriva Italiei</w:t>
        </w:r>
      </w:hyperlink>
      <w:r>
        <w:rPr>
          <w:rStyle w:val="ECHRParaChar"/>
          <w:sz w:val="22"/>
        </w:rPr>
        <w:t xml:space="preserve"> (fond) (MC), 2018, pct. 212-233);</w:t>
      </w:r>
    </w:p>
    <w:p w14:paraId="205F5E4F" w14:textId="2B23D8CA" w:rsidR="00483BE8" w:rsidRPr="006B7E09" w:rsidRDefault="00E6021F" w:rsidP="000B2716">
      <w:pPr>
        <w:pStyle w:val="ECHRBullet1"/>
        <w:rPr>
          <w:rFonts w:asciiTheme="majorHAnsi" w:hAnsiTheme="majorHAnsi"/>
        </w:rPr>
      </w:pPr>
      <w:r>
        <w:t xml:space="preserve">arestarea preventivă dispusă de o instanță de judecată ca urmare a unei condamnări pentru infracțiuni grave, având în vedere natura sa în același timp preventivă și represivă, regimul </w:t>
      </w:r>
      <w:r>
        <w:lastRenderedPageBreak/>
        <w:t>executării acesteia într-un penitenciar obișnuit, precum și durata sa nelimitată</w:t>
      </w:r>
      <w:r>
        <w:rPr>
          <w:rFonts w:asciiTheme="majorHAnsi" w:hAnsiTheme="majorHAnsi"/>
        </w:rPr>
        <w:t xml:space="preserve"> (</w:t>
      </w:r>
      <w:hyperlink r:id="rId118" w:history="1">
        <w:hyperlink r:id="rId119" w:history="1">
          <w:r>
            <w:rPr>
              <w:rStyle w:val="Hyperlink"/>
              <w:rFonts w:asciiTheme="majorHAnsi" w:hAnsiTheme="majorHAnsi"/>
            </w:rPr>
            <w:t>M. împotriva Germaniei</w:t>
          </w:r>
        </w:hyperlink>
      </w:hyperlink>
      <w:r>
        <w:rPr>
          <w:rFonts w:asciiTheme="majorHAnsi" w:hAnsiTheme="majorHAnsi"/>
        </w:rPr>
        <w:t xml:space="preserve">, 2009, pct. 123-133; </w:t>
      </w:r>
      <w:hyperlink r:id="rId120" w:history="1">
        <w:hyperlink r:id="rId121" w:history="1">
          <w:r>
            <w:rPr>
              <w:rStyle w:val="Hyperlink"/>
              <w:rFonts w:asciiTheme="majorHAnsi" w:hAnsiTheme="majorHAnsi"/>
            </w:rPr>
            <w:t>Jendrowiak împotriva Germaniei</w:t>
          </w:r>
        </w:hyperlink>
      </w:hyperlink>
      <w:r>
        <w:rPr>
          <w:rFonts w:asciiTheme="majorHAnsi" w:hAnsiTheme="majorHAnsi"/>
        </w:rPr>
        <w:t xml:space="preserve">, 2011, pct. 47; </w:t>
      </w:r>
      <w:hyperlink r:id="rId122" w:history="1">
        <w:hyperlink r:id="rId123" w:history="1">
          <w:r>
            <w:rPr>
              <w:rStyle w:val="Hyperlink"/>
              <w:rFonts w:asciiTheme="majorHAnsi" w:hAnsiTheme="majorHAnsi"/>
            </w:rPr>
            <w:t>Glien împotriva Germaniei</w:t>
          </w:r>
        </w:hyperlink>
      </w:hyperlink>
      <w:r>
        <w:rPr>
          <w:rFonts w:asciiTheme="majorHAnsi" w:hAnsiTheme="majorHAnsi"/>
        </w:rPr>
        <w:t xml:space="preserve">, 2013, pct. 120-130; </w:t>
      </w:r>
      <w:r>
        <w:rPr>
          <w:rStyle w:val="CLLItalic"/>
          <w:rFonts w:asciiTheme="majorHAnsi" w:hAnsiTheme="majorHAnsi"/>
        </w:rPr>
        <w:t>a contrario</w:t>
      </w:r>
      <w:r>
        <w:rPr>
          <w:rFonts w:asciiTheme="majorHAnsi" w:hAnsiTheme="majorHAnsi"/>
        </w:rPr>
        <w:t xml:space="preserve">, </w:t>
      </w:r>
      <w:hyperlink r:id="rId124" w:history="1">
        <w:hyperlink r:id="rId125" w:history="1">
          <w:r>
            <w:rPr>
              <w:rStyle w:val="Hyperlink"/>
              <w:rFonts w:asciiTheme="majorHAnsi" w:hAnsiTheme="majorHAnsi"/>
            </w:rPr>
            <w:t>Bergmann împotriva Germaniei</w:t>
          </w:r>
        </w:hyperlink>
      </w:hyperlink>
      <w:r>
        <w:rPr>
          <w:rFonts w:asciiTheme="majorHAnsi" w:hAnsiTheme="majorHAnsi"/>
        </w:rPr>
        <w:t>, 2016, pct. 153-182, privind arestarea preventivă a reclamantului în vederea tratamentului terapeutic într-un centru specializat);</w:t>
      </w:r>
    </w:p>
    <w:p w14:paraId="05B1D113" w14:textId="5C300BD0" w:rsidR="006B2294" w:rsidRPr="006B7E09" w:rsidRDefault="00063B1C" w:rsidP="000B2716">
      <w:pPr>
        <w:pStyle w:val="ECHRBullet1"/>
        <w:rPr>
          <w:rFonts w:asciiTheme="majorHAnsi" w:hAnsiTheme="majorHAnsi"/>
        </w:rPr>
      </w:pPr>
      <w:r>
        <w:t>înlocuirea pedepsei cu închisoarea cu o expulzare asociată cu interzicerea șederii pe o durată de 10 ani</w:t>
      </w:r>
      <w:r>
        <w:rPr>
          <w:rFonts w:asciiTheme="majorHAnsi" w:hAnsiTheme="majorHAnsi"/>
        </w:rPr>
        <w:t xml:space="preserve"> (</w:t>
      </w:r>
      <w:hyperlink r:id="rId126" w:history="1">
        <w:hyperlink r:id="rId127" w:history="1">
          <w:r>
            <w:rPr>
              <w:rStyle w:val="Hyperlink"/>
              <w:rFonts w:asciiTheme="majorHAnsi" w:hAnsiTheme="majorHAnsi"/>
            </w:rPr>
            <w:t>Gurguchiani împotriva Spaniei</w:t>
          </w:r>
        </w:hyperlink>
      </w:hyperlink>
      <w:r>
        <w:rPr>
          <w:rFonts w:asciiTheme="majorHAnsi" w:hAnsiTheme="majorHAnsi"/>
        </w:rPr>
        <w:t>, 2009, pct. 40);</w:t>
      </w:r>
    </w:p>
    <w:p w14:paraId="11AE6740" w14:textId="117637AE" w:rsidR="00BE14E4" w:rsidRPr="006B7E09" w:rsidRDefault="00FC26ED" w:rsidP="000B2716">
      <w:pPr>
        <w:pStyle w:val="ECHRBullet1"/>
        <w:rPr>
          <w:rFonts w:asciiTheme="majorHAnsi" w:hAnsiTheme="majorHAnsi"/>
        </w:rPr>
      </w:pPr>
      <w:r>
        <w:t xml:space="preserve">pedeapsa accesorie a interzicerii permanente a exercitării profesiei pronunțată de instanța de judecată </w:t>
      </w:r>
      <w:r>
        <w:rPr>
          <w:rFonts w:asciiTheme="majorHAnsi" w:hAnsiTheme="majorHAnsi"/>
        </w:rPr>
        <w:t>(</w:t>
      </w:r>
      <w:hyperlink r:id="rId128" w:history="1">
        <w:hyperlink r:id="rId129" w:history="1">
          <w:r>
            <w:rPr>
              <w:rStyle w:val="Hyperlink"/>
              <w:rFonts w:asciiTheme="majorHAnsi" w:hAnsiTheme="majorHAnsi"/>
            </w:rPr>
            <w:t>Gouarré Patte împotriva Andorrei</w:t>
          </w:r>
        </w:hyperlink>
      </w:hyperlink>
      <w:r>
        <w:rPr>
          <w:rFonts w:asciiTheme="majorHAnsi" w:hAnsiTheme="majorHAnsi"/>
        </w:rPr>
        <w:t>, 2016, pct. 30).</w:t>
      </w:r>
    </w:p>
    <w:p w14:paraId="6ABBAF34" w14:textId="44BA723B" w:rsidR="00AB4EF0" w:rsidRPr="006B7E09" w:rsidRDefault="00BC0945" w:rsidP="006D77EC">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15</w:t>
      </w:r>
      <w:r w:rsidRPr="006B7E09">
        <w:rPr>
          <w:rFonts w:asciiTheme="majorHAnsi" w:hAnsiTheme="majorHAnsi"/>
        </w:rPr>
        <w:fldChar w:fldCharType="end"/>
      </w:r>
      <w:r>
        <w:rPr>
          <w:rFonts w:asciiTheme="majorHAnsi" w:hAnsiTheme="majorHAnsi"/>
        </w:rPr>
        <w:t>.  În schimb, următoarele au fost excluse din noțiunea de „pedeapsă“:</w:t>
      </w:r>
    </w:p>
    <w:p w14:paraId="3D3D5D7E" w14:textId="3FBD2337" w:rsidR="009E0581" w:rsidRPr="006B7E09" w:rsidRDefault="00FC26ED" w:rsidP="000B2716">
      <w:pPr>
        <w:pStyle w:val="ECHRBullet1"/>
        <w:rPr>
          <w:rFonts w:asciiTheme="majorHAnsi" w:hAnsiTheme="majorHAnsi"/>
        </w:rPr>
      </w:pPr>
      <w:r>
        <w:t xml:space="preserve">măsurile preventive (inclusiv spitalizarea obligatorie) impuse pentru o persoană care nu răspunde penal </w:t>
      </w:r>
      <w:r>
        <w:rPr>
          <w:rFonts w:asciiTheme="majorHAnsi" w:hAnsiTheme="majorHAnsi"/>
        </w:rPr>
        <w:t>(</w:t>
      </w:r>
      <w:hyperlink r:id="rId130" w:history="1">
        <w:r>
          <w:rPr>
            <w:rStyle w:val="Hyperlink"/>
            <w:rFonts w:asciiTheme="majorHAnsi" w:hAnsiTheme="majorHAnsi"/>
          </w:rPr>
          <w:t>Berland împotriva Franței</w:t>
        </w:r>
      </w:hyperlink>
      <w:r>
        <w:rPr>
          <w:rFonts w:asciiTheme="majorHAnsi" w:hAnsiTheme="majorHAnsi"/>
        </w:rPr>
        <w:t>, 2015, pct. 39-47);</w:t>
      </w:r>
    </w:p>
    <w:p w14:paraId="7638916C" w14:textId="029C04A6" w:rsidR="00606D18" w:rsidRPr="006B7E09" w:rsidRDefault="00606D18" w:rsidP="00606D18">
      <w:pPr>
        <w:pStyle w:val="ECHRBullet1"/>
      </w:pPr>
      <w:r>
        <w:t xml:space="preserve">arestarea preventivă dispusă de o instanță de judecată ca urmare a condamnării pentru infracțiuni grave, ale cărei condiții de executare au fost modificate substanțial potrivit noului cadru legislativ pentru a trata tulburarea psihică a </w:t>
      </w:r>
      <w:r w:rsidR="0073341C">
        <w:t>deținutului</w:t>
      </w:r>
      <w:r>
        <w:t xml:space="preserve"> (și anume într-un centru specializat în locul unui penitenciar obișnuit), astfel încât măsura a evoluat de-a lungul timpului și nu mai constituia o pedeapsă [</w:t>
      </w:r>
      <w:hyperlink r:id="rId131" w:history="1">
        <w:r>
          <w:rPr>
            <w:rStyle w:val="Hyperlink"/>
          </w:rPr>
          <w:t>Ilnseher împotriva Germaniei</w:t>
        </w:r>
      </w:hyperlink>
      <w:r>
        <w:t xml:space="preserve"> (MC), 2018, pct. 210-236];</w:t>
      </w:r>
    </w:p>
    <w:p w14:paraId="732FD697" w14:textId="1A09E9F6" w:rsidR="008B470B" w:rsidRPr="006B7E09" w:rsidRDefault="00B14A77" w:rsidP="000B2716">
      <w:pPr>
        <w:pStyle w:val="ECHRBullet1"/>
        <w:rPr>
          <w:rFonts w:asciiTheme="majorHAnsi" w:hAnsiTheme="majorHAnsi"/>
        </w:rPr>
      </w:pPr>
      <w:r>
        <w:t>înregistrarea unei persoane în evidența judiciară sau a poliției cu autori de infracțiuni sexuale sau violente, având un scop preventiv și de descurajare [</w:t>
      </w:r>
      <w:hyperlink r:id="rId132" w:history="1">
        <w:r>
          <w:rPr>
            <w:rStyle w:val="Hyperlink"/>
            <w:rFonts w:asciiTheme="majorHAnsi" w:hAnsiTheme="majorHAnsi"/>
          </w:rPr>
          <w:t>Adamson împotriva Regatului Unit</w:t>
        </w:r>
      </w:hyperlink>
      <w:r>
        <w:rPr>
          <w:rFonts w:asciiTheme="majorHAnsi" w:hAnsiTheme="majorHAnsi"/>
        </w:rPr>
        <w:t xml:space="preserve"> (dec.), 1999; </w:t>
      </w:r>
      <w:hyperlink r:id="rId133" w:history="1">
        <w:hyperlink r:id="rId134" w:history="1">
          <w:r>
            <w:rPr>
              <w:rStyle w:val="Hyperlink"/>
              <w:rFonts w:asciiTheme="majorHAnsi" w:hAnsiTheme="majorHAnsi"/>
            </w:rPr>
            <w:t>Gardel împotriva Franței</w:t>
          </w:r>
        </w:hyperlink>
      </w:hyperlink>
      <w:r>
        <w:rPr>
          <w:rFonts w:asciiTheme="majorHAnsi" w:hAnsiTheme="majorHAnsi"/>
        </w:rPr>
        <w:t>, 2009, pct. 39-47];</w:t>
      </w:r>
    </w:p>
    <w:p w14:paraId="0D485086" w14:textId="096150F8" w:rsidR="009E0581" w:rsidRPr="006B7E09" w:rsidRDefault="00B14A77" w:rsidP="000B2716">
      <w:pPr>
        <w:pStyle w:val="ECHRBullet1"/>
        <w:rPr>
          <w:rFonts w:asciiTheme="majorHAnsi" w:hAnsiTheme="majorHAnsi"/>
        </w:rPr>
      </w:pPr>
      <w:r>
        <w:t>colectarea și păstrarea de către autorități a probelor de ADN de la persoanele condamnate</w:t>
      </w:r>
      <w:r>
        <w:rPr>
          <w:rFonts w:asciiTheme="majorHAnsi" w:hAnsiTheme="majorHAnsi"/>
        </w:rPr>
        <w:t xml:space="preserve"> [</w:t>
      </w:r>
      <w:hyperlink r:id="rId135" w:history="1">
        <w:r>
          <w:rPr>
            <w:rStyle w:val="Hyperlink"/>
            <w:rFonts w:asciiTheme="majorHAnsi" w:hAnsiTheme="majorHAnsi"/>
          </w:rPr>
          <w:t>Van der Velden împotriva Țărilor de Jos</w:t>
        </w:r>
      </w:hyperlink>
      <w:r>
        <w:rPr>
          <w:rFonts w:asciiTheme="majorHAnsi" w:hAnsiTheme="majorHAnsi"/>
        </w:rPr>
        <w:t xml:space="preserve"> (dec.), 2006];</w:t>
      </w:r>
    </w:p>
    <w:p w14:paraId="2A45ED49" w14:textId="756C0252" w:rsidR="00AB4EF0" w:rsidRPr="006B7E09" w:rsidRDefault="00A855E3" w:rsidP="000B2716">
      <w:pPr>
        <w:pStyle w:val="ECHRBullet1"/>
        <w:rPr>
          <w:rFonts w:asciiTheme="majorHAnsi" w:hAnsiTheme="majorHAnsi"/>
        </w:rPr>
      </w:pPr>
      <w:r>
        <w:t>detenția cu scopul de a împiedica o persoană să desfășoare activități ilegale, dat fiind caracterul său preventiv [</w:t>
      </w:r>
      <w:hyperlink r:id="rId136" w:history="1">
        <w:r>
          <w:rPr>
            <w:rStyle w:val="Hyperlink"/>
            <w:rFonts w:asciiTheme="majorHAnsi" w:hAnsiTheme="majorHAnsi"/>
          </w:rPr>
          <w:t>Lawless împotriva Irlandei (nr. 3)</w:t>
        </w:r>
      </w:hyperlink>
      <w:r>
        <w:rPr>
          <w:rFonts w:asciiTheme="majorHAnsi" w:hAnsiTheme="majorHAnsi"/>
        </w:rPr>
        <w:t>, 1961, pct. 19);</w:t>
      </w:r>
    </w:p>
    <w:p w14:paraId="57ACE3BB" w14:textId="2F9673FF" w:rsidR="00241AC7" w:rsidRPr="006B7E09" w:rsidRDefault="00A855E3" w:rsidP="000B2716">
      <w:pPr>
        <w:pStyle w:val="ECHRBullet1"/>
        <w:rPr>
          <w:rFonts w:asciiTheme="majorHAnsi" w:hAnsiTheme="majorHAnsi"/>
        </w:rPr>
      </w:pPr>
      <w:r>
        <w:t>interzicerea șederii (impusă pe lângă pedeapsa cu închisoarea) ca urmare a unei condamnări penale, interdicția fiind considerată echivalentă cu o măsură de ordine publică [</w:t>
      </w:r>
      <w:hyperlink r:id="rId137" w:history="1">
        <w:hyperlink r:id="rId138" w:history="1">
          <w:r>
            <w:rPr>
              <w:rStyle w:val="Hyperlink"/>
              <w:rFonts w:asciiTheme="majorHAnsi" w:hAnsiTheme="majorHAnsi"/>
            </w:rPr>
            <w:t>Renna împotriva Franței</w:t>
          </w:r>
        </w:hyperlink>
      </w:hyperlink>
      <w:r>
        <w:rPr>
          <w:rStyle w:val="ECHRParaSpacedChar"/>
          <w:rFonts w:asciiTheme="majorHAnsi" w:hAnsiTheme="majorHAnsi"/>
        </w:rPr>
        <w:t>, 1997, decizia Comisiei; a</w:t>
      </w:r>
      <w:r>
        <w:rPr>
          <w:rFonts w:asciiTheme="majorHAnsi" w:hAnsiTheme="majorHAnsi"/>
        </w:rPr>
        <w:t xml:space="preserve"> se vedea, </w:t>
      </w:r>
      <w:r>
        <w:rPr>
          <w:rStyle w:val="CLLItalic"/>
          <w:rFonts w:asciiTheme="majorHAnsi" w:hAnsiTheme="majorHAnsi"/>
        </w:rPr>
        <w:t>mutatis mutandis</w:t>
      </w:r>
      <w:r>
        <w:rPr>
          <w:rStyle w:val="ECHRParaSpacedChar"/>
          <w:rFonts w:asciiTheme="majorHAnsi" w:hAnsiTheme="majorHAnsi"/>
        </w:rPr>
        <w:t>,</w:t>
      </w:r>
      <w:r>
        <w:rPr>
          <w:rFonts w:asciiTheme="majorHAnsi" w:hAnsiTheme="majorHAnsi"/>
        </w:rPr>
        <w:t xml:space="preserve"> sub incidența laturii penale a art. 6 § 1, </w:t>
      </w:r>
      <w:hyperlink r:id="rId139" w:history="1">
        <w:hyperlink r:id="rId140" w:history="1">
          <w:r>
            <w:rPr>
              <w:rStyle w:val="Hyperlink"/>
              <w:rFonts w:asciiTheme="majorHAnsi" w:hAnsiTheme="majorHAnsi"/>
            </w:rPr>
            <w:t>Maaouia împotriva Franței</w:t>
          </w:r>
        </w:hyperlink>
      </w:hyperlink>
      <w:r>
        <w:rPr>
          <w:rFonts w:asciiTheme="majorHAnsi" w:hAnsiTheme="majorHAnsi"/>
        </w:rPr>
        <w:t xml:space="preserve"> (MC), 2000, pct. 39];</w:t>
      </w:r>
    </w:p>
    <w:p w14:paraId="1EA97173" w14:textId="757716FC" w:rsidR="00241AC7" w:rsidRPr="006B7E09" w:rsidRDefault="00E06AB6" w:rsidP="00034E65">
      <w:pPr>
        <w:pStyle w:val="ECHRBullet1"/>
        <w:rPr>
          <w:rFonts w:asciiTheme="majorHAnsi" w:hAnsiTheme="majorHAnsi"/>
        </w:rPr>
      </w:pPr>
      <w:r>
        <w:t>un ordin administrativ de expulzare sau de interzicere a șederii [</w:t>
      </w:r>
      <w:hyperlink r:id="rId141" w:history="1">
        <w:r>
          <w:rPr>
            <w:rStyle w:val="Hyperlink"/>
            <w:rFonts w:asciiTheme="majorHAnsi" w:hAnsiTheme="majorHAnsi"/>
          </w:rPr>
          <w:t>Vikulov și alții împotriva Letoniei</w:t>
        </w:r>
      </w:hyperlink>
      <w:r>
        <w:rPr>
          <w:rFonts w:asciiTheme="majorHAnsi" w:hAnsiTheme="majorHAnsi"/>
        </w:rPr>
        <w:t xml:space="preserve"> (dec.), 2004; </w:t>
      </w:r>
      <w:hyperlink r:id="rId142" w:history="1">
        <w:hyperlink r:id="rId143" w:history="1">
          <w:r>
            <w:rPr>
              <w:rStyle w:val="Hyperlink"/>
              <w:rFonts w:asciiTheme="majorHAnsi" w:hAnsiTheme="majorHAnsi"/>
            </w:rPr>
            <w:t>C.G. și alții împotriva Bulgariei</w:t>
          </w:r>
        </w:hyperlink>
      </w:hyperlink>
      <w:r>
        <w:rPr>
          <w:rFonts w:asciiTheme="majorHAnsi" w:hAnsiTheme="majorHAnsi"/>
        </w:rPr>
        <w:t xml:space="preserve"> (dec.), 2007];</w:t>
      </w:r>
    </w:p>
    <w:p w14:paraId="65720D8F" w14:textId="68086629" w:rsidR="002C7D43" w:rsidRPr="006B7E09" w:rsidRDefault="00A855E3" w:rsidP="000B2716">
      <w:pPr>
        <w:pStyle w:val="ECHRBullet1"/>
        <w:rPr>
          <w:rFonts w:asciiTheme="majorHAnsi" w:hAnsiTheme="majorHAnsi"/>
        </w:rPr>
      </w:pPr>
      <w:r>
        <w:t>transferul unei persoane condamnate într-o altă țară, în aplicarea Protocolului adițional la Convenția Consiliului Europei privind transferul persoanelor condamnate, măsură al cărei obiectiv este să favorizeze reintegrarea socială a persoanei în țara sa de origine [</w:t>
      </w:r>
      <w:hyperlink r:id="rId144" w:history="1">
        <w:r>
          <w:rPr>
            <w:rStyle w:val="Hyperlink"/>
            <w:rFonts w:asciiTheme="majorHAnsi" w:hAnsiTheme="majorHAnsi"/>
          </w:rPr>
          <w:t>Szabó împotriva Suediei</w:t>
        </w:r>
      </w:hyperlink>
      <w:r>
        <w:rPr>
          <w:rFonts w:asciiTheme="majorHAnsi" w:hAnsiTheme="majorHAnsi"/>
        </w:rPr>
        <w:t xml:space="preserve"> (dec.), 2006; </w:t>
      </w:r>
      <w:hyperlink r:id="rId145" w:history="1">
        <w:hyperlink r:id="rId146" w:history="1">
          <w:r>
            <w:rPr>
              <w:rStyle w:val="Hyperlink"/>
              <w:rFonts w:asciiTheme="majorHAnsi" w:hAnsiTheme="majorHAnsi"/>
            </w:rPr>
            <w:t>Giza împotriva Poloniei</w:t>
          </w:r>
        </w:hyperlink>
      </w:hyperlink>
      <w:r>
        <w:rPr>
          <w:rFonts w:asciiTheme="majorHAnsi" w:hAnsiTheme="majorHAnsi"/>
        </w:rPr>
        <w:t xml:space="preserve"> (dec.), 2010, pct. 30, în ceea ce privește predarea unei persoane condamnate în baza Deciziei-cadru a UE privind mandatul european de arestare și procedurile de predare între statele membre];</w:t>
      </w:r>
    </w:p>
    <w:p w14:paraId="637F1D69" w14:textId="4454F8A9" w:rsidR="00B67A63" w:rsidRPr="006B7E09" w:rsidRDefault="00A855E3" w:rsidP="000B2716">
      <w:pPr>
        <w:pStyle w:val="ECHRBullet1"/>
        <w:rPr>
          <w:rFonts w:asciiTheme="majorHAnsi" w:hAnsiTheme="majorHAnsi"/>
        </w:rPr>
      </w:pPr>
      <w:r>
        <w:t>un ordin preventiv de confiscare a bunurilor bazat pe suspiciunea de apartenență la organizații de tip mafiot, ordin care nu era condiționat de o condamnare penală prealabilă</w:t>
      </w:r>
      <w:r>
        <w:rPr>
          <w:rFonts w:asciiTheme="majorHAnsi" w:hAnsiTheme="majorHAnsi"/>
        </w:rPr>
        <w:t xml:space="preserve"> (</w:t>
      </w:r>
      <w:hyperlink r:id="rId147" w:history="1">
        <w:hyperlink r:id="rId148" w:history="1">
          <w:r>
            <w:rPr>
              <w:rStyle w:val="Hyperlink"/>
              <w:rFonts w:asciiTheme="majorHAnsi" w:hAnsiTheme="majorHAnsi"/>
            </w:rPr>
            <w:t>M. împotriva Italiei</w:t>
          </w:r>
        </w:hyperlink>
      </w:hyperlink>
      <w:r>
        <w:rPr>
          <w:rFonts w:asciiTheme="majorHAnsi" w:hAnsiTheme="majorHAnsi"/>
        </w:rPr>
        <w:t>, decizia Comisiei din 1991);</w:t>
      </w:r>
    </w:p>
    <w:p w14:paraId="1E9825A8" w14:textId="0C37CACF" w:rsidR="00890978" w:rsidRPr="006B7E09" w:rsidRDefault="00937C98" w:rsidP="000B2716">
      <w:pPr>
        <w:pStyle w:val="ECHRBullet1"/>
        <w:rPr>
          <w:rFonts w:asciiTheme="majorHAnsi" w:hAnsiTheme="majorHAnsi"/>
        </w:rPr>
      </w:pPr>
      <w:r>
        <w:t>supravegherea specială a poliției sau arestul la domiciliu al unei persoane periculoase cu scopul de a împiedica comiterea de infracțiuni [</w:t>
      </w:r>
      <w:hyperlink r:id="rId149" w:history="1">
        <w:hyperlink r:id="rId150" w:history="1">
          <w:r>
            <w:rPr>
              <w:rStyle w:val="Hyperlink"/>
              <w:rFonts w:asciiTheme="majorHAnsi" w:hAnsiTheme="majorHAnsi"/>
            </w:rPr>
            <w:t>Mucci împotriva Italiei</w:t>
          </w:r>
        </w:hyperlink>
      </w:hyperlink>
      <w:r>
        <w:rPr>
          <w:rStyle w:val="ECHRParaSpacedChar"/>
          <w:rFonts w:asciiTheme="majorHAnsi" w:hAnsiTheme="majorHAnsi"/>
        </w:rPr>
        <w:t>, decizia Comisiei din 1998;</w:t>
      </w:r>
      <w:r>
        <w:rPr>
          <w:rFonts w:asciiTheme="majorHAnsi" w:hAnsiTheme="majorHAnsi"/>
        </w:rPr>
        <w:t xml:space="preserve"> </w:t>
      </w:r>
      <w:hyperlink r:id="rId151" w:history="1">
        <w:hyperlink r:id="rId152" w:history="1">
          <w:r>
            <w:rPr>
              <w:rStyle w:val="Hyperlink"/>
              <w:rFonts w:asciiTheme="majorHAnsi" w:hAnsiTheme="majorHAnsi"/>
            </w:rPr>
            <w:t>Raimondo împotriva Italiei</w:t>
          </w:r>
        </w:hyperlink>
      </w:hyperlink>
      <w:r>
        <w:rPr>
          <w:rFonts w:asciiTheme="majorHAnsi" w:hAnsiTheme="majorHAnsi"/>
        </w:rPr>
        <w:t>, 1994, pct. 43, cu privire la aspectele penale de la art. 6 § 1);</w:t>
      </w:r>
    </w:p>
    <w:p w14:paraId="64D29888" w14:textId="536C149B" w:rsidR="007646F6" w:rsidRPr="006B7E09" w:rsidRDefault="00B52247" w:rsidP="00B52247">
      <w:pPr>
        <w:pStyle w:val="ECHRBullet1"/>
        <w:rPr>
          <w:rFonts w:asciiTheme="majorHAnsi" w:hAnsiTheme="majorHAnsi"/>
        </w:rPr>
      </w:pPr>
      <w:r>
        <w:t>supravegherea administrativă în scop preventiv, după ce persoanele condamnate și-au executat pedeapsa, precum și restrângerea ulterioară a libertății de mișcare și obligația lor de a raporta</w:t>
      </w:r>
      <w:r>
        <w:rPr>
          <w:rFonts w:asciiTheme="majorHAnsi" w:hAnsiTheme="majorHAnsi"/>
        </w:rPr>
        <w:t xml:space="preserve"> (</w:t>
      </w:r>
      <w:hyperlink r:id="rId153" w:history="1">
        <w:r>
          <w:rPr>
            <w:rStyle w:val="Hyperlink"/>
          </w:rPr>
          <w:t>Timofeyev și Postupkin împotriva Rusiei</w:t>
        </w:r>
      </w:hyperlink>
      <w:r>
        <w:t xml:space="preserve">, 2021, </w:t>
      </w:r>
      <w:r>
        <w:rPr>
          <w:rFonts w:asciiTheme="majorHAnsi" w:hAnsiTheme="majorHAnsi"/>
        </w:rPr>
        <w:t>pct. 70-82);</w:t>
      </w:r>
    </w:p>
    <w:p w14:paraId="0AA3BD01" w14:textId="224287E5" w:rsidR="00F2721E" w:rsidRPr="006B7E09" w:rsidRDefault="005B33E7" w:rsidP="000B2716">
      <w:pPr>
        <w:pStyle w:val="ECHRBullet1"/>
        <w:rPr>
          <w:rFonts w:asciiTheme="majorHAnsi" w:hAnsiTheme="majorHAnsi"/>
        </w:rPr>
      </w:pPr>
      <w:r>
        <w:rPr>
          <w:rFonts w:asciiTheme="majorHAnsi" w:hAnsiTheme="majorHAnsi"/>
        </w:rPr>
        <w:lastRenderedPageBreak/>
        <w:t>ordonanță de confiscare impusă în cadrul proceselor penale în ceea ce privește terți [</w:t>
      </w:r>
      <w:hyperlink r:id="rId154" w:history="1">
        <w:hyperlink r:id="rId155" w:history="1">
          <w:r>
            <w:rPr>
              <w:rStyle w:val="Hyperlink"/>
              <w:rFonts w:asciiTheme="majorHAnsi" w:hAnsiTheme="majorHAnsi"/>
            </w:rPr>
            <w:t>Yildirim împotriva Italiei</w:t>
          </w:r>
        </w:hyperlink>
      </w:hyperlink>
      <w:r>
        <w:rPr>
          <w:rFonts w:asciiTheme="majorHAnsi" w:hAnsiTheme="majorHAnsi"/>
        </w:rPr>
        <w:t xml:space="preserve"> (dec.), 2003; </w:t>
      </w:r>
      <w:hyperlink r:id="rId156" w:history="1">
        <w:hyperlink r:id="rId157" w:history="1">
          <w:hyperlink r:id="rId158" w:history="1">
            <w:r>
              <w:rPr>
                <w:rStyle w:val="Hyperlink"/>
                <w:rFonts w:asciiTheme="majorHAnsi" w:hAnsiTheme="majorHAnsi"/>
              </w:rPr>
              <w:t>Bowler International Unit împotriva Franței</w:t>
            </w:r>
          </w:hyperlink>
        </w:hyperlink>
      </w:hyperlink>
      <w:r>
        <w:rPr>
          <w:rFonts w:asciiTheme="majorHAnsi" w:hAnsiTheme="majorHAnsi"/>
        </w:rPr>
        <w:t>, 2009, pct. 65-68];</w:t>
      </w:r>
    </w:p>
    <w:p w14:paraId="71060359" w14:textId="6D64265E" w:rsidR="007646F6" w:rsidRPr="006B7E09" w:rsidRDefault="00CA2BE9" w:rsidP="000B2716">
      <w:pPr>
        <w:pStyle w:val="ECHRBullet1"/>
        <w:rPr>
          <w:rFonts w:asciiTheme="majorHAnsi" w:hAnsiTheme="majorHAnsi"/>
        </w:rPr>
      </w:pPr>
      <w:r>
        <w:t>confiscare a bunurilor considerate a avea origini ilicite, impusă la încheierea procesului penal împotriva reclamanților, în pofida achitării acestora de acuzațiile de spălarea banilor</w:t>
      </w:r>
      <w:r>
        <w:rPr>
          <w:rFonts w:asciiTheme="majorHAnsi" w:hAnsiTheme="majorHAnsi"/>
        </w:rPr>
        <w:t xml:space="preserve"> (</w:t>
      </w:r>
      <w:hyperlink r:id="rId159" w:history="1">
        <w:r>
          <w:rPr>
            <w:rStyle w:val="Hyperlink"/>
            <w:rFonts w:asciiTheme="majorHAnsi" w:hAnsiTheme="majorHAnsi"/>
          </w:rPr>
          <w:t>Balsamo împotriva San Marino</w:t>
        </w:r>
      </w:hyperlink>
      <w:r>
        <w:rPr>
          <w:rStyle w:val="ECHRParaSpacedChar"/>
        </w:rPr>
        <w:t xml:space="preserve">, 2019, </w:t>
      </w:r>
      <w:r>
        <w:rPr>
          <w:rFonts w:asciiTheme="majorHAnsi" w:hAnsiTheme="majorHAnsi"/>
        </w:rPr>
        <w:t>pct. 60-65);</w:t>
      </w:r>
    </w:p>
    <w:p w14:paraId="46747D61" w14:textId="3620DD9C" w:rsidR="007646F6" w:rsidRPr="006B7E09" w:rsidRDefault="000740C1" w:rsidP="00FA3004">
      <w:pPr>
        <w:pStyle w:val="ECHRBullet1"/>
        <w:rPr>
          <w:rFonts w:asciiTheme="majorHAnsi" w:hAnsiTheme="majorHAnsi"/>
        </w:rPr>
      </w:pPr>
      <w:r>
        <w:rPr>
          <w:rFonts w:asciiTheme="majorHAnsi" w:hAnsiTheme="majorHAnsi"/>
        </w:rPr>
        <w:t xml:space="preserve">reținere a activelor provenite din infracțiuni în urma condamnării, dispusă într-o procedură separată, și considerată ca fiind compatibilă cu reținerea civilă </w:t>
      </w:r>
      <w:r>
        <w:rPr>
          <w:rFonts w:asciiTheme="majorHAnsi" w:hAnsiTheme="majorHAnsi"/>
          <w:i/>
        </w:rPr>
        <w:t xml:space="preserve">in rem </w:t>
      </w:r>
      <w:r>
        <w:rPr>
          <w:rFonts w:asciiTheme="majorHAnsi" w:hAnsiTheme="majorHAnsi"/>
        </w:rPr>
        <w:t>[</w:t>
      </w:r>
      <w:hyperlink r:id="rId160" w:history="1">
        <w:r>
          <w:rPr>
            <w:rStyle w:val="Hyperlink"/>
            <w:rFonts w:asciiTheme="majorHAnsi" w:hAnsiTheme="majorHAnsi"/>
          </w:rPr>
          <w:t>Ulemek împotriva Serbiei</w:t>
        </w:r>
      </w:hyperlink>
      <w:r>
        <w:rPr>
          <w:rFonts w:asciiTheme="majorHAnsi" w:hAnsiTheme="majorHAnsi"/>
          <w:i/>
        </w:rPr>
        <w:t xml:space="preserve"> </w:t>
      </w:r>
      <w:r>
        <w:rPr>
          <w:rFonts w:asciiTheme="majorHAnsi" w:hAnsiTheme="majorHAnsi"/>
        </w:rPr>
        <w:t>(dec.), 2021, pct. 46-57];</w:t>
      </w:r>
    </w:p>
    <w:p w14:paraId="1DC6F6FA" w14:textId="25E26E15" w:rsidR="006B442C" w:rsidRPr="006B7E09" w:rsidRDefault="00937C98" w:rsidP="000B2716">
      <w:pPr>
        <w:pStyle w:val="ECHRBullet1"/>
        <w:rPr>
          <w:rFonts w:asciiTheme="majorHAnsi" w:hAnsiTheme="majorHAnsi"/>
        </w:rPr>
      </w:pPr>
      <w:r>
        <w:t>revocarea mandatului parlamentar al unui deputat și declararea neeligibilității sale ca urmare a dizolvării unui partid politic [</w:t>
      </w:r>
      <w:hyperlink r:id="rId161" w:history="1">
        <w:r>
          <w:rPr>
            <w:rStyle w:val="Hyperlink"/>
            <w:rFonts w:asciiTheme="majorHAnsi" w:hAnsiTheme="majorHAnsi"/>
          </w:rPr>
          <w:t>Sobacı împotriva Turciei</w:t>
        </w:r>
      </w:hyperlink>
      <w:r>
        <w:rPr>
          <w:rFonts w:asciiTheme="majorHAnsi" w:hAnsiTheme="majorHAnsi"/>
        </w:rPr>
        <w:t xml:space="preserve"> (dec.), 2007);</w:t>
      </w:r>
    </w:p>
    <w:p w14:paraId="4C673007" w14:textId="7AA5EF3F" w:rsidR="00ED1265" w:rsidRPr="006B7E09" w:rsidRDefault="00ED1265" w:rsidP="000B2716">
      <w:pPr>
        <w:pStyle w:val="ECHRBullet1"/>
        <w:rPr>
          <w:rFonts w:asciiTheme="majorHAnsi" w:hAnsiTheme="majorHAnsi"/>
        </w:rPr>
      </w:pPr>
      <w:r>
        <w:t>descalificare de la a candida în alegeri și îndepărtare din funcția aleasă (Parlament) din cauza unei condamnări penale definitive pentru corupție</w:t>
      </w:r>
      <w:r>
        <w:rPr>
          <w:rFonts w:asciiTheme="majorHAnsi" w:hAnsiTheme="majorHAnsi"/>
        </w:rPr>
        <w:t xml:space="preserve"> [</w:t>
      </w:r>
      <w:hyperlink r:id="rId162" w:history="1">
        <w:r>
          <w:rPr>
            <w:rStyle w:val="Hyperlink"/>
            <w:rFonts w:asciiTheme="majorHAnsi" w:hAnsiTheme="majorHAnsi"/>
          </w:rPr>
          <w:t>Galan împotriva Italiei</w:t>
        </w:r>
      </w:hyperlink>
      <w:r>
        <w:rPr>
          <w:rFonts w:asciiTheme="majorHAnsi" w:hAnsiTheme="majorHAnsi"/>
          <w:i/>
        </w:rPr>
        <w:t xml:space="preserve"> </w:t>
      </w:r>
      <w:r>
        <w:rPr>
          <w:rFonts w:asciiTheme="majorHAnsi" w:hAnsiTheme="majorHAnsi"/>
        </w:rPr>
        <w:t>(dec.), 2021, pct. 70-97];</w:t>
      </w:r>
    </w:p>
    <w:p w14:paraId="74FD9C99" w14:textId="640F8B3E" w:rsidR="00271611" w:rsidRPr="006B7E09" w:rsidRDefault="00961445" w:rsidP="00C726D5">
      <w:pPr>
        <w:pStyle w:val="ECHRBullet1"/>
        <w:rPr>
          <w:rFonts w:asciiTheme="majorHAnsi" w:hAnsiTheme="majorHAnsi"/>
        </w:rPr>
      </w:pPr>
      <w:r>
        <w:t>punere sub acuzare</w:t>
      </w:r>
      <w:r>
        <w:rPr>
          <w:rFonts w:asciiTheme="majorHAnsi" w:hAnsiTheme="majorHAnsi"/>
        </w:rPr>
        <w:t xml:space="preserve"> și declarare ca neeligibil împotriva Președintelui ca urmare a procedurii de punere sub acuzare pentru încălcări grave ale Constituției [</w:t>
      </w:r>
      <w:hyperlink r:id="rId163" w:history="1">
        <w:hyperlink r:id="rId164" w:history="1">
          <w:r>
            <w:rPr>
              <w:rStyle w:val="Hyperlink"/>
              <w:rFonts w:asciiTheme="majorHAnsi" w:hAnsiTheme="majorHAnsi"/>
            </w:rPr>
            <w:t>Paksas împotriva Lituaniei</w:t>
          </w:r>
        </w:hyperlink>
      </w:hyperlink>
      <w:r>
        <w:rPr>
          <w:rFonts w:asciiTheme="majorHAnsi" w:hAnsiTheme="majorHAnsi"/>
        </w:rPr>
        <w:t xml:space="preserve"> (MC), 2011, pct. 65-68];</w:t>
      </w:r>
    </w:p>
    <w:p w14:paraId="406D9A3C" w14:textId="7AB593ED" w:rsidR="006B442C" w:rsidRPr="006B7E09" w:rsidRDefault="00C55810" w:rsidP="000B2716">
      <w:pPr>
        <w:pStyle w:val="ECHRBullet1"/>
        <w:rPr>
          <w:rFonts w:asciiTheme="majorHAnsi" w:hAnsiTheme="majorHAnsi"/>
        </w:rPr>
      </w:pPr>
      <w:r>
        <w:t>suspendarea drepturilor de pensie ale unui funcționar public în urma unei proceduri disciplinare [</w:t>
      </w:r>
      <w:hyperlink r:id="rId165" w:history="1">
        <w:hyperlink r:id="rId166" w:history="1">
          <w:r>
            <w:rPr>
              <w:rStyle w:val="Hyperlink"/>
              <w:rFonts w:asciiTheme="majorHAnsi" w:hAnsiTheme="majorHAnsi"/>
            </w:rPr>
            <w:t>Haioun împotriva Franței</w:t>
          </w:r>
        </w:hyperlink>
      </w:hyperlink>
      <w:r>
        <w:rPr>
          <w:rFonts w:asciiTheme="majorHAnsi" w:hAnsiTheme="majorHAnsi"/>
        </w:rPr>
        <w:t xml:space="preserve"> (dec.), 2004];</w:t>
      </w:r>
    </w:p>
    <w:p w14:paraId="47C2C4FD" w14:textId="0B35A3D5" w:rsidR="00C91D45" w:rsidRPr="006B7E09" w:rsidRDefault="0049236F" w:rsidP="000B2716">
      <w:pPr>
        <w:pStyle w:val="ECHRBullet1"/>
        <w:rPr>
          <w:rFonts w:asciiTheme="majorHAnsi" w:hAnsiTheme="majorHAnsi"/>
        </w:rPr>
      </w:pPr>
      <w:r>
        <w:t xml:space="preserve">trei weekenduri de izolare în penitenciar </w:t>
      </w:r>
      <w:r>
        <w:rPr>
          <w:rFonts w:asciiTheme="majorHAnsi" w:hAnsiTheme="majorHAnsi"/>
        </w:rPr>
        <w:t xml:space="preserve"> (</w:t>
      </w:r>
      <w:hyperlink r:id="rId167" w:history="1">
        <w:hyperlink r:id="rId168" w:history="1">
          <w:r>
            <w:rPr>
              <w:rStyle w:val="Hyperlink"/>
              <w:rFonts w:asciiTheme="majorHAnsi" w:hAnsiTheme="majorHAnsi"/>
            </w:rPr>
            <w:t>A. împotriva Spaniei</w:t>
          </w:r>
        </w:hyperlink>
      </w:hyperlink>
      <w:r>
        <w:rPr>
          <w:rStyle w:val="ECHRParaSpacedChar"/>
          <w:rFonts w:asciiTheme="majorHAnsi" w:hAnsiTheme="majorHAnsi"/>
        </w:rPr>
        <w:t>,</w:t>
      </w:r>
      <w:r>
        <w:rPr>
          <w:rFonts w:asciiTheme="majorHAnsi" w:hAnsiTheme="majorHAnsi"/>
        </w:rPr>
        <w:t xml:space="preserve"> decizia Comisiei din 13 octombrie 1986; </w:t>
      </w:r>
      <w:hyperlink r:id="rId169" w:history="1">
        <w:hyperlink r:id="rId170" w:history="1">
          <w:r>
            <w:rPr>
              <w:rStyle w:val="Hyperlink"/>
              <w:rFonts w:asciiTheme="majorHAnsi" w:hAnsiTheme="majorHAnsi"/>
            </w:rPr>
            <w:t>Payet împotriva Franței</w:t>
          </w:r>
        </w:hyperlink>
      </w:hyperlink>
      <w:r>
        <w:rPr>
          <w:rFonts w:asciiTheme="majorHAnsi" w:hAnsiTheme="majorHAnsi"/>
        </w:rPr>
        <w:t>, 2011, pct. 94-100, din perspectiva laturii penale a art. 6);</w:t>
      </w:r>
    </w:p>
    <w:p w14:paraId="160C0BE8" w14:textId="3081447A" w:rsidR="00B94281" w:rsidRPr="006B7E09" w:rsidRDefault="00E515A4" w:rsidP="001902A2">
      <w:pPr>
        <w:pStyle w:val="ECHRBullet1"/>
        <w:rPr>
          <w:rFonts w:asciiTheme="majorHAnsi" w:hAnsiTheme="majorHAnsi"/>
        </w:rPr>
      </w:pPr>
      <w:r>
        <w:t xml:space="preserve">izolarea socială a unui deținut ca rezultat al faptului că reclamantul era singurul deținut din penitenciar, situație considerată de Curte ca </w:t>
      </w:r>
      <w:r>
        <w:rPr>
          <w:rStyle w:val="ECHRParaSpacedChar"/>
          <w:rFonts w:asciiTheme="majorHAnsi" w:hAnsiTheme="majorHAnsi"/>
        </w:rPr>
        <w:t xml:space="preserve">o măsură extraordinară, încât nu era de așteptat în mod rezonabil ca un stat să prevadă în legislația sa detaliile regimului de aplicat în asemenea cazuri </w:t>
      </w:r>
      <w:r>
        <w:rPr>
          <w:rFonts w:asciiTheme="majorHAnsi" w:hAnsiTheme="majorHAnsi"/>
        </w:rPr>
        <w:t>[</w:t>
      </w:r>
      <w:hyperlink r:id="rId171" w:history="1">
        <w:r>
          <w:rPr>
            <w:rStyle w:val="Hyperlink"/>
            <w:rFonts w:asciiTheme="majorHAnsi" w:hAnsiTheme="majorHAnsi"/>
          </w:rPr>
          <w:t>Öcalan împotriva Turciei (nr. 2)</w:t>
        </w:r>
      </w:hyperlink>
      <w:r>
        <w:rPr>
          <w:rFonts w:asciiTheme="majorHAnsi" w:hAnsiTheme="majorHAnsi"/>
        </w:rPr>
        <w:t>, 2001, pct. 187];</w:t>
      </w:r>
    </w:p>
    <w:p w14:paraId="67318FA2" w14:textId="1CACEB59" w:rsidR="00E515A4" w:rsidRPr="006B7E09" w:rsidRDefault="002E2D15" w:rsidP="001902A2">
      <w:pPr>
        <w:pStyle w:val="ECHRBullet1"/>
        <w:rPr>
          <w:rFonts w:asciiTheme="majorHAnsi" w:hAnsiTheme="majorHAnsi"/>
        </w:rPr>
      </w:pPr>
      <w:r>
        <w:t>reevaluarea impozitului în urma pierderii unui regim fiscal preferențial, fără nicio penalitate în sarcina societății reclamante [</w:t>
      </w:r>
      <w:hyperlink r:id="rId172" w:history="1">
        <w:r>
          <w:rPr>
            <w:rStyle w:val="Hyperlink"/>
            <w:rFonts w:asciiTheme="majorHAnsi" w:hAnsiTheme="majorHAnsi"/>
          </w:rPr>
          <w:t>Société Oxygène Plus împotriva Franței</w:t>
        </w:r>
      </w:hyperlink>
      <w:r>
        <w:rPr>
          <w:rStyle w:val="ECHRParaSpacedChar"/>
          <w:rFonts w:asciiTheme="majorHAnsi" w:hAnsiTheme="majorHAnsi"/>
        </w:rPr>
        <w:t xml:space="preserve"> </w:t>
      </w:r>
      <w:r>
        <w:rPr>
          <w:rFonts w:asciiTheme="majorHAnsi" w:hAnsiTheme="majorHAnsi"/>
        </w:rPr>
        <w:t>(dec.), 2016, pct. 40</w:t>
      </w:r>
      <w:r>
        <w:rPr>
          <w:rFonts w:asciiTheme="majorHAnsi" w:hAnsiTheme="majorHAnsi"/>
        </w:rPr>
        <w:noBreakHyphen/>
        <w:t>51];</w:t>
      </w:r>
    </w:p>
    <w:p w14:paraId="73601736" w14:textId="30CD64D6" w:rsidR="0090725E" w:rsidRPr="006B7E09" w:rsidRDefault="007B0B56" w:rsidP="001902A2">
      <w:pPr>
        <w:pStyle w:val="ECHRBullet1"/>
        <w:rPr>
          <w:rFonts w:asciiTheme="majorHAnsi" w:hAnsiTheme="majorHAnsi"/>
        </w:rPr>
      </w:pPr>
      <w:r>
        <w:t>revocarea licenței de a acționa ca lichidator în procedura insolvenței (</w:t>
      </w:r>
      <w:hyperlink r:id="rId173" w:history="1">
        <w:r>
          <w:rPr>
            <w:rStyle w:val="Hyperlink"/>
          </w:rPr>
          <w:t>Rola împotriva Sloveniei</w:t>
        </w:r>
      </w:hyperlink>
      <w:r>
        <w:t>, 2019, pct. 60-66);</w:t>
      </w:r>
    </w:p>
    <w:p w14:paraId="486758E5" w14:textId="52A245B9" w:rsidR="00930A0E" w:rsidRPr="006B7E09" w:rsidRDefault="00930A0E" w:rsidP="00930A0E">
      <w:pPr>
        <w:pStyle w:val="ECHRBullet1"/>
        <w:rPr>
          <w:rFonts w:asciiTheme="majorHAnsi" w:hAnsiTheme="majorHAnsi"/>
        </w:rPr>
      </w:pPr>
      <w:r>
        <w:t>suspendare disciplinară în context sporturilor profesioniste [</w:t>
      </w:r>
      <w:hyperlink r:id="rId174" w:history="1">
        <w:r>
          <w:rPr>
            <w:rStyle w:val="Hyperlink"/>
            <w:rFonts w:asciiTheme="majorHAnsi" w:hAnsiTheme="majorHAnsi"/>
          </w:rPr>
          <w:t>Platini împotriva Elveției</w:t>
        </w:r>
      </w:hyperlink>
      <w:r>
        <w:rPr>
          <w:rFonts w:asciiTheme="majorHAnsi" w:hAnsiTheme="majorHAnsi"/>
        </w:rPr>
        <w:t xml:space="preserve"> (dec.), 2020, pct. 44-49].</w:t>
      </w:r>
    </w:p>
    <w:p w14:paraId="3FCA20C8" w14:textId="77777777" w:rsidR="006B54D5" w:rsidRPr="006B7E09" w:rsidRDefault="006B54D5" w:rsidP="0074790E">
      <w:pPr>
        <w:pStyle w:val="ECHRHeading3"/>
      </w:pPr>
      <w:bookmarkStart w:id="21" w:name="_Toc436664102"/>
      <w:bookmarkStart w:id="22" w:name="_Toc436664769"/>
      <w:bookmarkStart w:id="23" w:name="_Toc436741695"/>
      <w:bookmarkStart w:id="24" w:name="_Toc436833769"/>
      <w:bookmarkStart w:id="25" w:name="_Toc437417585"/>
      <w:bookmarkStart w:id="26" w:name="_Toc441568632"/>
      <w:bookmarkStart w:id="27" w:name="_Toc449348325"/>
      <w:bookmarkStart w:id="28" w:name="_Toc162517955"/>
      <w:r>
        <w:t>D</w:t>
      </w:r>
      <w:bookmarkEnd w:id="21"/>
      <w:bookmarkEnd w:id="22"/>
      <w:bookmarkEnd w:id="23"/>
      <w:bookmarkEnd w:id="24"/>
      <w:bookmarkEnd w:id="25"/>
      <w:bookmarkEnd w:id="26"/>
      <w:bookmarkEnd w:id="27"/>
      <w:r>
        <w:t>istincția între drept material penal și drept procedural</w:t>
      </w:r>
      <w:bookmarkEnd w:id="28"/>
    </w:p>
    <w:p w14:paraId="48587F75" w14:textId="2A3F4EFA" w:rsidR="001748A6" w:rsidRPr="006B7E09" w:rsidRDefault="008A5DEE" w:rsidP="0074790E">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16</w:t>
      </w:r>
      <w:r w:rsidRPr="006B7E09">
        <w:rPr>
          <w:rFonts w:asciiTheme="majorHAnsi" w:hAnsiTheme="majorHAnsi"/>
        </w:rPr>
        <w:fldChar w:fldCharType="end"/>
      </w:r>
      <w:r>
        <w:rPr>
          <w:rFonts w:asciiTheme="majorHAnsi" w:hAnsiTheme="majorHAnsi"/>
        </w:rPr>
        <w:t xml:space="preserve">.  Curtea a specificat că normele privind retroactivitatea stabilite la art. 7 din Convenție se aplică doar dispozițiilor care definesc infracțiuni și sancționarea respectivă. </w:t>
      </w:r>
      <w:r>
        <w:t xml:space="preserve">În principiu, acestea nu se aplică legilor de procedură, a căror aplicare imediată, conform principiului </w:t>
      </w:r>
      <w:r>
        <w:rPr>
          <w:rStyle w:val="CLLItalic"/>
          <w:rFonts w:asciiTheme="majorHAnsi" w:hAnsiTheme="majorHAnsi"/>
        </w:rPr>
        <w:t>tempus regit actum</w:t>
      </w:r>
      <w:r>
        <w:rPr>
          <w:rFonts w:asciiTheme="majorHAnsi" w:hAnsiTheme="majorHAnsi"/>
        </w:rPr>
        <w:t xml:space="preserve"> a fost considerată rezonabilă de către Curte [</w:t>
      </w:r>
      <w:hyperlink r:id="rId175" w:history="1">
        <w:r>
          <w:rPr>
            <w:rStyle w:val="Hyperlink"/>
            <w:rFonts w:asciiTheme="majorHAnsi" w:hAnsiTheme="majorHAnsi"/>
          </w:rPr>
          <w:t>Scoppola împotriva Italiei (nr. 2)</w:t>
        </w:r>
      </w:hyperlink>
      <w:r>
        <w:rPr>
          <w:rFonts w:asciiTheme="majorHAnsi" w:hAnsiTheme="majorHAnsi"/>
        </w:rPr>
        <w:t xml:space="preserve"> (MC), 2009, pct. 110, cu trimiterile la cauze referitoare la art. 6 din Convenție: a se vedea, de exemplu, normele în materie de declarații ale martorilor, descrise ca „norme de procedură“ în </w:t>
      </w:r>
      <w:hyperlink r:id="rId176" w:history="1">
        <w:hyperlink r:id="rId177" w:history="1">
          <w:hyperlink r:id="rId178" w:history="1">
            <w:r>
              <w:rPr>
                <w:rStyle w:val="Hyperlink"/>
                <w:rFonts w:asciiTheme="majorHAnsi" w:hAnsiTheme="majorHAnsi"/>
              </w:rPr>
              <w:t>Bosti împotriva Italiei</w:t>
            </w:r>
          </w:hyperlink>
        </w:hyperlink>
      </w:hyperlink>
      <w:r>
        <w:rPr>
          <w:rFonts w:asciiTheme="majorHAnsi" w:hAnsiTheme="majorHAnsi"/>
        </w:rPr>
        <w:t xml:space="preserve"> (dec.), 2014, pct. 55], sub rezerva lipsei caracterului arbitrar [</w:t>
      </w:r>
      <w:hyperlink r:id="rId179" w:history="1">
        <w:hyperlink r:id="rId180" w:history="1">
          <w:r>
            <w:rPr>
              <w:rStyle w:val="Hyperlink"/>
              <w:rFonts w:asciiTheme="majorHAnsi" w:hAnsiTheme="majorHAnsi"/>
            </w:rPr>
            <w:t>Morabito împotriva Italiei</w:t>
          </w:r>
        </w:hyperlink>
      </w:hyperlink>
      <w:r>
        <w:rPr>
          <w:rFonts w:asciiTheme="majorHAnsi" w:hAnsiTheme="majorHAnsi"/>
        </w:rPr>
        <w:t xml:space="preserve"> (dec.), 2005]. </w:t>
      </w:r>
      <w:r>
        <w:t>Cu toate acestea, atunci când o dispoziție descrisă ca procedurală în dreptul intern are o influență asupra severității pedepsei care trebuie aplicată, Curtea consideră această dispoziție ca „drept penal material“, căreia i se aplică ultima frază din art. 7 § 1 [</w:t>
      </w:r>
      <w:hyperlink r:id="rId181" w:history="1">
        <w:r>
          <w:rPr>
            <w:rStyle w:val="Hyperlink"/>
            <w:rFonts w:asciiTheme="majorHAnsi" w:hAnsiTheme="majorHAnsi"/>
          </w:rPr>
          <w:t>Scoppola împotriva Italiei (nr.2)</w:t>
        </w:r>
      </w:hyperlink>
      <w:r>
        <w:rPr>
          <w:rFonts w:asciiTheme="majorHAnsi" w:hAnsiTheme="majorHAnsi"/>
        </w:rPr>
        <w:t xml:space="preserve"> (MC), 2009, pct. 110-113, în baza unei dispoziții din Codul de procedură penală consacrată severității pedepsei care trebuie aplicată atunci când procesul s-a derulat conform procedurii simplificate].</w:t>
      </w:r>
    </w:p>
    <w:p w14:paraId="061E8D70" w14:textId="1C893025" w:rsidR="00AA4942" w:rsidRPr="006B7E09" w:rsidRDefault="008A5DEE" w:rsidP="0074790E">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17</w:t>
      </w:r>
      <w:r w:rsidRPr="006B7E09">
        <w:rPr>
          <w:rFonts w:asciiTheme="majorHAnsi" w:hAnsiTheme="majorHAnsi"/>
        </w:rPr>
        <w:fldChar w:fldCharType="end"/>
      </w:r>
      <w:r>
        <w:rPr>
          <w:rFonts w:asciiTheme="majorHAnsi" w:hAnsiTheme="majorHAnsi"/>
        </w:rPr>
        <w:t>.  </w:t>
      </w:r>
      <w:r>
        <w:t xml:space="preserve">În ceea ce privește, în special, prescripția, Curtea a considerat că art. 7 nu împiedică aplicarea imediată la procedurile în desfășurare a legilor care prelungesc termenele de prescripție, din moment </w:t>
      </w:r>
      <w:r>
        <w:lastRenderedPageBreak/>
        <w:t>ce faptele imputate nu s-au prescris niciodată</w:t>
      </w:r>
      <w:r>
        <w:rPr>
          <w:rFonts w:asciiTheme="majorHAnsi" w:hAnsiTheme="majorHAnsi"/>
        </w:rPr>
        <w:t xml:space="preserve"> (</w:t>
      </w:r>
      <w:hyperlink r:id="rId182" w:history="1">
        <w:hyperlink r:id="rId183" w:history="1">
          <w:r>
            <w:rPr>
              <w:rStyle w:val="Hyperlink"/>
              <w:rFonts w:asciiTheme="majorHAnsi" w:hAnsiTheme="majorHAnsi"/>
            </w:rPr>
            <w:t>Coëme și alții împotriva Belgiei</w:t>
          </w:r>
        </w:hyperlink>
      </w:hyperlink>
      <w:r>
        <w:rPr>
          <w:rFonts w:asciiTheme="majorHAnsi" w:hAnsiTheme="majorHAnsi"/>
        </w:rPr>
        <w:t xml:space="preserve">, 2000, pct. 149). </w:t>
      </w:r>
      <w:r>
        <w:t>Astfel, Curtea a stabilit că normele în materie de prescripție sunt legi de procedură, în măsura în care acestea nu definesc infracțiunile și pedepsele, și că pot fi interpretate ca impunând o simplă condiție prealabilă pentru examinarea cauzei [</w:t>
      </w:r>
      <w:hyperlink r:id="rId184" w:history="1">
        <w:hyperlink r:id="rId185" w:history="1">
          <w:r>
            <w:rPr>
              <w:rStyle w:val="Hyperlink"/>
              <w:rFonts w:asciiTheme="majorHAnsi" w:hAnsiTheme="majorHAnsi"/>
            </w:rPr>
            <w:t>Previti împotriva Italiei</w:t>
          </w:r>
        </w:hyperlink>
      </w:hyperlink>
      <w:r>
        <w:rPr>
          <w:rFonts w:asciiTheme="majorHAnsi" w:hAnsiTheme="majorHAnsi"/>
        </w:rPr>
        <w:t xml:space="preserve"> (dec.), 2013, pct. 80-85; </w:t>
      </w:r>
      <w:hyperlink r:id="rId186" w:history="1">
        <w:hyperlink r:id="rId187" w:history="1">
          <w:r>
            <w:rPr>
              <w:rStyle w:val="Hyperlink"/>
              <w:rFonts w:asciiTheme="majorHAnsi" w:hAnsiTheme="majorHAnsi"/>
            </w:rPr>
            <w:t>Borcea împotriva României</w:t>
          </w:r>
        </w:hyperlink>
      </w:hyperlink>
      <w:r>
        <w:rPr>
          <w:rFonts w:asciiTheme="majorHAnsi" w:hAnsiTheme="majorHAnsi"/>
        </w:rPr>
        <w:t xml:space="preserve"> (dec.), 2015, pct. 64; </w:t>
      </w:r>
      <w:hyperlink r:id="rId188" w:history="1">
        <w:r>
          <w:rPr>
            <w:rStyle w:val="Hyperlink"/>
            <w:rFonts w:asciiTheme="majorHAnsi" w:hAnsiTheme="majorHAnsi"/>
          </w:rPr>
          <w:t>Orlen Lietuva Ltd. împotriva Lituaniei</w:t>
        </w:r>
      </w:hyperlink>
      <w:r>
        <w:rPr>
          <w:rFonts w:asciiTheme="majorHAnsi" w:hAnsiTheme="majorHAnsi"/>
          <w:i/>
        </w:rPr>
        <w:t xml:space="preserve">, </w:t>
      </w:r>
      <w:r>
        <w:rPr>
          <w:rFonts w:asciiTheme="majorHAnsi" w:hAnsiTheme="majorHAnsi"/>
        </w:rPr>
        <w:t xml:space="preserve">2019, pct. 97]. </w:t>
      </w:r>
      <w:r>
        <w:t xml:space="preserve">Totuși, Curtea </w:t>
      </w:r>
      <w:r>
        <w:rPr>
          <w:rFonts w:asciiTheme="majorHAnsi" w:hAnsiTheme="majorHAnsi"/>
        </w:rPr>
        <w:t>a considerat că art. 7 exclude redeschiderea urmăririi penale după expirarea termenului de prescripție [</w:t>
      </w:r>
      <w:hyperlink r:id="rId189" w:history="1">
        <w:r>
          <w:rPr>
            <w:rStyle w:val="Hyperlink"/>
            <w:rFonts w:asciiTheme="majorHAnsi" w:hAnsiTheme="majorHAnsi"/>
          </w:rPr>
          <w:t>Antia și Khupenia împotriva Georgiei</w:t>
        </w:r>
      </w:hyperlink>
      <w:r>
        <w:t xml:space="preserve">, 2020, </w:t>
      </w:r>
      <w:r>
        <w:rPr>
          <w:rFonts w:asciiTheme="majorHAnsi" w:hAnsiTheme="majorHAnsi"/>
        </w:rPr>
        <w:t xml:space="preserve">pct. 38-43; </w:t>
      </w:r>
      <w:hyperlink r:id="rId190" w:history="1">
        <w:r>
          <w:rPr>
            <w:rStyle w:val="Hyperlink"/>
          </w:rPr>
          <w:t>Avizul consultativ privind aplicabilitate legislației de limitare a urmăririi penale, a condamnării și a pedepsirii în privința unei infracțiuni care reprezintă, pe fond, un act de tortură</w:t>
        </w:r>
      </w:hyperlink>
      <w:r>
        <w:t xml:space="preserve"> (MC),</w:t>
      </w:r>
      <w:r>
        <w:rPr>
          <w:rFonts w:asciiTheme="majorHAnsi" w:hAnsiTheme="majorHAnsi"/>
        </w:rPr>
        <w:t xml:space="preserve"> 2022, pct. 77]. </w:t>
      </w:r>
      <w:r>
        <w:t>De asemenea, atunci când faptele penale pentru care persoana a fost condamnată sunt sancționate de dreptul internațional, aspectul termenului de prescriere aplicabil trebuie să fie soluționat având în vedere dreptul internațional relevant în vigoare la acel moment [</w:t>
      </w:r>
      <w:hyperlink r:id="rId191" w:history="1">
        <w:r>
          <w:rPr>
            <w:rStyle w:val="Hyperlink"/>
            <w:rFonts w:asciiTheme="majorHAnsi" w:hAnsiTheme="majorHAnsi"/>
          </w:rPr>
          <w:t>Kononov împotriva Letoniei</w:t>
        </w:r>
      </w:hyperlink>
      <w:r>
        <w:rPr>
          <w:rFonts w:asciiTheme="majorHAnsi" w:hAnsiTheme="majorHAnsi"/>
        </w:rPr>
        <w:t xml:space="preserve"> (MC), pct. 229-233, unde Curtea a constatat că dreptul internațional relevant în vigoare la momentul faptelor nu stabilea niciun termen de prescripție pentru crimele de război, considerând, prin urmare, că urmărirea penală îndreptată împotriva reclamantului nu fusese niciodată prescrisă; a se compara cu </w:t>
      </w:r>
      <w:hyperlink r:id="rId192" w:history="1">
        <w:hyperlink r:id="rId193" w:history="1">
          <w:r>
            <w:rPr>
              <w:rStyle w:val="Hyperlink"/>
              <w:rFonts w:asciiTheme="majorHAnsi" w:hAnsiTheme="majorHAnsi"/>
            </w:rPr>
            <w:t>Kolk și Kislyiy împotriva Estoniei</w:t>
          </w:r>
        </w:hyperlink>
      </w:hyperlink>
      <w:r>
        <w:rPr>
          <w:rFonts w:asciiTheme="majorHAnsi" w:hAnsiTheme="majorHAnsi"/>
        </w:rPr>
        <w:t xml:space="preserve"> (dec.), 2006, și </w:t>
      </w:r>
      <w:hyperlink r:id="rId194" w:history="1">
        <w:r>
          <w:rPr>
            <w:rStyle w:val="Hyperlink"/>
          </w:rPr>
          <w:t>Penart împotriva Estoniei</w:t>
        </w:r>
      </w:hyperlink>
      <w:r>
        <w:rPr>
          <w:rFonts w:asciiTheme="majorHAnsi" w:hAnsiTheme="majorHAnsi"/>
        </w:rPr>
        <w:t xml:space="preserve"> (dec.), 2016, unde Curtea a afirmat că sunt imprescriptibile crimele împotriva umanității].</w:t>
      </w:r>
    </w:p>
    <w:p w14:paraId="5D24C4AC" w14:textId="77777777" w:rsidR="006B54D5" w:rsidRPr="006B7E09" w:rsidRDefault="00A166F5" w:rsidP="0074790E">
      <w:pPr>
        <w:pStyle w:val="ECHRHeading3"/>
      </w:pPr>
      <w:bookmarkStart w:id="29" w:name="_Toc162517956"/>
      <w:r>
        <w:t>Trebuie făcută o distincție între „pedeapsă” și „executarea” sa</w:t>
      </w:r>
      <w:bookmarkEnd w:id="29"/>
    </w:p>
    <w:p w14:paraId="6699E328" w14:textId="6B6083D3" w:rsidR="00A824BE" w:rsidRPr="006B7E09" w:rsidRDefault="008A5DEE" w:rsidP="0074790E">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18</w:t>
      </w:r>
      <w:r w:rsidRPr="006B7E09">
        <w:rPr>
          <w:rFonts w:asciiTheme="majorHAnsi" w:hAnsiTheme="majorHAnsi"/>
        </w:rPr>
        <w:fldChar w:fldCharType="end"/>
      </w:r>
      <w:r>
        <w:rPr>
          <w:rFonts w:asciiTheme="majorHAnsi" w:hAnsiTheme="majorHAnsi"/>
        </w:rPr>
        <w:t xml:space="preserve">.  Curtea a făcut o distincție între măsurile care constituie o „pedeapsă” și măsurile în legătură cu „executarea” sau cu „punerea în aplicare” a pedepsei respective. </w:t>
      </w:r>
      <w:r>
        <w:t>În cazul în care natura și scopul unei măsuri se referă la reducerea unei pedepse sau la o schimbare în regimul liberării condiționate, această măsură nu face parte integrantă din „pedeapsă” în sensul art. 7 [pentru acordarea de reduceri de pedeapsă, a se vedea</w:t>
      </w:r>
      <w:r>
        <w:rPr>
          <w:rFonts w:asciiTheme="majorHAnsi" w:hAnsiTheme="majorHAnsi"/>
        </w:rPr>
        <w:t xml:space="preserve"> </w:t>
      </w:r>
      <w:hyperlink r:id="rId195" w:history="1">
        <w:hyperlink r:id="rId196" w:history="1">
          <w:r>
            <w:rPr>
              <w:rStyle w:val="Hyperlink"/>
              <w:rFonts w:asciiTheme="majorHAnsi" w:hAnsiTheme="majorHAnsi"/>
            </w:rPr>
            <w:t>Grava împotriva Italiei</w:t>
          </w:r>
        </w:hyperlink>
      </w:hyperlink>
      <w:r>
        <w:rPr>
          <w:rFonts w:asciiTheme="majorHAnsi" w:hAnsiTheme="majorHAnsi"/>
        </w:rPr>
        <w:t xml:space="preserve">, 2003, pct. 49; și </w:t>
      </w:r>
      <w:hyperlink r:id="rId197" w:history="1">
        <w:hyperlink r:id="rId198" w:history="1">
          <w:hyperlink r:id="rId199" w:history="1">
            <w:r>
              <w:rPr>
                <w:rStyle w:val="Hyperlink"/>
                <w:rFonts w:asciiTheme="majorHAnsi" w:hAnsiTheme="majorHAnsi"/>
              </w:rPr>
              <w:t>Kafkaris împotriva Cipr</w:t>
            </w:r>
          </w:hyperlink>
          <w:r>
            <w:rPr>
              <w:rFonts w:asciiTheme="majorHAnsi" w:hAnsiTheme="majorHAnsi"/>
              <w:i/>
              <w:color w:val="0072BC" w:themeColor="accent1"/>
            </w:rPr>
            <w:t>ului</w:t>
          </w:r>
        </w:hyperlink>
      </w:hyperlink>
      <w:r>
        <w:rPr>
          <w:rFonts w:asciiTheme="majorHAnsi" w:hAnsiTheme="majorHAnsi"/>
        </w:rPr>
        <w:t xml:space="preserve"> (MC), 2008, pct. 151; pentru modificarea legislativă a condițiilor liberării condiționate, a se vedea </w:t>
      </w:r>
      <w:hyperlink r:id="rId200" w:history="1">
        <w:r>
          <w:rPr>
            <w:rStyle w:val="Hyperlink"/>
            <w:rFonts w:asciiTheme="majorHAnsi" w:hAnsiTheme="majorHAnsi"/>
          </w:rPr>
          <w:t>Hogben împotriva Regatului Unit</w:t>
        </w:r>
      </w:hyperlink>
      <w:r>
        <w:rPr>
          <w:rFonts w:asciiTheme="majorHAnsi" w:hAnsiTheme="majorHAnsi"/>
        </w:rPr>
        <w:t xml:space="preserve">, decizia Comisiei din 1986; și </w:t>
      </w:r>
      <w:hyperlink r:id="rId201" w:history="1">
        <w:r>
          <w:rPr>
            <w:rStyle w:val="Hyperlink"/>
            <w:rFonts w:asciiTheme="majorHAnsi" w:hAnsiTheme="majorHAnsi"/>
          </w:rPr>
          <w:t>Uttley împotriva Regatului Unit</w:t>
        </w:r>
      </w:hyperlink>
      <w:r>
        <w:rPr>
          <w:rFonts w:asciiTheme="majorHAnsi" w:hAnsiTheme="majorHAnsi"/>
        </w:rPr>
        <w:t xml:space="preserve"> (dec.), 2005; pentru diferențele dintre regimul liberării condiționate în diferite cauze ce privesc transferul persoanelor condamnate, a se vedea </w:t>
      </w:r>
      <w:hyperlink r:id="rId202" w:history="1">
        <w:hyperlink r:id="rId203" w:history="1">
          <w:r>
            <w:rPr>
              <w:rStyle w:val="Hyperlink"/>
              <w:rFonts w:asciiTheme="majorHAnsi" w:hAnsiTheme="majorHAnsi"/>
            </w:rPr>
            <w:t>Ciok  Ciok împotriva Poloniei</w:t>
          </w:r>
        </w:hyperlink>
      </w:hyperlink>
      <w:r>
        <w:rPr>
          <w:rFonts w:asciiTheme="majorHAnsi" w:hAnsiTheme="majorHAnsi"/>
        </w:rPr>
        <w:t xml:space="preserve"> (dec.), 2012, pct. 33-34]. </w:t>
      </w:r>
      <w:r>
        <w:t>Aspectele legate de politica punerii în libertate, de modalitatea punerii în aplicare și de motivare țin de competența statelor membre de a-și decide propria politică penală [</w:t>
      </w:r>
      <w:hyperlink r:id="rId204" w:history="1">
        <w:hyperlink r:id="rId205" w:history="1">
          <w:hyperlink r:id="rId206" w:history="1">
            <w:r>
              <w:rPr>
                <w:rStyle w:val="Hyperlink"/>
                <w:rFonts w:asciiTheme="majorHAnsi" w:hAnsiTheme="majorHAnsi"/>
              </w:rPr>
              <w:t>Kafkaris împotriva Cipr</w:t>
            </w:r>
          </w:hyperlink>
          <w:r>
            <w:rPr>
              <w:rFonts w:asciiTheme="majorHAnsi" w:hAnsiTheme="majorHAnsi"/>
              <w:i/>
              <w:color w:val="0072BC" w:themeColor="accent1"/>
            </w:rPr>
            <w:t>ului</w:t>
          </w:r>
        </w:hyperlink>
      </w:hyperlink>
      <w:r>
        <w:rPr>
          <w:rFonts w:asciiTheme="majorHAnsi" w:hAnsiTheme="majorHAnsi"/>
        </w:rPr>
        <w:t xml:space="preserve"> (MC), 2008, pct. 151]. </w:t>
      </w:r>
      <w:r>
        <w:t>Neaplicarea unei legi de amnistiere la o condamnare deja definitivă nu se încadrează la art. 7 [</w:t>
      </w:r>
      <w:hyperlink r:id="rId207" w:history="1">
        <w:hyperlink r:id="rId208" w:history="1">
          <w:r>
            <w:rPr>
              <w:rStyle w:val="Hyperlink"/>
              <w:rFonts w:asciiTheme="majorHAnsi" w:hAnsiTheme="majorHAnsi"/>
            </w:rPr>
            <w:t>Montcornet de Caumont împotriva Franței</w:t>
          </w:r>
        </w:hyperlink>
      </w:hyperlink>
      <w:r>
        <w:rPr>
          <w:rFonts w:asciiTheme="majorHAnsi" w:hAnsiTheme="majorHAnsi"/>
        </w:rPr>
        <w:t xml:space="preserve"> (dec.), 2003].</w:t>
      </w:r>
    </w:p>
    <w:p w14:paraId="38AC6C38" w14:textId="5D873F7D" w:rsidR="000C49AB" w:rsidRPr="006B7E09" w:rsidRDefault="008A5DEE" w:rsidP="0074790E">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19</w:t>
      </w:r>
      <w:r w:rsidRPr="006B7E09">
        <w:rPr>
          <w:rFonts w:asciiTheme="majorHAnsi" w:hAnsiTheme="majorHAnsi"/>
        </w:rPr>
        <w:fldChar w:fldCharType="end"/>
      </w:r>
      <w:r>
        <w:rPr>
          <w:rFonts w:asciiTheme="majorHAnsi" w:hAnsiTheme="majorHAnsi"/>
        </w:rPr>
        <w:t xml:space="preserve">.  Cu toate acestea, în practică, distincția dintre măsura care constituie o „pedeapsă” și cea care privește „executarea” unei pedepse nu este întotdeauna clară. </w:t>
      </w:r>
      <w:r>
        <w:t>Astfel, Curtea a admis că modul în care un regulament de organizare și funcționare a unui penitenciar referitor la modalitățile de executare a pedepselor a fost înțeles și aplicat în raport cu pedeapsa în cauză depășea simpla executare și privea, prin urmare, domeniul de aplicare a pedepsei [</w:t>
      </w:r>
      <w:hyperlink r:id="rId209" w:history="1">
        <w:hyperlink r:id="rId210" w:history="1">
          <w:hyperlink r:id="rId211" w:history="1">
            <w:r>
              <w:rPr>
                <w:rStyle w:val="Hyperlink"/>
                <w:rFonts w:asciiTheme="majorHAnsi" w:hAnsiTheme="majorHAnsi"/>
              </w:rPr>
              <w:t>Kafkaris împotriva Cipr</w:t>
            </w:r>
          </w:hyperlink>
          <w:r>
            <w:rPr>
              <w:rFonts w:asciiTheme="majorHAnsi" w:hAnsiTheme="majorHAnsi"/>
              <w:i/>
              <w:color w:val="0072BC" w:themeColor="accent1"/>
            </w:rPr>
            <w:t>ului</w:t>
          </w:r>
        </w:hyperlink>
      </w:hyperlink>
      <w:r>
        <w:rPr>
          <w:rFonts w:asciiTheme="majorHAnsi" w:hAnsiTheme="majorHAnsi"/>
        </w:rPr>
        <w:t xml:space="preserve"> (MC), 2008, pct. 148, cu privire la o pedeapsă cu detențiunea pe viață]. </w:t>
      </w:r>
      <w:r>
        <w:t xml:space="preserve">De asemenea, prelungirea arestării preventive de către instanțele competente cu aplicarea pedepselor, în temeiul unei legi intrate în vigoare după ce reclamantul a săvârșit infracțiunea, reprezintă o „pedeapsă suplimentară“ și nu privește, prin urmare, numai executarea pedepsei </w:t>
      </w:r>
      <w:r>
        <w:rPr>
          <w:rFonts w:asciiTheme="majorHAnsi" w:hAnsiTheme="majorHAnsi"/>
        </w:rPr>
        <w:t>(</w:t>
      </w:r>
      <w:hyperlink r:id="rId212" w:history="1">
        <w:hyperlink r:id="rId213" w:history="1">
          <w:r>
            <w:rPr>
              <w:rStyle w:val="Hyperlink"/>
              <w:rFonts w:asciiTheme="majorHAnsi" w:hAnsiTheme="majorHAnsi"/>
            </w:rPr>
            <w:t>M. împotriva Germaniei</w:t>
          </w:r>
        </w:hyperlink>
      </w:hyperlink>
      <w:r>
        <w:rPr>
          <w:rFonts w:asciiTheme="majorHAnsi" w:hAnsiTheme="majorHAnsi"/>
        </w:rPr>
        <w:t>, 2009, pct. 135).</w:t>
      </w:r>
    </w:p>
    <w:p w14:paraId="49C06F65" w14:textId="388C616B" w:rsidR="006D77EC" w:rsidRPr="006B7E09" w:rsidRDefault="008A5DEE" w:rsidP="0074790E">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20</w:t>
      </w:r>
      <w:r w:rsidRPr="006B7E09">
        <w:rPr>
          <w:rFonts w:asciiTheme="majorHAnsi" w:hAnsiTheme="majorHAnsi"/>
        </w:rPr>
        <w:fldChar w:fldCharType="end"/>
      </w:r>
      <w:r>
        <w:rPr>
          <w:rFonts w:asciiTheme="majorHAnsi" w:hAnsiTheme="majorHAnsi"/>
        </w:rPr>
        <w:t>.  În această privință, Curtea a subliniat că termenul „impus”, folosit în a doua frază din art. 7 § 1, nu poate fi interpretat că exclude din respectiva dispoziție toate măsurile introduse după pronunțarea pedepsei [</w:t>
      </w:r>
      <w:hyperlink r:id="rId214" w:history="1">
        <w:hyperlink r:id="rId215" w:history="1">
          <w:hyperlink r:id="rId216" w:history="1">
            <w:r>
              <w:rPr>
                <w:rStyle w:val="Hyperlink"/>
                <w:rFonts w:asciiTheme="majorHAnsi" w:hAnsiTheme="majorHAnsi"/>
              </w:rPr>
              <w:t>Del Río Prada împotriva Spaniei</w:t>
            </w:r>
          </w:hyperlink>
        </w:hyperlink>
      </w:hyperlink>
      <w:r>
        <w:rPr>
          <w:rFonts w:asciiTheme="majorHAnsi" w:hAnsiTheme="majorHAnsi"/>
        </w:rPr>
        <w:t xml:space="preserve"> (MC), 2013, pct. 88]. </w:t>
      </w:r>
      <w:r>
        <w:t>În consecință, atunci când măsurile luate de legiuitor, de autoritățile administrative sau de instanțe ulterior pronunțării unei pedepse definitive sau în timpul executării acesteia duc la redefinirea sau la modificarea întinderii „pedepsei” aplicate de către instanța care a pronunțat-o</w:t>
      </w:r>
      <w:r>
        <w:rPr>
          <w:rFonts w:asciiTheme="majorHAnsi" w:hAnsiTheme="majorHAnsi"/>
        </w:rPr>
        <w:t xml:space="preserve">, măsurile în discuție trebuie să intre sub incidența interdicției retroactivității pedepselor, consacrată de art. 7 § 1 </w:t>
      </w:r>
      <w:r>
        <w:rPr>
          <w:rStyle w:val="CLLItalic"/>
          <w:rFonts w:asciiTheme="majorHAnsi" w:hAnsiTheme="majorHAnsi"/>
        </w:rPr>
        <w:t>in fine</w:t>
      </w:r>
      <w:r>
        <w:rPr>
          <w:rFonts w:asciiTheme="majorHAnsi" w:hAnsiTheme="majorHAnsi"/>
        </w:rPr>
        <w:t xml:space="preserve"> din Convenție (</w:t>
      </w:r>
      <w:hyperlink r:id="rId217" w:history="1">
        <w:r>
          <w:rPr>
            <w:rStyle w:val="Hyperlink"/>
            <w:rFonts w:asciiTheme="majorHAnsi" w:hAnsiTheme="majorHAnsi"/>
          </w:rPr>
          <w:t>ibidem</w:t>
        </w:r>
      </w:hyperlink>
      <w:r>
        <w:rPr>
          <w:rFonts w:asciiTheme="majorHAnsi" w:hAnsiTheme="majorHAnsi"/>
        </w:rPr>
        <w:t xml:space="preserve">, pct. 89). </w:t>
      </w:r>
      <w:r>
        <w:t xml:space="preserve">Pentru a se pronunța asupra chestiunii dacă o măsură luată în timpul executării unei pedepse vizează numai modalitățile de executare a acesteia sau, din contră, afectează și întinderea acesteia, Curtea </w:t>
      </w:r>
      <w:r>
        <w:lastRenderedPageBreak/>
        <w:t xml:space="preserve">trebuie să cerceteze în fiecare caz în parte ce anume implica, la vremea respectivă, în realitate în dreptul intern „pedeapsa” stabilită sau, cu alte cuvinte, care era natura intrinsecă a acesteia </w:t>
      </w:r>
      <w:r>
        <w:rPr>
          <w:rFonts w:asciiTheme="majorHAnsi" w:hAnsiTheme="majorHAnsi"/>
        </w:rPr>
        <w:t>(</w:t>
      </w:r>
      <w:hyperlink r:id="rId218" w:history="1">
        <w:r>
          <w:rPr>
            <w:rStyle w:val="Hyperlink"/>
            <w:rFonts w:asciiTheme="majorHAnsi" w:hAnsiTheme="majorHAnsi"/>
          </w:rPr>
          <w:t>ibidem.</w:t>
        </w:r>
      </w:hyperlink>
      <w:r>
        <w:rPr>
          <w:rFonts w:asciiTheme="majorHAnsi" w:hAnsiTheme="majorHAnsi"/>
        </w:rPr>
        <w:t xml:space="preserve">, pct. 90). </w:t>
      </w:r>
      <w:r>
        <w:t>De exemplu, Curtea a considerat aplicarea unei noi abordări a sistemului de reducere a pedepsei ca ducând la redefinirea duratei unei pedepse, în măsura în care această noua abordare avusese ca efect modificarea în defavoarea persoanei condamnate a duratei pedepsei aplicate</w:t>
      </w:r>
      <w:r>
        <w:rPr>
          <w:rFonts w:asciiTheme="majorHAnsi" w:hAnsiTheme="majorHAnsi"/>
        </w:rPr>
        <w:t xml:space="preserve"> (</w:t>
      </w:r>
      <w:hyperlink r:id="rId219" w:history="1">
        <w:r>
          <w:rPr>
            <w:rStyle w:val="Hyperlink"/>
            <w:rFonts w:asciiTheme="majorHAnsi" w:hAnsiTheme="majorHAnsi"/>
          </w:rPr>
          <w:t>ibidem.</w:t>
        </w:r>
      </w:hyperlink>
      <w:r>
        <w:rPr>
          <w:rFonts w:asciiTheme="majorHAnsi" w:hAnsiTheme="majorHAnsi"/>
        </w:rPr>
        <w:t xml:space="preserve">, pct. 109-110 și 117, privind o pedeapsă de 30 de ani de închisoare care, prin efectul unei schimbări de jurisprudență, nu mai era susceptibilă de nicio reducere a pedepsei pentru munca efectuată în detenție). </w:t>
      </w:r>
      <w:r>
        <w:t>A se vedea, de asemenea, o cauză în care condamnări concurente pronunțate de diferite instanțe erau contopite într-o singură pedeapsă generală</w:t>
      </w:r>
      <w:r>
        <w:rPr>
          <w:rFonts w:asciiTheme="majorHAnsi" w:hAnsiTheme="majorHAnsi"/>
        </w:rPr>
        <w:t xml:space="preserve"> (</w:t>
      </w:r>
      <w:hyperlink r:id="rId220" w:history="1">
        <w:r>
          <w:rPr>
            <w:rStyle w:val="Hyperlink"/>
            <w:rFonts w:asciiTheme="majorHAnsi" w:hAnsiTheme="majorHAnsi"/>
          </w:rPr>
          <w:t>Koprivnikar împotriva Sloveniei</w:t>
        </w:r>
      </w:hyperlink>
      <w:r>
        <w:rPr>
          <w:rFonts w:asciiTheme="majorHAnsi" w:hAnsiTheme="majorHAnsi"/>
        </w:rPr>
        <w:t xml:space="preserve">, 2017, pct. 50-52; </w:t>
      </w:r>
      <w:hyperlink r:id="rId221" w:history="1">
        <w:r>
          <w:rPr>
            <w:rStyle w:val="Hyperlink"/>
          </w:rPr>
          <w:t>Arrozpide Sarasola și alții împotriva Spaniei</w:t>
        </w:r>
      </w:hyperlink>
      <w:r>
        <w:t xml:space="preserve">, 2018, pct. 122-123, în care este vorba și despre perioadele </w:t>
      </w:r>
      <w:r>
        <w:rPr>
          <w:color w:val="000000"/>
        </w:rPr>
        <w:t xml:space="preserve">maxime de închisoare pentru condamnări contopite, inclusiv </w:t>
      </w:r>
      <w:r>
        <w:t>o cerere de contopire a pedepselor executate într-un alt stat membru al Uniunii Europene)</w:t>
      </w:r>
      <w:r>
        <w:rPr>
          <w:rFonts w:asciiTheme="majorHAnsi" w:hAnsiTheme="majorHAnsi"/>
        </w:rPr>
        <w:t xml:space="preserve">. </w:t>
      </w:r>
      <w:bookmarkStart w:id="30" w:name="_Hlk129676995"/>
      <w:r>
        <w:t>Curtea a hotărât și că</w:t>
      </w:r>
      <w:r>
        <w:rPr>
          <w:rFonts w:asciiTheme="majorHAnsi" w:hAnsiTheme="majorHAnsi"/>
        </w:rPr>
        <w:t xml:space="preserve"> art. 7 era aplicabil în cazul în care o pedeapsă reductibilă a detențiunii pe viață, pronunțată într-un stat străin, era schimbată, la transferarea deținutului, într-o pedeapsă ireductibilă a detențiunii pe viață de autoritățile statului de executare (</w:t>
      </w:r>
      <w:hyperlink r:id="rId222" w:history="1">
        <w:r>
          <w:rPr>
            <w:rStyle w:val="Hyperlink"/>
            <w:rFonts w:asciiTheme="majorHAnsi" w:hAnsiTheme="majorHAnsi"/>
          </w:rPr>
          <w:t>Kupinskyy împotriva Ucrainei</w:t>
        </w:r>
      </w:hyperlink>
      <w:r>
        <w:rPr>
          <w:rFonts w:asciiTheme="majorHAnsi" w:hAnsiTheme="majorHAnsi"/>
        </w:rPr>
        <w:t>, 2022, pct. 45-56).</w:t>
      </w:r>
      <w:bookmarkEnd w:id="30"/>
    </w:p>
    <w:p w14:paraId="767E415E" w14:textId="77777777" w:rsidR="006B54D5" w:rsidRPr="006B7E09" w:rsidRDefault="007B3D0F" w:rsidP="0074790E">
      <w:pPr>
        <w:pStyle w:val="ECHRHeading3"/>
      </w:pPr>
      <w:bookmarkStart w:id="31" w:name="_Toc162517957"/>
      <w:r>
        <w:t>Legături cu alte dispoziții ale Convenției și ale Protocoalelor la aceasta</w:t>
      </w:r>
      <w:bookmarkEnd w:id="31"/>
    </w:p>
    <w:p w14:paraId="649E9E85" w14:textId="25C4AE07" w:rsidR="00B1103A" w:rsidRPr="006B7E09" w:rsidRDefault="008A5DEE" w:rsidP="00B1103A">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21</w:t>
      </w:r>
      <w:r w:rsidRPr="006B7E09">
        <w:rPr>
          <w:rFonts w:asciiTheme="majorHAnsi" w:hAnsiTheme="majorHAnsi"/>
        </w:rPr>
        <w:fldChar w:fldCharType="end"/>
      </w:r>
      <w:r>
        <w:rPr>
          <w:rFonts w:asciiTheme="majorHAnsi" w:hAnsiTheme="majorHAnsi"/>
        </w:rPr>
        <w:t>.  </w:t>
      </w:r>
      <w:r>
        <w:t>Dincolo de legăturile evidente cu latura penală a art. 6 § 1 și cu noțiunea de „acuzație în materie penală“ (a se vedea supra, pct. 6;</w:t>
      </w:r>
      <w:r>
        <w:rPr>
          <w:rFonts w:asciiTheme="majorHAnsi" w:hAnsiTheme="majorHAnsi"/>
        </w:rPr>
        <w:t xml:space="preserve"> </w:t>
      </w:r>
      <w:hyperlink r:id="rId223" w:history="1">
        <w:r>
          <w:rPr>
            <w:rFonts w:asciiTheme="majorHAnsi" w:hAnsiTheme="majorHAnsi"/>
            <w:i/>
            <w:color w:val="0072BC" w:themeColor="accent1"/>
          </w:rPr>
          <w:t>Bowler International Unit</w:t>
        </w:r>
      </w:hyperlink>
      <w:r>
        <w:rPr>
          <w:rFonts w:asciiTheme="majorHAnsi" w:hAnsiTheme="majorHAnsi"/>
        </w:rPr>
        <w:t xml:space="preserve">, pct. 66-67; </w:t>
      </w:r>
      <w:hyperlink r:id="rId224" w:history="1">
        <w:r>
          <w:rPr>
            <w:rStyle w:val="Hyperlink"/>
            <w:rFonts w:asciiTheme="majorHAnsi" w:hAnsiTheme="majorHAnsi"/>
          </w:rPr>
          <w:t>Pantalon împotriva Croației</w:t>
        </w:r>
      </w:hyperlink>
      <w:r>
        <w:rPr>
          <w:rFonts w:asciiTheme="majorHAnsi" w:hAnsiTheme="majorHAnsi"/>
          <w:i/>
        </w:rPr>
        <w:t xml:space="preserve">, </w:t>
      </w:r>
      <w:r>
        <w:rPr>
          <w:rFonts w:asciiTheme="majorHAnsi" w:hAnsiTheme="majorHAnsi"/>
        </w:rPr>
        <w:t xml:space="preserve">2020, pct. 28; </w:t>
      </w:r>
      <w:hyperlink r:id="rId225" w:history="1">
        <w:r>
          <w:rPr>
            <w:rStyle w:val="Hyperlink"/>
            <w:rFonts w:asciiTheme="majorHAnsi" w:hAnsiTheme="majorHAnsi"/>
          </w:rPr>
          <w:t>Galan împotriva Italiei</w:t>
        </w:r>
      </w:hyperlink>
      <w:r>
        <w:rPr>
          <w:rFonts w:asciiTheme="majorHAnsi" w:hAnsiTheme="majorHAnsi"/>
          <w:i/>
        </w:rPr>
        <w:t xml:space="preserve"> </w:t>
      </w:r>
      <w:r>
        <w:rPr>
          <w:rFonts w:asciiTheme="majorHAnsi" w:hAnsiTheme="majorHAnsi"/>
        </w:rPr>
        <w:t xml:space="preserve">(dec.), 2021, pct. 71), descrierea „pedepsei” în sensul art. 7 din Convenție este, de asemenea, relevantă pentru a determina aplicabilitatea principiului </w:t>
      </w:r>
      <w:r>
        <w:rPr>
          <w:rStyle w:val="CLLItalic"/>
          <w:rFonts w:asciiTheme="majorHAnsi" w:hAnsiTheme="majorHAnsi"/>
        </w:rPr>
        <w:t>non bis in idem</w:t>
      </w:r>
      <w:r>
        <w:rPr>
          <w:rFonts w:asciiTheme="majorHAnsi" w:hAnsiTheme="majorHAnsi"/>
        </w:rPr>
        <w:t xml:space="preserve"> consacrat la art. 4 din Protocolul nr. 7 [</w:t>
      </w:r>
      <w:hyperlink r:id="rId226" w:history="1">
        <w:r>
          <w:rPr>
            <w:rStyle w:val="Hyperlink"/>
            <w:rFonts w:asciiTheme="majorHAnsi" w:hAnsiTheme="majorHAnsi"/>
          </w:rPr>
          <w:t>Sergueï Zolotukhin împotriva Rusiei</w:t>
        </w:r>
      </w:hyperlink>
      <w:r>
        <w:rPr>
          <w:rFonts w:asciiTheme="majorHAnsi" w:hAnsiTheme="majorHAnsi"/>
        </w:rPr>
        <w:t xml:space="preserve"> (MC), 2009, pct. 52-57, în ceea ce privește noțiunea de „procedură penală”; </w:t>
      </w:r>
      <w:hyperlink r:id="rId227" w:history="1">
        <w:r>
          <w:rPr>
            <w:rStyle w:val="Hyperlink"/>
          </w:rPr>
          <w:t>Timofeyev și Postupkin împotriva Rusiei</w:t>
        </w:r>
      </w:hyperlink>
      <w:r>
        <w:t xml:space="preserve">, 2021, </w:t>
      </w:r>
      <w:r>
        <w:rPr>
          <w:rFonts w:asciiTheme="majorHAnsi" w:hAnsiTheme="majorHAnsi"/>
        </w:rPr>
        <w:t xml:space="preserve">pct. 86]. </w:t>
      </w:r>
      <w:r>
        <w:t>Noțiunea de „pedeapsă” nu poate avea accepții diferite conform dispozițiilor Convenției</w:t>
      </w:r>
      <w:r>
        <w:rPr>
          <w:rFonts w:asciiTheme="majorHAnsi" w:hAnsiTheme="majorHAnsi"/>
        </w:rPr>
        <w:t xml:space="preserve"> (</w:t>
      </w:r>
      <w:hyperlink r:id="rId228" w:history="1">
        <w:hyperlink r:id="rId229" w:history="1">
          <w:r>
            <w:rPr>
              <w:rStyle w:val="Hyperlink"/>
              <w:rFonts w:asciiTheme="majorHAnsi" w:hAnsiTheme="majorHAnsi"/>
            </w:rPr>
            <w:t>Göktan împotriva Franței</w:t>
          </w:r>
        </w:hyperlink>
      </w:hyperlink>
      <w:r>
        <w:rPr>
          <w:rFonts w:asciiTheme="majorHAnsi" w:hAnsiTheme="majorHAnsi"/>
        </w:rPr>
        <w:t>, 2002, pct. 48).</w:t>
      </w:r>
    </w:p>
    <w:p w14:paraId="1A908023" w14:textId="5976485E" w:rsidR="007646F6" w:rsidRPr="006B7E09" w:rsidRDefault="008E32D6" w:rsidP="00B1103A">
      <w:pPr>
        <w:pStyle w:val="ECHRParaSpaced"/>
        <w:rPr>
          <w:rFonts w:asciiTheme="majorHAnsi" w:hAnsiTheme="majorHAnsi"/>
        </w:rPr>
      </w:pPr>
      <w:r>
        <w:fldChar w:fldCharType="begin"/>
      </w:r>
      <w:r>
        <w:instrText xml:space="preserve"> SEQ level0 \*arabic </w:instrText>
      </w:r>
      <w:r>
        <w:fldChar w:fldCharType="separate"/>
      </w:r>
      <w:r w:rsidR="00C84E1E">
        <w:rPr>
          <w:noProof/>
        </w:rPr>
        <w:t>22</w:t>
      </w:r>
      <w:r>
        <w:fldChar w:fldCharType="end"/>
      </w:r>
      <w:r w:rsidR="0082588E">
        <w:t xml:space="preserve">.  Întrucât Curtea a hotărât deja că procedura în cauză nu implica stabilirea unei „acuzații penale” în sensul art. 6, a constatat, pentru motive de consecvență în interpretarea Convenției în ansamblu, că măsurile în litigiu nu puteau fi considerate ca reprezentând o „pedeapsă” nici în sensul art. 7 din Convenție [a se vedea, de exemplu, </w:t>
      </w:r>
      <w:hyperlink r:id="rId230" w:history="1">
        <w:r w:rsidR="0082588E">
          <w:rPr>
            <w:rStyle w:val="Hyperlink"/>
          </w:rPr>
          <w:t>Gestur Jónsson și Ragnar Halldór Hall împotriva Islandei</w:t>
        </w:r>
      </w:hyperlink>
      <w:r w:rsidR="0082588E">
        <w:rPr>
          <w:color w:val="000000"/>
        </w:rPr>
        <w:t xml:space="preserve"> (MC), 2020, </w:t>
      </w:r>
      <w:r w:rsidR="0082588E">
        <w:t xml:space="preserve">pct. 112; pentru o abordare similară privind neaplicabilitatea art. 6 sub aspect penal în lumina unei concluzii prealabile cu privire la neaplicabilitatea art. 7, a se vedea </w:t>
      </w:r>
      <w:hyperlink r:id="rId231" w:history="1">
        <w:r w:rsidR="0082588E">
          <w:rPr>
            <w:rStyle w:val="Hyperlink"/>
          </w:rPr>
          <w:t>Timofeyev și Postupkin împotriva Rusiei</w:t>
        </w:r>
      </w:hyperlink>
      <w:r w:rsidR="0082588E">
        <w:t xml:space="preserve">, 2021, </w:t>
      </w:r>
      <w:r w:rsidR="0082588E">
        <w:rPr>
          <w:rFonts w:asciiTheme="majorHAnsi" w:hAnsiTheme="majorHAnsi"/>
        </w:rPr>
        <w:t>pct. 92].</w:t>
      </w:r>
    </w:p>
    <w:p w14:paraId="528AB2CE" w14:textId="7DFAD37E" w:rsidR="0074790E" w:rsidRPr="006B7E09" w:rsidRDefault="00604282" w:rsidP="00F334A6">
      <w:pPr>
        <w:pStyle w:val="ECHRHeading1"/>
        <w:ind w:left="567" w:hanging="567"/>
      </w:pPr>
      <w:bookmarkStart w:id="32" w:name="_Toc162517958"/>
      <w:r>
        <w:t>P</w:t>
      </w:r>
      <w:r>
        <w:rPr>
          <w:rStyle w:val="ECHRParaSpacedChar"/>
        </w:rPr>
        <w:t>rincipiul că numai legea poate să definească o infracțiune și să prescrie o pedeapsă</w:t>
      </w:r>
      <w:bookmarkEnd w:id="32"/>
    </w:p>
    <w:p w14:paraId="2DFA5DE2" w14:textId="4186D604" w:rsidR="00E7445B" w:rsidRPr="006B7E09" w:rsidRDefault="008A5DEE" w:rsidP="0024787C">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23</w:t>
      </w:r>
      <w:r w:rsidRPr="006B7E09">
        <w:rPr>
          <w:rFonts w:asciiTheme="majorHAnsi" w:hAnsiTheme="majorHAnsi"/>
        </w:rPr>
        <w:fldChar w:fldCharType="end"/>
      </w:r>
      <w:r>
        <w:rPr>
          <w:rFonts w:asciiTheme="majorHAnsi" w:hAnsiTheme="majorHAnsi"/>
        </w:rPr>
        <w:t xml:space="preserve">.  Art. din Convenție cere existența temeiului juridic pentru a aplica o condamnare sau o pedeapsă. </w:t>
      </w:r>
      <w:r>
        <w:t>Sarcina Curții este aceea de a se asigura că, la momentul în care acuzatul a săvârșit fapta pentru care a fost trimis în judecată și condamnat, era în vigoare o dispoziție legală care pedepsea fapta și că pedeapsa aplicată nu depășește limitele stabilite de dispoziția respectivă [</w:t>
      </w:r>
      <w:hyperlink r:id="rId232" w:history="1">
        <w:hyperlink r:id="rId233" w:history="1">
          <w:r>
            <w:rPr>
              <w:rStyle w:val="Hyperlink"/>
              <w:rFonts w:asciiTheme="majorHAnsi" w:hAnsiTheme="majorHAnsi"/>
            </w:rPr>
            <w:t>Coëme şi alţii împotriva Belgiei</w:t>
          </w:r>
        </w:hyperlink>
      </w:hyperlink>
      <w:r>
        <w:rPr>
          <w:rFonts w:asciiTheme="majorHAnsi" w:hAnsiTheme="majorHAnsi"/>
        </w:rPr>
        <w:t xml:space="preserve">, 2000, pct. 145; </w:t>
      </w:r>
      <w:hyperlink r:id="rId234" w:history="1">
        <w:hyperlink r:id="rId235" w:history="1">
          <w:hyperlink r:id="rId236" w:history="1">
            <w:r>
              <w:rPr>
                <w:rStyle w:val="Hyperlink"/>
                <w:rFonts w:asciiTheme="majorHAnsi" w:hAnsiTheme="majorHAnsi"/>
              </w:rPr>
              <w:t>Del Río Prada împotriva Spaniei</w:t>
            </w:r>
          </w:hyperlink>
        </w:hyperlink>
      </w:hyperlink>
      <w:r>
        <w:rPr>
          <w:rFonts w:asciiTheme="majorHAnsi" w:hAnsiTheme="majorHAnsi"/>
        </w:rPr>
        <w:t xml:space="preserve"> (MC), 2013, pct. 80].</w:t>
      </w:r>
    </w:p>
    <w:p w14:paraId="78F060CB" w14:textId="03EDB532" w:rsidR="007B72F2" w:rsidRPr="006B7E09" w:rsidRDefault="008A5DEE" w:rsidP="0024787C">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24</w:t>
      </w:r>
      <w:r w:rsidRPr="006B7E09">
        <w:rPr>
          <w:rFonts w:asciiTheme="majorHAnsi" w:hAnsiTheme="majorHAnsi"/>
        </w:rPr>
        <w:fldChar w:fldCharType="end"/>
      </w:r>
      <w:r>
        <w:rPr>
          <w:rFonts w:asciiTheme="majorHAnsi" w:hAnsiTheme="majorHAnsi"/>
        </w:rPr>
        <w:t>.  </w:t>
      </w:r>
      <w:r>
        <w:t>Dată fiind natura subsidiară a sistemului Convenției, Curtea nu are sarcina de a cerceta erori de fapt sau de drept prezumtiv comise de o instanță națională, decât dacă și în măsura în care acestea ar fi putut încălca drepturi și libertăți protejate prin Convenție</w:t>
      </w:r>
      <w:r>
        <w:rPr>
          <w:rFonts w:asciiTheme="majorHAnsi" w:hAnsiTheme="majorHAnsi"/>
        </w:rPr>
        <w:t xml:space="preserve"> [</w:t>
      </w:r>
      <w:hyperlink r:id="rId237" w:history="1">
        <w:hyperlink r:id="rId238" w:history="1">
          <w:r>
            <w:rPr>
              <w:rStyle w:val="Hyperlink"/>
              <w:rFonts w:asciiTheme="majorHAnsi" w:hAnsiTheme="majorHAnsi"/>
            </w:rPr>
            <w:t>Streletz, Kessler și Krenz împotriva Germaniei</w:t>
          </w:r>
        </w:hyperlink>
      </w:hyperlink>
      <w:r>
        <w:rPr>
          <w:rFonts w:asciiTheme="majorHAnsi" w:hAnsiTheme="majorHAnsi"/>
        </w:rPr>
        <w:t xml:space="preserve"> (MC), 2001, pct. 49; </w:t>
      </w:r>
      <w:hyperlink r:id="rId239" w:history="1">
        <w:hyperlink r:id="rId240" w:history="1">
          <w:hyperlink r:id="rId241" w:history="1">
            <w:r>
              <w:rPr>
                <w:rStyle w:val="Hyperlink"/>
              </w:rPr>
              <w:t>Vasiliauskas împotriva Lituaniei</w:t>
            </w:r>
          </w:hyperlink>
        </w:hyperlink>
        <w:r>
          <w:rPr>
            <w:rFonts w:asciiTheme="majorHAnsi" w:hAnsiTheme="majorHAnsi"/>
          </w:rPr>
          <w:t xml:space="preserve"> (MC)</w:t>
        </w:r>
      </w:hyperlink>
      <w:r>
        <w:rPr>
          <w:rFonts w:asciiTheme="majorHAnsi" w:hAnsiTheme="majorHAnsi"/>
        </w:rPr>
        <w:t>, 2015, pct. 160) și numai dacă evaluarea efectuată de instanțele naționale este în mod vădit arbitrară [</w:t>
      </w:r>
      <w:hyperlink r:id="rId242" w:history="1">
        <w:hyperlink r:id="rId243" w:history="1">
          <w:r>
            <w:rPr>
              <w:rStyle w:val="Hyperlink"/>
              <w:rFonts w:asciiTheme="majorHAnsi" w:hAnsiTheme="majorHAnsi"/>
            </w:rPr>
            <w:t>Kononov împotriva Letoniei</w:t>
          </w:r>
        </w:hyperlink>
      </w:hyperlink>
      <w:r>
        <w:rPr>
          <w:rFonts w:asciiTheme="majorHAnsi" w:hAnsiTheme="majorHAnsi"/>
        </w:rPr>
        <w:t xml:space="preserve"> (MC), 2010, pct. 189]. </w:t>
      </w:r>
      <w:r>
        <w:t xml:space="preserve">Deși nu are competența de a se substitui instanțelor interne în aprecierea și în încadrarea juridică a faptelor sau de a se pronunța asupra răspunderii penale individuale a </w:t>
      </w:r>
      <w:r>
        <w:lastRenderedPageBreak/>
        <w:t>reclamantului [</w:t>
      </w:r>
      <w:hyperlink r:id="rId244" w:history="1">
        <w:hyperlink r:id="rId245" w:history="1">
          <w:r>
            <w:rPr>
              <w:rStyle w:val="Hyperlink"/>
              <w:rFonts w:asciiTheme="majorHAnsi" w:hAnsiTheme="majorHAnsi"/>
            </w:rPr>
            <w:t>ibidem</w:t>
          </w:r>
        </w:hyperlink>
      </w:hyperlink>
      <w:r>
        <w:rPr>
          <w:rFonts w:asciiTheme="majorHAnsi" w:hAnsiTheme="majorHAnsi"/>
        </w:rPr>
        <w:t xml:space="preserve">, pct. 187; </w:t>
      </w:r>
      <w:hyperlink r:id="rId246" w:history="1">
        <w:r>
          <w:rPr>
            <w:rStyle w:val="Hyperlink"/>
            <w:rFonts w:asciiTheme="majorHAnsi" w:hAnsiTheme="majorHAnsi"/>
          </w:rPr>
          <w:t>Rohlena împotriva Republicii Cehe</w:t>
        </w:r>
      </w:hyperlink>
      <w:r>
        <w:rPr>
          <w:rFonts w:asciiTheme="majorHAnsi" w:hAnsiTheme="majorHAnsi"/>
        </w:rPr>
        <w:t xml:space="preserve"> (MC), 2015, pct. 51], atribuția sa în privința art. 7 § 1 fiind să verifice dacă, la momentul respectiv, condamnarea reclamantului avea o bază legală, Curtea trebuie să se asigure de faptul că rezultatul la care au ajuns instanțele interne competente este în conformitate cu art. 7 din Convenție. </w:t>
      </w:r>
      <w:r>
        <w:t xml:space="preserve">A acorda Curții o putere mai redusă de control </w:t>
      </w:r>
      <w:r>
        <w:rPr>
          <w:rFonts w:asciiTheme="majorHAnsi" w:hAnsiTheme="majorHAnsi"/>
        </w:rPr>
        <w:t>ar face ca art. 7 să fie lipsit de obiect [</w:t>
      </w:r>
      <w:hyperlink r:id="rId247" w:history="1">
        <w:r>
          <w:rPr>
            <w:rStyle w:val="Hyperlink"/>
            <w:rFonts w:asciiTheme="majorHAnsi" w:hAnsiTheme="majorHAnsi"/>
          </w:rPr>
          <w:t>ibidem</w:t>
        </w:r>
      </w:hyperlink>
      <w:r>
        <w:rPr>
          <w:rFonts w:asciiTheme="majorHAnsi" w:hAnsiTheme="majorHAnsi"/>
        </w:rPr>
        <w:t xml:space="preserve">, pct. 52; </w:t>
      </w:r>
      <w:hyperlink r:id="rId248" w:history="1">
        <w:hyperlink r:id="rId249" w:history="1">
          <w:hyperlink r:id="rId250" w:history="1">
            <w:r>
              <w:rPr>
                <w:rStyle w:val="Hyperlink"/>
                <w:rFonts w:asciiTheme="majorHAnsi" w:hAnsiTheme="majorHAnsi"/>
              </w:rPr>
              <w:t>Kononov împotriva Letoniei</w:t>
            </w:r>
          </w:hyperlink>
        </w:hyperlink>
      </w:hyperlink>
      <w:r>
        <w:rPr>
          <w:rFonts w:asciiTheme="majorHAnsi" w:hAnsiTheme="majorHAnsi"/>
        </w:rPr>
        <w:t xml:space="preserve"> (MC), 2010, pct. 198; </w:t>
      </w:r>
      <w:hyperlink r:id="rId251" w:history="1">
        <w:hyperlink r:id="rId252" w:history="1">
          <w:r>
            <w:rPr>
              <w:rStyle w:val="Hyperlink"/>
              <w:rFonts w:asciiTheme="majorHAnsi" w:hAnsiTheme="majorHAnsi"/>
            </w:rPr>
            <w:t>Vasiliauskas împotriva Lituaniei</w:t>
          </w:r>
        </w:hyperlink>
      </w:hyperlink>
      <w:r>
        <w:rPr>
          <w:rFonts w:asciiTheme="majorHAnsi" w:hAnsiTheme="majorHAnsi"/>
        </w:rPr>
        <w:t xml:space="preserve"> (MC), 2015, pct. 161].</w:t>
      </w:r>
    </w:p>
    <w:p w14:paraId="38BE46B4" w14:textId="131B1AB4" w:rsidR="00B26897" w:rsidRPr="006B7E09" w:rsidRDefault="008A5DEE" w:rsidP="0024787C">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25</w:t>
      </w:r>
      <w:r w:rsidRPr="006B7E09">
        <w:rPr>
          <w:rFonts w:asciiTheme="majorHAnsi" w:hAnsiTheme="majorHAnsi"/>
        </w:rPr>
        <w:fldChar w:fldCharType="end"/>
      </w:r>
      <w:r>
        <w:rPr>
          <w:rFonts w:asciiTheme="majorHAnsi" w:hAnsiTheme="majorHAnsi"/>
        </w:rPr>
        <w:t xml:space="preserve">.  De altfel, principiul legalității împiedică aplicarea unei pedepse mai grele inculpatului decât este prevăzut pentru infracțiunea pentru care a fost condamnat. </w:t>
      </w:r>
      <w:r>
        <w:t>Astfel, în conformitate cu art. 7, Curtea poate sancționa o eroare comisă de instanțele naționale în determinarea severității pedepsei pronunțate, luând în considerare pedeapsa aplicabilă persoanei în cauză în circumstanțele atenuante avute în vedere de aceste instanțe</w:t>
      </w:r>
      <w:r>
        <w:rPr>
          <w:rFonts w:asciiTheme="majorHAnsi" w:hAnsiTheme="majorHAnsi"/>
        </w:rPr>
        <w:t xml:space="preserve"> (</w:t>
      </w:r>
      <w:hyperlink r:id="rId253" w:history="1">
        <w:hyperlink r:id="rId254" w:history="1">
          <w:r>
            <w:rPr>
              <w:rStyle w:val="Hyperlink"/>
              <w:rFonts w:asciiTheme="majorHAnsi" w:hAnsiTheme="majorHAnsi"/>
            </w:rPr>
            <w:t>Gabarri Moreno împotriva Spaniei</w:t>
          </w:r>
        </w:hyperlink>
      </w:hyperlink>
      <w:r>
        <w:rPr>
          <w:rFonts w:asciiTheme="majorHAnsi" w:hAnsiTheme="majorHAnsi"/>
        </w:rPr>
        <w:t xml:space="preserve">, 2003, pct. 22-34). </w:t>
      </w:r>
      <w:r>
        <w:t xml:space="preserve">Aplicarea prin analogie a unei pedepse poate, de asemenea, duce la încălcarea principiului </w:t>
      </w:r>
      <w:r>
        <w:rPr>
          <w:rFonts w:asciiTheme="majorHAnsi" w:hAnsiTheme="majorHAnsi"/>
        </w:rPr>
        <w:t>„</w:t>
      </w:r>
      <w:r>
        <w:rPr>
          <w:rStyle w:val="CLLItalic"/>
          <w:rFonts w:asciiTheme="majorHAnsi" w:hAnsiTheme="majorHAnsi"/>
        </w:rPr>
        <w:t>nulla poena sine lege</w:t>
      </w:r>
      <w:r>
        <w:rPr>
          <w:rFonts w:asciiTheme="majorHAnsi" w:hAnsiTheme="majorHAnsi"/>
        </w:rPr>
        <w:t>“ consacrat la art. 7 [</w:t>
      </w:r>
      <w:hyperlink r:id="rId255" w:history="1">
        <w:hyperlink r:id="rId256" w:history="1">
          <w:r>
            <w:rPr>
              <w:rStyle w:val="Hyperlink"/>
              <w:rFonts w:asciiTheme="majorHAnsi" w:hAnsiTheme="majorHAnsi"/>
            </w:rPr>
            <w:t>Başkaya and Okçuoğlu împotriva Turciei</w:t>
          </w:r>
        </w:hyperlink>
      </w:hyperlink>
      <w:r>
        <w:rPr>
          <w:rFonts w:asciiTheme="majorHAnsi" w:hAnsiTheme="majorHAnsi"/>
        </w:rPr>
        <w:t xml:space="preserve"> (MC), 1999, pct. 42-43, privind pedeapsa cu închisoarea aplicată unui editor, în temeiul unei dispoziții aplicabile pentru redactorii-șefi].</w:t>
      </w:r>
    </w:p>
    <w:p w14:paraId="76AB4413" w14:textId="2A0EEC7D" w:rsidR="00E7445B" w:rsidRPr="006B7E09" w:rsidRDefault="008A5DEE" w:rsidP="0024787C">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26</w:t>
      </w:r>
      <w:r w:rsidRPr="006B7E09">
        <w:rPr>
          <w:rFonts w:asciiTheme="majorHAnsi" w:hAnsiTheme="majorHAnsi"/>
        </w:rPr>
        <w:fldChar w:fldCharType="end"/>
      </w:r>
      <w:r>
        <w:rPr>
          <w:rFonts w:asciiTheme="majorHAnsi" w:hAnsiTheme="majorHAnsi"/>
        </w:rPr>
        <w:t xml:space="preserve">.  Principiul legalității cere ca infracțiunile și pedepsele corespunzătoare să fie în mod clar definite de lege (a se vedea supra, pct. 7-9, cu privire la noțiunea de „drept”). </w:t>
      </w:r>
      <w:r>
        <w:t xml:space="preserve">Noțiunea de „drept” </w:t>
      </w:r>
      <w:r>
        <w:rPr>
          <w:rFonts w:asciiTheme="majorHAnsi" w:hAnsiTheme="majorHAnsi"/>
        </w:rPr>
        <w:t>în sensul art. 7, precum în alte articole din Convenție (de exemplu, art. 8-11), implică cerințe de calitate, în special accesibilitatea și previzibilitatea [</w:t>
      </w:r>
      <w:hyperlink r:id="rId257" w:history="1">
        <w:r>
          <w:rPr>
            <w:rStyle w:val="Hyperlink"/>
            <w:rFonts w:asciiTheme="majorHAnsi" w:hAnsiTheme="majorHAnsi"/>
          </w:rPr>
          <w:t>G.I.E.M.</w:t>
        </w:r>
      </w:hyperlink>
      <w:hyperlink r:id="rId258" w:history="1">
        <w:r>
          <w:rPr>
            <w:rStyle w:val="Hyperlink"/>
            <w:rFonts w:asciiTheme="majorHAnsi" w:hAnsiTheme="majorHAnsi"/>
          </w:rPr>
          <w:t xml:space="preserve"> S.R.L. și alții împotriva Italiei</w:t>
        </w:r>
      </w:hyperlink>
      <w:r>
        <w:rPr>
          <w:rStyle w:val="ECHRParaChar"/>
          <w:rFonts w:asciiTheme="majorHAnsi" w:hAnsiTheme="majorHAnsi"/>
          <w:sz w:val="22"/>
        </w:rPr>
        <w:t xml:space="preserve"> </w:t>
      </w:r>
      <w:r>
        <w:rPr>
          <w:rFonts w:asciiTheme="majorHAnsi" w:hAnsiTheme="majorHAnsi"/>
        </w:rPr>
        <w:t xml:space="preserve">(fond) </w:t>
      </w:r>
      <w:r>
        <w:rPr>
          <w:rStyle w:val="ECHRParaChar"/>
          <w:rFonts w:asciiTheme="majorHAnsi" w:hAnsiTheme="majorHAnsi"/>
          <w:sz w:val="22"/>
        </w:rPr>
        <w:t xml:space="preserve">(MC), </w:t>
      </w:r>
      <w:r>
        <w:rPr>
          <w:rFonts w:asciiTheme="majorHAnsi" w:hAnsiTheme="majorHAnsi"/>
        </w:rPr>
        <w:t xml:space="preserve">2018, </w:t>
      </w:r>
      <w:r>
        <w:rPr>
          <w:rStyle w:val="ECHRParaChar"/>
          <w:rFonts w:asciiTheme="majorHAnsi" w:hAnsiTheme="majorHAnsi"/>
          <w:sz w:val="22"/>
        </w:rPr>
        <w:t xml:space="preserve">pct. 242; </w:t>
      </w:r>
      <w:hyperlink r:id="rId259" w:history="1">
        <w:hyperlink r:id="rId260" w:history="1">
          <w:r>
            <w:rPr>
              <w:rStyle w:val="Hyperlink"/>
              <w:rFonts w:asciiTheme="majorHAnsi" w:hAnsiTheme="majorHAnsi"/>
            </w:rPr>
            <w:t>Cantoni împotriva Franței</w:t>
          </w:r>
        </w:hyperlink>
      </w:hyperlink>
      <w:r>
        <w:rPr>
          <w:rFonts w:asciiTheme="majorHAnsi" w:hAnsiTheme="majorHAnsi"/>
        </w:rPr>
        <w:t>, 1996, pct. 29;</w:t>
      </w:r>
      <w:hyperlink r:id="rId261" w:history="1">
        <w:hyperlink r:id="rId262" w:history="1">
          <w:r>
            <w:rPr>
              <w:rFonts w:asciiTheme="majorHAnsi" w:hAnsiTheme="majorHAnsi"/>
            </w:rPr>
            <w:t xml:space="preserve"> </w:t>
          </w:r>
          <w:hyperlink r:id="rId263" w:history="1">
            <w:r>
              <w:rPr>
                <w:rStyle w:val="Hyperlink"/>
                <w:rFonts w:asciiTheme="majorHAnsi" w:hAnsiTheme="majorHAnsi"/>
              </w:rPr>
              <w:t>Kafkaris împotriva Cipr</w:t>
            </w:r>
          </w:hyperlink>
          <w:r>
            <w:rPr>
              <w:rFonts w:asciiTheme="majorHAnsi" w:hAnsiTheme="majorHAnsi"/>
              <w:i/>
              <w:color w:val="0072BC" w:themeColor="accent1"/>
            </w:rPr>
            <w:t>ului</w:t>
          </w:r>
        </w:hyperlink>
      </w:hyperlink>
      <w:r>
        <w:rPr>
          <w:rFonts w:asciiTheme="majorHAnsi" w:hAnsiTheme="majorHAnsi"/>
        </w:rPr>
        <w:t xml:space="preserve"> (MC), 2008, pct. 140; </w:t>
      </w:r>
      <w:hyperlink r:id="rId264" w:history="1">
        <w:hyperlink r:id="rId265" w:history="1">
          <w:hyperlink r:id="rId266" w:history="1">
            <w:r>
              <w:rPr>
                <w:rStyle w:val="Hyperlink"/>
                <w:rFonts w:asciiTheme="majorHAnsi" w:hAnsiTheme="majorHAnsi"/>
              </w:rPr>
              <w:t>Del Río Prada împotriva Spaniei</w:t>
            </w:r>
          </w:hyperlink>
        </w:hyperlink>
      </w:hyperlink>
      <w:r>
        <w:rPr>
          <w:rFonts w:asciiTheme="majorHAnsi" w:hAnsiTheme="majorHAnsi"/>
        </w:rPr>
        <w:t xml:space="preserve"> (MC), 2013, pct. 91; </w:t>
      </w:r>
      <w:hyperlink r:id="rId267" w:history="1">
        <w:hyperlink r:id="rId268" w:history="1">
          <w:r>
            <w:rPr>
              <w:rStyle w:val="Hyperlink"/>
              <w:rFonts w:asciiTheme="majorHAnsi" w:hAnsiTheme="majorHAnsi"/>
            </w:rPr>
            <w:t>Perinçek  împotriva Elveției</w:t>
          </w:r>
        </w:hyperlink>
      </w:hyperlink>
      <w:r>
        <w:rPr>
          <w:rFonts w:asciiTheme="majorHAnsi" w:hAnsiTheme="majorHAnsi"/>
        </w:rPr>
        <w:t xml:space="preserve"> (MC), 2015, pct. 134]. </w:t>
      </w:r>
      <w:r>
        <w:t>Aceste condiții calitative trebuie îndeplinite atât pentru definiția infracțiunii</w:t>
      </w:r>
      <w:r>
        <w:rPr>
          <w:rFonts w:asciiTheme="majorHAnsi" w:hAnsiTheme="majorHAnsi"/>
        </w:rPr>
        <w:t xml:space="preserve"> (</w:t>
      </w:r>
      <w:hyperlink r:id="rId269" w:history="1">
        <w:hyperlink r:id="rId270" w:history="1">
          <w:r>
            <w:rPr>
              <w:rStyle w:val="Hyperlink"/>
              <w:rFonts w:asciiTheme="majorHAnsi" w:hAnsiTheme="majorHAnsi"/>
            </w:rPr>
            <w:t>Jorgic împotriva Germaniei</w:t>
          </w:r>
        </w:hyperlink>
      </w:hyperlink>
      <w:r>
        <w:rPr>
          <w:rFonts w:asciiTheme="majorHAnsi" w:hAnsiTheme="majorHAnsi"/>
        </w:rPr>
        <w:t>, 2007, pct. 103-114), cât și pentru pedeapsa pe care aceasta o implică sau pentru durata pedepsei [</w:t>
      </w:r>
      <w:hyperlink r:id="rId271" w:history="1">
        <w:hyperlink r:id="rId272" w:history="1">
          <w:hyperlink r:id="rId273" w:history="1">
            <w:r>
              <w:rPr>
                <w:rStyle w:val="Hyperlink"/>
                <w:rFonts w:asciiTheme="majorHAnsi" w:hAnsiTheme="majorHAnsi"/>
              </w:rPr>
              <w:t>Kafkaris împotriva Cipr</w:t>
            </w:r>
          </w:hyperlink>
          <w:r>
            <w:rPr>
              <w:rFonts w:asciiTheme="majorHAnsi" w:hAnsiTheme="majorHAnsi"/>
              <w:i/>
              <w:color w:val="0072BC" w:themeColor="accent1"/>
            </w:rPr>
            <w:t>ului</w:t>
          </w:r>
        </w:hyperlink>
      </w:hyperlink>
      <w:r>
        <w:rPr>
          <w:rFonts w:asciiTheme="majorHAnsi" w:hAnsiTheme="majorHAnsi"/>
        </w:rPr>
        <w:t xml:space="preserve"> (MC), 2008, pct. 150; </w:t>
      </w:r>
      <w:hyperlink r:id="rId274" w:history="1">
        <w:r>
          <w:rPr>
            <w:rStyle w:val="Hyperlink"/>
            <w:rFonts w:asciiTheme="majorHAnsi" w:hAnsiTheme="majorHAnsi"/>
          </w:rPr>
          <w:t>Camilleri v. Malta</w:t>
        </w:r>
      </w:hyperlink>
      <w:r>
        <w:rPr>
          <w:rFonts w:asciiTheme="majorHAnsi" w:hAnsiTheme="majorHAnsi"/>
        </w:rPr>
        <w:t xml:space="preserve">, 2013, pct. 39-45, vizând previzibilitatea standardelor de pedepse aplicabile, care depinde mai degrabă cu totul de alegerea instanței de judecată competente de către procuror, decât de criterii stabilite de lege; </w:t>
      </w:r>
      <w:hyperlink r:id="rId275" w:history="1">
        <w:r>
          <w:rPr>
            <w:rStyle w:val="Hyperlink"/>
          </w:rPr>
          <w:t>Porsenna împotriva Maltei</w:t>
        </w:r>
      </w:hyperlink>
      <w:r>
        <w:rPr>
          <w:rStyle w:val="Hyperlink"/>
          <w:color w:val="auto"/>
        </w:rPr>
        <w:t xml:space="preserve"> </w:t>
      </w:r>
      <w:r>
        <w:rPr>
          <w:rStyle w:val="Hyperlink"/>
          <w:i w:val="0"/>
          <w:color w:val="auto"/>
        </w:rPr>
        <w:t xml:space="preserve">(dec.), 2019, pct. 25-30, privind amendamentele legislative introduse în hotărârea </w:t>
      </w:r>
      <w:hyperlink r:id="rId276" w:history="1">
        <w:r>
          <w:rPr>
            <w:rStyle w:val="Hyperlink"/>
          </w:rPr>
          <w:t>Camilleri</w:t>
        </w:r>
      </w:hyperlink>
      <w:r>
        <w:rPr>
          <w:rStyle w:val="Hyperlink"/>
          <w:i w:val="0"/>
          <w:color w:val="auto"/>
        </w:rPr>
        <w:t>, în sensul că decizia procurorului nu mai era obligatorie în instanță în stabilirea ierarhiei aplicabile de sancțiuni</w:t>
      </w:r>
      <w:r>
        <w:t>]</w:t>
      </w:r>
      <w:r>
        <w:rPr>
          <w:rFonts w:asciiTheme="majorHAnsi" w:hAnsiTheme="majorHAnsi"/>
        </w:rPr>
        <w:t xml:space="preserve">. </w:t>
      </w:r>
      <w:r>
        <w:t xml:space="preserve">O „calitate a legii” necorespunzătoare </w:t>
      </w:r>
      <w:r>
        <w:rPr>
          <w:rFonts w:asciiTheme="majorHAnsi" w:hAnsiTheme="majorHAnsi"/>
        </w:rPr>
        <w:t>privind definiția infracțiunii și pedeapsa aplicabilă constituie o încălcare a art. 7 din Convenție [</w:t>
      </w:r>
      <w:hyperlink r:id="rId277" w:history="1">
        <w:hyperlink r:id="rId278" w:history="1">
          <w:hyperlink r:id="rId279" w:history="1">
            <w:r>
              <w:rPr>
                <w:rStyle w:val="Hyperlink"/>
                <w:rFonts w:asciiTheme="majorHAnsi" w:hAnsiTheme="majorHAnsi"/>
              </w:rPr>
              <w:t>Kafkaris împotriva Cipr</w:t>
            </w:r>
          </w:hyperlink>
          <w:r>
            <w:rPr>
              <w:rFonts w:asciiTheme="majorHAnsi" w:hAnsiTheme="majorHAnsi"/>
              <w:i/>
              <w:color w:val="0072BC" w:themeColor="accent1"/>
            </w:rPr>
            <w:t>ului</w:t>
          </w:r>
        </w:hyperlink>
      </w:hyperlink>
      <w:r>
        <w:rPr>
          <w:rFonts w:asciiTheme="majorHAnsi" w:hAnsiTheme="majorHAnsi"/>
        </w:rPr>
        <w:t xml:space="preserve"> (MC), 2008, pct. 150 și 152].</w:t>
      </w:r>
    </w:p>
    <w:p w14:paraId="235F8131" w14:textId="77777777" w:rsidR="006D77EC" w:rsidRPr="006B7E09" w:rsidRDefault="00C04956" w:rsidP="006D77EC">
      <w:pPr>
        <w:pStyle w:val="ECHRHeading2"/>
      </w:pPr>
      <w:bookmarkStart w:id="33" w:name="_Toc162517959"/>
      <w:r>
        <w:t>Accesibilitatea</w:t>
      </w:r>
      <w:bookmarkEnd w:id="33"/>
    </w:p>
    <w:p w14:paraId="21EC0B0C" w14:textId="442E2BDF" w:rsidR="0056430E" w:rsidRPr="006B7E09" w:rsidRDefault="002171D2" w:rsidP="006D77EC">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27</w:t>
      </w:r>
      <w:r w:rsidRPr="006B7E09">
        <w:rPr>
          <w:rFonts w:asciiTheme="majorHAnsi" w:hAnsiTheme="majorHAnsi"/>
        </w:rPr>
        <w:fldChar w:fldCharType="end"/>
      </w:r>
      <w:r>
        <w:rPr>
          <w:rFonts w:asciiTheme="majorHAnsi" w:hAnsiTheme="majorHAnsi"/>
        </w:rPr>
        <w:t>.  </w:t>
      </w:r>
      <w:r>
        <w:t>La nivelul accesibilității, Curtea verifică dacă „legea“ penală care a stat la baza condamnării în litigiu era suficient de accesibilă reclamantului, și anume dacă era publicată [în ceea ce privește accesibilitatea jurisprudenței interne care interpreta un articol din lege, a se vedea</w:t>
      </w:r>
      <w:r>
        <w:rPr>
          <w:rFonts w:asciiTheme="majorHAnsi" w:hAnsiTheme="majorHAnsi"/>
        </w:rPr>
        <w:t xml:space="preserve"> </w:t>
      </w:r>
      <w:hyperlink r:id="rId280" w:history="1">
        <w:hyperlink r:id="rId281" w:history="1">
          <w:r>
            <w:rPr>
              <w:rStyle w:val="Hyperlink"/>
              <w:rFonts w:asciiTheme="majorHAnsi" w:hAnsiTheme="majorHAnsi"/>
            </w:rPr>
            <w:t>Kokkinakis împotriva Greciei</w:t>
          </w:r>
        </w:hyperlink>
      </w:hyperlink>
      <w:r>
        <w:rPr>
          <w:rFonts w:asciiTheme="majorHAnsi" w:hAnsiTheme="majorHAnsi"/>
        </w:rPr>
        <w:t xml:space="preserve">, 1993, pct. 40; și </w:t>
      </w:r>
      <w:hyperlink r:id="rId282" w:history="1">
        <w:hyperlink r:id="rId283" w:history="1">
          <w:r>
            <w:rPr>
              <w:rStyle w:val="Hyperlink"/>
              <w:rFonts w:asciiTheme="majorHAnsi" w:hAnsiTheme="majorHAnsi"/>
            </w:rPr>
            <w:t>G. împotriva Franței</w:t>
          </w:r>
        </w:hyperlink>
      </w:hyperlink>
      <w:r>
        <w:rPr>
          <w:rFonts w:asciiTheme="majorHAnsi" w:hAnsiTheme="majorHAnsi"/>
        </w:rPr>
        <w:t xml:space="preserve">, 1995, pct. 25; în ceea ce privește accesibilitatea unui „decret”, a se vedea </w:t>
      </w:r>
      <w:hyperlink r:id="rId284" w:history="1">
        <w:hyperlink r:id="rId285" w:history="1">
          <w:r>
            <w:rPr>
              <w:rStyle w:val="Hyperlink"/>
            </w:rPr>
            <w:t>Custers, Deveaux și Turk împotriva Danemarcei</w:t>
          </w:r>
        </w:hyperlink>
      </w:hyperlink>
      <w:r>
        <w:rPr>
          <w:rFonts w:asciiTheme="majorHAnsi" w:hAnsiTheme="majorHAnsi"/>
        </w:rPr>
        <w:t xml:space="preserve"> (dec.), 2006, pct. 82). </w:t>
      </w:r>
      <w:r>
        <w:t>Atunci când condamnarea are ca unic temei un tratat internațional ratificat de statul pârât, Curtea poate verifica dacă tratatul internațional a fost transpus în legislația națională și dacă a făcut obiectul unei publicări oficiale [privitor la Convențiile de la Geneva, a se vedea</w:t>
      </w:r>
      <w:r>
        <w:rPr>
          <w:rFonts w:asciiTheme="majorHAnsi" w:hAnsiTheme="majorHAnsi"/>
        </w:rPr>
        <w:t xml:space="preserve"> </w:t>
      </w:r>
      <w:hyperlink r:id="rId286" w:history="1">
        <w:hyperlink r:id="rId287" w:history="1">
          <w:hyperlink r:id="rId288" w:history="1">
            <w:r>
              <w:rPr>
                <w:rStyle w:val="Hyperlink"/>
                <w:rFonts w:asciiTheme="majorHAnsi" w:hAnsiTheme="majorHAnsi"/>
              </w:rPr>
              <w:t>Korbely împotriva Ungariei</w:t>
            </w:r>
          </w:hyperlink>
        </w:hyperlink>
      </w:hyperlink>
      <w:r>
        <w:rPr>
          <w:rFonts w:asciiTheme="majorHAnsi" w:hAnsiTheme="majorHAnsi"/>
        </w:rPr>
        <w:t xml:space="preserve"> (MC), pct. 74-75]. </w:t>
      </w:r>
      <w:r>
        <w:t>Curtea poate, de asemenea, să examineze accesibilitatea definiției infracțiunii în litigiu având în vedere dreptul internațional cutumiar aplicabil [pentru o rezoluție a Adunării generale a Națiunilor Unite de condamnare a genocidului chiar înainte de intrarea în vigoare a Convenției din 1948 pentru prevenirea și reprimarea crimei de genocid, a se vedea</w:t>
      </w:r>
      <w:r>
        <w:rPr>
          <w:rFonts w:asciiTheme="majorHAnsi" w:hAnsiTheme="majorHAnsi"/>
        </w:rPr>
        <w:t xml:space="preserve"> </w:t>
      </w:r>
      <w:hyperlink r:id="rId289" w:history="1">
        <w:hyperlink r:id="rId290" w:history="1">
          <w:r>
            <w:rPr>
              <w:rStyle w:val="Hyperlink"/>
              <w:rFonts w:asciiTheme="majorHAnsi" w:hAnsiTheme="majorHAnsi"/>
            </w:rPr>
            <w:t>Vasiliauskas împotriva Lituaniei</w:t>
          </w:r>
        </w:hyperlink>
      </w:hyperlink>
      <w:r>
        <w:rPr>
          <w:rFonts w:asciiTheme="majorHAnsi" w:hAnsiTheme="majorHAnsi"/>
        </w:rPr>
        <w:t xml:space="preserve"> (MC), pct. 167-168; pentru o examinare coroborată a accesibilității și a previzibilității definiției pentru crime de război în lumina legilor și a cutumelor internaționale ale războiului – care nu a făcut obiectul unei publicări oficiale –, a se vedea </w:t>
      </w:r>
      <w:hyperlink r:id="rId291" w:history="1">
        <w:hyperlink r:id="rId292" w:history="1">
          <w:hyperlink r:id="rId293" w:history="1">
            <w:r>
              <w:rPr>
                <w:rStyle w:val="Hyperlink"/>
                <w:rFonts w:asciiTheme="majorHAnsi" w:hAnsiTheme="majorHAnsi"/>
              </w:rPr>
              <w:t>Kononov împotriva Letoniei</w:t>
            </w:r>
          </w:hyperlink>
        </w:hyperlink>
      </w:hyperlink>
      <w:r>
        <w:rPr>
          <w:rFonts w:asciiTheme="majorHAnsi" w:hAnsiTheme="majorHAnsi"/>
        </w:rPr>
        <w:t xml:space="preserve"> (MC), pct. 234-239 și 244].</w:t>
      </w:r>
    </w:p>
    <w:p w14:paraId="77708174" w14:textId="77777777" w:rsidR="00785778" w:rsidRPr="006B7E09" w:rsidRDefault="00462410" w:rsidP="00785778">
      <w:pPr>
        <w:pStyle w:val="ECHRHeading2"/>
      </w:pPr>
      <w:bookmarkStart w:id="34" w:name="_Toc162517960"/>
      <w:r>
        <w:lastRenderedPageBreak/>
        <w:t>Previzibilitatea</w:t>
      </w:r>
      <w:bookmarkEnd w:id="34"/>
    </w:p>
    <w:p w14:paraId="322344E4" w14:textId="77777777" w:rsidR="00785778" w:rsidRPr="006B7E09" w:rsidRDefault="00462410" w:rsidP="0074790E">
      <w:pPr>
        <w:pStyle w:val="ECHRHeading3"/>
      </w:pPr>
      <w:bookmarkStart w:id="35" w:name="_Toc162517961"/>
      <w:r>
        <w:t>Considerații generale</w:t>
      </w:r>
      <w:bookmarkEnd w:id="35"/>
    </w:p>
    <w:p w14:paraId="0E169B26" w14:textId="6B1F28E8" w:rsidR="005916A5" w:rsidRPr="006B7E09" w:rsidRDefault="00F8776B" w:rsidP="006D77EC">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28</w:t>
      </w:r>
      <w:r w:rsidRPr="006B7E09">
        <w:rPr>
          <w:rFonts w:asciiTheme="majorHAnsi" w:hAnsiTheme="majorHAnsi"/>
        </w:rPr>
        <w:fldChar w:fldCharType="end"/>
      </w:r>
      <w:r>
        <w:rPr>
          <w:rFonts w:asciiTheme="majorHAnsi" w:hAnsiTheme="majorHAnsi"/>
        </w:rPr>
        <w:t>.  </w:t>
      </w:r>
      <w:r>
        <w:t>Orice persoană trebuie să cunoască din formularea dispoziției relevante și, la nevoie, cu ajutorul interpretării date de instanțe și după ce a beneficiat de consiliere juridică adecvată, pentru care fapte și/sau omisiuni va fi angajată răspunderea sa penală și pedeapsa care îi va fi aplicată pentru fapta și/sau omisiunea săvârșite [</w:t>
      </w:r>
      <w:hyperlink r:id="rId294" w:history="1">
        <w:hyperlink r:id="rId295" w:history="1">
          <w:r>
            <w:rPr>
              <w:rStyle w:val="Hyperlink"/>
              <w:rFonts w:asciiTheme="majorHAnsi" w:hAnsiTheme="majorHAnsi"/>
            </w:rPr>
            <w:t>Cantoni împotriva Franţei</w:t>
          </w:r>
        </w:hyperlink>
      </w:hyperlink>
      <w:r>
        <w:rPr>
          <w:rFonts w:asciiTheme="majorHAnsi" w:hAnsiTheme="majorHAnsi"/>
        </w:rPr>
        <w:t xml:space="preserve">, 1996, pct. 29; </w:t>
      </w:r>
      <w:hyperlink r:id="rId296" w:history="1">
        <w:hyperlink r:id="rId297" w:history="1">
          <w:hyperlink r:id="rId298" w:history="1">
            <w:r>
              <w:rPr>
                <w:rStyle w:val="Hyperlink"/>
                <w:rFonts w:asciiTheme="majorHAnsi" w:hAnsiTheme="majorHAnsi"/>
              </w:rPr>
              <w:t>Kafkaris împotriva Cipr</w:t>
            </w:r>
          </w:hyperlink>
          <w:r>
            <w:rPr>
              <w:rFonts w:asciiTheme="majorHAnsi" w:hAnsiTheme="majorHAnsi"/>
              <w:i/>
              <w:color w:val="0072BC" w:themeColor="accent1"/>
            </w:rPr>
            <w:t>ului</w:t>
          </w:r>
        </w:hyperlink>
      </w:hyperlink>
      <w:r>
        <w:rPr>
          <w:rFonts w:asciiTheme="majorHAnsi" w:hAnsiTheme="majorHAnsi"/>
        </w:rPr>
        <w:t xml:space="preserve"> (MC), 2008, pct. 140; </w:t>
      </w:r>
      <w:hyperlink r:id="rId299" w:history="1">
        <w:hyperlink r:id="rId300" w:history="1">
          <w:hyperlink r:id="rId301" w:history="1">
            <w:r>
              <w:rPr>
                <w:rStyle w:val="Hyperlink"/>
                <w:rFonts w:asciiTheme="majorHAnsi" w:hAnsiTheme="majorHAnsi"/>
              </w:rPr>
              <w:t>Del Río Prada împotriva Spaniei</w:t>
            </w:r>
          </w:hyperlink>
        </w:hyperlink>
      </w:hyperlink>
      <w:r>
        <w:rPr>
          <w:rFonts w:asciiTheme="majorHAnsi" w:hAnsiTheme="majorHAnsi"/>
        </w:rPr>
        <w:t xml:space="preserve"> (MC), 2013, pct. 79]. </w:t>
      </w:r>
      <w:r>
        <w:t xml:space="preserve">Noțiunea de </w:t>
      </w:r>
      <w:r>
        <w:rPr>
          <w:rFonts w:asciiTheme="majorHAnsi" w:hAnsiTheme="majorHAnsi"/>
        </w:rPr>
        <w:t>„consiliere adecvată” se referă la posibilitatea de a primi consiliere juridică [</w:t>
      </w:r>
      <w:hyperlink r:id="rId302" w:history="1">
        <w:hyperlink r:id="rId303" w:history="1">
          <w:r>
            <w:rPr>
              <w:rStyle w:val="Hyperlink"/>
              <w:rFonts w:asciiTheme="majorHAnsi" w:hAnsiTheme="majorHAnsi"/>
            </w:rPr>
            <w:t xml:space="preserve">Chauvy şi alţii împotriva Franţei </w:t>
          </w:r>
        </w:hyperlink>
      </w:hyperlink>
      <w:r>
        <w:rPr>
          <w:rFonts w:asciiTheme="majorHAnsi" w:hAnsiTheme="majorHAnsi"/>
        </w:rPr>
        <w:t xml:space="preserve"> (dec.), 2003; </w:t>
      </w:r>
      <w:hyperlink r:id="rId304" w:history="1">
        <w:hyperlink r:id="rId305" w:history="1">
          <w:r>
            <w:rPr>
              <w:rStyle w:val="Hyperlink"/>
              <w:rFonts w:asciiTheme="majorHAnsi" w:hAnsiTheme="majorHAnsi"/>
            </w:rPr>
            <w:t>Jorgic  împotriva Germaniei</w:t>
          </w:r>
        </w:hyperlink>
      </w:hyperlink>
      <w:r>
        <w:rPr>
          <w:rFonts w:asciiTheme="majorHAnsi" w:hAnsiTheme="majorHAnsi"/>
        </w:rPr>
        <w:t>, 2007, pct. 113].</w:t>
      </w:r>
    </w:p>
    <w:p w14:paraId="144ABCC0" w14:textId="65DC61E2" w:rsidR="00F07CD9" w:rsidRPr="006B7E09" w:rsidRDefault="00F07CD9" w:rsidP="00F07CD9">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29</w:t>
      </w:r>
      <w:r w:rsidRPr="006B7E09">
        <w:rPr>
          <w:rFonts w:asciiTheme="majorHAnsi" w:hAnsiTheme="majorHAnsi"/>
        </w:rPr>
        <w:fldChar w:fldCharType="end"/>
      </w:r>
      <w:r>
        <w:rPr>
          <w:rFonts w:asciiTheme="majorHAnsi" w:hAnsiTheme="majorHAnsi"/>
        </w:rPr>
        <w:t xml:space="preserve">.  Prin urmare, în principiu, nu poate exista decât o singură „pedeapsă” în sensul art. 7 dacă un element de răspundere personală a fost stabilit în privința autorului infracțiunii. Există o legătură clară între gradul de previzibilitate al unei dispoziții de drept penal și răspunderea personală a infractorului. </w:t>
      </w:r>
      <w:r>
        <w:t xml:space="preserve">Astfel, art. </w:t>
      </w:r>
      <w:r>
        <w:rPr>
          <w:rFonts w:asciiTheme="majorHAnsi" w:hAnsiTheme="majorHAnsi"/>
        </w:rPr>
        <w:t>7 cere o legătură mentală care să dezvăluie un element de răspundere în comportamentul autorului real al infracțiunii dacă se aplică o pedeapsă [</w:t>
      </w:r>
      <w:hyperlink r:id="rId306" w:history="1">
        <w:r>
          <w:rPr>
            <w:rStyle w:val="Hyperlink"/>
            <w:rFonts w:asciiTheme="majorHAnsi" w:hAnsiTheme="majorHAnsi"/>
          </w:rPr>
          <w:t>G.I.E.M.</w:t>
        </w:r>
      </w:hyperlink>
      <w:hyperlink r:id="rId307" w:history="1">
        <w:r>
          <w:rPr>
            <w:rStyle w:val="Hyperlink"/>
            <w:rFonts w:asciiTheme="majorHAnsi" w:hAnsiTheme="majorHAnsi"/>
          </w:rPr>
          <w:t xml:space="preserve"> S.R.L. și alții împotriva Italiei</w:t>
        </w:r>
      </w:hyperlink>
      <w:r>
        <w:rPr>
          <w:rStyle w:val="Hyperlink"/>
        </w:rPr>
        <w:t xml:space="preserve"> </w:t>
      </w:r>
      <w:r>
        <w:rPr>
          <w:rFonts w:asciiTheme="majorHAnsi" w:hAnsiTheme="majorHAnsi"/>
        </w:rPr>
        <w:t>(fond) (MC), 2018, pct. 242 și 246]. Pot exista totuși anumite forme de răspundere obiectivă care funcționează prin intermediul prezumțiilor de răspundere, cu condiția ca acestea să respecte Convenția și în special art. 6 § 2 (</w:t>
      </w:r>
      <w:r>
        <w:rPr>
          <w:rFonts w:asciiTheme="majorHAnsi" w:hAnsiTheme="majorHAnsi"/>
          <w:i/>
        </w:rPr>
        <w:t>ibidem</w:t>
      </w:r>
      <w:r>
        <w:rPr>
          <w:rFonts w:asciiTheme="majorHAnsi" w:hAnsiTheme="majorHAnsi"/>
        </w:rPr>
        <w:t>,</w:t>
      </w:r>
      <w:r>
        <w:rPr>
          <w:rFonts w:asciiTheme="majorHAnsi" w:hAnsiTheme="majorHAnsi"/>
          <w:i/>
        </w:rPr>
        <w:t xml:space="preserve"> </w:t>
      </w:r>
      <w:r>
        <w:rPr>
          <w:rFonts w:asciiTheme="majorHAnsi" w:hAnsiTheme="majorHAnsi"/>
        </w:rPr>
        <w:t>pct. 243).</w:t>
      </w:r>
    </w:p>
    <w:p w14:paraId="3F8D9AA7" w14:textId="1432B634" w:rsidR="006B7E09" w:rsidRDefault="003B123D" w:rsidP="006D77EC">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30</w:t>
      </w:r>
      <w:r w:rsidRPr="006B7E09">
        <w:rPr>
          <w:rFonts w:asciiTheme="majorHAnsi" w:hAnsiTheme="majorHAnsi"/>
        </w:rPr>
        <w:fldChar w:fldCharType="end"/>
      </w:r>
      <w:r>
        <w:rPr>
          <w:rFonts w:asciiTheme="majorHAnsi" w:hAnsiTheme="majorHAnsi"/>
        </w:rPr>
        <w:t xml:space="preserve">.  Datorită naturii lor generale de acte normative, formularea acestora nu poate fi absolut exactă. </w:t>
      </w:r>
      <w:r>
        <w:t>Necesitatea de a evita o rigiditate excesivă și de a se adapta la schimbările de situație înseamnă că multe legi sunt în mod inevitabil formulate mai mult sau mai puțin imprecis, iar interpretarea și aplicarea acestor texte promulgate depind de practică</w:t>
      </w:r>
      <w:r>
        <w:rPr>
          <w:rFonts w:asciiTheme="majorHAnsi" w:hAnsiTheme="majorHAnsi"/>
        </w:rPr>
        <w:t xml:space="preserve"> (</w:t>
      </w:r>
      <w:hyperlink r:id="rId308" w:history="1">
        <w:hyperlink r:id="rId309" w:history="1">
          <w:r>
            <w:rPr>
              <w:rStyle w:val="Hyperlink"/>
              <w:rFonts w:asciiTheme="majorHAnsi" w:hAnsiTheme="majorHAnsi"/>
            </w:rPr>
            <w:t>Kokkinakis împotriva Greciei</w:t>
          </w:r>
        </w:hyperlink>
      </w:hyperlink>
      <w:r>
        <w:rPr>
          <w:rFonts w:asciiTheme="majorHAnsi" w:hAnsiTheme="majorHAnsi"/>
        </w:rPr>
        <w:t xml:space="preserve">, 1993, pct. 40, cu privire la definiția infracțiunii de „prozelitism“; </w:t>
      </w:r>
      <w:hyperlink r:id="rId310" w:history="1">
        <w:r>
          <w:rPr>
            <w:rStyle w:val="Hyperlink"/>
            <w:rFonts w:asciiTheme="majorHAnsi" w:hAnsiTheme="majorHAnsi"/>
          </w:rPr>
          <w:t xml:space="preserve">Cantoni împotriva </w:t>
        </w:r>
        <w:r w:rsidR="006879E9">
          <w:rPr>
            <w:rStyle w:val="Hyperlink"/>
            <w:rFonts w:asciiTheme="majorHAnsi" w:hAnsiTheme="majorHAnsi"/>
          </w:rPr>
          <w:t>Franței</w:t>
        </w:r>
      </w:hyperlink>
      <w:r>
        <w:rPr>
          <w:rFonts w:asciiTheme="majorHAnsi" w:hAnsiTheme="majorHAnsi"/>
        </w:rPr>
        <w:t xml:space="preserve">, 1996, pct. 31, privind definiția juridică pentru „produs medicamentos“). Atunci când se folosește tehnica legislativă a stabilirii de categorii lasă adesea zone de umbră la frontierele definiției. </w:t>
      </w:r>
      <w:r>
        <w:t>Această umbră de îndoială privind cazurile limită nu face, în sine, ca o dispoziție să fie incompatibilă cu art. 7, în măsura în care aceasta se dovedește suficient de clară în cele mai multe cazuri</w:t>
      </w:r>
      <w:r>
        <w:rPr>
          <w:rFonts w:asciiTheme="majorHAnsi" w:hAnsiTheme="majorHAnsi"/>
        </w:rPr>
        <w:t xml:space="preserve"> (</w:t>
      </w:r>
      <w:hyperlink r:id="rId311" w:history="1">
        <w:r>
          <w:rPr>
            <w:rStyle w:val="Hyperlink"/>
            <w:rFonts w:asciiTheme="majorHAnsi" w:hAnsiTheme="majorHAnsi"/>
          </w:rPr>
          <w:t>ibidem</w:t>
        </w:r>
      </w:hyperlink>
      <w:r>
        <w:rPr>
          <w:rFonts w:asciiTheme="majorHAnsi" w:hAnsiTheme="majorHAnsi"/>
        </w:rPr>
        <w:t xml:space="preserve">, § 32). </w:t>
      </w:r>
      <w:r>
        <w:t>În schimb, folosirea unor noțiuni și a unor criterii prea vagi în interpretarea unei dispoziții legislative poate face dispoziția în sine incompatibilă cu cerințele de claritate și de previzibilitate în ceea ce privește efectele</w:t>
      </w:r>
      <w:r>
        <w:rPr>
          <w:rFonts w:asciiTheme="majorHAnsi" w:hAnsiTheme="majorHAnsi"/>
        </w:rPr>
        <w:t xml:space="preserve"> (</w:t>
      </w:r>
      <w:hyperlink r:id="rId312" w:history="1">
        <w:r w:rsidR="008A4D76">
          <w:rPr>
            <w:rStyle w:val="Hyperlink"/>
          </w:rPr>
          <w:t>Liivik</w:t>
        </w:r>
        <w:r>
          <w:rPr>
            <w:rStyle w:val="Hyperlink"/>
          </w:rPr>
          <w:t xml:space="preserve"> împotriva Estoniei</w:t>
        </w:r>
      </w:hyperlink>
      <w:r>
        <w:rPr>
          <w:rFonts w:asciiTheme="majorHAnsi" w:hAnsiTheme="majorHAnsi"/>
        </w:rPr>
        <w:t xml:space="preserve">, 2009, pct. 96-104). </w:t>
      </w:r>
      <w:r>
        <w:t xml:space="preserve">Faptul că ulterior </w:t>
      </w:r>
      <w:r>
        <w:rPr>
          <w:rFonts w:asciiTheme="majorHAnsi" w:hAnsiTheme="majorHAnsi"/>
        </w:rPr>
        <w:t>legiuitorul a reformulat legea mai în amănunt (de ex., ca urmare a transpunerii unei directive a UE) nu înseamnă în mod necesar că acel comportament nu era pedepsit până la acea dată (</w:t>
      </w:r>
      <w:hyperlink r:id="rId313" w:history="1">
        <w:r>
          <w:rPr>
            <w:rStyle w:val="Hyperlink"/>
            <w:rFonts w:asciiTheme="majorHAnsi" w:hAnsiTheme="majorHAnsi"/>
          </w:rPr>
          <w:t>Georgouleas și Nestoras împotriva Greciei</w:t>
        </w:r>
      </w:hyperlink>
      <w:r>
        <w:rPr>
          <w:rStyle w:val="Hyperlink"/>
          <w:rFonts w:asciiTheme="majorHAnsi" w:hAnsiTheme="majorHAnsi"/>
          <w:i w:val="0"/>
        </w:rPr>
        <w:t xml:space="preserve">, </w:t>
      </w:r>
      <w:r>
        <w:rPr>
          <w:rFonts w:asciiTheme="majorHAnsi" w:hAnsiTheme="majorHAnsi"/>
        </w:rPr>
        <w:t>2020, pct. 66).</w:t>
      </w:r>
    </w:p>
    <w:p w14:paraId="0261FF0E" w14:textId="23677A29" w:rsidR="0085332B" w:rsidRPr="006B7E09" w:rsidRDefault="0085332B" w:rsidP="006D77EC">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31</w:t>
      </w:r>
      <w:r w:rsidRPr="006B7E09">
        <w:rPr>
          <w:rFonts w:asciiTheme="majorHAnsi" w:hAnsiTheme="majorHAnsi"/>
        </w:rPr>
        <w:fldChar w:fldCharType="end"/>
      </w:r>
      <w:r>
        <w:rPr>
          <w:rFonts w:asciiTheme="majorHAnsi" w:hAnsiTheme="majorHAnsi"/>
        </w:rPr>
        <w:t>.  </w:t>
      </w:r>
      <w:r>
        <w:t xml:space="preserve">A folosi </w:t>
      </w:r>
      <w:r>
        <w:rPr>
          <w:rFonts w:asciiTheme="majorHAnsi" w:hAnsiTheme="majorHAnsi"/>
        </w:rPr>
        <w:t>„referința generală” sau tehnica „legislației prin referire” în incriminarea faptelor sau a omisiunilor nu este în sine incompatibil cu cerințele art. 7, dispoziția care face referire și dispoziția la care se face referire, interpretate împreună, trebuie să permită persoanei în cauză să prevadă, dacă este cazul, cu ajutorul consilierii juridice adecvate, pentru ce comportament va fi făcut răspunzător penal (</w:t>
      </w:r>
      <w:hyperlink r:id="rId314" w:history="1">
        <w:r>
          <w:rPr>
            <w:rStyle w:val="Hyperlink"/>
            <w:rFonts w:asciiTheme="majorHAnsi" w:hAnsiTheme="majorHAnsi"/>
          </w:rPr>
          <w:t>Aviz consultativ privind folosirea „referinței generale” sau a tehnicii „legislației prin referire” în definiția unei infracțiuni și standardele comparației dintre legislația penală în vigoare la data comiterii infracțiunii și legislația penală modificată</w:t>
        </w:r>
      </w:hyperlink>
      <w:r>
        <w:rPr>
          <w:rStyle w:val="Hyperlink"/>
          <w:rFonts w:asciiTheme="majorHAnsi" w:hAnsiTheme="majorHAnsi"/>
        </w:rPr>
        <w:t xml:space="preserve"> </w:t>
      </w:r>
      <w:r>
        <w:rPr>
          <w:rStyle w:val="Hyperlink"/>
          <w:rFonts w:asciiTheme="majorHAnsi" w:hAnsiTheme="majorHAnsi"/>
          <w:iCs/>
        </w:rPr>
        <w:t>(MC)</w:t>
      </w:r>
      <w:r>
        <w:rPr>
          <w:rFonts w:asciiTheme="majorHAnsi" w:hAnsiTheme="majorHAnsi"/>
        </w:rPr>
        <w:t xml:space="preserve">; 2020, pct. 74). </w:t>
      </w:r>
      <w:r>
        <w:t xml:space="preserve">Această cerință se aplică și situațiilor în care dispoziția la care se face referire are un rang ierarhic mai înalt în ordinea juridică în cauză sau un grad mai ridicat de abstracțiune decât dispoziția care face referire. Cea mai eficientă cale de a asigura claritatea și previzibilitatea este ca referința să fie explicită, iar dispoziția care face referință să prevadă elementele constitutive ale infracțiunii. În plus, dispozițiile la care se face referire pot să nu extindă sfera de aplicare a incriminării stabilite de dispoziția care face referire </w:t>
      </w:r>
      <w:r>
        <w:rPr>
          <w:i/>
        </w:rPr>
        <w:t>(</w:t>
      </w:r>
      <w:hyperlink r:id="rId315" w:history="1">
        <w:r>
          <w:rPr>
            <w:rStyle w:val="Hyperlink"/>
          </w:rPr>
          <w:t>ibidem</w:t>
        </w:r>
      </w:hyperlink>
      <w:r>
        <w:t>).</w:t>
      </w:r>
    </w:p>
    <w:p w14:paraId="048267EC" w14:textId="148C656D" w:rsidR="00F65D82" w:rsidRPr="006B7E09" w:rsidRDefault="00A667D0" w:rsidP="00A667D0">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32</w:t>
      </w:r>
      <w:r w:rsidRPr="006B7E09">
        <w:rPr>
          <w:rFonts w:asciiTheme="majorHAnsi" w:hAnsiTheme="majorHAnsi"/>
        </w:rPr>
        <w:fldChar w:fldCharType="end"/>
      </w:r>
      <w:r>
        <w:rPr>
          <w:rFonts w:asciiTheme="majorHAnsi" w:hAnsiTheme="majorHAnsi"/>
        </w:rPr>
        <w:t>.  </w:t>
      </w:r>
      <w:r>
        <w:t>Domeniul de aplicare</w:t>
      </w:r>
      <w:r>
        <w:rPr>
          <w:rFonts w:asciiTheme="majorHAnsi" w:hAnsiTheme="majorHAnsi"/>
        </w:rPr>
        <w:t xml:space="preserve"> a noțiunii de previzibilitate depinde în mare măsură de conținutul actului în discuție, de domeniul pe care este conceput să îl acopere și de numărul și statutul destinatarilor acestuia [</w:t>
      </w:r>
      <w:hyperlink r:id="rId316" w:history="1">
        <w:hyperlink r:id="rId317" w:history="1">
          <w:hyperlink r:id="rId318" w:history="1">
            <w:r>
              <w:rPr>
                <w:rStyle w:val="Hyperlink"/>
                <w:rFonts w:asciiTheme="majorHAnsi" w:hAnsiTheme="majorHAnsi"/>
              </w:rPr>
              <w:t>Kononov împotriva Letoniei</w:t>
            </w:r>
          </w:hyperlink>
        </w:hyperlink>
      </w:hyperlink>
      <w:r>
        <w:rPr>
          <w:rFonts w:asciiTheme="majorHAnsi" w:hAnsiTheme="majorHAnsi"/>
        </w:rPr>
        <w:t xml:space="preserve"> (MC), 2010, pct. 235; </w:t>
      </w:r>
      <w:hyperlink r:id="rId319" w:history="1">
        <w:hyperlink r:id="rId320" w:history="1">
          <w:r>
            <w:rPr>
              <w:rStyle w:val="Hyperlink"/>
              <w:rFonts w:asciiTheme="majorHAnsi" w:hAnsiTheme="majorHAnsi"/>
            </w:rPr>
            <w:t>Cantoni împotriva Franţei</w:t>
          </w:r>
        </w:hyperlink>
      </w:hyperlink>
      <w:r>
        <w:rPr>
          <w:rFonts w:asciiTheme="majorHAnsi" w:hAnsiTheme="majorHAnsi"/>
        </w:rPr>
        <w:t xml:space="preserve">, 1996, pct. 35]. </w:t>
      </w:r>
      <w:r>
        <w:t xml:space="preserve">O lege poate totuși să îndeplinească cerința de previzibilitate chiar dacă persoana în cauză trebuie să </w:t>
      </w:r>
      <w:r>
        <w:lastRenderedPageBreak/>
        <w:t xml:space="preserve">obțină consilierea juridică adecvată pentru a evalua, într-o măsură rezonabilă în respectivele circumstanțe, consecințele pe care o acțiune le poate avea </w:t>
      </w:r>
      <w:r>
        <w:rPr>
          <w:rFonts w:asciiTheme="majorHAnsi" w:hAnsiTheme="majorHAnsi"/>
        </w:rPr>
        <w:t>(</w:t>
      </w:r>
      <w:hyperlink r:id="rId321" w:history="1">
        <w:r>
          <w:rPr>
            <w:rStyle w:val="Hyperlink"/>
            <w:rFonts w:asciiTheme="majorHAnsi" w:hAnsiTheme="majorHAnsi"/>
          </w:rPr>
          <w:t>ibidem</w:t>
        </w:r>
      </w:hyperlink>
      <w:r>
        <w:rPr>
          <w:rFonts w:asciiTheme="majorHAnsi" w:hAnsiTheme="majorHAnsi"/>
        </w:rPr>
        <w:t xml:space="preserve">). Acest lucru este adevărat în special în cazul persoanelor care desfășoară o activitate profesională, care sunt obișnuite cu obligația de a acționa cu un nivel ridicat de precauție atunci când își exercită profesia. </w:t>
      </w:r>
      <w:r>
        <w:t>Astfel, este de așteptat ca acestea</w:t>
      </w:r>
      <w:r>
        <w:rPr>
          <w:rFonts w:asciiTheme="majorHAnsi" w:hAnsiTheme="majorHAnsi"/>
        </w:rPr>
        <w:t xml:space="preserve"> să acorde o atenție specială evaluării riscurilor pe care le implică respectiva activitate [</w:t>
      </w:r>
      <w:hyperlink r:id="rId322" w:history="1">
        <w:r>
          <w:rPr>
            <w:rStyle w:val="Hyperlink"/>
            <w:rFonts w:asciiTheme="majorHAnsi" w:hAnsiTheme="majorHAnsi"/>
          </w:rPr>
          <w:t>ibidem</w:t>
        </w:r>
      </w:hyperlink>
      <w:r>
        <w:rPr>
          <w:rFonts w:asciiTheme="majorHAnsi" w:hAnsiTheme="majorHAnsi"/>
        </w:rPr>
        <w:t xml:space="preserve">; </w:t>
      </w:r>
      <w:hyperlink r:id="rId323" w:history="1">
        <w:hyperlink r:id="rId324" w:history="1">
          <w:r>
            <w:rPr>
              <w:rStyle w:val="Hyperlink"/>
              <w:rFonts w:asciiTheme="majorHAnsi" w:hAnsiTheme="majorHAnsi"/>
            </w:rPr>
            <w:t>Pessino împotriva Franţei</w:t>
          </w:r>
        </w:hyperlink>
      </w:hyperlink>
      <w:r>
        <w:rPr>
          <w:rFonts w:asciiTheme="majorHAnsi" w:hAnsiTheme="majorHAnsi"/>
        </w:rPr>
        <w:t xml:space="preserve">, 2006, pct. 33; </w:t>
      </w:r>
      <w:hyperlink r:id="rId325" w:history="1">
        <w:hyperlink r:id="rId326" w:history="1">
          <w:hyperlink r:id="rId327" w:history="1">
            <w:r>
              <w:rPr>
                <w:rStyle w:val="Hyperlink"/>
                <w:rFonts w:asciiTheme="majorHAnsi" w:hAnsiTheme="majorHAnsi"/>
              </w:rPr>
              <w:t>Kononov împotriva Letoniei</w:t>
            </w:r>
          </w:hyperlink>
        </w:hyperlink>
      </w:hyperlink>
      <w:r>
        <w:rPr>
          <w:rFonts w:asciiTheme="majorHAnsi" w:hAnsiTheme="majorHAnsi"/>
        </w:rPr>
        <w:t xml:space="preserve"> (MC), 2010, pct. 235; </w:t>
      </w:r>
      <w:hyperlink r:id="rId328" w:history="1">
        <w:r>
          <w:rPr>
            <w:rStyle w:val="Hyperlink"/>
            <w:rFonts w:asciiTheme="majorHAnsi" w:hAnsiTheme="majorHAnsi"/>
          </w:rPr>
          <w:t>Aviz consultativ privind folosirea „referinței generale” sau a tehnicii „legislației prin referire” în definiția unei infracțiuni și standardele comparației dintre legislația penală în vigoare la data comiterii infracțiunii și legislația penală modificată</w:t>
        </w:r>
      </w:hyperlink>
      <w:r>
        <w:t xml:space="preserve"> (MC),</w:t>
      </w:r>
      <w:r>
        <w:rPr>
          <w:rFonts w:asciiTheme="majorHAnsi" w:hAnsiTheme="majorHAnsi"/>
        </w:rPr>
        <w:t xml:space="preserve"> 2020, pct. 61 și 68, cu privire la politicienii de profesie sau la înalții funcționari]. </w:t>
      </w:r>
      <w:r>
        <w:t>De exemplu, Curtea a reținut că administratorul unui supermarket ar fi trebuit să aprecieze, cu ajutorul unei consilieri juridice adecvate, că exista un risc real de a fi urmărit penal pentru vânzarea ilegală de medicamente</w:t>
      </w:r>
      <w:r>
        <w:rPr>
          <w:rFonts w:asciiTheme="majorHAnsi" w:hAnsiTheme="majorHAnsi"/>
        </w:rPr>
        <w:t xml:space="preserve"> (</w:t>
      </w:r>
      <w:hyperlink r:id="rId329" w:history="1">
        <w:r>
          <w:rPr>
            <w:rStyle w:val="Hyperlink"/>
            <w:rFonts w:asciiTheme="majorHAnsi" w:hAnsiTheme="majorHAnsi"/>
          </w:rPr>
          <w:t xml:space="preserve">Cantoni împotriva </w:t>
        </w:r>
        <w:r w:rsidR="006879E9">
          <w:rPr>
            <w:rStyle w:val="Hyperlink"/>
            <w:rFonts w:asciiTheme="majorHAnsi" w:hAnsiTheme="majorHAnsi"/>
          </w:rPr>
          <w:t>Franței</w:t>
        </w:r>
      </w:hyperlink>
      <w:r>
        <w:rPr>
          <w:rFonts w:asciiTheme="majorHAnsi" w:hAnsiTheme="majorHAnsi"/>
        </w:rPr>
        <w:t xml:space="preserve">, 1996, pct. 35). </w:t>
      </w:r>
      <w:r>
        <w:t>Curtea a ajuns la o concluzie similară pentru condamnările următoarelor persoane: directorii unei societăți de distribuție a țigaretelor, pentru tipărirea unei fraze neprevăzute de lege pe pachetele de țigarete [</w:t>
      </w:r>
      <w:hyperlink r:id="rId330" w:history="1">
        <w:hyperlink r:id="rId331" w:history="1">
          <w:r>
            <w:rPr>
              <w:rStyle w:val="Hyperlink"/>
              <w:rFonts w:asciiTheme="majorHAnsi" w:hAnsiTheme="majorHAnsi"/>
            </w:rPr>
            <w:t>Delbos și alții împotriva Franței</w:t>
          </w:r>
        </w:hyperlink>
      </w:hyperlink>
      <w:r>
        <w:rPr>
          <w:rFonts w:asciiTheme="majorHAnsi" w:hAnsiTheme="majorHAnsi"/>
        </w:rPr>
        <w:t xml:space="preserve"> (dec.)]; directorul publicației unei societăți din domeniul audiovizual, pentru calomnierea publică a unui funcționar public, printr-o afirmație „stabilită înaintea difuzării către public” (</w:t>
      </w:r>
      <w:hyperlink r:id="rId332" w:history="1">
        <w:hyperlink r:id="rId333" w:history="1">
          <w:r>
            <w:rPr>
              <w:rStyle w:val="Hyperlink"/>
              <w:rFonts w:asciiTheme="majorHAnsi" w:hAnsiTheme="majorHAnsi"/>
            </w:rPr>
            <w:t>Radio France și alții împotriva Franței</w:t>
          </w:r>
        </w:hyperlink>
      </w:hyperlink>
      <w:r>
        <w:rPr>
          <w:rFonts w:asciiTheme="majorHAnsi" w:hAnsiTheme="majorHAnsi"/>
        </w:rPr>
        <w:t>, 2004, pct. 20); administratorul unei societăți care vindea suplimente alimentare, pentru comercializarea unui produs care conținea un aditiv interzis [</w:t>
      </w:r>
      <w:hyperlink r:id="rId334" w:history="1">
        <w:hyperlink r:id="rId335" w:history="1">
          <w:r>
            <w:rPr>
              <w:rStyle w:val="Hyperlink"/>
              <w:rFonts w:asciiTheme="majorHAnsi" w:hAnsiTheme="majorHAnsi"/>
            </w:rPr>
            <w:t>Ooms împotriva Franței</w:t>
          </w:r>
        </w:hyperlink>
      </w:hyperlink>
      <w:r>
        <w:rPr>
          <w:rFonts w:asciiTheme="majorHAnsi" w:hAnsiTheme="majorHAnsi"/>
        </w:rPr>
        <w:t xml:space="preserve"> (dec.), 2009]; autorul și editura unei cărți pentru infracțiunea de calomnie [</w:t>
      </w:r>
      <w:hyperlink r:id="rId336" w:history="1">
        <w:hyperlink r:id="rId337" w:history="1">
          <w:r>
            <w:rPr>
              <w:rStyle w:val="Hyperlink"/>
              <w:rFonts w:asciiTheme="majorHAnsi" w:hAnsiTheme="majorHAnsi"/>
            </w:rPr>
            <w:t>Chauvy și alții împotriva Franței</w:t>
          </w:r>
        </w:hyperlink>
      </w:hyperlink>
      <w:r>
        <w:rPr>
          <w:rFonts w:asciiTheme="majorHAnsi" w:hAnsiTheme="majorHAnsi"/>
        </w:rPr>
        <w:t xml:space="preserve"> (dec.), 2003, având în vedere statutul profesional al editurii, care ar fi putut atrage atenția autorului asupra riscului urmăririi penale]; un avocat pentru exercitarea fără autorizație a activității de intermediar în vederea adopției de copii [</w:t>
      </w:r>
      <w:hyperlink r:id="rId338" w:history="1">
        <w:hyperlink r:id="rId339" w:history="1">
          <w:r>
            <w:rPr>
              <w:rStyle w:val="Hyperlink"/>
              <w:rFonts w:asciiTheme="majorHAnsi" w:hAnsiTheme="majorHAnsi"/>
            </w:rPr>
            <w:t>Stoica împotriva Franței</w:t>
          </w:r>
        </w:hyperlink>
      </w:hyperlink>
      <w:r>
        <w:rPr>
          <w:rFonts w:asciiTheme="majorHAnsi" w:hAnsiTheme="majorHAnsi"/>
        </w:rPr>
        <w:t xml:space="preserve"> (dec.), 2010, dat fiind statutul său de avocat specializat în dreptul familiei]; activiștii Greenpeace pentru intrarea ilegală într-o zonă de apărare militară din Groenlanda [</w:t>
      </w:r>
      <w:hyperlink r:id="rId340" w:history="1">
        <w:hyperlink r:id="rId341" w:history="1">
          <w:r>
            <w:rPr>
              <w:rStyle w:val="Hyperlink"/>
              <w:rFonts w:asciiTheme="majorHAnsi" w:hAnsiTheme="majorHAnsi"/>
            </w:rPr>
            <w:t>Custers, Deveaux și Turk împotriva Danemarcei</w:t>
          </w:r>
        </w:hyperlink>
      </w:hyperlink>
      <w:r>
        <w:rPr>
          <w:rFonts w:asciiTheme="majorHAnsi" w:hAnsiTheme="majorHAnsi"/>
        </w:rPr>
        <w:t xml:space="preserve"> (dec.), 2006, pct. 95-96]; oameni politici cu poziții înalte în aparatul de stat din RDG, condamnați ca fiind autori intelectuali ai uciderii unor germani din Est care încercaseră să părăsească RDG între 1971 și 1989 trecând frontiera dintre cele două state germane [</w:t>
      </w:r>
      <w:hyperlink r:id="rId342" w:history="1">
        <w:hyperlink r:id="rId343" w:history="1">
          <w:r>
            <w:rPr>
              <w:rStyle w:val="Hyperlink"/>
              <w:rFonts w:asciiTheme="majorHAnsi" w:hAnsiTheme="majorHAnsi"/>
            </w:rPr>
            <w:t>Streletz, Kessler și Krenz împotriva Germaniei</w:t>
          </w:r>
        </w:hyperlink>
      </w:hyperlink>
      <w:r>
        <w:rPr>
          <w:rFonts w:asciiTheme="majorHAnsi" w:hAnsiTheme="majorHAnsi"/>
        </w:rPr>
        <w:t xml:space="preserve"> (MC), pct. 78]; un grănicer al RDG, pentru uciderea unei persoane care încercase să treacă frontiera dintre cele două state germane în 1972, chiar dacă acesta îndeplinea ordinele superiorilor săi [</w:t>
      </w:r>
      <w:hyperlink r:id="rId344" w:history="1">
        <w:hyperlink r:id="rId345" w:history="1">
          <w:r>
            <w:rPr>
              <w:rStyle w:val="Hyperlink"/>
              <w:rFonts w:asciiTheme="majorHAnsi" w:hAnsiTheme="majorHAnsi"/>
            </w:rPr>
            <w:t>K.-H.W. împotriva Germaniei</w:t>
          </w:r>
        </w:hyperlink>
      </w:hyperlink>
      <w:r>
        <w:rPr>
          <w:rFonts w:asciiTheme="majorHAnsi" w:hAnsiTheme="majorHAnsi"/>
        </w:rPr>
        <w:t xml:space="preserve"> (MC), pct. 68-81]; și un comandant din armata sovietică, pentru conducerea unei unități de „partizani roșii” în cursul unei expediții de pedeapsă împotriva unor pretinși colaboratori din timpul celui de-al Doilea Război Mondial, dat fiind că riscurile ar fi trebuit evaluate cu o grijă deosebită [</w:t>
      </w:r>
      <w:hyperlink r:id="rId346" w:history="1">
        <w:hyperlink r:id="rId347" w:history="1">
          <w:hyperlink r:id="rId348" w:history="1">
            <w:r>
              <w:rPr>
                <w:rStyle w:val="Hyperlink"/>
                <w:rFonts w:asciiTheme="majorHAnsi" w:hAnsiTheme="majorHAnsi"/>
              </w:rPr>
              <w:t>Kononov împotriva Letoniei</w:t>
            </w:r>
          </w:hyperlink>
        </w:hyperlink>
      </w:hyperlink>
      <w:r>
        <w:rPr>
          <w:rFonts w:asciiTheme="majorHAnsi" w:hAnsiTheme="majorHAnsi"/>
        </w:rPr>
        <w:t xml:space="preserve"> (MC), 2010, pct. 235-239]. </w:t>
      </w:r>
      <w:r>
        <w:t>Cu privire la răspunderea penală individuală a soldaților simpli, Curtea a precizat că aceștia nu se pot conforma complet și orbește unor ordine care încalcă în mod flagrant nu numai legislația națională, ci și drepturile omului recunoscute la nivel internațional, mai ales dreptul la viață, valoarea supremă în ierarhia internațională a drepturilor omului [</w:t>
      </w:r>
      <w:hyperlink r:id="rId349" w:history="1">
        <w:hyperlink r:id="rId350" w:history="1">
          <w:r>
            <w:rPr>
              <w:rStyle w:val="Hyperlink"/>
              <w:rFonts w:asciiTheme="majorHAnsi" w:hAnsiTheme="majorHAnsi"/>
            </w:rPr>
            <w:t>ibidem</w:t>
          </w:r>
        </w:hyperlink>
      </w:hyperlink>
      <w:r>
        <w:rPr>
          <w:rFonts w:asciiTheme="majorHAnsi" w:hAnsiTheme="majorHAnsi"/>
        </w:rPr>
        <w:t xml:space="preserve">, pct. 236; </w:t>
      </w:r>
      <w:hyperlink r:id="rId351" w:history="1">
        <w:hyperlink r:id="rId352" w:history="1">
          <w:r>
            <w:rPr>
              <w:rStyle w:val="Hyperlink"/>
              <w:rFonts w:asciiTheme="majorHAnsi" w:hAnsiTheme="majorHAnsi"/>
            </w:rPr>
            <w:t>K.-H.W. împotriva Germaniei</w:t>
          </w:r>
        </w:hyperlink>
      </w:hyperlink>
      <w:r>
        <w:rPr>
          <w:rFonts w:asciiTheme="majorHAnsi" w:hAnsiTheme="majorHAnsi"/>
        </w:rPr>
        <w:t xml:space="preserve"> (MC), 2001, pct. 75].</w:t>
      </w:r>
    </w:p>
    <w:p w14:paraId="19D9862E" w14:textId="7534A541" w:rsidR="00200518" w:rsidRPr="006B7E09" w:rsidRDefault="00947122" w:rsidP="0074790E">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33</w:t>
      </w:r>
      <w:r w:rsidRPr="006B7E09">
        <w:rPr>
          <w:rFonts w:asciiTheme="majorHAnsi" w:hAnsiTheme="majorHAnsi"/>
        </w:rPr>
        <w:fldChar w:fldCharType="end"/>
      </w:r>
      <w:r>
        <w:rPr>
          <w:rFonts w:asciiTheme="majorHAnsi" w:hAnsiTheme="majorHAnsi"/>
        </w:rPr>
        <w:t>.  </w:t>
      </w:r>
      <w:r>
        <w:t xml:space="preserve">Previzibilitatea trebuie apreciată din unghiul persoanei condamnate (posibil după ce aceasta din urmă a beneficiat de asistență juridică) la momentul săvârșirii faptelor pentru care a fost condamnată [a se vedea, cu toate acestea, </w:t>
      </w:r>
      <w:hyperlink r:id="rId353" w:history="1">
        <w:hyperlink r:id="rId354" w:history="1">
          <w:hyperlink r:id="rId355" w:history="1">
            <w:r>
              <w:rPr>
                <w:rStyle w:val="Hyperlink"/>
                <w:rFonts w:asciiTheme="majorHAnsi" w:hAnsiTheme="majorHAnsi"/>
              </w:rPr>
              <w:t>Del Río Prada împotriva Spaniei</w:t>
            </w:r>
          </w:hyperlink>
        </w:hyperlink>
      </w:hyperlink>
      <w:r>
        <w:rPr>
          <w:rFonts w:asciiTheme="majorHAnsi" w:hAnsiTheme="majorHAnsi"/>
        </w:rPr>
        <w:t xml:space="preserve"> (MC), 2013, pct. 112 și 117, cu privire la previzibilitatea modificării domeniului de aplicare al sancțiunii aplicate la momentul condamnării reclamantei, adică </w:t>
      </w:r>
      <w:r>
        <w:rPr>
          <w:rStyle w:val="CLLItalic"/>
          <w:rFonts w:asciiTheme="majorHAnsi" w:hAnsiTheme="majorHAnsi"/>
        </w:rPr>
        <w:t>după</w:t>
      </w:r>
      <w:r>
        <w:rPr>
          <w:rFonts w:asciiTheme="majorHAnsi" w:hAnsiTheme="majorHAnsi"/>
        </w:rPr>
        <w:t xml:space="preserve"> comiterea infracțiunilor].</w:t>
      </w:r>
    </w:p>
    <w:p w14:paraId="48FD5B15" w14:textId="6E75F49B" w:rsidR="00D507A6" w:rsidRPr="006B7E09" w:rsidRDefault="00E45BDB" w:rsidP="00E45BDB">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34</w:t>
      </w:r>
      <w:r w:rsidRPr="006B7E09">
        <w:rPr>
          <w:rFonts w:asciiTheme="majorHAnsi" w:hAnsiTheme="majorHAnsi"/>
        </w:rPr>
        <w:fldChar w:fldCharType="end"/>
      </w:r>
      <w:r>
        <w:rPr>
          <w:rFonts w:asciiTheme="majorHAnsi" w:hAnsiTheme="majorHAnsi"/>
        </w:rPr>
        <w:t>.  </w:t>
      </w:r>
      <w:r>
        <w:t xml:space="preserve">Atunci când o condamnare se întemeiază numai pe dreptul internațional sau atunci când trimite la principiile de drept internațional, Curtea examinează previzibilitatea condamnării în lumina normelor din dreptul internațional aplicabile la momentul faptelor, inclusiv dreptul internațional al tratatelor [Pactul internațional cu privire la drepturile civile și politice în cazul RDG în </w:t>
      </w:r>
      <w:hyperlink r:id="rId356" w:history="1">
        <w:hyperlink r:id="rId357" w:history="1">
          <w:r>
            <w:rPr>
              <w:rStyle w:val="Hyperlink"/>
              <w:rFonts w:asciiTheme="majorHAnsi" w:hAnsiTheme="majorHAnsi"/>
            </w:rPr>
            <w:t>Streletz, Kessler și Krenz împotriva Germaniei</w:t>
          </w:r>
        </w:hyperlink>
      </w:hyperlink>
      <w:r>
        <w:rPr>
          <w:rFonts w:asciiTheme="majorHAnsi" w:hAnsiTheme="majorHAnsi"/>
        </w:rPr>
        <w:t xml:space="preserve"> (MC), 2001, pct. 90-106; sau Convenția din 1948 pentru prevenirea și reprimarea crimei de genocid în cazul Germaniei în </w:t>
      </w:r>
      <w:hyperlink r:id="rId358" w:history="1">
        <w:hyperlink r:id="rId359" w:history="1">
          <w:r>
            <w:rPr>
              <w:rStyle w:val="Hyperlink"/>
              <w:rFonts w:asciiTheme="majorHAnsi" w:hAnsiTheme="majorHAnsi"/>
            </w:rPr>
            <w:t>Jorgic împotriva Germaniei</w:t>
          </w:r>
        </w:hyperlink>
      </w:hyperlink>
      <w:r>
        <w:rPr>
          <w:rFonts w:asciiTheme="majorHAnsi" w:hAnsiTheme="majorHAnsi"/>
        </w:rPr>
        <w:t xml:space="preserve">, 2007, pct. 106), și/sau dreptul cutumiar (a se vedea definiția pentru genocid dată de dreptul internațional cutumiar în 1953 în </w:t>
      </w:r>
      <w:hyperlink r:id="rId360" w:history="1">
        <w:hyperlink r:id="rId361" w:history="1">
          <w:r>
            <w:rPr>
              <w:rStyle w:val="Hyperlink"/>
              <w:rFonts w:asciiTheme="majorHAnsi" w:hAnsiTheme="majorHAnsi"/>
            </w:rPr>
            <w:t>Vasiliauskas împotriva Lituaniei</w:t>
          </w:r>
        </w:hyperlink>
      </w:hyperlink>
      <w:r>
        <w:rPr>
          <w:rFonts w:asciiTheme="majorHAnsi" w:hAnsiTheme="majorHAnsi"/>
        </w:rPr>
        <w:t xml:space="preserve"> (MC), 2015, pct. 171-175; legi și cutume de război în 1944 în </w:t>
      </w:r>
      <w:hyperlink r:id="rId362" w:history="1">
        <w:hyperlink r:id="rId363" w:history="1">
          <w:r>
            <w:rPr>
              <w:rStyle w:val="Hyperlink"/>
              <w:rFonts w:asciiTheme="majorHAnsi" w:hAnsiTheme="majorHAnsi"/>
            </w:rPr>
            <w:t>Kononov împotriva Letoniei</w:t>
          </w:r>
        </w:hyperlink>
      </w:hyperlink>
      <w:r>
        <w:rPr>
          <w:rFonts w:asciiTheme="majorHAnsi" w:hAnsiTheme="majorHAnsi"/>
        </w:rPr>
        <w:t xml:space="preserve"> (MC), 2010, pct. 205-227; dreptul internațional cutumiar de interzicere a utilizării gazului muștar în conflictele internaționale în </w:t>
      </w:r>
      <w:hyperlink r:id="rId364" w:history="1">
        <w:r>
          <w:rPr>
            <w:rStyle w:val="Hyperlink"/>
            <w:rFonts w:asciiTheme="majorHAnsi" w:hAnsiTheme="majorHAnsi"/>
          </w:rPr>
          <w:t>Van Anraat împotriva Țărilor de Jos</w:t>
        </w:r>
      </w:hyperlink>
      <w:r>
        <w:rPr>
          <w:rFonts w:asciiTheme="majorHAnsi" w:hAnsiTheme="majorHAnsi"/>
        </w:rPr>
        <w:t xml:space="preserve"> (dec.), 2006, pct. 86-97].</w:t>
      </w:r>
    </w:p>
    <w:p w14:paraId="3A9C110E" w14:textId="77777777" w:rsidR="006B54D5" w:rsidRPr="006B7E09" w:rsidRDefault="007F4837" w:rsidP="0074790E">
      <w:pPr>
        <w:pStyle w:val="ECHRHeading3"/>
      </w:pPr>
      <w:bookmarkStart w:id="36" w:name="_Toc162517962"/>
      <w:r>
        <w:t>Interpretarea judiciară: clarificarea normelor juridice</w:t>
      </w:r>
      <w:bookmarkEnd w:id="36"/>
    </w:p>
    <w:p w14:paraId="10470EC5" w14:textId="5B39A4DB" w:rsidR="001A3566" w:rsidRPr="006B7E09" w:rsidRDefault="007A24D2" w:rsidP="006F7F89">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35</w:t>
      </w:r>
      <w:r w:rsidRPr="006B7E09">
        <w:rPr>
          <w:rFonts w:asciiTheme="majorHAnsi" w:hAnsiTheme="majorHAnsi"/>
        </w:rPr>
        <w:fldChar w:fldCharType="end"/>
      </w:r>
      <w:r>
        <w:rPr>
          <w:rFonts w:asciiTheme="majorHAnsi" w:hAnsiTheme="majorHAnsi"/>
        </w:rPr>
        <w:t xml:space="preserve">.  În orice sistem juridic, oricât de clar ar fi formulată o dispoziție legală, în mod inevitabil există un element de interpretare judiciară.  </w:t>
      </w:r>
      <w:r>
        <w:t>Rolul de a judeca acordat instanțelor servește tocmai să îndepărteze asemenea îndoieli privind interpretarea care se mențin [</w:t>
      </w:r>
      <w:hyperlink r:id="rId365" w:history="1">
        <w:hyperlink r:id="rId366" w:history="1">
          <w:hyperlink r:id="rId367" w:history="1">
            <w:r>
              <w:rPr>
                <w:rStyle w:val="Hyperlink"/>
                <w:rFonts w:asciiTheme="majorHAnsi" w:hAnsiTheme="majorHAnsi"/>
              </w:rPr>
              <w:t>Kafkaris împotriva Cipr</w:t>
            </w:r>
          </w:hyperlink>
          <w:r>
            <w:t>ului</w:t>
          </w:r>
        </w:hyperlink>
      </w:hyperlink>
      <w:r>
        <w:rPr>
          <w:rFonts w:asciiTheme="majorHAnsi" w:hAnsiTheme="majorHAnsi"/>
        </w:rPr>
        <w:t xml:space="preserve"> (MC), 2008, pct. 141]. Evoluția progresivă a dreptului penal prin legiferarea judiciară este o parte bine stabilită și necesară a tradiției juridice a statelor părți la Convenție. </w:t>
      </w:r>
      <w:r>
        <w:t>Art. 7 din Convenție nu poate fi interpretat ca interzicând clarificarea progresivă a normelor privind răspunderea penală prin interpretarea judiciară a fiecărei cauze în parte, cu condiția ca rezultatul să fie concordant cu substanța infracțiunii și previzibil în mod rezonabil [</w:t>
      </w:r>
      <w:hyperlink r:id="rId368" w:history="1">
        <w:r>
          <w:rPr>
            <w:rStyle w:val="Hyperlink"/>
            <w:rFonts w:asciiTheme="majorHAnsi" w:hAnsiTheme="majorHAnsi"/>
          </w:rPr>
          <w:t>S.W. împotriva Regatului Unit</w:t>
        </w:r>
      </w:hyperlink>
      <w:r>
        <w:rPr>
          <w:rFonts w:asciiTheme="majorHAnsi" w:hAnsiTheme="majorHAnsi"/>
        </w:rPr>
        <w:t xml:space="preserve">, 1995, pct. 36; </w:t>
      </w:r>
      <w:hyperlink r:id="rId369" w:history="1">
        <w:hyperlink r:id="rId370" w:history="1">
          <w:r>
            <w:rPr>
              <w:rStyle w:val="Hyperlink"/>
              <w:rFonts w:asciiTheme="majorHAnsi" w:hAnsiTheme="majorHAnsi"/>
            </w:rPr>
            <w:t>Streletz, Kessler și Krenz împotriva Germaniei</w:t>
          </w:r>
        </w:hyperlink>
      </w:hyperlink>
      <w:r>
        <w:rPr>
          <w:rFonts w:asciiTheme="majorHAnsi" w:hAnsiTheme="majorHAnsi"/>
        </w:rPr>
        <w:t xml:space="preserve"> (MC), 2001, pct. 50; </w:t>
      </w:r>
      <w:hyperlink r:id="rId371" w:history="1">
        <w:hyperlink r:id="rId372" w:history="1">
          <w:hyperlink r:id="rId373" w:history="1">
            <w:r>
              <w:rPr>
                <w:rStyle w:val="Hyperlink"/>
                <w:rFonts w:asciiTheme="majorHAnsi" w:hAnsiTheme="majorHAnsi"/>
              </w:rPr>
              <w:t xml:space="preserve"> Kononov împotriva Letoniei</w:t>
            </w:r>
          </w:hyperlink>
        </w:hyperlink>
      </w:hyperlink>
      <w:r>
        <w:rPr>
          <w:rFonts w:asciiTheme="majorHAnsi" w:hAnsiTheme="majorHAnsi"/>
        </w:rPr>
        <w:t xml:space="preserve"> (MC), 2010, pct. 185; </w:t>
      </w:r>
      <w:hyperlink r:id="rId374" w:history="1">
        <w:r>
          <w:rPr>
            <w:rStyle w:val="Hyperlink"/>
            <w:rFonts w:asciiTheme="majorHAnsi" w:hAnsiTheme="majorHAnsi"/>
          </w:rPr>
          <w:t>Norman împotriva Regatului Unit</w:t>
        </w:r>
      </w:hyperlink>
      <w:r>
        <w:rPr>
          <w:rFonts w:asciiTheme="majorHAnsi" w:hAnsiTheme="majorHAnsi"/>
        </w:rPr>
        <w:t xml:space="preserve">, 2021, pct. 60 și 66]. </w:t>
      </w:r>
      <w:r>
        <w:t>Curtea a hotărât</w:t>
      </w:r>
      <w:r>
        <w:rPr>
          <w:rFonts w:asciiTheme="majorHAnsi" w:hAnsiTheme="majorHAnsi"/>
        </w:rPr>
        <w:t xml:space="preserve"> că aceasta se aplică și dezvoltării legislației naționale, precum și celei internaționale </w:t>
      </w:r>
      <w:bookmarkStart w:id="37" w:name="_Hlk101885908"/>
      <w:r>
        <w:rPr>
          <w:rFonts w:asciiTheme="majorHAnsi" w:hAnsiTheme="majorHAnsi"/>
        </w:rPr>
        <w:t>(</w:t>
      </w:r>
      <w:hyperlink r:id="rId375" w:history="1">
        <w:r>
          <w:rPr>
            <w:rStyle w:val="Hyperlink"/>
          </w:rPr>
          <w:t>Milanković împotriva Croației</w:t>
        </w:r>
      </w:hyperlink>
      <w:r>
        <w:t>, 2022, pct. 59)</w:t>
      </w:r>
      <w:bookmarkEnd w:id="37"/>
      <w:r>
        <w:t>.</w:t>
      </w:r>
    </w:p>
    <w:p w14:paraId="110E5663" w14:textId="064A3C97" w:rsidR="00947122" w:rsidRPr="006B7E09" w:rsidRDefault="001A3566" w:rsidP="006F7F89">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36</w:t>
      </w:r>
      <w:r w:rsidRPr="006B7E09">
        <w:rPr>
          <w:rFonts w:asciiTheme="majorHAnsi" w:hAnsiTheme="majorHAnsi"/>
        </w:rPr>
        <w:fldChar w:fldCharType="end"/>
      </w:r>
      <w:r>
        <w:rPr>
          <w:rFonts w:asciiTheme="majorHAnsi" w:hAnsiTheme="majorHAnsi"/>
        </w:rPr>
        <w:t>.  </w:t>
      </w:r>
      <w:r>
        <w:t>Previzibilitatea interpretării judiciare privește, în mod egal, elementele constitutive ale infracțiunii</w:t>
      </w:r>
      <w:r>
        <w:rPr>
          <w:rFonts w:asciiTheme="majorHAnsi" w:hAnsiTheme="majorHAnsi"/>
        </w:rPr>
        <w:t xml:space="preserve"> (</w:t>
      </w:r>
      <w:hyperlink r:id="rId376" w:history="1">
        <w:hyperlink r:id="rId377" w:history="1">
          <w:r>
            <w:rPr>
              <w:rStyle w:val="Hyperlink"/>
              <w:rFonts w:asciiTheme="majorHAnsi" w:hAnsiTheme="majorHAnsi"/>
            </w:rPr>
            <w:t>Pessino împotriva Franței</w:t>
          </w:r>
        </w:hyperlink>
      </w:hyperlink>
      <w:r>
        <w:rPr>
          <w:rFonts w:asciiTheme="majorHAnsi" w:hAnsiTheme="majorHAnsi"/>
        </w:rPr>
        <w:t xml:space="preserve">, 2006, pct. 35-36; </w:t>
      </w:r>
      <w:hyperlink r:id="rId378" w:history="1">
        <w:hyperlink r:id="rId379" w:history="1">
          <w:r>
            <w:rPr>
              <w:rStyle w:val="Hyperlink"/>
              <w:rFonts w:asciiTheme="majorHAnsi" w:hAnsiTheme="majorHAnsi"/>
            </w:rPr>
            <w:t>Dragotoniu  Dragotoniu și Militaru-Pidhorni împotriva României</w:t>
          </w:r>
        </w:hyperlink>
      </w:hyperlink>
      <w:r>
        <w:rPr>
          <w:rFonts w:asciiTheme="majorHAnsi" w:hAnsiTheme="majorHAnsi"/>
        </w:rPr>
        <w:t>,</w:t>
      </w:r>
      <w:bookmarkStart w:id="38" w:name="_Hlk153891920"/>
      <w:r>
        <w:rPr>
          <w:rFonts w:asciiTheme="majorHAnsi" w:hAnsiTheme="majorHAnsi"/>
        </w:rPr>
        <w:t xml:space="preserve"> 2007, </w:t>
      </w:r>
      <w:bookmarkEnd w:id="38"/>
      <w:r>
        <w:rPr>
          <w:rFonts w:asciiTheme="majorHAnsi" w:hAnsiTheme="majorHAnsi"/>
        </w:rPr>
        <w:t xml:space="preserve">pct. 43-47; și </w:t>
      </w:r>
      <w:hyperlink r:id="rId380" w:history="1">
        <w:r>
          <w:rPr>
            <w:rStyle w:val="Hyperlink"/>
            <w:rFonts w:asciiTheme="majorHAnsi" w:hAnsiTheme="majorHAnsi"/>
          </w:rPr>
          <w:t>Dallas împotriva Regatului Unit</w:t>
        </w:r>
      </w:hyperlink>
      <w:r>
        <w:t xml:space="preserve">, 2016, </w:t>
      </w:r>
      <w:r>
        <w:rPr>
          <w:rFonts w:asciiTheme="majorHAnsi" w:hAnsiTheme="majorHAnsi"/>
        </w:rPr>
        <w:t>pct. 72-77) și pedeapsa aplicabilă [</w:t>
      </w:r>
      <w:hyperlink r:id="rId381" w:history="1">
        <w:r>
          <w:rPr>
            <w:rStyle w:val="Hyperlink"/>
            <w:rFonts w:asciiTheme="majorHAnsi" w:hAnsiTheme="majorHAnsi"/>
          </w:rPr>
          <w:t>Alimuçaj împotriva Albaniei</w:t>
        </w:r>
      </w:hyperlink>
      <w:r>
        <w:rPr>
          <w:rFonts w:asciiTheme="majorHAnsi" w:hAnsiTheme="majorHAnsi"/>
        </w:rPr>
        <w:t xml:space="preserve">, 2012, pct. 154-162; </w:t>
      </w:r>
      <w:hyperlink r:id="rId382" w:history="1">
        <w:hyperlink r:id="rId383" w:history="1">
          <w:hyperlink r:id="rId384" w:history="1">
            <w:r>
              <w:rPr>
                <w:rStyle w:val="Hyperlink"/>
                <w:rFonts w:asciiTheme="majorHAnsi" w:hAnsiTheme="majorHAnsi"/>
              </w:rPr>
              <w:t>Del Río Prada împotriva Spaniei</w:t>
            </w:r>
          </w:hyperlink>
        </w:hyperlink>
      </w:hyperlink>
      <w:r>
        <w:rPr>
          <w:rFonts w:asciiTheme="majorHAnsi" w:hAnsiTheme="majorHAnsi"/>
        </w:rPr>
        <w:t xml:space="preserve"> (MC), 2013, pct. 111-117]. </w:t>
      </w:r>
      <w:r>
        <w:t xml:space="preserve">Atunci când Curtea concluzionează că lipsește previzibilitatea unei condamnări/infracțiuni, aceasta nu va mai examina dacă sancțiunea aplicată era în sine prevăzută de lege în sensul art. 7 </w:t>
      </w:r>
      <w:r>
        <w:rPr>
          <w:rFonts w:asciiTheme="majorHAnsi" w:hAnsiTheme="majorHAnsi"/>
        </w:rPr>
        <w:t>(</w:t>
      </w:r>
      <w:hyperlink r:id="rId385" w:history="1">
        <w:hyperlink r:id="rId386" w:history="1">
          <w:r>
            <w:rPr>
              <w:rStyle w:val="Hyperlink"/>
              <w:rFonts w:asciiTheme="majorHAnsi" w:hAnsiTheme="majorHAnsi"/>
            </w:rPr>
            <w:t>Plechkov împotriva României</w:t>
          </w:r>
        </w:hyperlink>
      </w:hyperlink>
      <w:r>
        <w:rPr>
          <w:rFonts w:asciiTheme="majorHAnsi" w:hAnsiTheme="majorHAnsi"/>
        </w:rPr>
        <w:t xml:space="preserve">, 2014, pct. 75). </w:t>
      </w:r>
      <w:r>
        <w:t xml:space="preserve">Interpretarea aspectelor strict procedurale nu are nicio incidență asupra previzibilității infracțiunii și nu ridică, astfel, nicio problemă din perspectiva art. 7 </w:t>
      </w:r>
      <w:r>
        <w:rPr>
          <w:rFonts w:asciiTheme="majorHAnsi" w:hAnsiTheme="majorHAnsi"/>
        </w:rPr>
        <w:t>(</w:t>
      </w:r>
      <w:hyperlink r:id="rId387" w:history="1">
        <w:hyperlink r:id="rId388" w:history="1">
          <w:r>
            <w:rPr>
              <w:rStyle w:val="Hyperlink"/>
              <w:rFonts w:asciiTheme="majorHAnsi" w:hAnsiTheme="majorHAnsi"/>
            </w:rPr>
            <w:t>Khodorkovskiy și Lebedev împotriva Rusiei</w:t>
          </w:r>
        </w:hyperlink>
      </w:hyperlink>
      <w:r>
        <w:rPr>
          <w:rFonts w:asciiTheme="majorHAnsi" w:hAnsiTheme="majorHAnsi"/>
        </w:rPr>
        <w:t>, 2013, pct. 788-790, privitor la o pretinsă piedică procedurală în calea acuzării).</w:t>
      </w:r>
    </w:p>
    <w:p w14:paraId="6E14DDFE" w14:textId="0EA94BE0" w:rsidR="00947122" w:rsidRPr="006B7E09" w:rsidRDefault="00947122" w:rsidP="006F7F89">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37</w:t>
      </w:r>
      <w:r w:rsidRPr="006B7E09">
        <w:rPr>
          <w:rFonts w:asciiTheme="majorHAnsi" w:hAnsiTheme="majorHAnsi"/>
        </w:rPr>
        <w:fldChar w:fldCharType="end"/>
      </w:r>
      <w:r>
        <w:rPr>
          <w:rFonts w:asciiTheme="majorHAnsi" w:hAnsiTheme="majorHAnsi"/>
        </w:rPr>
        <w:t>.  </w:t>
      </w:r>
      <w:r>
        <w:t>În ceea ce privește compatibilitatea interpretării judiciare dată de instanțele interne cu substanța infracțiunii, Curtea trebuie să verifice dacă interpretarea era în conformitate cu textul dispoziției din legea penală în cauză citită în contextul său și dacă interpretarea nu era nerezonabilă (a se vedea, printre multe altele</w:t>
      </w:r>
      <w:r>
        <w:rPr>
          <w:rFonts w:asciiTheme="majorHAnsi" w:hAnsiTheme="majorHAnsi"/>
        </w:rPr>
        <w:t xml:space="preserve">, </w:t>
      </w:r>
      <w:hyperlink r:id="rId389" w:history="1">
        <w:hyperlink r:id="rId390" w:history="1">
          <w:r>
            <w:rPr>
              <w:rStyle w:val="Hyperlink"/>
              <w:rFonts w:asciiTheme="majorHAnsi" w:hAnsiTheme="majorHAnsi"/>
            </w:rPr>
            <w:t>Jorgic împotriva Germaniei</w:t>
          </w:r>
        </w:hyperlink>
      </w:hyperlink>
      <w:r>
        <w:rPr>
          <w:rFonts w:asciiTheme="majorHAnsi" w:hAnsiTheme="majorHAnsi"/>
        </w:rPr>
        <w:t xml:space="preserve">, 2007, pct. 104-108, în ceea ce privește infracțiunea de genocid). </w:t>
      </w:r>
      <w:r>
        <w:t>Curtea a subliniat, de asemenea,</w:t>
      </w:r>
      <w:r>
        <w:rPr>
          <w:rFonts w:asciiTheme="majorHAnsi" w:hAnsiTheme="majorHAnsi"/>
        </w:rPr>
        <w:t xml:space="preserve"> că acest fapt nu este exclus din sfera de aplicare a legii penale pur și simplu deoarece constituie și o abatere disciplinară (</w:t>
      </w:r>
      <w:hyperlink r:id="rId391" w:history="1">
        <w:r>
          <w:rPr>
            <w:rStyle w:val="Hyperlink"/>
            <w:rFonts w:asciiTheme="majorHAnsi" w:hAnsiTheme="majorHAnsi"/>
          </w:rPr>
          <w:t>Norman împotriva Regatului Unit</w:t>
        </w:r>
      </w:hyperlink>
      <w:r>
        <w:rPr>
          <w:rFonts w:asciiTheme="majorHAnsi" w:hAnsiTheme="majorHAnsi"/>
        </w:rPr>
        <w:t>, 2021, pct. 68).</w:t>
      </w:r>
    </w:p>
    <w:p w14:paraId="319544CC" w14:textId="6D3F5184" w:rsidR="00F808CB" w:rsidRPr="006B7E09" w:rsidRDefault="00747E9D" w:rsidP="002E5DCA">
      <w:pPr>
        <w:pStyle w:val="ECHRParaSpaced"/>
        <w:rPr>
          <w:rFonts w:cs="Arial"/>
          <w:bCs/>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38</w:t>
      </w:r>
      <w:r w:rsidRPr="006B7E09">
        <w:rPr>
          <w:rFonts w:asciiTheme="majorHAnsi" w:hAnsiTheme="majorHAnsi"/>
        </w:rPr>
        <w:fldChar w:fldCharType="end"/>
      </w:r>
      <w:r>
        <w:rPr>
          <w:rFonts w:asciiTheme="majorHAnsi" w:hAnsiTheme="majorHAnsi"/>
        </w:rPr>
        <w:t>.  </w:t>
      </w:r>
      <w:r>
        <w:t xml:space="preserve">În ceea ce privește le caracterul previzibil în mod rezonabil al interpretării judiciare, Curtea trebuie să examineze dacă reclamantul putea prevedea în mod rezonabil la momentul faptelor, la nevoie cu ajutorul unui avocat, că risca să fie acuzat și condamnat pentru infracțiunea în cauză </w:t>
      </w:r>
      <w:r>
        <w:rPr>
          <w:rFonts w:asciiTheme="majorHAnsi" w:hAnsiTheme="majorHAnsi"/>
        </w:rPr>
        <w:t>(</w:t>
      </w:r>
      <w:hyperlink r:id="rId392" w:history="1">
        <w:hyperlink r:id="rId393" w:history="1">
          <w:r>
            <w:rPr>
              <w:rStyle w:val="Hyperlink"/>
              <w:rFonts w:asciiTheme="majorHAnsi" w:hAnsiTheme="majorHAnsi"/>
            </w:rPr>
            <w:t>Jorgic împotriva Germaniei</w:t>
          </w:r>
        </w:hyperlink>
      </w:hyperlink>
      <w:r>
        <w:rPr>
          <w:rFonts w:asciiTheme="majorHAnsi" w:hAnsiTheme="majorHAnsi"/>
        </w:rPr>
        <w:t xml:space="preserve">, 2007, pct. 109-113) și să i se aplice pedeapsa pentru această </w:t>
      </w:r>
      <w:r w:rsidR="00EC44D0">
        <w:rPr>
          <w:rFonts w:asciiTheme="majorHAnsi" w:hAnsiTheme="majorHAnsi"/>
        </w:rPr>
        <w:t>infracțiune</w:t>
      </w:r>
      <w:r>
        <w:rPr>
          <w:rFonts w:asciiTheme="majorHAnsi" w:hAnsiTheme="majorHAnsi"/>
        </w:rPr>
        <w:t xml:space="preserve">. </w:t>
      </w:r>
      <w:r>
        <w:t xml:space="preserve">Curtea trebuie să verifice, în special, dacă interpretarea judiciară a legii penale se limitează la a urma o tendință vizibilă în evoluția jurisprudenței </w:t>
      </w:r>
      <w:r>
        <w:rPr>
          <w:rFonts w:asciiTheme="majorHAnsi" w:hAnsiTheme="majorHAnsi"/>
        </w:rPr>
        <w:t>(</w:t>
      </w:r>
      <w:hyperlink r:id="rId394" w:history="1">
        <w:r>
          <w:rPr>
            <w:rStyle w:val="Hyperlink"/>
            <w:rFonts w:asciiTheme="majorHAnsi" w:hAnsiTheme="majorHAnsi"/>
          </w:rPr>
          <w:t>S.W. împotriva Regatului Unit</w:t>
        </w:r>
      </w:hyperlink>
      <w:r>
        <w:rPr>
          <w:rStyle w:val="Hyperlink"/>
          <w:rFonts w:asciiTheme="majorHAnsi" w:hAnsiTheme="majorHAnsi"/>
        </w:rPr>
        <w:t>,</w:t>
      </w:r>
      <w:r>
        <w:rPr>
          <w:rFonts w:asciiTheme="majorHAnsi" w:hAnsiTheme="majorHAnsi"/>
        </w:rPr>
        <w:t xml:space="preserve"> 1995 și </w:t>
      </w:r>
      <w:hyperlink r:id="rId395" w:history="1">
        <w:r>
          <w:rPr>
            <w:rStyle w:val="Hyperlink"/>
            <w:rFonts w:asciiTheme="majorHAnsi" w:hAnsiTheme="majorHAnsi"/>
          </w:rPr>
          <w:t>C.R. împotriva Regatului Unit</w:t>
        </w:r>
      </w:hyperlink>
      <w:r>
        <w:rPr>
          <w:rFonts w:asciiTheme="majorHAnsi" w:hAnsiTheme="majorHAnsi"/>
        </w:rPr>
        <w:t>, 1995, în ceea ce privește un viol și o tentativă de viol a doi bărbați asupra soțiilor lor, în care Curtea a reținut că natura înjositoare în esență a violului era atât de evidentă încât încadrarea penală dată de instanțele britanice trebuia să fie calificată drept previzibilă și conformă cu obiectivele fundamentale ale Convenției, „a cărei esență însăși este respectarea demnității și a libertății umane“) sau dacă instanțele au adoptat o nouă abordare pe care reclamantul nu putea să o prevadă (</w:t>
      </w:r>
      <w:hyperlink r:id="rId396" w:history="1">
        <w:hyperlink r:id="rId397" w:history="1">
          <w:r>
            <w:rPr>
              <w:rStyle w:val="Hyperlink"/>
              <w:rFonts w:asciiTheme="majorHAnsi" w:hAnsiTheme="majorHAnsi"/>
            </w:rPr>
            <w:t>Pessino împotriva Franței</w:t>
          </w:r>
        </w:hyperlink>
      </w:hyperlink>
      <w:r>
        <w:rPr>
          <w:rFonts w:asciiTheme="majorHAnsi" w:hAnsiTheme="majorHAnsi"/>
        </w:rPr>
        <w:t xml:space="preserve">, 2006, pct. 36; </w:t>
      </w:r>
      <w:hyperlink r:id="rId398" w:history="1">
        <w:hyperlink r:id="rId399" w:history="1">
          <w:r>
            <w:rPr>
              <w:rStyle w:val="Hyperlink"/>
              <w:rFonts w:asciiTheme="majorHAnsi" w:hAnsiTheme="majorHAnsi"/>
            </w:rPr>
            <w:t xml:space="preserve"> Dragotoniu și Militaru- Pidhorni împotriva României</w:t>
          </w:r>
        </w:hyperlink>
      </w:hyperlink>
      <w:r>
        <w:rPr>
          <w:rFonts w:asciiTheme="majorHAnsi" w:hAnsiTheme="majorHAnsi"/>
        </w:rPr>
        <w:t xml:space="preserve">, 2007, pct. 44; </w:t>
      </w:r>
      <w:hyperlink r:id="rId400" w:history="1">
        <w:hyperlink r:id="rId401" w:history="1">
          <w:r>
            <w:rPr>
              <w:rStyle w:val="Hyperlink"/>
              <w:rFonts w:asciiTheme="majorHAnsi" w:hAnsiTheme="majorHAnsi"/>
            </w:rPr>
            <w:t>Del Río Prada împotriva Spaniei</w:t>
          </w:r>
        </w:hyperlink>
      </w:hyperlink>
      <w:r>
        <w:rPr>
          <w:rFonts w:asciiTheme="majorHAnsi" w:hAnsiTheme="majorHAnsi"/>
        </w:rPr>
        <w:t>, pct. 111-117; a se vedea, a contrario,</w:t>
      </w:r>
      <w:r>
        <w:rPr>
          <w:i/>
        </w:rPr>
        <w:t xml:space="preserve"> </w:t>
      </w:r>
      <w:hyperlink r:id="rId402" w:history="1">
        <w:r>
          <w:rPr>
            <w:rStyle w:val="Hyperlink"/>
          </w:rPr>
          <w:t>Arrozpide Sarasola și alții împotriva Spaniei</w:t>
        </w:r>
      </w:hyperlink>
      <w:r>
        <w:t>, 2018, pct. 124-130, care a avut ca obiect o hotărâre izolată nesprijinită de nicio jurisprudență care putea să fi inspirat așteptări legitime reclamanților, urmată după câteva luni de o hotărâre de referință a plenului Curții Supreme de stabilire a problemei în litigiu)</w:t>
      </w:r>
      <w:r>
        <w:rPr>
          <w:rFonts w:asciiTheme="majorHAnsi" w:hAnsiTheme="majorHAnsi"/>
        </w:rPr>
        <w:t xml:space="preserve">. </w:t>
      </w:r>
      <w:r>
        <w:t xml:space="preserve">Pentru a evalua previzibilitatea unei </w:t>
      </w:r>
      <w:r>
        <w:lastRenderedPageBreak/>
        <w:t>interpretări judiciare, nu trebuie să se acorde o importanță determinantă absenței unor precedente comparabile</w:t>
      </w:r>
      <w:r>
        <w:rPr>
          <w:rFonts w:asciiTheme="majorHAnsi" w:hAnsiTheme="majorHAnsi"/>
        </w:rPr>
        <w:t xml:space="preserve"> (</w:t>
      </w:r>
      <w:hyperlink r:id="rId403" w:history="1">
        <w:hyperlink r:id="rId404" w:history="1">
          <w:r>
            <w:rPr>
              <w:rStyle w:val="Hyperlink"/>
              <w:rFonts w:asciiTheme="majorHAnsi" w:hAnsiTheme="majorHAnsi"/>
            </w:rPr>
            <w:t>K.A. și A.D.  împotriva Belgiei</w:t>
          </w:r>
        </w:hyperlink>
      </w:hyperlink>
      <w:r>
        <w:rPr>
          <w:rFonts w:asciiTheme="majorHAnsi" w:hAnsiTheme="majorHAnsi"/>
        </w:rPr>
        <w:t>, 2005, pct. 55</w:t>
      </w:r>
      <w:r>
        <w:rPr>
          <w:rFonts w:asciiTheme="majorHAnsi" w:hAnsiTheme="majorHAnsi"/>
        </w:rPr>
        <w:noBreakHyphen/>
        <w:t xml:space="preserve">58, privind anumite practici sadomasochiste care au dus la o condamnare pentru loviri sau alte violențe, și a căror violență neobișnuită a fost subliniată de către Curte; a se vedea, de asemenea, </w:t>
      </w:r>
      <w:hyperlink r:id="rId405" w:history="1">
        <w:hyperlink r:id="rId406" w:history="1">
          <w:r>
            <w:rPr>
              <w:rStyle w:val="Hyperlink"/>
              <w:rFonts w:asciiTheme="majorHAnsi" w:hAnsiTheme="majorHAnsi"/>
            </w:rPr>
            <w:t>Soros împotriva Franței</w:t>
          </w:r>
        </w:hyperlink>
      </w:hyperlink>
      <w:r>
        <w:rPr>
          <w:rFonts w:asciiTheme="majorHAnsi" w:hAnsiTheme="majorHAnsi"/>
        </w:rPr>
        <w:t>, 2011, pct. 58). Atunci când instanțele interne sunt chemate să interpreteze pentru prima dată o dispoziție de legislație penală, interpretarea domeniului de aplicare al infracțiunii care a fost conformă cu esența acestei infracțiuni trebuie, de regulă, să fie considerată ca previzibilă (</w:t>
      </w:r>
      <w:hyperlink r:id="rId407" w:history="1">
        <w:hyperlink r:id="rId408" w:history="1">
          <w:r>
            <w:rPr>
              <w:rStyle w:val="Hyperlink"/>
              <w:rFonts w:asciiTheme="majorHAnsi" w:hAnsiTheme="majorHAnsi"/>
            </w:rPr>
            <w:t>Jorgic împotriva Germaniei</w:t>
          </w:r>
        </w:hyperlink>
      </w:hyperlink>
      <w:r>
        <w:rPr>
          <w:rFonts w:asciiTheme="majorHAnsi" w:hAnsiTheme="majorHAnsi"/>
        </w:rPr>
        <w:t>, 2007, pct. 109, în care reclamantul era prima persoană care urma să fie condamnată pentru genocid în temeiul unei dispoziții din Codul penal</w:t>
      </w:r>
      <w:r>
        <w:t>)</w:t>
      </w:r>
      <w:r>
        <w:rPr>
          <w:rFonts w:asciiTheme="majorHAnsi" w:hAnsiTheme="majorHAnsi"/>
        </w:rPr>
        <w:t xml:space="preserve">. </w:t>
      </w:r>
      <w:r>
        <w:t>Chiar o interpretare nouă a domeniului de aplicare al unei infracțiuni existente poate fi previzibilă în mod rezonabil în lumina art. 7, cu condiția ca aceasta să fie rezonabilă din perspectiva dreptului intern și concordantă cu substanța infracțiunii (a se vedea, pentru o interpretare nouă a noțiunii de fraudă fiscală</w:t>
      </w:r>
      <w:r>
        <w:rPr>
          <w:rFonts w:asciiTheme="majorHAnsi" w:hAnsiTheme="majorHAnsi"/>
        </w:rPr>
        <w:t xml:space="preserve">, </w:t>
      </w:r>
      <w:hyperlink r:id="rId409" w:history="1">
        <w:hyperlink r:id="rId410" w:history="1">
          <w:r>
            <w:rPr>
              <w:rStyle w:val="Hyperlink"/>
              <w:rFonts w:asciiTheme="majorHAnsi" w:hAnsiTheme="majorHAnsi"/>
            </w:rPr>
            <w:t>Khodorkovskiy și Lebedev împotriva Rusiei</w:t>
          </w:r>
        </w:hyperlink>
      </w:hyperlink>
      <w:r>
        <w:rPr>
          <w:rFonts w:asciiTheme="majorHAnsi" w:hAnsiTheme="majorHAnsi"/>
        </w:rPr>
        <w:t xml:space="preserve">, 2013, pct. 791-821, în care Curtea a reținut că legislația fiscală penală poate fi suficient de flexibilă pentru a se adapta la situații noi fără să devină însă imprevizibilă). </w:t>
      </w:r>
      <w:r>
        <w:t>În orice caz, trebuie ca instanțele interne să manifeste o deosebită diligență pentru a clarifica elementele unei infracțiuni astfel încât să o facă accesibilă și compatibilă cu substanța sa (</w:t>
      </w:r>
      <w:hyperlink r:id="rId411" w:history="1">
        <w:r>
          <w:rPr>
            <w:rStyle w:val="Hyperlink"/>
            <w:rFonts w:asciiTheme="majorHAnsi" w:hAnsiTheme="majorHAnsi"/>
          </w:rPr>
          <w:t>Parmak și Bakir împotriva Turciei</w:t>
        </w:r>
      </w:hyperlink>
      <w:r>
        <w:rPr>
          <w:rFonts w:asciiTheme="majorHAnsi" w:hAnsiTheme="majorHAnsi"/>
        </w:rPr>
        <w:t>, 2019, pct. 77).</w:t>
      </w:r>
    </w:p>
    <w:p w14:paraId="467D12C3" w14:textId="1264D1B9" w:rsidR="00396429" w:rsidRPr="006B7E09" w:rsidRDefault="00AE6388" w:rsidP="006F7F89">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39</w:t>
      </w:r>
      <w:r w:rsidRPr="006B7E09">
        <w:rPr>
          <w:rFonts w:asciiTheme="majorHAnsi" w:hAnsiTheme="majorHAnsi"/>
        </w:rPr>
        <w:fldChar w:fldCharType="end"/>
      </w:r>
      <w:r>
        <w:rPr>
          <w:rFonts w:asciiTheme="majorHAnsi" w:hAnsiTheme="majorHAnsi"/>
        </w:rPr>
        <w:t>.  </w:t>
      </w:r>
      <w:r>
        <w:t>Deși Curtea poate da atenție interpretării doctrinale a legii din perioada relevantă, mai cu seamă atunci când aceasta merge în sensul interpretării judiciare</w:t>
      </w:r>
      <w:r>
        <w:rPr>
          <w:rFonts w:asciiTheme="majorHAnsi" w:hAnsiTheme="majorHAnsi"/>
        </w:rPr>
        <w:t xml:space="preserve"> (</w:t>
      </w:r>
      <w:hyperlink r:id="rId412" w:history="1">
        <w:hyperlink r:id="rId413" w:history="1">
          <w:r>
            <w:rPr>
              <w:rStyle w:val="Hyperlink"/>
              <w:rFonts w:asciiTheme="majorHAnsi" w:hAnsiTheme="majorHAnsi"/>
            </w:rPr>
            <w:t>K.A. și A.D. împotriva Belgiei</w:t>
          </w:r>
        </w:hyperlink>
      </w:hyperlink>
      <w:r>
        <w:rPr>
          <w:rFonts w:asciiTheme="majorHAnsi" w:hAnsiTheme="majorHAnsi"/>
        </w:rPr>
        <w:t xml:space="preserve">, 2005, pct. 59; </w:t>
      </w:r>
      <w:hyperlink r:id="rId414" w:history="1">
        <w:r>
          <w:rPr>
            <w:rStyle w:val="Hyperlink"/>
            <w:rFonts w:asciiTheme="majorHAnsi" w:hAnsiTheme="majorHAnsi"/>
          </w:rPr>
          <w:t>Alimuçaj împotriva Albaniei</w:t>
        </w:r>
      </w:hyperlink>
      <w:r>
        <w:rPr>
          <w:rFonts w:asciiTheme="majorHAnsi" w:hAnsiTheme="majorHAnsi"/>
        </w:rPr>
        <w:t>, 2012, pct. 158-160), faptul că doctrina interpretează liber un text de lege nu poate înlocui existența jurisprudenței (</w:t>
      </w:r>
      <w:hyperlink r:id="rId415" w:history="1">
        <w:hyperlink r:id="rId416" w:history="1">
          <w:r>
            <w:rPr>
              <w:rStyle w:val="Hyperlink"/>
              <w:rFonts w:asciiTheme="majorHAnsi" w:hAnsiTheme="majorHAnsi"/>
            </w:rPr>
            <w:t>Dragotoniu și Militaru-Pidhorni împotriva României</w:t>
          </w:r>
        </w:hyperlink>
      </w:hyperlink>
      <w:r>
        <w:rPr>
          <w:rFonts w:asciiTheme="majorHAnsi" w:hAnsiTheme="majorHAnsi"/>
        </w:rPr>
        <w:t xml:space="preserve">, 2007, pct. 26 și 43; </w:t>
      </w:r>
      <w:hyperlink r:id="rId417" w:history="1">
        <w:r>
          <w:rPr>
            <w:rStyle w:val="Hyperlink"/>
            <w:rFonts w:asciiTheme="majorHAnsi" w:hAnsiTheme="majorHAnsi"/>
          </w:rPr>
          <w:t>Georgouleas și Nestoras împotriva Greciei</w:t>
        </w:r>
      </w:hyperlink>
      <w:r>
        <w:rPr>
          <w:rStyle w:val="Hyperlink"/>
          <w:rFonts w:asciiTheme="majorHAnsi" w:hAnsiTheme="majorHAnsi"/>
          <w:i w:val="0"/>
        </w:rPr>
        <w:t xml:space="preserve">, </w:t>
      </w:r>
      <w:r>
        <w:rPr>
          <w:rFonts w:asciiTheme="majorHAnsi" w:hAnsiTheme="majorHAnsi"/>
        </w:rPr>
        <w:t>2020, pct. 64).</w:t>
      </w:r>
    </w:p>
    <w:p w14:paraId="474595B6" w14:textId="10817F8E" w:rsidR="00676871" w:rsidRPr="006B7E09" w:rsidRDefault="00676871" w:rsidP="006F7F89">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40</w:t>
      </w:r>
      <w:r w:rsidRPr="006B7E09">
        <w:rPr>
          <w:rFonts w:asciiTheme="majorHAnsi" w:hAnsiTheme="majorHAnsi"/>
        </w:rPr>
        <w:fldChar w:fldCharType="end"/>
      </w:r>
      <w:r>
        <w:rPr>
          <w:rFonts w:asciiTheme="majorHAnsi" w:hAnsiTheme="majorHAnsi"/>
        </w:rPr>
        <w:t>.  </w:t>
      </w:r>
      <w:r>
        <w:t xml:space="preserve">Dacă, în anumite împrejurări, o îndelungată toleranță față de anumite comportamente, totuși pedepsibile în legea penală, poate duce la o dezincriminare </w:t>
      </w:r>
      <w:r>
        <w:rPr>
          <w:rStyle w:val="CLLItalic"/>
        </w:rPr>
        <w:t>de facto</w:t>
      </w:r>
      <w:r>
        <w:t xml:space="preserve"> a respectivului comportament în anumite cazuri, simplul fapt că alte persoane nu au fost urmărite penal sau condamnate nu poate să absolve reclamantul condamnat de răspunderea penală sau să facă imprevizibilă condamnarea sa din perspectiva art. 7</w:t>
      </w:r>
      <w:r>
        <w:rPr>
          <w:rFonts w:asciiTheme="majorHAnsi" w:hAnsiTheme="majorHAnsi"/>
        </w:rPr>
        <w:t xml:space="preserve"> (</w:t>
      </w:r>
      <w:hyperlink r:id="rId418" w:history="1">
        <w:hyperlink r:id="rId419" w:history="1">
          <w:r>
            <w:rPr>
              <w:rStyle w:val="Hyperlink"/>
              <w:rFonts w:asciiTheme="majorHAnsi" w:hAnsiTheme="majorHAnsi"/>
            </w:rPr>
            <w:t>Khodorkovskiy și Lebedev împotriva Rusiei</w:t>
          </w:r>
        </w:hyperlink>
      </w:hyperlink>
      <w:r>
        <w:rPr>
          <w:rFonts w:asciiTheme="majorHAnsi" w:hAnsiTheme="majorHAnsi"/>
        </w:rPr>
        <w:t>, 2013, pct. 816-820).</w:t>
      </w:r>
    </w:p>
    <w:p w14:paraId="538D3CE9" w14:textId="365CBE7C" w:rsidR="001A2885" w:rsidRPr="006B7E09" w:rsidRDefault="00D626FC" w:rsidP="006F7F89">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41</w:t>
      </w:r>
      <w:r w:rsidRPr="006B7E09">
        <w:rPr>
          <w:rFonts w:asciiTheme="majorHAnsi" w:hAnsiTheme="majorHAnsi"/>
        </w:rPr>
        <w:fldChar w:fldCharType="end"/>
      </w:r>
      <w:r>
        <w:rPr>
          <w:rFonts w:asciiTheme="majorHAnsi" w:hAnsiTheme="majorHAnsi"/>
        </w:rPr>
        <w:t>.  </w:t>
      </w:r>
      <w:r>
        <w:t xml:space="preserve">Atunci când instanțele interne interpretează dispoziții din legislația națională bazate pe dreptul internațional public, acestea trebuie să decidă cu privire la interpretarea de adoptat în dreptul intern, cu condiția ca interpretarea să fie concordantă cu substanța infracțiunii și previzibilă în mod rezonabil la momentul faptelor (a se vedea, de exemplu, noțiunea mai largă de genocid adoptată de instanțele germane și respinsă ulterior de alte instanțe internaționale, cum ar fi Curtea Internațională de Justiție, în </w:t>
      </w:r>
      <w:hyperlink r:id="rId420" w:history="1">
        <w:hyperlink r:id="rId421" w:history="1">
          <w:r>
            <w:rPr>
              <w:rStyle w:val="Hyperlink"/>
              <w:rFonts w:asciiTheme="majorHAnsi" w:hAnsiTheme="majorHAnsi"/>
            </w:rPr>
            <w:t>Jorgic împotriva Germaniei</w:t>
          </w:r>
        </w:hyperlink>
      </w:hyperlink>
      <w:r>
        <w:rPr>
          <w:rFonts w:asciiTheme="majorHAnsi" w:hAnsiTheme="majorHAnsi"/>
        </w:rPr>
        <w:t>, 2007, pct. 103</w:t>
      </w:r>
      <w:r>
        <w:rPr>
          <w:rFonts w:asciiTheme="majorHAnsi" w:hAnsiTheme="majorHAnsi"/>
        </w:rPr>
        <w:noBreakHyphen/>
        <w:t>116).</w:t>
      </w:r>
    </w:p>
    <w:p w14:paraId="6C668FA8" w14:textId="1A9313A4" w:rsidR="00313952" w:rsidRPr="006B7E09" w:rsidRDefault="00575CD1" w:rsidP="006F7F89">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42</w:t>
      </w:r>
      <w:r w:rsidRPr="006B7E09">
        <w:rPr>
          <w:rFonts w:asciiTheme="majorHAnsi" w:hAnsiTheme="majorHAnsi"/>
        </w:rPr>
        <w:fldChar w:fldCharType="end"/>
      </w:r>
      <w:r>
        <w:rPr>
          <w:rFonts w:asciiTheme="majorHAnsi" w:hAnsiTheme="majorHAnsi"/>
        </w:rPr>
        <w:t>.  </w:t>
      </w:r>
      <w:r>
        <w:t>Curtea a constatat că cerința previzibilității nu era îndeplinită în cazuri de interpretare extinsă a legii penale în defavoarea acuzatului (</w:t>
      </w:r>
      <w:r>
        <w:rPr>
          <w:rStyle w:val="CLLItalic"/>
        </w:rPr>
        <w:t>in malam partem</w:t>
      </w:r>
      <w:r>
        <w:t>), atât atunci când această interpretare rezultă dintr-o reluare imprevizibilă a jurisprudenței (</w:t>
      </w:r>
      <w:hyperlink r:id="rId422" w:history="1">
        <w:hyperlink r:id="rId423" w:history="1">
          <w:r>
            <w:rPr>
              <w:rStyle w:val="Hyperlink"/>
              <w:rFonts w:asciiTheme="majorHAnsi" w:hAnsiTheme="majorHAnsi"/>
            </w:rPr>
            <w:t>Dragotoniu şi Militaru-Pidhorni împotriva României</w:t>
          </w:r>
        </w:hyperlink>
      </w:hyperlink>
      <w:r>
        <w:rPr>
          <w:rFonts w:asciiTheme="majorHAnsi" w:hAnsiTheme="majorHAnsi"/>
        </w:rPr>
        <w:t xml:space="preserve">, 2007, pct. 39-48) sau constituie o interpretare prin analogie care este incompatibilă cu substanța infracțiunii [de exemplu, condamnarea pentru genocid în </w:t>
      </w:r>
      <w:hyperlink r:id="rId424" w:history="1">
        <w:hyperlink r:id="rId425" w:history="1">
          <w:r>
            <w:rPr>
              <w:rStyle w:val="Hyperlink"/>
              <w:rFonts w:asciiTheme="majorHAnsi" w:hAnsiTheme="majorHAnsi"/>
            </w:rPr>
            <w:t>Vasiliauskas împotriva Lituaniei</w:t>
          </w:r>
        </w:hyperlink>
      </w:hyperlink>
      <w:r>
        <w:rPr>
          <w:rFonts w:asciiTheme="majorHAnsi" w:hAnsiTheme="majorHAnsi"/>
        </w:rPr>
        <w:t xml:space="preserve"> (MC), 2015, pct. 179</w:t>
      </w:r>
      <w:r>
        <w:rPr>
          <w:rFonts w:asciiTheme="majorHAnsi" w:hAnsiTheme="majorHAnsi"/>
        </w:rPr>
        <w:noBreakHyphen/>
        <w:t>186] și atunci când este vorba despre o interpretare extinsă și imprevizibilă a unei infracțiuni în defavoarea acuzatului, incompatibilă cu însăși esența infracțiunii  (</w:t>
      </w:r>
      <w:hyperlink r:id="rId426" w:history="1">
        <w:r>
          <w:rPr>
            <w:rStyle w:val="Hyperlink"/>
            <w:rFonts w:asciiTheme="majorHAnsi" w:hAnsiTheme="majorHAnsi"/>
          </w:rPr>
          <w:t>Navalnyye Navalnyye împotriva Rusiei</w:t>
        </w:r>
      </w:hyperlink>
      <w:r>
        <w:rPr>
          <w:rFonts w:asciiTheme="majorHAnsi" w:hAnsiTheme="majorHAnsi"/>
        </w:rPr>
        <w:t xml:space="preserve">, 2017, pct. 68; </w:t>
      </w:r>
      <w:hyperlink r:id="rId427" w:history="1">
        <w:r>
          <w:rPr>
            <w:rStyle w:val="Hyperlink"/>
            <w:rFonts w:asciiTheme="majorHAnsi" w:hAnsiTheme="majorHAnsi"/>
          </w:rPr>
          <w:t>Parmak și Bakir împotriva Turciei</w:t>
        </w:r>
      </w:hyperlink>
      <w:r>
        <w:rPr>
          <w:rFonts w:asciiTheme="majorHAnsi" w:hAnsiTheme="majorHAnsi"/>
        </w:rPr>
        <w:t xml:space="preserve">, 2019, pct. 76; </w:t>
      </w:r>
      <w:hyperlink r:id="rId428" w:history="1">
        <w:r>
          <w:rPr>
            <w:rStyle w:val="Hyperlink"/>
            <w:rFonts w:asciiTheme="majorHAnsi" w:hAnsiTheme="majorHAnsi"/>
          </w:rPr>
          <w:t>Tristan împotriva Moldovei</w:t>
        </w:r>
      </w:hyperlink>
      <w:r>
        <w:rPr>
          <w:rFonts w:asciiTheme="majorHAnsi" w:hAnsiTheme="majorHAnsi"/>
        </w:rPr>
        <w:t xml:space="preserve">, 2023, pct. 67). </w:t>
      </w:r>
      <w:r>
        <w:t>Curtea poate, de asemenea, sancționa condamnarea pentru o infracțiune care era rezultatul unei evoluții jurisprudențiale consolidate după săvârșirea faptelor respective (de exemplu, infracțiunea de complicitate din exterior cu o asociație de tip mafiot î</w:t>
      </w:r>
      <w:r>
        <w:rPr>
          <w:rFonts w:asciiTheme="majorHAnsi" w:hAnsiTheme="majorHAnsi"/>
        </w:rPr>
        <w:t xml:space="preserve">n </w:t>
      </w:r>
      <w:hyperlink r:id="rId429" w:history="1">
        <w:hyperlink r:id="rId430" w:history="1">
          <w:r>
            <w:rPr>
              <w:rStyle w:val="Hyperlink"/>
              <w:rFonts w:asciiTheme="majorHAnsi" w:hAnsiTheme="majorHAnsi"/>
            </w:rPr>
            <w:t xml:space="preserve"> Contrada împotriva Italiei (nr. 3)</w:t>
          </w:r>
        </w:hyperlink>
      </w:hyperlink>
      <w:r>
        <w:rPr>
          <w:rFonts w:asciiTheme="majorHAnsi" w:hAnsiTheme="majorHAnsi"/>
        </w:rPr>
        <w:t>, 2015, pct. 64-76), sau o condamnare în baza unei dispoziții neclare din dreptul intern care a generat interpretări divergente (</w:t>
      </w:r>
      <w:hyperlink r:id="rId431" w:history="1">
        <w:r>
          <w:rPr>
            <w:rStyle w:val="Hyperlink"/>
            <w:rFonts w:asciiTheme="majorHAnsi" w:hAnsiTheme="majorHAnsi"/>
          </w:rPr>
          <w:t>Žaja împotriva Croației</w:t>
        </w:r>
      </w:hyperlink>
      <w:r>
        <w:rPr>
          <w:rFonts w:asciiTheme="majorHAnsi" w:hAnsiTheme="majorHAnsi"/>
        </w:rPr>
        <w:t xml:space="preserve">, 2016, pct. 99-106). </w:t>
      </w:r>
      <w:r>
        <w:t>În legătură cu aceasta, o jurisprudență inconsecventă este lipsită de precizia necesară pentru a</w:t>
      </w:r>
      <w:r>
        <w:rPr>
          <w:rFonts w:asciiTheme="majorHAnsi" w:hAnsiTheme="majorHAnsi"/>
        </w:rPr>
        <w:t xml:space="preserve"> evita orice risc de arbitrar și a permite justițiabililor să prevadă consecințele acțiunilor lor (</w:t>
      </w:r>
      <w:hyperlink r:id="rId432" w:history="1">
        <w:r>
          <w:rPr>
            <w:rStyle w:val="Hyperlink"/>
            <w:rFonts w:asciiTheme="majorHAnsi" w:hAnsiTheme="majorHAnsi"/>
          </w:rPr>
          <w:t>ibidem</w:t>
        </w:r>
      </w:hyperlink>
      <w:r>
        <w:rPr>
          <w:rFonts w:asciiTheme="majorHAnsi" w:hAnsiTheme="majorHAnsi"/>
        </w:rPr>
        <w:t>, pct. 103).</w:t>
      </w:r>
    </w:p>
    <w:p w14:paraId="35A21824" w14:textId="2139222D" w:rsidR="00083CB1" w:rsidRPr="006B7E09" w:rsidRDefault="00AE6388" w:rsidP="003C2AAC">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43</w:t>
      </w:r>
      <w:r w:rsidRPr="006B7E09">
        <w:rPr>
          <w:rFonts w:asciiTheme="majorHAnsi" w:hAnsiTheme="majorHAnsi"/>
        </w:rPr>
        <w:fldChar w:fldCharType="end"/>
      </w:r>
      <w:r>
        <w:rPr>
          <w:rFonts w:asciiTheme="majorHAnsi" w:hAnsiTheme="majorHAnsi"/>
        </w:rPr>
        <w:t>.  </w:t>
      </w:r>
      <w:r>
        <w:t xml:space="preserve">Faptul că </w:t>
      </w:r>
      <w:r>
        <w:rPr>
          <w:rFonts w:asciiTheme="majorHAnsi" w:hAnsiTheme="majorHAnsi"/>
        </w:rPr>
        <w:t>un jurat este răspunzător cu analizarea unei cauze și cu aplicarea legislației penale nu înseamnă că efectul legii este imprevizibil din perspectiva art. 7 [</w:t>
      </w:r>
      <w:hyperlink r:id="rId433" w:history="1">
        <w:r>
          <w:rPr>
            <w:rStyle w:val="Hyperlink"/>
            <w:rFonts w:asciiTheme="majorHAnsi" w:hAnsiTheme="majorHAnsi"/>
          </w:rPr>
          <w:t>Jobe împotriva Regatului Unit</w:t>
        </w:r>
      </w:hyperlink>
      <w:r>
        <w:rPr>
          <w:rFonts w:asciiTheme="majorHAnsi" w:hAnsiTheme="majorHAnsi"/>
        </w:rPr>
        <w:t xml:space="preserve"> (dec.), </w:t>
      </w:r>
      <w:r>
        <w:rPr>
          <w:rFonts w:asciiTheme="majorHAnsi" w:hAnsiTheme="majorHAnsi"/>
        </w:rPr>
        <w:lastRenderedPageBreak/>
        <w:t xml:space="preserve">2011]. </w:t>
      </w:r>
      <w:r>
        <w:t>A conferi o putere discreționară unei curți cu jurați pentru a aplica legea la faptele din speță nu este în sine incompatibil cu cerințele Convenției, cu condiția ca domeniul de aplicare a puterii discreționare și modul de exercitare să fie precizate cu suficientă claritate, pentru a garanta protecția individului împotriva arbitrariului</w:t>
      </w:r>
      <w:r>
        <w:rPr>
          <w:rFonts w:asciiTheme="majorHAnsi" w:hAnsiTheme="majorHAnsi"/>
        </w:rPr>
        <w:t xml:space="preserve"> [</w:t>
      </w:r>
      <w:hyperlink r:id="rId434" w:history="1">
        <w:r>
          <w:rPr>
            <w:rStyle w:val="Hyperlink"/>
            <w:rFonts w:asciiTheme="majorHAnsi" w:hAnsiTheme="majorHAnsi"/>
          </w:rPr>
          <w:t>O’Carroll împotriva Regatului Unit</w:t>
        </w:r>
      </w:hyperlink>
      <w:r>
        <w:rPr>
          <w:rFonts w:asciiTheme="majorHAnsi" w:hAnsiTheme="majorHAnsi"/>
        </w:rPr>
        <w:t xml:space="preserve"> (dec.), 2005, privind aprecierea de către curtea cu jurați a ceea ce constituie indecență].</w:t>
      </w:r>
    </w:p>
    <w:p w14:paraId="2684FD83" w14:textId="77777777" w:rsidR="00AB52D9" w:rsidRPr="006B7E09" w:rsidRDefault="00282925" w:rsidP="00BB45BD">
      <w:pPr>
        <w:pStyle w:val="ECHRHeading3"/>
      </w:pPr>
      <w:bookmarkStart w:id="39" w:name="_Toc162517963"/>
      <w:r>
        <w:t>Cazul special al succesiunii statului</w:t>
      </w:r>
      <w:bookmarkEnd w:id="39"/>
    </w:p>
    <w:p w14:paraId="56FE5BA9" w14:textId="4237403A" w:rsidR="00264802" w:rsidRPr="006B7E09" w:rsidRDefault="00BE54C8" w:rsidP="00BE54C8">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44</w:t>
      </w:r>
      <w:r w:rsidRPr="006B7E09">
        <w:rPr>
          <w:rFonts w:asciiTheme="majorHAnsi" w:hAnsiTheme="majorHAnsi"/>
        </w:rPr>
        <w:fldChar w:fldCharType="end"/>
      </w:r>
      <w:r>
        <w:rPr>
          <w:rFonts w:asciiTheme="majorHAnsi" w:hAnsiTheme="majorHAnsi"/>
        </w:rPr>
        <w:t xml:space="preserve">.  Noțiunea de interpretare judiciară se aplică dezvoltării graduale a jurisprudenței într-un stat de drept și într-un regim democratic, dar rămâne la fel de valabil în cazul succesiunii statului. </w:t>
      </w:r>
      <w:r>
        <w:t>În ipoteza înlocuirii suveranității unui stat cu alta pe un teritoriu sau a unei schimbări de regim politic pe teritoriul național, Curtea a considerat legitim ca un stat de drept să trimită în judecată pe cei care au săvârșit infracțiuni într-un regim anterior; în același mod, nu se poate imputa instanțelor dintr-un astfel de stat, care au succedat celor existente anterior, faptul că aplică și interpretează dispozițiile legale în vigoare la momentul faptelor în lumina principiilor care guvernează un stat de drept [</w:t>
      </w:r>
      <w:hyperlink r:id="rId435" w:history="1">
        <w:hyperlink r:id="rId436" w:history="1">
          <w:r>
            <w:rPr>
              <w:rStyle w:val="Hyperlink"/>
              <w:rFonts w:asciiTheme="majorHAnsi" w:hAnsiTheme="majorHAnsi"/>
            </w:rPr>
            <w:t>Streletz, Kessler și Krenz împotriva Germaniei</w:t>
          </w:r>
        </w:hyperlink>
      </w:hyperlink>
      <w:r>
        <w:rPr>
          <w:rFonts w:asciiTheme="majorHAnsi" w:hAnsiTheme="majorHAnsi"/>
        </w:rPr>
        <w:t xml:space="preserve"> (MC), 2001, pct. 79-83; </w:t>
      </w:r>
      <w:hyperlink r:id="rId437" w:history="1">
        <w:hyperlink r:id="rId438" w:history="1">
          <w:r>
            <w:rPr>
              <w:rStyle w:val="Hyperlink"/>
              <w:rFonts w:asciiTheme="majorHAnsi" w:hAnsiTheme="majorHAnsi"/>
            </w:rPr>
            <w:t>Vasiliauskas împotriva Lituaniei</w:t>
          </w:r>
        </w:hyperlink>
      </w:hyperlink>
      <w:r>
        <w:rPr>
          <w:rFonts w:asciiTheme="majorHAnsi" w:hAnsiTheme="majorHAnsi"/>
        </w:rPr>
        <w:t xml:space="preserve"> (MC), 2015, pct. 159]. </w:t>
      </w:r>
      <w:r>
        <w:t>Acesta este cazul în special atunci când problema în litigiu vizează dreptul la viață, valoare supremă în Convenție și pe scara drepturilor omului la nivel internațional, drept pe care statele contractante au obligația principală de a-l proteja în temeiul Convenției [</w:t>
      </w:r>
      <w:hyperlink r:id="rId439" w:history="1">
        <w:hyperlink r:id="rId440" w:history="1">
          <w:hyperlink r:id="rId441" w:history="1">
            <w:r>
              <w:rPr>
                <w:rStyle w:val="Hyperlink"/>
                <w:rFonts w:asciiTheme="majorHAnsi" w:hAnsiTheme="majorHAnsi"/>
              </w:rPr>
              <w:t>Kononov împotriva Letoniei</w:t>
            </w:r>
          </w:hyperlink>
        </w:hyperlink>
      </w:hyperlink>
      <w:r>
        <w:rPr>
          <w:rFonts w:asciiTheme="majorHAnsi" w:hAnsiTheme="majorHAnsi"/>
        </w:rPr>
        <w:t xml:space="preserve"> (MC), 2010, pct. 241]. </w:t>
      </w:r>
      <w:r>
        <w:t xml:space="preserve">Practica unui stat de a tolera </w:t>
      </w:r>
      <w:r>
        <w:rPr>
          <w:rFonts w:asciiTheme="majorHAnsi" w:hAnsiTheme="majorHAnsi"/>
        </w:rPr>
        <w:t>sau de a încuraja anumite acțiuni care au fost declarate infracțiuni potrivit instrumentelor juridice naționale sau internaționale și sensul de impunitate pe care o astfel de practică îl insuflă autorilor acestor acțiuni nu împiedică aducerea în justiție și pedepsirea lor [</w:t>
      </w:r>
      <w:hyperlink r:id="rId442" w:history="1">
        <w:hyperlink r:id="rId443" w:history="1">
          <w:r>
            <w:rPr>
              <w:rStyle w:val="Hyperlink"/>
              <w:rFonts w:asciiTheme="majorHAnsi" w:hAnsiTheme="majorHAnsi"/>
            </w:rPr>
            <w:t>Vasiliauskas împotriva Lituaniei</w:t>
          </w:r>
        </w:hyperlink>
      </w:hyperlink>
      <w:r>
        <w:rPr>
          <w:rFonts w:asciiTheme="majorHAnsi" w:hAnsiTheme="majorHAnsi"/>
        </w:rPr>
        <w:t xml:space="preserve"> (MC), 2015, pct. 158; </w:t>
      </w:r>
      <w:hyperlink r:id="rId444" w:history="1">
        <w:hyperlink r:id="rId445" w:history="1">
          <w:r>
            <w:rPr>
              <w:rStyle w:val="Hyperlink"/>
              <w:rFonts w:asciiTheme="majorHAnsi" w:hAnsiTheme="majorHAnsi"/>
            </w:rPr>
            <w:t>Streletz, Kessler și Krenz împotriva Germaniei</w:t>
          </w:r>
        </w:hyperlink>
      </w:hyperlink>
      <w:r>
        <w:rPr>
          <w:rFonts w:asciiTheme="majorHAnsi" w:hAnsiTheme="majorHAnsi"/>
        </w:rPr>
        <w:t xml:space="preserve"> (MC), 2001, pct. 74 și 77-79]. </w:t>
      </w:r>
      <w:r>
        <w:t xml:space="preserve">Prin urmare, Curtea </w:t>
      </w:r>
      <w:r>
        <w:rPr>
          <w:rFonts w:asciiTheme="majorHAnsi" w:hAnsiTheme="majorHAnsi"/>
        </w:rPr>
        <w:t>a constatat că erau previzibile condamnările conducătorilor politici ai RDG și cea a unui polițist de frontieră pentru uciderea unor germani din Est care încercaseră să părăsească RDG între 1971 și 1989 trecând frontiera dintre cele două state germane, condamnări care au fost pronunțate de instanțele germane pe baza legislației RDG după reunificare [</w:t>
      </w:r>
      <w:hyperlink r:id="rId446" w:history="1">
        <w:r>
          <w:rPr>
            <w:rStyle w:val="Hyperlink"/>
            <w:rFonts w:asciiTheme="majorHAnsi" w:hAnsiTheme="majorHAnsi"/>
          </w:rPr>
          <w:t>ibidem</w:t>
        </w:r>
      </w:hyperlink>
      <w:r>
        <w:rPr>
          <w:rFonts w:asciiTheme="majorHAnsi" w:hAnsiTheme="majorHAnsi"/>
        </w:rPr>
        <w:t xml:space="preserve">, pct. 77-89; </w:t>
      </w:r>
      <w:hyperlink r:id="rId447" w:history="1">
        <w:hyperlink r:id="rId448" w:history="1">
          <w:r>
            <w:rPr>
              <w:rStyle w:val="Hyperlink"/>
              <w:rFonts w:asciiTheme="majorHAnsi" w:hAnsiTheme="majorHAnsi"/>
            </w:rPr>
            <w:t>K.-H.W. împotriva Germaniei</w:t>
          </w:r>
        </w:hyperlink>
      </w:hyperlink>
      <w:r>
        <w:rPr>
          <w:rFonts w:asciiTheme="majorHAnsi" w:hAnsiTheme="majorHAnsi"/>
        </w:rPr>
        <w:t xml:space="preserve"> (MC), 2001, pct. 68</w:t>
      </w:r>
      <w:r>
        <w:rPr>
          <w:rFonts w:asciiTheme="majorHAnsi" w:hAnsiTheme="majorHAnsi"/>
        </w:rPr>
        <w:noBreakHyphen/>
        <w:t xml:space="preserve">91]. </w:t>
      </w:r>
      <w:r>
        <w:t xml:space="preserve">Curtea a ajuns la aceeași concluzie </w:t>
      </w:r>
      <w:r>
        <w:rPr>
          <w:rFonts w:asciiTheme="majorHAnsi" w:hAnsiTheme="majorHAnsi"/>
        </w:rPr>
        <w:t>cu privire la condamnarea unui comandant din armata sovietică pentru crime de război comise în timpul celui de-al Doilea Război Mondial, pronunțată de instanțele din Letonia după declarațiile de independență ale Letoniei din 1990 și 1991 [</w:t>
      </w:r>
      <w:hyperlink r:id="rId449" w:history="1">
        <w:hyperlink r:id="rId450" w:history="1">
          <w:hyperlink r:id="rId451" w:history="1">
            <w:r>
              <w:rPr>
                <w:rStyle w:val="Hyperlink"/>
                <w:rFonts w:asciiTheme="majorHAnsi" w:hAnsiTheme="majorHAnsi"/>
              </w:rPr>
              <w:t>Kononov împotriva Letoniei</w:t>
            </w:r>
          </w:hyperlink>
        </w:hyperlink>
      </w:hyperlink>
      <w:r>
        <w:rPr>
          <w:rFonts w:asciiTheme="majorHAnsi" w:hAnsiTheme="majorHAnsi"/>
        </w:rPr>
        <w:t xml:space="preserve"> (MC), 2010, pct. 240</w:t>
      </w:r>
      <w:r>
        <w:rPr>
          <w:rFonts w:asciiTheme="majorHAnsi" w:hAnsiTheme="majorHAnsi"/>
        </w:rPr>
        <w:noBreakHyphen/>
        <w:t>241].</w:t>
      </w:r>
    </w:p>
    <w:p w14:paraId="770F50C3" w14:textId="3EF61B99" w:rsidR="008C717C" w:rsidRPr="006B7E09" w:rsidRDefault="00340FE2" w:rsidP="00BE54C8">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45</w:t>
      </w:r>
      <w:r w:rsidRPr="006B7E09">
        <w:rPr>
          <w:rFonts w:asciiTheme="majorHAnsi" w:hAnsiTheme="majorHAnsi"/>
        </w:rPr>
        <w:fldChar w:fldCharType="end"/>
      </w:r>
      <w:r>
        <w:rPr>
          <w:rFonts w:asciiTheme="majorHAnsi" w:hAnsiTheme="majorHAnsi"/>
        </w:rPr>
        <w:t>.  </w:t>
      </w:r>
      <w:r>
        <w:t xml:space="preserve">Curtea a considerat, de asemenea, că o condamnare în temeiul legislației Republicii Lituania restaurate era suficient de previzibilă și, prin urmare, în conformitate cu art. 7 din Convenție, în pofida faptului că Lituania nu fusese încă recunoscută ca stat independent la momentul faptelor </w:t>
      </w:r>
      <w:r>
        <w:rPr>
          <w:rFonts w:asciiTheme="majorHAnsi" w:hAnsiTheme="majorHAnsi"/>
        </w:rPr>
        <w:t xml:space="preserve"> (</w:t>
      </w:r>
      <w:hyperlink r:id="rId452" w:history="1">
        <w:hyperlink r:id="rId453" w:history="1">
          <w:r>
            <w:rPr>
              <w:rStyle w:val="Hyperlink"/>
              <w:rFonts w:asciiTheme="majorHAnsi" w:hAnsiTheme="majorHAnsi"/>
            </w:rPr>
            <w:t>Kuolelis, Bartosevicius și Burokevicius împotriva Lituaniei,</w:t>
          </w:r>
        </w:hyperlink>
      </w:hyperlink>
      <w:r>
        <w:rPr>
          <w:rFonts w:asciiTheme="majorHAnsi" w:hAnsiTheme="majorHAnsi"/>
        </w:rPr>
        <w:t>, 2008, pct. 116-122, referitoare la condamnarea conducătorilor ramurii lituaniene a Partidului Comunist al URSS pentru participarea la activități subversive și antistatale în ianuarie 1991).</w:t>
      </w:r>
    </w:p>
    <w:p w14:paraId="219A3809" w14:textId="467FA54B" w:rsidR="00962AC3" w:rsidRPr="006B7E09" w:rsidRDefault="006B62A5" w:rsidP="00BB45BD">
      <w:pPr>
        <w:pStyle w:val="ECHRHeading3"/>
      </w:pPr>
      <w:bookmarkStart w:id="40" w:name="_Toc436664109"/>
      <w:bookmarkStart w:id="41" w:name="_Toc436664776"/>
      <w:bookmarkStart w:id="42" w:name="_Toc436741702"/>
      <w:bookmarkStart w:id="43" w:name="_Toc436833776"/>
      <w:bookmarkStart w:id="44" w:name="_Toc437417592"/>
      <w:bookmarkStart w:id="45" w:name="_Toc441568639"/>
      <w:bookmarkStart w:id="46" w:name="_Toc449348332"/>
      <w:r>
        <w:t xml:space="preserve"> </w:t>
      </w:r>
      <w:bookmarkStart w:id="47" w:name="_Toc162517964"/>
      <w:bookmarkEnd w:id="40"/>
      <w:bookmarkEnd w:id="41"/>
      <w:bookmarkEnd w:id="42"/>
      <w:bookmarkEnd w:id="43"/>
      <w:bookmarkEnd w:id="44"/>
      <w:bookmarkEnd w:id="45"/>
      <w:bookmarkEnd w:id="46"/>
      <w:r>
        <w:t>Cazul special al jurisdicției penale universale a statului și legislația națională aplicabilă</w:t>
      </w:r>
      <w:bookmarkEnd w:id="47"/>
    </w:p>
    <w:p w14:paraId="34647A07" w14:textId="639C7980" w:rsidR="000B5E2B" w:rsidRPr="006B7E09" w:rsidRDefault="00DE0B74" w:rsidP="000B5E2B">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46</w:t>
      </w:r>
      <w:r w:rsidRPr="006B7E09">
        <w:rPr>
          <w:rFonts w:asciiTheme="majorHAnsi" w:hAnsiTheme="majorHAnsi"/>
        </w:rPr>
        <w:fldChar w:fldCharType="end"/>
      </w:r>
      <w:r>
        <w:rPr>
          <w:rFonts w:asciiTheme="majorHAnsi" w:hAnsiTheme="majorHAnsi"/>
        </w:rPr>
        <w:t>.  </w:t>
      </w:r>
      <w:r>
        <w:t xml:space="preserve">Condamnarea de către instanțele naționale ale unui stat în temeiul legislației interne a statului poate privi </w:t>
      </w:r>
      <w:r>
        <w:rPr>
          <w:rFonts w:asciiTheme="majorHAnsi" w:hAnsiTheme="majorHAnsi"/>
        </w:rPr>
        <w:t>acțiuni săvârșite de persoana în chestiune în alt stat [</w:t>
      </w:r>
      <w:hyperlink r:id="rId454" w:history="1">
        <w:hyperlink r:id="rId455" w:history="1">
          <w:r>
            <w:rPr>
              <w:rStyle w:val="Hyperlink"/>
              <w:rFonts w:asciiTheme="majorHAnsi" w:hAnsiTheme="majorHAnsi"/>
            </w:rPr>
            <w:t>Jorgic împotriva Germaniei</w:t>
          </w:r>
        </w:hyperlink>
      </w:hyperlink>
      <w:r>
        <w:rPr>
          <w:rFonts w:asciiTheme="majorHAnsi" w:hAnsiTheme="majorHAnsi"/>
        </w:rPr>
        <w:t xml:space="preserve">, 2007; </w:t>
      </w:r>
      <w:hyperlink r:id="rId456" w:history="1">
        <w:r>
          <w:rPr>
            <w:rStyle w:val="Hyperlink"/>
            <w:rFonts w:asciiTheme="majorHAnsi" w:hAnsiTheme="majorHAnsi"/>
          </w:rPr>
          <w:t>Van Anraat împotriva Țărilor de Jos</w:t>
        </w:r>
      </w:hyperlink>
      <w:r>
        <w:rPr>
          <w:rFonts w:asciiTheme="majorHAnsi" w:hAnsiTheme="majorHAnsi"/>
        </w:rPr>
        <w:t xml:space="preserve"> (dec.), 2006]. </w:t>
      </w:r>
      <w:r>
        <w:t>Problema competenței extrateritoriale sau universale a instanțelor naționale ale unui stat nu intră în sfera de aplicare a art. 7 [</w:t>
      </w:r>
      <w:hyperlink r:id="rId457" w:history="1">
        <w:hyperlink r:id="rId458" w:history="1">
          <w:r>
            <w:rPr>
              <w:rStyle w:val="Hyperlink"/>
              <w:rFonts w:asciiTheme="majorHAnsi" w:hAnsiTheme="majorHAnsi"/>
            </w:rPr>
            <w:t>Ould Dah împotriva Franței</w:t>
          </w:r>
        </w:hyperlink>
      </w:hyperlink>
      <w:r>
        <w:rPr>
          <w:rFonts w:asciiTheme="majorHAnsi" w:hAnsiTheme="majorHAnsi"/>
        </w:rPr>
        <w:t xml:space="preserve"> (dec.), 2009], ci a dreptului la o instanță stabilit de lege și consacrat la art. 6 § 1 și la art. 5 § 1 lit. a) din Convenție („detenție legală după condamnarea pronunțată de către o instanță competentă“) (</w:t>
      </w:r>
      <w:hyperlink r:id="rId459" w:history="1">
        <w:hyperlink r:id="rId460" w:history="1">
          <w:r>
            <w:rPr>
              <w:rStyle w:val="Hyperlink"/>
              <w:rFonts w:asciiTheme="majorHAnsi" w:hAnsiTheme="majorHAnsi"/>
            </w:rPr>
            <w:t>Jorgic împotriva Germaniei</w:t>
          </w:r>
        </w:hyperlink>
      </w:hyperlink>
      <w:r>
        <w:rPr>
          <w:rFonts w:asciiTheme="majorHAnsi" w:hAnsiTheme="majorHAnsi"/>
        </w:rPr>
        <w:t>, 2007, pct. 64-72, referitoare la o condamnare pentru acte de genocid comise în Bosnia și Herțegovina).</w:t>
      </w:r>
    </w:p>
    <w:p w14:paraId="52A722C9" w14:textId="6E2CC504" w:rsidR="006D2C5E" w:rsidRPr="006B7E09" w:rsidRDefault="000B5E2B" w:rsidP="00E35EF9">
      <w:pPr>
        <w:pStyle w:val="ECHRParaSpaced"/>
        <w:rPr>
          <w:rFonts w:asciiTheme="majorHAnsi" w:eastAsia="Times New Roman" w:hAnsiTheme="majorHAnsi" w:cs="Times New Roman"/>
        </w:rPr>
      </w:pPr>
      <w:r w:rsidRPr="006B7E09">
        <w:rPr>
          <w:rFonts w:asciiTheme="majorHAnsi" w:hAnsiTheme="majorHAnsi"/>
        </w:rPr>
        <w:lastRenderedPageBreak/>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47</w:t>
      </w:r>
      <w:r w:rsidRPr="006B7E09">
        <w:rPr>
          <w:rFonts w:asciiTheme="majorHAnsi" w:hAnsiTheme="majorHAnsi"/>
        </w:rPr>
        <w:fldChar w:fldCharType="end"/>
      </w:r>
      <w:r>
        <w:rPr>
          <w:rFonts w:asciiTheme="majorHAnsi" w:hAnsiTheme="majorHAnsi"/>
        </w:rPr>
        <w:t xml:space="preserve">.  Totuși, atunci când instanțele naționale ale unui stat condamnă o persoană în temeiul jurisdicției penale universale, aplicarea legislației interne în detrimentul legislației statului în care faptele au fost săvârșite poate fi examinată din perspectiva art. 7. </w:t>
      </w:r>
      <w:r>
        <w:t>De exemplu, într-o cauză care viza condamnarea unui ofițer mauritan de către instanțele franceze pentru acte de tortură și de barbarie săvârșite în Mauritania (în baza Convenției Națiunilor Unite împotriva torturii), Curtea a considerat că aplicarea legislației penale franceze în defavoarea unei legi de amnistiere mauritane (introdusă înainte de începerea urmăririi penale) nu era incompatibilă cu principiul legalității [</w:t>
      </w:r>
      <w:hyperlink r:id="rId461" w:history="1">
        <w:hyperlink r:id="rId462" w:history="1">
          <w:r>
            <w:rPr>
              <w:rStyle w:val="Hyperlink"/>
              <w:rFonts w:asciiTheme="majorHAnsi" w:hAnsiTheme="majorHAnsi"/>
            </w:rPr>
            <w:t>Ould Dah împotriva Franței</w:t>
          </w:r>
        </w:hyperlink>
      </w:hyperlink>
      <w:r>
        <w:rPr>
          <w:rFonts w:asciiTheme="majorHAnsi" w:hAnsiTheme="majorHAnsi"/>
        </w:rPr>
        <w:t xml:space="preserve"> (dec.), 2009]. În această privință, Curtea a considerat că „necesitatea imperioasă a interzicerii torturii și a trimiterii în judecată a persoanelor care încalcă această normă universală, precum și exercitarea de către un stat semnatar a jurisdicției universale prevăzute de Convenția Organizației Națiunilor Unite împotriva torturii ar fi lipsite de esență dacă statele ar putea să-și exercite doar competența jurisdicțională, fără a aplica legislația lor. Nu există nicio îndoială că, dacă legislația statului care își exercită jurisdicția universală ar fi declarată inaplicabilă în favoarea unor decizii și a unor legi speciale adoptate de statul unde au avut loc infracțiunile, în efortul de a-și proteja propriii cetățeni sau, după caz, sub influența directă sau indirectă a autorilor infracțiunilor, pentru a fi disculpați, aceasta ar duce la paralizarea oricărei exercitări a jurisdicției universale și ar reduce la zero scopul urmărit de Convenția Națiunilor Unite împotriva torturii“. Curtea a reamintit că interzicerea torturii ocupă un loc primordial în toate instrumentele internaționale privind protecția drepturilor omului și consacră una dintre valorile fundamentale ale societăților democratice. </w:t>
      </w:r>
      <w:r>
        <w:rPr>
          <w:rFonts w:asciiTheme="majorHAnsi" w:hAnsiTheme="majorHAnsi"/>
        </w:rPr>
        <w:br w:type="page"/>
      </w:r>
    </w:p>
    <w:p w14:paraId="70EE64EA" w14:textId="77777777" w:rsidR="00785778" w:rsidRPr="006B7E09" w:rsidRDefault="002C50D0" w:rsidP="000F4B95">
      <w:pPr>
        <w:pStyle w:val="ECHRHeading1"/>
      </w:pPr>
      <w:bookmarkStart w:id="48" w:name="_Toc162517965"/>
      <w:r>
        <w:lastRenderedPageBreak/>
        <w:t>Principiul neretroactivității legislației penale</w:t>
      </w:r>
      <w:bookmarkEnd w:id="48"/>
    </w:p>
    <w:p w14:paraId="04A2546E" w14:textId="77777777" w:rsidR="00FC6632" w:rsidRPr="006B7E09" w:rsidRDefault="00034B8B" w:rsidP="00FC6632">
      <w:pPr>
        <w:pStyle w:val="ECHRHeading2"/>
      </w:pPr>
      <w:bookmarkStart w:id="49" w:name="_Toc162517966"/>
      <w:r>
        <w:t>Considerații generale</w:t>
      </w:r>
      <w:bookmarkEnd w:id="49"/>
    </w:p>
    <w:p w14:paraId="628DB755" w14:textId="0D3D0109" w:rsidR="00E11431" w:rsidRPr="006B7E09" w:rsidRDefault="000F4B95" w:rsidP="00BB45BD">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48</w:t>
      </w:r>
      <w:r w:rsidRPr="006B7E09">
        <w:rPr>
          <w:rFonts w:asciiTheme="majorHAnsi" w:hAnsiTheme="majorHAnsi"/>
        </w:rPr>
        <w:fldChar w:fldCharType="end"/>
      </w:r>
      <w:r>
        <w:rPr>
          <w:rFonts w:asciiTheme="majorHAnsi" w:hAnsiTheme="majorHAnsi"/>
        </w:rPr>
        <w:t>.  </w:t>
      </w:r>
      <w:r>
        <w:t>Art. 7 interzice în mod absolut aplicarea retroactivă a dreptului penal atunci când se face în dezavantajul persoanei acuzate [</w:t>
      </w:r>
      <w:hyperlink r:id="rId463" w:history="1">
        <w:hyperlink r:id="rId464" w:history="1">
          <w:hyperlink r:id="rId465" w:history="1">
            <w:r>
              <w:rPr>
                <w:rStyle w:val="Hyperlink"/>
                <w:rFonts w:asciiTheme="majorHAnsi" w:hAnsiTheme="majorHAnsi"/>
              </w:rPr>
              <w:t xml:space="preserve">Del Río Prada împotriva Spaniei </w:t>
            </w:r>
          </w:hyperlink>
        </w:hyperlink>
      </w:hyperlink>
      <w:r>
        <w:rPr>
          <w:rFonts w:asciiTheme="majorHAnsi" w:hAnsiTheme="majorHAnsi"/>
        </w:rPr>
        <w:t xml:space="preserve"> (MC), 2013, pct. 116; </w:t>
      </w:r>
      <w:hyperlink r:id="rId466" w:history="1">
        <w:hyperlink r:id="rId467" w:history="1">
          <w:r>
            <w:rPr>
              <w:rStyle w:val="Hyperlink"/>
              <w:rFonts w:asciiTheme="majorHAnsi" w:hAnsiTheme="majorHAnsi"/>
            </w:rPr>
            <w:t xml:space="preserve"> Kokkinakis împotriva Greciei</w:t>
          </w:r>
        </w:hyperlink>
      </w:hyperlink>
      <w:r>
        <w:rPr>
          <w:rFonts w:asciiTheme="majorHAnsi" w:hAnsiTheme="majorHAnsi"/>
        </w:rPr>
        <w:t xml:space="preserve">, 1993, pct. 52]. </w:t>
      </w:r>
      <w:r>
        <w:t>Principiul neretroactivității legislației penale</w:t>
      </w:r>
      <w:r>
        <w:rPr>
          <w:rFonts w:asciiTheme="majorHAnsi" w:hAnsiTheme="majorHAnsi"/>
        </w:rPr>
        <w:t xml:space="preserve"> se aplică atât dispozițiilor care definesc infracțiunea [</w:t>
      </w:r>
      <w:hyperlink r:id="rId468" w:history="1">
        <w:hyperlink r:id="rId469" w:history="1">
          <w:r>
            <w:rPr>
              <w:rStyle w:val="Hyperlink"/>
              <w:rFonts w:asciiTheme="majorHAnsi" w:hAnsiTheme="majorHAnsi"/>
            </w:rPr>
            <w:t>Vasiliauskas împotriva Lituaniei</w:t>
          </w:r>
        </w:hyperlink>
      </w:hyperlink>
      <w:r>
        <w:rPr>
          <w:rFonts w:asciiTheme="majorHAnsi" w:hAnsiTheme="majorHAnsi"/>
        </w:rPr>
        <w:t xml:space="preserve"> (MC), 2015, pct. 165-166], cât și dispozițiilor care stabilesc sancțiunile suportate (</w:t>
      </w:r>
      <w:hyperlink r:id="rId470" w:history="1">
        <w:hyperlink r:id="rId471" w:history="1">
          <w:r>
            <w:rPr>
              <w:rStyle w:val="Hyperlink"/>
              <w:rFonts w:asciiTheme="majorHAnsi" w:hAnsiTheme="majorHAnsi"/>
            </w:rPr>
            <w:t>Jamil împotriva Franței</w:t>
          </w:r>
        </w:hyperlink>
      </w:hyperlink>
      <w:r>
        <w:rPr>
          <w:rFonts w:asciiTheme="majorHAnsi" w:hAnsiTheme="majorHAnsi"/>
        </w:rPr>
        <w:t xml:space="preserve">, 1995, pct. 34-36; </w:t>
      </w:r>
      <w:hyperlink r:id="rId472" w:history="1">
        <w:hyperlink r:id="rId473" w:history="1">
          <w:r>
            <w:rPr>
              <w:rStyle w:val="Hyperlink"/>
              <w:rFonts w:asciiTheme="majorHAnsi" w:hAnsiTheme="majorHAnsi"/>
            </w:rPr>
            <w:t>M. împotriva Germaniei</w:t>
          </w:r>
        </w:hyperlink>
      </w:hyperlink>
      <w:r>
        <w:rPr>
          <w:rFonts w:asciiTheme="majorHAnsi" w:hAnsiTheme="majorHAnsi"/>
        </w:rPr>
        <w:t xml:space="preserve">, 2009, pct. 123 și 135-137; </w:t>
      </w:r>
      <w:hyperlink r:id="rId474" w:history="1">
        <w:hyperlink r:id="rId475" w:history="1">
          <w:r>
            <w:rPr>
              <w:rStyle w:val="Hyperlink"/>
              <w:rFonts w:asciiTheme="majorHAnsi" w:hAnsiTheme="majorHAnsi"/>
            </w:rPr>
            <w:t>Gurguchiani împotriva Spaniei</w:t>
          </w:r>
        </w:hyperlink>
      </w:hyperlink>
      <w:r>
        <w:rPr>
          <w:rFonts w:asciiTheme="majorHAnsi" w:hAnsiTheme="majorHAnsi"/>
        </w:rPr>
        <w:t xml:space="preserve">, 2009, pct. 32-44). </w:t>
      </w:r>
      <w:r>
        <w:t xml:space="preserve">Chiar după ce a fost aplicată pedeapsa definitivă </w:t>
      </w:r>
      <w:r>
        <w:rPr>
          <w:rFonts w:asciiTheme="majorHAnsi" w:hAnsiTheme="majorHAnsi"/>
        </w:rPr>
        <w:t>sau în timpul executării acesteia, interdicția retroactivității pedepselor împiedică pe legiuitor, autoritățile administrative și instanțele să redefinească sau să modifice întinderea „pedepsei” aplicate în defavoarea persoanei condamnate [</w:t>
      </w:r>
      <w:hyperlink r:id="rId476" w:history="1">
        <w:hyperlink r:id="rId477" w:history="1">
          <w:hyperlink r:id="rId478" w:history="1">
            <w:r>
              <w:rPr>
                <w:rStyle w:val="Hyperlink"/>
                <w:rFonts w:asciiTheme="majorHAnsi" w:hAnsiTheme="majorHAnsi"/>
              </w:rPr>
              <w:t>Del Río Prada împotriva Spaniei</w:t>
            </w:r>
          </w:hyperlink>
        </w:hyperlink>
      </w:hyperlink>
      <w:r>
        <w:rPr>
          <w:rFonts w:asciiTheme="majorHAnsi" w:hAnsiTheme="majorHAnsi"/>
        </w:rPr>
        <w:t xml:space="preserve"> (MC), 2013, pct. 89, privind o pedeapsă de 30 de ani de închisoare căreia, prin efectul unei schimbări de jurisprudență, nu i se mai putea aplica reducerea pedepsei pentru munca efectuată în detenție, întrucât la momentul când reclamantul a săvârșit infracțiunile perioada maximă de privare de libertate era considerată ca o pedeapsă nouă, independentă, căreia trebuia să i se aplice reducerea pedepsei pentru munca efectuată în detenție].</w:t>
      </w:r>
    </w:p>
    <w:p w14:paraId="71BF1AA2" w14:textId="139D51F4" w:rsidR="000F4B95" w:rsidRPr="006B7E09" w:rsidRDefault="00E11431" w:rsidP="000F4B95">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49</w:t>
      </w:r>
      <w:r w:rsidRPr="006B7E09">
        <w:rPr>
          <w:rFonts w:asciiTheme="majorHAnsi" w:hAnsiTheme="majorHAnsi"/>
        </w:rPr>
        <w:fldChar w:fldCharType="end"/>
      </w:r>
      <w:r>
        <w:rPr>
          <w:rFonts w:asciiTheme="majorHAnsi" w:hAnsiTheme="majorHAnsi"/>
        </w:rPr>
        <w:t xml:space="preserve">.  Principiul neretroactivității este încălcat în cazurile de aplicare retroactivă a dispozițiilor legislative la infracțiuni săvârșite anterior intrării în vigoare a respectivelor dispoziții. </w:t>
      </w:r>
      <w:r>
        <w:t>Este interzisă</w:t>
      </w:r>
      <w:r>
        <w:rPr>
          <w:rFonts w:asciiTheme="majorHAnsi" w:hAnsiTheme="majorHAnsi"/>
        </w:rPr>
        <w:t xml:space="preserve"> extinderea domeniului de aplicare al infracțiunilor existente la fapte care anterior nu erau infracțiuni (a se vedea </w:t>
      </w:r>
      <w:hyperlink r:id="rId479" w:tooltip="Kotlyar împotriva Rusiei" w:history="1">
        <w:r>
          <w:rPr>
            <w:rStyle w:val="Hyperlink"/>
            <w:rFonts w:asciiTheme="majorHAnsi" w:hAnsiTheme="majorHAnsi"/>
          </w:rPr>
          <w:t>Kotlyar împotriva Rusiei</w:t>
        </w:r>
      </w:hyperlink>
      <w:r>
        <w:rPr>
          <w:rFonts w:asciiTheme="majorHAnsi" w:hAnsiTheme="majorHAnsi"/>
        </w:rPr>
        <w:t xml:space="preserve">, 2022, pct. 28-34, cu privire reîncadrarea acuzațiilor). </w:t>
      </w:r>
      <w:r>
        <w:t>Cu toate acestea, nu este încălcat art. 7 atunci când faptele respective erau deja sancționate de Codul penal aplicabil la momentul faptelor – chiar dacă acestea erau sancționate numai ca circumstanțe agravante și nu ca o infracțiune distinctă – [</w:t>
      </w:r>
      <w:hyperlink r:id="rId480" w:history="1">
        <w:hyperlink r:id="rId481" w:history="1">
          <w:r>
            <w:rPr>
              <w:rStyle w:val="Hyperlink"/>
              <w:rFonts w:asciiTheme="majorHAnsi" w:hAnsiTheme="majorHAnsi"/>
            </w:rPr>
            <w:t>Ould Dah împotriva Franței</w:t>
          </w:r>
        </w:hyperlink>
      </w:hyperlink>
      <w:r>
        <w:rPr>
          <w:rFonts w:asciiTheme="majorHAnsi" w:hAnsiTheme="majorHAnsi"/>
        </w:rPr>
        <w:t xml:space="preserve"> (dec.), 2009, cu condiția ca pedeapsa impusă să nu depășească maximul prevăzut de Codul penal] sau atunci când condamnarea reclamantului se întemeia pe dreptul internațional aplicabil la momentul faptelor [</w:t>
      </w:r>
      <w:hyperlink r:id="rId482" w:history="1">
        <w:hyperlink r:id="rId483" w:history="1">
          <w:r>
            <w:rPr>
              <w:rStyle w:val="Hyperlink"/>
              <w:rFonts w:asciiTheme="majorHAnsi" w:hAnsiTheme="majorHAnsi"/>
            </w:rPr>
            <w:t>Vasiliauskas împotriva Lituaniei</w:t>
          </w:r>
        </w:hyperlink>
      </w:hyperlink>
      <w:r>
        <w:rPr>
          <w:rFonts w:asciiTheme="majorHAnsi" w:hAnsiTheme="majorHAnsi"/>
        </w:rPr>
        <w:t xml:space="preserve"> (MC), 2015, pct. 165-166, unde Curtea a examinat condamnarea reclamantului din perspectiva dreptului internațional în vigoare în 1953, reținând că dispozițiile din dreptul lituanian privind genocidul din 2003 au fost aplicate retroactiv; </w:t>
      </w:r>
      <w:hyperlink r:id="rId484" w:history="1">
        <w:r>
          <w:rPr>
            <w:rStyle w:val="Hyperlink"/>
            <w:rFonts w:asciiTheme="majorHAnsi" w:hAnsiTheme="majorHAnsi"/>
          </w:rPr>
          <w:t>Šimšić împotriva Bosniei și Herțegovinei</w:t>
        </w:r>
      </w:hyperlink>
      <w:r>
        <w:rPr>
          <w:rFonts w:asciiTheme="majorHAnsi" w:hAnsiTheme="majorHAnsi"/>
        </w:rPr>
        <w:t xml:space="preserve"> (dec.), 2012, privind de crime împotriva umanității săvârșite în 1992; </w:t>
      </w:r>
      <w:hyperlink r:id="rId485" w:history="1">
        <w:r>
          <w:rPr>
            <w:rStyle w:val="Hyperlink"/>
          </w:rPr>
          <w:t>Milanković împotriva Croației</w:t>
        </w:r>
      </w:hyperlink>
      <w:r>
        <w:t>, 2022, pct. 53, în care Curtea a</w:t>
      </w:r>
      <w:r>
        <w:rPr>
          <w:rFonts w:asciiTheme="majorHAnsi" w:hAnsiTheme="majorHAnsi"/>
        </w:rPr>
        <w:t xml:space="preserve"> examinat condamnarea reclamantului pentru crime de război, săvârșite în 1991/92, în baza responsabilității sale de comandă]. </w:t>
      </w:r>
      <w:r>
        <w:t xml:space="preserve">În această ultimă cauză, cu toate că autoritățile naționale pot adopta întotdeauna o definiție mai cuprinzătoare a unei infracțiuni decât cea enunțată de dreptul internațional (supra, pct. 40), acestea nu pot pronunța </w:t>
      </w:r>
      <w:r>
        <w:rPr>
          <w:rStyle w:val="CLLItalic"/>
        </w:rPr>
        <w:t>retroactiv</w:t>
      </w:r>
      <w:r>
        <w:t xml:space="preserve"> </w:t>
      </w:r>
      <w:r>
        <w:rPr>
          <w:rFonts w:asciiTheme="majorHAnsi" w:hAnsiTheme="majorHAnsi"/>
        </w:rPr>
        <w:t>condamnări</w:t>
      </w:r>
      <w:r>
        <w:rPr>
          <w:rStyle w:val="CLLItalic"/>
          <w:rFonts w:asciiTheme="majorHAnsi" w:hAnsiTheme="majorHAnsi"/>
        </w:rPr>
        <w:t xml:space="preserve"> </w:t>
      </w:r>
      <w:r>
        <w:rPr>
          <w:rFonts w:asciiTheme="majorHAnsi" w:hAnsiTheme="majorHAnsi"/>
        </w:rPr>
        <w:t>pe baza acestei noi definiții în privința unor fapte anterioare [</w:t>
      </w:r>
      <w:hyperlink r:id="rId486" w:history="1">
        <w:hyperlink r:id="rId487" w:history="1">
          <w:r>
            <w:rPr>
              <w:rStyle w:val="Hyperlink"/>
              <w:rFonts w:asciiTheme="majorHAnsi" w:hAnsiTheme="majorHAnsi"/>
            </w:rPr>
            <w:t>Vasiliauskas împotriva Lituaniei</w:t>
          </w:r>
        </w:hyperlink>
      </w:hyperlink>
      <w:r>
        <w:rPr>
          <w:rFonts w:asciiTheme="majorHAnsi" w:hAnsiTheme="majorHAnsi"/>
        </w:rPr>
        <w:t xml:space="preserve"> (MC), 2015, pct. 181, privind condamnarea pentru genocid în baza Codului penal din 2003, pentru fapte săvârșite împotriva membrilor unui grup politic în 1953].</w:t>
      </w:r>
    </w:p>
    <w:p w14:paraId="4B6DA220" w14:textId="33D40AE3" w:rsidR="005159DE" w:rsidRPr="006B7E09" w:rsidRDefault="00A544B8" w:rsidP="005159DE">
      <w:pPr>
        <w:pStyle w:val="ECHRParaSpaced"/>
        <w:rPr>
          <w:rFonts w:cstheme="minorHAnsi"/>
          <w:color w:val="000000"/>
          <w:shd w:val="clear" w:color="auto" w:fill="FFFFFF"/>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50</w:t>
      </w:r>
      <w:r w:rsidRPr="006B7E09">
        <w:rPr>
          <w:rFonts w:asciiTheme="majorHAnsi" w:hAnsiTheme="majorHAnsi"/>
        </w:rPr>
        <w:fldChar w:fldCharType="end"/>
      </w:r>
      <w:r>
        <w:rPr>
          <w:rFonts w:asciiTheme="majorHAnsi" w:hAnsiTheme="majorHAnsi"/>
        </w:rPr>
        <w:t>.  </w:t>
      </w:r>
      <w:r>
        <w:t>Pentru a stabili</w:t>
      </w:r>
      <w:r>
        <w:rPr>
          <w:rFonts w:asciiTheme="majorHAnsi" w:hAnsiTheme="majorHAnsi"/>
        </w:rPr>
        <w:t xml:space="preserve"> </w:t>
      </w:r>
      <w:r>
        <w:t xml:space="preserve">dacă, în sensul art. 7, o lege adoptată după pretinsa săvârșire a infracțiunii este mai mult sau mai puțin favorabilă acuzatului decât legea care era în vigoare la data pretinsei comiteri a infracțiunii, trebuie să se țină seama de circumstanțele specifice cauzei (principiul concretizării, opus comparării definițiilor infracțiunii </w:t>
      </w:r>
      <w:r>
        <w:rPr>
          <w:i/>
        </w:rPr>
        <w:t>in abstracto</w:t>
      </w:r>
      <w:r>
        <w:t xml:space="preserve">). </w:t>
      </w:r>
      <w:r>
        <w:rPr>
          <w:color w:val="000000"/>
          <w:shd w:val="clear" w:color="auto" w:fill="FFFFFF"/>
        </w:rPr>
        <w:t>Dacă legea ulterioară este mai severă decât legea în vigoare la data pretinsei comiteri a infracțiunii, aceasta nu poate fi aplicată. [</w:t>
      </w:r>
      <w:hyperlink r:id="rId488" w:history="1">
        <w:r>
          <w:rPr>
            <w:rStyle w:val="Hyperlink"/>
            <w:rFonts w:asciiTheme="majorHAnsi" w:hAnsiTheme="majorHAnsi"/>
          </w:rPr>
          <w:t>Aviz consultativ privind folosirea „referinței generale” sau a tehnicii „legislației prin referire” în definiția unei infracțiuni și standardele comparației dintre legislația penală în vigoare la data comiterii infracțiunii și legislația penală modificată</w:t>
        </w:r>
      </w:hyperlink>
      <w:r>
        <w:rPr>
          <w:rStyle w:val="Hyperlink"/>
          <w:rFonts w:asciiTheme="majorHAnsi" w:hAnsiTheme="majorHAnsi"/>
        </w:rPr>
        <w:t>,</w:t>
      </w:r>
      <w:r>
        <w:rPr>
          <w:rFonts w:asciiTheme="majorHAnsi" w:hAnsiTheme="majorHAnsi"/>
        </w:rPr>
        <w:t xml:space="preserve"> (MC), 2020, pct. 88 și 92].</w:t>
      </w:r>
    </w:p>
    <w:p w14:paraId="47F18768" w14:textId="6C2733BB" w:rsidR="008962AB" w:rsidRPr="006B7E09" w:rsidRDefault="005D64C4" w:rsidP="000F4B95">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51</w:t>
      </w:r>
      <w:r w:rsidRPr="006B7E09">
        <w:rPr>
          <w:rFonts w:asciiTheme="majorHAnsi" w:hAnsiTheme="majorHAnsi"/>
        </w:rPr>
        <w:fldChar w:fldCharType="end"/>
      </w:r>
      <w:r>
        <w:rPr>
          <w:rFonts w:asciiTheme="majorHAnsi" w:hAnsiTheme="majorHAnsi"/>
        </w:rPr>
        <w:t xml:space="preserve">.  Cu privire la severitatea pedepsei, Curtea se limitează la a se convinge că nu a fost pronunțată o pedeapsă mai severă decât aceea aplicabilă la momentul comiterii infracțiunii. Aspectele legate de caracterul adecvat al unei pedepse nu intră în domeniul de aplicare al art. 7 din Convenție. </w:t>
      </w:r>
      <w:r>
        <w:t xml:space="preserve">Rolul Curții nu este să decidă </w:t>
      </w:r>
      <w:r>
        <w:rPr>
          <w:rFonts w:asciiTheme="majorHAnsi" w:hAnsiTheme="majorHAnsi"/>
        </w:rPr>
        <w:t xml:space="preserve">durata pedepsei cu închisoarea sau tipul de pedeapsă potrivit fiecărei infracțiuni în </w:t>
      </w:r>
      <w:r>
        <w:rPr>
          <w:rFonts w:asciiTheme="majorHAnsi" w:hAnsiTheme="majorHAnsi"/>
        </w:rPr>
        <w:lastRenderedPageBreak/>
        <w:t>parte [</w:t>
      </w:r>
      <w:hyperlink r:id="rId489" w:history="1">
        <w:hyperlink r:id="rId490" w:history="1">
          <w:r>
            <w:rPr>
              <w:rStyle w:val="Hyperlink"/>
              <w:rFonts w:asciiTheme="majorHAnsi" w:hAnsiTheme="majorHAnsi"/>
            </w:rPr>
            <w:t>Hummatov împotriva Azerbaidjanului</w:t>
          </w:r>
        </w:hyperlink>
      </w:hyperlink>
      <w:r>
        <w:rPr>
          <w:rFonts w:asciiTheme="majorHAnsi" w:hAnsiTheme="majorHAnsi"/>
        </w:rPr>
        <w:t xml:space="preserve"> (dec.), 2006; </w:t>
      </w:r>
      <w:hyperlink r:id="rId491" w:history="1">
        <w:hyperlink r:id="rId492" w:history="1">
          <w:r>
            <w:rPr>
              <w:rStyle w:val="Hyperlink"/>
              <w:rFonts w:asciiTheme="majorHAnsi" w:hAnsiTheme="majorHAnsi"/>
            </w:rPr>
            <w:t>Hakkar împotriva Franței</w:t>
          </w:r>
        </w:hyperlink>
      </w:hyperlink>
      <w:r>
        <w:rPr>
          <w:rFonts w:asciiTheme="majorHAnsi" w:hAnsiTheme="majorHAnsi"/>
        </w:rPr>
        <w:t xml:space="preserve"> (dec.), 2009; </w:t>
      </w:r>
      <w:hyperlink r:id="rId493" w:history="1">
        <w:r>
          <w:rPr>
            <w:rStyle w:val="Hyperlink"/>
            <w:rFonts w:asciiTheme="majorHAnsi" w:hAnsiTheme="majorHAnsi"/>
          </w:rPr>
          <w:t>Vinter și alții împotriva Regatului Unit</w:t>
        </w:r>
      </w:hyperlink>
      <w:r>
        <w:rPr>
          <w:rFonts w:asciiTheme="majorHAnsi" w:hAnsiTheme="majorHAnsi"/>
        </w:rPr>
        <w:t xml:space="preserve"> (MC), 2013, pct. 105]. </w:t>
      </w:r>
      <w:r>
        <w:t>Aspectele legate de proporționalitatea unei pedepse pot totuși să fie examinate din perspectiva art. 3 din Convenție</w:t>
      </w:r>
      <w:r>
        <w:rPr>
          <w:rFonts w:asciiTheme="majorHAnsi" w:hAnsiTheme="majorHAnsi"/>
        </w:rPr>
        <w:t>(</w:t>
      </w:r>
      <w:hyperlink r:id="rId494" w:history="1">
        <w:r>
          <w:rPr>
            <w:rStyle w:val="Hyperlink"/>
            <w:rFonts w:asciiTheme="majorHAnsi" w:hAnsiTheme="majorHAnsi"/>
          </w:rPr>
          <w:t>ibidem</w:t>
        </w:r>
      </w:hyperlink>
      <w:r>
        <w:rPr>
          <w:rFonts w:asciiTheme="majorHAnsi" w:hAnsiTheme="majorHAnsi"/>
        </w:rPr>
        <w:t>, pct. 102, cu privire la noțiunea de „pedeapsă vădit disproporționată“).</w:t>
      </w:r>
    </w:p>
    <w:p w14:paraId="17E47C32" w14:textId="5D112F47" w:rsidR="00B54CD4" w:rsidRPr="006B7E09" w:rsidRDefault="008962AB" w:rsidP="004546A4">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52</w:t>
      </w:r>
      <w:r w:rsidRPr="006B7E09">
        <w:rPr>
          <w:rFonts w:asciiTheme="majorHAnsi" w:hAnsiTheme="majorHAnsi"/>
        </w:rPr>
        <w:fldChar w:fldCharType="end"/>
      </w:r>
      <w:r>
        <w:rPr>
          <w:rFonts w:asciiTheme="majorHAnsi" w:hAnsiTheme="majorHAnsi"/>
        </w:rPr>
        <w:t>.  </w:t>
      </w:r>
      <w:r>
        <w:t>În ceea ce privește severitatea pedepsei, Curtea a hotărât, de exemplu, că o detențiune pe viață nu reprezenta o pedeapsă mai severă decât pedeapsa cu moartea, aceasta din urmă fiind aplicabilă în momentul săvârșirii infracțiunii, însă ulterior a fost abolită și înlocuită cu pedeapsa cu închisoarea pe viață [</w:t>
      </w:r>
      <w:hyperlink r:id="rId495" w:history="1">
        <w:hyperlink r:id="rId496" w:history="1">
          <w:r>
            <w:rPr>
              <w:rStyle w:val="Hyperlink"/>
              <w:rFonts w:asciiTheme="majorHAnsi" w:hAnsiTheme="majorHAnsi"/>
            </w:rPr>
            <w:t>Hummatov împotriva Azerbaidjanului</w:t>
          </w:r>
        </w:hyperlink>
      </w:hyperlink>
      <w:r>
        <w:rPr>
          <w:rFonts w:asciiTheme="majorHAnsi" w:hAnsiTheme="majorHAnsi"/>
        </w:rPr>
        <w:t xml:space="preserve"> (dec.), 2006; </w:t>
      </w:r>
      <w:hyperlink r:id="rId497" w:history="1">
        <w:hyperlink r:id="rId498" w:history="1">
          <w:r>
            <w:rPr>
              <w:rStyle w:val="Hyperlink"/>
              <w:rFonts w:asciiTheme="majorHAnsi" w:hAnsiTheme="majorHAnsi"/>
            </w:rPr>
            <w:t>Stepanenko și Ososkalo împotriva Ucrainei</w:t>
          </w:r>
        </w:hyperlink>
      </w:hyperlink>
      <w:r>
        <w:rPr>
          <w:rFonts w:asciiTheme="majorHAnsi" w:hAnsiTheme="majorHAnsi"/>
        </w:rPr>
        <w:t xml:space="preserve"> (dec.), 2014; </w:t>
      </w:r>
      <w:hyperlink r:id="rId499" w:history="1">
        <w:r>
          <w:rPr>
            <w:rStyle w:val="Hyperlink"/>
            <w:rFonts w:asciiTheme="majorHAnsi" w:hAnsiTheme="majorHAnsi"/>
          </w:rPr>
          <w:t>Öcalan împotriva Turciei (nr. 2)</w:t>
        </w:r>
      </w:hyperlink>
      <w:r>
        <w:rPr>
          <w:rFonts w:asciiTheme="majorHAnsi" w:hAnsiTheme="majorHAnsi"/>
        </w:rPr>
        <w:t xml:space="preserve">, 2001, pct. 177; </w:t>
      </w:r>
      <w:hyperlink r:id="rId500" w:history="1">
        <w:r>
          <w:rPr>
            <w:rStyle w:val="Hyperlink"/>
            <w:rFonts w:asciiTheme="majorHAnsi" w:hAnsiTheme="majorHAnsi"/>
          </w:rPr>
          <w:t>Ruban împotriva Ucrainei</w:t>
        </w:r>
      </w:hyperlink>
      <w:r>
        <w:rPr>
          <w:rFonts w:asciiTheme="majorHAnsi" w:hAnsiTheme="majorHAnsi"/>
        </w:rPr>
        <w:t xml:space="preserve">, 2016, pct. 46]. </w:t>
      </w:r>
      <w:r>
        <w:t>Curtea a reținut, de asemenea, că nu s-a aplicat retroactiv o pedeapsă mai severă în cazul înlocuirii unei pedepse cu închisoarea cu măsura internării într-o unitate psihiatrică prin aplicarea unei noi versiuni a Codului penal: astfel cum au constatat instanțele naționale, vechiul cod aplicabil la momentul faptelor prevedea deja măsuri la fel de severe ca noile prevederi</w:t>
      </w:r>
      <w:r>
        <w:rPr>
          <w:rFonts w:asciiTheme="majorHAnsi" w:hAnsiTheme="majorHAnsi"/>
        </w:rPr>
        <w:t xml:space="preserve"> (</w:t>
      </w:r>
      <w:hyperlink r:id="rId501" w:history="1">
        <w:r>
          <w:rPr>
            <w:rStyle w:val="Hyperlink"/>
            <w:rFonts w:asciiTheme="majorHAnsi" w:hAnsiTheme="majorHAnsi"/>
          </w:rPr>
          <w:t>Kadusic împotriva Elveției</w:t>
        </w:r>
      </w:hyperlink>
      <w:r>
        <w:rPr>
          <w:rFonts w:asciiTheme="majorHAnsi" w:hAnsiTheme="majorHAnsi"/>
        </w:rPr>
        <w:t xml:space="preserve">, 2018, pct. 71-76; a se vedea, </w:t>
      </w:r>
      <w:r>
        <w:rPr>
          <w:rFonts w:asciiTheme="majorHAnsi" w:hAnsiTheme="majorHAnsi"/>
          <w:i/>
        </w:rPr>
        <w:t xml:space="preserve">a contrario, </w:t>
      </w:r>
      <w:hyperlink r:id="rId502" w:history="1">
        <w:r>
          <w:rPr>
            <w:rStyle w:val="Hyperlink"/>
          </w:rPr>
          <w:t>W.A. împotriva Elveției</w:t>
        </w:r>
      </w:hyperlink>
      <w:r>
        <w:t>, 2021, pct.</w:t>
      </w:r>
      <w:r>
        <w:rPr>
          <w:rFonts w:asciiTheme="majorHAnsi" w:hAnsiTheme="majorHAnsi"/>
        </w:rPr>
        <w:t xml:space="preserve">58-60, în care Curtea a concluzionat că arestarea preventivă ulterioară a reclamantului în urma redeschiderii procedurii a echivalat cu o pedeapsă mai severă aplicată retrospectiv). În </w:t>
      </w:r>
      <w:hyperlink r:id="rId503" w:history="1">
        <w:r>
          <w:rPr>
            <w:rStyle w:val="Hyperlink"/>
            <w:rFonts w:asciiTheme="majorHAnsi" w:hAnsiTheme="majorHAnsi"/>
          </w:rPr>
          <w:t>Kupinskyy împotriva Ucrainei</w:t>
        </w:r>
      </w:hyperlink>
      <w:r>
        <w:rPr>
          <w:rFonts w:asciiTheme="majorHAnsi" w:hAnsiTheme="majorHAnsi"/>
        </w:rPr>
        <w:t>, 2022, pct. 64</w:t>
      </w:r>
      <w:r>
        <w:t xml:space="preserve">, Curtea a reținut că, refuzând reclamantului posibilitatea reală de a solicita liberarea condiționată, autoritățile naționale i-au înlocuit pedeapsa reductibilă aplicată inițial cu pedeapsa ireductibilă </w:t>
      </w:r>
      <w:r>
        <w:rPr>
          <w:i/>
        </w:rPr>
        <w:t>de facto</w:t>
      </w:r>
      <w:r>
        <w:t xml:space="preserve"> și </w:t>
      </w:r>
      <w:r>
        <w:rPr>
          <w:i/>
          <w:iCs/>
        </w:rPr>
        <w:t>de jure</w:t>
      </w:r>
      <w:r>
        <w:t xml:space="preserve"> a detențiunii pe viață și că, astfel, au modificat sfera de aplicare a pedepsei inițiale în detrimentul reclamantului, impunând o pedeapsă mai severă.</w:t>
      </w:r>
    </w:p>
    <w:p w14:paraId="337D54B8" w14:textId="54FD6E27" w:rsidR="0087570A" w:rsidRPr="006B7E09" w:rsidRDefault="00B54CD4" w:rsidP="000F4B95">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53</w:t>
      </w:r>
      <w:r w:rsidRPr="006B7E09">
        <w:rPr>
          <w:rFonts w:asciiTheme="majorHAnsi" w:hAnsiTheme="majorHAnsi"/>
        </w:rPr>
        <w:fldChar w:fldCharType="end"/>
      </w:r>
      <w:r>
        <w:rPr>
          <w:rFonts w:asciiTheme="majorHAnsi" w:hAnsiTheme="majorHAnsi"/>
        </w:rPr>
        <w:t>.  Atunci când se stabilește dacă a existat o aplicare retroactivă a unei pedepse în defavoarea inculpatului, trebuie să se țină seama de limitele pedepsei (pedeapsa minimă și cea maximă) aplicabile din fiecare cod penal. De exemplu, chiar dacă pedeapsa impusă reclamantului era cuprinsă în două coduri penale aplicabile potențial, simpla posibilitate ca o pedeapsă mai ușoară să poată fi impusă aplicând o pedeapsă minimă mai ușoară dintr-un cod penal este suficientă pentru a constata încălcarea art. 7 [</w:t>
      </w:r>
      <w:hyperlink r:id="rId504" w:history="1">
        <w:r>
          <w:rPr>
            <w:rStyle w:val="Hyperlink"/>
            <w:rFonts w:asciiTheme="majorHAnsi" w:hAnsiTheme="majorHAnsi"/>
          </w:rPr>
          <w:t>Maktouf și Damjanović împotriva Bosniei și Herțegovinei</w:t>
        </w:r>
      </w:hyperlink>
      <w:r>
        <w:rPr>
          <w:rFonts w:asciiTheme="majorHAnsi" w:hAnsiTheme="majorHAnsi"/>
        </w:rPr>
        <w:t xml:space="preserve"> (MC), 2013, pct. 65-76]. Evaluarea care dintre legile penale este mai îngăduitoare sau favorabilă pârâtului nu depinde de o comparație abstractă a celor două legi penale în cauză. </w:t>
      </w:r>
      <w:r>
        <w:t>Este esențial</w:t>
      </w:r>
      <w:r>
        <w:rPr>
          <w:rFonts w:asciiTheme="majorHAnsi" w:hAnsiTheme="majorHAnsi"/>
        </w:rPr>
        <w:t xml:space="preserve"> dacă, după o evaluare concretă a faptelor specifice, aplicarea unei legi penale mai degrabă decât a celeilalte a creat un dezavantaj pentru pârât în legătură cu pedepsirea (</w:t>
      </w:r>
      <w:hyperlink r:id="rId505" w:history="1">
        <w:r>
          <w:rPr>
            <w:rStyle w:val="Hyperlink"/>
            <w:rFonts w:asciiTheme="majorHAnsi" w:hAnsiTheme="majorHAnsi"/>
          </w:rPr>
          <w:t>ibidem</w:t>
        </w:r>
      </w:hyperlink>
      <w:r>
        <w:rPr>
          <w:rFonts w:asciiTheme="majorHAnsi" w:hAnsiTheme="majorHAnsi"/>
          <w:i/>
        </w:rPr>
        <w:t xml:space="preserve">, </w:t>
      </w:r>
      <w:r>
        <w:rPr>
          <w:rFonts w:asciiTheme="majorHAnsi" w:hAnsiTheme="majorHAnsi"/>
        </w:rPr>
        <w:t xml:space="preserve">pct. 69-70; </w:t>
      </w:r>
      <w:hyperlink r:id="rId506" w:history="1">
        <w:r>
          <w:rPr>
            <w:rStyle w:val="Hyperlink"/>
            <w:rFonts w:asciiTheme="majorHAnsi" w:hAnsiTheme="majorHAnsi"/>
          </w:rPr>
          <w:t>Jidic împotriva României</w:t>
        </w:r>
      </w:hyperlink>
      <w:r>
        <w:t xml:space="preserve">, 2020, </w:t>
      </w:r>
      <w:r>
        <w:rPr>
          <w:rFonts w:asciiTheme="majorHAnsi" w:hAnsiTheme="majorHAnsi"/>
        </w:rPr>
        <w:t>pct. 85-98).</w:t>
      </w:r>
    </w:p>
    <w:p w14:paraId="6A27E66A" w14:textId="77777777" w:rsidR="003C2AAC" w:rsidRPr="006B7E09" w:rsidRDefault="001F14F4" w:rsidP="00FC6632">
      <w:pPr>
        <w:pStyle w:val="ECHRHeading2"/>
      </w:pPr>
      <w:bookmarkStart w:id="50" w:name="_Toc162517967"/>
      <w:r>
        <w:t>Infracțiunile în formă continuată</w:t>
      </w:r>
      <w:bookmarkEnd w:id="50"/>
    </w:p>
    <w:p w14:paraId="17BF6CF7" w14:textId="7FE44E42" w:rsidR="00941670" w:rsidRPr="006B7E09" w:rsidRDefault="00F86402" w:rsidP="000F4B95">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54</w:t>
      </w:r>
      <w:r w:rsidRPr="006B7E09">
        <w:rPr>
          <w:rFonts w:asciiTheme="majorHAnsi" w:hAnsiTheme="majorHAnsi"/>
        </w:rPr>
        <w:fldChar w:fldCharType="end"/>
      </w:r>
      <w:r>
        <w:rPr>
          <w:rFonts w:asciiTheme="majorHAnsi" w:hAnsiTheme="majorHAnsi"/>
        </w:rPr>
        <w:t>.  În cazurile de infracțiuni „în formă continuată” sau „continue” (privind fapte care se întind pe o perioadă de timp), Curtea a precizat că principiul securității juridice cere ca elementele infracțiunii care atrag răspunderea penală a persoanei să fie în mod clar prezentate în rechizitoriu. În plus, decizia pronunțată de instanța națională trebuie, de asemenea, să arate clar că respectiva condamnare a inculpatului este urmarea constatării că elementele unei „infracțiuni în formă continuată” au fost oferite de parchet (</w:t>
      </w:r>
      <w:hyperlink r:id="rId507" w:history="1">
        <w:hyperlink r:id="rId508" w:history="1">
          <w:r>
            <w:rPr>
              <w:rStyle w:val="Hyperlink"/>
              <w:rFonts w:asciiTheme="majorHAnsi" w:hAnsiTheme="majorHAnsi"/>
            </w:rPr>
            <w:t>Ecer și Zeyrek împotriva Turciei</w:t>
          </w:r>
        </w:hyperlink>
      </w:hyperlink>
      <w:r>
        <w:rPr>
          <w:rFonts w:asciiTheme="majorHAnsi" w:hAnsiTheme="majorHAnsi"/>
        </w:rPr>
        <w:t xml:space="preserve">, 2001, pct. 33). </w:t>
      </w:r>
      <w:r>
        <w:t xml:space="preserve">Curtea a reținut că faptul că instanțele interne au condamnat o persoană pentru o infracțiune introdusă cu ocazia unei reforme a Codului penal, </w:t>
      </w:r>
      <w:r>
        <w:rPr>
          <w:rStyle w:val="CLLItalic"/>
          <w:rFonts w:asciiTheme="majorHAnsi" w:hAnsiTheme="majorHAnsi"/>
        </w:rPr>
        <w:t>inter alia</w:t>
      </w:r>
      <w:r>
        <w:rPr>
          <w:rFonts w:asciiTheme="majorHAnsi" w:hAnsiTheme="majorHAnsi"/>
        </w:rPr>
        <w:t xml:space="preserve"> pentru fapte anterioare intrării în vigoare a acestei reforme, încadrate ca infracțiune „în formă continuată” în dreptul intern, nu reprezintă o aplicare retroactivă a legii penale în defavoarea inculpatului [</w:t>
      </w:r>
      <w:hyperlink r:id="rId509" w:history="1">
        <w:r>
          <w:rPr>
            <w:rStyle w:val="Hyperlink"/>
            <w:rFonts w:asciiTheme="majorHAnsi" w:hAnsiTheme="majorHAnsi"/>
          </w:rPr>
          <w:t>Rohlena împotriva Republicii Cehe</w:t>
        </w:r>
      </w:hyperlink>
      <w:r>
        <w:rPr>
          <w:rFonts w:asciiTheme="majorHAnsi" w:hAnsiTheme="majorHAnsi"/>
        </w:rPr>
        <w:t xml:space="preserve"> (MC), 2015, pct. 57-64, privind infracțiunea de rele tratamente asupra unui membru de familie]. Curtea a remarcat că, în conformitate cu legislația internă respectivă, o infracțiune „continuată“ se consideră ca o acțiune unică, a cărei încadrare trebuie evaluată în funcție de normele în vigoare la data când s-a încheiat ultima manifestare a infracțiunii, cu condiția ca faptele săvârșite sub imperiul legii anterioare să fie, de asemenea, sancționate în temeiul legii mai vechi.  </w:t>
      </w:r>
      <w:r>
        <w:t>Mai mult, aplicarea de către instanțele naționale a noțiunii de infracțiune „continuată“, introdusă în Codul penal înaintea primului act săvârșit de către persoana în cauză, fusese, de altfel, suficient de previzibilă în temeiul dreptului național</w:t>
      </w:r>
      <w:r>
        <w:rPr>
          <w:rFonts w:asciiTheme="majorHAnsi" w:hAnsiTheme="majorHAnsi"/>
        </w:rPr>
        <w:t xml:space="preserve"> (</w:t>
      </w:r>
      <w:hyperlink r:id="rId510" w:history="1">
        <w:r>
          <w:rPr>
            <w:rStyle w:val="Hyperlink"/>
            <w:rFonts w:asciiTheme="majorHAnsi" w:hAnsiTheme="majorHAnsi"/>
          </w:rPr>
          <w:t>ibidem</w:t>
        </w:r>
      </w:hyperlink>
      <w:r>
        <w:rPr>
          <w:rFonts w:asciiTheme="majorHAnsi" w:hAnsiTheme="majorHAnsi"/>
        </w:rPr>
        <w:t xml:space="preserve">, pct. 60-64). </w:t>
      </w:r>
      <w:r>
        <w:t xml:space="preserve">Curtea a verificat, de asemenea, dacă pedeapsa aplicată persoanei în cauză pe baza </w:t>
      </w:r>
      <w:r>
        <w:lastRenderedPageBreak/>
        <w:t>infracțiunii „continuate“ nu a fost mai grea decât cea care ar fi fost aplicată dacă faptele săvârșite de persoană înaintea reformei legislative ar fi fost apreciate separat de cele săvârșite ulterior</w:t>
      </w:r>
      <w:r>
        <w:rPr>
          <w:rFonts w:asciiTheme="majorHAnsi" w:hAnsiTheme="majorHAnsi"/>
        </w:rPr>
        <w:t xml:space="preserve"> (</w:t>
      </w:r>
      <w:hyperlink r:id="rId511" w:history="1">
        <w:r>
          <w:rPr>
            <w:rStyle w:val="Hyperlink"/>
            <w:rFonts w:asciiTheme="majorHAnsi" w:hAnsiTheme="majorHAnsi"/>
          </w:rPr>
          <w:t>ibidem</w:t>
        </w:r>
      </w:hyperlink>
      <w:r>
        <w:rPr>
          <w:rFonts w:asciiTheme="majorHAnsi" w:hAnsiTheme="majorHAnsi"/>
        </w:rPr>
        <w:t>, §§ 65-69).</w:t>
      </w:r>
    </w:p>
    <w:p w14:paraId="25C40E42" w14:textId="45AF30EE" w:rsidR="00413F99" w:rsidRPr="006B7E09" w:rsidRDefault="00941670" w:rsidP="000F4B95">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55</w:t>
      </w:r>
      <w:r w:rsidRPr="006B7E09">
        <w:rPr>
          <w:rFonts w:asciiTheme="majorHAnsi" w:hAnsiTheme="majorHAnsi"/>
        </w:rPr>
        <w:fldChar w:fldCharType="end"/>
      </w:r>
      <w:r>
        <w:rPr>
          <w:rFonts w:asciiTheme="majorHAnsi" w:hAnsiTheme="majorHAnsi"/>
        </w:rPr>
        <w:t>.  </w:t>
      </w:r>
      <w:r>
        <w:t>Dimpotrivă, atunci când condamnarea pentru infracțiune „continuă“ nu era previzibilă în temeiul dreptului național aplicabil la momentul relevant și când pedeapsa impusă reclamantului a devenit mai grea în consecință, Curtea a concluzionat că a existat o aplicare retroactivă a legii penale în defavoarea acestuia</w:t>
      </w:r>
      <w:r>
        <w:rPr>
          <w:rFonts w:asciiTheme="majorHAnsi" w:hAnsiTheme="majorHAnsi"/>
        </w:rPr>
        <w:t xml:space="preserve"> [</w:t>
      </w:r>
      <w:hyperlink r:id="rId512" w:history="1">
        <w:r>
          <w:rPr>
            <w:rStyle w:val="Hyperlink"/>
            <w:rFonts w:asciiTheme="majorHAnsi" w:hAnsiTheme="majorHAnsi"/>
          </w:rPr>
          <w:t>Veeber împotriva Estoniei (nr. 2)</w:t>
        </w:r>
      </w:hyperlink>
      <w:r>
        <w:rPr>
          <w:rFonts w:asciiTheme="majorHAnsi" w:hAnsiTheme="majorHAnsi"/>
        </w:rPr>
        <w:t xml:space="preserve">, 2003, pct. 30-39; </w:t>
      </w:r>
      <w:hyperlink r:id="rId513" w:history="1">
        <w:hyperlink r:id="rId514" w:history="1">
          <w:r>
            <w:rPr>
              <w:rStyle w:val="Hyperlink"/>
              <w:rFonts w:asciiTheme="majorHAnsi" w:hAnsiTheme="majorHAnsi"/>
            </w:rPr>
            <w:t xml:space="preserve">Puhk împotriva Estoniei </w:t>
          </w:r>
        </w:hyperlink>
      </w:hyperlink>
      <w:r>
        <w:rPr>
          <w:rFonts w:asciiTheme="majorHAnsi" w:hAnsiTheme="majorHAnsi"/>
        </w:rPr>
        <w:t>, 2004, pct. 24-34].</w:t>
      </w:r>
    </w:p>
    <w:p w14:paraId="6D63BB3D" w14:textId="77777777" w:rsidR="003C2AAC" w:rsidRPr="006B7E09" w:rsidRDefault="00DA71C1" w:rsidP="00FC6632">
      <w:pPr>
        <w:pStyle w:val="ECHRHeading2"/>
        <w:numPr>
          <w:ilvl w:val="1"/>
          <w:numId w:val="2"/>
        </w:numPr>
      </w:pPr>
      <w:bookmarkStart w:id="51" w:name="_Toc162517968"/>
      <w:r>
        <w:t>Recidivarea</w:t>
      </w:r>
      <w:bookmarkEnd w:id="51"/>
    </w:p>
    <w:p w14:paraId="2612F505" w14:textId="3F012274" w:rsidR="00413F99" w:rsidRPr="006B7E09" w:rsidRDefault="005D64C4" w:rsidP="000F4B95">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56</w:t>
      </w:r>
      <w:r w:rsidRPr="006B7E09">
        <w:rPr>
          <w:rFonts w:asciiTheme="majorHAnsi" w:hAnsiTheme="majorHAnsi"/>
        </w:rPr>
        <w:fldChar w:fldCharType="end"/>
      </w:r>
      <w:r>
        <w:rPr>
          <w:rFonts w:asciiTheme="majorHAnsi" w:hAnsiTheme="majorHAnsi"/>
        </w:rPr>
        <w:t>.  </w:t>
      </w:r>
      <w:r>
        <w:t>Curtea a reținut că examinarea retrospectivă a situației penale anterioare a unui inculpat de către instanțele de fond și de apel, posibilă prin înscrierea în cazierul judiciar a condamnării sale din 1984, nu era contrară art. 7, faptele pentru care a fost urmărit penal și sancționat având loc după intrarea în vigoare a noii legi care prelungește perioada de recidivă [</w:t>
      </w:r>
      <w:hyperlink r:id="rId515" w:history="1">
        <w:hyperlink r:id="rId516" w:history="1">
          <w:r>
            <w:rPr>
              <w:rStyle w:val="Hyperlink"/>
              <w:rFonts w:asciiTheme="majorHAnsi" w:hAnsiTheme="majorHAnsi"/>
            </w:rPr>
            <w:t>Achour împotriva Franței</w:t>
          </w:r>
        </w:hyperlink>
      </w:hyperlink>
      <w:r>
        <w:rPr>
          <w:rFonts w:asciiTheme="majorHAnsi" w:hAnsiTheme="majorHAnsi"/>
        </w:rPr>
        <w:t xml:space="preserve"> (MC), 2006, pct. 44-61, cu privire la aplicarea imediată a noului Cod penal care prevede un termen de recidivă de 10 ani, în vreme ce vechiul cod în vigoare la momentul săvârșirii primei infracțiuni prevedea un termen de 5 ani, a cărui expirare i-ar fi conferit - în opinia reclamantului - „dreptul de a fi uitat“]. O astfel de abordare retrospectivă este diferită de noțiunea de retroactivitate </w:t>
      </w:r>
      <w:r>
        <w:rPr>
          <w:rFonts w:asciiTheme="majorHAnsi" w:hAnsiTheme="majorHAnsi"/>
          <w:i/>
          <w:iCs/>
        </w:rPr>
        <w:t>stricto sensu</w:t>
      </w:r>
      <w:r>
        <w:rPr>
          <w:rFonts w:asciiTheme="majorHAnsi" w:hAnsiTheme="majorHAnsi"/>
        </w:rPr>
        <w:t>.</w:t>
      </w:r>
    </w:p>
    <w:p w14:paraId="404E7CFC" w14:textId="77777777" w:rsidR="006C1A1F" w:rsidRPr="006B7E09" w:rsidRDefault="006C1A1F" w:rsidP="006C1A1F">
      <w:pPr>
        <w:pStyle w:val="ECHRHeading1"/>
      </w:pPr>
      <w:bookmarkStart w:id="52" w:name="_Toc51578215"/>
      <w:bookmarkStart w:id="53" w:name="_Toc162517969"/>
      <w:r>
        <w:t>Principiul aplicării retroactive a legii penale mai favorabile</w:t>
      </w:r>
      <w:bookmarkEnd w:id="52"/>
      <w:bookmarkEnd w:id="53"/>
    </w:p>
    <w:p w14:paraId="2EB0F2FF" w14:textId="777EDEC7" w:rsidR="004324AB" w:rsidRPr="006B7E09" w:rsidRDefault="00D16419" w:rsidP="00E319AA">
      <w:pPr>
        <w:pStyle w:val="ECHRParaSpaced"/>
        <w:rPr>
          <w:rFonts w:asciiTheme="majorHAnsi" w:eastAsia="Times New Roman" w:hAnsiTheme="majorHAnsi" w:cs="Times New Roman"/>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57</w:t>
      </w:r>
      <w:r w:rsidRPr="006B7E09">
        <w:rPr>
          <w:rFonts w:asciiTheme="majorHAnsi" w:hAnsiTheme="majorHAnsi"/>
        </w:rPr>
        <w:fldChar w:fldCharType="end"/>
      </w:r>
      <w:r>
        <w:rPr>
          <w:rFonts w:asciiTheme="majorHAnsi" w:hAnsiTheme="majorHAnsi"/>
        </w:rPr>
        <w:t xml:space="preserve">.  Deși art. 7 § 1 din Convenție nu menționează expres principiul retroactivității sancționării mai favorabile (spre deosebire de art. 15 § 1 </w:t>
      </w:r>
      <w:r>
        <w:rPr>
          <w:rStyle w:val="CLLItalic"/>
          <w:rFonts w:asciiTheme="majorHAnsi" w:hAnsiTheme="majorHAnsi"/>
        </w:rPr>
        <w:t>in fine</w:t>
      </w:r>
      <w:r>
        <w:rPr>
          <w:rFonts w:asciiTheme="majorHAnsi" w:hAnsiTheme="majorHAnsi"/>
        </w:rPr>
        <w:t xml:space="preserve"> din Pactul Organizației Națiunilor Unite cu privire la drepturile civile și politice și de art. 9 din Convenția americană privind drepturile omului), Curtea a reținut că art. 7 § 1 garantează nu doar principiul neretroactivității legilor penale mai severe, ci și, în mod implicit, principiul retroactivității legii penale mai favorabile. </w:t>
      </w:r>
      <w:r>
        <w:t>Acest principiu se transpune prin norma conform căreia, în cazul în care există diferențe între legea penală în vigoare la momentul săvârșirii infracțiunii și legile penale ulterioare adoptate înainte de pronunțarea hotărârii definitive, instanțele trebuie să aplice legea ale cărei dispoziții sunt mai favorabile pârâtului [</w:t>
      </w:r>
      <w:hyperlink r:id="rId517" w:history="1">
        <w:r>
          <w:rPr>
            <w:rStyle w:val="Hyperlink"/>
            <w:rFonts w:asciiTheme="majorHAnsi" w:hAnsiTheme="majorHAnsi"/>
          </w:rPr>
          <w:t>Scoppola  împotriva Italiei (nr. 2)</w:t>
        </w:r>
      </w:hyperlink>
      <w:r>
        <w:rPr>
          <w:rFonts w:asciiTheme="majorHAnsi" w:hAnsiTheme="majorHAnsi"/>
        </w:rPr>
        <w:t xml:space="preserve"> (MC), 2009, pct. 103-109, privind o pedeapsă la 30 de ani de închisoare în loc de detențiune pe viață]. În opinia Curții, „aplicarea unei pedepse mai aspre pentru singurul motiv că aceasta era prevăzută la momentul comiterii infracțiunii reprezintă o aplicare în defavoarea inculpatului a normelor ce reglementează succesiunea legilor penale în timp.  </w:t>
      </w:r>
      <w:r>
        <w:t xml:space="preserve">Acest lucru ar echivala, în plus, cu ignorarea oricărei schimbări legislative favorabile inculpatului intervenite înainte de proces și cu impunerea în continuare de pedepse pe care statul, și colectivitatea pe care o reprezintă, le consideră deja excesive“ </w:t>
      </w:r>
      <w:r>
        <w:rPr>
          <w:rFonts w:asciiTheme="majorHAnsi" w:hAnsiTheme="majorHAnsi"/>
        </w:rPr>
        <w:t>(</w:t>
      </w:r>
      <w:hyperlink r:id="rId518" w:history="1">
        <w:r>
          <w:rPr>
            <w:rStyle w:val="Hyperlink"/>
            <w:rFonts w:asciiTheme="majorHAnsi" w:hAnsiTheme="majorHAnsi"/>
          </w:rPr>
          <w:t>ibidem</w:t>
        </w:r>
      </w:hyperlink>
      <w:r>
        <w:rPr>
          <w:rFonts w:asciiTheme="majorHAnsi" w:hAnsiTheme="majorHAnsi"/>
        </w:rPr>
        <w:t xml:space="preserve">, pct. 108). </w:t>
      </w:r>
      <w:r>
        <w:t>Curtea a reținut că în Europa și la nivel internațional a apărut treptat un consens în a considera că aplicarea legii penale mai favorabile, chiar adoptată ulterior săvârșirii infracțiunii, a devenit un principiu de bază al legislației penale</w:t>
      </w:r>
      <w:r>
        <w:rPr>
          <w:rFonts w:asciiTheme="majorHAnsi" w:hAnsiTheme="majorHAnsi"/>
        </w:rPr>
        <w:t xml:space="preserve"> (</w:t>
      </w:r>
      <w:hyperlink r:id="rId519" w:history="1">
        <w:r>
          <w:rPr>
            <w:rStyle w:val="Hyperlink"/>
            <w:rFonts w:asciiTheme="majorHAnsi" w:hAnsiTheme="majorHAnsi"/>
          </w:rPr>
          <w:t>ibidem</w:t>
        </w:r>
      </w:hyperlink>
      <w:r>
        <w:rPr>
          <w:rFonts w:asciiTheme="majorHAnsi" w:hAnsiTheme="majorHAnsi"/>
        </w:rPr>
        <w:t xml:space="preserve">, pct. 106). </w:t>
      </w:r>
      <w:r>
        <w:t>Mai mult, Curtea a constatat că principiul aplicării retroactive</w:t>
      </w:r>
      <w:r>
        <w:rPr>
          <w:rFonts w:asciiTheme="majorHAnsi" w:hAnsiTheme="majorHAnsi"/>
        </w:rPr>
        <w:t xml:space="preserve"> a legii penale mai favorabile se aplică nu doar sancțiunii aplicabile, ci și în contextul modificării în privința definiției infracțiunii (</w:t>
      </w:r>
      <w:hyperlink r:id="rId520" w:history="1">
        <w:r>
          <w:rPr>
            <w:rStyle w:val="Hyperlink"/>
            <w:rFonts w:asciiTheme="majorHAnsi" w:hAnsiTheme="majorHAnsi"/>
          </w:rPr>
          <w:t>Parmak și Bakir împotriva Turciei</w:t>
        </w:r>
      </w:hyperlink>
      <w:r>
        <w:rPr>
          <w:rFonts w:asciiTheme="majorHAnsi" w:hAnsiTheme="majorHAnsi"/>
        </w:rPr>
        <w:t xml:space="preserve">, 2019, pct. 64; </w:t>
      </w:r>
      <w:hyperlink r:id="rId521" w:history="1">
        <w:r>
          <w:rPr>
            <w:rStyle w:val="Hyperlink"/>
            <w:rFonts w:asciiTheme="majorHAnsi" w:hAnsiTheme="majorHAnsi"/>
          </w:rPr>
          <w:t>Aviz consultativ privind folosirea „referinței generale” sau a tehnicii „legislației prin referire” în definiția unei infracțiuni și standardele comparației dintre legislația penală în vigoare la data comiterii infracțiunii și legislația penală modificată</w:t>
        </w:r>
      </w:hyperlink>
      <w:r>
        <w:rPr>
          <w:rFonts w:asciiTheme="majorHAnsi" w:hAnsiTheme="majorHAnsi"/>
        </w:rPr>
        <w:t xml:space="preserve"> (MC), 2020, pct. 82].</w:t>
      </w:r>
    </w:p>
    <w:p w14:paraId="1E1DA3EB" w14:textId="45C6DA41" w:rsidR="00904184" w:rsidRPr="006B7E09" w:rsidRDefault="00E041BA" w:rsidP="004324AB">
      <w:pPr>
        <w:pStyle w:val="ECHRParaSpaced"/>
        <w:rPr>
          <w:rFonts w:asciiTheme="majorHAnsi" w:eastAsia="Times New Roman" w:hAnsiTheme="majorHAnsi" w:cs="Times New Roman"/>
        </w:rPr>
      </w:pPr>
      <w:r w:rsidRPr="006B7E09">
        <w:rPr>
          <w:rFonts w:asciiTheme="majorHAnsi" w:eastAsia="Times New Roman" w:hAnsiTheme="majorHAnsi" w:cs="Times New Roman"/>
        </w:rPr>
        <w:fldChar w:fldCharType="begin"/>
      </w:r>
      <w:r w:rsidRPr="006B7E09">
        <w:rPr>
          <w:rFonts w:asciiTheme="majorHAnsi" w:eastAsia="Times New Roman" w:hAnsiTheme="majorHAnsi" w:cs="Times New Roman"/>
        </w:rPr>
        <w:instrText xml:space="preserve"> SEQ level0 \*arabic \* MERGEFORMAT </w:instrText>
      </w:r>
      <w:r w:rsidRPr="006B7E09">
        <w:rPr>
          <w:rFonts w:asciiTheme="majorHAnsi" w:eastAsia="Times New Roman" w:hAnsiTheme="majorHAnsi" w:cs="Times New Roman"/>
        </w:rPr>
        <w:fldChar w:fldCharType="separate"/>
      </w:r>
      <w:r w:rsidR="00C84E1E">
        <w:rPr>
          <w:rFonts w:asciiTheme="majorHAnsi" w:eastAsia="Times New Roman" w:hAnsiTheme="majorHAnsi" w:cs="Times New Roman"/>
          <w:noProof/>
        </w:rPr>
        <w:t>58</w:t>
      </w:r>
      <w:r w:rsidRPr="006B7E09">
        <w:rPr>
          <w:rFonts w:asciiTheme="majorHAnsi" w:eastAsia="Times New Roman" w:hAnsiTheme="majorHAnsi" w:cs="Times New Roman"/>
        </w:rPr>
        <w:fldChar w:fldCharType="end"/>
      </w:r>
      <w:r>
        <w:rPr>
          <w:rFonts w:asciiTheme="majorHAnsi" w:hAnsiTheme="majorHAnsi"/>
        </w:rPr>
        <w:t xml:space="preserve">.  În </w:t>
      </w:r>
      <w:bookmarkStart w:id="54" w:name="_Hlk129700820"/>
      <w:r w:rsidR="004324AB" w:rsidRPr="006B7E09">
        <w:fldChar w:fldCharType="begin"/>
      </w:r>
      <w:r w:rsidR="004324AB" w:rsidRPr="006B7E09">
        <w:instrText xml:space="preserve"> HYPERLINK "https://hudoc.echr.coe.int/eng?i=001-219943" </w:instrText>
      </w:r>
      <w:r w:rsidR="004324AB" w:rsidRPr="006B7E09">
        <w:fldChar w:fldCharType="separate"/>
      </w:r>
      <w:r>
        <w:rPr>
          <w:rStyle w:val="Hyperlink"/>
          <w:rFonts w:asciiTheme="majorHAnsi" w:hAnsiTheme="majorHAnsi"/>
        </w:rPr>
        <w:t>Mørck Jensen împotriva Danemarcei</w:t>
      </w:r>
      <w:r w:rsidR="004324AB" w:rsidRPr="006B7E09">
        <w:rPr>
          <w:rStyle w:val="Hyperlink"/>
          <w:rFonts w:asciiTheme="majorHAnsi" w:eastAsia="Times New Roman" w:hAnsiTheme="majorHAnsi" w:cs="Times New Roman"/>
        </w:rPr>
        <w:fldChar w:fldCharType="end"/>
      </w:r>
      <w:r>
        <w:rPr>
          <w:rFonts w:asciiTheme="majorHAnsi" w:hAnsiTheme="majorHAnsi"/>
        </w:rPr>
        <w:t xml:space="preserve">, </w:t>
      </w:r>
      <w:bookmarkEnd w:id="54"/>
      <w:r>
        <w:rPr>
          <w:rFonts w:asciiTheme="majorHAnsi" w:hAnsiTheme="majorHAnsi"/>
        </w:rPr>
        <w:t xml:space="preserve">2022, pct. 44-54, reclamantul era condamnat pentru încălcarea interdicției de intrare și de ședere într-o zonă de conflict specială (definită de legislația secundară), care fusese ridicată la momentul soluționării cauzei ca urmare a modificării situației din zona respectivă. Curtea a considerat că legea penală aplicabilă la momentul infracțiunii trebuie </w:t>
      </w:r>
      <w:r>
        <w:rPr>
          <w:rFonts w:asciiTheme="majorHAnsi" w:hAnsiTheme="majorHAnsi"/>
        </w:rPr>
        <w:lastRenderedPageBreak/>
        <w:t>aplicată întrucât abrogarea interdicției se datora numai circumstanțelor extrinseci, fără relevanță pentru chestiunea vinovăției. Prin urmare, Curtea a operat o deosebire între cauză și jurisprudența privind principiul retroactivității legii penale mai favorabile.</w:t>
      </w:r>
    </w:p>
    <w:p w14:paraId="72263613" w14:textId="2EE1777C" w:rsidR="00BD5DBF" w:rsidRPr="006B7E09" w:rsidRDefault="00BD5DBF" w:rsidP="00BD5DBF">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59</w:t>
      </w:r>
      <w:r w:rsidRPr="006B7E09">
        <w:rPr>
          <w:rFonts w:asciiTheme="majorHAnsi" w:hAnsiTheme="majorHAnsi"/>
        </w:rPr>
        <w:fldChar w:fldCharType="end"/>
      </w:r>
      <w:r>
        <w:rPr>
          <w:rFonts w:asciiTheme="majorHAnsi" w:hAnsiTheme="majorHAnsi"/>
        </w:rPr>
        <w:t>.  </w:t>
      </w:r>
      <w:r>
        <w:t>Cu toate acestea, un vid legislativ de trei luni între abolirea pedepsei capitale și modificarea în consecință a Codului penal (înlocuind pedeapsa cu moartea cu închisoarea pe viață) nu a oferit reclamantului dreptul la pedeapsa mai favorabilă aplicabilă între timp</w:t>
      </w:r>
      <w:r>
        <w:rPr>
          <w:rFonts w:asciiTheme="majorHAnsi" w:hAnsiTheme="majorHAnsi"/>
        </w:rPr>
        <w:t xml:space="preserve"> (</w:t>
      </w:r>
      <w:hyperlink r:id="rId522" w:history="1">
        <w:r>
          <w:rPr>
            <w:rStyle w:val="Hyperlink"/>
            <w:rFonts w:asciiTheme="majorHAnsi" w:hAnsiTheme="majorHAnsi"/>
          </w:rPr>
          <w:t>Ruban împotriva Ucrainei</w:t>
        </w:r>
      </w:hyperlink>
      <w:r>
        <w:rPr>
          <w:rFonts w:asciiTheme="majorHAnsi" w:hAnsiTheme="majorHAnsi"/>
        </w:rPr>
        <w:t xml:space="preserve">, 2016, pct. 41-46, în ceea ce privește o pedeapsă cu închisoare de 15 ani). </w:t>
      </w:r>
      <w:r>
        <w:t xml:space="preserve">Într-o astfel de situație, Curtea ține seama de condițiile în care a avut loc abolirea pedepsei capitale în statul în cauză, în special de faptul că respectivul vid legislativ nu era cu intenție </w:t>
      </w:r>
      <w:r>
        <w:rPr>
          <w:rFonts w:asciiTheme="majorHAnsi" w:hAnsiTheme="majorHAnsi"/>
        </w:rPr>
        <w:t>(</w:t>
      </w:r>
      <w:hyperlink r:id="rId523" w:history="1">
        <w:r>
          <w:rPr>
            <w:rStyle w:val="Hyperlink"/>
            <w:rFonts w:asciiTheme="majorHAnsi" w:hAnsiTheme="majorHAnsi"/>
          </w:rPr>
          <w:t>ibidem</w:t>
        </w:r>
      </w:hyperlink>
      <w:r>
        <w:rPr>
          <w:rFonts w:asciiTheme="majorHAnsi" w:hAnsiTheme="majorHAnsi"/>
        </w:rPr>
        <w:t>, pct. 45).</w:t>
      </w:r>
    </w:p>
    <w:p w14:paraId="27403951" w14:textId="39ECC331" w:rsidR="005356FD" w:rsidRPr="006B7E09" w:rsidRDefault="00C26FC8" w:rsidP="00DA23D9">
      <w:pPr>
        <w:pStyle w:val="ECHRParaSpaced"/>
        <w:rPr>
          <w:rFonts w:asciiTheme="majorHAnsi" w:eastAsia="Times New Roman" w:hAnsiTheme="majorHAnsi" w:cs="Times New Roman"/>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60</w:t>
      </w:r>
      <w:r w:rsidRPr="006B7E09">
        <w:rPr>
          <w:rFonts w:asciiTheme="majorHAnsi" w:hAnsiTheme="majorHAnsi"/>
        </w:rPr>
        <w:fldChar w:fldCharType="end"/>
      </w:r>
      <w:r>
        <w:rPr>
          <w:rFonts w:asciiTheme="majorHAnsi" w:hAnsiTheme="majorHAnsi"/>
        </w:rPr>
        <w:t>.  </w:t>
      </w:r>
      <w:r>
        <w:t>Chiar dacă în hotărârea</w:t>
      </w:r>
      <w:r>
        <w:rPr>
          <w:rFonts w:asciiTheme="majorHAnsi" w:hAnsiTheme="majorHAnsi"/>
        </w:rPr>
        <w:t xml:space="preserve"> </w:t>
      </w:r>
      <w:hyperlink r:id="rId524" w:history="1">
        <w:r>
          <w:rPr>
            <w:rStyle w:val="Hyperlink"/>
            <w:rFonts w:asciiTheme="majorHAnsi" w:hAnsiTheme="majorHAnsi"/>
          </w:rPr>
          <w:t>Scoppola împotriva Italiei (nr. 2)</w:t>
        </w:r>
      </w:hyperlink>
      <w:r>
        <w:rPr>
          <w:rFonts w:asciiTheme="majorHAnsi" w:hAnsiTheme="majorHAnsi"/>
        </w:rPr>
        <w:t xml:space="preserve"> (MC), 2009, Curtea nu s-a pronunțat în mod explicit în favoarea unui efect retroactiv al modificărilor legislative în beneficiul persoanelor condamnate, aceasta a aplicat principiul retroactivității legii penale mai favorabile față de o persoană condamnată, în măsura în care dreptul național cerea în mod expres instanțelor naționale să revizuiască </w:t>
      </w:r>
      <w:r>
        <w:rPr>
          <w:rStyle w:val="CLLItalic"/>
          <w:rFonts w:asciiTheme="majorHAnsi" w:hAnsiTheme="majorHAnsi"/>
        </w:rPr>
        <w:t>din oficiu</w:t>
      </w:r>
      <w:r>
        <w:rPr>
          <w:rFonts w:asciiTheme="majorHAnsi" w:hAnsiTheme="majorHAnsi"/>
        </w:rPr>
        <w:t xml:space="preserve"> o hotărâre de condamnare în cazul în care legea posterioară reducea pedeapsa aplicabilă pentru o infracțiune (</w:t>
      </w:r>
      <w:hyperlink r:id="rId525" w:history="1">
        <w:hyperlink r:id="rId526" w:history="1">
          <w:r>
            <w:rPr>
              <w:rStyle w:val="Hyperlink"/>
              <w:rFonts w:asciiTheme="majorHAnsi" w:hAnsiTheme="majorHAnsi"/>
            </w:rPr>
            <w:t>Gouarré Patte împotriva Andorrei</w:t>
          </w:r>
        </w:hyperlink>
      </w:hyperlink>
      <w:r>
        <w:rPr>
          <w:rFonts w:asciiTheme="majorHAnsi" w:hAnsiTheme="majorHAnsi"/>
        </w:rPr>
        <w:t>, 2016, pct. 28</w:t>
      </w:r>
      <w:r>
        <w:rPr>
          <w:rFonts w:asciiTheme="majorHAnsi" w:hAnsiTheme="majorHAnsi"/>
        </w:rPr>
        <w:noBreakHyphen/>
        <w:t xml:space="preserve">36). </w:t>
      </w:r>
      <w:r>
        <w:t>Curtea a reținut că, atunci când un stat a prevăzut expres în legislația sa principiul retroactivității legii penale mai favorabile, acesta trebuie să le permită cetățenilor săi să exercite acest drept conform garanțiilor din Convenție [</w:t>
      </w:r>
      <w:hyperlink r:id="rId527" w:history="1">
        <w:r>
          <w:rPr>
            <w:rStyle w:val="Hyperlink"/>
            <w:rFonts w:asciiTheme="majorHAnsi" w:hAnsiTheme="majorHAnsi"/>
          </w:rPr>
          <w:t>ibidem</w:t>
        </w:r>
      </w:hyperlink>
      <w:r>
        <w:rPr>
          <w:rFonts w:asciiTheme="majorHAnsi" w:hAnsiTheme="majorHAnsi"/>
        </w:rPr>
        <w:t xml:space="preserve">, pct. 35; spre comparație și contrast </w:t>
      </w:r>
      <w:hyperlink r:id="rId528" w:history="1">
        <w:r>
          <w:rPr>
            <w:rStyle w:val="Hyperlink"/>
          </w:rPr>
          <w:t>Artsruni împotriva Armeniei</w:t>
        </w:r>
      </w:hyperlink>
      <w:r>
        <w:rPr>
          <w:i/>
        </w:rPr>
        <w:t xml:space="preserve"> </w:t>
      </w:r>
      <w:r>
        <w:t xml:space="preserve">(dec.), 2021, </w:t>
      </w:r>
      <w:r>
        <w:rPr>
          <w:rFonts w:asciiTheme="majorHAnsi" w:hAnsiTheme="majorHAnsi"/>
        </w:rPr>
        <w:t>pct. 47-62, unde s-a considerat că procedurile prin care reclamantul solicita revizuirea pedepsei în urma unor modificări legislative, nu intrau sub incidența art. 7, date fiind concluziile instanțelor interne].</w:t>
      </w:r>
    </w:p>
    <w:p w14:paraId="68ED03BB" w14:textId="5E3E7C7D" w:rsidR="00DA23D9" w:rsidRPr="006B7E09" w:rsidRDefault="00DA23D9" w:rsidP="00DA23D9">
      <w:pPr>
        <w:pStyle w:val="ECHRParaSpaced"/>
        <w:rPr>
          <w:rFonts w:asciiTheme="majorHAnsi" w:eastAsia="Times New Roman" w:hAnsiTheme="majorHAnsi" w:cs="Times New Roman"/>
        </w:rPr>
      </w:pPr>
      <w:r w:rsidRPr="006B7E09">
        <w:rPr>
          <w:rFonts w:asciiTheme="majorHAnsi" w:eastAsia="Times New Roman" w:hAnsiTheme="majorHAnsi" w:cs="Times New Roman"/>
        </w:rPr>
        <w:fldChar w:fldCharType="begin"/>
      </w:r>
      <w:r w:rsidRPr="006B7E09">
        <w:rPr>
          <w:rFonts w:asciiTheme="majorHAnsi" w:eastAsia="Times New Roman" w:hAnsiTheme="majorHAnsi" w:cs="Times New Roman"/>
        </w:rPr>
        <w:instrText xml:space="preserve"> SEQ level0 \*arabic </w:instrText>
      </w:r>
      <w:r w:rsidRPr="006B7E09">
        <w:rPr>
          <w:rFonts w:asciiTheme="majorHAnsi" w:eastAsia="Times New Roman" w:hAnsiTheme="majorHAnsi" w:cs="Times New Roman"/>
        </w:rPr>
        <w:fldChar w:fldCharType="separate"/>
      </w:r>
      <w:r w:rsidR="00C84E1E">
        <w:rPr>
          <w:rFonts w:asciiTheme="majorHAnsi" w:eastAsia="Times New Roman" w:hAnsiTheme="majorHAnsi" w:cs="Times New Roman"/>
          <w:noProof/>
        </w:rPr>
        <w:t>61</w:t>
      </w:r>
      <w:r w:rsidRPr="006B7E09">
        <w:rPr>
          <w:rFonts w:asciiTheme="majorHAnsi" w:eastAsia="Times New Roman" w:hAnsiTheme="majorHAnsi" w:cs="Times New Roman"/>
        </w:rPr>
        <w:fldChar w:fldCharType="end"/>
      </w:r>
      <w:r>
        <w:rPr>
          <w:rFonts w:asciiTheme="majorHAnsi" w:hAnsiTheme="majorHAnsi"/>
        </w:rPr>
        <w:t>.  </w:t>
      </w:r>
      <w:r>
        <w:t xml:space="preserve">Principiul retroactivității legii penale mai favorabile se poate aplica, de asemenea, la contopirea mai multor condamnări într-un singură </w:t>
      </w:r>
      <w:r>
        <w:rPr>
          <w:rFonts w:asciiTheme="majorHAnsi" w:hAnsiTheme="majorHAnsi"/>
        </w:rPr>
        <w:t>(</w:t>
      </w:r>
      <w:hyperlink r:id="rId529" w:history="1">
        <w:r>
          <w:rPr>
            <w:rStyle w:val="Hyperlink"/>
            <w:rFonts w:asciiTheme="majorHAnsi" w:hAnsiTheme="majorHAnsi"/>
          </w:rPr>
          <w:t>Koprivnikar împotriva Sloveniei</w:t>
        </w:r>
      </w:hyperlink>
      <w:r>
        <w:rPr>
          <w:rFonts w:asciiTheme="majorHAnsi" w:hAnsiTheme="majorHAnsi"/>
        </w:rPr>
        <w:t>, 2017, pct. 59).</w:t>
      </w:r>
    </w:p>
    <w:p w14:paraId="67B50395" w14:textId="18E35776" w:rsidR="0006327C" w:rsidRPr="006B7E09" w:rsidRDefault="0006327C" w:rsidP="00DA23D9">
      <w:pPr>
        <w:pStyle w:val="ECHRParaSpaced"/>
        <w:rPr>
          <w:rFonts w:asciiTheme="majorHAnsi" w:eastAsia="Times New Roman" w:hAnsiTheme="majorHAnsi" w:cs="Times New Roman"/>
        </w:rPr>
      </w:pPr>
      <w:r w:rsidRPr="006B7E09">
        <w:rPr>
          <w:rFonts w:asciiTheme="majorHAnsi" w:eastAsia="Times New Roman" w:hAnsiTheme="majorHAnsi" w:cs="Times New Roman"/>
        </w:rPr>
        <w:fldChar w:fldCharType="begin"/>
      </w:r>
      <w:r w:rsidRPr="006B7E09">
        <w:rPr>
          <w:rFonts w:asciiTheme="majorHAnsi" w:eastAsia="Times New Roman" w:hAnsiTheme="majorHAnsi" w:cs="Times New Roman"/>
        </w:rPr>
        <w:instrText xml:space="preserve"> SEQ level0 \*arabic </w:instrText>
      </w:r>
      <w:r w:rsidRPr="006B7E09">
        <w:rPr>
          <w:rFonts w:asciiTheme="majorHAnsi" w:eastAsia="Times New Roman" w:hAnsiTheme="majorHAnsi" w:cs="Times New Roman"/>
        </w:rPr>
        <w:fldChar w:fldCharType="separate"/>
      </w:r>
      <w:r w:rsidR="00C84E1E">
        <w:rPr>
          <w:rFonts w:asciiTheme="majorHAnsi" w:eastAsia="Times New Roman" w:hAnsiTheme="majorHAnsi" w:cs="Times New Roman"/>
          <w:noProof/>
        </w:rPr>
        <w:t>62</w:t>
      </w:r>
      <w:r w:rsidRPr="006B7E09">
        <w:rPr>
          <w:rFonts w:asciiTheme="majorHAnsi" w:eastAsia="Times New Roman" w:hAnsiTheme="majorHAnsi" w:cs="Times New Roman"/>
        </w:rPr>
        <w:fldChar w:fldCharType="end"/>
      </w:r>
      <w:r>
        <w:rPr>
          <w:rFonts w:asciiTheme="majorHAnsi" w:hAnsiTheme="majorHAnsi"/>
        </w:rPr>
        <w:t>.  </w:t>
      </w:r>
      <w:r>
        <w:t>Pentru a stabili dacă o lege a fost adoptată ulterior după pretinsa săvârșire a infracțiunii este mai mult sau mai puțin favorabilă acuzatului decât legea care era în vigoare la data pretinsei comiteri a infracțiunii, trebuie să se țină seama de circumstanțele specifice cauzei</w:t>
      </w:r>
      <w:r>
        <w:rPr>
          <w:rFonts w:asciiTheme="majorHAnsi" w:hAnsiTheme="majorHAnsi"/>
        </w:rPr>
        <w:t xml:space="preserve"> – principiul concretizării [</w:t>
      </w:r>
      <w:hyperlink r:id="rId530" w:history="1">
        <w:r>
          <w:rPr>
            <w:rStyle w:val="Hyperlink"/>
            <w:rFonts w:asciiTheme="majorHAnsi" w:hAnsiTheme="majorHAnsi"/>
          </w:rPr>
          <w:t>Aviz consultativ privind folosirea „referinței generale” sau a tehnicii „legislației prin referire” în definiția unei infracțiuni și standardele comparației dintre legislația penală în vigoare la data comiterii infracțiunii și legislația penală modificată</w:t>
        </w:r>
      </w:hyperlink>
      <w:r>
        <w:rPr>
          <w:rFonts w:asciiTheme="majorHAnsi" w:hAnsiTheme="majorHAnsi"/>
        </w:rPr>
        <w:t>, (MC), 2020, pct. 86-92].</w:t>
      </w:r>
    </w:p>
    <w:p w14:paraId="2657657D" w14:textId="66498CAC" w:rsidR="00E319AA" w:rsidRPr="006B7E09" w:rsidRDefault="00FC5F60" w:rsidP="00F334A6">
      <w:pPr>
        <w:pStyle w:val="ECHRHeading1"/>
        <w:ind w:left="567" w:hanging="567"/>
      </w:pPr>
      <w:bookmarkStart w:id="55" w:name="_Toc162517970"/>
      <w:r>
        <w:t>Art. 7 § 2: principiile generale de drept recunoscute de națiunile civilizate</w:t>
      </w:r>
      <w:bookmarkEnd w:id="55"/>
    </w:p>
    <w:p w14:paraId="01DD37A4" w14:textId="77777777" w:rsidR="00A11F94" w:rsidRPr="006B7E09" w:rsidRDefault="00A11F94" w:rsidP="00516707">
      <w:pPr>
        <w:pStyle w:val="ECHRParaHanging"/>
        <w:keepNext/>
        <w:rPr>
          <w:rFonts w:asciiTheme="majorHAnsi" w:hAnsiTheme="majorHAnsi"/>
        </w:rPr>
      </w:pPr>
    </w:p>
    <w:tbl>
      <w:tblPr>
        <w:tblStyle w:val="TableGrid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9061"/>
      </w:tblGrid>
      <w:tr w:rsidR="00A11F94" w:rsidRPr="006B7E09" w14:paraId="22009A51" w14:textId="77777777" w:rsidTr="00E35EF9">
        <w:trPr>
          <w:trHeight w:val="1433"/>
        </w:trPr>
        <w:tc>
          <w:tcPr>
            <w:tcW w:w="9277" w:type="dxa"/>
            <w:shd w:val="clear" w:color="auto" w:fill="F8F8F8" w:themeFill="background2"/>
            <w:tcMar>
              <w:right w:w="227" w:type="dxa"/>
            </w:tcMar>
          </w:tcPr>
          <w:p w14:paraId="1EAC5025" w14:textId="7DC4BBDB" w:rsidR="00A11F94" w:rsidRPr="006B7E09" w:rsidRDefault="00A11F94" w:rsidP="008C693B">
            <w:pPr>
              <w:spacing w:before="120" w:after="120"/>
              <w:jc w:val="both"/>
              <w:rPr>
                <w:rFonts w:asciiTheme="majorHAnsi" w:hAnsiTheme="majorHAnsi"/>
                <w:b/>
                <w:color w:val="00548C" w:themeColor="background1" w:themeShade="BF"/>
              </w:rPr>
            </w:pPr>
            <w:r>
              <w:rPr>
                <w:rFonts w:asciiTheme="majorHAnsi" w:hAnsiTheme="majorHAnsi"/>
                <w:b/>
                <w:color w:val="00548C" w:themeColor="background1" w:themeShade="BF"/>
              </w:rPr>
              <w:t>Art. 7 § 2 din Convenție</w:t>
            </w:r>
          </w:p>
          <w:p w14:paraId="538B4C72" w14:textId="77777777" w:rsidR="00A11F94" w:rsidRPr="006B7E09" w:rsidRDefault="00A11F94" w:rsidP="00037C14">
            <w:pPr>
              <w:pStyle w:val="ECHRParaQuote"/>
              <w:rPr>
                <w:rFonts w:asciiTheme="majorHAnsi" w:hAnsiTheme="majorHAnsi"/>
              </w:rPr>
            </w:pPr>
            <w:r>
              <w:rPr>
                <w:rFonts w:asciiTheme="majorHAnsi" w:hAnsiTheme="majorHAnsi"/>
              </w:rPr>
              <w:t>„2.  Prezentul articol nu va aduce atingere judecării și pedepsirii unei persoane vinovate de o acțiune sau de o omisiune care, în momentul săvârșirii sale, era considerată infracțiune potrivit principiilor generale de drept recunoscute de națiunile civilizate.”</w:t>
            </w:r>
          </w:p>
        </w:tc>
      </w:tr>
      <w:tr w:rsidR="00A11F94" w:rsidRPr="006B7E09" w14:paraId="5678B4A0" w14:textId="77777777" w:rsidTr="00E35EF9">
        <w:tc>
          <w:tcPr>
            <w:tcW w:w="9277" w:type="dxa"/>
            <w:shd w:val="clear" w:color="auto" w:fill="F8F8F8" w:themeFill="background2"/>
            <w:tcMar>
              <w:right w:w="227" w:type="dxa"/>
            </w:tcMar>
          </w:tcPr>
          <w:p w14:paraId="0C2CD44B" w14:textId="77777777" w:rsidR="00A11F94" w:rsidRPr="006B7E09" w:rsidRDefault="00A11F94" w:rsidP="00A11F94">
            <w:pPr>
              <w:keepNext/>
              <w:spacing w:before="120" w:after="120"/>
              <w:jc w:val="both"/>
              <w:rPr>
                <w:rFonts w:asciiTheme="majorHAnsi" w:hAnsiTheme="majorHAnsi"/>
                <w:b/>
                <w:color w:val="00548C" w:themeColor="background1" w:themeShade="BF"/>
              </w:rPr>
            </w:pPr>
            <w:r>
              <w:rPr>
                <w:rFonts w:asciiTheme="majorHAnsi" w:hAnsiTheme="majorHAnsi"/>
                <w:b/>
                <w:color w:val="00548C" w:themeColor="background1" w:themeShade="BF"/>
              </w:rPr>
              <w:t>Cuvinte-cheie HUDOC</w:t>
            </w:r>
          </w:p>
          <w:p w14:paraId="2ED903EF" w14:textId="77777777" w:rsidR="00A11F94" w:rsidRPr="006B7E09" w:rsidRDefault="00A11F94" w:rsidP="00037C14">
            <w:pPr>
              <w:pStyle w:val="ECHRParaQuote"/>
              <w:rPr>
                <w:rFonts w:asciiTheme="majorHAnsi" w:hAnsiTheme="majorHAnsi"/>
              </w:rPr>
            </w:pPr>
            <w:r>
              <w:rPr>
                <w:rFonts w:asciiTheme="majorHAnsi" w:hAnsiTheme="majorHAnsi"/>
              </w:rPr>
              <w:t>Infracțiune (art. 7-2) - Principii generale de drept recunoscute de națiunile civilizate (art. 7-2)</w:t>
            </w:r>
          </w:p>
        </w:tc>
      </w:tr>
    </w:tbl>
    <w:p w14:paraId="6FB63EEE" w14:textId="77777777" w:rsidR="00A11F94" w:rsidRPr="006B7E09" w:rsidRDefault="00A11F94" w:rsidP="00A11F94">
      <w:pPr>
        <w:pStyle w:val="ECHRParaHanging"/>
        <w:rPr>
          <w:rFonts w:asciiTheme="majorHAnsi" w:hAnsiTheme="majorHAnsi"/>
        </w:rPr>
      </w:pPr>
    </w:p>
    <w:p w14:paraId="3D992460" w14:textId="080867C2" w:rsidR="00025AAB" w:rsidRPr="006B7E09" w:rsidRDefault="009E07DE" w:rsidP="008E75AA">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63</w:t>
      </w:r>
      <w:r w:rsidRPr="006B7E09">
        <w:rPr>
          <w:rFonts w:asciiTheme="majorHAnsi" w:hAnsiTheme="majorHAnsi"/>
        </w:rPr>
        <w:fldChar w:fldCharType="end"/>
      </w:r>
      <w:r>
        <w:rPr>
          <w:rFonts w:asciiTheme="majorHAnsi" w:hAnsiTheme="majorHAnsi"/>
        </w:rPr>
        <w:t>.  </w:t>
      </w:r>
      <w:r>
        <w:t xml:space="preserve">Reiese din </w:t>
      </w:r>
      <w:r>
        <w:rPr>
          <w:rStyle w:val="CLLItalic"/>
        </w:rPr>
        <w:t>lucrările pregătitoare</w:t>
      </w:r>
      <w:r>
        <w:t xml:space="preserve"> ale Convenției că se poate considera că art. 7 § 1 cuprinde norma generală a neretroactivității și că art. 7 § 2 reprezintă doar o clarificare contextuală a părții despre răspundere a acestei norme, adăugat pentru a elimina orice îndoială privind validitatea urmăririle penale de după al Doilea Război Mondial împotriva atrocităților săvârșite în timpul războiului [</w:t>
      </w:r>
      <w:hyperlink r:id="rId531" w:history="1">
        <w:hyperlink r:id="rId532" w:history="1">
          <w:hyperlink r:id="rId533" w:history="1">
            <w:r>
              <w:rPr>
                <w:rStyle w:val="Hyperlink"/>
                <w:rFonts w:asciiTheme="majorHAnsi" w:hAnsiTheme="majorHAnsi"/>
              </w:rPr>
              <w:t xml:space="preserve">Kononov </w:t>
            </w:r>
            <w:r>
              <w:rPr>
                <w:rStyle w:val="Hyperlink"/>
                <w:rFonts w:asciiTheme="majorHAnsi" w:hAnsiTheme="majorHAnsi"/>
              </w:rPr>
              <w:lastRenderedPageBreak/>
              <w:t xml:space="preserve">împotriva Letoniei </w:t>
            </w:r>
          </w:hyperlink>
        </w:hyperlink>
      </w:hyperlink>
      <w:r>
        <w:rPr>
          <w:rFonts w:asciiTheme="majorHAnsi" w:hAnsiTheme="majorHAnsi"/>
        </w:rPr>
        <w:t xml:space="preserve"> (MC), 2010, pct. 186; </w:t>
      </w:r>
      <w:hyperlink r:id="rId534" w:history="1">
        <w:r>
          <w:rPr>
            <w:rStyle w:val="Hyperlink"/>
            <w:rFonts w:asciiTheme="majorHAnsi" w:hAnsiTheme="majorHAnsi"/>
          </w:rPr>
          <w:t>Maktouf și Damjanović împotriva Bosniei și Herțegovinei</w:t>
        </w:r>
      </w:hyperlink>
      <w:r>
        <w:rPr>
          <w:rFonts w:asciiTheme="majorHAnsi" w:hAnsiTheme="majorHAnsi"/>
        </w:rPr>
        <w:t xml:space="preserve"> (MC), 2013, pct. 72]. De aici rezultă în mod limpede că autorii Convenției nu au avut intenția să permită o excepție generală de la norma neretroactivității.  </w:t>
      </w:r>
      <w:r>
        <w:t>De altfel, Curtea a declarat în mai multe cauze că cele două paragrafe ale art. 7 sunt legate și este necesar să facă obiectul unei interpretări concordante [</w:t>
      </w:r>
      <w:hyperlink r:id="rId535" w:history="1">
        <w:hyperlink r:id="rId536" w:history="1">
          <w:r>
            <w:rPr>
              <w:rStyle w:val="Hyperlink"/>
              <w:rFonts w:asciiTheme="majorHAnsi" w:hAnsiTheme="majorHAnsi"/>
            </w:rPr>
            <w:t>Tess împotriva Letoniei</w:t>
          </w:r>
        </w:hyperlink>
      </w:hyperlink>
      <w:r>
        <w:rPr>
          <w:rFonts w:asciiTheme="majorHAnsi" w:hAnsiTheme="majorHAnsi"/>
        </w:rPr>
        <w:t xml:space="preserve"> (dec.), 2008; </w:t>
      </w:r>
      <w:hyperlink r:id="rId537" w:history="1">
        <w:hyperlink r:id="rId538" w:history="1">
          <w:hyperlink r:id="rId539" w:history="1">
            <w:r>
              <w:rPr>
                <w:rStyle w:val="Hyperlink"/>
                <w:rFonts w:asciiTheme="majorHAnsi" w:hAnsiTheme="majorHAnsi"/>
              </w:rPr>
              <w:t>Kononov împotriva Letoniei</w:t>
            </w:r>
          </w:hyperlink>
        </w:hyperlink>
      </w:hyperlink>
      <w:r>
        <w:rPr>
          <w:rFonts w:asciiTheme="majorHAnsi" w:hAnsiTheme="majorHAnsi"/>
        </w:rPr>
        <w:t xml:space="preserve"> (MC), 2010, pct. 186].</w:t>
      </w:r>
    </w:p>
    <w:p w14:paraId="47C64E27" w14:textId="498A5615" w:rsidR="006D2C5E" w:rsidRPr="006B7E09" w:rsidRDefault="00025AAB" w:rsidP="00052DA4">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64</w:t>
      </w:r>
      <w:r w:rsidRPr="006B7E09">
        <w:rPr>
          <w:rFonts w:asciiTheme="majorHAnsi" w:hAnsiTheme="majorHAnsi"/>
        </w:rPr>
        <w:fldChar w:fldCharType="end"/>
      </w:r>
      <w:r>
        <w:rPr>
          <w:rFonts w:asciiTheme="majorHAnsi" w:hAnsiTheme="majorHAnsi"/>
        </w:rPr>
        <w:t>.  </w:t>
      </w:r>
      <w:r>
        <w:t>În lumina acestor principii, Curtea a exclus aplicarea art. 7 § 2 unei condamnări pentru crime de război comise în Bosnia în 1992-1993 [</w:t>
      </w:r>
      <w:hyperlink r:id="rId540" w:history="1">
        <w:r>
          <w:rPr>
            <w:rStyle w:val="Hyperlink"/>
            <w:rFonts w:asciiTheme="majorHAnsi" w:hAnsiTheme="majorHAnsi"/>
          </w:rPr>
          <w:t>Maktouf şi Damjanović împotriva Bosniei și Herțegovinei</w:t>
        </w:r>
      </w:hyperlink>
      <w:r>
        <w:rPr>
          <w:rFonts w:asciiTheme="majorHAnsi" w:hAnsiTheme="majorHAnsi"/>
        </w:rPr>
        <w:t xml:space="preserve"> (MC), 2013, pct. 72, în care Guvernul a susținut că faptele în cauză constituiau infracțiuni în temeiul „principiilor generale de drept recunoscute de națiunile civilizate“ și că norma privind neretroactivitatea pedepselor nu trebuia aplicată] și unei condamnări pentru genocid săvârșit în 1953 [</w:t>
      </w:r>
      <w:hyperlink r:id="rId541" w:history="1">
        <w:hyperlink r:id="rId542" w:history="1">
          <w:r>
            <w:rPr>
              <w:rStyle w:val="Hyperlink"/>
              <w:rFonts w:asciiTheme="majorHAnsi" w:hAnsiTheme="majorHAnsi"/>
            </w:rPr>
            <w:t>Vasiliauskas împotriva Lituaniei</w:t>
          </w:r>
        </w:hyperlink>
      </w:hyperlink>
      <w:r>
        <w:rPr>
          <w:rFonts w:asciiTheme="majorHAnsi" w:hAnsiTheme="majorHAnsi"/>
        </w:rPr>
        <w:t xml:space="preserve"> (MC), 2015, pct. 187-190]. </w:t>
      </w:r>
      <w:r>
        <w:t>Cu privire la o condamnare pentru crime de război săvârșite în timpul celui de-al Doilea Război Mondial, Curtea a considerat că nu era necesar să fie examinată în perspectiva art. 7 § 2, dat fiind că acțiunile reclamantului au constituit o infracțiune potrivit „dreptului internațional“ în sensul art. 7 § 1 [</w:t>
      </w:r>
      <w:hyperlink r:id="rId543" w:history="1">
        <w:hyperlink r:id="rId544" w:history="1">
          <w:hyperlink r:id="rId545" w:history="1">
            <w:r>
              <w:rPr>
                <w:rStyle w:val="Hyperlink"/>
                <w:rFonts w:asciiTheme="majorHAnsi" w:hAnsiTheme="majorHAnsi"/>
              </w:rPr>
              <w:t>Kononov împotriva Letoniei</w:t>
            </w:r>
          </w:hyperlink>
        </w:hyperlink>
      </w:hyperlink>
      <w:r>
        <w:rPr>
          <w:rFonts w:asciiTheme="majorHAnsi" w:hAnsiTheme="majorHAnsi"/>
        </w:rPr>
        <w:t xml:space="preserve"> (MC), 2010, pct. 244-246, înțeles ca făcând referire la dreptul internațional cutumiar, adică legile și cutumele de război].</w:t>
      </w:r>
    </w:p>
    <w:p w14:paraId="1DB1078F" w14:textId="77777777" w:rsidR="00665E4E" w:rsidRPr="006B7E09" w:rsidRDefault="00B74338" w:rsidP="00F334A6">
      <w:pPr>
        <w:pStyle w:val="ECHRHeading1"/>
        <w:ind w:left="680" w:hanging="680"/>
      </w:pPr>
      <w:bookmarkStart w:id="56" w:name="_Toc162517971"/>
      <w:r>
        <w:t>Măsuri indicate de Curte în cauze privind încălcarea art. 7 din Convenție</w:t>
      </w:r>
      <w:bookmarkEnd w:id="56"/>
    </w:p>
    <w:p w14:paraId="2B7BC72D" w14:textId="47E7EB9E" w:rsidR="004B4180" w:rsidRPr="006B7E09" w:rsidRDefault="0087168B" w:rsidP="00816A5A">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65</w:t>
      </w:r>
      <w:r w:rsidRPr="006B7E09">
        <w:rPr>
          <w:rFonts w:asciiTheme="majorHAnsi" w:hAnsiTheme="majorHAnsi"/>
        </w:rPr>
        <w:fldChar w:fldCharType="end"/>
      </w:r>
      <w:r>
        <w:rPr>
          <w:rFonts w:asciiTheme="majorHAnsi" w:hAnsiTheme="majorHAnsi"/>
        </w:rPr>
        <w:t xml:space="preserve">.  Potrivit art. 46 din Convenție, părțile contractante se obligă să se conformeze hotărârilor definitive ale Curții pronunțate în cauzele în care sunt părți, executarea fiind supravegheată de Comitetul de Miniștri. Statul pârât în privința căruia s-a constatat că a încălcat Convenția sau protocoalele la aceasta, nu are doar obligația de a plăti părților în cauză sumele acordate cu titlu de reparație echitabilă (art. 41 din Convenție), ci și de a alege, sub supravegherea Comitetului de Miniștri, măsurile generale și/sau, după caz, individuale pe care trebuie să le adopte în ordinea sa juridică internă pentru a pune capăt încălcării constatate de Curte și pentru a elimina, pe cât posibil, efectele acesteia. </w:t>
      </w:r>
      <w:r>
        <w:t>Se înțelege, în plus, că statul pârât este liber să aleagă mijloacele pentru îndeplinirea obligației sale legale în conformitate cu art. 46 din Convenție, cu condiția ca aceste mijloace să fie compatibile cu concluziile conținute în hotărârea Curții [</w:t>
      </w:r>
      <w:hyperlink r:id="rId546" w:history="1">
        <w:hyperlink r:id="rId547" w:history="1">
          <w:r>
            <w:rPr>
              <w:rStyle w:val="Hyperlink"/>
              <w:rFonts w:asciiTheme="majorHAnsi" w:hAnsiTheme="majorHAnsi"/>
            </w:rPr>
            <w:t xml:space="preserve">Scozzari și Giunta împotriva Italiei </w:t>
          </w:r>
        </w:hyperlink>
      </w:hyperlink>
      <w:r>
        <w:rPr>
          <w:rFonts w:asciiTheme="majorHAnsi" w:hAnsiTheme="majorHAnsi"/>
        </w:rPr>
        <w:t xml:space="preserve"> (MC), 2000, pct. 249].</w:t>
      </w:r>
    </w:p>
    <w:p w14:paraId="4694D51A" w14:textId="231B77F2" w:rsidR="00A769D8" w:rsidRPr="006B7E09" w:rsidRDefault="0087168B" w:rsidP="00BE54C8">
      <w:pPr>
        <w:pStyle w:val="ECHRParaSpaced"/>
        <w:rPr>
          <w:rFonts w:asciiTheme="majorHAnsi" w:hAnsiTheme="majorHAnsi"/>
        </w:rPr>
      </w:pPr>
      <w:r w:rsidRPr="006B7E09">
        <w:rPr>
          <w:rFonts w:asciiTheme="majorHAnsi" w:hAnsiTheme="majorHAnsi"/>
        </w:rPr>
        <w:fldChar w:fldCharType="begin"/>
      </w:r>
      <w:r w:rsidRPr="006B7E09">
        <w:rPr>
          <w:rFonts w:asciiTheme="majorHAnsi" w:hAnsiTheme="majorHAnsi"/>
        </w:rPr>
        <w:instrText xml:space="preserve"> SEQ level0 \*arabic </w:instrText>
      </w:r>
      <w:r w:rsidRPr="006B7E09">
        <w:rPr>
          <w:rFonts w:asciiTheme="majorHAnsi" w:hAnsiTheme="majorHAnsi"/>
        </w:rPr>
        <w:fldChar w:fldCharType="separate"/>
      </w:r>
      <w:r w:rsidR="00C84E1E">
        <w:rPr>
          <w:rFonts w:asciiTheme="majorHAnsi" w:hAnsiTheme="majorHAnsi"/>
          <w:noProof/>
        </w:rPr>
        <w:t>66</w:t>
      </w:r>
      <w:r w:rsidRPr="006B7E09">
        <w:rPr>
          <w:rFonts w:asciiTheme="majorHAnsi" w:hAnsiTheme="majorHAnsi"/>
        </w:rPr>
        <w:fldChar w:fldCharType="end"/>
      </w:r>
      <w:r>
        <w:rPr>
          <w:rFonts w:asciiTheme="majorHAnsi" w:hAnsiTheme="majorHAnsi"/>
        </w:rPr>
        <w:t>.  Totuși, în anumite circumstanțe speciale, pentru a ajuta statul pârât să-și îndeplinească obligațiile care îi revin în temeiul art. 46, Curtea va încerca să indice tipul de măsuri individuale și/sau generale care ar putea fi luate pentru a pune capăt situației care a dus la constatarea unei încălcări. În cazul încălcării art. 7, uneori și în mod excepțional, Curtea a indicat măsuri individuale concrete: redeschiderea procedurii interne, la cererea reclamantului (</w:t>
      </w:r>
      <w:hyperlink r:id="rId548" w:history="1">
        <w:hyperlink r:id="rId549" w:history="1">
          <w:r>
            <w:rPr>
              <w:rStyle w:val="Hyperlink"/>
              <w:rFonts w:asciiTheme="majorHAnsi" w:hAnsiTheme="majorHAnsi"/>
            </w:rPr>
            <w:t>Dragotoniu şi Militaru-Pidhorni împotriva României</w:t>
          </w:r>
        </w:hyperlink>
      </w:hyperlink>
      <w:r>
        <w:rPr>
          <w:rFonts w:asciiTheme="majorHAnsi" w:hAnsiTheme="majorHAnsi"/>
        </w:rPr>
        <w:t>, 2007, pct. 55, aplicând același principiu ca în cazul în care o persoană a fost condamnată cu încălcarea art. 6 din Convenție); punerea în libertate a reclamantei în cel mai scurt termen [</w:t>
      </w:r>
      <w:hyperlink r:id="rId550" w:history="1">
        <w:hyperlink r:id="rId551" w:history="1">
          <w:r>
            <w:rPr>
              <w:rStyle w:val="Hyperlink"/>
              <w:rFonts w:asciiTheme="majorHAnsi" w:hAnsiTheme="majorHAnsi"/>
            </w:rPr>
            <w:t xml:space="preserve">Del Río Prada împotriva Spaniei </w:t>
          </w:r>
        </w:hyperlink>
      </w:hyperlink>
      <w:r>
        <w:rPr>
          <w:rFonts w:asciiTheme="majorHAnsi" w:hAnsiTheme="majorHAnsi"/>
        </w:rPr>
        <w:t xml:space="preserve"> (MC), 2013, pct. 139 și pct. 3 din dispozitiv, după ce a constatat încălcarea art. 7 și a art. 5 § 1 din Convenție]; sau obligația statului pârât de a asigura ca pedeapsa cu detențiunea pe viață aplicată reclamantului să fie înlocuită cu o pedeapsă care să nu depășească 30 de ani de închisoare, conform principiului retroactivității legii penale mai favorabile [</w:t>
      </w:r>
      <w:hyperlink r:id="rId552" w:history="1">
        <w:r>
          <w:rPr>
            <w:rStyle w:val="Hyperlink"/>
          </w:rPr>
          <w:t>Scoppola împotriva Italiei (nr. 2)</w:t>
        </w:r>
      </w:hyperlink>
      <w:r>
        <w:rPr>
          <w:rFonts w:asciiTheme="majorHAnsi" w:hAnsiTheme="majorHAnsi"/>
        </w:rPr>
        <w:t xml:space="preserve"> (MC), 2009, pct. 154 și pct. 6 lit. a) din dispozitiv].</w:t>
      </w:r>
    </w:p>
    <w:p w14:paraId="56C0126C" w14:textId="77777777" w:rsidR="00962AC3" w:rsidRPr="006B7E09" w:rsidRDefault="00343DBF" w:rsidP="00E82363">
      <w:pPr>
        <w:pStyle w:val="ECHRTitleCentreTOC1"/>
        <w:keepNext w:val="0"/>
        <w:keepLines w:val="0"/>
        <w:pageBreakBefore/>
      </w:pPr>
      <w:bookmarkStart w:id="57" w:name="_Toc436664110"/>
      <w:bookmarkStart w:id="58" w:name="_Toc436664777"/>
      <w:bookmarkStart w:id="59" w:name="_Toc436741703"/>
      <w:bookmarkStart w:id="60" w:name="_Toc436833777"/>
      <w:bookmarkStart w:id="61" w:name="_Toc437417593"/>
      <w:bookmarkStart w:id="62" w:name="_Toc441568640"/>
      <w:bookmarkStart w:id="63" w:name="_Toc448332115"/>
      <w:bookmarkStart w:id="64" w:name="_Toc162517972"/>
      <w:r>
        <w:lastRenderedPageBreak/>
        <w:t>Lista cauzelor citate</w:t>
      </w:r>
      <w:bookmarkEnd w:id="57"/>
      <w:bookmarkEnd w:id="58"/>
      <w:bookmarkEnd w:id="59"/>
      <w:bookmarkEnd w:id="60"/>
      <w:bookmarkEnd w:id="61"/>
      <w:bookmarkEnd w:id="62"/>
      <w:bookmarkEnd w:id="63"/>
      <w:bookmarkEnd w:id="64"/>
    </w:p>
    <w:p w14:paraId="218F9A1E" w14:textId="77777777" w:rsidR="008C693B" w:rsidRPr="006B7E09" w:rsidRDefault="008C693B" w:rsidP="008C693B">
      <w:pPr>
        <w:pStyle w:val="ECHRParaSpaced"/>
        <w:rPr>
          <w:rFonts w:asciiTheme="majorHAnsi" w:hAnsiTheme="majorHAnsi"/>
        </w:rPr>
      </w:pPr>
      <w:r>
        <w:rPr>
          <w:rFonts w:asciiTheme="majorHAnsi" w:hAnsiTheme="majorHAnsi"/>
        </w:rPr>
        <w:t>Jurisprudența citată în prezentul ghid face trimitere la hotărâri sau decizii pronunțate de Curte, precum și la decizii sau rapoarte ale Comisiei Europene a Drepturilor Omului („Comisia”).</w:t>
      </w:r>
    </w:p>
    <w:p w14:paraId="1D18456C" w14:textId="77777777" w:rsidR="008C693B" w:rsidRPr="006B7E09" w:rsidRDefault="008C693B" w:rsidP="008C693B">
      <w:pPr>
        <w:pStyle w:val="ECHRParaSpaced"/>
        <w:rPr>
          <w:rFonts w:asciiTheme="majorHAnsi" w:hAnsiTheme="majorHAnsi"/>
        </w:rPr>
      </w:pPr>
      <w:r>
        <w:rPr>
          <w:rFonts w:asciiTheme="majorHAnsi" w:hAnsiTheme="majorHAnsi"/>
        </w:rPr>
        <w:t>Dacă nu se specifică altfel după denumirea cauzei, referința citată este cea a unei hotărâri pe fond, pronunțată de o Cameră a Curții. Abrevierea „(dec.)” arată că se face referire dintr-o decizie a Curții, iar mențiunea „(MC)” arată că respectiva cauză a fost examinată de Marea Cameră.</w:t>
      </w:r>
    </w:p>
    <w:p w14:paraId="7EDC723C" w14:textId="0D935CB9" w:rsidR="00C05EA2" w:rsidRPr="00D10242" w:rsidRDefault="008C693B" w:rsidP="00C05EA2">
      <w:pPr>
        <w:jc w:val="both"/>
        <w:rPr>
          <w:rFonts w:ascii="Trebuchet MS" w:hAnsi="Trebuchet MS" w:cs="Times New Roman"/>
        </w:rPr>
      </w:pPr>
      <w:r>
        <w:rPr>
          <w:rFonts w:asciiTheme="majorHAnsi" w:hAnsiTheme="majorHAnsi"/>
        </w:rPr>
        <w:t>Hotărârile unei Camere, care, la data publicării prezentei actualizări, nu sunt definitive în sensul art. 44 din Convenție, sunt marcate cu un asterisc (*) în lista de mai jos.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w:t>
      </w:r>
      <w:r w:rsidR="00C05EA2">
        <w:rPr>
          <w:rFonts w:asciiTheme="majorHAnsi" w:hAnsiTheme="majorHAnsi"/>
        </w:rPr>
        <w:t xml:space="preserve"> </w:t>
      </w:r>
      <w:r w:rsidR="00C05EA2" w:rsidRPr="00C05EA2">
        <w:rPr>
          <w:rFonts w:asciiTheme="majorHAnsi" w:hAnsiTheme="majorHAnsi"/>
        </w:rPr>
        <w:t>În cazul în care cererea de retrimitere este admisă de Colegiul Marii Camere, hotărârea pronunțată ulterior de Marea Cameră este cea care devine definitivă, și nu cea a Camerei.</w:t>
      </w:r>
    </w:p>
    <w:p w14:paraId="472BEF84" w14:textId="410F3120" w:rsidR="004C011E" w:rsidRPr="006B7E09" w:rsidRDefault="004C011E" w:rsidP="008C693B">
      <w:pPr>
        <w:pStyle w:val="ECHRParaSpaced"/>
        <w:rPr>
          <w:rFonts w:asciiTheme="majorHAnsi" w:hAnsiTheme="majorHAnsi"/>
        </w:rPr>
      </w:pPr>
    </w:p>
    <w:p w14:paraId="7B906607" w14:textId="5CE34B18" w:rsidR="008C693B" w:rsidRPr="006B7E09" w:rsidRDefault="008C693B" w:rsidP="008C693B">
      <w:pPr>
        <w:pStyle w:val="ECHRParaSpaced"/>
        <w:rPr>
          <w:rFonts w:asciiTheme="majorHAnsi" w:hAnsiTheme="majorHAnsi"/>
        </w:rPr>
      </w:pPr>
      <w:r>
        <w:t>Hiperlinkurile cauzelor citate în versiunea electronică a ghidului direcțion</w:t>
      </w:r>
      <w:r w:rsidR="00C05EA2">
        <w:t>ează</w:t>
      </w:r>
      <w:r>
        <w:t xml:space="preserve"> </w:t>
      </w:r>
      <w:r w:rsidR="00C05EA2">
        <w:t>spre</w:t>
      </w:r>
      <w:r>
        <w:t xml:space="preserve"> baza de date HUDOC </w:t>
      </w:r>
      <w:r>
        <w:rPr>
          <w:rFonts w:asciiTheme="majorHAnsi" w:hAnsiTheme="majorHAnsi"/>
        </w:rPr>
        <w:t>(</w:t>
      </w:r>
      <w:hyperlink r:id="rId553" w:history="1">
        <w:r>
          <w:rPr>
            <w:rStyle w:val="Hyperlink"/>
            <w:rFonts w:asciiTheme="majorHAnsi" w:hAnsiTheme="majorHAnsi"/>
          </w:rPr>
          <w:t>http://hudoc.echr.coe.int</w:t>
        </w:r>
      </w:hyperlink>
      <w:r>
        <w:rPr>
          <w:rFonts w:asciiTheme="majorHAnsi" w:hAnsiTheme="majorHAnsi"/>
        </w:rPr>
        <w:t>)</w:t>
      </w:r>
      <w:r>
        <w:t xml:space="preserve"> care oferă acces la jurisprudența Curții (hotărâri și decizii pronunțate de Marea Cameră, de Cameră și de Comitet</w:t>
      </w:r>
      <w:r w:rsidR="00C05EA2">
        <w:t xml:space="preserve">, </w:t>
      </w:r>
      <w:r>
        <w:t xml:space="preserve">cauze comunicate, avize consultative și rezumate juridice extrase din Nota de informare privind jurisprudența), și la </w:t>
      </w:r>
      <w:r w:rsidR="00C05EA2">
        <w:t>jurisprudența</w:t>
      </w:r>
      <w:r>
        <w:t xml:space="preserve"> Comisiei (decizii și rapoarte)</w:t>
      </w:r>
      <w:r w:rsidR="00C05EA2">
        <w:t>, precum</w:t>
      </w:r>
      <w:r>
        <w:t xml:space="preserve"> și la rezoluțiile Comitetului de Miniștri.</w:t>
      </w:r>
    </w:p>
    <w:p w14:paraId="6DA71AE5" w14:textId="2238D71C" w:rsidR="00601D12" w:rsidRPr="006B7E09" w:rsidRDefault="008C693B" w:rsidP="008C693B">
      <w:pPr>
        <w:pStyle w:val="ECHRParaSpaced"/>
        <w:rPr>
          <w:rFonts w:asciiTheme="majorHAnsi" w:hAnsiTheme="majorHAnsi"/>
        </w:rPr>
      </w:pPr>
      <w:r>
        <w:rPr>
          <w:rFonts w:asciiTheme="majorHAnsi" w:hAnsiTheme="majorHAnsi"/>
        </w:rPr>
        <w:t xml:space="preserve">Curtea pronunță hotărârile și deciziile în limba engleză și/sau franceză, cele două limbi oficiale ale acesteia. Baza de date HUDOC conține, de asemenea, traduceri ale unor cauze importante în peste treizeci de limbi neoficiale. În plus, include linkuri către aproximativ o sută de culegeri de jurisprudență online, elaborate de terți. </w:t>
      </w:r>
      <w:r>
        <w:t xml:space="preserve">Toate versiunile lingvistice disponibile pentru cauzele citate pot fi consultate accesând </w:t>
      </w:r>
      <w:r w:rsidR="00C05EA2">
        <w:t>fila</w:t>
      </w:r>
      <w:r>
        <w:t xml:space="preserve"> „Versiuni lingvistice” din baza de date </w:t>
      </w:r>
      <w:hyperlink r:id="rId554" w:history="1">
        <w:r>
          <w:rPr>
            <w:rStyle w:val="Hyperlink"/>
            <w:rFonts w:asciiTheme="majorHAnsi" w:hAnsiTheme="majorHAnsi"/>
          </w:rPr>
          <w:t>HUDOC</w:t>
        </w:r>
      </w:hyperlink>
      <w:r>
        <w:t>, care apare după ce dați clic pe hiperlinkul cauzei.</w:t>
      </w:r>
    </w:p>
    <w:p w14:paraId="3EBFA2E0" w14:textId="77777777" w:rsidR="008F1027" w:rsidRPr="006B7E09" w:rsidRDefault="008F1027" w:rsidP="008F1027">
      <w:pPr>
        <w:pStyle w:val="ECHRTitleCentre1"/>
      </w:pPr>
      <w:r>
        <w:t>—A—</w:t>
      </w:r>
    </w:p>
    <w:p w14:paraId="58D84390" w14:textId="63A3F62B" w:rsidR="008F1027" w:rsidRPr="006B7E09" w:rsidRDefault="008E32D6" w:rsidP="00C726D5">
      <w:pPr>
        <w:pStyle w:val="ECHRParaHanging"/>
        <w:rPr>
          <w:rFonts w:asciiTheme="majorHAnsi" w:hAnsiTheme="majorHAnsi"/>
        </w:rPr>
      </w:pPr>
      <w:hyperlink r:id="rId555" w:history="1">
        <w:r w:rsidR="0082588E">
          <w:rPr>
            <w:rStyle w:val="Hyperlink"/>
            <w:rFonts w:asciiTheme="majorHAnsi" w:hAnsiTheme="majorHAnsi"/>
          </w:rPr>
          <w:t>A. împotriva Spaniei</w:t>
        </w:r>
      </w:hyperlink>
      <w:r w:rsidR="0082588E">
        <w:rPr>
          <w:rFonts w:asciiTheme="majorHAnsi" w:hAnsiTheme="majorHAnsi"/>
        </w:rPr>
        <w:t>, nr. 11885/85, decizia Comisiei din 13 octombrie 1986</w:t>
      </w:r>
    </w:p>
    <w:p w14:paraId="7BA4E37F" w14:textId="2427AC62" w:rsidR="008F1027" w:rsidRPr="006B7E09" w:rsidRDefault="008E32D6" w:rsidP="00C726D5">
      <w:pPr>
        <w:pStyle w:val="ECHRParaHanging"/>
        <w:rPr>
          <w:rFonts w:asciiTheme="majorHAnsi" w:hAnsiTheme="majorHAnsi"/>
        </w:rPr>
      </w:pPr>
      <w:hyperlink r:id="rId556" w:history="1">
        <w:r w:rsidR="0082588E">
          <w:rPr>
            <w:rStyle w:val="Hyperlink"/>
            <w:rFonts w:asciiTheme="majorHAnsi" w:hAnsiTheme="majorHAnsi"/>
          </w:rPr>
          <w:t>Achour împotriva Franței</w:t>
        </w:r>
      </w:hyperlink>
      <w:r w:rsidR="0082588E">
        <w:t>(MC)</w:t>
      </w:r>
      <w:r w:rsidR="0082588E">
        <w:rPr>
          <w:rFonts w:asciiTheme="majorHAnsi" w:hAnsiTheme="majorHAnsi"/>
        </w:rPr>
        <w:t>, nr. 67335/01, CEDO 2006</w:t>
      </w:r>
      <w:r w:rsidR="0082588E">
        <w:rPr>
          <w:rFonts w:asciiTheme="majorHAnsi" w:hAnsiTheme="majorHAnsi"/>
        </w:rPr>
        <w:noBreakHyphen/>
        <w:t>IV</w:t>
      </w:r>
    </w:p>
    <w:p w14:paraId="7FB86676" w14:textId="210D007F" w:rsidR="008F1027" w:rsidRPr="006B7E09" w:rsidRDefault="008E32D6" w:rsidP="00C726D5">
      <w:pPr>
        <w:pStyle w:val="ECHRParaHanging"/>
        <w:rPr>
          <w:rFonts w:asciiTheme="majorHAnsi" w:hAnsiTheme="majorHAnsi"/>
        </w:rPr>
      </w:pPr>
      <w:hyperlink r:id="rId557" w:history="1">
        <w:r w:rsidR="0082588E">
          <w:rPr>
            <w:rStyle w:val="Hyperlink"/>
            <w:rFonts w:asciiTheme="majorHAnsi" w:hAnsiTheme="majorHAnsi"/>
          </w:rPr>
          <w:t>Adamson împotriva Regatului Unit</w:t>
        </w:r>
      </w:hyperlink>
      <w:r w:rsidR="0082588E">
        <w:rPr>
          <w:rFonts w:asciiTheme="majorHAnsi" w:hAnsiTheme="majorHAnsi"/>
        </w:rPr>
        <w:t xml:space="preserve"> (dec.), nr. 42293/98, 26 ianuarie 1999</w:t>
      </w:r>
    </w:p>
    <w:p w14:paraId="603FA949" w14:textId="0AD8DA43" w:rsidR="007124B2" w:rsidRPr="006B7E09" w:rsidRDefault="008E32D6" w:rsidP="00C726D5">
      <w:pPr>
        <w:pStyle w:val="ECHRParaHanging"/>
        <w:rPr>
          <w:rFonts w:asciiTheme="majorHAnsi" w:hAnsiTheme="majorHAnsi"/>
        </w:rPr>
      </w:pPr>
      <w:hyperlink r:id="rId558" w:history="1">
        <w:r w:rsidR="0082588E">
          <w:rPr>
            <w:rStyle w:val="Hyperlink"/>
            <w:rFonts w:asciiTheme="majorHAnsi" w:hAnsiTheme="majorHAnsi"/>
          </w:rPr>
          <w:t>Aviz consultativ privind folosirea „referinței generale” sau a tehnicii „legislației prin referire” în definiția unei infracțiuni și standardele comparației dintre legislația penală în vigoare la data comiterii infracțiunii și legislația penală modificată</w:t>
        </w:r>
      </w:hyperlink>
      <w:r w:rsidR="0082588E">
        <w:rPr>
          <w:rFonts w:asciiTheme="majorHAnsi" w:hAnsiTheme="majorHAnsi"/>
        </w:rPr>
        <w:t>,</w:t>
      </w:r>
      <w:r w:rsidR="0082588E">
        <w:t xml:space="preserve"> (MC), Cererea nr. P16-2019-001, 29 mai 2020</w:t>
      </w:r>
    </w:p>
    <w:p w14:paraId="4895DDFE" w14:textId="3C39F2D0" w:rsidR="001838BC" w:rsidRPr="006B7E09" w:rsidRDefault="008E32D6" w:rsidP="00C726D5">
      <w:pPr>
        <w:pStyle w:val="ECHRParaHanging"/>
        <w:rPr>
          <w:rFonts w:asciiTheme="majorHAnsi" w:hAnsiTheme="majorHAnsi"/>
        </w:rPr>
      </w:pPr>
      <w:hyperlink r:id="rId559" w:history="1">
        <w:r w:rsidR="0082588E">
          <w:rPr>
            <w:rStyle w:val="Hyperlink"/>
          </w:rPr>
          <w:t>Avizul consultativ privind aplicabilitate legislației de limitare a urmăririi penale, a condamnării și a pedepsirii în privința unei infracțiuni care reprezintă, pe fond, un act de tortură</w:t>
        </w:r>
      </w:hyperlink>
      <w:r w:rsidR="0082588E">
        <w:t xml:space="preserve"> (MC), Cererea nr. P16-2021-001, 26 aprilie 2022</w:t>
      </w:r>
    </w:p>
    <w:p w14:paraId="054E4F6F" w14:textId="1624F16D" w:rsidR="008F1027" w:rsidRPr="006B7E09" w:rsidRDefault="008E32D6" w:rsidP="00C726D5">
      <w:pPr>
        <w:pStyle w:val="ECHRParaHanging"/>
        <w:rPr>
          <w:rFonts w:asciiTheme="majorHAnsi" w:hAnsiTheme="majorHAnsi"/>
          <w:snapToGrid w:val="0"/>
        </w:rPr>
      </w:pPr>
      <w:hyperlink r:id="rId560" w:history="1">
        <w:r w:rsidR="0082588E">
          <w:rPr>
            <w:rStyle w:val="Hyperlink"/>
            <w:rFonts w:asciiTheme="majorHAnsi" w:hAnsiTheme="majorHAnsi"/>
          </w:rPr>
          <w:t>Alimuçaj împotriva Albaniei</w:t>
        </w:r>
      </w:hyperlink>
      <w:r w:rsidR="0082588E">
        <w:rPr>
          <w:rFonts w:asciiTheme="majorHAnsi" w:hAnsiTheme="majorHAnsi"/>
        </w:rPr>
        <w:t>, nr. 20134/05</w:t>
      </w:r>
      <w:r w:rsidR="0082588E">
        <w:rPr>
          <w:rFonts w:asciiTheme="majorHAnsi" w:hAnsiTheme="majorHAnsi"/>
          <w:snapToGrid w:val="0"/>
        </w:rPr>
        <w:t>, 7 februarie 2012</w:t>
      </w:r>
    </w:p>
    <w:p w14:paraId="2849F6BE" w14:textId="224EB09A" w:rsidR="00975F76" w:rsidRPr="006B7E09" w:rsidRDefault="008E32D6" w:rsidP="00C726D5">
      <w:pPr>
        <w:pStyle w:val="ECHRParaHanging"/>
        <w:rPr>
          <w:rFonts w:asciiTheme="majorHAnsi" w:hAnsiTheme="majorHAnsi"/>
        </w:rPr>
      </w:pPr>
      <w:hyperlink r:id="rId561" w:history="1">
        <w:r w:rsidR="0082588E">
          <w:rPr>
            <w:rStyle w:val="Hyperlink"/>
            <w:rFonts w:asciiTheme="majorHAnsi" w:hAnsiTheme="majorHAnsi"/>
          </w:rPr>
          <w:t>Antia și Khupenia împotriva Georgiei</w:t>
        </w:r>
      </w:hyperlink>
      <w:r w:rsidR="0082588E">
        <w:rPr>
          <w:rFonts w:asciiTheme="majorHAnsi" w:hAnsiTheme="majorHAnsi"/>
          <w:i/>
        </w:rPr>
        <w:t>, nr.</w:t>
      </w:r>
      <w:r w:rsidR="0082588E">
        <w:rPr>
          <w:rFonts w:asciiTheme="majorHAnsi" w:hAnsiTheme="majorHAnsi"/>
        </w:rPr>
        <w:t xml:space="preserve"> 7523/10, 18 iunie 2020</w:t>
      </w:r>
    </w:p>
    <w:p w14:paraId="388BB150" w14:textId="3FD9BACB" w:rsidR="001F7B05" w:rsidRPr="006B7E09" w:rsidRDefault="008E32D6" w:rsidP="00C726D5">
      <w:pPr>
        <w:pStyle w:val="ECHRParaHanging"/>
      </w:pPr>
      <w:hyperlink r:id="rId562" w:history="1">
        <w:r w:rsidR="0082588E">
          <w:rPr>
            <w:rStyle w:val="Hyperlink"/>
          </w:rPr>
          <w:t>Arrozpide Sarasola and Others v. Spain</w:t>
        </w:r>
      </w:hyperlink>
      <w:r w:rsidR="0082588E">
        <w:t>,nr. 65101/16 și alte 2 cereri, 23 octombrie 2018</w:t>
      </w:r>
    </w:p>
    <w:p w14:paraId="44A06ABE" w14:textId="1EDFD617" w:rsidR="0099764D" w:rsidRPr="006B7E09" w:rsidRDefault="008E32D6" w:rsidP="00C726D5">
      <w:pPr>
        <w:pStyle w:val="ECHRParaHanging"/>
        <w:rPr>
          <w:rFonts w:asciiTheme="majorHAnsi" w:hAnsiTheme="majorHAnsi"/>
          <w:snapToGrid w:val="0"/>
        </w:rPr>
      </w:pPr>
      <w:hyperlink r:id="rId563" w:history="1">
        <w:r w:rsidR="0082588E">
          <w:rPr>
            <w:rStyle w:val="Hyperlink"/>
          </w:rPr>
          <w:t>Artsruni împotriva Armeniei</w:t>
        </w:r>
      </w:hyperlink>
      <w:r w:rsidR="0082588E">
        <w:t xml:space="preserve"> (dec.), nr. 41126/13, 30 noiembrie 2021</w:t>
      </w:r>
    </w:p>
    <w:p w14:paraId="621E1F2E" w14:textId="77777777" w:rsidR="008F1027" w:rsidRPr="006B7E09" w:rsidRDefault="008F1027" w:rsidP="008F1027">
      <w:pPr>
        <w:pStyle w:val="ECHRTitleCentre1"/>
      </w:pPr>
      <w:r>
        <w:lastRenderedPageBreak/>
        <w:t>—B—</w:t>
      </w:r>
    </w:p>
    <w:p w14:paraId="389F0EBD" w14:textId="0C24E9C1" w:rsidR="00ED3759" w:rsidRPr="006B7E09" w:rsidRDefault="008E32D6" w:rsidP="007B67CE">
      <w:pPr>
        <w:pStyle w:val="ECHRParaHanging"/>
      </w:pPr>
      <w:hyperlink r:id="rId564" w:history="1">
        <w:r w:rsidR="0082588E">
          <w:rPr>
            <w:rStyle w:val="Hyperlink"/>
            <w:rFonts w:asciiTheme="majorHAnsi" w:hAnsiTheme="majorHAnsi"/>
          </w:rPr>
          <w:t>Balsamo împotriva San Marino</w:t>
        </w:r>
      </w:hyperlink>
      <w:r w:rsidR="0082588E">
        <w:rPr>
          <w:i/>
        </w:rPr>
        <w:t xml:space="preserve">, </w:t>
      </w:r>
      <w:r w:rsidR="0082588E">
        <w:t>nr. 20319/17 și 21414/17, 8 octombrie 2019</w:t>
      </w:r>
    </w:p>
    <w:p w14:paraId="49053922" w14:textId="7F2849D5" w:rsidR="008F1027" w:rsidRPr="006B7E09" w:rsidRDefault="008E32D6" w:rsidP="007B67CE">
      <w:pPr>
        <w:pStyle w:val="ECHRParaHanging"/>
      </w:pPr>
      <w:hyperlink r:id="rId565" w:history="1">
        <w:r w:rsidR="0082588E">
          <w:rPr>
            <w:rStyle w:val="Hyperlink"/>
            <w:rFonts w:asciiTheme="majorHAnsi" w:hAnsiTheme="majorHAnsi"/>
          </w:rPr>
          <w:t>Başkaya şi Okçuoğlu împotriva Turciei</w:t>
        </w:r>
      </w:hyperlink>
      <w:r w:rsidR="0082588E">
        <w:t xml:space="preserve"> (MC) nr. 23536/94 și 24408/94, CEDO 1999</w:t>
      </w:r>
      <w:r w:rsidR="0082588E">
        <w:noBreakHyphen/>
        <w:t>IV</w:t>
      </w:r>
    </w:p>
    <w:p w14:paraId="686DAA56" w14:textId="47A55D79" w:rsidR="008F1027" w:rsidRPr="006B7E09" w:rsidRDefault="008E32D6" w:rsidP="007B67CE">
      <w:pPr>
        <w:pStyle w:val="ECHRParaHanging"/>
      </w:pPr>
      <w:hyperlink r:id="rId566" w:history="1">
        <w:r w:rsidR="0082588E">
          <w:rPr>
            <w:rStyle w:val="Hyperlink"/>
            <w:rFonts w:asciiTheme="majorHAnsi" w:hAnsiTheme="majorHAnsi"/>
          </w:rPr>
          <w:t>Bergmann împotriva Germaniei</w:t>
        </w:r>
      </w:hyperlink>
      <w:r w:rsidR="0082588E">
        <w:t>, nr. 23279/14</w:t>
      </w:r>
      <w:r w:rsidR="0082588E">
        <w:rPr>
          <w:snapToGrid w:val="0"/>
        </w:rPr>
        <w:t xml:space="preserve">, </w:t>
      </w:r>
      <w:r w:rsidR="0082588E">
        <w:t>7</w:t>
      </w:r>
      <w:r w:rsidR="0082588E">
        <w:rPr>
          <w:snapToGrid w:val="0"/>
        </w:rPr>
        <w:t xml:space="preserve"> </w:t>
      </w:r>
      <w:r w:rsidR="0082588E">
        <w:t>ianuarie 2016</w:t>
      </w:r>
    </w:p>
    <w:p w14:paraId="522C8F0A" w14:textId="2DFFD6C8" w:rsidR="008F1027" w:rsidRPr="006B7E09" w:rsidRDefault="008E32D6" w:rsidP="00C726D5">
      <w:pPr>
        <w:pStyle w:val="ECHRParaHanging"/>
        <w:rPr>
          <w:rFonts w:asciiTheme="majorHAnsi" w:hAnsiTheme="majorHAnsi"/>
        </w:rPr>
      </w:pPr>
      <w:hyperlink r:id="rId567" w:history="1">
        <w:r w:rsidR="0082588E">
          <w:rPr>
            <w:rStyle w:val="Hyperlink"/>
            <w:rFonts w:asciiTheme="majorHAnsi" w:hAnsiTheme="majorHAnsi"/>
          </w:rPr>
          <w:t>Berland împotriva Franței</w:t>
        </w:r>
      </w:hyperlink>
      <w:r w:rsidR="0082588E">
        <w:rPr>
          <w:rFonts w:asciiTheme="majorHAnsi" w:hAnsiTheme="majorHAnsi"/>
        </w:rPr>
        <w:t>, nr. 42875/10</w:t>
      </w:r>
      <w:r w:rsidR="0082588E">
        <w:rPr>
          <w:rFonts w:asciiTheme="majorHAnsi" w:hAnsiTheme="majorHAnsi"/>
          <w:snapToGrid w:val="0"/>
        </w:rPr>
        <w:t xml:space="preserve">, </w:t>
      </w:r>
      <w:r w:rsidR="0082588E">
        <w:rPr>
          <w:rFonts w:asciiTheme="majorHAnsi" w:hAnsiTheme="majorHAnsi"/>
        </w:rPr>
        <w:t>3</w:t>
      </w:r>
      <w:r w:rsidR="0082588E">
        <w:rPr>
          <w:rFonts w:asciiTheme="majorHAnsi" w:hAnsiTheme="majorHAnsi"/>
          <w:snapToGrid w:val="0"/>
        </w:rPr>
        <w:t xml:space="preserve"> </w:t>
      </w:r>
      <w:r w:rsidR="0082588E">
        <w:rPr>
          <w:rFonts w:asciiTheme="majorHAnsi" w:hAnsiTheme="majorHAnsi"/>
        </w:rPr>
        <w:t>septembrie</w:t>
      </w:r>
      <w:r w:rsidR="0082588E">
        <w:rPr>
          <w:rFonts w:asciiTheme="majorHAnsi" w:hAnsiTheme="majorHAnsi"/>
          <w:snapToGrid w:val="0"/>
        </w:rPr>
        <w:t xml:space="preserve"> 2015</w:t>
      </w:r>
    </w:p>
    <w:p w14:paraId="12785EC2" w14:textId="4ADF78BE" w:rsidR="008F1027" w:rsidRPr="006B7E09" w:rsidRDefault="008E32D6" w:rsidP="00C726D5">
      <w:pPr>
        <w:pStyle w:val="ECHRParaHanging"/>
        <w:rPr>
          <w:rFonts w:asciiTheme="majorHAnsi" w:hAnsiTheme="majorHAnsi"/>
        </w:rPr>
      </w:pPr>
      <w:hyperlink r:id="rId568" w:history="1">
        <w:r w:rsidR="0082588E">
          <w:rPr>
            <w:rStyle w:val="Hyperlink"/>
            <w:rFonts w:asciiTheme="majorHAnsi" w:hAnsiTheme="majorHAnsi"/>
            <w:snapToGrid w:val="0"/>
          </w:rPr>
          <w:t>Borcea împotriva României</w:t>
        </w:r>
      </w:hyperlink>
      <w:r w:rsidR="0082588E">
        <w:t xml:space="preserve"> </w:t>
      </w:r>
      <w:r w:rsidR="0082588E">
        <w:rPr>
          <w:rFonts w:asciiTheme="majorHAnsi" w:hAnsiTheme="majorHAnsi"/>
          <w:snapToGrid w:val="0"/>
        </w:rPr>
        <w:t>(dec.),</w:t>
      </w:r>
      <w:r w:rsidR="0082588E">
        <w:rPr>
          <w:rFonts w:asciiTheme="majorHAnsi" w:hAnsiTheme="majorHAnsi"/>
        </w:rPr>
        <w:t xml:space="preserve"> nr. </w:t>
      </w:r>
      <w:r w:rsidR="0082588E">
        <w:rPr>
          <w:rFonts w:asciiTheme="majorHAnsi" w:hAnsiTheme="majorHAnsi"/>
          <w:snapToGrid w:val="0"/>
        </w:rPr>
        <w:t>55959/14, 22 septembrie 2015</w:t>
      </w:r>
    </w:p>
    <w:p w14:paraId="2ED7F013" w14:textId="7A27F2CD" w:rsidR="008F1027" w:rsidRPr="006B7E09" w:rsidRDefault="008E32D6" w:rsidP="00C726D5">
      <w:pPr>
        <w:pStyle w:val="ECHRParaHanging"/>
        <w:rPr>
          <w:rFonts w:asciiTheme="majorHAnsi" w:hAnsiTheme="majorHAnsi"/>
          <w:snapToGrid w:val="0"/>
        </w:rPr>
      </w:pPr>
      <w:hyperlink r:id="rId569" w:history="1">
        <w:r w:rsidR="0082588E">
          <w:rPr>
            <w:rStyle w:val="Hyperlink"/>
            <w:rFonts w:asciiTheme="majorHAnsi" w:hAnsiTheme="majorHAnsi"/>
          </w:rPr>
          <w:t>Bosti împotriva Italiei</w:t>
        </w:r>
      </w:hyperlink>
      <w:r w:rsidR="0082588E">
        <w:rPr>
          <w:rFonts w:asciiTheme="majorHAnsi" w:hAnsiTheme="majorHAnsi"/>
        </w:rPr>
        <w:t xml:space="preserve"> (dec.), nr. 43952/09, 13 noiembrie 2014</w:t>
      </w:r>
    </w:p>
    <w:p w14:paraId="2D21DA33" w14:textId="699AA43F" w:rsidR="008F1027" w:rsidRPr="006B7E09" w:rsidRDefault="008E32D6" w:rsidP="00C726D5">
      <w:pPr>
        <w:pStyle w:val="ECHRParaHanging"/>
        <w:rPr>
          <w:rFonts w:asciiTheme="majorHAnsi" w:hAnsiTheme="majorHAnsi"/>
        </w:rPr>
      </w:pPr>
      <w:hyperlink r:id="rId570" w:history="1">
        <w:r w:rsidR="0082588E">
          <w:rPr>
            <w:rStyle w:val="Hyperlink"/>
            <w:rFonts w:asciiTheme="majorHAnsi" w:hAnsiTheme="majorHAnsi"/>
          </w:rPr>
          <w:t>Bowler International Unit împotriva Franței</w:t>
        </w:r>
      </w:hyperlink>
      <w:r w:rsidR="0082588E">
        <w:rPr>
          <w:rFonts w:asciiTheme="majorHAnsi" w:hAnsiTheme="majorHAnsi"/>
        </w:rPr>
        <w:t>, nr. 1946/06</w:t>
      </w:r>
      <w:r w:rsidR="0082588E">
        <w:rPr>
          <w:rFonts w:asciiTheme="majorHAnsi" w:hAnsiTheme="majorHAnsi"/>
          <w:snapToGrid w:val="0"/>
        </w:rPr>
        <w:t xml:space="preserve">, 23 </w:t>
      </w:r>
      <w:r w:rsidR="0082588E">
        <w:rPr>
          <w:rFonts w:asciiTheme="majorHAnsi" w:hAnsiTheme="majorHAnsi"/>
        </w:rPr>
        <w:t>iulie</w:t>
      </w:r>
      <w:r w:rsidR="0082588E">
        <w:rPr>
          <w:rFonts w:asciiTheme="majorHAnsi" w:hAnsiTheme="majorHAnsi"/>
          <w:snapToGrid w:val="0"/>
        </w:rPr>
        <w:t xml:space="preserve"> 2009</w:t>
      </w:r>
    </w:p>
    <w:p w14:paraId="06BCB371" w14:textId="6C9BF5CD" w:rsidR="008F1027" w:rsidRPr="006B7E09" w:rsidRDefault="008E32D6" w:rsidP="00C726D5">
      <w:pPr>
        <w:pStyle w:val="ECHRParaHanging"/>
        <w:rPr>
          <w:rFonts w:asciiTheme="majorHAnsi" w:hAnsiTheme="majorHAnsi"/>
        </w:rPr>
      </w:pPr>
      <w:hyperlink r:id="rId571" w:history="1">
        <w:r w:rsidR="0082588E">
          <w:rPr>
            <w:rStyle w:val="Hyperlink"/>
            <w:rFonts w:asciiTheme="majorHAnsi" w:hAnsiTheme="majorHAnsi"/>
          </w:rPr>
          <w:t>Brown împotriva Regatului Unit</w:t>
        </w:r>
      </w:hyperlink>
      <w:r w:rsidR="0082588E">
        <w:rPr>
          <w:rFonts w:asciiTheme="majorHAnsi" w:hAnsiTheme="majorHAnsi"/>
        </w:rPr>
        <w:t xml:space="preserve"> (dec.), nr. 38644/97, 24 noiembrie 1998</w:t>
      </w:r>
    </w:p>
    <w:p w14:paraId="103CB285" w14:textId="77777777" w:rsidR="008F1027" w:rsidRPr="006B7E09" w:rsidRDefault="008F1027" w:rsidP="008F1027">
      <w:pPr>
        <w:pStyle w:val="ECHRTitleCentre1"/>
      </w:pPr>
      <w:r>
        <w:t>—C—</w:t>
      </w:r>
    </w:p>
    <w:p w14:paraId="03996233" w14:textId="3631AF69" w:rsidR="008F1027" w:rsidRPr="006B7E09" w:rsidRDefault="008E32D6" w:rsidP="00C726D5">
      <w:pPr>
        <w:pStyle w:val="ECHRParaHanging"/>
        <w:rPr>
          <w:rFonts w:asciiTheme="majorHAnsi" w:hAnsiTheme="majorHAnsi"/>
        </w:rPr>
      </w:pPr>
      <w:hyperlink r:id="rId572" w:history="1">
        <w:r w:rsidR="0082588E">
          <w:rPr>
            <w:rStyle w:val="Hyperlink"/>
            <w:rFonts w:asciiTheme="majorHAnsi" w:hAnsiTheme="majorHAnsi"/>
          </w:rPr>
          <w:t xml:space="preserve">C.G. și alții împotriva Bulgariei </w:t>
        </w:r>
      </w:hyperlink>
      <w:r w:rsidR="0082588E">
        <w:rPr>
          <w:rFonts w:asciiTheme="majorHAnsi" w:hAnsiTheme="majorHAnsi"/>
        </w:rPr>
        <w:t>(dec.), nr. 1365/07, 13 martie 2007</w:t>
      </w:r>
    </w:p>
    <w:p w14:paraId="2E58F5C0" w14:textId="2B232563" w:rsidR="008F1027" w:rsidRPr="006B7E09" w:rsidRDefault="008E32D6" w:rsidP="00C726D5">
      <w:pPr>
        <w:pStyle w:val="ECHRParaHanging"/>
        <w:rPr>
          <w:rFonts w:asciiTheme="majorHAnsi" w:hAnsiTheme="majorHAnsi"/>
        </w:rPr>
      </w:pPr>
      <w:hyperlink r:id="rId573" w:history="1">
        <w:r w:rsidR="0082588E">
          <w:rPr>
            <w:rStyle w:val="Hyperlink"/>
            <w:rFonts w:asciiTheme="majorHAnsi" w:hAnsiTheme="majorHAnsi"/>
          </w:rPr>
          <w:t>C.R. împotriva Regatului Unit</w:t>
        </w:r>
      </w:hyperlink>
      <w:r w:rsidR="0082588E">
        <w:t xml:space="preserve"> </w:t>
      </w:r>
      <w:r w:rsidR="0082588E">
        <w:rPr>
          <w:rFonts w:asciiTheme="majorHAnsi" w:hAnsiTheme="majorHAnsi"/>
        </w:rPr>
        <w:t>22 noiembrie 1995, seria A nr. 335</w:t>
      </w:r>
      <w:r w:rsidR="0082588E">
        <w:rPr>
          <w:rFonts w:asciiTheme="majorHAnsi" w:hAnsiTheme="majorHAnsi"/>
        </w:rPr>
        <w:noBreakHyphen/>
        <w:t>C</w:t>
      </w:r>
    </w:p>
    <w:p w14:paraId="25D89B92" w14:textId="7E5E236C" w:rsidR="008F1027" w:rsidRPr="006B7E09" w:rsidRDefault="008E32D6" w:rsidP="00C726D5">
      <w:pPr>
        <w:pStyle w:val="ECHRParaHanging"/>
        <w:rPr>
          <w:rFonts w:asciiTheme="majorHAnsi" w:hAnsiTheme="majorHAnsi"/>
        </w:rPr>
      </w:pPr>
      <w:hyperlink r:id="rId574" w:history="1">
        <w:r w:rsidR="0082588E">
          <w:rPr>
            <w:rStyle w:val="Hyperlink"/>
            <w:rFonts w:asciiTheme="majorHAnsi" w:hAnsiTheme="majorHAnsi"/>
          </w:rPr>
          <w:t>Camilleri împotriva Maltei</w:t>
        </w:r>
      </w:hyperlink>
      <w:r w:rsidR="0082588E">
        <w:t>, nr. 42931/10, 22 ianuarie 2013</w:t>
      </w:r>
    </w:p>
    <w:p w14:paraId="01D4FB32" w14:textId="7C81EBFA" w:rsidR="008F1027" w:rsidRPr="006B7E09" w:rsidRDefault="008E32D6" w:rsidP="00C726D5">
      <w:pPr>
        <w:pStyle w:val="ECHRParaHanging"/>
        <w:rPr>
          <w:rFonts w:asciiTheme="majorHAnsi" w:hAnsiTheme="majorHAnsi"/>
        </w:rPr>
      </w:pPr>
      <w:hyperlink r:id="rId575" w:history="1">
        <w:r w:rsidR="0082588E">
          <w:rPr>
            <w:rStyle w:val="Hyperlink"/>
            <w:rFonts w:asciiTheme="majorHAnsi" w:hAnsiTheme="majorHAnsi"/>
          </w:rPr>
          <w:t>Cantoni împotriva Franței</w:t>
        </w:r>
      </w:hyperlink>
      <w:r w:rsidR="0082588E">
        <w:rPr>
          <w:rFonts w:asciiTheme="majorHAnsi" w:hAnsiTheme="majorHAnsi"/>
        </w:rPr>
        <w:t>, 15 noiembrie 1996, Culegere de hotărâri și decizii 1996</w:t>
      </w:r>
      <w:r w:rsidR="0082588E">
        <w:rPr>
          <w:rFonts w:asciiTheme="majorHAnsi" w:hAnsiTheme="majorHAnsi"/>
        </w:rPr>
        <w:noBreakHyphen/>
        <w:t>V</w:t>
      </w:r>
    </w:p>
    <w:p w14:paraId="62B567C2" w14:textId="1F46DEDE" w:rsidR="008F1027" w:rsidRPr="006B7E09" w:rsidRDefault="008E32D6" w:rsidP="00C726D5">
      <w:pPr>
        <w:pStyle w:val="ECHRParaHanging"/>
        <w:rPr>
          <w:rFonts w:asciiTheme="majorHAnsi" w:hAnsiTheme="majorHAnsi"/>
        </w:rPr>
      </w:pPr>
      <w:hyperlink r:id="rId576" w:history="1">
        <w:r w:rsidR="0082588E">
          <w:rPr>
            <w:rStyle w:val="Hyperlink"/>
            <w:rFonts w:asciiTheme="majorHAnsi" w:hAnsiTheme="majorHAnsi"/>
          </w:rPr>
          <w:t xml:space="preserve">Çelikateş și alții împotriva Turciei </w:t>
        </w:r>
      </w:hyperlink>
      <w:r w:rsidR="0082588E">
        <w:rPr>
          <w:rFonts w:asciiTheme="majorHAnsi" w:hAnsiTheme="majorHAnsi"/>
        </w:rPr>
        <w:t>(dec.), nr. 45824/99, 7 noiembrie 2000</w:t>
      </w:r>
    </w:p>
    <w:p w14:paraId="645A58F7" w14:textId="7CE0A6AA" w:rsidR="008F1027" w:rsidRPr="006B7E09" w:rsidRDefault="008E32D6" w:rsidP="00C726D5">
      <w:pPr>
        <w:pStyle w:val="ECHRParaHanging"/>
        <w:rPr>
          <w:rFonts w:asciiTheme="majorHAnsi" w:hAnsiTheme="majorHAnsi"/>
        </w:rPr>
      </w:pPr>
      <w:hyperlink r:id="rId577" w:history="1">
        <w:r w:rsidR="0082588E">
          <w:rPr>
            <w:rStyle w:val="Hyperlink"/>
            <w:rFonts w:asciiTheme="majorHAnsi" w:hAnsiTheme="majorHAnsi"/>
          </w:rPr>
          <w:t>Chauvy și alții împotriva Franței</w:t>
        </w:r>
      </w:hyperlink>
      <w:r w:rsidR="0082588E">
        <w:t xml:space="preserve"> </w:t>
      </w:r>
      <w:r w:rsidR="0082588E">
        <w:rPr>
          <w:rFonts w:asciiTheme="majorHAnsi" w:hAnsiTheme="majorHAnsi"/>
        </w:rPr>
        <w:t>(dec.), nr. 64915/01, 23 septembrie 2003</w:t>
      </w:r>
    </w:p>
    <w:p w14:paraId="7913E441" w14:textId="5166B48E" w:rsidR="008F1027" w:rsidRPr="006B7E09" w:rsidRDefault="008E32D6" w:rsidP="00C726D5">
      <w:pPr>
        <w:pStyle w:val="ECHRParaHanging"/>
        <w:rPr>
          <w:rFonts w:asciiTheme="majorHAnsi" w:hAnsiTheme="majorHAnsi"/>
        </w:rPr>
      </w:pPr>
      <w:hyperlink r:id="rId578" w:history="1">
        <w:r w:rsidR="0082588E">
          <w:rPr>
            <w:rStyle w:val="Hyperlink"/>
            <w:rFonts w:asciiTheme="majorHAnsi" w:hAnsiTheme="majorHAnsi"/>
          </w:rPr>
          <w:t>Ciok împotriva Poloniei</w:t>
        </w:r>
      </w:hyperlink>
      <w:r w:rsidR="0082588E">
        <w:t xml:space="preserve"> </w:t>
      </w:r>
      <w:r w:rsidR="0082588E">
        <w:rPr>
          <w:rFonts w:asciiTheme="majorHAnsi" w:hAnsiTheme="majorHAnsi"/>
        </w:rPr>
        <w:t>(dec.), nr. 498/10, 23 octombrie 2012</w:t>
      </w:r>
    </w:p>
    <w:p w14:paraId="0B287A5E" w14:textId="6C297B88" w:rsidR="008F1027" w:rsidRPr="006B7E09" w:rsidRDefault="008E32D6" w:rsidP="00C726D5">
      <w:pPr>
        <w:pStyle w:val="ECHRParaHanging"/>
        <w:rPr>
          <w:rFonts w:asciiTheme="majorHAnsi" w:hAnsiTheme="majorHAnsi"/>
        </w:rPr>
      </w:pPr>
      <w:hyperlink r:id="rId579" w:history="1">
        <w:r w:rsidR="0082588E">
          <w:rPr>
            <w:rStyle w:val="Hyperlink"/>
            <w:rFonts w:asciiTheme="majorHAnsi" w:hAnsiTheme="majorHAnsi"/>
          </w:rPr>
          <w:t>Coëme şi alţii împotriva Belgiei</w:t>
        </w:r>
      </w:hyperlink>
      <w:r w:rsidR="0082588E">
        <w:rPr>
          <w:rFonts w:asciiTheme="majorHAnsi" w:hAnsiTheme="majorHAnsi"/>
        </w:rPr>
        <w:t>, nr. 32492/96 și alte 4 cereri, CEDO 2000</w:t>
      </w:r>
      <w:r w:rsidR="0082588E">
        <w:rPr>
          <w:rFonts w:asciiTheme="majorHAnsi" w:hAnsiTheme="majorHAnsi"/>
        </w:rPr>
        <w:noBreakHyphen/>
        <w:t xml:space="preserve"> VII</w:t>
      </w:r>
    </w:p>
    <w:p w14:paraId="2AEB193A" w14:textId="0E750958" w:rsidR="008F1027" w:rsidRPr="006B7E09" w:rsidRDefault="008E32D6" w:rsidP="00C726D5">
      <w:pPr>
        <w:pStyle w:val="ECHRParaHanging"/>
        <w:rPr>
          <w:rFonts w:asciiTheme="majorHAnsi" w:hAnsiTheme="majorHAnsi"/>
        </w:rPr>
      </w:pPr>
      <w:hyperlink r:id="rId580" w:history="1">
        <w:r w:rsidR="0082588E">
          <w:rPr>
            <w:rStyle w:val="Hyperlink"/>
            <w:rFonts w:asciiTheme="majorHAnsi" w:hAnsiTheme="majorHAnsi"/>
          </w:rPr>
          <w:t>Contrada împotriva Italiei (nr. 3)</w:t>
        </w:r>
      </w:hyperlink>
      <w:r w:rsidR="0082588E">
        <w:rPr>
          <w:rFonts w:asciiTheme="majorHAnsi" w:hAnsiTheme="majorHAnsi"/>
        </w:rPr>
        <w:t>, nr. 66655/13</w:t>
      </w:r>
      <w:r w:rsidR="0082588E">
        <w:rPr>
          <w:rFonts w:asciiTheme="majorHAnsi" w:hAnsiTheme="majorHAnsi"/>
          <w:snapToGrid w:val="0"/>
        </w:rPr>
        <w:t xml:space="preserve">, 14 </w:t>
      </w:r>
      <w:r w:rsidR="0082588E">
        <w:rPr>
          <w:rFonts w:asciiTheme="majorHAnsi" w:hAnsiTheme="majorHAnsi"/>
        </w:rPr>
        <w:t>aprilie</w:t>
      </w:r>
      <w:r w:rsidR="0082588E">
        <w:rPr>
          <w:rFonts w:asciiTheme="majorHAnsi" w:hAnsiTheme="majorHAnsi"/>
          <w:snapToGrid w:val="0"/>
        </w:rPr>
        <w:t xml:space="preserve"> 2015</w:t>
      </w:r>
    </w:p>
    <w:p w14:paraId="18339EF0" w14:textId="3AF42F0A" w:rsidR="008F1027" w:rsidRPr="006B7E09" w:rsidRDefault="008E32D6" w:rsidP="00C726D5">
      <w:pPr>
        <w:pStyle w:val="ECHRParaHanging"/>
        <w:rPr>
          <w:rFonts w:asciiTheme="majorHAnsi" w:hAnsiTheme="majorHAnsi"/>
        </w:rPr>
      </w:pPr>
      <w:hyperlink r:id="rId581" w:history="1">
        <w:r w:rsidR="0082588E">
          <w:rPr>
            <w:rStyle w:val="Hyperlink"/>
            <w:rFonts w:asciiTheme="majorHAnsi" w:hAnsiTheme="majorHAnsi"/>
          </w:rPr>
          <w:t>Custers, Deveaux și Turk împotriva Danemarcei</w:t>
        </w:r>
      </w:hyperlink>
      <w:r w:rsidR="0082588E">
        <w:rPr>
          <w:rFonts w:asciiTheme="majorHAnsi" w:hAnsiTheme="majorHAnsi"/>
        </w:rPr>
        <w:t xml:space="preserve"> (dec.), nr. 11843/03 și alte 2 cereri, 9 mai 2006</w:t>
      </w:r>
    </w:p>
    <w:p w14:paraId="0F652100" w14:textId="77777777" w:rsidR="008F1027" w:rsidRPr="006B7E09" w:rsidRDefault="008F1027" w:rsidP="008F1027">
      <w:pPr>
        <w:pStyle w:val="ECHRTitleCentre1"/>
      </w:pPr>
      <w:r>
        <w:t>—D—</w:t>
      </w:r>
    </w:p>
    <w:p w14:paraId="35AFBF3D" w14:textId="44BD63B5" w:rsidR="003D01D5" w:rsidRPr="006B7E09" w:rsidRDefault="008E32D6" w:rsidP="003D01D5">
      <w:pPr>
        <w:pStyle w:val="ECHRParaHanging"/>
        <w:rPr>
          <w:rFonts w:asciiTheme="majorHAnsi" w:hAnsiTheme="majorHAnsi"/>
        </w:rPr>
      </w:pPr>
      <w:hyperlink r:id="rId582" w:history="1">
        <w:r w:rsidR="0082588E">
          <w:rPr>
            <w:rStyle w:val="Hyperlink"/>
            <w:rFonts w:asciiTheme="majorHAnsi" w:hAnsiTheme="majorHAnsi"/>
          </w:rPr>
          <w:t>Dallas împotriva Regatului Unit</w:t>
        </w:r>
      </w:hyperlink>
      <w:r w:rsidR="0082588E">
        <w:t>, nr. 38395/12</w:t>
      </w:r>
      <w:r w:rsidR="0082588E">
        <w:rPr>
          <w:snapToGrid w:val="0"/>
        </w:rPr>
        <w:t xml:space="preserve">, 11 </w:t>
      </w:r>
      <w:r w:rsidR="0082588E">
        <w:t>februarie</w:t>
      </w:r>
      <w:r w:rsidR="0082588E">
        <w:rPr>
          <w:snapToGrid w:val="0"/>
        </w:rPr>
        <w:t xml:space="preserve"> 2016</w:t>
      </w:r>
    </w:p>
    <w:p w14:paraId="32485084" w14:textId="30A6DEC3" w:rsidR="008F1027" w:rsidRPr="006B7E09" w:rsidRDefault="008E32D6" w:rsidP="00C726D5">
      <w:pPr>
        <w:pStyle w:val="ECHRParaHanging"/>
        <w:rPr>
          <w:rFonts w:asciiTheme="majorHAnsi" w:hAnsiTheme="majorHAnsi"/>
        </w:rPr>
      </w:pPr>
      <w:hyperlink r:id="rId583" w:history="1">
        <w:r w:rsidR="0082588E">
          <w:rPr>
            <w:rStyle w:val="Hyperlink"/>
            <w:rFonts w:asciiTheme="majorHAnsi" w:hAnsiTheme="majorHAnsi"/>
          </w:rPr>
          <w:t>Del Río Prada împotriva Spaniei</w:t>
        </w:r>
      </w:hyperlink>
      <w:r w:rsidR="0082588E">
        <w:t xml:space="preserve"> (MC), nr.</w:t>
      </w:r>
      <w:r w:rsidR="0082588E">
        <w:rPr>
          <w:rFonts w:asciiTheme="majorHAnsi" w:hAnsiTheme="majorHAnsi"/>
        </w:rPr>
        <w:t>42750/09</w:t>
      </w:r>
      <w:r w:rsidR="0082588E">
        <w:rPr>
          <w:rFonts w:asciiTheme="majorHAnsi" w:hAnsiTheme="majorHAnsi"/>
          <w:snapToGrid w:val="0"/>
        </w:rPr>
        <w:t xml:space="preserve">, </w:t>
      </w:r>
      <w:r w:rsidR="0082588E">
        <w:rPr>
          <w:rFonts w:asciiTheme="majorHAnsi" w:hAnsiTheme="majorHAnsi"/>
        </w:rPr>
        <w:t>CEDO 2013</w:t>
      </w:r>
    </w:p>
    <w:p w14:paraId="1B45AB20" w14:textId="0CBCA7AC" w:rsidR="008F1027" w:rsidRPr="006B7E09" w:rsidRDefault="008E32D6" w:rsidP="00C726D5">
      <w:pPr>
        <w:pStyle w:val="ECHRParaHanging"/>
        <w:rPr>
          <w:rFonts w:asciiTheme="majorHAnsi" w:hAnsiTheme="majorHAnsi"/>
        </w:rPr>
      </w:pPr>
      <w:hyperlink r:id="rId584" w:history="1">
        <w:r w:rsidR="0082588E">
          <w:rPr>
            <w:rStyle w:val="Hyperlink"/>
            <w:rFonts w:asciiTheme="majorHAnsi" w:hAnsiTheme="majorHAnsi"/>
          </w:rPr>
          <w:t xml:space="preserve">Delbos și alții împotriva Franței </w:t>
        </w:r>
      </w:hyperlink>
      <w:r w:rsidR="0082588E">
        <w:rPr>
          <w:rFonts w:asciiTheme="majorHAnsi" w:hAnsiTheme="majorHAnsi"/>
        </w:rPr>
        <w:t>(MC), nr. 60819/00, CEDO 2004</w:t>
      </w:r>
      <w:r w:rsidR="0082588E">
        <w:rPr>
          <w:rFonts w:asciiTheme="majorHAnsi" w:hAnsiTheme="majorHAnsi"/>
        </w:rPr>
        <w:noBreakHyphen/>
        <w:t>IX</w:t>
      </w:r>
    </w:p>
    <w:p w14:paraId="5AC2B5ED" w14:textId="3C793A3E" w:rsidR="008F1027" w:rsidRPr="006B7E09" w:rsidRDefault="008E32D6" w:rsidP="00C726D5">
      <w:pPr>
        <w:pStyle w:val="ECHRParaHanging"/>
        <w:rPr>
          <w:rFonts w:asciiTheme="majorHAnsi" w:hAnsiTheme="majorHAnsi"/>
        </w:rPr>
      </w:pPr>
      <w:hyperlink r:id="rId585" w:history="1">
        <w:r w:rsidR="0082588E">
          <w:rPr>
            <w:rStyle w:val="Hyperlink"/>
            <w:rFonts w:asciiTheme="majorHAnsi" w:hAnsiTheme="majorHAnsi"/>
          </w:rPr>
          <w:t>Dragotoniu și Militaru-Pidhorni împotriva României</w:t>
        </w:r>
      </w:hyperlink>
      <w:r w:rsidR="0082588E">
        <w:rPr>
          <w:rFonts w:asciiTheme="majorHAnsi" w:hAnsiTheme="majorHAnsi"/>
        </w:rPr>
        <w:t>, nr. 77193/01 și 77196/01, 24 mai 2007</w:t>
      </w:r>
    </w:p>
    <w:p w14:paraId="7ACA33FD" w14:textId="77777777" w:rsidR="008F1027" w:rsidRPr="006B7E09" w:rsidRDefault="008F1027" w:rsidP="008F1027">
      <w:pPr>
        <w:pStyle w:val="ECHRTitleCentre1"/>
      </w:pPr>
      <w:r>
        <w:t>—E—</w:t>
      </w:r>
    </w:p>
    <w:p w14:paraId="3A396A85" w14:textId="336E3997" w:rsidR="008F1027" w:rsidRPr="006B7E09" w:rsidRDefault="008E32D6" w:rsidP="00C726D5">
      <w:pPr>
        <w:pStyle w:val="ECHRParaHanging"/>
        <w:rPr>
          <w:rFonts w:asciiTheme="majorHAnsi" w:hAnsiTheme="majorHAnsi"/>
        </w:rPr>
      </w:pPr>
      <w:hyperlink r:id="rId586" w:history="1">
        <w:r w:rsidR="0082588E">
          <w:rPr>
            <w:rStyle w:val="Hyperlink"/>
            <w:rFonts w:asciiTheme="majorHAnsi" w:hAnsiTheme="majorHAnsi"/>
          </w:rPr>
          <w:t>Ecer și Zeyrek împotriva Turciei</w:t>
        </w:r>
      </w:hyperlink>
      <w:r w:rsidR="0082588E">
        <w:rPr>
          <w:rFonts w:asciiTheme="majorHAnsi" w:hAnsiTheme="majorHAnsi"/>
        </w:rPr>
        <w:t>,</w:t>
      </w:r>
      <w:r w:rsidR="0082588E">
        <w:t xml:space="preserve"> nr.</w:t>
      </w:r>
      <w:r w:rsidR="0082588E">
        <w:rPr>
          <w:rFonts w:asciiTheme="majorHAnsi" w:hAnsiTheme="majorHAnsi"/>
        </w:rPr>
        <w:t xml:space="preserve"> 29295/95 și 29363/95, CEDO 2001</w:t>
      </w:r>
      <w:r w:rsidR="0082588E">
        <w:rPr>
          <w:rFonts w:asciiTheme="majorHAnsi" w:hAnsiTheme="majorHAnsi"/>
        </w:rPr>
        <w:noBreakHyphen/>
        <w:t>IV</w:t>
      </w:r>
    </w:p>
    <w:p w14:paraId="47B842AA" w14:textId="78E3A8F8" w:rsidR="008F1027" w:rsidRPr="006B7E09" w:rsidRDefault="008E32D6" w:rsidP="00C726D5">
      <w:pPr>
        <w:pStyle w:val="ECHRParaHanging"/>
        <w:rPr>
          <w:rFonts w:asciiTheme="majorHAnsi" w:hAnsiTheme="majorHAnsi"/>
        </w:rPr>
      </w:pPr>
      <w:hyperlink r:id="rId587" w:history="1">
        <w:r w:rsidR="0082588E">
          <w:rPr>
            <w:rStyle w:val="Hyperlink"/>
            <w:rFonts w:asciiTheme="majorHAnsi" w:hAnsiTheme="majorHAnsi"/>
          </w:rPr>
          <w:t>Engel și alții împotriva Țărilor de Jos</w:t>
        </w:r>
      </w:hyperlink>
      <w:r w:rsidR="0082588E">
        <w:rPr>
          <w:rFonts w:asciiTheme="majorHAnsi" w:hAnsiTheme="majorHAnsi"/>
        </w:rPr>
        <w:t>, 8 iunie 1976, seria A nr. 22</w:t>
      </w:r>
    </w:p>
    <w:p w14:paraId="02E23F24" w14:textId="77777777" w:rsidR="008F1027" w:rsidRPr="006B7E09" w:rsidRDefault="008F1027" w:rsidP="008F1027">
      <w:pPr>
        <w:pStyle w:val="ECHRTitleCentre1"/>
      </w:pPr>
      <w:r>
        <w:t>—G—</w:t>
      </w:r>
    </w:p>
    <w:p w14:paraId="3C9CF137" w14:textId="50D61DFD" w:rsidR="008F1027" w:rsidRPr="006B7E09" w:rsidRDefault="008E32D6" w:rsidP="00C726D5">
      <w:pPr>
        <w:pStyle w:val="ECHRParaHanging"/>
        <w:rPr>
          <w:rFonts w:asciiTheme="majorHAnsi" w:hAnsiTheme="majorHAnsi"/>
        </w:rPr>
      </w:pPr>
      <w:hyperlink r:id="rId588" w:history="1">
        <w:r w:rsidR="0082588E">
          <w:rPr>
            <w:rStyle w:val="Hyperlink"/>
            <w:rFonts w:asciiTheme="majorHAnsi" w:hAnsiTheme="majorHAnsi"/>
          </w:rPr>
          <w:t>G. împotriva Franței</w:t>
        </w:r>
      </w:hyperlink>
      <w:r w:rsidR="0082588E">
        <w:rPr>
          <w:rFonts w:asciiTheme="majorHAnsi" w:hAnsiTheme="majorHAnsi"/>
        </w:rPr>
        <w:t>, 27 septembrie 1995, seria A nr. 325</w:t>
      </w:r>
      <w:r w:rsidR="0082588E">
        <w:rPr>
          <w:rFonts w:asciiTheme="majorHAnsi" w:hAnsiTheme="majorHAnsi"/>
        </w:rPr>
        <w:noBreakHyphen/>
        <w:t>B</w:t>
      </w:r>
    </w:p>
    <w:p w14:paraId="6BDE9A1B" w14:textId="41496254" w:rsidR="006E480D" w:rsidRPr="006B7E09" w:rsidRDefault="008E32D6" w:rsidP="006E480D">
      <w:pPr>
        <w:pStyle w:val="ECHRParaHanging"/>
        <w:rPr>
          <w:rFonts w:asciiTheme="majorHAnsi" w:hAnsiTheme="majorHAnsi"/>
        </w:rPr>
      </w:pPr>
      <w:hyperlink r:id="rId589" w:history="1">
        <w:r w:rsidR="0082588E">
          <w:rPr>
            <w:rStyle w:val="Hyperlink"/>
            <w:rFonts w:asciiTheme="majorHAnsi" w:hAnsiTheme="majorHAnsi"/>
          </w:rPr>
          <w:t>G.I.E.M.</w:t>
        </w:r>
      </w:hyperlink>
      <w:hyperlink r:id="rId590" w:history="1">
        <w:r w:rsidR="0082588E">
          <w:rPr>
            <w:rStyle w:val="Hyperlink"/>
            <w:rFonts w:asciiTheme="majorHAnsi" w:hAnsiTheme="majorHAnsi"/>
          </w:rPr>
          <w:t xml:space="preserve">S.R.L. și alții împotriva Italiei </w:t>
        </w:r>
      </w:hyperlink>
      <w:r w:rsidR="0082588E">
        <w:t xml:space="preserve"> (fond) (MC), nr.</w:t>
      </w:r>
      <w:r w:rsidR="0082588E">
        <w:rPr>
          <w:rFonts w:asciiTheme="majorHAnsi" w:hAnsiTheme="majorHAnsi"/>
        </w:rPr>
        <w:t xml:space="preserve"> 1828/06 și alte 2 cereri, 28 iunie 2018</w:t>
      </w:r>
    </w:p>
    <w:p w14:paraId="55CAE775" w14:textId="374E0E2D" w:rsidR="008F1027" w:rsidRPr="006B7E09" w:rsidRDefault="008E32D6" w:rsidP="00C726D5">
      <w:pPr>
        <w:pStyle w:val="ECHRParaHanging"/>
        <w:rPr>
          <w:rFonts w:asciiTheme="majorHAnsi" w:hAnsiTheme="majorHAnsi"/>
        </w:rPr>
      </w:pPr>
      <w:hyperlink r:id="rId591" w:history="1">
        <w:r w:rsidR="0082588E">
          <w:rPr>
            <w:rStyle w:val="Hyperlink"/>
            <w:rFonts w:asciiTheme="majorHAnsi" w:hAnsiTheme="majorHAnsi"/>
          </w:rPr>
          <w:t>Gabarri Moreno împotriva Spaniei</w:t>
        </w:r>
      </w:hyperlink>
      <w:r w:rsidR="0082588E">
        <w:rPr>
          <w:rFonts w:asciiTheme="majorHAnsi" w:hAnsiTheme="majorHAnsi"/>
        </w:rPr>
        <w:t>, nr. 68066/01, 22 iulie 2003</w:t>
      </w:r>
    </w:p>
    <w:p w14:paraId="3D942BCD" w14:textId="4882B022" w:rsidR="00052DA4" w:rsidRPr="006B7E09" w:rsidRDefault="008E32D6" w:rsidP="00C726D5">
      <w:pPr>
        <w:pStyle w:val="ECHRParaHanging"/>
      </w:pPr>
      <w:hyperlink r:id="rId592" w:history="1">
        <w:r w:rsidR="0082588E">
          <w:rPr>
            <w:rStyle w:val="Hyperlink"/>
            <w:rFonts w:asciiTheme="majorHAnsi" w:hAnsiTheme="majorHAnsi"/>
          </w:rPr>
          <w:t>Galan împotriva Italiei</w:t>
        </w:r>
      </w:hyperlink>
      <w:r w:rsidR="0082588E">
        <w:t xml:space="preserve"> (dec.), nr. 63772/16, 18 mai 2021</w:t>
      </w:r>
    </w:p>
    <w:p w14:paraId="641E51D6" w14:textId="58ABF5BF" w:rsidR="008F1027" w:rsidRPr="006B7E09" w:rsidRDefault="008E32D6" w:rsidP="00C726D5">
      <w:pPr>
        <w:pStyle w:val="ECHRParaHanging"/>
        <w:rPr>
          <w:rFonts w:asciiTheme="majorHAnsi" w:hAnsiTheme="majorHAnsi"/>
        </w:rPr>
      </w:pPr>
      <w:hyperlink r:id="rId593" w:history="1">
        <w:r w:rsidR="0082588E">
          <w:rPr>
            <w:rStyle w:val="Hyperlink"/>
            <w:rFonts w:asciiTheme="majorHAnsi" w:hAnsiTheme="majorHAnsi"/>
          </w:rPr>
          <w:t>Gardel împotriva Franței</w:t>
        </w:r>
      </w:hyperlink>
      <w:r w:rsidR="0082588E">
        <w:rPr>
          <w:rFonts w:asciiTheme="majorHAnsi" w:hAnsiTheme="majorHAnsi"/>
        </w:rPr>
        <w:t>, nr. 16428/05, CEDO 2009</w:t>
      </w:r>
    </w:p>
    <w:p w14:paraId="7A3672E1" w14:textId="57FF81B8" w:rsidR="00D6500E" w:rsidRPr="006B7E09" w:rsidRDefault="008E32D6" w:rsidP="00C726D5">
      <w:pPr>
        <w:pStyle w:val="ECHRParaHanging"/>
        <w:rPr>
          <w:rFonts w:asciiTheme="majorHAnsi" w:hAnsiTheme="majorHAnsi"/>
        </w:rPr>
      </w:pPr>
      <w:hyperlink r:id="rId594" w:history="1">
        <w:r w:rsidR="0082588E">
          <w:rPr>
            <w:rStyle w:val="Hyperlink"/>
            <w:rFonts w:asciiTheme="majorHAnsi" w:hAnsiTheme="majorHAnsi"/>
          </w:rPr>
          <w:t>Georgouleas și Nestoras împotriva Greciei</w:t>
        </w:r>
      </w:hyperlink>
      <w:r w:rsidR="0082588E">
        <w:rPr>
          <w:rFonts w:asciiTheme="majorHAnsi" w:hAnsiTheme="majorHAnsi"/>
        </w:rPr>
        <w:t>,</w:t>
      </w:r>
      <w:r w:rsidR="0082588E">
        <w:t xml:space="preserve"> nr.</w:t>
      </w:r>
      <w:r w:rsidR="0082588E">
        <w:rPr>
          <w:rFonts w:asciiTheme="majorHAnsi" w:hAnsiTheme="majorHAnsi"/>
        </w:rPr>
        <w:t xml:space="preserve"> 44612/13 și 45831/13, 28 mai 2020</w:t>
      </w:r>
    </w:p>
    <w:p w14:paraId="1C9C4A90" w14:textId="002047D0" w:rsidR="00DB6483" w:rsidRPr="006B7E09" w:rsidRDefault="008E32D6" w:rsidP="00C726D5">
      <w:pPr>
        <w:pStyle w:val="ECHRParaHanging"/>
        <w:rPr>
          <w:rFonts w:asciiTheme="majorHAnsi" w:hAnsiTheme="majorHAnsi"/>
        </w:rPr>
      </w:pPr>
      <w:hyperlink r:id="rId595" w:history="1">
        <w:r w:rsidR="0082588E">
          <w:rPr>
            <w:rStyle w:val="Hyperlink"/>
          </w:rPr>
          <w:t>Gestur Jónsson și Ragnar Halldór Hall împotriva Islandei</w:t>
        </w:r>
      </w:hyperlink>
      <w:r w:rsidR="0082588E">
        <w:rPr>
          <w:color w:val="000000"/>
        </w:rPr>
        <w:t xml:space="preserve"> (MC), nr. 68273/14 și 68271/14,</w:t>
      </w:r>
      <w:r w:rsidR="0082588E">
        <w:t xml:space="preserve"> 22 decembrie 2020</w:t>
      </w:r>
    </w:p>
    <w:p w14:paraId="32E5358E" w14:textId="716FB37A" w:rsidR="008F1027" w:rsidRPr="006B7E09" w:rsidRDefault="008E32D6" w:rsidP="00C726D5">
      <w:pPr>
        <w:pStyle w:val="ECHRParaHanging"/>
        <w:rPr>
          <w:rFonts w:asciiTheme="majorHAnsi" w:hAnsiTheme="majorHAnsi"/>
        </w:rPr>
      </w:pPr>
      <w:hyperlink r:id="rId596" w:history="1">
        <w:r w:rsidR="0082588E">
          <w:rPr>
            <w:rStyle w:val="Hyperlink"/>
            <w:rFonts w:asciiTheme="majorHAnsi" w:hAnsiTheme="majorHAnsi"/>
          </w:rPr>
          <w:t>Giza împotriva Poloniei</w:t>
        </w:r>
      </w:hyperlink>
      <w:r w:rsidR="0082588E">
        <w:t>, nr. 48242/06, 13 iulie 2010</w:t>
      </w:r>
    </w:p>
    <w:p w14:paraId="1E4447C1" w14:textId="65454302" w:rsidR="008F1027" w:rsidRPr="006B7E09" w:rsidRDefault="008E32D6" w:rsidP="00C726D5">
      <w:pPr>
        <w:pStyle w:val="ECHRParaHanging"/>
        <w:rPr>
          <w:rFonts w:asciiTheme="majorHAnsi" w:hAnsiTheme="majorHAnsi"/>
        </w:rPr>
      </w:pPr>
      <w:hyperlink r:id="rId597" w:history="1">
        <w:r w:rsidR="0082588E">
          <w:rPr>
            <w:rStyle w:val="Hyperlink"/>
            <w:rFonts w:asciiTheme="majorHAnsi" w:hAnsiTheme="majorHAnsi"/>
          </w:rPr>
          <w:t>Glien împotriva Germaniei</w:t>
        </w:r>
      </w:hyperlink>
      <w:r w:rsidR="0082588E">
        <w:rPr>
          <w:rFonts w:asciiTheme="majorHAnsi" w:hAnsiTheme="majorHAnsi"/>
        </w:rPr>
        <w:t>, nr. 7345/12, 28 noiembrie 2013</w:t>
      </w:r>
    </w:p>
    <w:p w14:paraId="3C816F4F" w14:textId="2D289D56" w:rsidR="008F1027" w:rsidRPr="006B7E09" w:rsidRDefault="008E32D6" w:rsidP="00C726D5">
      <w:pPr>
        <w:pStyle w:val="ECHRParaHanging"/>
        <w:rPr>
          <w:rFonts w:asciiTheme="majorHAnsi" w:hAnsiTheme="majorHAnsi"/>
        </w:rPr>
      </w:pPr>
      <w:hyperlink r:id="rId598" w:history="1">
        <w:r w:rsidR="0082588E">
          <w:rPr>
            <w:rStyle w:val="Hyperlink"/>
            <w:rFonts w:asciiTheme="majorHAnsi" w:hAnsiTheme="majorHAnsi"/>
          </w:rPr>
          <w:t>Göktan împotriva Franței</w:t>
        </w:r>
      </w:hyperlink>
      <w:r w:rsidR="0082588E">
        <w:rPr>
          <w:rFonts w:asciiTheme="majorHAnsi" w:hAnsiTheme="majorHAnsi"/>
        </w:rPr>
        <w:t>, nr. 33402/96, CEDO 2002</w:t>
      </w:r>
      <w:r w:rsidR="0082588E">
        <w:rPr>
          <w:rFonts w:asciiTheme="majorHAnsi" w:hAnsiTheme="majorHAnsi"/>
        </w:rPr>
        <w:noBreakHyphen/>
        <w:t>V</w:t>
      </w:r>
    </w:p>
    <w:p w14:paraId="4C980C61" w14:textId="0A28BE84" w:rsidR="008F1027" w:rsidRPr="006B7E09" w:rsidRDefault="008E32D6" w:rsidP="00C726D5">
      <w:pPr>
        <w:pStyle w:val="ECHRParaHanging"/>
        <w:rPr>
          <w:rFonts w:asciiTheme="majorHAnsi" w:hAnsiTheme="majorHAnsi"/>
        </w:rPr>
      </w:pPr>
      <w:hyperlink r:id="rId599" w:history="1">
        <w:r w:rsidR="0082588E">
          <w:rPr>
            <w:rStyle w:val="Hyperlink"/>
            <w:rFonts w:asciiTheme="majorHAnsi" w:hAnsiTheme="majorHAnsi"/>
          </w:rPr>
          <w:t>Gouarré Patte împotriva Andorrei</w:t>
        </w:r>
      </w:hyperlink>
      <w:r w:rsidR="0082588E">
        <w:t>, nr. 33427/10</w:t>
      </w:r>
      <w:r w:rsidR="0082588E">
        <w:rPr>
          <w:snapToGrid w:val="0"/>
        </w:rPr>
        <w:t xml:space="preserve">, 12 </w:t>
      </w:r>
      <w:r w:rsidR="0082588E">
        <w:t>ianuarie</w:t>
      </w:r>
      <w:r w:rsidR="0082588E">
        <w:rPr>
          <w:snapToGrid w:val="0"/>
        </w:rPr>
        <w:t xml:space="preserve"> 2016</w:t>
      </w:r>
    </w:p>
    <w:p w14:paraId="001FC78C" w14:textId="5821925D" w:rsidR="008F1027" w:rsidRPr="006B7E09" w:rsidRDefault="008E32D6" w:rsidP="00856F2A">
      <w:pPr>
        <w:pStyle w:val="ECHRParaHanging"/>
        <w:rPr>
          <w:rFonts w:asciiTheme="majorHAnsi" w:hAnsiTheme="majorHAnsi"/>
        </w:rPr>
      </w:pPr>
      <w:hyperlink r:id="rId600" w:history="1">
        <w:r w:rsidR="0082588E">
          <w:rPr>
            <w:rStyle w:val="Hyperlink"/>
            <w:rFonts w:asciiTheme="majorHAnsi" w:hAnsiTheme="majorHAnsi"/>
          </w:rPr>
          <w:t>Grava împotriva Italiei</w:t>
        </w:r>
      </w:hyperlink>
      <w:r w:rsidR="0082588E">
        <w:rPr>
          <w:rFonts w:asciiTheme="majorHAnsi" w:hAnsiTheme="majorHAnsi"/>
        </w:rPr>
        <w:t>, nr. 43522/98, 10 iulie 2003</w:t>
      </w:r>
    </w:p>
    <w:p w14:paraId="5E370552" w14:textId="1AF8CD68" w:rsidR="008F1027" w:rsidRPr="006B7E09" w:rsidRDefault="008E32D6" w:rsidP="00C726D5">
      <w:pPr>
        <w:pStyle w:val="ECHRParaHanging"/>
        <w:rPr>
          <w:rFonts w:asciiTheme="majorHAnsi" w:hAnsiTheme="majorHAnsi"/>
        </w:rPr>
      </w:pPr>
      <w:hyperlink r:id="rId601" w:history="1">
        <w:r w:rsidR="0082588E">
          <w:rPr>
            <w:rStyle w:val="Hyperlink"/>
            <w:rFonts w:asciiTheme="majorHAnsi" w:hAnsiTheme="majorHAnsi"/>
          </w:rPr>
          <w:t>Gurguchiani împotriva Spaniei</w:t>
        </w:r>
      </w:hyperlink>
      <w:r w:rsidR="0082588E">
        <w:t>, nr. 16012/06, 15 decembrie 2009</w:t>
      </w:r>
    </w:p>
    <w:p w14:paraId="7FD41538" w14:textId="77777777" w:rsidR="008F1027" w:rsidRPr="006B7E09" w:rsidRDefault="008F1027" w:rsidP="008F1027">
      <w:pPr>
        <w:pStyle w:val="ECHRTitleCentre1"/>
      </w:pPr>
      <w:r>
        <w:t>—H—</w:t>
      </w:r>
    </w:p>
    <w:p w14:paraId="063F0C4B" w14:textId="55ECDD88" w:rsidR="008F1027" w:rsidRPr="006B7E09" w:rsidRDefault="008E32D6" w:rsidP="00C726D5">
      <w:pPr>
        <w:pStyle w:val="ECHRParaHanging"/>
        <w:rPr>
          <w:rFonts w:asciiTheme="majorHAnsi" w:hAnsiTheme="majorHAnsi"/>
        </w:rPr>
      </w:pPr>
      <w:hyperlink r:id="rId602" w:history="1">
        <w:r w:rsidR="0082588E">
          <w:rPr>
            <w:rStyle w:val="Hyperlink"/>
            <w:rFonts w:asciiTheme="majorHAnsi" w:hAnsiTheme="majorHAnsi"/>
          </w:rPr>
          <w:t>Haioun împotriva Franței</w:t>
        </w:r>
      </w:hyperlink>
      <w:r w:rsidR="0082588E">
        <w:t xml:space="preserve"> </w:t>
      </w:r>
      <w:r w:rsidR="0082588E">
        <w:rPr>
          <w:rFonts w:asciiTheme="majorHAnsi" w:hAnsiTheme="majorHAnsi"/>
        </w:rPr>
        <w:t>(dec.), nr. 70749/01, 7 septembrie 2004</w:t>
      </w:r>
    </w:p>
    <w:p w14:paraId="3BC751F8" w14:textId="7AFB8092" w:rsidR="008F1027" w:rsidRPr="006B7E09" w:rsidRDefault="008E32D6" w:rsidP="00C726D5">
      <w:pPr>
        <w:pStyle w:val="ECHRParaHanging"/>
        <w:rPr>
          <w:rFonts w:asciiTheme="majorHAnsi" w:hAnsiTheme="majorHAnsi"/>
        </w:rPr>
      </w:pPr>
      <w:hyperlink r:id="rId603" w:history="1">
        <w:r w:rsidR="0082588E">
          <w:rPr>
            <w:rStyle w:val="Hyperlink"/>
            <w:rFonts w:asciiTheme="majorHAnsi" w:hAnsiTheme="majorHAnsi"/>
          </w:rPr>
          <w:t>Hakkar împotriva Franței</w:t>
        </w:r>
      </w:hyperlink>
      <w:r w:rsidR="0082588E">
        <w:t xml:space="preserve"> </w:t>
      </w:r>
      <w:r w:rsidR="0082588E">
        <w:rPr>
          <w:rFonts w:asciiTheme="majorHAnsi" w:hAnsiTheme="majorHAnsi"/>
        </w:rPr>
        <w:t>(dec.), nr. 43580/04, 7 aprilie 2009</w:t>
      </w:r>
    </w:p>
    <w:p w14:paraId="68A05DD3" w14:textId="1D805CE6" w:rsidR="008F1027" w:rsidRPr="006B7E09" w:rsidRDefault="008E32D6" w:rsidP="00C726D5">
      <w:pPr>
        <w:pStyle w:val="ECHRParaHanging"/>
        <w:rPr>
          <w:rFonts w:asciiTheme="majorHAnsi" w:hAnsiTheme="majorHAnsi"/>
        </w:rPr>
      </w:pPr>
      <w:hyperlink r:id="rId604" w:history="1">
        <w:r w:rsidR="0082588E">
          <w:rPr>
            <w:rStyle w:val="Hyperlink"/>
            <w:rFonts w:asciiTheme="majorHAnsi" w:hAnsiTheme="majorHAnsi"/>
          </w:rPr>
          <w:t>Hogben împotriva Regatului Unit</w:t>
        </w:r>
      </w:hyperlink>
      <w:r w:rsidR="0082588E">
        <w:rPr>
          <w:rFonts w:asciiTheme="majorHAnsi" w:hAnsiTheme="majorHAnsi"/>
        </w:rPr>
        <w:t>, nr. 11653/85, decizia Comisiei din 3 martie 1986, Decizii și rapoarte 46</w:t>
      </w:r>
    </w:p>
    <w:p w14:paraId="6B3C5379" w14:textId="6078A0C5" w:rsidR="008F1027" w:rsidRPr="006B7E09" w:rsidRDefault="008E32D6" w:rsidP="00C726D5">
      <w:pPr>
        <w:pStyle w:val="ECHRParaHanging"/>
        <w:rPr>
          <w:rFonts w:asciiTheme="majorHAnsi" w:hAnsiTheme="majorHAnsi"/>
        </w:rPr>
      </w:pPr>
      <w:hyperlink r:id="rId605" w:history="1">
        <w:r w:rsidR="0082588E">
          <w:rPr>
            <w:rStyle w:val="Hyperlink"/>
            <w:rFonts w:asciiTheme="majorHAnsi" w:hAnsiTheme="majorHAnsi"/>
          </w:rPr>
          <w:t>Hummatov împotriva Azerbaidjanului</w:t>
        </w:r>
      </w:hyperlink>
      <w:r w:rsidR="0082588E">
        <w:t xml:space="preserve"> </w:t>
      </w:r>
      <w:r w:rsidR="0082588E">
        <w:rPr>
          <w:rFonts w:asciiTheme="majorHAnsi" w:hAnsiTheme="majorHAnsi"/>
        </w:rPr>
        <w:t>(dec.),</w:t>
      </w:r>
      <w:r w:rsidR="0082588E">
        <w:t xml:space="preserve"> nr.</w:t>
      </w:r>
      <w:r w:rsidR="0082588E">
        <w:rPr>
          <w:rFonts w:asciiTheme="majorHAnsi" w:hAnsiTheme="majorHAnsi"/>
        </w:rPr>
        <w:t xml:space="preserve"> 9852/03 și 13413/04, 18 mai 2006</w:t>
      </w:r>
    </w:p>
    <w:p w14:paraId="045B3169" w14:textId="77777777" w:rsidR="003D5FA6" w:rsidRPr="006B7E09" w:rsidRDefault="003D5FA6" w:rsidP="003D5FA6">
      <w:pPr>
        <w:pStyle w:val="ECHRTitleCentre1"/>
      </w:pPr>
      <w:r>
        <w:t>—I—</w:t>
      </w:r>
    </w:p>
    <w:bookmarkStart w:id="65" w:name="File1"/>
    <w:p w14:paraId="398344B7" w14:textId="0EBC8EC5" w:rsidR="003D5FA6" w:rsidRPr="006B7E09" w:rsidRDefault="003D5FA6" w:rsidP="003D5FA6">
      <w:pPr>
        <w:pStyle w:val="ECHRParaHanging"/>
      </w:pPr>
      <w:r w:rsidRPr="006B7E09">
        <w:fldChar w:fldCharType="begin"/>
      </w:r>
      <w:r w:rsidR="00261F26" w:rsidRPr="006B7E09">
        <w:instrText>HYPERLINK "http://hudoc.echr.coe.int/eng?i=001-187540"</w:instrText>
      </w:r>
      <w:r w:rsidRPr="006B7E09">
        <w:fldChar w:fldCharType="separate"/>
      </w:r>
      <w:bookmarkEnd w:id="65"/>
      <w:r>
        <w:rPr>
          <w:rStyle w:val="Hyperlink"/>
        </w:rPr>
        <w:t>Ilnseher împotriva Germaniei</w:t>
      </w:r>
      <w:r w:rsidRPr="006B7E09">
        <w:rPr>
          <w:rStyle w:val="Hyperlink"/>
        </w:rPr>
        <w:fldChar w:fldCharType="end"/>
      </w:r>
      <w:r>
        <w:t xml:space="preserve"> (MC), nr. 10211/12 și 27505/14, 4 decembrie 2018</w:t>
      </w:r>
    </w:p>
    <w:p w14:paraId="7BEFE377" w14:textId="77777777" w:rsidR="008F1027" w:rsidRPr="006B7E09" w:rsidRDefault="008F1027" w:rsidP="008F1027">
      <w:pPr>
        <w:pStyle w:val="ECHRTitleCentre1"/>
      </w:pPr>
      <w:r>
        <w:t>—J—</w:t>
      </w:r>
    </w:p>
    <w:p w14:paraId="3CF634E8" w14:textId="72BDCFF0" w:rsidR="008F1027" w:rsidRDefault="008E32D6" w:rsidP="00C726D5">
      <w:pPr>
        <w:pStyle w:val="ECHRParaHanging"/>
        <w:rPr>
          <w:rFonts w:asciiTheme="majorHAnsi" w:hAnsiTheme="majorHAnsi"/>
        </w:rPr>
      </w:pPr>
      <w:hyperlink r:id="rId606" w:history="1">
        <w:r w:rsidR="0082588E">
          <w:rPr>
            <w:rStyle w:val="Hyperlink"/>
            <w:rFonts w:asciiTheme="majorHAnsi" w:hAnsiTheme="majorHAnsi"/>
          </w:rPr>
          <w:t>Jamil împotriva Franței</w:t>
        </w:r>
      </w:hyperlink>
      <w:r w:rsidR="0082588E">
        <w:rPr>
          <w:rFonts w:asciiTheme="majorHAnsi" w:hAnsiTheme="majorHAnsi"/>
        </w:rPr>
        <w:t>, 8 iunie 1995, seria A nr. 317</w:t>
      </w:r>
      <w:r w:rsidR="0082588E">
        <w:rPr>
          <w:rFonts w:asciiTheme="majorHAnsi" w:hAnsiTheme="majorHAnsi"/>
        </w:rPr>
        <w:noBreakHyphen/>
        <w:t>B</w:t>
      </w:r>
    </w:p>
    <w:p w14:paraId="4C5878AE" w14:textId="76DF291D" w:rsidR="008F1027" w:rsidRPr="006B7E09" w:rsidRDefault="008E32D6" w:rsidP="00C726D5">
      <w:pPr>
        <w:pStyle w:val="ECHRParaHanging"/>
        <w:rPr>
          <w:rFonts w:asciiTheme="majorHAnsi" w:hAnsiTheme="majorHAnsi"/>
        </w:rPr>
      </w:pPr>
      <w:hyperlink r:id="rId607" w:history="1">
        <w:r w:rsidR="0082588E">
          <w:rPr>
            <w:rStyle w:val="Hyperlink"/>
            <w:rFonts w:asciiTheme="majorHAnsi" w:hAnsiTheme="majorHAnsi"/>
          </w:rPr>
          <w:t>Jendrowiak împotriva Germaniei</w:t>
        </w:r>
      </w:hyperlink>
      <w:r w:rsidR="0082588E">
        <w:rPr>
          <w:rFonts w:asciiTheme="majorHAnsi" w:hAnsiTheme="majorHAnsi"/>
        </w:rPr>
        <w:t>, nr. 30060/04, 14 aprilie 2011</w:t>
      </w:r>
    </w:p>
    <w:p w14:paraId="791A813A" w14:textId="6A393259" w:rsidR="00D34BD1" w:rsidRPr="006B7E09" w:rsidRDefault="008E32D6" w:rsidP="00C726D5">
      <w:pPr>
        <w:pStyle w:val="ECHRParaHanging"/>
        <w:rPr>
          <w:rFonts w:asciiTheme="majorHAnsi" w:hAnsiTheme="majorHAnsi"/>
        </w:rPr>
      </w:pPr>
      <w:hyperlink r:id="rId608" w:history="1">
        <w:r w:rsidR="0082588E">
          <w:rPr>
            <w:rStyle w:val="Hyperlink"/>
            <w:rFonts w:asciiTheme="majorHAnsi" w:hAnsiTheme="majorHAnsi"/>
          </w:rPr>
          <w:t>Jidic împotriva României</w:t>
        </w:r>
      </w:hyperlink>
      <w:r w:rsidR="0082588E">
        <w:t>, nr. 45776/16, 18 februarie 2020</w:t>
      </w:r>
    </w:p>
    <w:p w14:paraId="08DC7BFE" w14:textId="2F4D6111" w:rsidR="008F1027" w:rsidRPr="006B7E09" w:rsidRDefault="008E32D6" w:rsidP="00C726D5">
      <w:pPr>
        <w:pStyle w:val="ECHRParaHanging"/>
        <w:rPr>
          <w:rFonts w:asciiTheme="majorHAnsi" w:hAnsiTheme="majorHAnsi"/>
        </w:rPr>
      </w:pPr>
      <w:hyperlink r:id="rId609" w:history="1">
        <w:r w:rsidR="0082588E">
          <w:rPr>
            <w:rStyle w:val="Hyperlink"/>
            <w:rFonts w:asciiTheme="majorHAnsi" w:hAnsiTheme="majorHAnsi"/>
          </w:rPr>
          <w:t>Jobe împotriva Regatului Unit</w:t>
        </w:r>
      </w:hyperlink>
      <w:r w:rsidR="0082588E">
        <w:rPr>
          <w:rFonts w:asciiTheme="majorHAnsi" w:hAnsiTheme="majorHAnsi"/>
        </w:rPr>
        <w:t xml:space="preserve"> (dec.), nr. 48278/09, 14 iunie 2011</w:t>
      </w:r>
    </w:p>
    <w:p w14:paraId="0D8D84BC" w14:textId="46918FC2" w:rsidR="008F1027" w:rsidRPr="006B7E09" w:rsidRDefault="008E32D6" w:rsidP="00C726D5">
      <w:pPr>
        <w:pStyle w:val="ECHRParaHanging"/>
        <w:rPr>
          <w:rFonts w:asciiTheme="majorHAnsi" w:hAnsiTheme="majorHAnsi"/>
        </w:rPr>
      </w:pPr>
      <w:hyperlink r:id="rId610" w:history="1">
        <w:r w:rsidR="0082588E">
          <w:rPr>
            <w:rStyle w:val="Hyperlink"/>
            <w:rFonts w:asciiTheme="majorHAnsi" w:hAnsiTheme="majorHAnsi"/>
          </w:rPr>
          <w:t>Jorgic împotriva Germaniei</w:t>
        </w:r>
      </w:hyperlink>
      <w:r w:rsidR="0082588E">
        <w:t>, nr. 74613/01, CEDO 2007</w:t>
      </w:r>
      <w:r w:rsidR="0082588E">
        <w:noBreakHyphen/>
        <w:t>III</w:t>
      </w:r>
    </w:p>
    <w:p w14:paraId="0929E263" w14:textId="5944E35C" w:rsidR="008F1027" w:rsidRPr="006B7E09" w:rsidRDefault="008E32D6" w:rsidP="00C726D5">
      <w:pPr>
        <w:pStyle w:val="ECHRParaHanging"/>
        <w:rPr>
          <w:rFonts w:asciiTheme="majorHAnsi" w:hAnsiTheme="majorHAnsi"/>
        </w:rPr>
      </w:pPr>
      <w:hyperlink r:id="rId611" w:history="1">
        <w:r w:rsidR="0082588E">
          <w:rPr>
            <w:rStyle w:val="Hyperlink"/>
            <w:rFonts w:asciiTheme="majorHAnsi" w:hAnsiTheme="majorHAnsi"/>
          </w:rPr>
          <w:t>Jussila împotriva Finlandei</w:t>
        </w:r>
      </w:hyperlink>
      <w:r w:rsidR="0082588E">
        <w:t>(MC)</w:t>
      </w:r>
      <w:r w:rsidR="0082588E">
        <w:rPr>
          <w:rFonts w:asciiTheme="majorHAnsi" w:hAnsiTheme="majorHAnsi"/>
        </w:rPr>
        <w:t>, nr. 73053/01, CEDO 2006</w:t>
      </w:r>
      <w:r w:rsidR="0082588E">
        <w:rPr>
          <w:rFonts w:asciiTheme="majorHAnsi" w:hAnsiTheme="majorHAnsi"/>
        </w:rPr>
        <w:noBreakHyphen/>
        <w:t>XIV</w:t>
      </w:r>
    </w:p>
    <w:p w14:paraId="26DEAB63" w14:textId="77777777" w:rsidR="008F1027" w:rsidRPr="006B7E09" w:rsidRDefault="008F1027" w:rsidP="008F1027">
      <w:pPr>
        <w:pStyle w:val="ECHRTitleCentre1"/>
      </w:pPr>
      <w:r>
        <w:t>—K—</w:t>
      </w:r>
    </w:p>
    <w:p w14:paraId="14254AA4" w14:textId="42D3311D" w:rsidR="008E5FD7" w:rsidRPr="006B7E09" w:rsidRDefault="008E32D6" w:rsidP="00C726D5">
      <w:pPr>
        <w:pStyle w:val="ECHRParaHanging"/>
        <w:rPr>
          <w:rFonts w:asciiTheme="majorHAnsi" w:hAnsiTheme="majorHAnsi"/>
        </w:rPr>
      </w:pPr>
      <w:hyperlink r:id="rId612" w:history="1">
        <w:r w:rsidR="0082588E">
          <w:rPr>
            <w:rStyle w:val="Hyperlink"/>
            <w:rFonts w:asciiTheme="majorHAnsi" w:hAnsiTheme="majorHAnsi"/>
          </w:rPr>
          <w:t>K.-H.W. împotriva Germaniei</w:t>
        </w:r>
      </w:hyperlink>
      <w:r w:rsidR="0082588E">
        <w:t xml:space="preserve"> (MC), nr. 37201/97, CEDO 2001</w:t>
      </w:r>
      <w:r w:rsidR="0082588E">
        <w:noBreakHyphen/>
        <w:t>II</w:t>
      </w:r>
    </w:p>
    <w:p w14:paraId="08C42603" w14:textId="3B100691" w:rsidR="008F1027" w:rsidRPr="006B7E09" w:rsidRDefault="008E32D6" w:rsidP="00C726D5">
      <w:pPr>
        <w:pStyle w:val="ECHRParaHanging"/>
        <w:rPr>
          <w:rFonts w:asciiTheme="majorHAnsi" w:hAnsiTheme="majorHAnsi"/>
        </w:rPr>
      </w:pPr>
      <w:hyperlink r:id="rId613" w:history="1">
        <w:r w:rsidR="0082588E">
          <w:rPr>
            <w:rStyle w:val="Hyperlink"/>
            <w:rFonts w:asciiTheme="majorHAnsi" w:hAnsiTheme="majorHAnsi"/>
          </w:rPr>
          <w:t>K.A. și A.D. împotriva Belgiei</w:t>
        </w:r>
      </w:hyperlink>
      <w:r w:rsidR="0082588E">
        <w:rPr>
          <w:rFonts w:asciiTheme="majorHAnsi" w:hAnsiTheme="majorHAnsi"/>
        </w:rPr>
        <w:t>, nr. 42758/98 și 45558/99, 17 februarie 2005</w:t>
      </w:r>
    </w:p>
    <w:p w14:paraId="67F2EA4C" w14:textId="70D8CB21" w:rsidR="008F1027" w:rsidRPr="006B7E09" w:rsidRDefault="008E32D6" w:rsidP="00C726D5">
      <w:pPr>
        <w:pStyle w:val="ECHRParaHanging"/>
        <w:rPr>
          <w:rFonts w:asciiTheme="majorHAnsi" w:hAnsiTheme="majorHAnsi"/>
        </w:rPr>
      </w:pPr>
      <w:hyperlink r:id="rId614" w:history="1">
        <w:r w:rsidR="0082588E">
          <w:rPr>
            <w:rStyle w:val="Hyperlink"/>
            <w:rFonts w:asciiTheme="majorHAnsi" w:hAnsiTheme="majorHAnsi"/>
          </w:rPr>
          <w:t>Kafkaris împotriva Ciprului</w:t>
        </w:r>
      </w:hyperlink>
      <w:r w:rsidR="0082588E">
        <w:t xml:space="preserve"> (MC)</w:t>
      </w:r>
      <w:r w:rsidR="0082588E">
        <w:rPr>
          <w:rFonts w:asciiTheme="majorHAnsi" w:hAnsiTheme="majorHAnsi"/>
        </w:rPr>
        <w:t>, nr. 21906/04, CEDO 2008</w:t>
      </w:r>
    </w:p>
    <w:p w14:paraId="6D136210" w14:textId="47F5A4C1" w:rsidR="00C3391E" w:rsidRPr="006B7E09" w:rsidRDefault="008E32D6" w:rsidP="00C3391E">
      <w:pPr>
        <w:pStyle w:val="ECHRParaHanging"/>
        <w:rPr>
          <w:rFonts w:asciiTheme="majorHAnsi" w:hAnsiTheme="majorHAnsi"/>
        </w:rPr>
      </w:pPr>
      <w:hyperlink r:id="rId615" w:history="1">
        <w:r w:rsidR="0082588E">
          <w:rPr>
            <w:rStyle w:val="Hyperlink"/>
            <w:rFonts w:asciiTheme="majorHAnsi" w:hAnsiTheme="majorHAnsi"/>
          </w:rPr>
          <w:t>Kadusic împotriva Elveția</w:t>
        </w:r>
      </w:hyperlink>
      <w:r w:rsidR="0082588E">
        <w:t>, nr. 43977/13, 9 ianuarie 2018</w:t>
      </w:r>
    </w:p>
    <w:p w14:paraId="1BA5F4B4" w14:textId="35BE4C04" w:rsidR="008F1027" w:rsidRPr="006B7E09" w:rsidRDefault="008E32D6" w:rsidP="00C726D5">
      <w:pPr>
        <w:pStyle w:val="ECHRParaHanging"/>
        <w:rPr>
          <w:rFonts w:asciiTheme="majorHAnsi" w:hAnsiTheme="majorHAnsi"/>
        </w:rPr>
      </w:pPr>
      <w:hyperlink r:id="rId616" w:history="1">
        <w:r w:rsidR="0082588E">
          <w:rPr>
            <w:rStyle w:val="Hyperlink"/>
            <w:rFonts w:asciiTheme="majorHAnsi" w:hAnsiTheme="majorHAnsi"/>
          </w:rPr>
          <w:t>Khodorkovskiy și Lebedev împotriva Rusiei</w:t>
        </w:r>
      </w:hyperlink>
      <w:r w:rsidR="0082588E">
        <w:rPr>
          <w:rFonts w:asciiTheme="majorHAnsi" w:hAnsiTheme="majorHAnsi"/>
        </w:rPr>
        <w:t xml:space="preserve">, nr. </w:t>
      </w:r>
      <w:r w:rsidR="0082588E">
        <w:rPr>
          <w:rFonts w:asciiTheme="majorHAnsi" w:hAnsiTheme="majorHAnsi"/>
          <w:snapToGrid w:val="0"/>
        </w:rPr>
        <w:t>11082/06 și 13772/05, 25 iulie 2013</w:t>
      </w:r>
    </w:p>
    <w:p w14:paraId="48A95EA7" w14:textId="60770F5E" w:rsidR="008F1027" w:rsidRPr="006B7E09" w:rsidRDefault="008E32D6" w:rsidP="00C726D5">
      <w:pPr>
        <w:pStyle w:val="ECHRParaHanging"/>
        <w:rPr>
          <w:rFonts w:asciiTheme="majorHAnsi" w:hAnsiTheme="majorHAnsi"/>
        </w:rPr>
      </w:pPr>
      <w:hyperlink r:id="rId617" w:history="1">
        <w:r w:rsidR="0082588E">
          <w:rPr>
            <w:rStyle w:val="Hyperlink"/>
            <w:rFonts w:asciiTheme="majorHAnsi" w:hAnsiTheme="majorHAnsi"/>
          </w:rPr>
          <w:t>Kokkinakis împotriva Greciei</w:t>
        </w:r>
      </w:hyperlink>
      <w:r w:rsidR="0082588E">
        <w:rPr>
          <w:rFonts w:asciiTheme="majorHAnsi" w:hAnsiTheme="majorHAnsi"/>
        </w:rPr>
        <w:t>, 25 mai 1993, seria A nr. 260</w:t>
      </w:r>
      <w:r w:rsidR="0082588E">
        <w:rPr>
          <w:rFonts w:asciiTheme="majorHAnsi" w:hAnsiTheme="majorHAnsi"/>
        </w:rPr>
        <w:noBreakHyphen/>
        <w:t>A</w:t>
      </w:r>
    </w:p>
    <w:p w14:paraId="24A10E87" w14:textId="529561CA" w:rsidR="008F1027" w:rsidRPr="006B7E09" w:rsidRDefault="008E32D6" w:rsidP="00C726D5">
      <w:pPr>
        <w:pStyle w:val="ECHRParaHanging"/>
        <w:rPr>
          <w:rFonts w:asciiTheme="majorHAnsi" w:hAnsiTheme="majorHAnsi"/>
        </w:rPr>
      </w:pPr>
      <w:hyperlink r:id="rId618" w:history="1">
        <w:r w:rsidR="0082588E">
          <w:rPr>
            <w:rStyle w:val="Hyperlink"/>
            <w:rFonts w:asciiTheme="majorHAnsi" w:hAnsiTheme="majorHAnsi"/>
          </w:rPr>
          <w:t>Kolk și Kislyiy împotriva Estoniei</w:t>
        </w:r>
      </w:hyperlink>
      <w:r w:rsidR="0082588E">
        <w:rPr>
          <w:rFonts w:asciiTheme="majorHAnsi" w:hAnsiTheme="majorHAnsi"/>
        </w:rPr>
        <w:t xml:space="preserve"> (dec.), nr. 23052/04 și 24018/04, 17 ianuarie 2006</w:t>
      </w:r>
    </w:p>
    <w:p w14:paraId="51B70D0F" w14:textId="47D557A7" w:rsidR="008F1027" w:rsidRPr="006B7E09" w:rsidRDefault="008E32D6" w:rsidP="00C726D5">
      <w:pPr>
        <w:pStyle w:val="ECHRParaHanging"/>
        <w:rPr>
          <w:rFonts w:asciiTheme="majorHAnsi" w:hAnsiTheme="majorHAnsi"/>
        </w:rPr>
      </w:pPr>
      <w:hyperlink r:id="rId619" w:history="1">
        <w:r w:rsidR="0082588E">
          <w:rPr>
            <w:rStyle w:val="Hyperlink"/>
            <w:rFonts w:asciiTheme="majorHAnsi" w:hAnsiTheme="majorHAnsi"/>
          </w:rPr>
          <w:t>Kononov împotriva Letoniei</w:t>
        </w:r>
      </w:hyperlink>
      <w:r w:rsidR="0082588E">
        <w:t xml:space="preserve"> (MC)</w:t>
      </w:r>
      <w:r w:rsidR="0082588E">
        <w:rPr>
          <w:rFonts w:asciiTheme="majorHAnsi" w:hAnsiTheme="majorHAnsi"/>
        </w:rPr>
        <w:t>, nr. 36376/04, CEDO 2010</w:t>
      </w:r>
    </w:p>
    <w:p w14:paraId="767CE53E" w14:textId="5E907044" w:rsidR="00AA02D3" w:rsidRPr="006B7E09" w:rsidRDefault="008E32D6" w:rsidP="00AA02D3">
      <w:pPr>
        <w:pStyle w:val="ECHRParaHanging"/>
        <w:rPr>
          <w:rFonts w:asciiTheme="majorHAnsi" w:hAnsiTheme="majorHAnsi"/>
        </w:rPr>
      </w:pPr>
      <w:hyperlink r:id="rId620" w:history="1">
        <w:r w:rsidR="0082588E">
          <w:rPr>
            <w:rStyle w:val="Hyperlink"/>
            <w:rFonts w:asciiTheme="majorHAnsi" w:hAnsiTheme="majorHAnsi"/>
          </w:rPr>
          <w:t>Koprivnikar împotriva Sloveniei</w:t>
        </w:r>
      </w:hyperlink>
      <w:r w:rsidR="0082588E">
        <w:rPr>
          <w:rFonts w:asciiTheme="majorHAnsi" w:hAnsiTheme="majorHAnsi"/>
        </w:rPr>
        <w:t>, nr. 67503/13, 24 ianuarie 2017</w:t>
      </w:r>
    </w:p>
    <w:p w14:paraId="307371D6" w14:textId="662FCF4C" w:rsidR="008F1027" w:rsidRPr="006B7E09" w:rsidRDefault="008E32D6" w:rsidP="00C726D5">
      <w:pPr>
        <w:pStyle w:val="ECHRParaHanging"/>
        <w:rPr>
          <w:rFonts w:asciiTheme="majorHAnsi" w:hAnsiTheme="majorHAnsi"/>
        </w:rPr>
      </w:pPr>
      <w:hyperlink r:id="rId621" w:history="1">
        <w:r w:rsidR="0082588E">
          <w:rPr>
            <w:rStyle w:val="Hyperlink"/>
            <w:rFonts w:asciiTheme="majorHAnsi" w:hAnsiTheme="majorHAnsi"/>
          </w:rPr>
          <w:t>Korbely împotriva Ungariei</w:t>
        </w:r>
      </w:hyperlink>
      <w:r w:rsidR="0082588E">
        <w:t xml:space="preserve"> (MC)</w:t>
      </w:r>
      <w:r w:rsidR="0082588E">
        <w:rPr>
          <w:rFonts w:asciiTheme="majorHAnsi" w:hAnsiTheme="majorHAnsi"/>
        </w:rPr>
        <w:t>, nr. 9174/02, CEDO 2008</w:t>
      </w:r>
    </w:p>
    <w:p w14:paraId="2112D0C7" w14:textId="53307458" w:rsidR="00DA2427" w:rsidRPr="006B7E09" w:rsidRDefault="008E32D6" w:rsidP="00C726D5">
      <w:pPr>
        <w:pStyle w:val="ECHRParaHanging"/>
        <w:rPr>
          <w:rFonts w:asciiTheme="majorHAnsi" w:hAnsiTheme="majorHAnsi"/>
        </w:rPr>
      </w:pPr>
      <w:hyperlink r:id="rId622" w:history="1">
        <w:r w:rsidR="0082588E">
          <w:rPr>
            <w:rStyle w:val="Hyperlink"/>
            <w:rFonts w:asciiTheme="majorHAnsi" w:hAnsiTheme="majorHAnsi"/>
          </w:rPr>
          <w:t>Kotlyar împotriva Rusiei</w:t>
        </w:r>
      </w:hyperlink>
      <w:r w:rsidR="0082588E">
        <w:rPr>
          <w:rFonts w:asciiTheme="majorHAnsi" w:hAnsiTheme="majorHAnsi"/>
        </w:rPr>
        <w:t>,</w:t>
      </w:r>
      <w:r w:rsidR="0082588E">
        <w:t xml:space="preserve"> nr.</w:t>
      </w:r>
      <w:r w:rsidR="0082588E">
        <w:rPr>
          <w:rFonts w:asciiTheme="majorHAnsi" w:hAnsiTheme="majorHAnsi"/>
        </w:rPr>
        <w:t xml:space="preserve"> 38825/16 și alte 2 cereri, 12 iulie 2022</w:t>
      </w:r>
    </w:p>
    <w:p w14:paraId="57E2F163" w14:textId="04EC36BA" w:rsidR="008F1027" w:rsidRPr="006B7E09" w:rsidRDefault="008E32D6" w:rsidP="00C726D5">
      <w:pPr>
        <w:pStyle w:val="ECHRParaHanging"/>
        <w:rPr>
          <w:rFonts w:asciiTheme="majorHAnsi" w:hAnsiTheme="majorHAnsi"/>
        </w:rPr>
      </w:pPr>
      <w:hyperlink r:id="rId623" w:history="1">
        <w:r w:rsidR="0082588E">
          <w:rPr>
            <w:rStyle w:val="Hyperlink"/>
            <w:rFonts w:asciiTheme="majorHAnsi" w:hAnsiTheme="majorHAnsi"/>
          </w:rPr>
          <w:t>Kuolelis, Bartosevicius și Burokevicius împotriva Lituaniei</w:t>
        </w:r>
      </w:hyperlink>
      <w:r w:rsidR="0082588E">
        <w:rPr>
          <w:rFonts w:asciiTheme="majorHAnsi" w:hAnsiTheme="majorHAnsi"/>
        </w:rPr>
        <w:t>, nr. 74357/01 și alte 2 cereri, 19 februarie 2008</w:t>
      </w:r>
    </w:p>
    <w:p w14:paraId="380968F7" w14:textId="74FC407A" w:rsidR="00861153" w:rsidRPr="006B7E09" w:rsidRDefault="008E32D6" w:rsidP="00C726D5">
      <w:pPr>
        <w:pStyle w:val="ECHRParaHanging"/>
        <w:rPr>
          <w:rFonts w:asciiTheme="majorHAnsi" w:hAnsiTheme="majorHAnsi"/>
        </w:rPr>
      </w:pPr>
      <w:hyperlink r:id="rId624" w:history="1">
        <w:r w:rsidR="0082588E">
          <w:rPr>
            <w:rStyle w:val="Hyperlink"/>
            <w:rFonts w:asciiTheme="majorHAnsi" w:hAnsiTheme="majorHAnsi"/>
          </w:rPr>
          <w:t>Kupinskyy împotriva Ucrainei</w:t>
        </w:r>
      </w:hyperlink>
      <w:r w:rsidR="0082588E">
        <w:t>, nr. 5084/18, 10 noiembrie 2022</w:t>
      </w:r>
    </w:p>
    <w:p w14:paraId="38534A38" w14:textId="77777777" w:rsidR="008F1027" w:rsidRPr="006B7E09" w:rsidRDefault="008F1027" w:rsidP="008F1027">
      <w:pPr>
        <w:pStyle w:val="ECHRTitleCentre1"/>
      </w:pPr>
      <w:r>
        <w:t>—L—</w:t>
      </w:r>
    </w:p>
    <w:p w14:paraId="0CC09416" w14:textId="0C429065" w:rsidR="00913D87" w:rsidRPr="006B7E09" w:rsidRDefault="008E32D6" w:rsidP="00994307">
      <w:pPr>
        <w:pStyle w:val="ECHRParaHanging"/>
        <w:rPr>
          <w:rFonts w:asciiTheme="majorHAnsi" w:hAnsiTheme="majorHAnsi"/>
        </w:rPr>
      </w:pPr>
      <w:hyperlink r:id="rId625" w:history="1">
        <w:r w:rsidR="0082588E">
          <w:rPr>
            <w:rStyle w:val="Hyperlink"/>
            <w:rFonts w:asciiTheme="majorHAnsi" w:hAnsiTheme="majorHAnsi"/>
          </w:rPr>
          <w:t>Lawless împotriva Irlandei (nr. 3)</w:t>
        </w:r>
      </w:hyperlink>
      <w:r w:rsidR="0082588E">
        <w:rPr>
          <w:rFonts w:asciiTheme="majorHAnsi" w:hAnsiTheme="majorHAnsi"/>
        </w:rPr>
        <w:t>, 1 iulie 1961, seria A nr. 3</w:t>
      </w:r>
    </w:p>
    <w:p w14:paraId="02016B0C" w14:textId="70AA20C5" w:rsidR="001E59E8" w:rsidRPr="006B7E09" w:rsidRDefault="008E32D6" w:rsidP="001E59E8">
      <w:pPr>
        <w:pStyle w:val="ECHRParaHanging"/>
        <w:rPr>
          <w:rFonts w:asciiTheme="majorHAnsi" w:hAnsiTheme="majorHAnsi"/>
        </w:rPr>
      </w:pPr>
      <w:hyperlink r:id="rId626" w:history="1">
        <w:r w:rsidR="0082588E">
          <w:rPr>
            <w:rStyle w:val="Hyperlink"/>
            <w:rFonts w:asciiTheme="majorHAnsi" w:hAnsiTheme="majorHAnsi"/>
          </w:rPr>
          <w:t>Liivik împotriva Estoniei</w:t>
        </w:r>
      </w:hyperlink>
      <w:r w:rsidR="0082588E">
        <w:t>, nr. 12157/05, 25 iunie 2009</w:t>
      </w:r>
    </w:p>
    <w:p w14:paraId="0B746FEC" w14:textId="49B81A9B" w:rsidR="008F1027" w:rsidRPr="006B7E09" w:rsidRDefault="008E32D6" w:rsidP="00C726D5">
      <w:pPr>
        <w:pStyle w:val="ECHRParaHanging"/>
        <w:rPr>
          <w:rFonts w:asciiTheme="majorHAnsi" w:hAnsiTheme="majorHAnsi"/>
        </w:rPr>
      </w:pPr>
      <w:hyperlink r:id="rId627" w:history="1">
        <w:r w:rsidR="0082588E">
          <w:rPr>
            <w:rStyle w:val="Hyperlink"/>
            <w:rFonts w:asciiTheme="majorHAnsi" w:hAnsiTheme="majorHAnsi"/>
          </w:rPr>
          <w:t>Lukanov împotriva Bulgariei</w:t>
        </w:r>
      </w:hyperlink>
      <w:r w:rsidR="0082588E">
        <w:rPr>
          <w:rFonts w:asciiTheme="majorHAnsi" w:hAnsiTheme="majorHAnsi"/>
        </w:rPr>
        <w:t>, nr. 21915/93, decizia Comisiei din 12 ianuarie 1995, Decizii și rapoarte 80</w:t>
      </w:r>
    </w:p>
    <w:p w14:paraId="0CF66BEF" w14:textId="77777777" w:rsidR="008F1027" w:rsidRPr="006B7E09" w:rsidRDefault="008F1027" w:rsidP="008F1027">
      <w:pPr>
        <w:pStyle w:val="ECHRTitleCentre1"/>
      </w:pPr>
      <w:r>
        <w:t>—M—</w:t>
      </w:r>
    </w:p>
    <w:p w14:paraId="649766F6" w14:textId="36E17BA9" w:rsidR="008F1027" w:rsidRPr="006B7E09" w:rsidRDefault="008E32D6" w:rsidP="00C726D5">
      <w:pPr>
        <w:pStyle w:val="ECHRParaHanging"/>
        <w:rPr>
          <w:rFonts w:asciiTheme="majorHAnsi" w:hAnsiTheme="majorHAnsi"/>
        </w:rPr>
      </w:pPr>
      <w:hyperlink r:id="rId628" w:history="1">
        <w:r w:rsidR="0082588E">
          <w:rPr>
            <w:rStyle w:val="Hyperlink"/>
            <w:rFonts w:asciiTheme="majorHAnsi" w:hAnsiTheme="majorHAnsi"/>
          </w:rPr>
          <w:t>M. împotriva Germaniei</w:t>
        </w:r>
      </w:hyperlink>
      <w:r w:rsidR="0082588E">
        <w:t>, nr. 19359/04, CEDO 2009</w:t>
      </w:r>
    </w:p>
    <w:p w14:paraId="1F55D053" w14:textId="0351C396" w:rsidR="008F1027" w:rsidRPr="006B7E09" w:rsidRDefault="008E32D6" w:rsidP="00C726D5">
      <w:pPr>
        <w:pStyle w:val="ECHRParaHanging"/>
        <w:rPr>
          <w:rFonts w:asciiTheme="majorHAnsi" w:hAnsiTheme="majorHAnsi"/>
        </w:rPr>
      </w:pPr>
      <w:hyperlink r:id="rId629" w:history="1">
        <w:r w:rsidR="0082588E">
          <w:rPr>
            <w:rStyle w:val="Hyperlink"/>
          </w:rPr>
          <w:t>M. împotriva Italiei</w:t>
        </w:r>
      </w:hyperlink>
      <w:r w:rsidR="0082588E">
        <w:rPr>
          <w:rFonts w:asciiTheme="majorHAnsi" w:hAnsiTheme="majorHAnsi"/>
        </w:rPr>
        <w:t>, nr. 12386/86, decizia Comisiei din 15 aprilie 1991, Decizii și rapoarte 70</w:t>
      </w:r>
    </w:p>
    <w:p w14:paraId="3A25D4BF" w14:textId="72C90604" w:rsidR="008F1027" w:rsidRPr="006B7E09" w:rsidRDefault="008E32D6" w:rsidP="00C726D5">
      <w:pPr>
        <w:pStyle w:val="ECHRParaHanging"/>
        <w:rPr>
          <w:rFonts w:asciiTheme="majorHAnsi" w:hAnsiTheme="majorHAnsi"/>
        </w:rPr>
      </w:pPr>
      <w:hyperlink r:id="rId630" w:history="1">
        <w:r w:rsidR="0082588E">
          <w:rPr>
            <w:rStyle w:val="Hyperlink"/>
            <w:rFonts w:asciiTheme="majorHAnsi" w:hAnsiTheme="majorHAnsi"/>
          </w:rPr>
          <w:t>Maaouia împotriva Franței</w:t>
        </w:r>
      </w:hyperlink>
      <w:r w:rsidR="0082588E">
        <w:t xml:space="preserve"> (MC)</w:t>
      </w:r>
      <w:r w:rsidR="0082588E">
        <w:rPr>
          <w:rFonts w:asciiTheme="majorHAnsi" w:hAnsiTheme="majorHAnsi"/>
        </w:rPr>
        <w:t>, nr. 39652/98, CEDO 2000</w:t>
      </w:r>
      <w:r w:rsidR="0082588E">
        <w:rPr>
          <w:rFonts w:asciiTheme="majorHAnsi" w:hAnsiTheme="majorHAnsi"/>
        </w:rPr>
        <w:noBreakHyphen/>
        <w:t>X</w:t>
      </w:r>
    </w:p>
    <w:p w14:paraId="585F7FFF" w14:textId="24F8ADF6" w:rsidR="008F1027" w:rsidRPr="006B7E09" w:rsidRDefault="008E32D6" w:rsidP="00C726D5">
      <w:pPr>
        <w:pStyle w:val="ECHRParaHanging"/>
        <w:rPr>
          <w:rFonts w:asciiTheme="majorHAnsi" w:hAnsiTheme="majorHAnsi"/>
        </w:rPr>
      </w:pPr>
      <w:hyperlink r:id="rId631" w:history="1">
        <w:r w:rsidR="0082588E">
          <w:rPr>
            <w:rStyle w:val="Hyperlink"/>
            <w:rFonts w:asciiTheme="majorHAnsi" w:hAnsiTheme="majorHAnsi"/>
          </w:rPr>
          <w:t>Maktouf și Damjanović împotriva Bosniei și Herțegovinei</w:t>
        </w:r>
      </w:hyperlink>
      <w:r w:rsidR="0082588E">
        <w:t xml:space="preserve"> (MC), nr.</w:t>
      </w:r>
      <w:r w:rsidR="0082588E">
        <w:rPr>
          <w:rFonts w:asciiTheme="majorHAnsi" w:hAnsiTheme="majorHAnsi"/>
        </w:rPr>
        <w:t xml:space="preserve"> </w:t>
      </w:r>
      <w:r w:rsidR="0082588E">
        <w:rPr>
          <w:rFonts w:asciiTheme="majorHAnsi" w:hAnsiTheme="majorHAnsi"/>
          <w:snapToGrid w:val="0"/>
        </w:rPr>
        <w:t>2312/08 și 34179/08,</w:t>
      </w:r>
      <w:r w:rsidR="0082588E">
        <w:rPr>
          <w:rFonts w:asciiTheme="majorHAnsi" w:hAnsiTheme="majorHAnsi"/>
        </w:rPr>
        <w:t xml:space="preserve"> CEDO 2013</w:t>
      </w:r>
    </w:p>
    <w:p w14:paraId="19B9461E" w14:textId="73366D23" w:rsidR="00C50440" w:rsidRPr="006B7E09" w:rsidRDefault="008E32D6" w:rsidP="00C726D5">
      <w:pPr>
        <w:pStyle w:val="ECHRParaHanging"/>
        <w:rPr>
          <w:rFonts w:asciiTheme="majorHAnsi" w:hAnsiTheme="majorHAnsi"/>
        </w:rPr>
      </w:pPr>
      <w:hyperlink r:id="rId632" w:history="1">
        <w:r w:rsidR="0082588E">
          <w:rPr>
            <w:rStyle w:val="Hyperlink"/>
          </w:rPr>
          <w:t>Milanković împotriva Croației</w:t>
        </w:r>
      </w:hyperlink>
      <w:r w:rsidR="0082588E">
        <w:t>, nr. 33351/20, 20 ianuarie 2022</w:t>
      </w:r>
    </w:p>
    <w:p w14:paraId="62BE46F5" w14:textId="0A05CF74" w:rsidR="008F1027" w:rsidRPr="006B7E09" w:rsidRDefault="008E32D6" w:rsidP="00C726D5">
      <w:pPr>
        <w:pStyle w:val="ECHRParaHanging"/>
        <w:rPr>
          <w:rFonts w:asciiTheme="majorHAnsi" w:hAnsiTheme="majorHAnsi"/>
        </w:rPr>
      </w:pPr>
      <w:hyperlink r:id="rId633" w:history="1">
        <w:r w:rsidR="0082588E">
          <w:rPr>
            <w:rStyle w:val="Hyperlink"/>
            <w:rFonts w:asciiTheme="majorHAnsi" w:hAnsiTheme="majorHAnsi"/>
          </w:rPr>
          <w:t>Monaco împotriva Italiei</w:t>
        </w:r>
      </w:hyperlink>
      <w:r w:rsidR="0082588E">
        <w:rPr>
          <w:rFonts w:asciiTheme="majorHAnsi" w:hAnsiTheme="majorHAnsi"/>
        </w:rPr>
        <w:t xml:space="preserve"> (dec.), nr. 34376/13, 8 decembrie 2015</w:t>
      </w:r>
    </w:p>
    <w:p w14:paraId="38B4FF5E" w14:textId="1BF452CF" w:rsidR="008F1027" w:rsidRPr="006B7E09" w:rsidRDefault="008E32D6" w:rsidP="00C726D5">
      <w:pPr>
        <w:pStyle w:val="ECHRParaHanging"/>
        <w:rPr>
          <w:rFonts w:asciiTheme="majorHAnsi" w:hAnsiTheme="majorHAnsi"/>
        </w:rPr>
      </w:pPr>
      <w:hyperlink r:id="rId634" w:history="1">
        <w:r w:rsidR="0082588E">
          <w:rPr>
            <w:rStyle w:val="Hyperlink"/>
            <w:rFonts w:asciiTheme="majorHAnsi" w:hAnsiTheme="majorHAnsi"/>
          </w:rPr>
          <w:t xml:space="preserve">Montcornet de Caumont împotriva Franței </w:t>
        </w:r>
      </w:hyperlink>
      <w:r w:rsidR="0082588E">
        <w:rPr>
          <w:rFonts w:asciiTheme="majorHAnsi" w:hAnsiTheme="majorHAnsi"/>
        </w:rPr>
        <w:t>(MC), nr. 59290/00, CEDO 2003</w:t>
      </w:r>
      <w:r w:rsidR="0082588E">
        <w:rPr>
          <w:rFonts w:asciiTheme="majorHAnsi" w:hAnsiTheme="majorHAnsi"/>
        </w:rPr>
        <w:noBreakHyphen/>
        <w:t>VII</w:t>
      </w:r>
    </w:p>
    <w:p w14:paraId="12B5953D" w14:textId="0719957C" w:rsidR="008F1027" w:rsidRPr="006B7E09" w:rsidRDefault="008E32D6" w:rsidP="00C726D5">
      <w:pPr>
        <w:pStyle w:val="ECHRParaHanging"/>
        <w:rPr>
          <w:rFonts w:asciiTheme="majorHAnsi" w:hAnsiTheme="majorHAnsi"/>
        </w:rPr>
      </w:pPr>
      <w:hyperlink r:id="rId635" w:history="1">
        <w:r w:rsidR="0082588E">
          <w:rPr>
            <w:rStyle w:val="Hyperlink"/>
            <w:rFonts w:asciiTheme="majorHAnsi" w:hAnsiTheme="majorHAnsi"/>
          </w:rPr>
          <w:t>Morabito împotriva Italiei</w:t>
        </w:r>
      </w:hyperlink>
      <w:r w:rsidR="0082588E">
        <w:rPr>
          <w:rFonts w:asciiTheme="majorHAnsi" w:hAnsiTheme="majorHAnsi"/>
        </w:rPr>
        <w:t xml:space="preserve"> (dec.), nr. 58572/00, 7 iunie 2005</w:t>
      </w:r>
    </w:p>
    <w:p w14:paraId="65A6571F" w14:textId="7B88780E" w:rsidR="00DA6F63" w:rsidRPr="006B7E09" w:rsidRDefault="008E32D6" w:rsidP="00C726D5">
      <w:pPr>
        <w:pStyle w:val="ECHRParaHanging"/>
        <w:rPr>
          <w:rFonts w:asciiTheme="majorHAnsi" w:hAnsiTheme="majorHAnsi"/>
        </w:rPr>
      </w:pPr>
      <w:hyperlink r:id="rId636" w:history="1">
        <w:r w:rsidR="0082588E">
          <w:rPr>
            <w:rStyle w:val="Hyperlink"/>
            <w:rFonts w:asciiTheme="majorHAnsi" w:hAnsiTheme="majorHAnsi"/>
          </w:rPr>
          <w:t>Mørck Jensen împotriva Danemarcei</w:t>
        </w:r>
      </w:hyperlink>
      <w:r w:rsidR="0082588E">
        <w:t>, nr. 60785/19, 18 octombrie 2022</w:t>
      </w:r>
    </w:p>
    <w:p w14:paraId="5B2B01B3" w14:textId="3D72B243" w:rsidR="008F1027" w:rsidRPr="006B7E09" w:rsidRDefault="008E32D6" w:rsidP="00C726D5">
      <w:pPr>
        <w:pStyle w:val="ECHRParaHanging"/>
        <w:rPr>
          <w:rFonts w:asciiTheme="majorHAnsi" w:hAnsiTheme="majorHAnsi"/>
        </w:rPr>
      </w:pPr>
      <w:hyperlink r:id="rId637" w:history="1">
        <w:r w:rsidR="0082588E">
          <w:rPr>
            <w:rStyle w:val="Hyperlink"/>
            <w:rFonts w:asciiTheme="majorHAnsi" w:hAnsiTheme="majorHAnsi"/>
          </w:rPr>
          <w:t>Mucci împotriva Italiei</w:t>
        </w:r>
      </w:hyperlink>
      <w:r w:rsidR="0082588E">
        <w:rPr>
          <w:rFonts w:asciiTheme="majorHAnsi" w:hAnsiTheme="majorHAnsi"/>
        </w:rPr>
        <w:t>, nr. 33632/96, decizia Comisiei din 4 martie 1998</w:t>
      </w:r>
    </w:p>
    <w:p w14:paraId="1BED273E" w14:textId="77777777" w:rsidR="006B2E6C" w:rsidRPr="006B7E09" w:rsidRDefault="0007305C" w:rsidP="001902A2">
      <w:pPr>
        <w:pStyle w:val="ECHRTitleCentre1"/>
        <w:keepNext w:val="0"/>
        <w:keepLines w:val="0"/>
      </w:pPr>
      <w:r>
        <w:t>—N—</w:t>
      </w:r>
    </w:p>
    <w:p w14:paraId="7407289F" w14:textId="742D93DF" w:rsidR="006B2E6C" w:rsidRPr="006B7E09" w:rsidRDefault="008E32D6" w:rsidP="006B2E6C">
      <w:pPr>
        <w:pStyle w:val="ECHRParaHanging"/>
        <w:rPr>
          <w:rFonts w:asciiTheme="majorHAnsi" w:hAnsiTheme="majorHAnsi"/>
        </w:rPr>
      </w:pPr>
      <w:hyperlink r:id="rId638" w:history="1">
        <w:r w:rsidR="0082588E">
          <w:rPr>
            <w:rStyle w:val="Hyperlink"/>
            <w:rFonts w:asciiTheme="majorHAnsi" w:hAnsiTheme="majorHAnsi"/>
          </w:rPr>
          <w:t>Navalnyye împotriva Rusiei</w:t>
        </w:r>
      </w:hyperlink>
      <w:r w:rsidR="0082588E">
        <w:rPr>
          <w:rFonts w:asciiTheme="majorHAnsi" w:hAnsiTheme="majorHAnsi"/>
        </w:rPr>
        <w:t>, nr. 101/15, 17 octombrie 2017</w:t>
      </w:r>
    </w:p>
    <w:p w14:paraId="2365C387" w14:textId="138EC28F" w:rsidR="00DB18AF" w:rsidRPr="006B7E09" w:rsidRDefault="008E32D6" w:rsidP="006B2E6C">
      <w:pPr>
        <w:pStyle w:val="ECHRParaHanging"/>
        <w:rPr>
          <w:rFonts w:asciiTheme="majorHAnsi" w:hAnsiTheme="majorHAnsi"/>
        </w:rPr>
      </w:pPr>
      <w:hyperlink r:id="rId639" w:history="1">
        <w:r w:rsidR="0082588E">
          <w:rPr>
            <w:rStyle w:val="Hyperlink"/>
            <w:rFonts w:asciiTheme="majorHAnsi" w:hAnsiTheme="majorHAnsi"/>
          </w:rPr>
          <w:t>Norman împotriva Regatului Unit</w:t>
        </w:r>
      </w:hyperlink>
      <w:r w:rsidR="0082588E">
        <w:t>, nr. 41387/17, 6 iulie 2021</w:t>
      </w:r>
    </w:p>
    <w:p w14:paraId="51AE5751" w14:textId="77777777" w:rsidR="008F1027" w:rsidRPr="006B7E09" w:rsidRDefault="008F1027" w:rsidP="001902A2">
      <w:pPr>
        <w:pStyle w:val="ECHRTitleCentre1"/>
        <w:keepNext w:val="0"/>
        <w:keepLines w:val="0"/>
      </w:pPr>
      <w:r>
        <w:t>—O—</w:t>
      </w:r>
    </w:p>
    <w:p w14:paraId="2858AC7F" w14:textId="66CA94D4" w:rsidR="008F1027" w:rsidRPr="006B7E09" w:rsidRDefault="008E32D6" w:rsidP="00C726D5">
      <w:pPr>
        <w:pStyle w:val="ECHRParaHanging"/>
        <w:rPr>
          <w:rFonts w:asciiTheme="majorHAnsi" w:hAnsiTheme="majorHAnsi"/>
        </w:rPr>
      </w:pPr>
      <w:hyperlink r:id="rId640" w:history="1">
        <w:r w:rsidR="0082588E">
          <w:rPr>
            <w:rStyle w:val="Hyperlink"/>
            <w:rFonts w:asciiTheme="majorHAnsi" w:hAnsiTheme="majorHAnsi"/>
          </w:rPr>
          <w:t>O’Carroll împotriva Regatului Unit</w:t>
        </w:r>
      </w:hyperlink>
      <w:r w:rsidR="0082588E">
        <w:rPr>
          <w:rFonts w:asciiTheme="majorHAnsi" w:hAnsiTheme="majorHAnsi"/>
        </w:rPr>
        <w:t>, nr. 35557/03, 15 martie 2005</w:t>
      </w:r>
    </w:p>
    <w:p w14:paraId="5CF4C0F9" w14:textId="04BC81A7" w:rsidR="00994307" w:rsidRPr="006B7E09" w:rsidRDefault="008E32D6" w:rsidP="001D1DF2">
      <w:pPr>
        <w:pStyle w:val="ECHRParaHanging"/>
        <w:rPr>
          <w:rFonts w:asciiTheme="majorHAnsi" w:hAnsiTheme="majorHAnsi"/>
        </w:rPr>
      </w:pPr>
      <w:hyperlink r:id="rId641" w:history="1">
        <w:r w:rsidR="0082588E">
          <w:rPr>
            <w:rStyle w:val="Hyperlink"/>
            <w:rFonts w:asciiTheme="majorHAnsi" w:hAnsiTheme="majorHAnsi"/>
          </w:rPr>
          <w:t>Öcalan împotriva Turciei (nr. 2)</w:t>
        </w:r>
      </w:hyperlink>
      <w:r w:rsidR="0082588E">
        <w:rPr>
          <w:rFonts w:asciiTheme="majorHAnsi" w:hAnsiTheme="majorHAnsi"/>
        </w:rPr>
        <w:t>, nr. 19681/92, 5 iunie 2001</w:t>
      </w:r>
    </w:p>
    <w:p w14:paraId="28CDFCBF" w14:textId="4EC6A814" w:rsidR="008F1027" w:rsidRPr="006B7E09" w:rsidRDefault="008E32D6" w:rsidP="00C726D5">
      <w:pPr>
        <w:pStyle w:val="ECHRParaHanging"/>
        <w:rPr>
          <w:rFonts w:asciiTheme="majorHAnsi" w:hAnsiTheme="majorHAnsi"/>
        </w:rPr>
      </w:pPr>
      <w:hyperlink r:id="rId642" w:history="1">
        <w:r w:rsidR="0082588E">
          <w:rPr>
            <w:rStyle w:val="Hyperlink"/>
            <w:rFonts w:asciiTheme="majorHAnsi" w:hAnsiTheme="majorHAnsi"/>
          </w:rPr>
          <w:t>Ooms împotriva Franței</w:t>
        </w:r>
      </w:hyperlink>
      <w:r w:rsidR="0082588E">
        <w:t xml:space="preserve"> </w:t>
      </w:r>
      <w:r w:rsidR="0082588E">
        <w:rPr>
          <w:rFonts w:asciiTheme="majorHAnsi" w:hAnsiTheme="majorHAnsi"/>
        </w:rPr>
        <w:t>(dec.), nr. 38126/06, 25 septembrie 2009</w:t>
      </w:r>
    </w:p>
    <w:p w14:paraId="21F3396B" w14:textId="362ADAE3" w:rsidR="007646F6" w:rsidRPr="006B7E09" w:rsidRDefault="008E32D6" w:rsidP="00C726D5">
      <w:pPr>
        <w:pStyle w:val="ECHRParaHanging"/>
        <w:rPr>
          <w:rStyle w:val="Hyperlink"/>
          <w:rFonts w:asciiTheme="majorHAnsi" w:hAnsiTheme="majorHAnsi"/>
          <w:i w:val="0"/>
          <w:color w:val="auto"/>
        </w:rPr>
      </w:pPr>
      <w:hyperlink r:id="rId643" w:history="1">
        <w:r w:rsidR="0082588E">
          <w:rPr>
            <w:rStyle w:val="Hyperlink"/>
            <w:rFonts w:asciiTheme="majorHAnsi" w:hAnsiTheme="majorHAnsi"/>
          </w:rPr>
          <w:t>Orlen Lietuva Ltd. împotriva Lituaniei</w:t>
        </w:r>
      </w:hyperlink>
      <w:r w:rsidR="0082588E">
        <w:t>, nr. 45849/13, 29 ianuarie 2019</w:t>
      </w:r>
    </w:p>
    <w:p w14:paraId="3E11FFB7" w14:textId="251C0537" w:rsidR="008F1027" w:rsidRPr="006B7E09" w:rsidRDefault="008E32D6" w:rsidP="00C726D5">
      <w:pPr>
        <w:pStyle w:val="ECHRParaHanging"/>
        <w:rPr>
          <w:rFonts w:asciiTheme="majorHAnsi" w:hAnsiTheme="majorHAnsi"/>
        </w:rPr>
      </w:pPr>
      <w:hyperlink r:id="rId644" w:history="1">
        <w:r w:rsidR="0082588E">
          <w:rPr>
            <w:rStyle w:val="Hyperlink"/>
            <w:rFonts w:asciiTheme="majorHAnsi" w:hAnsiTheme="majorHAnsi"/>
          </w:rPr>
          <w:t xml:space="preserve">Ould Dah împotriva Franței </w:t>
        </w:r>
      </w:hyperlink>
      <w:r w:rsidR="0082588E">
        <w:rPr>
          <w:rFonts w:asciiTheme="majorHAnsi" w:hAnsiTheme="majorHAnsi"/>
        </w:rPr>
        <w:t xml:space="preserve">(MC), nr. </w:t>
      </w:r>
      <w:r w:rsidR="0082588E">
        <w:rPr>
          <w:rFonts w:asciiTheme="majorHAnsi" w:hAnsiTheme="majorHAnsi"/>
          <w:snapToGrid w:val="0"/>
        </w:rPr>
        <w:t>13113/03</w:t>
      </w:r>
      <w:r w:rsidR="0082588E">
        <w:rPr>
          <w:rFonts w:asciiTheme="majorHAnsi" w:hAnsiTheme="majorHAnsi"/>
        </w:rPr>
        <w:t>, CEDO 2009</w:t>
      </w:r>
    </w:p>
    <w:p w14:paraId="538BD696" w14:textId="77777777" w:rsidR="008F1027" w:rsidRPr="006B7E09" w:rsidRDefault="008F1027" w:rsidP="008F1027">
      <w:pPr>
        <w:pStyle w:val="ECHRTitleCentre1"/>
      </w:pPr>
      <w:r>
        <w:t>—P—</w:t>
      </w:r>
    </w:p>
    <w:p w14:paraId="2BD509F7" w14:textId="3F00E526" w:rsidR="002261EE" w:rsidRPr="006B7E09" w:rsidRDefault="008E32D6" w:rsidP="00C726D5">
      <w:pPr>
        <w:pStyle w:val="ECHRParaHanging"/>
        <w:rPr>
          <w:rFonts w:asciiTheme="majorHAnsi" w:hAnsiTheme="majorHAnsi"/>
        </w:rPr>
      </w:pPr>
      <w:hyperlink r:id="rId645" w:history="1">
        <w:r w:rsidR="0082588E">
          <w:rPr>
            <w:rStyle w:val="Hyperlink"/>
            <w:rFonts w:asciiTheme="majorHAnsi" w:hAnsiTheme="majorHAnsi"/>
          </w:rPr>
          <w:t>Paksas împotriva Lituaniei</w:t>
        </w:r>
      </w:hyperlink>
      <w:r w:rsidR="0082588E">
        <w:t xml:space="preserve"> (MC)</w:t>
      </w:r>
      <w:r w:rsidR="0082588E">
        <w:rPr>
          <w:rFonts w:asciiTheme="majorHAnsi" w:hAnsiTheme="majorHAnsi"/>
        </w:rPr>
        <w:t>, nr. 34932/04, CEDO 2011</w:t>
      </w:r>
    </w:p>
    <w:p w14:paraId="3912ABCE" w14:textId="2063B84D" w:rsidR="005D6A65" w:rsidRPr="00E35EF9" w:rsidRDefault="008E32D6" w:rsidP="00C726D5">
      <w:pPr>
        <w:pStyle w:val="ECHRParaHanging"/>
        <w:rPr>
          <w:rFonts w:asciiTheme="majorHAnsi" w:hAnsiTheme="majorHAnsi"/>
        </w:rPr>
      </w:pPr>
      <w:hyperlink r:id="rId646" w:history="1">
        <w:r w:rsidR="0082588E">
          <w:rPr>
            <w:rStyle w:val="Hyperlink"/>
            <w:rFonts w:asciiTheme="majorHAnsi" w:hAnsiTheme="majorHAnsi"/>
          </w:rPr>
          <w:t>Pantalon împotriva Croației</w:t>
        </w:r>
      </w:hyperlink>
      <w:r w:rsidR="0082588E">
        <w:rPr>
          <w:rFonts w:asciiTheme="majorHAnsi" w:hAnsiTheme="majorHAnsi"/>
        </w:rPr>
        <w:t>, nr. 2953/14, 19 noiembrie 2020</w:t>
      </w:r>
    </w:p>
    <w:p w14:paraId="1C55D0C9" w14:textId="2CA21F1E" w:rsidR="007754FF" w:rsidRPr="006B7E09" w:rsidRDefault="008E32D6" w:rsidP="00EF5B99">
      <w:pPr>
        <w:pStyle w:val="ECHRParaHanging"/>
      </w:pPr>
      <w:hyperlink r:id="rId647" w:history="1">
        <w:r w:rsidR="0082588E">
          <w:rPr>
            <w:rStyle w:val="Hyperlink"/>
          </w:rPr>
          <w:t>Parmak și Bakır împotriva Turciei</w:t>
        </w:r>
      </w:hyperlink>
      <w:r w:rsidR="0082588E">
        <w:t>, nr. 22429/07 și 25195/07, 3 decembrie 2019</w:t>
      </w:r>
    </w:p>
    <w:p w14:paraId="2337656B" w14:textId="62907DC4" w:rsidR="008F1027" w:rsidRPr="006B7E09" w:rsidRDefault="008E32D6" w:rsidP="00C726D5">
      <w:pPr>
        <w:pStyle w:val="ECHRParaHanging"/>
        <w:rPr>
          <w:rFonts w:asciiTheme="majorHAnsi" w:hAnsiTheme="majorHAnsi"/>
        </w:rPr>
      </w:pPr>
      <w:hyperlink r:id="rId648" w:history="1">
        <w:r w:rsidR="0082588E">
          <w:rPr>
            <w:rStyle w:val="Hyperlink"/>
            <w:rFonts w:asciiTheme="majorHAnsi" w:hAnsiTheme="majorHAnsi"/>
          </w:rPr>
          <w:t>Payet împotriva Franței</w:t>
        </w:r>
      </w:hyperlink>
      <w:r w:rsidR="0082588E">
        <w:t>, nr. 19606/08, 20 ianuarie 2011</w:t>
      </w:r>
    </w:p>
    <w:p w14:paraId="1F3A8EC4" w14:textId="5C35A710" w:rsidR="00A54D02" w:rsidRPr="006B7E09" w:rsidRDefault="008E32D6" w:rsidP="00C726D5">
      <w:pPr>
        <w:pStyle w:val="ECHRParaHanging"/>
        <w:rPr>
          <w:rFonts w:asciiTheme="majorHAnsi" w:hAnsiTheme="majorHAnsi"/>
        </w:rPr>
      </w:pPr>
      <w:hyperlink r:id="rId649" w:history="1">
        <w:r w:rsidR="0082588E">
          <w:rPr>
            <w:rStyle w:val="Hyperlink"/>
          </w:rPr>
          <w:t xml:space="preserve">Penart împotriva Estoniei </w:t>
        </w:r>
      </w:hyperlink>
      <w:r w:rsidR="0082588E">
        <w:rPr>
          <w:rFonts w:asciiTheme="majorHAnsi" w:hAnsiTheme="majorHAnsi"/>
        </w:rPr>
        <w:t>(dec.), nr. 14685/04, 24 ianuarie 2016</w:t>
      </w:r>
    </w:p>
    <w:p w14:paraId="2483C754" w14:textId="1156E902" w:rsidR="008F1027" w:rsidRPr="006B7E09" w:rsidRDefault="008E32D6" w:rsidP="00C726D5">
      <w:pPr>
        <w:pStyle w:val="ECHRParaHanging"/>
        <w:rPr>
          <w:rFonts w:asciiTheme="majorHAnsi" w:hAnsiTheme="majorHAnsi"/>
        </w:rPr>
      </w:pPr>
      <w:hyperlink r:id="rId650" w:history="1">
        <w:r w:rsidR="0082588E">
          <w:rPr>
            <w:rStyle w:val="Hyperlink"/>
            <w:rFonts w:asciiTheme="majorHAnsi" w:hAnsiTheme="majorHAnsi"/>
          </w:rPr>
          <w:t>Perinçek împotriva Elveției</w:t>
        </w:r>
      </w:hyperlink>
      <w:r w:rsidR="0082588E">
        <w:rPr>
          <w:rFonts w:asciiTheme="majorHAnsi" w:hAnsiTheme="majorHAnsi"/>
        </w:rPr>
        <w:t xml:space="preserve"> (MC), nr. 27510/08, CEDO 2015</w:t>
      </w:r>
    </w:p>
    <w:p w14:paraId="6E8297FC" w14:textId="4E359D2F" w:rsidR="008F1027" w:rsidRDefault="008E32D6" w:rsidP="00C726D5">
      <w:pPr>
        <w:pStyle w:val="ECHRParaHanging"/>
        <w:rPr>
          <w:rFonts w:asciiTheme="majorHAnsi" w:hAnsiTheme="majorHAnsi"/>
        </w:rPr>
      </w:pPr>
      <w:hyperlink r:id="rId651" w:history="1">
        <w:r w:rsidR="0082588E">
          <w:rPr>
            <w:rStyle w:val="Hyperlink"/>
            <w:rFonts w:asciiTheme="majorHAnsi" w:hAnsiTheme="majorHAnsi"/>
          </w:rPr>
          <w:t>Pessino împotriva Franței</w:t>
        </w:r>
      </w:hyperlink>
      <w:r w:rsidR="0082588E">
        <w:t>, nr. 40403/02, 10 octombrie 2006</w:t>
      </w:r>
    </w:p>
    <w:p w14:paraId="230DA0C6" w14:textId="79DBFB66" w:rsidR="00790DF6" w:rsidRPr="006B7E09" w:rsidRDefault="008E32D6" w:rsidP="00C726D5">
      <w:pPr>
        <w:pStyle w:val="ECHRParaHanging"/>
        <w:rPr>
          <w:rFonts w:asciiTheme="majorHAnsi" w:hAnsiTheme="majorHAnsi"/>
        </w:rPr>
      </w:pPr>
      <w:hyperlink r:id="rId652" w:history="1">
        <w:r w:rsidR="0082588E">
          <w:rPr>
            <w:rStyle w:val="Hyperlink"/>
            <w:rFonts w:asciiTheme="majorHAnsi" w:hAnsiTheme="majorHAnsi"/>
          </w:rPr>
          <w:t xml:space="preserve">Platini împotriva Elveției </w:t>
        </w:r>
      </w:hyperlink>
      <w:r w:rsidR="0082588E">
        <w:rPr>
          <w:rFonts w:asciiTheme="majorHAnsi" w:hAnsiTheme="majorHAnsi"/>
        </w:rPr>
        <w:t>(dec.), nr. 526/18, 11 februarie 2020</w:t>
      </w:r>
    </w:p>
    <w:p w14:paraId="5CDD9A14" w14:textId="07486468" w:rsidR="008F1027" w:rsidRPr="006B7E09" w:rsidRDefault="008E32D6" w:rsidP="00C726D5">
      <w:pPr>
        <w:pStyle w:val="ECHRParaHanging"/>
        <w:rPr>
          <w:rFonts w:asciiTheme="majorHAnsi" w:hAnsiTheme="majorHAnsi"/>
        </w:rPr>
      </w:pPr>
      <w:hyperlink r:id="rId653" w:history="1">
        <w:r w:rsidR="0082588E">
          <w:rPr>
            <w:rStyle w:val="Hyperlink"/>
            <w:rFonts w:asciiTheme="majorHAnsi" w:hAnsiTheme="majorHAnsi"/>
          </w:rPr>
          <w:t>Plechkov împotriva României</w:t>
        </w:r>
      </w:hyperlink>
      <w:r w:rsidR="0082588E">
        <w:rPr>
          <w:rFonts w:asciiTheme="majorHAnsi" w:hAnsiTheme="majorHAnsi"/>
        </w:rPr>
        <w:t>, nr. 1660/03</w:t>
      </w:r>
      <w:r w:rsidR="0082588E">
        <w:rPr>
          <w:rFonts w:asciiTheme="majorHAnsi" w:hAnsiTheme="majorHAnsi"/>
          <w:snapToGrid w:val="0"/>
        </w:rPr>
        <w:t xml:space="preserve">, 16 </w:t>
      </w:r>
      <w:r w:rsidR="0082588E">
        <w:rPr>
          <w:rFonts w:asciiTheme="majorHAnsi" w:hAnsiTheme="majorHAnsi"/>
        </w:rPr>
        <w:t>septembrie</w:t>
      </w:r>
      <w:r w:rsidR="0082588E">
        <w:rPr>
          <w:rFonts w:asciiTheme="majorHAnsi" w:hAnsiTheme="majorHAnsi"/>
          <w:snapToGrid w:val="0"/>
        </w:rPr>
        <w:t xml:space="preserve"> 2014</w:t>
      </w:r>
    </w:p>
    <w:p w14:paraId="3C6CDC6A" w14:textId="7F409011" w:rsidR="008F1027" w:rsidRPr="006B7E09" w:rsidRDefault="008E32D6" w:rsidP="00C726D5">
      <w:pPr>
        <w:pStyle w:val="ECHRParaHanging"/>
        <w:rPr>
          <w:rFonts w:asciiTheme="majorHAnsi" w:hAnsiTheme="majorHAnsi"/>
        </w:rPr>
      </w:pPr>
      <w:hyperlink r:id="rId654" w:history="1">
        <w:r w:rsidR="0082588E">
          <w:rPr>
            <w:rStyle w:val="Hyperlink"/>
            <w:rFonts w:asciiTheme="majorHAnsi" w:hAnsiTheme="majorHAnsi"/>
          </w:rPr>
          <w:t>Polednová împotriva Republicii Cehe</w:t>
        </w:r>
      </w:hyperlink>
      <w:r w:rsidR="0082588E">
        <w:rPr>
          <w:rFonts w:asciiTheme="majorHAnsi" w:hAnsiTheme="majorHAnsi"/>
        </w:rPr>
        <w:t>, nr. 2615/10, 21 iunie 2011</w:t>
      </w:r>
    </w:p>
    <w:p w14:paraId="37509E9B" w14:textId="6AE3D568" w:rsidR="00211EA3" w:rsidRPr="006B7E09" w:rsidRDefault="008E32D6" w:rsidP="00211EA3">
      <w:pPr>
        <w:pStyle w:val="ECHRParaHanging"/>
      </w:pPr>
      <w:hyperlink r:id="rId655" w:history="1">
        <w:r w:rsidR="0082588E">
          <w:rPr>
            <w:rStyle w:val="Hyperlink"/>
          </w:rPr>
          <w:t>Porsenna împotriva Maltei</w:t>
        </w:r>
      </w:hyperlink>
      <w:r w:rsidR="0082588E">
        <w:t xml:space="preserve"> (dec.), nr. 1109/16, 22 ianuarie 2019</w:t>
      </w:r>
    </w:p>
    <w:p w14:paraId="2AE180D1" w14:textId="417EF316" w:rsidR="008F1027" w:rsidRPr="006B7E09" w:rsidRDefault="008E32D6" w:rsidP="00C726D5">
      <w:pPr>
        <w:pStyle w:val="ECHRParaHanging"/>
        <w:rPr>
          <w:rFonts w:asciiTheme="majorHAnsi" w:hAnsiTheme="majorHAnsi"/>
        </w:rPr>
      </w:pPr>
      <w:hyperlink r:id="rId656" w:history="1">
        <w:r w:rsidR="0082588E">
          <w:rPr>
            <w:rStyle w:val="Hyperlink"/>
            <w:rFonts w:asciiTheme="majorHAnsi" w:hAnsiTheme="majorHAnsi"/>
          </w:rPr>
          <w:t>Previti împotriva Italiei</w:t>
        </w:r>
      </w:hyperlink>
      <w:r w:rsidR="0082588E">
        <w:rPr>
          <w:rFonts w:asciiTheme="majorHAnsi" w:hAnsiTheme="majorHAnsi"/>
        </w:rPr>
        <w:t xml:space="preserve"> (dec.), nr. 1845/08, 12 februarie 2013</w:t>
      </w:r>
    </w:p>
    <w:p w14:paraId="2817A9F8" w14:textId="3E407A05" w:rsidR="008F1027" w:rsidRPr="006B7E09" w:rsidRDefault="008E32D6" w:rsidP="00C726D5">
      <w:pPr>
        <w:pStyle w:val="ECHRParaHanging"/>
        <w:rPr>
          <w:rFonts w:asciiTheme="majorHAnsi" w:hAnsiTheme="majorHAnsi"/>
        </w:rPr>
      </w:pPr>
      <w:hyperlink r:id="rId657" w:history="1">
        <w:r w:rsidR="0082588E">
          <w:rPr>
            <w:rStyle w:val="Hyperlink"/>
            <w:rFonts w:asciiTheme="majorHAnsi" w:hAnsiTheme="majorHAnsi"/>
          </w:rPr>
          <w:t>Puhk împotriva Estoniei</w:t>
        </w:r>
      </w:hyperlink>
      <w:r w:rsidR="0082588E">
        <w:t>, nr. 55103/00, 10 februarie 2004</w:t>
      </w:r>
    </w:p>
    <w:p w14:paraId="2EE052FB" w14:textId="77777777" w:rsidR="008F1027" w:rsidRPr="006B7E09" w:rsidRDefault="008F1027" w:rsidP="008F1027">
      <w:pPr>
        <w:pStyle w:val="ECHRTitleCentre1"/>
      </w:pPr>
      <w:r>
        <w:lastRenderedPageBreak/>
        <w:t>—R—</w:t>
      </w:r>
    </w:p>
    <w:p w14:paraId="6EDC3063" w14:textId="4A95E24A" w:rsidR="008F1027" w:rsidRPr="006B7E09" w:rsidRDefault="008E32D6" w:rsidP="00C726D5">
      <w:pPr>
        <w:pStyle w:val="ECHRParaHanging"/>
        <w:rPr>
          <w:rFonts w:asciiTheme="majorHAnsi" w:hAnsiTheme="majorHAnsi"/>
        </w:rPr>
      </w:pPr>
      <w:hyperlink r:id="rId658" w:history="1">
        <w:r w:rsidR="0082588E">
          <w:rPr>
            <w:rStyle w:val="Hyperlink"/>
            <w:rFonts w:asciiTheme="majorHAnsi" w:hAnsiTheme="majorHAnsi"/>
          </w:rPr>
          <w:t xml:space="preserve">Radio France și alții împotriva Franței </w:t>
        </w:r>
      </w:hyperlink>
      <w:r w:rsidR="0082588E">
        <w:rPr>
          <w:rFonts w:asciiTheme="majorHAnsi" w:hAnsiTheme="majorHAnsi"/>
        </w:rPr>
        <w:t>(dec.), nr. 53984/00, CEDO 2004</w:t>
      </w:r>
      <w:r w:rsidR="0082588E">
        <w:rPr>
          <w:rFonts w:asciiTheme="majorHAnsi" w:hAnsiTheme="majorHAnsi"/>
        </w:rPr>
        <w:noBreakHyphen/>
        <w:t>II</w:t>
      </w:r>
    </w:p>
    <w:p w14:paraId="10393191" w14:textId="73170DDE" w:rsidR="008F1027" w:rsidRPr="006B7E09" w:rsidRDefault="008E32D6" w:rsidP="00C726D5">
      <w:pPr>
        <w:pStyle w:val="ECHRParaHanging"/>
        <w:rPr>
          <w:rFonts w:asciiTheme="majorHAnsi" w:hAnsiTheme="majorHAnsi"/>
        </w:rPr>
      </w:pPr>
      <w:hyperlink r:id="rId659" w:history="1">
        <w:r w:rsidR="0082588E">
          <w:rPr>
            <w:rStyle w:val="Hyperlink"/>
            <w:rFonts w:asciiTheme="majorHAnsi" w:hAnsiTheme="majorHAnsi"/>
          </w:rPr>
          <w:t>Raimondo împotriva Italiei</w:t>
        </w:r>
      </w:hyperlink>
      <w:r w:rsidR="0082588E">
        <w:rPr>
          <w:rFonts w:asciiTheme="majorHAnsi" w:hAnsiTheme="majorHAnsi"/>
        </w:rPr>
        <w:t>, 22 februarie 1994, seria A nr. 281</w:t>
      </w:r>
      <w:r w:rsidR="0082588E">
        <w:rPr>
          <w:rFonts w:asciiTheme="majorHAnsi" w:hAnsiTheme="majorHAnsi"/>
        </w:rPr>
        <w:noBreakHyphen/>
        <w:t>A</w:t>
      </w:r>
    </w:p>
    <w:p w14:paraId="7D2F34DB" w14:textId="567BE772" w:rsidR="008F1027" w:rsidRDefault="008E32D6" w:rsidP="00C726D5">
      <w:pPr>
        <w:pStyle w:val="ECHRParaHanging"/>
        <w:rPr>
          <w:rFonts w:asciiTheme="majorHAnsi" w:hAnsiTheme="majorHAnsi"/>
        </w:rPr>
      </w:pPr>
      <w:hyperlink r:id="rId660" w:history="1">
        <w:r w:rsidR="0082588E">
          <w:rPr>
            <w:rStyle w:val="Hyperlink"/>
            <w:rFonts w:asciiTheme="majorHAnsi" w:hAnsiTheme="majorHAnsi"/>
          </w:rPr>
          <w:t>Renna împotriva Franței</w:t>
        </w:r>
      </w:hyperlink>
      <w:r w:rsidR="0082588E">
        <w:rPr>
          <w:rFonts w:asciiTheme="majorHAnsi" w:hAnsiTheme="majorHAnsi"/>
        </w:rPr>
        <w:t>, nr. 32809/96, decizia Comisiei din 26 februarie 1997</w:t>
      </w:r>
    </w:p>
    <w:p w14:paraId="170BA3B5" w14:textId="6A6AEC89" w:rsidR="008F1027" w:rsidRPr="006B7E09" w:rsidRDefault="008E32D6" w:rsidP="00C726D5">
      <w:pPr>
        <w:pStyle w:val="ECHRParaHanging"/>
        <w:rPr>
          <w:rFonts w:asciiTheme="majorHAnsi" w:hAnsiTheme="majorHAnsi"/>
          <w:snapToGrid w:val="0"/>
        </w:rPr>
      </w:pPr>
      <w:hyperlink r:id="rId661" w:history="1">
        <w:r w:rsidR="0082588E">
          <w:rPr>
            <w:rStyle w:val="Hyperlink"/>
            <w:rFonts w:asciiTheme="majorHAnsi" w:hAnsiTheme="majorHAnsi"/>
          </w:rPr>
          <w:t>Rohlena împotriva Republicii Cehe</w:t>
        </w:r>
      </w:hyperlink>
      <w:r w:rsidR="0082588E">
        <w:t xml:space="preserve"> (MC)</w:t>
      </w:r>
      <w:r w:rsidR="0082588E">
        <w:rPr>
          <w:rFonts w:asciiTheme="majorHAnsi" w:hAnsiTheme="majorHAnsi"/>
        </w:rPr>
        <w:t xml:space="preserve">, nr. </w:t>
      </w:r>
      <w:r w:rsidR="0082588E">
        <w:rPr>
          <w:rFonts w:asciiTheme="majorHAnsi" w:hAnsiTheme="majorHAnsi"/>
          <w:snapToGrid w:val="0"/>
        </w:rPr>
        <w:t>59552/08, CEDO 2015</w:t>
      </w:r>
    </w:p>
    <w:p w14:paraId="34940AD5" w14:textId="230121BB" w:rsidR="00E822A6" w:rsidRPr="006B7E09" w:rsidRDefault="008E32D6" w:rsidP="00E822A6">
      <w:pPr>
        <w:pStyle w:val="ECHRParaHanging"/>
        <w:rPr>
          <w:snapToGrid w:val="0"/>
        </w:rPr>
      </w:pPr>
      <w:hyperlink r:id="rId662" w:history="1">
        <w:r w:rsidR="0082588E">
          <w:rPr>
            <w:rStyle w:val="Hyperlink"/>
          </w:rPr>
          <w:t>Rola împotriva Sloveniei</w:t>
        </w:r>
      </w:hyperlink>
      <w:r w:rsidR="0082588E">
        <w:t>, nr. 12096/14 și 39335/16, 4 iunie 2019</w:t>
      </w:r>
    </w:p>
    <w:p w14:paraId="2E704A12" w14:textId="7D77D43A" w:rsidR="00036355" w:rsidRPr="006B7E09" w:rsidRDefault="008E32D6" w:rsidP="00E822A6">
      <w:pPr>
        <w:pStyle w:val="ECHRParaHanging"/>
        <w:ind w:left="0" w:firstLine="0"/>
        <w:rPr>
          <w:rFonts w:asciiTheme="majorHAnsi" w:hAnsiTheme="majorHAnsi"/>
        </w:rPr>
      </w:pPr>
      <w:hyperlink r:id="rId663" w:history="1">
        <w:r w:rsidR="0082588E">
          <w:rPr>
            <w:rStyle w:val="Hyperlink"/>
            <w:rFonts w:asciiTheme="majorHAnsi" w:hAnsiTheme="majorHAnsi"/>
          </w:rPr>
          <w:t>Ruban împotriva Ucrainei</w:t>
        </w:r>
      </w:hyperlink>
      <w:r w:rsidR="0082588E">
        <w:t>, nr. 8927/11, 12 iulie 2016</w:t>
      </w:r>
    </w:p>
    <w:p w14:paraId="24D67353" w14:textId="77777777" w:rsidR="008F1027" w:rsidRPr="006B7E09" w:rsidRDefault="008F1027" w:rsidP="008F1027">
      <w:pPr>
        <w:pStyle w:val="ECHRTitleCentre1"/>
      </w:pPr>
      <w:r>
        <w:t>—S—</w:t>
      </w:r>
    </w:p>
    <w:p w14:paraId="52130860" w14:textId="7915B857" w:rsidR="008F1027" w:rsidRPr="006B7E09" w:rsidRDefault="008E32D6" w:rsidP="00C726D5">
      <w:pPr>
        <w:pStyle w:val="ECHRParaHanging"/>
        <w:rPr>
          <w:rFonts w:asciiTheme="majorHAnsi" w:hAnsiTheme="majorHAnsi"/>
        </w:rPr>
      </w:pPr>
      <w:hyperlink r:id="rId664" w:history="1">
        <w:r w:rsidR="0082588E">
          <w:rPr>
            <w:rStyle w:val="Hyperlink"/>
          </w:rPr>
          <w:t>S.W. împotriva Regatului Unit</w:t>
        </w:r>
      </w:hyperlink>
      <w:r w:rsidR="0082588E">
        <w:t xml:space="preserve"> </w:t>
      </w:r>
      <w:r w:rsidR="0082588E">
        <w:rPr>
          <w:rFonts w:asciiTheme="majorHAnsi" w:hAnsiTheme="majorHAnsi"/>
        </w:rPr>
        <w:t>22 noiembrie 1995, seria A nr. 335</w:t>
      </w:r>
      <w:r w:rsidR="0082588E">
        <w:rPr>
          <w:rFonts w:asciiTheme="majorHAnsi" w:hAnsiTheme="majorHAnsi"/>
        </w:rPr>
        <w:noBreakHyphen/>
        <w:t>B</w:t>
      </w:r>
    </w:p>
    <w:p w14:paraId="3F3520D1" w14:textId="514DEACC" w:rsidR="008F1027" w:rsidRPr="006B7E09" w:rsidRDefault="008E32D6" w:rsidP="00C726D5">
      <w:pPr>
        <w:pStyle w:val="ECHRParaHanging"/>
        <w:rPr>
          <w:rFonts w:asciiTheme="majorHAnsi" w:hAnsiTheme="majorHAnsi"/>
        </w:rPr>
      </w:pPr>
      <w:hyperlink r:id="rId665" w:history="1">
        <w:r w:rsidR="0082588E">
          <w:rPr>
            <w:rStyle w:val="Hyperlink"/>
            <w:rFonts w:asciiTheme="majorHAnsi" w:hAnsiTheme="majorHAnsi"/>
          </w:rPr>
          <w:t>Sergey Zolotukhin împotriva Rusiei</w:t>
        </w:r>
      </w:hyperlink>
      <w:r w:rsidR="0082588E">
        <w:t xml:space="preserve"> (MC)</w:t>
      </w:r>
      <w:r w:rsidR="0082588E">
        <w:rPr>
          <w:rFonts w:asciiTheme="majorHAnsi" w:hAnsiTheme="majorHAnsi"/>
        </w:rPr>
        <w:t>, nr. 14939/03, CEDO 2009</w:t>
      </w:r>
    </w:p>
    <w:p w14:paraId="7438D8E0" w14:textId="3535846E" w:rsidR="008F1027" w:rsidRPr="006B7E09" w:rsidRDefault="008E32D6" w:rsidP="00C726D5">
      <w:pPr>
        <w:pStyle w:val="ECHRParaHanging"/>
        <w:rPr>
          <w:rFonts w:asciiTheme="majorHAnsi" w:hAnsiTheme="majorHAnsi"/>
        </w:rPr>
      </w:pPr>
      <w:hyperlink r:id="rId666" w:history="1">
        <w:r w:rsidR="0082588E">
          <w:rPr>
            <w:rStyle w:val="Hyperlink"/>
            <w:rFonts w:asciiTheme="majorHAnsi" w:hAnsiTheme="majorHAnsi"/>
          </w:rPr>
          <w:t>Scoppola împotriva Italiei (nr. 2)</w:t>
        </w:r>
      </w:hyperlink>
      <w:r w:rsidR="0082588E">
        <w:t xml:space="preserve"> </w:t>
      </w:r>
      <w:r w:rsidR="0082588E">
        <w:rPr>
          <w:rFonts w:asciiTheme="majorHAnsi" w:hAnsiTheme="majorHAnsi"/>
        </w:rPr>
        <w:t>(MC), nr. 10249/03, 17 septembrie 2009</w:t>
      </w:r>
    </w:p>
    <w:p w14:paraId="43E4F93E" w14:textId="61262E26" w:rsidR="008F1027" w:rsidRPr="006B7E09" w:rsidRDefault="008E32D6" w:rsidP="00C726D5">
      <w:pPr>
        <w:pStyle w:val="ECHRParaHanging"/>
        <w:rPr>
          <w:rFonts w:asciiTheme="majorHAnsi" w:hAnsiTheme="majorHAnsi"/>
        </w:rPr>
      </w:pPr>
      <w:hyperlink r:id="rId667" w:history="1">
        <w:r w:rsidR="0082588E">
          <w:rPr>
            <w:rStyle w:val="Hyperlink"/>
            <w:rFonts w:asciiTheme="majorHAnsi" w:hAnsiTheme="majorHAnsi"/>
          </w:rPr>
          <w:t xml:space="preserve">Scozzari și Giunta împotriva Italiei </w:t>
        </w:r>
      </w:hyperlink>
      <w:r w:rsidR="0082588E">
        <w:rPr>
          <w:rFonts w:asciiTheme="majorHAnsi" w:hAnsiTheme="majorHAnsi"/>
        </w:rPr>
        <w:t>(MC), nr. 39221/98 și 41963/98, CEDO 2000</w:t>
      </w:r>
      <w:r w:rsidR="0082588E">
        <w:rPr>
          <w:rFonts w:asciiTheme="majorHAnsi" w:hAnsiTheme="majorHAnsi"/>
        </w:rPr>
        <w:noBreakHyphen/>
        <w:t>VIII</w:t>
      </w:r>
    </w:p>
    <w:p w14:paraId="423AA0B5" w14:textId="10C55EDE" w:rsidR="008F1027" w:rsidRPr="006B7E09" w:rsidRDefault="008E32D6" w:rsidP="00C726D5">
      <w:pPr>
        <w:pStyle w:val="ECHRParaHanging"/>
        <w:rPr>
          <w:rFonts w:asciiTheme="majorHAnsi" w:hAnsiTheme="majorHAnsi"/>
        </w:rPr>
      </w:pPr>
      <w:hyperlink r:id="rId668" w:history="1">
        <w:r w:rsidR="0082588E">
          <w:rPr>
            <w:rStyle w:val="Hyperlink"/>
            <w:rFonts w:asciiTheme="majorHAnsi" w:hAnsiTheme="majorHAnsi"/>
          </w:rPr>
          <w:t>Sidabras și Džiautas împotriva Lituaniei</w:t>
        </w:r>
      </w:hyperlink>
      <w:r w:rsidR="0082588E">
        <w:t>(dec.), nr.</w:t>
      </w:r>
      <w:r w:rsidR="0082588E">
        <w:rPr>
          <w:rFonts w:asciiTheme="majorHAnsi" w:hAnsiTheme="majorHAnsi"/>
        </w:rPr>
        <w:t xml:space="preserve"> 55480/00 și 59330/00, 1 iulie 2003</w:t>
      </w:r>
    </w:p>
    <w:p w14:paraId="5E3409C8" w14:textId="7ED5362C" w:rsidR="008F1027" w:rsidRPr="006B7E09" w:rsidRDefault="008E32D6" w:rsidP="00C726D5">
      <w:pPr>
        <w:pStyle w:val="ECHRParaHanging"/>
        <w:rPr>
          <w:rFonts w:asciiTheme="majorHAnsi" w:hAnsiTheme="majorHAnsi"/>
        </w:rPr>
      </w:pPr>
      <w:hyperlink r:id="rId669" w:history="1">
        <w:r w:rsidR="0082588E">
          <w:rPr>
            <w:rStyle w:val="Hyperlink"/>
            <w:rFonts w:asciiTheme="majorHAnsi" w:hAnsiTheme="majorHAnsi"/>
          </w:rPr>
          <w:t>Šimšić împotriva Bosniei și Herțegovinei</w:t>
        </w:r>
      </w:hyperlink>
      <w:r w:rsidR="0082588E">
        <w:rPr>
          <w:rFonts w:asciiTheme="majorHAnsi" w:hAnsiTheme="majorHAnsi"/>
        </w:rPr>
        <w:t>(dec.), nr. 51552/10, 10 aprilie 2012</w:t>
      </w:r>
    </w:p>
    <w:p w14:paraId="0D68292F" w14:textId="548C39C8" w:rsidR="008F1027" w:rsidRPr="006B7E09" w:rsidRDefault="008E32D6" w:rsidP="00C726D5">
      <w:pPr>
        <w:pStyle w:val="ECHRParaHanging"/>
        <w:rPr>
          <w:rFonts w:asciiTheme="majorHAnsi" w:hAnsiTheme="majorHAnsi"/>
        </w:rPr>
      </w:pPr>
      <w:hyperlink r:id="rId670" w:history="1">
        <w:r w:rsidR="0082588E">
          <w:rPr>
            <w:rStyle w:val="Hyperlink"/>
            <w:rFonts w:asciiTheme="majorHAnsi" w:hAnsiTheme="majorHAnsi"/>
          </w:rPr>
          <w:t>Sobacı împotriva Turciei</w:t>
        </w:r>
      </w:hyperlink>
      <w:r w:rsidR="0082588E">
        <w:rPr>
          <w:rFonts w:asciiTheme="majorHAnsi" w:hAnsiTheme="majorHAnsi"/>
        </w:rPr>
        <w:t>, nr. 26733/02, 29 noiembrie 2007</w:t>
      </w:r>
    </w:p>
    <w:p w14:paraId="70009649" w14:textId="22919AFB" w:rsidR="00036355" w:rsidRPr="006B7E09" w:rsidRDefault="008E32D6" w:rsidP="00036355">
      <w:pPr>
        <w:pStyle w:val="ECHRParaHanging"/>
        <w:rPr>
          <w:rFonts w:asciiTheme="majorHAnsi" w:hAnsiTheme="majorHAnsi"/>
        </w:rPr>
      </w:pPr>
      <w:hyperlink r:id="rId671" w:history="1">
        <w:r w:rsidR="0082588E">
          <w:rPr>
            <w:rStyle w:val="Hyperlink"/>
            <w:rFonts w:asciiTheme="majorHAnsi" w:hAnsiTheme="majorHAnsi"/>
          </w:rPr>
          <w:t>Société Oxygène Plus împotriva Franței</w:t>
        </w:r>
      </w:hyperlink>
      <w:r w:rsidR="0082588E">
        <w:rPr>
          <w:rStyle w:val="ECHRParaSpacedChar"/>
          <w:rFonts w:asciiTheme="majorHAnsi" w:hAnsiTheme="majorHAnsi"/>
        </w:rPr>
        <w:t xml:space="preserve"> (dec.), nr. </w:t>
      </w:r>
      <w:r w:rsidR="0082588E">
        <w:rPr>
          <w:rFonts w:asciiTheme="majorHAnsi" w:hAnsiTheme="majorHAnsi"/>
        </w:rPr>
        <w:t>76959/11, 17 mai 2016</w:t>
      </w:r>
    </w:p>
    <w:p w14:paraId="619260C9" w14:textId="46F3432F" w:rsidR="008F1027" w:rsidRPr="006B7E09" w:rsidRDefault="008E32D6" w:rsidP="00C726D5">
      <w:pPr>
        <w:pStyle w:val="ECHRParaHanging"/>
        <w:rPr>
          <w:rFonts w:asciiTheme="majorHAnsi" w:hAnsiTheme="majorHAnsi"/>
        </w:rPr>
      </w:pPr>
      <w:hyperlink r:id="rId672" w:history="1">
        <w:r w:rsidR="0082588E">
          <w:rPr>
            <w:rStyle w:val="Hyperlink"/>
            <w:rFonts w:asciiTheme="majorHAnsi" w:hAnsiTheme="majorHAnsi"/>
          </w:rPr>
          <w:t>Soros împotriva Franței</w:t>
        </w:r>
      </w:hyperlink>
      <w:r w:rsidR="0082588E">
        <w:rPr>
          <w:rFonts w:asciiTheme="majorHAnsi" w:hAnsiTheme="majorHAnsi"/>
        </w:rPr>
        <w:t>, nr. 50425/06</w:t>
      </w:r>
      <w:r w:rsidR="0082588E">
        <w:rPr>
          <w:rFonts w:asciiTheme="majorHAnsi" w:hAnsiTheme="majorHAnsi"/>
          <w:snapToGrid w:val="0"/>
        </w:rPr>
        <w:t xml:space="preserve">, 6 </w:t>
      </w:r>
      <w:r w:rsidR="0082588E">
        <w:rPr>
          <w:rFonts w:asciiTheme="majorHAnsi" w:hAnsiTheme="majorHAnsi"/>
        </w:rPr>
        <w:t>octombrie</w:t>
      </w:r>
      <w:r w:rsidR="0082588E">
        <w:rPr>
          <w:rFonts w:asciiTheme="majorHAnsi" w:hAnsiTheme="majorHAnsi"/>
          <w:snapToGrid w:val="0"/>
        </w:rPr>
        <w:t xml:space="preserve"> 2011</w:t>
      </w:r>
    </w:p>
    <w:p w14:paraId="4797D902" w14:textId="7D653E28" w:rsidR="008F1027" w:rsidRPr="006B7E09" w:rsidRDefault="008E32D6" w:rsidP="00C726D5">
      <w:pPr>
        <w:pStyle w:val="ECHRParaHanging"/>
        <w:rPr>
          <w:rFonts w:asciiTheme="majorHAnsi" w:hAnsiTheme="majorHAnsi"/>
        </w:rPr>
      </w:pPr>
      <w:hyperlink r:id="rId673" w:history="1">
        <w:r w:rsidR="0082588E">
          <w:rPr>
            <w:rStyle w:val="Hyperlink"/>
            <w:rFonts w:asciiTheme="majorHAnsi" w:hAnsiTheme="majorHAnsi"/>
          </w:rPr>
          <w:t xml:space="preserve">Stepanenko și Ososkalo împotriva Ucrainei </w:t>
        </w:r>
      </w:hyperlink>
      <w:r w:rsidR="0082588E">
        <w:rPr>
          <w:rFonts w:asciiTheme="majorHAnsi" w:hAnsiTheme="majorHAnsi"/>
        </w:rPr>
        <w:t>(dec.), nr. 31430/09 și 29104/11, 14 ianuarie 2014</w:t>
      </w:r>
    </w:p>
    <w:p w14:paraId="276D0156" w14:textId="300E8DCD" w:rsidR="008F1027" w:rsidRPr="006B7E09" w:rsidRDefault="008E32D6" w:rsidP="00C726D5">
      <w:pPr>
        <w:pStyle w:val="ECHRParaHanging"/>
        <w:rPr>
          <w:rFonts w:asciiTheme="majorHAnsi" w:hAnsiTheme="majorHAnsi"/>
        </w:rPr>
      </w:pPr>
      <w:hyperlink r:id="rId674" w:history="1">
        <w:r w:rsidR="0082588E">
          <w:rPr>
            <w:rStyle w:val="Hyperlink"/>
            <w:rFonts w:asciiTheme="majorHAnsi" w:hAnsiTheme="majorHAnsi"/>
          </w:rPr>
          <w:t>Stoica împotriva Franței</w:t>
        </w:r>
      </w:hyperlink>
      <w:r w:rsidR="0082588E">
        <w:t xml:space="preserve"> </w:t>
      </w:r>
      <w:r w:rsidR="0082588E">
        <w:rPr>
          <w:rFonts w:asciiTheme="majorHAnsi" w:hAnsiTheme="majorHAnsi"/>
        </w:rPr>
        <w:t>(dec.), nr. 46535/08, 20 aprilie 2010</w:t>
      </w:r>
    </w:p>
    <w:p w14:paraId="1BD91164" w14:textId="3962C252" w:rsidR="008F1027" w:rsidRPr="006B7E09" w:rsidRDefault="008E32D6" w:rsidP="00C726D5">
      <w:pPr>
        <w:pStyle w:val="ECHRParaHanging"/>
        <w:rPr>
          <w:rFonts w:asciiTheme="majorHAnsi" w:hAnsiTheme="majorHAnsi"/>
        </w:rPr>
      </w:pPr>
      <w:hyperlink r:id="rId675" w:history="1">
        <w:r w:rsidR="0082588E">
          <w:rPr>
            <w:rStyle w:val="Hyperlink"/>
            <w:rFonts w:asciiTheme="majorHAnsi" w:hAnsiTheme="majorHAnsi"/>
          </w:rPr>
          <w:t>Streletz, Kessler și Krenz împotriva Germaniei</w:t>
        </w:r>
      </w:hyperlink>
      <w:r w:rsidR="0082588E">
        <w:rPr>
          <w:rFonts w:asciiTheme="majorHAnsi" w:hAnsiTheme="majorHAnsi"/>
        </w:rPr>
        <w:t xml:space="preserve"> (MC), nr. 34044/96 și alte 2 cereri, CEDO 2001</w:t>
      </w:r>
      <w:r w:rsidR="0082588E">
        <w:rPr>
          <w:rFonts w:asciiTheme="majorHAnsi" w:hAnsiTheme="majorHAnsi"/>
        </w:rPr>
        <w:noBreakHyphen/>
        <w:t xml:space="preserve"> II</w:t>
      </w:r>
    </w:p>
    <w:p w14:paraId="717CF84D" w14:textId="1CC59D42" w:rsidR="008F1027" w:rsidRPr="006B7E09" w:rsidRDefault="008E32D6" w:rsidP="00C726D5">
      <w:pPr>
        <w:pStyle w:val="ECHRParaHanging"/>
        <w:rPr>
          <w:rFonts w:asciiTheme="majorHAnsi" w:hAnsiTheme="majorHAnsi"/>
        </w:rPr>
      </w:pPr>
      <w:hyperlink r:id="rId676" w:history="1">
        <w:r w:rsidR="0082588E">
          <w:rPr>
            <w:rStyle w:val="Hyperlink"/>
            <w:rFonts w:asciiTheme="majorHAnsi" w:hAnsiTheme="majorHAnsi"/>
          </w:rPr>
          <w:t>Sud Fondi și alții împotriva Italiei</w:t>
        </w:r>
      </w:hyperlink>
      <w:r w:rsidR="0082588E">
        <w:t xml:space="preserve"> </w:t>
      </w:r>
      <w:r w:rsidR="0082588E">
        <w:rPr>
          <w:rFonts w:asciiTheme="majorHAnsi" w:hAnsiTheme="majorHAnsi"/>
        </w:rPr>
        <w:t>(dec.), nr. 75909/01, 30 august 2007</w:t>
      </w:r>
    </w:p>
    <w:p w14:paraId="624E8D0B" w14:textId="642E9BCE" w:rsidR="008F1027" w:rsidRPr="006B7E09" w:rsidRDefault="008E32D6" w:rsidP="00C726D5">
      <w:pPr>
        <w:pStyle w:val="ECHRParaHanging"/>
        <w:rPr>
          <w:rFonts w:asciiTheme="majorHAnsi" w:hAnsiTheme="majorHAnsi"/>
        </w:rPr>
      </w:pPr>
      <w:hyperlink r:id="rId677" w:history="1">
        <w:r w:rsidR="0082588E">
          <w:rPr>
            <w:rStyle w:val="Hyperlink"/>
            <w:rFonts w:asciiTheme="majorHAnsi" w:hAnsiTheme="majorHAnsi"/>
          </w:rPr>
          <w:t>Sud Fondi și alții împotriva Italiei</w:t>
        </w:r>
      </w:hyperlink>
      <w:r w:rsidR="0082588E">
        <w:rPr>
          <w:rFonts w:asciiTheme="majorHAnsi" w:hAnsiTheme="majorHAnsi"/>
        </w:rPr>
        <w:t>, nr. 75909/01, 20 ianuarie 2009</w:t>
      </w:r>
    </w:p>
    <w:p w14:paraId="7A85CE90" w14:textId="6B1C1BD4" w:rsidR="008F1027" w:rsidRPr="006B7E09" w:rsidRDefault="008E32D6" w:rsidP="00C726D5">
      <w:pPr>
        <w:pStyle w:val="ECHRParaHanging"/>
        <w:rPr>
          <w:rFonts w:asciiTheme="majorHAnsi" w:hAnsiTheme="majorHAnsi"/>
        </w:rPr>
      </w:pPr>
      <w:hyperlink r:id="rId678" w:history="1">
        <w:r w:rsidR="0082588E">
          <w:rPr>
            <w:rStyle w:val="Hyperlink"/>
            <w:rFonts w:asciiTheme="majorHAnsi" w:hAnsiTheme="majorHAnsi"/>
          </w:rPr>
          <w:t>Szabó împotriva Suediei</w:t>
        </w:r>
      </w:hyperlink>
      <w:r w:rsidR="0082588E">
        <w:t xml:space="preserve"> </w:t>
      </w:r>
      <w:r w:rsidR="0082588E">
        <w:rPr>
          <w:rFonts w:asciiTheme="majorHAnsi" w:hAnsiTheme="majorHAnsi"/>
        </w:rPr>
        <w:t>(dec.), nr. 28578/03, CEDO 2006</w:t>
      </w:r>
      <w:r w:rsidR="0082588E">
        <w:rPr>
          <w:rFonts w:asciiTheme="majorHAnsi" w:hAnsiTheme="majorHAnsi"/>
        </w:rPr>
        <w:noBreakHyphen/>
        <w:t>VIII</w:t>
      </w:r>
    </w:p>
    <w:p w14:paraId="7A5255E8" w14:textId="77777777" w:rsidR="008F1027" w:rsidRPr="006B7E09" w:rsidRDefault="008F1027" w:rsidP="008F1027">
      <w:pPr>
        <w:pStyle w:val="ECHRTitleCentre1"/>
      </w:pPr>
      <w:r>
        <w:t>—T—</w:t>
      </w:r>
    </w:p>
    <w:p w14:paraId="43B69F31" w14:textId="306486BB" w:rsidR="008F1027" w:rsidRPr="00E35EF9" w:rsidRDefault="008E32D6" w:rsidP="00C726D5">
      <w:pPr>
        <w:pStyle w:val="ECHRParaHanging"/>
        <w:rPr>
          <w:rFonts w:asciiTheme="majorHAnsi" w:hAnsiTheme="majorHAnsi"/>
        </w:rPr>
      </w:pPr>
      <w:hyperlink r:id="rId679" w:history="1">
        <w:r w:rsidR="0082588E">
          <w:rPr>
            <w:rStyle w:val="Hyperlink"/>
          </w:rPr>
          <w:t>Tess împotriva Letoniei</w:t>
        </w:r>
      </w:hyperlink>
      <w:r w:rsidR="0082588E">
        <w:t xml:space="preserve"> </w:t>
      </w:r>
      <w:r w:rsidR="0082588E">
        <w:rPr>
          <w:rFonts w:asciiTheme="majorHAnsi" w:hAnsiTheme="majorHAnsi"/>
        </w:rPr>
        <w:t>(dec.), nr. 19363/05, 4 ianuarie 2008</w:t>
      </w:r>
    </w:p>
    <w:p w14:paraId="5005E2A8" w14:textId="1B91915F" w:rsidR="00265C12" w:rsidRPr="006B7E09" w:rsidRDefault="008E32D6" w:rsidP="00432274">
      <w:pPr>
        <w:pStyle w:val="ECHRParaHanging"/>
      </w:pPr>
      <w:hyperlink r:id="rId680" w:history="1">
        <w:r w:rsidR="0082588E">
          <w:rPr>
            <w:rStyle w:val="Hyperlink"/>
          </w:rPr>
          <w:t>Timofeyev și Postupkin împotriva Rusiei</w:t>
        </w:r>
      </w:hyperlink>
      <w:r w:rsidR="0082588E">
        <w:t>, nr. 45431/14 și 22769/15, 19 ianuarie 2021</w:t>
      </w:r>
    </w:p>
    <w:p w14:paraId="40C8F6E9" w14:textId="3A82B065" w:rsidR="00857C1E" w:rsidRPr="006B7E09" w:rsidRDefault="008E32D6" w:rsidP="00432274">
      <w:pPr>
        <w:pStyle w:val="ECHRParaHanging"/>
      </w:pPr>
      <w:hyperlink r:id="rId681" w:history="1">
        <w:r w:rsidR="0082588E">
          <w:rPr>
            <w:rStyle w:val="Hyperlink"/>
          </w:rPr>
          <w:t>Tristan împotriva Moldovei</w:t>
        </w:r>
      </w:hyperlink>
      <w:r w:rsidR="0082588E">
        <w:t>, nr. 13451/15, 4 iulie 2023</w:t>
      </w:r>
    </w:p>
    <w:p w14:paraId="0CD5284B" w14:textId="77777777" w:rsidR="008F1027" w:rsidRPr="006B7E09" w:rsidRDefault="008F1027" w:rsidP="008F1027">
      <w:pPr>
        <w:pStyle w:val="ECHRTitleCentre1"/>
      </w:pPr>
      <w:r>
        <w:t>—U—</w:t>
      </w:r>
    </w:p>
    <w:p w14:paraId="68776FE1" w14:textId="42B5E616" w:rsidR="00E81431" w:rsidRPr="006B7E09" w:rsidRDefault="008E32D6" w:rsidP="00E81431">
      <w:pPr>
        <w:pStyle w:val="ECHRBullet1"/>
        <w:numPr>
          <w:ilvl w:val="0"/>
          <w:numId w:val="0"/>
        </w:numPr>
        <w:rPr>
          <w:rFonts w:asciiTheme="majorHAnsi" w:hAnsiTheme="majorHAnsi"/>
        </w:rPr>
      </w:pPr>
      <w:hyperlink r:id="rId682" w:history="1">
        <w:r w:rsidR="0082588E">
          <w:rPr>
            <w:rStyle w:val="Hyperlink"/>
            <w:rFonts w:asciiTheme="majorHAnsi" w:hAnsiTheme="majorHAnsi"/>
          </w:rPr>
          <w:t xml:space="preserve">Ulemek împotriva Serbiei </w:t>
        </w:r>
      </w:hyperlink>
      <w:r w:rsidR="0082588E">
        <w:rPr>
          <w:rFonts w:asciiTheme="majorHAnsi" w:hAnsiTheme="majorHAnsi"/>
        </w:rPr>
        <w:t>(dec.), nr. 41680/13, 2 februarie 2021</w:t>
      </w:r>
    </w:p>
    <w:p w14:paraId="490BF224" w14:textId="5748BA33" w:rsidR="008F1027" w:rsidRPr="006B7E09" w:rsidRDefault="008E32D6" w:rsidP="00C726D5">
      <w:pPr>
        <w:pStyle w:val="ECHRParaHanging"/>
        <w:rPr>
          <w:rFonts w:asciiTheme="majorHAnsi" w:hAnsiTheme="majorHAnsi"/>
        </w:rPr>
      </w:pPr>
      <w:hyperlink r:id="rId683" w:history="1">
        <w:r w:rsidR="0082588E">
          <w:rPr>
            <w:rStyle w:val="Hyperlink"/>
            <w:rFonts w:asciiTheme="majorHAnsi" w:hAnsiTheme="majorHAnsi"/>
          </w:rPr>
          <w:t>Uttley împotriva Regatului Unit</w:t>
        </w:r>
      </w:hyperlink>
      <w:r w:rsidR="0082588E">
        <w:rPr>
          <w:rFonts w:asciiTheme="majorHAnsi" w:hAnsiTheme="majorHAnsi"/>
        </w:rPr>
        <w:t xml:space="preserve"> (dec.), nr. 36946/03, 29 noiembrie 2005</w:t>
      </w:r>
    </w:p>
    <w:p w14:paraId="6A551C07" w14:textId="77777777" w:rsidR="008F1027" w:rsidRPr="006B7E09" w:rsidRDefault="008F1027" w:rsidP="008F1027">
      <w:pPr>
        <w:pStyle w:val="ECHRTitleCentre1"/>
      </w:pPr>
      <w:r>
        <w:t>—V—</w:t>
      </w:r>
    </w:p>
    <w:p w14:paraId="5E212749" w14:textId="1C1C1910" w:rsidR="008F1027" w:rsidRPr="006B7E09" w:rsidRDefault="008E32D6" w:rsidP="00C726D5">
      <w:pPr>
        <w:pStyle w:val="ECHRParaHanging"/>
        <w:rPr>
          <w:rFonts w:asciiTheme="majorHAnsi" w:hAnsiTheme="majorHAnsi"/>
        </w:rPr>
      </w:pPr>
      <w:hyperlink r:id="rId684" w:history="1">
        <w:r w:rsidR="0082588E">
          <w:rPr>
            <w:rStyle w:val="Hyperlink"/>
            <w:rFonts w:asciiTheme="majorHAnsi" w:hAnsiTheme="majorHAnsi"/>
          </w:rPr>
          <w:t>Valico SLR împotriva Italiei</w:t>
        </w:r>
      </w:hyperlink>
      <w:r w:rsidR="0082588E">
        <w:rPr>
          <w:rFonts w:asciiTheme="majorHAnsi" w:hAnsiTheme="majorHAnsi"/>
        </w:rPr>
        <w:t xml:space="preserve"> (dec.), nr. 70074/01, 21 martie 2006</w:t>
      </w:r>
    </w:p>
    <w:p w14:paraId="38ED0731" w14:textId="7CFA28D1" w:rsidR="008F1027" w:rsidRPr="006B7E09" w:rsidRDefault="008E32D6" w:rsidP="00C726D5">
      <w:pPr>
        <w:pStyle w:val="ECHRParaHanging"/>
        <w:rPr>
          <w:rFonts w:asciiTheme="majorHAnsi" w:hAnsiTheme="majorHAnsi"/>
        </w:rPr>
      </w:pPr>
      <w:hyperlink r:id="rId685" w:history="1">
        <w:r w:rsidR="0082588E">
          <w:rPr>
            <w:rStyle w:val="Hyperlink"/>
            <w:rFonts w:asciiTheme="majorHAnsi" w:hAnsiTheme="majorHAnsi"/>
          </w:rPr>
          <w:t>Van Anraat împotriva Țărilor de Jos</w:t>
        </w:r>
      </w:hyperlink>
      <w:r w:rsidR="0082588E">
        <w:t xml:space="preserve"> </w:t>
      </w:r>
      <w:r w:rsidR="0082588E">
        <w:rPr>
          <w:rFonts w:asciiTheme="majorHAnsi" w:hAnsiTheme="majorHAnsi"/>
        </w:rPr>
        <w:t>(dec.), nr. 65389/09, 6 iulie 2006</w:t>
      </w:r>
    </w:p>
    <w:p w14:paraId="7839BD50" w14:textId="23FCC7FF" w:rsidR="008F1027" w:rsidRPr="006B7E09" w:rsidRDefault="008E32D6" w:rsidP="00C726D5">
      <w:pPr>
        <w:pStyle w:val="ECHRParaHanging"/>
        <w:rPr>
          <w:rFonts w:asciiTheme="majorHAnsi" w:hAnsiTheme="majorHAnsi"/>
        </w:rPr>
      </w:pPr>
      <w:hyperlink r:id="rId686" w:history="1">
        <w:r w:rsidR="0082588E">
          <w:rPr>
            <w:rStyle w:val="Hyperlink"/>
            <w:rFonts w:asciiTheme="majorHAnsi" w:hAnsiTheme="majorHAnsi"/>
          </w:rPr>
          <w:t xml:space="preserve">Van der Velden împotriva Țărilor de Jos </w:t>
        </w:r>
      </w:hyperlink>
      <w:r w:rsidR="0082588E">
        <w:rPr>
          <w:rFonts w:asciiTheme="majorHAnsi" w:hAnsiTheme="majorHAnsi"/>
        </w:rPr>
        <w:t>(dec.), nr. 29514/05, CEDO 2006</w:t>
      </w:r>
      <w:r w:rsidR="0082588E">
        <w:rPr>
          <w:rFonts w:asciiTheme="majorHAnsi" w:hAnsiTheme="majorHAnsi"/>
        </w:rPr>
        <w:noBreakHyphen/>
        <w:t>XV</w:t>
      </w:r>
    </w:p>
    <w:p w14:paraId="5A209016" w14:textId="33915508" w:rsidR="008F1027" w:rsidRPr="006B7E09" w:rsidRDefault="008E32D6" w:rsidP="00C726D5">
      <w:pPr>
        <w:pStyle w:val="ECHRParaHanging"/>
        <w:rPr>
          <w:rFonts w:asciiTheme="majorHAnsi" w:hAnsiTheme="majorHAnsi"/>
        </w:rPr>
      </w:pPr>
      <w:hyperlink r:id="rId687" w:history="1">
        <w:r w:rsidR="0082588E">
          <w:rPr>
            <w:rStyle w:val="Hyperlink"/>
            <w:rFonts w:asciiTheme="majorHAnsi" w:hAnsiTheme="majorHAnsi"/>
          </w:rPr>
          <w:t>Varvara împotriva Italiei</w:t>
        </w:r>
      </w:hyperlink>
      <w:r w:rsidR="0082588E">
        <w:rPr>
          <w:rFonts w:asciiTheme="majorHAnsi" w:hAnsiTheme="majorHAnsi"/>
        </w:rPr>
        <w:t>, nr. 17475/09</w:t>
      </w:r>
      <w:r w:rsidR="0082588E">
        <w:rPr>
          <w:rFonts w:asciiTheme="majorHAnsi" w:hAnsiTheme="majorHAnsi"/>
          <w:snapToGrid w:val="0"/>
        </w:rPr>
        <w:t xml:space="preserve">, 29 </w:t>
      </w:r>
      <w:r w:rsidR="0082588E">
        <w:rPr>
          <w:rFonts w:asciiTheme="majorHAnsi" w:hAnsiTheme="majorHAnsi"/>
        </w:rPr>
        <w:t>octombrie</w:t>
      </w:r>
      <w:r w:rsidR="0082588E">
        <w:rPr>
          <w:rFonts w:asciiTheme="majorHAnsi" w:hAnsiTheme="majorHAnsi"/>
          <w:snapToGrid w:val="0"/>
        </w:rPr>
        <w:t xml:space="preserve"> 2013</w:t>
      </w:r>
    </w:p>
    <w:p w14:paraId="2E4476BB" w14:textId="6977F41D" w:rsidR="008F1027" w:rsidRPr="006B7E09" w:rsidRDefault="008E32D6" w:rsidP="00C726D5">
      <w:pPr>
        <w:pStyle w:val="ECHRParaHanging"/>
        <w:rPr>
          <w:rFonts w:asciiTheme="majorHAnsi" w:hAnsiTheme="majorHAnsi"/>
        </w:rPr>
      </w:pPr>
      <w:hyperlink r:id="rId688" w:history="1">
        <w:r w:rsidR="0082588E">
          <w:rPr>
            <w:rStyle w:val="Hyperlink"/>
            <w:rFonts w:asciiTheme="majorHAnsi" w:hAnsiTheme="majorHAnsi"/>
          </w:rPr>
          <w:t xml:space="preserve">Vasiliauskas împotriva Lituaniei </w:t>
        </w:r>
      </w:hyperlink>
      <w:r w:rsidR="0082588E">
        <w:rPr>
          <w:rFonts w:asciiTheme="majorHAnsi" w:hAnsiTheme="majorHAnsi"/>
        </w:rPr>
        <w:t>(MC), nr. 35343/05, CEDO 2015</w:t>
      </w:r>
    </w:p>
    <w:p w14:paraId="138BBC80" w14:textId="39DCDF11" w:rsidR="008F1027" w:rsidRPr="006B7E09" w:rsidRDefault="008E32D6" w:rsidP="00C726D5">
      <w:pPr>
        <w:pStyle w:val="ECHRParaHanging"/>
        <w:rPr>
          <w:rFonts w:asciiTheme="majorHAnsi" w:hAnsiTheme="majorHAnsi"/>
        </w:rPr>
      </w:pPr>
      <w:hyperlink r:id="rId689" w:history="1">
        <w:r w:rsidR="0082588E">
          <w:rPr>
            <w:rStyle w:val="Hyperlink"/>
            <w:rFonts w:asciiTheme="majorHAnsi" w:hAnsiTheme="majorHAnsi"/>
          </w:rPr>
          <w:t>Veeber împotriva Estoniei (nr. 2)</w:t>
        </w:r>
      </w:hyperlink>
      <w:r w:rsidR="0082588E">
        <w:rPr>
          <w:rFonts w:asciiTheme="majorHAnsi" w:hAnsiTheme="majorHAnsi"/>
        </w:rPr>
        <w:t>, nr. 45771/99, CEDO 2003</w:t>
      </w:r>
      <w:r w:rsidR="0082588E">
        <w:rPr>
          <w:rFonts w:asciiTheme="majorHAnsi" w:hAnsiTheme="majorHAnsi"/>
        </w:rPr>
        <w:noBreakHyphen/>
        <w:t>I</w:t>
      </w:r>
    </w:p>
    <w:p w14:paraId="72CB48CC" w14:textId="6966638B" w:rsidR="008F1027" w:rsidRPr="006B7E09" w:rsidRDefault="008E32D6" w:rsidP="00C726D5">
      <w:pPr>
        <w:pStyle w:val="ECHRParaHanging"/>
        <w:rPr>
          <w:rFonts w:asciiTheme="majorHAnsi" w:hAnsiTheme="majorHAnsi"/>
        </w:rPr>
      </w:pPr>
      <w:hyperlink r:id="rId690" w:history="1">
        <w:r w:rsidR="0082588E">
          <w:rPr>
            <w:rStyle w:val="Hyperlink"/>
            <w:rFonts w:asciiTheme="majorHAnsi" w:hAnsiTheme="majorHAnsi"/>
          </w:rPr>
          <w:t>Vikulov și alții împotriva Letoniei</w:t>
        </w:r>
      </w:hyperlink>
      <w:r w:rsidR="0082588E">
        <w:t xml:space="preserve"> </w:t>
      </w:r>
      <w:r w:rsidR="0082588E">
        <w:rPr>
          <w:rFonts w:asciiTheme="majorHAnsi" w:hAnsiTheme="majorHAnsi"/>
        </w:rPr>
        <w:t>(dec.), nr. 16870/03, 23 martie 2004</w:t>
      </w:r>
    </w:p>
    <w:p w14:paraId="7BB4B331" w14:textId="1805B992" w:rsidR="008F1027" w:rsidRPr="006B7E09" w:rsidRDefault="008E32D6" w:rsidP="00C726D5">
      <w:pPr>
        <w:pStyle w:val="ECHRParaHanging"/>
        <w:rPr>
          <w:rFonts w:asciiTheme="majorHAnsi" w:hAnsiTheme="majorHAnsi"/>
        </w:rPr>
      </w:pPr>
      <w:hyperlink r:id="rId691" w:history="1">
        <w:r w:rsidR="0082588E">
          <w:rPr>
            <w:rStyle w:val="Hyperlink"/>
            <w:rFonts w:asciiTheme="majorHAnsi" w:hAnsiTheme="majorHAnsi"/>
          </w:rPr>
          <w:t>Vinter și alții împotriva Regatului Unit</w:t>
        </w:r>
      </w:hyperlink>
      <w:r w:rsidR="0082588E">
        <w:rPr>
          <w:rFonts w:asciiTheme="majorHAnsi" w:hAnsiTheme="majorHAnsi"/>
        </w:rPr>
        <w:t xml:space="preserve"> (MC), nr. </w:t>
      </w:r>
      <w:r w:rsidR="0082588E">
        <w:rPr>
          <w:rFonts w:asciiTheme="majorHAnsi" w:hAnsiTheme="majorHAnsi"/>
          <w:snapToGrid w:val="0"/>
        </w:rPr>
        <w:t>66069/09 și alte 2 cereri,</w:t>
      </w:r>
      <w:r w:rsidR="0082588E">
        <w:rPr>
          <w:rFonts w:asciiTheme="majorHAnsi" w:hAnsiTheme="majorHAnsi"/>
        </w:rPr>
        <w:t xml:space="preserve"> CEDO 2013</w:t>
      </w:r>
    </w:p>
    <w:p w14:paraId="5E4B4D05" w14:textId="77777777" w:rsidR="008F1027" w:rsidRPr="006B7E09" w:rsidRDefault="008F1027" w:rsidP="008F1027">
      <w:pPr>
        <w:pStyle w:val="ECHRTitleCentre1"/>
      </w:pPr>
      <w:r>
        <w:lastRenderedPageBreak/>
        <w:t>—W—</w:t>
      </w:r>
    </w:p>
    <w:p w14:paraId="2771FEA4" w14:textId="2EACC2FF" w:rsidR="00F44772" w:rsidRPr="006B7E09" w:rsidRDefault="008E32D6" w:rsidP="00C726D5">
      <w:pPr>
        <w:pStyle w:val="ECHRParaHanging"/>
        <w:rPr>
          <w:rStyle w:val="Hyperlink"/>
          <w:bCs/>
          <w:i w:val="0"/>
          <w:iCs/>
          <w:color w:val="auto"/>
        </w:rPr>
      </w:pPr>
      <w:hyperlink r:id="rId692" w:history="1">
        <w:r w:rsidR="0082588E">
          <w:rPr>
            <w:rStyle w:val="Hyperlink"/>
          </w:rPr>
          <w:t>W.A. împotriva Elveției</w:t>
        </w:r>
      </w:hyperlink>
      <w:r w:rsidR="0082588E">
        <w:t>, nr. 38958/16, 2 noiembrie 2021</w:t>
      </w:r>
    </w:p>
    <w:p w14:paraId="09D69A27" w14:textId="34C189E1" w:rsidR="008F1027" w:rsidRPr="006B7E09" w:rsidRDefault="008E32D6" w:rsidP="00C726D5">
      <w:pPr>
        <w:pStyle w:val="ECHRParaHanging"/>
        <w:rPr>
          <w:rFonts w:asciiTheme="majorHAnsi" w:hAnsiTheme="majorHAnsi"/>
        </w:rPr>
      </w:pPr>
      <w:hyperlink r:id="rId693" w:history="1">
        <w:r w:rsidR="0082588E">
          <w:rPr>
            <w:rStyle w:val="Hyperlink"/>
            <w:rFonts w:asciiTheme="majorHAnsi" w:hAnsiTheme="majorHAnsi"/>
          </w:rPr>
          <w:t>Welch împotriva Regatului Unit</w:t>
        </w:r>
      </w:hyperlink>
      <w:r w:rsidR="0082588E">
        <w:t xml:space="preserve"> </w:t>
      </w:r>
      <w:r w:rsidR="0082588E">
        <w:rPr>
          <w:rFonts w:asciiTheme="majorHAnsi" w:hAnsiTheme="majorHAnsi"/>
        </w:rPr>
        <w:t>9 februarie 1995, seria A nr. 307</w:t>
      </w:r>
      <w:r w:rsidR="0082588E">
        <w:rPr>
          <w:rFonts w:asciiTheme="majorHAnsi" w:hAnsiTheme="majorHAnsi"/>
        </w:rPr>
        <w:noBreakHyphen/>
        <w:t>A</w:t>
      </w:r>
    </w:p>
    <w:p w14:paraId="08E47BC6" w14:textId="77777777" w:rsidR="008F1027" w:rsidRPr="006B7E09" w:rsidRDefault="008F1027" w:rsidP="008F1027">
      <w:pPr>
        <w:pStyle w:val="ECHRTitleCentre1"/>
      </w:pPr>
      <w:r>
        <w:t>—X—</w:t>
      </w:r>
    </w:p>
    <w:p w14:paraId="406D17D9" w14:textId="7FD33D06" w:rsidR="008F1027" w:rsidRPr="006B7E09" w:rsidRDefault="008E32D6" w:rsidP="00C726D5">
      <w:pPr>
        <w:pStyle w:val="ECHRParaHanging"/>
        <w:rPr>
          <w:rFonts w:asciiTheme="majorHAnsi" w:hAnsiTheme="majorHAnsi"/>
        </w:rPr>
      </w:pPr>
      <w:hyperlink r:id="rId694" w:history="1">
        <w:r w:rsidR="0082588E">
          <w:rPr>
            <w:rStyle w:val="Hyperlink"/>
            <w:rFonts w:asciiTheme="majorHAnsi" w:hAnsiTheme="majorHAnsi"/>
          </w:rPr>
          <w:t>X. împotriva Țărilor de Jos</w:t>
        </w:r>
      </w:hyperlink>
      <w:r w:rsidR="0082588E">
        <w:t xml:space="preserve">, nr. </w:t>
      </w:r>
      <w:r w:rsidR="0082588E">
        <w:rPr>
          <w:rFonts w:asciiTheme="majorHAnsi" w:hAnsiTheme="majorHAnsi"/>
        </w:rPr>
        <w:t>7512/76,</w:t>
      </w:r>
      <w:r w:rsidR="0082588E">
        <w:t xml:space="preserve"> decizia Comisiei din 6 iulie 1976, Decizii și rapoarte 6</w:t>
      </w:r>
    </w:p>
    <w:p w14:paraId="3438AD29" w14:textId="77777777" w:rsidR="008F1027" w:rsidRPr="006B7E09" w:rsidRDefault="008F1027" w:rsidP="008F1027">
      <w:pPr>
        <w:pStyle w:val="ECHRTitleCentre1"/>
      </w:pPr>
      <w:r>
        <w:t>—Y—</w:t>
      </w:r>
    </w:p>
    <w:p w14:paraId="7D57C2C0" w14:textId="65D90989" w:rsidR="008F1027" w:rsidRPr="006B7E09" w:rsidRDefault="008E32D6" w:rsidP="00C726D5">
      <w:pPr>
        <w:pStyle w:val="ECHRParaHanging"/>
        <w:rPr>
          <w:rFonts w:asciiTheme="majorHAnsi" w:hAnsiTheme="majorHAnsi"/>
        </w:rPr>
      </w:pPr>
      <w:hyperlink r:id="rId695" w:history="1">
        <w:r w:rsidR="0082588E">
          <w:rPr>
            <w:rStyle w:val="Hyperlink"/>
            <w:rFonts w:asciiTheme="majorHAnsi" w:hAnsiTheme="majorHAnsi"/>
          </w:rPr>
          <w:t>Yildirim împotriva Italiei</w:t>
        </w:r>
      </w:hyperlink>
      <w:r w:rsidR="0082588E">
        <w:t xml:space="preserve"> </w:t>
      </w:r>
      <w:r w:rsidR="0082588E">
        <w:rPr>
          <w:rFonts w:asciiTheme="majorHAnsi" w:hAnsiTheme="majorHAnsi"/>
        </w:rPr>
        <w:t>(dec.), nr. 38602/02, CEDO 2003</w:t>
      </w:r>
      <w:r w:rsidR="0082588E">
        <w:rPr>
          <w:rFonts w:asciiTheme="majorHAnsi" w:hAnsiTheme="majorHAnsi"/>
        </w:rPr>
        <w:noBreakHyphen/>
        <w:t>IV</w:t>
      </w:r>
    </w:p>
    <w:p w14:paraId="2AD73D2E" w14:textId="77777777" w:rsidR="008F1027" w:rsidRPr="006B7E09" w:rsidRDefault="008F1027" w:rsidP="008F1027">
      <w:pPr>
        <w:pStyle w:val="ECHRTitleCentre1"/>
      </w:pPr>
      <w:r>
        <w:t>—Z—</w:t>
      </w:r>
    </w:p>
    <w:p w14:paraId="6DF1593C" w14:textId="524FBE6F" w:rsidR="00036355" w:rsidRPr="00B3710D" w:rsidRDefault="008E32D6" w:rsidP="00F97524">
      <w:pPr>
        <w:pStyle w:val="ECHRParaHanging"/>
        <w:rPr>
          <w:rFonts w:asciiTheme="majorHAnsi" w:hAnsiTheme="majorHAnsi"/>
        </w:rPr>
      </w:pPr>
      <w:hyperlink r:id="rId696" w:history="1">
        <w:r w:rsidR="0082588E">
          <w:rPr>
            <w:rStyle w:val="Hyperlink"/>
            <w:rFonts w:asciiTheme="majorHAnsi" w:hAnsiTheme="majorHAnsi"/>
          </w:rPr>
          <w:t>Žaja împotriva Croației</w:t>
        </w:r>
      </w:hyperlink>
      <w:r w:rsidR="0082588E">
        <w:rPr>
          <w:rFonts w:asciiTheme="majorHAnsi" w:hAnsiTheme="majorHAnsi"/>
        </w:rPr>
        <w:t>, nr. 37462/09, 4 octombrie 2016</w:t>
      </w:r>
    </w:p>
    <w:p w14:paraId="5EF957A5" w14:textId="77777777" w:rsidR="00036355" w:rsidRPr="00B3710D" w:rsidRDefault="00036355" w:rsidP="008C70C0">
      <w:pPr>
        <w:pStyle w:val="ECHRParaHanging"/>
        <w:rPr>
          <w:rFonts w:asciiTheme="majorHAnsi" w:hAnsiTheme="majorHAnsi"/>
          <w:lang w:val="pt-PT"/>
        </w:rPr>
      </w:pPr>
    </w:p>
    <w:sectPr w:rsidR="00036355" w:rsidRPr="00B3710D" w:rsidSect="001007A1">
      <w:headerReference w:type="even" r:id="rId697"/>
      <w:headerReference w:type="default" r:id="rId698"/>
      <w:footerReference w:type="even" r:id="rId699"/>
      <w:footerReference w:type="default" r:id="rId700"/>
      <w:headerReference w:type="first" r:id="rId701"/>
      <w:footerReference w:type="first" r:id="rId702"/>
      <w:pgSz w:w="11907" w:h="16840" w:code="9"/>
      <w:pgMar w:top="1440" w:right="1440" w:bottom="1440" w:left="1440" w:header="142"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F21C0" w14:textId="77777777" w:rsidR="008E32D6" w:rsidRPr="00863494" w:rsidRDefault="008E32D6" w:rsidP="00E255CC">
      <w:pPr>
        <w:rPr>
          <w:lang w:val="en-GB"/>
        </w:rPr>
      </w:pPr>
      <w:r w:rsidRPr="00863494">
        <w:rPr>
          <w:lang w:val="en-GB"/>
        </w:rPr>
        <w:separator/>
      </w:r>
    </w:p>
  </w:endnote>
  <w:endnote w:type="continuationSeparator" w:id="0">
    <w:p w14:paraId="610298C7" w14:textId="77777777" w:rsidR="008E32D6" w:rsidRPr="00863494" w:rsidRDefault="008E32D6" w:rsidP="00E255CC">
      <w:pPr>
        <w:rPr>
          <w:lang w:val="en-GB"/>
        </w:rPr>
      </w:pPr>
      <w:r w:rsidRPr="00863494">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DBB90" w14:textId="77777777" w:rsidR="0099764D" w:rsidRPr="00863494" w:rsidRDefault="0099764D" w:rsidP="00757E39">
    <w:r w:rsidRPr="00863494">
      <w:fldChar w:fldCharType="begin"/>
    </w:r>
    <w:r w:rsidRPr="00863494">
      <w:instrText xml:space="preserve"> PAGE </w:instrText>
    </w:r>
    <w:r w:rsidRPr="00863494">
      <w:fldChar w:fldCharType="separate"/>
    </w:r>
    <w:r w:rsidRPr="00863494">
      <w:t>66</w:t>
    </w:r>
    <w:r w:rsidRPr="00863494">
      <w:fldChar w:fldCharType="end"/>
    </w:r>
    <w:r>
      <w:tab/>
      <w:t>© Consiliul Europei / Curtea Europeană a Drepturilor Omului,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E0E41" w14:textId="57D47508" w:rsidR="0099764D" w:rsidRPr="00863494" w:rsidRDefault="0099764D" w:rsidP="00904E3A">
    <w:pPr>
      <w:pStyle w:val="ECHRFooter"/>
      <w:tabs>
        <w:tab w:val="clear" w:pos="9072"/>
        <w:tab w:val="right" w:pos="9027"/>
      </w:tabs>
    </w:pPr>
    <w:r>
      <w:t>Curtea Europeană a Drepturilor Omului</w:t>
    </w:r>
    <w:r>
      <w:tab/>
    </w:r>
    <w:r w:rsidRPr="006B7E09">
      <w:fldChar w:fldCharType="begin"/>
    </w:r>
    <w:r w:rsidRPr="006B7E09">
      <w:instrText xml:space="preserve"> PAGE  </w:instrText>
    </w:r>
    <w:r w:rsidRPr="006B7E09">
      <w:fldChar w:fldCharType="separate"/>
    </w:r>
    <w:r w:rsidR="00C84E1E">
      <w:rPr>
        <w:noProof/>
      </w:rPr>
      <w:t>30</w:t>
    </w:r>
    <w:r w:rsidRPr="006B7E09">
      <w:fldChar w:fldCharType="end"/>
    </w:r>
    <w:r>
      <w:t>/</w:t>
    </w:r>
    <w:r w:rsidR="008E32D6">
      <w:rPr>
        <w:noProof/>
      </w:rPr>
      <w:fldChar w:fldCharType="begin"/>
    </w:r>
    <w:r w:rsidR="008E32D6">
      <w:rPr>
        <w:noProof/>
      </w:rPr>
      <w:instrText xml:space="preserve"> NUMPAGES </w:instrText>
    </w:r>
    <w:r w:rsidR="008E32D6">
      <w:rPr>
        <w:noProof/>
      </w:rPr>
      <w:fldChar w:fldCharType="separate"/>
    </w:r>
    <w:r w:rsidR="00C84E1E">
      <w:rPr>
        <w:noProof/>
      </w:rPr>
      <w:t>30</w:t>
    </w:r>
    <w:r w:rsidR="008E32D6">
      <w:rPr>
        <w:noProof/>
      </w:rPr>
      <w:fldChar w:fldCharType="end"/>
    </w:r>
    <w:r>
      <w:tab/>
      <w:t>Ultima actualizare: 31.08.2023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5A1299" w14:paraId="5FD7CD9B" w14:textId="77777777" w:rsidTr="00BE1F2A">
      <w:tc>
        <w:tcPr>
          <w:tcW w:w="4530" w:type="dxa"/>
        </w:tcPr>
        <w:p w14:paraId="60CE9D95" w14:textId="77777777" w:rsidR="005A1299" w:rsidRDefault="005A1299" w:rsidP="005A1299">
          <w:pPr>
            <w:pStyle w:val="Footer"/>
            <w:ind w:left="0"/>
            <w:jc w:val="center"/>
            <w:rPr>
              <w:lang w:val="en-GB"/>
            </w:rPr>
          </w:pPr>
          <w:r>
            <w:rPr>
              <w:rFonts w:eastAsiaTheme="minorHAnsi"/>
            </w:rPr>
            <w:object w:dxaOrig="1100" w:dyaOrig="1046" w14:anchorId="0EAB6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o:ole="">
                <v:imagedata r:id="rId1" o:title=""/>
              </v:shape>
              <o:OLEObject Type="Embed" ProgID="CorelDRAW.Graphic.11" ShapeID="_x0000_i1025" DrawAspect="Content" ObjectID="_1773130763" r:id="rId2"/>
            </w:object>
          </w:r>
        </w:p>
      </w:tc>
      <w:tc>
        <w:tcPr>
          <w:tcW w:w="6068" w:type="dxa"/>
        </w:tcPr>
        <w:p w14:paraId="71803E02" w14:textId="77777777" w:rsidR="005A1299" w:rsidRDefault="005A1299" w:rsidP="005A1299">
          <w:pPr>
            <w:pStyle w:val="Footer"/>
            <w:ind w:left="0"/>
            <w:jc w:val="center"/>
            <w:rPr>
              <w:lang w:val="en-GB"/>
            </w:rPr>
          </w:pPr>
          <w:r>
            <w:rPr>
              <w:lang w:val="en-GB"/>
            </w:rPr>
            <w:t xml:space="preserve">  </w:t>
          </w:r>
          <w:r>
            <w:rPr>
              <w:noProof/>
              <w:sz w:val="4"/>
              <w:lang w:val="en-US"/>
            </w:rPr>
            <w:drawing>
              <wp:inline distT="0" distB="0" distL="0" distR="0" wp14:anchorId="74F7AF50" wp14:editId="5D0D8181">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4158B04F" w14:textId="7943FA2B" w:rsidR="0099764D" w:rsidRPr="00863494" w:rsidRDefault="0099764D" w:rsidP="00816A5A">
    <w:pPr>
      <w:tabs>
        <w:tab w:val="center" w:pos="4500"/>
      </w:tabs>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764A1" w14:textId="77777777" w:rsidR="008E32D6" w:rsidRPr="00863494" w:rsidRDefault="008E32D6" w:rsidP="00E255CC">
      <w:pPr>
        <w:rPr>
          <w:lang w:val="en-GB"/>
        </w:rPr>
      </w:pPr>
      <w:r w:rsidRPr="00863494">
        <w:rPr>
          <w:lang w:val="en-GB"/>
        </w:rPr>
        <w:separator/>
      </w:r>
    </w:p>
  </w:footnote>
  <w:footnote w:type="continuationSeparator" w:id="0">
    <w:p w14:paraId="623457B4" w14:textId="77777777" w:rsidR="008E32D6" w:rsidRPr="00863494" w:rsidRDefault="008E32D6" w:rsidP="00E255CC">
      <w:pPr>
        <w:rPr>
          <w:lang w:val="en-GB"/>
        </w:rPr>
      </w:pPr>
      <w:r w:rsidRPr="00863494">
        <w:rPr>
          <w:lang w:val="en-GB"/>
        </w:rPr>
        <w:continuationSeparator/>
      </w:r>
    </w:p>
  </w:footnote>
  <w:footnote w:id="1">
    <w:p w14:paraId="1D5CD141" w14:textId="1A3B1297" w:rsidR="0099764D" w:rsidRPr="00863494" w:rsidRDefault="0099764D" w:rsidP="00C57195">
      <w:pPr>
        <w:pStyle w:val="FootnoteText"/>
      </w:pPr>
      <w:r>
        <w:rPr>
          <w:rStyle w:val="FootnoteReference"/>
          <w:vertAlign w:val="baseline"/>
          <w:lang w:val="en-GB"/>
        </w:rPr>
        <w:footnoteRef/>
      </w:r>
      <w:r>
        <w:t xml:space="preserve">.  Pentru domeniul de aplicare al art. 6 (latura penală) și noțiunea de „acuzație în materie penală”, a se vedea </w:t>
      </w:r>
      <w:hyperlink r:id="rId1" w:history="1">
        <w:r>
          <w:rPr>
            <w:rStyle w:val="Hyperlink"/>
          </w:rPr>
          <w:t>Ghid privind art. 6 (latura penală)</w:t>
        </w:r>
      </w:hyperlink>
      <w:r>
        <w:t>, disponibil pe site-ul Curții (</w:t>
      </w:r>
      <w:hyperlink r:id="rId2" w:tgtFrame="_blank" w:history="1">
        <w:r>
          <w:rPr>
            <w:rStyle w:val="Hyperlink"/>
          </w:rPr>
          <w:t>www.echr.coe.int</w:t>
        </w:r>
      </w:hyperlink>
      <w:r>
        <w:t xml:space="preserve"> – Jurisprudența).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89727" w14:textId="77777777" w:rsidR="0099764D" w:rsidRPr="00863494" w:rsidRDefault="0099764D" w:rsidP="00757E39">
    <w:r>
      <w:t>Ghid privind art. 4 – Interzicerea sclaviei și a muncii forțate – ediția a 4-a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FB6F0" w14:textId="77777777" w:rsidR="0099764D" w:rsidRPr="00863494" w:rsidRDefault="0099764D" w:rsidP="00BE556A">
    <w:pPr>
      <w:pStyle w:val="ECHRHeader"/>
      <w:spacing w:before="240"/>
    </w:pPr>
    <w:r>
      <w:t>Art. 7 din Convenție – Nicio pedeapsă fără lege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D1A61" w14:textId="77777777" w:rsidR="0099764D" w:rsidRPr="00863494" w:rsidRDefault="0099764D" w:rsidP="00904E3A">
    <w:pPr>
      <w:pStyle w:val="ECHRTitleCentre1"/>
      <w:rPr>
        <w:sz w:val="4"/>
        <w:szCs w:val="4"/>
      </w:rPr>
    </w:pPr>
    <w:r>
      <w:rPr>
        <w:noProof/>
        <w:lang w:val="en-US"/>
      </w:rPr>
      <w:drawing>
        <wp:inline distT="0" distB="0" distL="0" distR="0" wp14:anchorId="7D1FA3EE" wp14:editId="41E0E689">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1B9B24F" w14:textId="77777777" w:rsidR="0099764D" w:rsidRPr="00863494" w:rsidRDefault="0099764D" w:rsidP="00904E3A">
    <w:pPr>
      <w:pStyle w:val="ECHRTitleCentre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FB0DA6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6848E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A902D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EC01A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354A0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B087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FEA1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B0F3F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9602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2D221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16B5801"/>
    <w:multiLevelType w:val="multilevel"/>
    <w:tmpl w:val="66D0C490"/>
    <w:lvl w:ilvl="0">
      <w:start w:val="1"/>
      <w:numFmt w:val="upperRoman"/>
      <w:pStyle w:val="ECHRHeading1"/>
      <w:suff w:val="nothing"/>
      <w:lvlText w:val="%1.  "/>
      <w:lvlJc w:val="left"/>
      <w:pPr>
        <w:ind w:left="2467" w:hanging="340"/>
      </w:pPr>
      <w:rPr>
        <w:rFonts w:hint="default"/>
      </w:rPr>
    </w:lvl>
    <w:lvl w:ilvl="1">
      <w:start w:val="1"/>
      <w:numFmt w:val="upperLetter"/>
      <w:pStyle w:val="ECHRHeading2"/>
      <w:suff w:val="nothing"/>
      <w:lvlText w:val="%2.  "/>
      <w:lvlJc w:val="left"/>
      <w:pPr>
        <w:ind w:left="397" w:hanging="397"/>
      </w:pPr>
      <w:rPr>
        <w:rFonts w:hint="default"/>
      </w:rPr>
    </w:lvl>
    <w:lvl w:ilvl="2">
      <w:start w:val="1"/>
      <w:numFmt w:val="decimal"/>
      <w:pStyle w:val="ECHRHeading3"/>
      <w:suff w:val="nothing"/>
      <w:lvlText w:val="%3.  "/>
      <w:lvlJc w:val="left"/>
      <w:pPr>
        <w:ind w:left="340" w:hanging="340"/>
      </w:pPr>
      <w:rPr>
        <w:rFonts w:hint="default"/>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989571C"/>
    <w:multiLevelType w:val="multilevel"/>
    <w:tmpl w:val="DA5C77CE"/>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3"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num w:numId="1">
    <w:abstractNumId w:val="12"/>
  </w:num>
  <w:num w:numId="2">
    <w:abstractNumId w:val="11"/>
  </w:num>
  <w:num w:numId="3">
    <w:abstractNumId w:val="13"/>
  </w:num>
  <w:num w:numId="4">
    <w:abstractNumId w:val="12"/>
  </w:num>
  <w:num w:numId="5">
    <w:abstractNumId w:val="11"/>
  </w:num>
  <w:num w:numId="6">
    <w:abstractNumId w:val="10"/>
  </w:num>
  <w:num w:numId="7">
    <w:abstractNumId w:val="1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3"/>
  </w:num>
  <w:num w:numId="20">
    <w:abstractNumId w:val="12"/>
  </w:num>
  <w:num w:numId="21">
    <w:abstractNumId w:val="12"/>
  </w:num>
  <w:num w:numId="22">
    <w:abstractNumId w:val="12"/>
  </w:num>
  <w:num w:numId="23">
    <w:abstractNumId w:val="12"/>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0"/>
  </w:num>
  <w:num w:numId="32">
    <w:abstractNumId w:val="13"/>
  </w:num>
  <w:num w:numId="33">
    <w:abstractNumId w:val="13"/>
  </w:num>
  <w:num w:numId="3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664"/>
    <w:rsid w:val="000001FB"/>
    <w:rsid w:val="00001436"/>
    <w:rsid w:val="00002DAE"/>
    <w:rsid w:val="000031DF"/>
    <w:rsid w:val="000042A8"/>
    <w:rsid w:val="00004308"/>
    <w:rsid w:val="00004626"/>
    <w:rsid w:val="00004635"/>
    <w:rsid w:val="00005BF0"/>
    <w:rsid w:val="00007154"/>
    <w:rsid w:val="00007208"/>
    <w:rsid w:val="000103AE"/>
    <w:rsid w:val="00010769"/>
    <w:rsid w:val="0001088E"/>
    <w:rsid w:val="00011D69"/>
    <w:rsid w:val="00012AD3"/>
    <w:rsid w:val="000151BF"/>
    <w:rsid w:val="00015C2D"/>
    <w:rsid w:val="00015F00"/>
    <w:rsid w:val="00017FD2"/>
    <w:rsid w:val="00020A26"/>
    <w:rsid w:val="00020A58"/>
    <w:rsid w:val="00020AF7"/>
    <w:rsid w:val="00020B7D"/>
    <w:rsid w:val="00022C1D"/>
    <w:rsid w:val="00025AAB"/>
    <w:rsid w:val="00025C4D"/>
    <w:rsid w:val="00027964"/>
    <w:rsid w:val="00027AB3"/>
    <w:rsid w:val="00027FBE"/>
    <w:rsid w:val="00030C69"/>
    <w:rsid w:val="00031C5F"/>
    <w:rsid w:val="00032A0F"/>
    <w:rsid w:val="00033E9E"/>
    <w:rsid w:val="00034987"/>
    <w:rsid w:val="00034B8B"/>
    <w:rsid w:val="00034E65"/>
    <w:rsid w:val="00036355"/>
    <w:rsid w:val="00037C14"/>
    <w:rsid w:val="0004107A"/>
    <w:rsid w:val="00041133"/>
    <w:rsid w:val="000416EE"/>
    <w:rsid w:val="00043059"/>
    <w:rsid w:val="00044B47"/>
    <w:rsid w:val="00045444"/>
    <w:rsid w:val="00051B30"/>
    <w:rsid w:val="00052DA4"/>
    <w:rsid w:val="000553C2"/>
    <w:rsid w:val="0005543A"/>
    <w:rsid w:val="000557C1"/>
    <w:rsid w:val="0005616D"/>
    <w:rsid w:val="00056774"/>
    <w:rsid w:val="00057923"/>
    <w:rsid w:val="000602DF"/>
    <w:rsid w:val="0006083E"/>
    <w:rsid w:val="00061B05"/>
    <w:rsid w:val="0006327C"/>
    <w:rsid w:val="000632D5"/>
    <w:rsid w:val="000637EF"/>
    <w:rsid w:val="00063B1C"/>
    <w:rsid w:val="000644EE"/>
    <w:rsid w:val="000660D6"/>
    <w:rsid w:val="000660FC"/>
    <w:rsid w:val="000668EE"/>
    <w:rsid w:val="000669A3"/>
    <w:rsid w:val="00066A50"/>
    <w:rsid w:val="00072322"/>
    <w:rsid w:val="0007305C"/>
    <w:rsid w:val="000740C1"/>
    <w:rsid w:val="00075BE7"/>
    <w:rsid w:val="00076906"/>
    <w:rsid w:val="0008023E"/>
    <w:rsid w:val="00080A39"/>
    <w:rsid w:val="00082FD2"/>
    <w:rsid w:val="00083CB1"/>
    <w:rsid w:val="00084090"/>
    <w:rsid w:val="00086DD5"/>
    <w:rsid w:val="0009231F"/>
    <w:rsid w:val="000925AD"/>
    <w:rsid w:val="000A00C0"/>
    <w:rsid w:val="000A19E7"/>
    <w:rsid w:val="000A24EB"/>
    <w:rsid w:val="000A38A8"/>
    <w:rsid w:val="000A4120"/>
    <w:rsid w:val="000A5059"/>
    <w:rsid w:val="000A5BCC"/>
    <w:rsid w:val="000A6EBC"/>
    <w:rsid w:val="000A6FD6"/>
    <w:rsid w:val="000B1A3F"/>
    <w:rsid w:val="000B2716"/>
    <w:rsid w:val="000B4333"/>
    <w:rsid w:val="000B5E2B"/>
    <w:rsid w:val="000B6923"/>
    <w:rsid w:val="000B6FC8"/>
    <w:rsid w:val="000B75DF"/>
    <w:rsid w:val="000C2517"/>
    <w:rsid w:val="000C282E"/>
    <w:rsid w:val="000C3CE5"/>
    <w:rsid w:val="000C49AB"/>
    <w:rsid w:val="000C5F3C"/>
    <w:rsid w:val="000C618C"/>
    <w:rsid w:val="000C6DCC"/>
    <w:rsid w:val="000C7498"/>
    <w:rsid w:val="000C7BAE"/>
    <w:rsid w:val="000D21A5"/>
    <w:rsid w:val="000D25F2"/>
    <w:rsid w:val="000D413B"/>
    <w:rsid w:val="000D4363"/>
    <w:rsid w:val="000D47AA"/>
    <w:rsid w:val="000D658F"/>
    <w:rsid w:val="000D6BEF"/>
    <w:rsid w:val="000D721F"/>
    <w:rsid w:val="000D74E2"/>
    <w:rsid w:val="000D788A"/>
    <w:rsid w:val="000D7979"/>
    <w:rsid w:val="000E00F1"/>
    <w:rsid w:val="000E069B"/>
    <w:rsid w:val="000E0E82"/>
    <w:rsid w:val="000E142C"/>
    <w:rsid w:val="000E1DC5"/>
    <w:rsid w:val="000E1F95"/>
    <w:rsid w:val="000E223F"/>
    <w:rsid w:val="000E2921"/>
    <w:rsid w:val="000E3272"/>
    <w:rsid w:val="000E3A7E"/>
    <w:rsid w:val="000E456B"/>
    <w:rsid w:val="000E5A27"/>
    <w:rsid w:val="000E7D45"/>
    <w:rsid w:val="000F0474"/>
    <w:rsid w:val="000F0A4C"/>
    <w:rsid w:val="000F0A86"/>
    <w:rsid w:val="000F29FB"/>
    <w:rsid w:val="000F4B95"/>
    <w:rsid w:val="000F512D"/>
    <w:rsid w:val="000F5B1E"/>
    <w:rsid w:val="000F5D55"/>
    <w:rsid w:val="000F5E4E"/>
    <w:rsid w:val="000F6064"/>
    <w:rsid w:val="000F72E7"/>
    <w:rsid w:val="000F7512"/>
    <w:rsid w:val="000F76B0"/>
    <w:rsid w:val="000F7851"/>
    <w:rsid w:val="000F7AC6"/>
    <w:rsid w:val="001007A1"/>
    <w:rsid w:val="001017FA"/>
    <w:rsid w:val="0010321E"/>
    <w:rsid w:val="001047BD"/>
    <w:rsid w:val="0010490A"/>
    <w:rsid w:val="00104E23"/>
    <w:rsid w:val="001058C8"/>
    <w:rsid w:val="00105B22"/>
    <w:rsid w:val="00105EFE"/>
    <w:rsid w:val="00106172"/>
    <w:rsid w:val="00106992"/>
    <w:rsid w:val="00107C62"/>
    <w:rsid w:val="00107E2C"/>
    <w:rsid w:val="00110114"/>
    <w:rsid w:val="001105F3"/>
    <w:rsid w:val="00111B0C"/>
    <w:rsid w:val="00112D9E"/>
    <w:rsid w:val="001151A5"/>
    <w:rsid w:val="001155AD"/>
    <w:rsid w:val="001161A4"/>
    <w:rsid w:val="001205FC"/>
    <w:rsid w:val="00120D6C"/>
    <w:rsid w:val="00121ACE"/>
    <w:rsid w:val="0012289C"/>
    <w:rsid w:val="001254C2"/>
    <w:rsid w:val="001256DF"/>
    <w:rsid w:val="001257EC"/>
    <w:rsid w:val="001320F9"/>
    <w:rsid w:val="00133D33"/>
    <w:rsid w:val="00134B15"/>
    <w:rsid w:val="00134D64"/>
    <w:rsid w:val="00134D71"/>
    <w:rsid w:val="00134E1D"/>
    <w:rsid w:val="00135A30"/>
    <w:rsid w:val="00135BDA"/>
    <w:rsid w:val="0013612C"/>
    <w:rsid w:val="00137FF6"/>
    <w:rsid w:val="00140093"/>
    <w:rsid w:val="001405E4"/>
    <w:rsid w:val="00140E58"/>
    <w:rsid w:val="00141650"/>
    <w:rsid w:val="001444A4"/>
    <w:rsid w:val="00144A3C"/>
    <w:rsid w:val="00145CE6"/>
    <w:rsid w:val="0014651F"/>
    <w:rsid w:val="00146A41"/>
    <w:rsid w:val="00153C8A"/>
    <w:rsid w:val="00153F2C"/>
    <w:rsid w:val="00155027"/>
    <w:rsid w:val="00155814"/>
    <w:rsid w:val="00156E56"/>
    <w:rsid w:val="00162A12"/>
    <w:rsid w:val="0016498F"/>
    <w:rsid w:val="001658DD"/>
    <w:rsid w:val="00166530"/>
    <w:rsid w:val="00170C18"/>
    <w:rsid w:val="00172335"/>
    <w:rsid w:val="001725A8"/>
    <w:rsid w:val="00172879"/>
    <w:rsid w:val="00173F7F"/>
    <w:rsid w:val="001748A6"/>
    <w:rsid w:val="00174A4D"/>
    <w:rsid w:val="00175B29"/>
    <w:rsid w:val="00176B18"/>
    <w:rsid w:val="00176BD7"/>
    <w:rsid w:val="00176DD8"/>
    <w:rsid w:val="0018154D"/>
    <w:rsid w:val="001827E4"/>
    <w:rsid w:val="00182F37"/>
    <w:rsid w:val="001832BD"/>
    <w:rsid w:val="00183863"/>
    <w:rsid w:val="001838BC"/>
    <w:rsid w:val="00184590"/>
    <w:rsid w:val="00184687"/>
    <w:rsid w:val="00184B1D"/>
    <w:rsid w:val="00185502"/>
    <w:rsid w:val="00185849"/>
    <w:rsid w:val="00186018"/>
    <w:rsid w:val="001870DC"/>
    <w:rsid w:val="001902A2"/>
    <w:rsid w:val="0019036A"/>
    <w:rsid w:val="00192964"/>
    <w:rsid w:val="00193CE7"/>
    <w:rsid w:val="001943B5"/>
    <w:rsid w:val="00195134"/>
    <w:rsid w:val="00197E61"/>
    <w:rsid w:val="001A002A"/>
    <w:rsid w:val="001A0B4D"/>
    <w:rsid w:val="001A0C78"/>
    <w:rsid w:val="001A10DA"/>
    <w:rsid w:val="001A145B"/>
    <w:rsid w:val="001A147C"/>
    <w:rsid w:val="001A1EE1"/>
    <w:rsid w:val="001A1FE6"/>
    <w:rsid w:val="001A2885"/>
    <w:rsid w:val="001A3148"/>
    <w:rsid w:val="001A3566"/>
    <w:rsid w:val="001A37C0"/>
    <w:rsid w:val="001A674C"/>
    <w:rsid w:val="001A6C84"/>
    <w:rsid w:val="001A7B82"/>
    <w:rsid w:val="001A7D19"/>
    <w:rsid w:val="001B0E25"/>
    <w:rsid w:val="001B2FD6"/>
    <w:rsid w:val="001B3796"/>
    <w:rsid w:val="001B3B24"/>
    <w:rsid w:val="001B4A68"/>
    <w:rsid w:val="001B6B0E"/>
    <w:rsid w:val="001C04E4"/>
    <w:rsid w:val="001C0F98"/>
    <w:rsid w:val="001C1B7C"/>
    <w:rsid w:val="001C2A42"/>
    <w:rsid w:val="001C3DF5"/>
    <w:rsid w:val="001C6CA4"/>
    <w:rsid w:val="001D0621"/>
    <w:rsid w:val="001D1171"/>
    <w:rsid w:val="001D1DF2"/>
    <w:rsid w:val="001D2369"/>
    <w:rsid w:val="001D2964"/>
    <w:rsid w:val="001D309E"/>
    <w:rsid w:val="001D3149"/>
    <w:rsid w:val="001D4B4E"/>
    <w:rsid w:val="001D63ED"/>
    <w:rsid w:val="001D7348"/>
    <w:rsid w:val="001E035B"/>
    <w:rsid w:val="001E0961"/>
    <w:rsid w:val="001E0FAB"/>
    <w:rsid w:val="001E2A65"/>
    <w:rsid w:val="001E3EAE"/>
    <w:rsid w:val="001E427E"/>
    <w:rsid w:val="001E54B3"/>
    <w:rsid w:val="001E598F"/>
    <w:rsid w:val="001E59E8"/>
    <w:rsid w:val="001E6825"/>
    <w:rsid w:val="001E6BDC"/>
    <w:rsid w:val="001E6F32"/>
    <w:rsid w:val="001E7B39"/>
    <w:rsid w:val="001F07A1"/>
    <w:rsid w:val="001F12D6"/>
    <w:rsid w:val="001F14F4"/>
    <w:rsid w:val="001F2145"/>
    <w:rsid w:val="001F6262"/>
    <w:rsid w:val="001F64CA"/>
    <w:rsid w:val="001F6745"/>
    <w:rsid w:val="001F67B0"/>
    <w:rsid w:val="001F6FAB"/>
    <w:rsid w:val="001F7B05"/>
    <w:rsid w:val="001F7B3D"/>
    <w:rsid w:val="00200518"/>
    <w:rsid w:val="0020095E"/>
    <w:rsid w:val="00205670"/>
    <w:rsid w:val="002057A5"/>
    <w:rsid w:val="00205F9F"/>
    <w:rsid w:val="002062E4"/>
    <w:rsid w:val="002064EC"/>
    <w:rsid w:val="00206C0F"/>
    <w:rsid w:val="00206CAE"/>
    <w:rsid w:val="0021013B"/>
    <w:rsid w:val="00210338"/>
    <w:rsid w:val="002107A2"/>
    <w:rsid w:val="002115FC"/>
    <w:rsid w:val="00211EA3"/>
    <w:rsid w:val="002124FC"/>
    <w:rsid w:val="00212FD3"/>
    <w:rsid w:val="002139D6"/>
    <w:rsid w:val="00213ACA"/>
    <w:rsid w:val="00214B75"/>
    <w:rsid w:val="00215BB8"/>
    <w:rsid w:val="0021703D"/>
    <w:rsid w:val="002171D2"/>
    <w:rsid w:val="00220EBC"/>
    <w:rsid w:val="0022109D"/>
    <w:rsid w:val="002229CC"/>
    <w:rsid w:val="0022335A"/>
    <w:rsid w:val="00223F17"/>
    <w:rsid w:val="0022449C"/>
    <w:rsid w:val="00224D59"/>
    <w:rsid w:val="00224F54"/>
    <w:rsid w:val="002261EE"/>
    <w:rsid w:val="0023054C"/>
    <w:rsid w:val="00230918"/>
    <w:rsid w:val="00230D00"/>
    <w:rsid w:val="00231DF7"/>
    <w:rsid w:val="00231FD1"/>
    <w:rsid w:val="002336A3"/>
    <w:rsid w:val="00233CF8"/>
    <w:rsid w:val="0023575D"/>
    <w:rsid w:val="0023694B"/>
    <w:rsid w:val="00236E4C"/>
    <w:rsid w:val="00237148"/>
    <w:rsid w:val="00241AC7"/>
    <w:rsid w:val="0024222D"/>
    <w:rsid w:val="0024243F"/>
    <w:rsid w:val="002438F4"/>
    <w:rsid w:val="00243A57"/>
    <w:rsid w:val="00244B0E"/>
    <w:rsid w:val="00244F6C"/>
    <w:rsid w:val="0024787C"/>
    <w:rsid w:val="002532C5"/>
    <w:rsid w:val="00254341"/>
    <w:rsid w:val="002563B9"/>
    <w:rsid w:val="00257AB3"/>
    <w:rsid w:val="00260C03"/>
    <w:rsid w:val="002611A5"/>
    <w:rsid w:val="00261F26"/>
    <w:rsid w:val="002620E8"/>
    <w:rsid w:val="002624F3"/>
    <w:rsid w:val="00264802"/>
    <w:rsid w:val="0026540E"/>
    <w:rsid w:val="00265C12"/>
    <w:rsid w:val="0026679C"/>
    <w:rsid w:val="00267638"/>
    <w:rsid w:val="0026795E"/>
    <w:rsid w:val="00271611"/>
    <w:rsid w:val="00271D29"/>
    <w:rsid w:val="00272376"/>
    <w:rsid w:val="0027279B"/>
    <w:rsid w:val="00272D61"/>
    <w:rsid w:val="0027341A"/>
    <w:rsid w:val="00274607"/>
    <w:rsid w:val="00275123"/>
    <w:rsid w:val="00277465"/>
    <w:rsid w:val="0028054C"/>
    <w:rsid w:val="00280D92"/>
    <w:rsid w:val="002811E5"/>
    <w:rsid w:val="00282240"/>
    <w:rsid w:val="00282925"/>
    <w:rsid w:val="0028378B"/>
    <w:rsid w:val="00284BDB"/>
    <w:rsid w:val="002851C9"/>
    <w:rsid w:val="00285EC2"/>
    <w:rsid w:val="00286A9B"/>
    <w:rsid w:val="002871EF"/>
    <w:rsid w:val="0029018F"/>
    <w:rsid w:val="00290FFC"/>
    <w:rsid w:val="00291681"/>
    <w:rsid w:val="0029190C"/>
    <w:rsid w:val="00292AD7"/>
    <w:rsid w:val="00293EE1"/>
    <w:rsid w:val="002948AD"/>
    <w:rsid w:val="0029509E"/>
    <w:rsid w:val="00296A73"/>
    <w:rsid w:val="002A01CC"/>
    <w:rsid w:val="002A0762"/>
    <w:rsid w:val="002A1448"/>
    <w:rsid w:val="002A160A"/>
    <w:rsid w:val="002A23D6"/>
    <w:rsid w:val="002A3902"/>
    <w:rsid w:val="002A3AE8"/>
    <w:rsid w:val="002A53F1"/>
    <w:rsid w:val="002A61B1"/>
    <w:rsid w:val="002A663C"/>
    <w:rsid w:val="002B244B"/>
    <w:rsid w:val="002B2C8D"/>
    <w:rsid w:val="002B2CD0"/>
    <w:rsid w:val="002B444B"/>
    <w:rsid w:val="002B4E7A"/>
    <w:rsid w:val="002B5887"/>
    <w:rsid w:val="002C087B"/>
    <w:rsid w:val="002C09EC"/>
    <w:rsid w:val="002C0E27"/>
    <w:rsid w:val="002C1206"/>
    <w:rsid w:val="002C2091"/>
    <w:rsid w:val="002C20EC"/>
    <w:rsid w:val="002C3040"/>
    <w:rsid w:val="002C3081"/>
    <w:rsid w:val="002C45BC"/>
    <w:rsid w:val="002C50D0"/>
    <w:rsid w:val="002C55D5"/>
    <w:rsid w:val="002C5842"/>
    <w:rsid w:val="002C7D43"/>
    <w:rsid w:val="002C7D92"/>
    <w:rsid w:val="002D022D"/>
    <w:rsid w:val="002D0281"/>
    <w:rsid w:val="002D0C36"/>
    <w:rsid w:val="002D15B9"/>
    <w:rsid w:val="002D27F7"/>
    <w:rsid w:val="002D57F3"/>
    <w:rsid w:val="002D6180"/>
    <w:rsid w:val="002D65A6"/>
    <w:rsid w:val="002D6CA2"/>
    <w:rsid w:val="002D6F65"/>
    <w:rsid w:val="002D7E59"/>
    <w:rsid w:val="002E150B"/>
    <w:rsid w:val="002E242B"/>
    <w:rsid w:val="002E2D15"/>
    <w:rsid w:val="002E33FE"/>
    <w:rsid w:val="002E40C7"/>
    <w:rsid w:val="002E4393"/>
    <w:rsid w:val="002E544B"/>
    <w:rsid w:val="002E5DCA"/>
    <w:rsid w:val="002E7E57"/>
    <w:rsid w:val="002F13CC"/>
    <w:rsid w:val="002F2AF7"/>
    <w:rsid w:val="002F33B6"/>
    <w:rsid w:val="002F399D"/>
    <w:rsid w:val="002F3B31"/>
    <w:rsid w:val="002F41BB"/>
    <w:rsid w:val="002F4956"/>
    <w:rsid w:val="002F4F76"/>
    <w:rsid w:val="002F567E"/>
    <w:rsid w:val="002F66EB"/>
    <w:rsid w:val="002F73AF"/>
    <w:rsid w:val="002F7E1C"/>
    <w:rsid w:val="003000B7"/>
    <w:rsid w:val="00300589"/>
    <w:rsid w:val="00301A75"/>
    <w:rsid w:val="00302ABC"/>
    <w:rsid w:val="00302B21"/>
    <w:rsid w:val="00302F70"/>
    <w:rsid w:val="0030336F"/>
    <w:rsid w:val="0030375E"/>
    <w:rsid w:val="00303EFD"/>
    <w:rsid w:val="0030445D"/>
    <w:rsid w:val="003061A2"/>
    <w:rsid w:val="003074F5"/>
    <w:rsid w:val="0030764E"/>
    <w:rsid w:val="0030776D"/>
    <w:rsid w:val="00307F8A"/>
    <w:rsid w:val="003103E5"/>
    <w:rsid w:val="0031079E"/>
    <w:rsid w:val="00310F12"/>
    <w:rsid w:val="00311137"/>
    <w:rsid w:val="00311794"/>
    <w:rsid w:val="003117B3"/>
    <w:rsid w:val="00311C94"/>
    <w:rsid w:val="00311D5B"/>
    <w:rsid w:val="00312A30"/>
    <w:rsid w:val="00312C52"/>
    <w:rsid w:val="00312EF8"/>
    <w:rsid w:val="00313952"/>
    <w:rsid w:val="00315928"/>
    <w:rsid w:val="003169AD"/>
    <w:rsid w:val="003179F5"/>
    <w:rsid w:val="00317BE8"/>
    <w:rsid w:val="00317DA5"/>
    <w:rsid w:val="00320F72"/>
    <w:rsid w:val="00321EDC"/>
    <w:rsid w:val="00322017"/>
    <w:rsid w:val="0032463E"/>
    <w:rsid w:val="00326224"/>
    <w:rsid w:val="00327A30"/>
    <w:rsid w:val="003306DC"/>
    <w:rsid w:val="0033132E"/>
    <w:rsid w:val="0033195B"/>
    <w:rsid w:val="00332DB0"/>
    <w:rsid w:val="00333BA4"/>
    <w:rsid w:val="0033423B"/>
    <w:rsid w:val="00336B19"/>
    <w:rsid w:val="00337EE4"/>
    <w:rsid w:val="00340F2B"/>
    <w:rsid w:val="00340FA2"/>
    <w:rsid w:val="00340FE2"/>
    <w:rsid w:val="00340FFD"/>
    <w:rsid w:val="00343DBF"/>
    <w:rsid w:val="00344DD9"/>
    <w:rsid w:val="0034527E"/>
    <w:rsid w:val="003452C5"/>
    <w:rsid w:val="0034544C"/>
    <w:rsid w:val="0034551D"/>
    <w:rsid w:val="00345989"/>
    <w:rsid w:val="003474F9"/>
    <w:rsid w:val="003506B1"/>
    <w:rsid w:val="00350E2C"/>
    <w:rsid w:val="0035113C"/>
    <w:rsid w:val="00351D04"/>
    <w:rsid w:val="003521AF"/>
    <w:rsid w:val="00352218"/>
    <w:rsid w:val="00352250"/>
    <w:rsid w:val="003529CD"/>
    <w:rsid w:val="00353E62"/>
    <w:rsid w:val="0035443C"/>
    <w:rsid w:val="003546B0"/>
    <w:rsid w:val="00355933"/>
    <w:rsid w:val="00356AC7"/>
    <w:rsid w:val="0036031F"/>
    <w:rsid w:val="003609FA"/>
    <w:rsid w:val="00361126"/>
    <w:rsid w:val="0036145A"/>
    <w:rsid w:val="00363D6B"/>
    <w:rsid w:val="00367C1B"/>
    <w:rsid w:val="003710C8"/>
    <w:rsid w:val="00371B9F"/>
    <w:rsid w:val="0037246B"/>
    <w:rsid w:val="0037262D"/>
    <w:rsid w:val="0037412D"/>
    <w:rsid w:val="00374CB0"/>
    <w:rsid w:val="003750BE"/>
    <w:rsid w:val="003753DA"/>
    <w:rsid w:val="00375920"/>
    <w:rsid w:val="00381FFD"/>
    <w:rsid w:val="00382C6F"/>
    <w:rsid w:val="00383294"/>
    <w:rsid w:val="003834E6"/>
    <w:rsid w:val="003868B6"/>
    <w:rsid w:val="00387B9D"/>
    <w:rsid w:val="0039364F"/>
    <w:rsid w:val="0039394B"/>
    <w:rsid w:val="003962AE"/>
    <w:rsid w:val="00396429"/>
    <w:rsid w:val="00396686"/>
    <w:rsid w:val="0039778E"/>
    <w:rsid w:val="00397A8F"/>
    <w:rsid w:val="00397E49"/>
    <w:rsid w:val="003A0519"/>
    <w:rsid w:val="003A465E"/>
    <w:rsid w:val="003B04FD"/>
    <w:rsid w:val="003B0883"/>
    <w:rsid w:val="003B10BC"/>
    <w:rsid w:val="003B123D"/>
    <w:rsid w:val="003B18BD"/>
    <w:rsid w:val="003B3ECD"/>
    <w:rsid w:val="003B4941"/>
    <w:rsid w:val="003B4A4A"/>
    <w:rsid w:val="003B59DF"/>
    <w:rsid w:val="003B797D"/>
    <w:rsid w:val="003B7ACF"/>
    <w:rsid w:val="003C1A4A"/>
    <w:rsid w:val="003C2AAC"/>
    <w:rsid w:val="003C2D87"/>
    <w:rsid w:val="003C2EE8"/>
    <w:rsid w:val="003C38F7"/>
    <w:rsid w:val="003C3D2D"/>
    <w:rsid w:val="003C3F63"/>
    <w:rsid w:val="003C52F5"/>
    <w:rsid w:val="003C553F"/>
    <w:rsid w:val="003C5714"/>
    <w:rsid w:val="003C6169"/>
    <w:rsid w:val="003C6B9F"/>
    <w:rsid w:val="003C6E2A"/>
    <w:rsid w:val="003C7098"/>
    <w:rsid w:val="003D01D5"/>
    <w:rsid w:val="003D0299"/>
    <w:rsid w:val="003D32FE"/>
    <w:rsid w:val="003D3B7F"/>
    <w:rsid w:val="003D4847"/>
    <w:rsid w:val="003D4DD0"/>
    <w:rsid w:val="003D58C0"/>
    <w:rsid w:val="003D5FA6"/>
    <w:rsid w:val="003D70D1"/>
    <w:rsid w:val="003D7C8C"/>
    <w:rsid w:val="003E0E2D"/>
    <w:rsid w:val="003E1990"/>
    <w:rsid w:val="003E3A6E"/>
    <w:rsid w:val="003E4027"/>
    <w:rsid w:val="003E5293"/>
    <w:rsid w:val="003E56BE"/>
    <w:rsid w:val="003E7286"/>
    <w:rsid w:val="003E72B9"/>
    <w:rsid w:val="003E7ADB"/>
    <w:rsid w:val="003F05FA"/>
    <w:rsid w:val="003F1140"/>
    <w:rsid w:val="003F1ABD"/>
    <w:rsid w:val="003F1B75"/>
    <w:rsid w:val="003F1DEF"/>
    <w:rsid w:val="003F2312"/>
    <w:rsid w:val="003F244A"/>
    <w:rsid w:val="003F30B8"/>
    <w:rsid w:val="003F44CC"/>
    <w:rsid w:val="003F4C45"/>
    <w:rsid w:val="003F55B3"/>
    <w:rsid w:val="003F5F7B"/>
    <w:rsid w:val="003F71FA"/>
    <w:rsid w:val="003F72A0"/>
    <w:rsid w:val="003F7CB5"/>
    <w:rsid w:val="003F7D64"/>
    <w:rsid w:val="003F7E80"/>
    <w:rsid w:val="0040207D"/>
    <w:rsid w:val="004023FA"/>
    <w:rsid w:val="00402841"/>
    <w:rsid w:val="00403714"/>
    <w:rsid w:val="00403F8F"/>
    <w:rsid w:val="004051D9"/>
    <w:rsid w:val="00406BD3"/>
    <w:rsid w:val="00406E8D"/>
    <w:rsid w:val="00411382"/>
    <w:rsid w:val="004138F1"/>
    <w:rsid w:val="00413F99"/>
    <w:rsid w:val="00414012"/>
    <w:rsid w:val="004140AD"/>
    <w:rsid w:val="00414300"/>
    <w:rsid w:val="00415058"/>
    <w:rsid w:val="0041524A"/>
    <w:rsid w:val="00415FC1"/>
    <w:rsid w:val="0042011F"/>
    <w:rsid w:val="00422571"/>
    <w:rsid w:val="004226F9"/>
    <w:rsid w:val="00422B17"/>
    <w:rsid w:val="00423DD8"/>
    <w:rsid w:val="00424C2A"/>
    <w:rsid w:val="00425BB3"/>
    <w:rsid w:val="00425C67"/>
    <w:rsid w:val="004261B9"/>
    <w:rsid w:val="00427E7A"/>
    <w:rsid w:val="00430BB6"/>
    <w:rsid w:val="00432274"/>
    <w:rsid w:val="004324AB"/>
    <w:rsid w:val="004329EC"/>
    <w:rsid w:val="0043481B"/>
    <w:rsid w:val="0043495F"/>
    <w:rsid w:val="00435413"/>
    <w:rsid w:val="004362D7"/>
    <w:rsid w:val="00436C49"/>
    <w:rsid w:val="00440447"/>
    <w:rsid w:val="00440922"/>
    <w:rsid w:val="0044102E"/>
    <w:rsid w:val="0044622B"/>
    <w:rsid w:val="004476B6"/>
    <w:rsid w:val="00447F21"/>
    <w:rsid w:val="00447F34"/>
    <w:rsid w:val="00447F5B"/>
    <w:rsid w:val="004502FA"/>
    <w:rsid w:val="0045181B"/>
    <w:rsid w:val="00451965"/>
    <w:rsid w:val="00451FEB"/>
    <w:rsid w:val="004523BB"/>
    <w:rsid w:val="004545BA"/>
    <w:rsid w:val="004546A4"/>
    <w:rsid w:val="004558DD"/>
    <w:rsid w:val="00457BF3"/>
    <w:rsid w:val="004601AB"/>
    <w:rsid w:val="00461DB0"/>
    <w:rsid w:val="00462410"/>
    <w:rsid w:val="00463926"/>
    <w:rsid w:val="00463C5B"/>
    <w:rsid w:val="00463F9F"/>
    <w:rsid w:val="00464C9A"/>
    <w:rsid w:val="0046527D"/>
    <w:rsid w:val="004652BD"/>
    <w:rsid w:val="00466C23"/>
    <w:rsid w:val="00466C81"/>
    <w:rsid w:val="0047012D"/>
    <w:rsid w:val="00470B45"/>
    <w:rsid w:val="0047273F"/>
    <w:rsid w:val="00472A96"/>
    <w:rsid w:val="00472EA0"/>
    <w:rsid w:val="00473A6D"/>
    <w:rsid w:val="004743E9"/>
    <w:rsid w:val="00474F3D"/>
    <w:rsid w:val="00475379"/>
    <w:rsid w:val="004762F8"/>
    <w:rsid w:val="00476616"/>
    <w:rsid w:val="00477E3A"/>
    <w:rsid w:val="00477FDC"/>
    <w:rsid w:val="00483BE8"/>
    <w:rsid w:val="00483E5F"/>
    <w:rsid w:val="00485150"/>
    <w:rsid w:val="0048519B"/>
    <w:rsid w:val="0048574F"/>
    <w:rsid w:val="00485FF9"/>
    <w:rsid w:val="00486565"/>
    <w:rsid w:val="00486B03"/>
    <w:rsid w:val="00487F42"/>
    <w:rsid w:val="00490638"/>
    <w:rsid w:val="004907F0"/>
    <w:rsid w:val="0049140B"/>
    <w:rsid w:val="0049236F"/>
    <w:rsid w:val="004923A5"/>
    <w:rsid w:val="00494DD8"/>
    <w:rsid w:val="004964B1"/>
    <w:rsid w:val="00496BFB"/>
    <w:rsid w:val="00497265"/>
    <w:rsid w:val="004A0CB0"/>
    <w:rsid w:val="004A15C7"/>
    <w:rsid w:val="004A5F35"/>
    <w:rsid w:val="004A72ED"/>
    <w:rsid w:val="004A735F"/>
    <w:rsid w:val="004A766C"/>
    <w:rsid w:val="004B013B"/>
    <w:rsid w:val="004B112B"/>
    <w:rsid w:val="004B28D4"/>
    <w:rsid w:val="004B2A5A"/>
    <w:rsid w:val="004B4180"/>
    <w:rsid w:val="004B45AE"/>
    <w:rsid w:val="004B5DE6"/>
    <w:rsid w:val="004B7099"/>
    <w:rsid w:val="004B73D6"/>
    <w:rsid w:val="004B78AC"/>
    <w:rsid w:val="004B7C1A"/>
    <w:rsid w:val="004B7D05"/>
    <w:rsid w:val="004C011E"/>
    <w:rsid w:val="004C01E4"/>
    <w:rsid w:val="004C086C"/>
    <w:rsid w:val="004C0FEA"/>
    <w:rsid w:val="004C1F11"/>
    <w:rsid w:val="004C1F56"/>
    <w:rsid w:val="004C27BC"/>
    <w:rsid w:val="004C36C6"/>
    <w:rsid w:val="004C49BC"/>
    <w:rsid w:val="004C4B5B"/>
    <w:rsid w:val="004C529A"/>
    <w:rsid w:val="004C6219"/>
    <w:rsid w:val="004D034C"/>
    <w:rsid w:val="004D1062"/>
    <w:rsid w:val="004D1177"/>
    <w:rsid w:val="004D1303"/>
    <w:rsid w:val="004D15F3"/>
    <w:rsid w:val="004D2930"/>
    <w:rsid w:val="004D29DC"/>
    <w:rsid w:val="004D2E54"/>
    <w:rsid w:val="004D3AAC"/>
    <w:rsid w:val="004D5311"/>
    <w:rsid w:val="004D5DCC"/>
    <w:rsid w:val="004E3386"/>
    <w:rsid w:val="004E55C2"/>
    <w:rsid w:val="004F10AF"/>
    <w:rsid w:val="004F11A4"/>
    <w:rsid w:val="004F1F2B"/>
    <w:rsid w:val="004F2389"/>
    <w:rsid w:val="004F304D"/>
    <w:rsid w:val="004F327F"/>
    <w:rsid w:val="004F61BE"/>
    <w:rsid w:val="004F66B1"/>
    <w:rsid w:val="004F73FE"/>
    <w:rsid w:val="00500195"/>
    <w:rsid w:val="00500C36"/>
    <w:rsid w:val="005013AF"/>
    <w:rsid w:val="0050205E"/>
    <w:rsid w:val="00502947"/>
    <w:rsid w:val="00502C0D"/>
    <w:rsid w:val="005059B0"/>
    <w:rsid w:val="0051019F"/>
    <w:rsid w:val="0051045B"/>
    <w:rsid w:val="00510FCD"/>
    <w:rsid w:val="00511C07"/>
    <w:rsid w:val="00511D23"/>
    <w:rsid w:val="00512D87"/>
    <w:rsid w:val="005159DE"/>
    <w:rsid w:val="00516707"/>
    <w:rsid w:val="005173A6"/>
    <w:rsid w:val="00520BAA"/>
    <w:rsid w:val="00520D71"/>
    <w:rsid w:val="00521263"/>
    <w:rsid w:val="0052292B"/>
    <w:rsid w:val="00523420"/>
    <w:rsid w:val="00523A77"/>
    <w:rsid w:val="00524497"/>
    <w:rsid w:val="00525208"/>
    <w:rsid w:val="005257A5"/>
    <w:rsid w:val="005264C0"/>
    <w:rsid w:val="00526A8A"/>
    <w:rsid w:val="00527D04"/>
    <w:rsid w:val="00530563"/>
    <w:rsid w:val="00530E91"/>
    <w:rsid w:val="00531DF2"/>
    <w:rsid w:val="00532429"/>
    <w:rsid w:val="005356FD"/>
    <w:rsid w:val="00536387"/>
    <w:rsid w:val="00536A80"/>
    <w:rsid w:val="00537E3B"/>
    <w:rsid w:val="00540167"/>
    <w:rsid w:val="005431B8"/>
    <w:rsid w:val="005442EE"/>
    <w:rsid w:val="005454B6"/>
    <w:rsid w:val="0054573F"/>
    <w:rsid w:val="005463E9"/>
    <w:rsid w:val="00547353"/>
    <w:rsid w:val="005474E7"/>
    <w:rsid w:val="00547F51"/>
    <w:rsid w:val="005512A3"/>
    <w:rsid w:val="0055167C"/>
    <w:rsid w:val="00551976"/>
    <w:rsid w:val="005521A0"/>
    <w:rsid w:val="0055297D"/>
    <w:rsid w:val="00556AF9"/>
    <w:rsid w:val="005578CE"/>
    <w:rsid w:val="00557DCC"/>
    <w:rsid w:val="00557E94"/>
    <w:rsid w:val="00561D51"/>
    <w:rsid w:val="00562685"/>
    <w:rsid w:val="00562781"/>
    <w:rsid w:val="0056318E"/>
    <w:rsid w:val="0056430E"/>
    <w:rsid w:val="00564BD9"/>
    <w:rsid w:val="0056586E"/>
    <w:rsid w:val="005665FE"/>
    <w:rsid w:val="00570B07"/>
    <w:rsid w:val="00571918"/>
    <w:rsid w:val="00571D37"/>
    <w:rsid w:val="00572845"/>
    <w:rsid w:val="0057386B"/>
    <w:rsid w:val="00573954"/>
    <w:rsid w:val="00573D14"/>
    <w:rsid w:val="005745A9"/>
    <w:rsid w:val="00574E69"/>
    <w:rsid w:val="00575CD1"/>
    <w:rsid w:val="005761AA"/>
    <w:rsid w:val="005761B9"/>
    <w:rsid w:val="005764D3"/>
    <w:rsid w:val="00580694"/>
    <w:rsid w:val="0058131D"/>
    <w:rsid w:val="00581C51"/>
    <w:rsid w:val="00582190"/>
    <w:rsid w:val="0058274A"/>
    <w:rsid w:val="00585292"/>
    <w:rsid w:val="00586752"/>
    <w:rsid w:val="0058706D"/>
    <w:rsid w:val="005900C0"/>
    <w:rsid w:val="005916A5"/>
    <w:rsid w:val="00592719"/>
    <w:rsid w:val="00592772"/>
    <w:rsid w:val="00592944"/>
    <w:rsid w:val="00592B86"/>
    <w:rsid w:val="005940FD"/>
    <w:rsid w:val="005942C5"/>
    <w:rsid w:val="0059574A"/>
    <w:rsid w:val="00595A25"/>
    <w:rsid w:val="005966E2"/>
    <w:rsid w:val="00597BC0"/>
    <w:rsid w:val="00597DD8"/>
    <w:rsid w:val="005A1299"/>
    <w:rsid w:val="005A1B9B"/>
    <w:rsid w:val="005A1CF1"/>
    <w:rsid w:val="005A455A"/>
    <w:rsid w:val="005A4B56"/>
    <w:rsid w:val="005A59B0"/>
    <w:rsid w:val="005A60C1"/>
    <w:rsid w:val="005A6751"/>
    <w:rsid w:val="005B092E"/>
    <w:rsid w:val="005B152C"/>
    <w:rsid w:val="005B1EE0"/>
    <w:rsid w:val="005B201D"/>
    <w:rsid w:val="005B2B24"/>
    <w:rsid w:val="005B33E7"/>
    <w:rsid w:val="005B4425"/>
    <w:rsid w:val="005B4B94"/>
    <w:rsid w:val="005B504E"/>
    <w:rsid w:val="005C156B"/>
    <w:rsid w:val="005C1E76"/>
    <w:rsid w:val="005C1FCA"/>
    <w:rsid w:val="005C22B2"/>
    <w:rsid w:val="005C3EE8"/>
    <w:rsid w:val="005C527C"/>
    <w:rsid w:val="005D09AE"/>
    <w:rsid w:val="005D1D51"/>
    <w:rsid w:val="005D2B95"/>
    <w:rsid w:val="005D34F9"/>
    <w:rsid w:val="005D4190"/>
    <w:rsid w:val="005D57D0"/>
    <w:rsid w:val="005D5C2D"/>
    <w:rsid w:val="005D6245"/>
    <w:rsid w:val="005D64C4"/>
    <w:rsid w:val="005D67A3"/>
    <w:rsid w:val="005D6A65"/>
    <w:rsid w:val="005E0D42"/>
    <w:rsid w:val="005E0F6C"/>
    <w:rsid w:val="005E2516"/>
    <w:rsid w:val="005E254F"/>
    <w:rsid w:val="005E2988"/>
    <w:rsid w:val="005E3085"/>
    <w:rsid w:val="005E6D7E"/>
    <w:rsid w:val="005E6E05"/>
    <w:rsid w:val="005E7ED0"/>
    <w:rsid w:val="005E7F7F"/>
    <w:rsid w:val="005F028C"/>
    <w:rsid w:val="005F1474"/>
    <w:rsid w:val="005F3470"/>
    <w:rsid w:val="005F4F9E"/>
    <w:rsid w:val="005F51E1"/>
    <w:rsid w:val="006019EB"/>
    <w:rsid w:val="00601BE2"/>
    <w:rsid w:val="00601D12"/>
    <w:rsid w:val="00602074"/>
    <w:rsid w:val="006023AA"/>
    <w:rsid w:val="00603D84"/>
    <w:rsid w:val="00604282"/>
    <w:rsid w:val="006054A6"/>
    <w:rsid w:val="006057E5"/>
    <w:rsid w:val="0060606E"/>
    <w:rsid w:val="00606D18"/>
    <w:rsid w:val="006078FE"/>
    <w:rsid w:val="00611C22"/>
    <w:rsid w:val="00611C80"/>
    <w:rsid w:val="006148DD"/>
    <w:rsid w:val="00614A20"/>
    <w:rsid w:val="00615E62"/>
    <w:rsid w:val="00616D99"/>
    <w:rsid w:val="00617F87"/>
    <w:rsid w:val="00620692"/>
    <w:rsid w:val="00620C6D"/>
    <w:rsid w:val="006242CA"/>
    <w:rsid w:val="0062488C"/>
    <w:rsid w:val="00627507"/>
    <w:rsid w:val="00630EAD"/>
    <w:rsid w:val="00630F20"/>
    <w:rsid w:val="00631D12"/>
    <w:rsid w:val="00631DAD"/>
    <w:rsid w:val="006328D0"/>
    <w:rsid w:val="00632FAE"/>
    <w:rsid w:val="00633717"/>
    <w:rsid w:val="006344E1"/>
    <w:rsid w:val="0063461F"/>
    <w:rsid w:val="00634D02"/>
    <w:rsid w:val="00634D45"/>
    <w:rsid w:val="006355D3"/>
    <w:rsid w:val="0063582A"/>
    <w:rsid w:val="00635FB8"/>
    <w:rsid w:val="0063787D"/>
    <w:rsid w:val="006379DD"/>
    <w:rsid w:val="00637D4A"/>
    <w:rsid w:val="00637DBF"/>
    <w:rsid w:val="00640A53"/>
    <w:rsid w:val="006412DB"/>
    <w:rsid w:val="00642967"/>
    <w:rsid w:val="006434D2"/>
    <w:rsid w:val="0064561B"/>
    <w:rsid w:val="00646748"/>
    <w:rsid w:val="00650764"/>
    <w:rsid w:val="00650AB6"/>
    <w:rsid w:val="00653061"/>
    <w:rsid w:val="006545C4"/>
    <w:rsid w:val="0065710F"/>
    <w:rsid w:val="00657175"/>
    <w:rsid w:val="00657EFC"/>
    <w:rsid w:val="006601B0"/>
    <w:rsid w:val="0066047A"/>
    <w:rsid w:val="00661971"/>
    <w:rsid w:val="00661CE8"/>
    <w:rsid w:val="006620C6"/>
    <w:rsid w:val="006623D9"/>
    <w:rsid w:val="00663605"/>
    <w:rsid w:val="00664451"/>
    <w:rsid w:val="00664794"/>
    <w:rsid w:val="006648ED"/>
    <w:rsid w:val="0066550C"/>
    <w:rsid w:val="00665E4E"/>
    <w:rsid w:val="00665FB4"/>
    <w:rsid w:val="006668C2"/>
    <w:rsid w:val="006716F2"/>
    <w:rsid w:val="00671913"/>
    <w:rsid w:val="00671DFB"/>
    <w:rsid w:val="0067399C"/>
    <w:rsid w:val="006745E1"/>
    <w:rsid w:val="00674D79"/>
    <w:rsid w:val="00675CB8"/>
    <w:rsid w:val="006762AC"/>
    <w:rsid w:val="006762BC"/>
    <w:rsid w:val="00676622"/>
    <w:rsid w:val="006766B4"/>
    <w:rsid w:val="00676871"/>
    <w:rsid w:val="00682BF2"/>
    <w:rsid w:val="006837A2"/>
    <w:rsid w:val="00683E5F"/>
    <w:rsid w:val="00683F0D"/>
    <w:rsid w:val="0068430C"/>
    <w:rsid w:val="006844C7"/>
    <w:rsid w:val="00684578"/>
    <w:rsid w:val="00684F43"/>
    <w:rsid w:val="006859CE"/>
    <w:rsid w:val="006879E9"/>
    <w:rsid w:val="00691270"/>
    <w:rsid w:val="006923EF"/>
    <w:rsid w:val="00694BA8"/>
    <w:rsid w:val="00695843"/>
    <w:rsid w:val="00695E6E"/>
    <w:rsid w:val="00696805"/>
    <w:rsid w:val="00696C58"/>
    <w:rsid w:val="006A037C"/>
    <w:rsid w:val="006A0F24"/>
    <w:rsid w:val="006A1477"/>
    <w:rsid w:val="006A214D"/>
    <w:rsid w:val="006A36F4"/>
    <w:rsid w:val="006A38E1"/>
    <w:rsid w:val="006A406F"/>
    <w:rsid w:val="006A5022"/>
    <w:rsid w:val="006A5D3A"/>
    <w:rsid w:val="006A659B"/>
    <w:rsid w:val="006B0627"/>
    <w:rsid w:val="006B2294"/>
    <w:rsid w:val="006B26E3"/>
    <w:rsid w:val="006B2E6C"/>
    <w:rsid w:val="006B442C"/>
    <w:rsid w:val="006B44D5"/>
    <w:rsid w:val="006B45D1"/>
    <w:rsid w:val="006B4B40"/>
    <w:rsid w:val="006B54D5"/>
    <w:rsid w:val="006B5B56"/>
    <w:rsid w:val="006B62A5"/>
    <w:rsid w:val="006B6D07"/>
    <w:rsid w:val="006B715C"/>
    <w:rsid w:val="006B7E09"/>
    <w:rsid w:val="006B7E4D"/>
    <w:rsid w:val="006B7EA1"/>
    <w:rsid w:val="006C0856"/>
    <w:rsid w:val="006C0893"/>
    <w:rsid w:val="006C1A1F"/>
    <w:rsid w:val="006C1FE1"/>
    <w:rsid w:val="006C23D4"/>
    <w:rsid w:val="006C2FF4"/>
    <w:rsid w:val="006C4A9F"/>
    <w:rsid w:val="006C7BB0"/>
    <w:rsid w:val="006D2C5E"/>
    <w:rsid w:val="006D3237"/>
    <w:rsid w:val="006D3F7F"/>
    <w:rsid w:val="006D40C1"/>
    <w:rsid w:val="006D5157"/>
    <w:rsid w:val="006D77EC"/>
    <w:rsid w:val="006E00B9"/>
    <w:rsid w:val="006E0A6D"/>
    <w:rsid w:val="006E12A0"/>
    <w:rsid w:val="006E2D42"/>
    <w:rsid w:val="006E2E37"/>
    <w:rsid w:val="006E3CF1"/>
    <w:rsid w:val="006E480D"/>
    <w:rsid w:val="006E4FB6"/>
    <w:rsid w:val="006E5928"/>
    <w:rsid w:val="006E7E80"/>
    <w:rsid w:val="006E7F7A"/>
    <w:rsid w:val="006F11F8"/>
    <w:rsid w:val="006F13BA"/>
    <w:rsid w:val="006F1502"/>
    <w:rsid w:val="006F2D63"/>
    <w:rsid w:val="006F48CA"/>
    <w:rsid w:val="006F5E1D"/>
    <w:rsid w:val="006F64DD"/>
    <w:rsid w:val="006F6ADB"/>
    <w:rsid w:val="006F7F89"/>
    <w:rsid w:val="00702352"/>
    <w:rsid w:val="00703B09"/>
    <w:rsid w:val="00703B9C"/>
    <w:rsid w:val="00706D34"/>
    <w:rsid w:val="0071024C"/>
    <w:rsid w:val="00710C3A"/>
    <w:rsid w:val="00711FF3"/>
    <w:rsid w:val="007124B2"/>
    <w:rsid w:val="007142E9"/>
    <w:rsid w:val="00715127"/>
    <w:rsid w:val="0071560A"/>
    <w:rsid w:val="00715E8E"/>
    <w:rsid w:val="00715EDB"/>
    <w:rsid w:val="00717D43"/>
    <w:rsid w:val="00717D9D"/>
    <w:rsid w:val="00721748"/>
    <w:rsid w:val="00722783"/>
    <w:rsid w:val="00723580"/>
    <w:rsid w:val="00723755"/>
    <w:rsid w:val="00724FFA"/>
    <w:rsid w:val="00725804"/>
    <w:rsid w:val="00727814"/>
    <w:rsid w:val="0073136C"/>
    <w:rsid w:val="00731F0F"/>
    <w:rsid w:val="0073210F"/>
    <w:rsid w:val="00732378"/>
    <w:rsid w:val="00732B1A"/>
    <w:rsid w:val="00733250"/>
    <w:rsid w:val="0073341C"/>
    <w:rsid w:val="007348DA"/>
    <w:rsid w:val="00735796"/>
    <w:rsid w:val="007366EE"/>
    <w:rsid w:val="00736CDD"/>
    <w:rsid w:val="00736D40"/>
    <w:rsid w:val="00736DE8"/>
    <w:rsid w:val="00737D69"/>
    <w:rsid w:val="0074031A"/>
    <w:rsid w:val="00741404"/>
    <w:rsid w:val="00741F7D"/>
    <w:rsid w:val="0074203B"/>
    <w:rsid w:val="00742DAB"/>
    <w:rsid w:val="00743207"/>
    <w:rsid w:val="00744941"/>
    <w:rsid w:val="007449E5"/>
    <w:rsid w:val="007461FA"/>
    <w:rsid w:val="00746DA8"/>
    <w:rsid w:val="007473A2"/>
    <w:rsid w:val="0074790E"/>
    <w:rsid w:val="00747E9D"/>
    <w:rsid w:val="00747FF0"/>
    <w:rsid w:val="0075207F"/>
    <w:rsid w:val="007536B8"/>
    <w:rsid w:val="0075496F"/>
    <w:rsid w:val="007560D1"/>
    <w:rsid w:val="00757E39"/>
    <w:rsid w:val="007607FF"/>
    <w:rsid w:val="00761CAC"/>
    <w:rsid w:val="007646F6"/>
    <w:rsid w:val="00764D4E"/>
    <w:rsid w:val="00765069"/>
    <w:rsid w:val="007651BC"/>
    <w:rsid w:val="007652B9"/>
    <w:rsid w:val="00765A1F"/>
    <w:rsid w:val="00765CD3"/>
    <w:rsid w:val="007664DC"/>
    <w:rsid w:val="00767A9C"/>
    <w:rsid w:val="00771BBB"/>
    <w:rsid w:val="0077267D"/>
    <w:rsid w:val="007733D0"/>
    <w:rsid w:val="00773688"/>
    <w:rsid w:val="007754FF"/>
    <w:rsid w:val="00775B6D"/>
    <w:rsid w:val="00776367"/>
    <w:rsid w:val="007764C1"/>
    <w:rsid w:val="00776D68"/>
    <w:rsid w:val="00777CDC"/>
    <w:rsid w:val="0078077F"/>
    <w:rsid w:val="00781B2C"/>
    <w:rsid w:val="00783D31"/>
    <w:rsid w:val="007850EE"/>
    <w:rsid w:val="00785778"/>
    <w:rsid w:val="00785B95"/>
    <w:rsid w:val="007863E4"/>
    <w:rsid w:val="0078714B"/>
    <w:rsid w:val="00787277"/>
    <w:rsid w:val="007874E2"/>
    <w:rsid w:val="00787972"/>
    <w:rsid w:val="00790421"/>
    <w:rsid w:val="00790803"/>
    <w:rsid w:val="00790836"/>
    <w:rsid w:val="00790DF6"/>
    <w:rsid w:val="00790E96"/>
    <w:rsid w:val="00791233"/>
    <w:rsid w:val="0079186C"/>
    <w:rsid w:val="0079279F"/>
    <w:rsid w:val="00793366"/>
    <w:rsid w:val="00794389"/>
    <w:rsid w:val="00794E2C"/>
    <w:rsid w:val="00795A21"/>
    <w:rsid w:val="007960FB"/>
    <w:rsid w:val="00796DF8"/>
    <w:rsid w:val="00797405"/>
    <w:rsid w:val="007A24D2"/>
    <w:rsid w:val="007A2664"/>
    <w:rsid w:val="007A3755"/>
    <w:rsid w:val="007A4038"/>
    <w:rsid w:val="007A59AD"/>
    <w:rsid w:val="007A6D19"/>
    <w:rsid w:val="007A716F"/>
    <w:rsid w:val="007B0B56"/>
    <w:rsid w:val="007B270A"/>
    <w:rsid w:val="007B3D0F"/>
    <w:rsid w:val="007B5683"/>
    <w:rsid w:val="007B59FA"/>
    <w:rsid w:val="007B5C13"/>
    <w:rsid w:val="007B5DB8"/>
    <w:rsid w:val="007B67CE"/>
    <w:rsid w:val="007B72F2"/>
    <w:rsid w:val="007C0695"/>
    <w:rsid w:val="007C3401"/>
    <w:rsid w:val="007C3863"/>
    <w:rsid w:val="007C419A"/>
    <w:rsid w:val="007C4CC8"/>
    <w:rsid w:val="007C53A1"/>
    <w:rsid w:val="007C5426"/>
    <w:rsid w:val="007C5714"/>
    <w:rsid w:val="007C5798"/>
    <w:rsid w:val="007C6DA9"/>
    <w:rsid w:val="007C7AF4"/>
    <w:rsid w:val="007D239B"/>
    <w:rsid w:val="007D4832"/>
    <w:rsid w:val="007D4D1F"/>
    <w:rsid w:val="007D501C"/>
    <w:rsid w:val="007D62CF"/>
    <w:rsid w:val="007D6E82"/>
    <w:rsid w:val="007D7383"/>
    <w:rsid w:val="007E02B0"/>
    <w:rsid w:val="007E14CE"/>
    <w:rsid w:val="007E21B2"/>
    <w:rsid w:val="007E2C4E"/>
    <w:rsid w:val="007E5940"/>
    <w:rsid w:val="007E5C25"/>
    <w:rsid w:val="007E66D9"/>
    <w:rsid w:val="007F13CA"/>
    <w:rsid w:val="007F1889"/>
    <w:rsid w:val="007F1905"/>
    <w:rsid w:val="007F1C76"/>
    <w:rsid w:val="007F4837"/>
    <w:rsid w:val="007F5D14"/>
    <w:rsid w:val="007F7004"/>
    <w:rsid w:val="007F7107"/>
    <w:rsid w:val="007F7DFC"/>
    <w:rsid w:val="0080109D"/>
    <w:rsid w:val="00801233"/>
    <w:rsid w:val="00801470"/>
    <w:rsid w:val="00802C64"/>
    <w:rsid w:val="0080319E"/>
    <w:rsid w:val="0080398C"/>
    <w:rsid w:val="008041BC"/>
    <w:rsid w:val="00805E4D"/>
    <w:rsid w:val="00805E52"/>
    <w:rsid w:val="00805F45"/>
    <w:rsid w:val="008061D0"/>
    <w:rsid w:val="00806A91"/>
    <w:rsid w:val="008078C5"/>
    <w:rsid w:val="008102B0"/>
    <w:rsid w:val="00810B38"/>
    <w:rsid w:val="0081138A"/>
    <w:rsid w:val="008128CD"/>
    <w:rsid w:val="00814C6A"/>
    <w:rsid w:val="00816A5A"/>
    <w:rsid w:val="008171C7"/>
    <w:rsid w:val="008204C7"/>
    <w:rsid w:val="0082072F"/>
    <w:rsid w:val="00820992"/>
    <w:rsid w:val="00821B2C"/>
    <w:rsid w:val="00822534"/>
    <w:rsid w:val="0082265C"/>
    <w:rsid w:val="00823602"/>
    <w:rsid w:val="00823CAD"/>
    <w:rsid w:val="00824BCF"/>
    <w:rsid w:val="008255F5"/>
    <w:rsid w:val="0082588E"/>
    <w:rsid w:val="008276A0"/>
    <w:rsid w:val="008276B9"/>
    <w:rsid w:val="0083014E"/>
    <w:rsid w:val="0083058F"/>
    <w:rsid w:val="00831084"/>
    <w:rsid w:val="00831EAC"/>
    <w:rsid w:val="0083214A"/>
    <w:rsid w:val="00832232"/>
    <w:rsid w:val="008323F9"/>
    <w:rsid w:val="00832738"/>
    <w:rsid w:val="0083360D"/>
    <w:rsid w:val="00834220"/>
    <w:rsid w:val="008358F9"/>
    <w:rsid w:val="00835CA9"/>
    <w:rsid w:val="00835D9E"/>
    <w:rsid w:val="0083600C"/>
    <w:rsid w:val="00841B10"/>
    <w:rsid w:val="00844098"/>
    <w:rsid w:val="00844920"/>
    <w:rsid w:val="00844F3E"/>
    <w:rsid w:val="008451F4"/>
    <w:rsid w:val="00845723"/>
    <w:rsid w:val="00847268"/>
    <w:rsid w:val="00847A36"/>
    <w:rsid w:val="0085229C"/>
    <w:rsid w:val="00852A7A"/>
    <w:rsid w:val="0085332B"/>
    <w:rsid w:val="008540BC"/>
    <w:rsid w:val="00856622"/>
    <w:rsid w:val="00856F2A"/>
    <w:rsid w:val="00857007"/>
    <w:rsid w:val="00857578"/>
    <w:rsid w:val="00857C1E"/>
    <w:rsid w:val="00857E69"/>
    <w:rsid w:val="00861153"/>
    <w:rsid w:val="0086145E"/>
    <w:rsid w:val="00861825"/>
    <w:rsid w:val="00861DB0"/>
    <w:rsid w:val="00863494"/>
    <w:rsid w:val="008636AD"/>
    <w:rsid w:val="0086497A"/>
    <w:rsid w:val="008673A4"/>
    <w:rsid w:val="008713A1"/>
    <w:rsid w:val="0087168B"/>
    <w:rsid w:val="0087271E"/>
    <w:rsid w:val="0087356B"/>
    <w:rsid w:val="00873F98"/>
    <w:rsid w:val="00874566"/>
    <w:rsid w:val="00874866"/>
    <w:rsid w:val="008754AB"/>
    <w:rsid w:val="00875585"/>
    <w:rsid w:val="0087570A"/>
    <w:rsid w:val="008771DF"/>
    <w:rsid w:val="0088060C"/>
    <w:rsid w:val="00884CDC"/>
    <w:rsid w:val="008864B2"/>
    <w:rsid w:val="00887142"/>
    <w:rsid w:val="00887BFA"/>
    <w:rsid w:val="00887C96"/>
    <w:rsid w:val="00890978"/>
    <w:rsid w:val="00890F09"/>
    <w:rsid w:val="00893576"/>
    <w:rsid w:val="00893E73"/>
    <w:rsid w:val="008954A5"/>
    <w:rsid w:val="008955F9"/>
    <w:rsid w:val="00896035"/>
    <w:rsid w:val="008962AB"/>
    <w:rsid w:val="00897627"/>
    <w:rsid w:val="008A0046"/>
    <w:rsid w:val="008A18F6"/>
    <w:rsid w:val="008A1EF2"/>
    <w:rsid w:val="008A3603"/>
    <w:rsid w:val="008A4D76"/>
    <w:rsid w:val="008A5DEE"/>
    <w:rsid w:val="008A6876"/>
    <w:rsid w:val="008A7641"/>
    <w:rsid w:val="008B02DC"/>
    <w:rsid w:val="008B079A"/>
    <w:rsid w:val="008B24DB"/>
    <w:rsid w:val="008B2DC1"/>
    <w:rsid w:val="008B3B5B"/>
    <w:rsid w:val="008B43C6"/>
    <w:rsid w:val="008B470B"/>
    <w:rsid w:val="008B5059"/>
    <w:rsid w:val="008B57CE"/>
    <w:rsid w:val="008B741C"/>
    <w:rsid w:val="008B78A5"/>
    <w:rsid w:val="008C1665"/>
    <w:rsid w:val="008C193C"/>
    <w:rsid w:val="008C26DE"/>
    <w:rsid w:val="008C2911"/>
    <w:rsid w:val="008C3314"/>
    <w:rsid w:val="008C693B"/>
    <w:rsid w:val="008C70C0"/>
    <w:rsid w:val="008C717C"/>
    <w:rsid w:val="008D1A2C"/>
    <w:rsid w:val="008D2225"/>
    <w:rsid w:val="008D28CF"/>
    <w:rsid w:val="008D4614"/>
    <w:rsid w:val="008D4752"/>
    <w:rsid w:val="008D63EF"/>
    <w:rsid w:val="008D653B"/>
    <w:rsid w:val="008D7481"/>
    <w:rsid w:val="008E03E1"/>
    <w:rsid w:val="008E1887"/>
    <w:rsid w:val="008E271C"/>
    <w:rsid w:val="008E32D6"/>
    <w:rsid w:val="008E3A7A"/>
    <w:rsid w:val="008E418E"/>
    <w:rsid w:val="008E5BC6"/>
    <w:rsid w:val="008E5DEF"/>
    <w:rsid w:val="008E5FD7"/>
    <w:rsid w:val="008E60AD"/>
    <w:rsid w:val="008E64AB"/>
    <w:rsid w:val="008E66B9"/>
    <w:rsid w:val="008E690F"/>
    <w:rsid w:val="008E6A25"/>
    <w:rsid w:val="008E75AA"/>
    <w:rsid w:val="008F04C2"/>
    <w:rsid w:val="008F0ACE"/>
    <w:rsid w:val="008F1027"/>
    <w:rsid w:val="008F1CEE"/>
    <w:rsid w:val="008F2128"/>
    <w:rsid w:val="008F39E7"/>
    <w:rsid w:val="008F5193"/>
    <w:rsid w:val="008F61E9"/>
    <w:rsid w:val="008F6852"/>
    <w:rsid w:val="009013A7"/>
    <w:rsid w:val="009015F2"/>
    <w:rsid w:val="009017FB"/>
    <w:rsid w:val="009017FC"/>
    <w:rsid w:val="00901907"/>
    <w:rsid w:val="00901968"/>
    <w:rsid w:val="00901D54"/>
    <w:rsid w:val="00902DC2"/>
    <w:rsid w:val="00904184"/>
    <w:rsid w:val="009043AE"/>
    <w:rsid w:val="00904E3A"/>
    <w:rsid w:val="0090506B"/>
    <w:rsid w:val="009050C9"/>
    <w:rsid w:val="009066FC"/>
    <w:rsid w:val="0090713E"/>
    <w:rsid w:val="0090725E"/>
    <w:rsid w:val="009138EA"/>
    <w:rsid w:val="00913D87"/>
    <w:rsid w:val="009140A3"/>
    <w:rsid w:val="009144A2"/>
    <w:rsid w:val="00914F6D"/>
    <w:rsid w:val="0091510C"/>
    <w:rsid w:val="00915239"/>
    <w:rsid w:val="0091652E"/>
    <w:rsid w:val="009174F0"/>
    <w:rsid w:val="0092060C"/>
    <w:rsid w:val="00921168"/>
    <w:rsid w:val="00922003"/>
    <w:rsid w:val="00922904"/>
    <w:rsid w:val="009244FC"/>
    <w:rsid w:val="009259AC"/>
    <w:rsid w:val="009264E3"/>
    <w:rsid w:val="00926F38"/>
    <w:rsid w:val="00930A0E"/>
    <w:rsid w:val="00930B6F"/>
    <w:rsid w:val="00934301"/>
    <w:rsid w:val="009354B3"/>
    <w:rsid w:val="009367EE"/>
    <w:rsid w:val="00936CD1"/>
    <w:rsid w:val="00937C98"/>
    <w:rsid w:val="00941135"/>
    <w:rsid w:val="00941670"/>
    <w:rsid w:val="00941747"/>
    <w:rsid w:val="00941EFB"/>
    <w:rsid w:val="00942AAD"/>
    <w:rsid w:val="00942D09"/>
    <w:rsid w:val="009436B5"/>
    <w:rsid w:val="0094674C"/>
    <w:rsid w:val="00947122"/>
    <w:rsid w:val="00947AFB"/>
    <w:rsid w:val="00951131"/>
    <w:rsid w:val="00951D7D"/>
    <w:rsid w:val="009524B7"/>
    <w:rsid w:val="00953042"/>
    <w:rsid w:val="009544FA"/>
    <w:rsid w:val="0095703D"/>
    <w:rsid w:val="009570B1"/>
    <w:rsid w:val="009574AA"/>
    <w:rsid w:val="00957CAE"/>
    <w:rsid w:val="00957F70"/>
    <w:rsid w:val="009600A3"/>
    <w:rsid w:val="0096054D"/>
    <w:rsid w:val="00961445"/>
    <w:rsid w:val="00962184"/>
    <w:rsid w:val="00962AC3"/>
    <w:rsid w:val="00962C8C"/>
    <w:rsid w:val="00962D60"/>
    <w:rsid w:val="009630C7"/>
    <w:rsid w:val="00963582"/>
    <w:rsid w:val="00965486"/>
    <w:rsid w:val="00966724"/>
    <w:rsid w:val="00966DC9"/>
    <w:rsid w:val="00970C76"/>
    <w:rsid w:val="00972B55"/>
    <w:rsid w:val="009732F7"/>
    <w:rsid w:val="009743B7"/>
    <w:rsid w:val="00975548"/>
    <w:rsid w:val="00975F76"/>
    <w:rsid w:val="00976064"/>
    <w:rsid w:val="009760A2"/>
    <w:rsid w:val="00976CBF"/>
    <w:rsid w:val="00976ED6"/>
    <w:rsid w:val="00977A05"/>
    <w:rsid w:val="00980F18"/>
    <w:rsid w:val="0098228B"/>
    <w:rsid w:val="009828DA"/>
    <w:rsid w:val="00982BE6"/>
    <w:rsid w:val="00982C9A"/>
    <w:rsid w:val="00982F4A"/>
    <w:rsid w:val="00983DBC"/>
    <w:rsid w:val="0098410F"/>
    <w:rsid w:val="00985175"/>
    <w:rsid w:val="00985BAB"/>
    <w:rsid w:val="00985D06"/>
    <w:rsid w:val="009876A0"/>
    <w:rsid w:val="009910CB"/>
    <w:rsid w:val="00991DF0"/>
    <w:rsid w:val="00992016"/>
    <w:rsid w:val="009928DD"/>
    <w:rsid w:val="009929DB"/>
    <w:rsid w:val="00994307"/>
    <w:rsid w:val="00994987"/>
    <w:rsid w:val="00995120"/>
    <w:rsid w:val="00995279"/>
    <w:rsid w:val="0099541C"/>
    <w:rsid w:val="009955C9"/>
    <w:rsid w:val="00995625"/>
    <w:rsid w:val="00995AAB"/>
    <w:rsid w:val="00997535"/>
    <w:rsid w:val="0099764D"/>
    <w:rsid w:val="009977CD"/>
    <w:rsid w:val="009A3B77"/>
    <w:rsid w:val="009A4123"/>
    <w:rsid w:val="009A460C"/>
    <w:rsid w:val="009A4B11"/>
    <w:rsid w:val="009A5236"/>
    <w:rsid w:val="009A5762"/>
    <w:rsid w:val="009A5D3D"/>
    <w:rsid w:val="009B07F5"/>
    <w:rsid w:val="009B1B5F"/>
    <w:rsid w:val="009B1D06"/>
    <w:rsid w:val="009B271F"/>
    <w:rsid w:val="009B3B53"/>
    <w:rsid w:val="009B4234"/>
    <w:rsid w:val="009B453F"/>
    <w:rsid w:val="009B5515"/>
    <w:rsid w:val="009B5E0F"/>
    <w:rsid w:val="009B614D"/>
    <w:rsid w:val="009B6673"/>
    <w:rsid w:val="009B74C3"/>
    <w:rsid w:val="009B7944"/>
    <w:rsid w:val="009C1578"/>
    <w:rsid w:val="009C191B"/>
    <w:rsid w:val="009C2938"/>
    <w:rsid w:val="009C2BD6"/>
    <w:rsid w:val="009C3993"/>
    <w:rsid w:val="009C5375"/>
    <w:rsid w:val="009D23C1"/>
    <w:rsid w:val="009D272D"/>
    <w:rsid w:val="009D2B3D"/>
    <w:rsid w:val="009D301C"/>
    <w:rsid w:val="009D5485"/>
    <w:rsid w:val="009D70BE"/>
    <w:rsid w:val="009D7EAB"/>
    <w:rsid w:val="009E0581"/>
    <w:rsid w:val="009E07DE"/>
    <w:rsid w:val="009E1F32"/>
    <w:rsid w:val="009E43F3"/>
    <w:rsid w:val="009E4F78"/>
    <w:rsid w:val="009E5AF0"/>
    <w:rsid w:val="009E63C1"/>
    <w:rsid w:val="009E6782"/>
    <w:rsid w:val="009E69D7"/>
    <w:rsid w:val="009E75E6"/>
    <w:rsid w:val="009E776C"/>
    <w:rsid w:val="009F0C6C"/>
    <w:rsid w:val="009F0E69"/>
    <w:rsid w:val="009F111D"/>
    <w:rsid w:val="009F2017"/>
    <w:rsid w:val="009F2755"/>
    <w:rsid w:val="009F3176"/>
    <w:rsid w:val="009F4B6F"/>
    <w:rsid w:val="009F58FD"/>
    <w:rsid w:val="009F7CCC"/>
    <w:rsid w:val="009F7EAF"/>
    <w:rsid w:val="00A007E9"/>
    <w:rsid w:val="00A04C9D"/>
    <w:rsid w:val="00A11025"/>
    <w:rsid w:val="00A1154D"/>
    <w:rsid w:val="00A11F94"/>
    <w:rsid w:val="00A13F17"/>
    <w:rsid w:val="00A148D9"/>
    <w:rsid w:val="00A1590D"/>
    <w:rsid w:val="00A15FBB"/>
    <w:rsid w:val="00A166F5"/>
    <w:rsid w:val="00A1726E"/>
    <w:rsid w:val="00A17975"/>
    <w:rsid w:val="00A204CF"/>
    <w:rsid w:val="00A2126F"/>
    <w:rsid w:val="00A22248"/>
    <w:rsid w:val="00A22DCC"/>
    <w:rsid w:val="00A230FA"/>
    <w:rsid w:val="00A23D49"/>
    <w:rsid w:val="00A26331"/>
    <w:rsid w:val="00A27004"/>
    <w:rsid w:val="00A27DD3"/>
    <w:rsid w:val="00A3025F"/>
    <w:rsid w:val="00A30C29"/>
    <w:rsid w:val="00A34357"/>
    <w:rsid w:val="00A34DD6"/>
    <w:rsid w:val="00A3532A"/>
    <w:rsid w:val="00A35BAD"/>
    <w:rsid w:val="00A36819"/>
    <w:rsid w:val="00A36989"/>
    <w:rsid w:val="00A377D1"/>
    <w:rsid w:val="00A40F7C"/>
    <w:rsid w:val="00A43628"/>
    <w:rsid w:val="00A4507B"/>
    <w:rsid w:val="00A45CF2"/>
    <w:rsid w:val="00A45DCF"/>
    <w:rsid w:val="00A461A5"/>
    <w:rsid w:val="00A519E4"/>
    <w:rsid w:val="00A52E8D"/>
    <w:rsid w:val="00A530F6"/>
    <w:rsid w:val="00A54192"/>
    <w:rsid w:val="00A544B8"/>
    <w:rsid w:val="00A548EC"/>
    <w:rsid w:val="00A54D02"/>
    <w:rsid w:val="00A6035E"/>
    <w:rsid w:val="00A60D17"/>
    <w:rsid w:val="00A6144C"/>
    <w:rsid w:val="00A6152B"/>
    <w:rsid w:val="00A61AEC"/>
    <w:rsid w:val="00A6233A"/>
    <w:rsid w:val="00A63AB0"/>
    <w:rsid w:val="00A66617"/>
    <w:rsid w:val="00A667D0"/>
    <w:rsid w:val="00A671F8"/>
    <w:rsid w:val="00A673A4"/>
    <w:rsid w:val="00A724AE"/>
    <w:rsid w:val="00A73329"/>
    <w:rsid w:val="00A7516A"/>
    <w:rsid w:val="00A769D8"/>
    <w:rsid w:val="00A81D50"/>
    <w:rsid w:val="00A82359"/>
    <w:rsid w:val="00A824BE"/>
    <w:rsid w:val="00A828CB"/>
    <w:rsid w:val="00A82C7C"/>
    <w:rsid w:val="00A854C9"/>
    <w:rsid w:val="00A855E3"/>
    <w:rsid w:val="00A865D2"/>
    <w:rsid w:val="00A86F66"/>
    <w:rsid w:val="00A900C3"/>
    <w:rsid w:val="00A906A8"/>
    <w:rsid w:val="00A91210"/>
    <w:rsid w:val="00A93D91"/>
    <w:rsid w:val="00A94C20"/>
    <w:rsid w:val="00A96AD7"/>
    <w:rsid w:val="00AA02D3"/>
    <w:rsid w:val="00AA06DB"/>
    <w:rsid w:val="00AA10E6"/>
    <w:rsid w:val="00AA1A99"/>
    <w:rsid w:val="00AA227F"/>
    <w:rsid w:val="00AA3853"/>
    <w:rsid w:val="00AA3BC7"/>
    <w:rsid w:val="00AA4942"/>
    <w:rsid w:val="00AA4FA9"/>
    <w:rsid w:val="00AA641C"/>
    <w:rsid w:val="00AA754A"/>
    <w:rsid w:val="00AB0410"/>
    <w:rsid w:val="00AB099E"/>
    <w:rsid w:val="00AB1EAC"/>
    <w:rsid w:val="00AB1FB3"/>
    <w:rsid w:val="00AB2F43"/>
    <w:rsid w:val="00AB39E8"/>
    <w:rsid w:val="00AB4328"/>
    <w:rsid w:val="00AB4A0B"/>
    <w:rsid w:val="00AB4DC3"/>
    <w:rsid w:val="00AB4EF0"/>
    <w:rsid w:val="00AB52D9"/>
    <w:rsid w:val="00AB7EED"/>
    <w:rsid w:val="00AC08EB"/>
    <w:rsid w:val="00AC2675"/>
    <w:rsid w:val="00AC5ACF"/>
    <w:rsid w:val="00AC651F"/>
    <w:rsid w:val="00AC68FF"/>
    <w:rsid w:val="00AD106D"/>
    <w:rsid w:val="00AD1135"/>
    <w:rsid w:val="00AD26D2"/>
    <w:rsid w:val="00AD2833"/>
    <w:rsid w:val="00AD2F3A"/>
    <w:rsid w:val="00AD5F14"/>
    <w:rsid w:val="00AD6477"/>
    <w:rsid w:val="00AE0A2E"/>
    <w:rsid w:val="00AE23EA"/>
    <w:rsid w:val="00AE2689"/>
    <w:rsid w:val="00AE2F1B"/>
    <w:rsid w:val="00AE3486"/>
    <w:rsid w:val="00AE354C"/>
    <w:rsid w:val="00AE368A"/>
    <w:rsid w:val="00AE3A69"/>
    <w:rsid w:val="00AE57C2"/>
    <w:rsid w:val="00AE637F"/>
    <w:rsid w:val="00AE6388"/>
    <w:rsid w:val="00AE70C2"/>
    <w:rsid w:val="00AE78D7"/>
    <w:rsid w:val="00AF00CB"/>
    <w:rsid w:val="00AF0693"/>
    <w:rsid w:val="00AF0D37"/>
    <w:rsid w:val="00AF1026"/>
    <w:rsid w:val="00AF4B07"/>
    <w:rsid w:val="00AF4B53"/>
    <w:rsid w:val="00AF4EC3"/>
    <w:rsid w:val="00AF4F4E"/>
    <w:rsid w:val="00AF51AB"/>
    <w:rsid w:val="00AF608C"/>
    <w:rsid w:val="00AF6186"/>
    <w:rsid w:val="00AF62E7"/>
    <w:rsid w:val="00AF7A3A"/>
    <w:rsid w:val="00B01A05"/>
    <w:rsid w:val="00B04AB7"/>
    <w:rsid w:val="00B06FCE"/>
    <w:rsid w:val="00B074C4"/>
    <w:rsid w:val="00B104D2"/>
    <w:rsid w:val="00B1103A"/>
    <w:rsid w:val="00B11A31"/>
    <w:rsid w:val="00B13B99"/>
    <w:rsid w:val="00B13C1A"/>
    <w:rsid w:val="00B14A77"/>
    <w:rsid w:val="00B158F8"/>
    <w:rsid w:val="00B159FC"/>
    <w:rsid w:val="00B15FC1"/>
    <w:rsid w:val="00B160DB"/>
    <w:rsid w:val="00B1705C"/>
    <w:rsid w:val="00B20836"/>
    <w:rsid w:val="00B20A01"/>
    <w:rsid w:val="00B21BD1"/>
    <w:rsid w:val="00B235BB"/>
    <w:rsid w:val="00B247F8"/>
    <w:rsid w:val="00B24A69"/>
    <w:rsid w:val="00B26897"/>
    <w:rsid w:val="00B272F7"/>
    <w:rsid w:val="00B275F4"/>
    <w:rsid w:val="00B27A44"/>
    <w:rsid w:val="00B27C8B"/>
    <w:rsid w:val="00B30BBF"/>
    <w:rsid w:val="00B31131"/>
    <w:rsid w:val="00B31DCF"/>
    <w:rsid w:val="00B32B71"/>
    <w:rsid w:val="00B333AC"/>
    <w:rsid w:val="00B33C03"/>
    <w:rsid w:val="00B34307"/>
    <w:rsid w:val="00B3462D"/>
    <w:rsid w:val="00B35A98"/>
    <w:rsid w:val="00B3710D"/>
    <w:rsid w:val="00B410D9"/>
    <w:rsid w:val="00B41E9B"/>
    <w:rsid w:val="00B4268E"/>
    <w:rsid w:val="00B4413F"/>
    <w:rsid w:val="00B44E56"/>
    <w:rsid w:val="00B45950"/>
    <w:rsid w:val="00B46543"/>
    <w:rsid w:val="00B46A54"/>
    <w:rsid w:val="00B46BF0"/>
    <w:rsid w:val="00B47D33"/>
    <w:rsid w:val="00B47D65"/>
    <w:rsid w:val="00B50799"/>
    <w:rsid w:val="00B51480"/>
    <w:rsid w:val="00B52247"/>
    <w:rsid w:val="00B53AFD"/>
    <w:rsid w:val="00B54133"/>
    <w:rsid w:val="00B54CD4"/>
    <w:rsid w:val="00B54D6B"/>
    <w:rsid w:val="00B55255"/>
    <w:rsid w:val="00B55CD3"/>
    <w:rsid w:val="00B57275"/>
    <w:rsid w:val="00B57ABE"/>
    <w:rsid w:val="00B602BD"/>
    <w:rsid w:val="00B61472"/>
    <w:rsid w:val="00B623E1"/>
    <w:rsid w:val="00B62F8A"/>
    <w:rsid w:val="00B644D8"/>
    <w:rsid w:val="00B64D25"/>
    <w:rsid w:val="00B65DB8"/>
    <w:rsid w:val="00B664A7"/>
    <w:rsid w:val="00B66859"/>
    <w:rsid w:val="00B67264"/>
    <w:rsid w:val="00B67A63"/>
    <w:rsid w:val="00B700CF"/>
    <w:rsid w:val="00B701ED"/>
    <w:rsid w:val="00B71ECE"/>
    <w:rsid w:val="00B74338"/>
    <w:rsid w:val="00B74B78"/>
    <w:rsid w:val="00B757B4"/>
    <w:rsid w:val="00B76E62"/>
    <w:rsid w:val="00B800C2"/>
    <w:rsid w:val="00B8086C"/>
    <w:rsid w:val="00B81F07"/>
    <w:rsid w:val="00B8312D"/>
    <w:rsid w:val="00B83501"/>
    <w:rsid w:val="00B84A5A"/>
    <w:rsid w:val="00B861B4"/>
    <w:rsid w:val="00B862EA"/>
    <w:rsid w:val="00B86D38"/>
    <w:rsid w:val="00B86DFE"/>
    <w:rsid w:val="00B8700C"/>
    <w:rsid w:val="00B87221"/>
    <w:rsid w:val="00B87BCE"/>
    <w:rsid w:val="00B90252"/>
    <w:rsid w:val="00B90990"/>
    <w:rsid w:val="00B922FF"/>
    <w:rsid w:val="00B9281E"/>
    <w:rsid w:val="00B93028"/>
    <w:rsid w:val="00B930DD"/>
    <w:rsid w:val="00B93394"/>
    <w:rsid w:val="00B93925"/>
    <w:rsid w:val="00B93C5C"/>
    <w:rsid w:val="00B94281"/>
    <w:rsid w:val="00B95187"/>
    <w:rsid w:val="00B960F6"/>
    <w:rsid w:val="00B96411"/>
    <w:rsid w:val="00B96A9F"/>
    <w:rsid w:val="00BA0BCC"/>
    <w:rsid w:val="00BA13BA"/>
    <w:rsid w:val="00BA140E"/>
    <w:rsid w:val="00BA1A7B"/>
    <w:rsid w:val="00BA26E4"/>
    <w:rsid w:val="00BA27EA"/>
    <w:rsid w:val="00BA2D55"/>
    <w:rsid w:val="00BA4159"/>
    <w:rsid w:val="00BA4641"/>
    <w:rsid w:val="00BA71B1"/>
    <w:rsid w:val="00BA7DDC"/>
    <w:rsid w:val="00BB0637"/>
    <w:rsid w:val="00BB0F16"/>
    <w:rsid w:val="00BB2BFE"/>
    <w:rsid w:val="00BB345F"/>
    <w:rsid w:val="00BB45BD"/>
    <w:rsid w:val="00BB491D"/>
    <w:rsid w:val="00BB4D89"/>
    <w:rsid w:val="00BB586B"/>
    <w:rsid w:val="00BB682C"/>
    <w:rsid w:val="00BB68EA"/>
    <w:rsid w:val="00BB6B4B"/>
    <w:rsid w:val="00BB7409"/>
    <w:rsid w:val="00BB77A6"/>
    <w:rsid w:val="00BC0945"/>
    <w:rsid w:val="00BC0C1C"/>
    <w:rsid w:val="00BC1846"/>
    <w:rsid w:val="00BC19D1"/>
    <w:rsid w:val="00BC1C27"/>
    <w:rsid w:val="00BC3829"/>
    <w:rsid w:val="00BC4408"/>
    <w:rsid w:val="00BC6348"/>
    <w:rsid w:val="00BC65DA"/>
    <w:rsid w:val="00BC6BBF"/>
    <w:rsid w:val="00BC7D0E"/>
    <w:rsid w:val="00BD111F"/>
    <w:rsid w:val="00BD1562"/>
    <w:rsid w:val="00BD1572"/>
    <w:rsid w:val="00BD3A3C"/>
    <w:rsid w:val="00BD5DBF"/>
    <w:rsid w:val="00BD64FB"/>
    <w:rsid w:val="00BE0AB2"/>
    <w:rsid w:val="00BE0C27"/>
    <w:rsid w:val="00BE0EA9"/>
    <w:rsid w:val="00BE14E4"/>
    <w:rsid w:val="00BE32CA"/>
    <w:rsid w:val="00BE3774"/>
    <w:rsid w:val="00BE41E5"/>
    <w:rsid w:val="00BE54C8"/>
    <w:rsid w:val="00BE556A"/>
    <w:rsid w:val="00BE5E16"/>
    <w:rsid w:val="00BF4109"/>
    <w:rsid w:val="00BF47A8"/>
    <w:rsid w:val="00BF4CC3"/>
    <w:rsid w:val="00BF5D27"/>
    <w:rsid w:val="00BF7FCD"/>
    <w:rsid w:val="00C02FBD"/>
    <w:rsid w:val="00C04956"/>
    <w:rsid w:val="00C04B49"/>
    <w:rsid w:val="00C054C7"/>
    <w:rsid w:val="00C05637"/>
    <w:rsid w:val="00C057B5"/>
    <w:rsid w:val="00C059B2"/>
    <w:rsid w:val="00C05C8A"/>
    <w:rsid w:val="00C05EA2"/>
    <w:rsid w:val="00C06B8F"/>
    <w:rsid w:val="00C06ECB"/>
    <w:rsid w:val="00C13BD1"/>
    <w:rsid w:val="00C169E2"/>
    <w:rsid w:val="00C16B62"/>
    <w:rsid w:val="00C20D6A"/>
    <w:rsid w:val="00C21ABC"/>
    <w:rsid w:val="00C22687"/>
    <w:rsid w:val="00C252BE"/>
    <w:rsid w:val="00C26FC8"/>
    <w:rsid w:val="00C3131F"/>
    <w:rsid w:val="00C316C3"/>
    <w:rsid w:val="00C319FF"/>
    <w:rsid w:val="00C32E4D"/>
    <w:rsid w:val="00C32F45"/>
    <w:rsid w:val="00C333A0"/>
    <w:rsid w:val="00C3391E"/>
    <w:rsid w:val="00C34A8F"/>
    <w:rsid w:val="00C35301"/>
    <w:rsid w:val="00C3686C"/>
    <w:rsid w:val="00C36A81"/>
    <w:rsid w:val="00C378D5"/>
    <w:rsid w:val="00C37988"/>
    <w:rsid w:val="00C37B4D"/>
    <w:rsid w:val="00C411D5"/>
    <w:rsid w:val="00C41974"/>
    <w:rsid w:val="00C4202D"/>
    <w:rsid w:val="00C42403"/>
    <w:rsid w:val="00C43294"/>
    <w:rsid w:val="00C44B16"/>
    <w:rsid w:val="00C45651"/>
    <w:rsid w:val="00C46F46"/>
    <w:rsid w:val="00C5029D"/>
    <w:rsid w:val="00C50440"/>
    <w:rsid w:val="00C516A8"/>
    <w:rsid w:val="00C51978"/>
    <w:rsid w:val="00C51D60"/>
    <w:rsid w:val="00C526FA"/>
    <w:rsid w:val="00C53F4A"/>
    <w:rsid w:val="00C54125"/>
    <w:rsid w:val="00C5441B"/>
    <w:rsid w:val="00C5512A"/>
    <w:rsid w:val="00C55810"/>
    <w:rsid w:val="00C55B54"/>
    <w:rsid w:val="00C55D4E"/>
    <w:rsid w:val="00C56764"/>
    <w:rsid w:val="00C56C80"/>
    <w:rsid w:val="00C57195"/>
    <w:rsid w:val="00C6098E"/>
    <w:rsid w:val="00C60B79"/>
    <w:rsid w:val="00C6152C"/>
    <w:rsid w:val="00C630B8"/>
    <w:rsid w:val="00C65A02"/>
    <w:rsid w:val="00C662D6"/>
    <w:rsid w:val="00C67356"/>
    <w:rsid w:val="00C726D5"/>
    <w:rsid w:val="00C7300B"/>
    <w:rsid w:val="00C7348F"/>
    <w:rsid w:val="00C73566"/>
    <w:rsid w:val="00C74810"/>
    <w:rsid w:val="00C75953"/>
    <w:rsid w:val="00C75CDD"/>
    <w:rsid w:val="00C77929"/>
    <w:rsid w:val="00C8059F"/>
    <w:rsid w:val="00C81C3E"/>
    <w:rsid w:val="00C84E1E"/>
    <w:rsid w:val="00C85271"/>
    <w:rsid w:val="00C85727"/>
    <w:rsid w:val="00C86958"/>
    <w:rsid w:val="00C86BD0"/>
    <w:rsid w:val="00C90374"/>
    <w:rsid w:val="00C90765"/>
    <w:rsid w:val="00C90D68"/>
    <w:rsid w:val="00C91D45"/>
    <w:rsid w:val="00C939FE"/>
    <w:rsid w:val="00C93F3D"/>
    <w:rsid w:val="00C95868"/>
    <w:rsid w:val="00C97818"/>
    <w:rsid w:val="00CA2744"/>
    <w:rsid w:val="00CA2BE9"/>
    <w:rsid w:val="00CA31EA"/>
    <w:rsid w:val="00CA3F74"/>
    <w:rsid w:val="00CA4678"/>
    <w:rsid w:val="00CA471D"/>
    <w:rsid w:val="00CA49D6"/>
    <w:rsid w:val="00CA4BDA"/>
    <w:rsid w:val="00CA5939"/>
    <w:rsid w:val="00CA5DBE"/>
    <w:rsid w:val="00CA75C7"/>
    <w:rsid w:val="00CA7663"/>
    <w:rsid w:val="00CB073C"/>
    <w:rsid w:val="00CB2951"/>
    <w:rsid w:val="00CB2AA1"/>
    <w:rsid w:val="00CB4BD6"/>
    <w:rsid w:val="00CB668C"/>
    <w:rsid w:val="00CB6F63"/>
    <w:rsid w:val="00CC292A"/>
    <w:rsid w:val="00CC2F8E"/>
    <w:rsid w:val="00CC319C"/>
    <w:rsid w:val="00CC38D2"/>
    <w:rsid w:val="00CC4643"/>
    <w:rsid w:val="00CC5F52"/>
    <w:rsid w:val="00CD0505"/>
    <w:rsid w:val="00CD0DE2"/>
    <w:rsid w:val="00CD282B"/>
    <w:rsid w:val="00CD2EEA"/>
    <w:rsid w:val="00CD3AAA"/>
    <w:rsid w:val="00CD4078"/>
    <w:rsid w:val="00CD4668"/>
    <w:rsid w:val="00CD4C35"/>
    <w:rsid w:val="00CD4F8C"/>
    <w:rsid w:val="00CD7369"/>
    <w:rsid w:val="00CE2EB2"/>
    <w:rsid w:val="00CE34A0"/>
    <w:rsid w:val="00CE3831"/>
    <w:rsid w:val="00CE6619"/>
    <w:rsid w:val="00CE6733"/>
    <w:rsid w:val="00CE7CAF"/>
    <w:rsid w:val="00CF40CC"/>
    <w:rsid w:val="00CF757A"/>
    <w:rsid w:val="00D007B7"/>
    <w:rsid w:val="00D009D8"/>
    <w:rsid w:val="00D00ABB"/>
    <w:rsid w:val="00D01622"/>
    <w:rsid w:val="00D01FD4"/>
    <w:rsid w:val="00D02910"/>
    <w:rsid w:val="00D02B59"/>
    <w:rsid w:val="00D02BF3"/>
    <w:rsid w:val="00D02CF5"/>
    <w:rsid w:val="00D02EEC"/>
    <w:rsid w:val="00D03551"/>
    <w:rsid w:val="00D04800"/>
    <w:rsid w:val="00D049D9"/>
    <w:rsid w:val="00D06A63"/>
    <w:rsid w:val="00D07834"/>
    <w:rsid w:val="00D07E0E"/>
    <w:rsid w:val="00D107F5"/>
    <w:rsid w:val="00D10CAD"/>
    <w:rsid w:val="00D11478"/>
    <w:rsid w:val="00D12F7B"/>
    <w:rsid w:val="00D13D09"/>
    <w:rsid w:val="00D1400D"/>
    <w:rsid w:val="00D14997"/>
    <w:rsid w:val="00D15ED0"/>
    <w:rsid w:val="00D16419"/>
    <w:rsid w:val="00D17B19"/>
    <w:rsid w:val="00D21A76"/>
    <w:rsid w:val="00D21B3E"/>
    <w:rsid w:val="00D21FED"/>
    <w:rsid w:val="00D22528"/>
    <w:rsid w:val="00D22D34"/>
    <w:rsid w:val="00D231D0"/>
    <w:rsid w:val="00D23CF3"/>
    <w:rsid w:val="00D23ECF"/>
    <w:rsid w:val="00D24251"/>
    <w:rsid w:val="00D249EF"/>
    <w:rsid w:val="00D25ACC"/>
    <w:rsid w:val="00D25F32"/>
    <w:rsid w:val="00D265C1"/>
    <w:rsid w:val="00D27428"/>
    <w:rsid w:val="00D309D4"/>
    <w:rsid w:val="00D318EA"/>
    <w:rsid w:val="00D32009"/>
    <w:rsid w:val="00D3256D"/>
    <w:rsid w:val="00D32CF8"/>
    <w:rsid w:val="00D343E2"/>
    <w:rsid w:val="00D34BD1"/>
    <w:rsid w:val="00D361A2"/>
    <w:rsid w:val="00D3660B"/>
    <w:rsid w:val="00D402CF"/>
    <w:rsid w:val="00D41C5F"/>
    <w:rsid w:val="00D43BB3"/>
    <w:rsid w:val="00D448E3"/>
    <w:rsid w:val="00D44924"/>
    <w:rsid w:val="00D449F1"/>
    <w:rsid w:val="00D44C2E"/>
    <w:rsid w:val="00D45414"/>
    <w:rsid w:val="00D46750"/>
    <w:rsid w:val="00D50735"/>
    <w:rsid w:val="00D507A6"/>
    <w:rsid w:val="00D50D03"/>
    <w:rsid w:val="00D514E1"/>
    <w:rsid w:val="00D51611"/>
    <w:rsid w:val="00D519A7"/>
    <w:rsid w:val="00D5367B"/>
    <w:rsid w:val="00D54040"/>
    <w:rsid w:val="00D5495C"/>
    <w:rsid w:val="00D54B42"/>
    <w:rsid w:val="00D54D91"/>
    <w:rsid w:val="00D55574"/>
    <w:rsid w:val="00D566BD"/>
    <w:rsid w:val="00D56838"/>
    <w:rsid w:val="00D57106"/>
    <w:rsid w:val="00D57591"/>
    <w:rsid w:val="00D57A4D"/>
    <w:rsid w:val="00D601DD"/>
    <w:rsid w:val="00D6020F"/>
    <w:rsid w:val="00D602E2"/>
    <w:rsid w:val="00D6035C"/>
    <w:rsid w:val="00D60AA7"/>
    <w:rsid w:val="00D626FC"/>
    <w:rsid w:val="00D62BA8"/>
    <w:rsid w:val="00D63EC2"/>
    <w:rsid w:val="00D64225"/>
    <w:rsid w:val="00D646B3"/>
    <w:rsid w:val="00D648C0"/>
    <w:rsid w:val="00D6500E"/>
    <w:rsid w:val="00D65D80"/>
    <w:rsid w:val="00D673DA"/>
    <w:rsid w:val="00D67B9F"/>
    <w:rsid w:val="00D71C2C"/>
    <w:rsid w:val="00D72841"/>
    <w:rsid w:val="00D73E03"/>
    <w:rsid w:val="00D74035"/>
    <w:rsid w:val="00D74513"/>
    <w:rsid w:val="00D75E28"/>
    <w:rsid w:val="00D76560"/>
    <w:rsid w:val="00D76E0A"/>
    <w:rsid w:val="00D772C2"/>
    <w:rsid w:val="00D77E9B"/>
    <w:rsid w:val="00D8008E"/>
    <w:rsid w:val="00D81779"/>
    <w:rsid w:val="00D81810"/>
    <w:rsid w:val="00D8252D"/>
    <w:rsid w:val="00D82C45"/>
    <w:rsid w:val="00D84106"/>
    <w:rsid w:val="00D84AD8"/>
    <w:rsid w:val="00D8629E"/>
    <w:rsid w:val="00D87C60"/>
    <w:rsid w:val="00D908A8"/>
    <w:rsid w:val="00D91941"/>
    <w:rsid w:val="00D91FC5"/>
    <w:rsid w:val="00D9209D"/>
    <w:rsid w:val="00D923D0"/>
    <w:rsid w:val="00D92C31"/>
    <w:rsid w:val="00D92EDD"/>
    <w:rsid w:val="00D977B6"/>
    <w:rsid w:val="00D97A4F"/>
    <w:rsid w:val="00DA00F8"/>
    <w:rsid w:val="00DA1ECB"/>
    <w:rsid w:val="00DA205D"/>
    <w:rsid w:val="00DA23D9"/>
    <w:rsid w:val="00DA2427"/>
    <w:rsid w:val="00DA452F"/>
    <w:rsid w:val="00DA4A31"/>
    <w:rsid w:val="00DA4E74"/>
    <w:rsid w:val="00DA5873"/>
    <w:rsid w:val="00DA6F63"/>
    <w:rsid w:val="00DA7060"/>
    <w:rsid w:val="00DA71C1"/>
    <w:rsid w:val="00DA71E2"/>
    <w:rsid w:val="00DA7B04"/>
    <w:rsid w:val="00DA7EF2"/>
    <w:rsid w:val="00DB18AF"/>
    <w:rsid w:val="00DB36C2"/>
    <w:rsid w:val="00DB4319"/>
    <w:rsid w:val="00DB4505"/>
    <w:rsid w:val="00DB618B"/>
    <w:rsid w:val="00DB6483"/>
    <w:rsid w:val="00DB79CD"/>
    <w:rsid w:val="00DC1237"/>
    <w:rsid w:val="00DC169B"/>
    <w:rsid w:val="00DC1C0E"/>
    <w:rsid w:val="00DC2AB9"/>
    <w:rsid w:val="00DC2D6E"/>
    <w:rsid w:val="00DC32E4"/>
    <w:rsid w:val="00DC3375"/>
    <w:rsid w:val="00DC3AA1"/>
    <w:rsid w:val="00DC56BF"/>
    <w:rsid w:val="00DC579E"/>
    <w:rsid w:val="00DC5A46"/>
    <w:rsid w:val="00DC5C21"/>
    <w:rsid w:val="00DC63F0"/>
    <w:rsid w:val="00DC794A"/>
    <w:rsid w:val="00DD03B0"/>
    <w:rsid w:val="00DD28C6"/>
    <w:rsid w:val="00DD3B77"/>
    <w:rsid w:val="00DD4447"/>
    <w:rsid w:val="00DD444D"/>
    <w:rsid w:val="00DD5AC4"/>
    <w:rsid w:val="00DD6EE5"/>
    <w:rsid w:val="00DE0B74"/>
    <w:rsid w:val="00DE386C"/>
    <w:rsid w:val="00DE3CEC"/>
    <w:rsid w:val="00DE4D35"/>
    <w:rsid w:val="00DE4D8D"/>
    <w:rsid w:val="00DE6381"/>
    <w:rsid w:val="00DE6AC5"/>
    <w:rsid w:val="00DE7945"/>
    <w:rsid w:val="00DF098B"/>
    <w:rsid w:val="00DF11C4"/>
    <w:rsid w:val="00DF14A6"/>
    <w:rsid w:val="00DF210C"/>
    <w:rsid w:val="00DF2391"/>
    <w:rsid w:val="00DF293C"/>
    <w:rsid w:val="00DF2B96"/>
    <w:rsid w:val="00DF41ED"/>
    <w:rsid w:val="00DF420F"/>
    <w:rsid w:val="00DF46AC"/>
    <w:rsid w:val="00DF4B6A"/>
    <w:rsid w:val="00DF4EF7"/>
    <w:rsid w:val="00DF5101"/>
    <w:rsid w:val="00DF6486"/>
    <w:rsid w:val="00E001DD"/>
    <w:rsid w:val="00E0104D"/>
    <w:rsid w:val="00E028CC"/>
    <w:rsid w:val="00E02C09"/>
    <w:rsid w:val="00E03BDC"/>
    <w:rsid w:val="00E041BA"/>
    <w:rsid w:val="00E0420F"/>
    <w:rsid w:val="00E04839"/>
    <w:rsid w:val="00E04D59"/>
    <w:rsid w:val="00E0585A"/>
    <w:rsid w:val="00E06AB6"/>
    <w:rsid w:val="00E07DA1"/>
    <w:rsid w:val="00E10240"/>
    <w:rsid w:val="00E104E1"/>
    <w:rsid w:val="00E10832"/>
    <w:rsid w:val="00E109E1"/>
    <w:rsid w:val="00E11431"/>
    <w:rsid w:val="00E115F3"/>
    <w:rsid w:val="00E123CB"/>
    <w:rsid w:val="00E125F6"/>
    <w:rsid w:val="00E1279F"/>
    <w:rsid w:val="00E13DCA"/>
    <w:rsid w:val="00E172F4"/>
    <w:rsid w:val="00E176C4"/>
    <w:rsid w:val="00E202D3"/>
    <w:rsid w:val="00E20E13"/>
    <w:rsid w:val="00E21DBC"/>
    <w:rsid w:val="00E224C7"/>
    <w:rsid w:val="00E2261C"/>
    <w:rsid w:val="00E22763"/>
    <w:rsid w:val="00E231F7"/>
    <w:rsid w:val="00E24306"/>
    <w:rsid w:val="00E24A16"/>
    <w:rsid w:val="00E25276"/>
    <w:rsid w:val="00E255CC"/>
    <w:rsid w:val="00E261A1"/>
    <w:rsid w:val="00E273E1"/>
    <w:rsid w:val="00E275D7"/>
    <w:rsid w:val="00E2789B"/>
    <w:rsid w:val="00E27DBE"/>
    <w:rsid w:val="00E319AA"/>
    <w:rsid w:val="00E32886"/>
    <w:rsid w:val="00E32AB1"/>
    <w:rsid w:val="00E336FD"/>
    <w:rsid w:val="00E33B63"/>
    <w:rsid w:val="00E33E63"/>
    <w:rsid w:val="00E3423F"/>
    <w:rsid w:val="00E3578D"/>
    <w:rsid w:val="00E35CD2"/>
    <w:rsid w:val="00E35EF9"/>
    <w:rsid w:val="00E36C71"/>
    <w:rsid w:val="00E40404"/>
    <w:rsid w:val="00E40A9F"/>
    <w:rsid w:val="00E41647"/>
    <w:rsid w:val="00E43A24"/>
    <w:rsid w:val="00E452B3"/>
    <w:rsid w:val="00E458FC"/>
    <w:rsid w:val="00E45BDB"/>
    <w:rsid w:val="00E46219"/>
    <w:rsid w:val="00E46527"/>
    <w:rsid w:val="00E47589"/>
    <w:rsid w:val="00E515A4"/>
    <w:rsid w:val="00E527E1"/>
    <w:rsid w:val="00E549AD"/>
    <w:rsid w:val="00E551FF"/>
    <w:rsid w:val="00E559F0"/>
    <w:rsid w:val="00E56674"/>
    <w:rsid w:val="00E56BF6"/>
    <w:rsid w:val="00E6021F"/>
    <w:rsid w:val="00E604CB"/>
    <w:rsid w:val="00E6056C"/>
    <w:rsid w:val="00E6067F"/>
    <w:rsid w:val="00E61336"/>
    <w:rsid w:val="00E62D02"/>
    <w:rsid w:val="00E64915"/>
    <w:rsid w:val="00E661D4"/>
    <w:rsid w:val="00E66E4D"/>
    <w:rsid w:val="00E66FBD"/>
    <w:rsid w:val="00E67AA0"/>
    <w:rsid w:val="00E67D04"/>
    <w:rsid w:val="00E70091"/>
    <w:rsid w:val="00E70109"/>
    <w:rsid w:val="00E7096C"/>
    <w:rsid w:val="00E709A5"/>
    <w:rsid w:val="00E7197A"/>
    <w:rsid w:val="00E720F5"/>
    <w:rsid w:val="00E735E1"/>
    <w:rsid w:val="00E7445B"/>
    <w:rsid w:val="00E74E1F"/>
    <w:rsid w:val="00E76D47"/>
    <w:rsid w:val="00E77964"/>
    <w:rsid w:val="00E81431"/>
    <w:rsid w:val="00E822A6"/>
    <w:rsid w:val="00E82363"/>
    <w:rsid w:val="00E84707"/>
    <w:rsid w:val="00E849F7"/>
    <w:rsid w:val="00E85811"/>
    <w:rsid w:val="00E85F1B"/>
    <w:rsid w:val="00E867A7"/>
    <w:rsid w:val="00E873A4"/>
    <w:rsid w:val="00E90150"/>
    <w:rsid w:val="00E90302"/>
    <w:rsid w:val="00E91724"/>
    <w:rsid w:val="00E91CC6"/>
    <w:rsid w:val="00E93057"/>
    <w:rsid w:val="00E9469C"/>
    <w:rsid w:val="00E9489E"/>
    <w:rsid w:val="00E94904"/>
    <w:rsid w:val="00E9490F"/>
    <w:rsid w:val="00E97396"/>
    <w:rsid w:val="00E9739D"/>
    <w:rsid w:val="00E97595"/>
    <w:rsid w:val="00E976B6"/>
    <w:rsid w:val="00E97A04"/>
    <w:rsid w:val="00EA185E"/>
    <w:rsid w:val="00EA34D5"/>
    <w:rsid w:val="00EA39A7"/>
    <w:rsid w:val="00EA428B"/>
    <w:rsid w:val="00EA4F97"/>
    <w:rsid w:val="00EA50F5"/>
    <w:rsid w:val="00EA592A"/>
    <w:rsid w:val="00EA6DAD"/>
    <w:rsid w:val="00EA73D5"/>
    <w:rsid w:val="00EA78E6"/>
    <w:rsid w:val="00EB32A5"/>
    <w:rsid w:val="00EB34ED"/>
    <w:rsid w:val="00EB62CE"/>
    <w:rsid w:val="00EB689C"/>
    <w:rsid w:val="00EB7BE0"/>
    <w:rsid w:val="00EC2A2B"/>
    <w:rsid w:val="00EC315E"/>
    <w:rsid w:val="00EC34E6"/>
    <w:rsid w:val="00EC44D0"/>
    <w:rsid w:val="00EC49BE"/>
    <w:rsid w:val="00EC4ECD"/>
    <w:rsid w:val="00EC609C"/>
    <w:rsid w:val="00EC65AB"/>
    <w:rsid w:val="00ED077C"/>
    <w:rsid w:val="00ED0859"/>
    <w:rsid w:val="00ED1190"/>
    <w:rsid w:val="00ED1265"/>
    <w:rsid w:val="00ED18E8"/>
    <w:rsid w:val="00ED3759"/>
    <w:rsid w:val="00ED3D5D"/>
    <w:rsid w:val="00ED57FC"/>
    <w:rsid w:val="00ED6185"/>
    <w:rsid w:val="00ED63DC"/>
    <w:rsid w:val="00ED6544"/>
    <w:rsid w:val="00ED70BD"/>
    <w:rsid w:val="00ED7421"/>
    <w:rsid w:val="00ED752A"/>
    <w:rsid w:val="00EE0277"/>
    <w:rsid w:val="00EE098D"/>
    <w:rsid w:val="00EE0B90"/>
    <w:rsid w:val="00EE0E0C"/>
    <w:rsid w:val="00EE3E00"/>
    <w:rsid w:val="00EF1046"/>
    <w:rsid w:val="00EF281F"/>
    <w:rsid w:val="00EF3A71"/>
    <w:rsid w:val="00EF4FD9"/>
    <w:rsid w:val="00EF5743"/>
    <w:rsid w:val="00EF5B99"/>
    <w:rsid w:val="00F00A79"/>
    <w:rsid w:val="00F00E4A"/>
    <w:rsid w:val="00F00E86"/>
    <w:rsid w:val="00F01BF1"/>
    <w:rsid w:val="00F02AFF"/>
    <w:rsid w:val="00F02B43"/>
    <w:rsid w:val="00F03E6E"/>
    <w:rsid w:val="00F04194"/>
    <w:rsid w:val="00F05DD2"/>
    <w:rsid w:val="00F0624D"/>
    <w:rsid w:val="00F07C1E"/>
    <w:rsid w:val="00F07CD9"/>
    <w:rsid w:val="00F105DB"/>
    <w:rsid w:val="00F10D88"/>
    <w:rsid w:val="00F132BC"/>
    <w:rsid w:val="00F13C80"/>
    <w:rsid w:val="00F152E7"/>
    <w:rsid w:val="00F15424"/>
    <w:rsid w:val="00F16AAA"/>
    <w:rsid w:val="00F16B2B"/>
    <w:rsid w:val="00F21161"/>
    <w:rsid w:val="00F218EF"/>
    <w:rsid w:val="00F21BC7"/>
    <w:rsid w:val="00F22642"/>
    <w:rsid w:val="00F226AF"/>
    <w:rsid w:val="00F258FC"/>
    <w:rsid w:val="00F266A2"/>
    <w:rsid w:val="00F26BB9"/>
    <w:rsid w:val="00F2721E"/>
    <w:rsid w:val="00F2748E"/>
    <w:rsid w:val="00F279C6"/>
    <w:rsid w:val="00F300BF"/>
    <w:rsid w:val="00F3017B"/>
    <w:rsid w:val="00F3036F"/>
    <w:rsid w:val="00F321C8"/>
    <w:rsid w:val="00F32269"/>
    <w:rsid w:val="00F334A6"/>
    <w:rsid w:val="00F334E4"/>
    <w:rsid w:val="00F34AB2"/>
    <w:rsid w:val="00F370B3"/>
    <w:rsid w:val="00F371DF"/>
    <w:rsid w:val="00F41BAA"/>
    <w:rsid w:val="00F44772"/>
    <w:rsid w:val="00F467D6"/>
    <w:rsid w:val="00F46A20"/>
    <w:rsid w:val="00F50060"/>
    <w:rsid w:val="00F513D6"/>
    <w:rsid w:val="00F52252"/>
    <w:rsid w:val="00F5365F"/>
    <w:rsid w:val="00F5486D"/>
    <w:rsid w:val="00F54C93"/>
    <w:rsid w:val="00F558F6"/>
    <w:rsid w:val="00F56A6F"/>
    <w:rsid w:val="00F5709C"/>
    <w:rsid w:val="00F625FC"/>
    <w:rsid w:val="00F6274E"/>
    <w:rsid w:val="00F629BF"/>
    <w:rsid w:val="00F64EF1"/>
    <w:rsid w:val="00F65D82"/>
    <w:rsid w:val="00F679B7"/>
    <w:rsid w:val="00F7179C"/>
    <w:rsid w:val="00F71F4F"/>
    <w:rsid w:val="00F71F53"/>
    <w:rsid w:val="00F76BC8"/>
    <w:rsid w:val="00F80817"/>
    <w:rsid w:val="00F808CB"/>
    <w:rsid w:val="00F8222B"/>
    <w:rsid w:val="00F82EFC"/>
    <w:rsid w:val="00F82FF0"/>
    <w:rsid w:val="00F83906"/>
    <w:rsid w:val="00F83E1C"/>
    <w:rsid w:val="00F83FD2"/>
    <w:rsid w:val="00F85880"/>
    <w:rsid w:val="00F8590F"/>
    <w:rsid w:val="00F86402"/>
    <w:rsid w:val="00F8765F"/>
    <w:rsid w:val="00F8776B"/>
    <w:rsid w:val="00F90767"/>
    <w:rsid w:val="00F917C9"/>
    <w:rsid w:val="00F94052"/>
    <w:rsid w:val="00F95CC6"/>
    <w:rsid w:val="00F96437"/>
    <w:rsid w:val="00F968B8"/>
    <w:rsid w:val="00F97524"/>
    <w:rsid w:val="00FA0BF4"/>
    <w:rsid w:val="00FA0D99"/>
    <w:rsid w:val="00FA12FB"/>
    <w:rsid w:val="00FA3004"/>
    <w:rsid w:val="00FA39AA"/>
    <w:rsid w:val="00FA685B"/>
    <w:rsid w:val="00FA6977"/>
    <w:rsid w:val="00FA7ED1"/>
    <w:rsid w:val="00FB08F3"/>
    <w:rsid w:val="00FB0C01"/>
    <w:rsid w:val="00FB37C5"/>
    <w:rsid w:val="00FB3FCE"/>
    <w:rsid w:val="00FB4229"/>
    <w:rsid w:val="00FB448F"/>
    <w:rsid w:val="00FB4531"/>
    <w:rsid w:val="00FB51E3"/>
    <w:rsid w:val="00FB7638"/>
    <w:rsid w:val="00FB7A2D"/>
    <w:rsid w:val="00FC0CF1"/>
    <w:rsid w:val="00FC1732"/>
    <w:rsid w:val="00FC18F2"/>
    <w:rsid w:val="00FC1BD0"/>
    <w:rsid w:val="00FC26ED"/>
    <w:rsid w:val="00FC2972"/>
    <w:rsid w:val="00FC2977"/>
    <w:rsid w:val="00FC3175"/>
    <w:rsid w:val="00FC39E5"/>
    <w:rsid w:val="00FC3A78"/>
    <w:rsid w:val="00FC3CFC"/>
    <w:rsid w:val="00FC4905"/>
    <w:rsid w:val="00FC5F60"/>
    <w:rsid w:val="00FC6632"/>
    <w:rsid w:val="00FC7C7B"/>
    <w:rsid w:val="00FD04DE"/>
    <w:rsid w:val="00FD0710"/>
    <w:rsid w:val="00FD1005"/>
    <w:rsid w:val="00FD3052"/>
    <w:rsid w:val="00FD4FC2"/>
    <w:rsid w:val="00FD6887"/>
    <w:rsid w:val="00FD6C75"/>
    <w:rsid w:val="00FE01B9"/>
    <w:rsid w:val="00FE0601"/>
    <w:rsid w:val="00FE16F6"/>
    <w:rsid w:val="00FE1BA0"/>
    <w:rsid w:val="00FE1C46"/>
    <w:rsid w:val="00FE2A36"/>
    <w:rsid w:val="00FE4FBA"/>
    <w:rsid w:val="00FE623B"/>
    <w:rsid w:val="00FE71B3"/>
    <w:rsid w:val="00FE7BAB"/>
    <w:rsid w:val="00FF12FF"/>
    <w:rsid w:val="00FF2341"/>
    <w:rsid w:val="00FF3220"/>
    <w:rsid w:val="00FF3EDF"/>
    <w:rsid w:val="00FF42C5"/>
    <w:rsid w:val="00FF4633"/>
    <w:rsid w:val="00FF4E8C"/>
    <w:rsid w:val="00FF56D5"/>
    <w:rsid w:val="00FF6B08"/>
    <w:rsid w:val="00FF7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52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48" w:unhideWhenUsed="1"/>
    <w:lsdException w:name="footer" w:semiHidden="1" w:uiPriority="4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iPriority="0"/>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646F6"/>
  </w:style>
  <w:style w:type="paragraph" w:styleId="Heading1">
    <w:name w:val="heading 1"/>
    <w:basedOn w:val="Normal"/>
    <w:next w:val="Normal"/>
    <w:link w:val="Heading1Char"/>
    <w:uiPriority w:val="99"/>
    <w:rsid w:val="00DC579E"/>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DC579E"/>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DC579E"/>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DC579E"/>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DC579E"/>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DC579E"/>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DC579E"/>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DC579E"/>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DC579E"/>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C579E"/>
    <w:rPr>
      <w:rFonts w:ascii="Tahoma" w:hAnsi="Tahoma" w:cs="Tahoma"/>
      <w:sz w:val="16"/>
      <w:szCs w:val="16"/>
    </w:rPr>
  </w:style>
  <w:style w:type="character" w:customStyle="1" w:styleId="BalloonTextChar">
    <w:name w:val="Balloon Text Char"/>
    <w:basedOn w:val="DefaultParagraphFont"/>
    <w:link w:val="BalloonText"/>
    <w:uiPriority w:val="99"/>
    <w:semiHidden/>
    <w:rsid w:val="00DC579E"/>
    <w:rPr>
      <w:rFonts w:ascii="Tahoma" w:hAnsi="Tahoma" w:cs="Tahoma"/>
      <w:sz w:val="16"/>
      <w:szCs w:val="16"/>
    </w:rPr>
  </w:style>
  <w:style w:type="character" w:styleId="BookTitle">
    <w:name w:val="Book Title"/>
    <w:uiPriority w:val="99"/>
    <w:semiHidden/>
    <w:qFormat/>
    <w:rsid w:val="00DC579E"/>
    <w:rPr>
      <w:i/>
      <w:iCs/>
      <w:smallCaps/>
      <w:spacing w:val="5"/>
    </w:rPr>
  </w:style>
  <w:style w:type="paragraph" w:styleId="NoSpacing">
    <w:name w:val="No Spacing"/>
    <w:basedOn w:val="Normal"/>
    <w:link w:val="NoSpacingChar"/>
    <w:semiHidden/>
    <w:qFormat/>
    <w:rsid w:val="00DC579E"/>
  </w:style>
  <w:style w:type="character" w:customStyle="1" w:styleId="NoSpacingChar">
    <w:name w:val="No Spacing Char"/>
    <w:basedOn w:val="DefaultParagraphFont"/>
    <w:link w:val="NoSpacing"/>
    <w:semiHidden/>
    <w:rsid w:val="00DC579E"/>
  </w:style>
  <w:style w:type="paragraph" w:customStyle="1" w:styleId="DummyStyle">
    <w:name w:val="Dummy_Style"/>
    <w:basedOn w:val="Normal"/>
    <w:qFormat/>
    <w:rsid w:val="00DC579E"/>
    <w:rPr>
      <w:color w:val="00B050"/>
    </w:rPr>
  </w:style>
  <w:style w:type="numbering" w:customStyle="1" w:styleId="ECHRA1StyleNumberedList">
    <w:name w:val="ECHR_A1_Style_Numbered_List"/>
    <w:basedOn w:val="NoList"/>
    <w:rsid w:val="00DC579E"/>
    <w:pPr>
      <w:numPr>
        <w:numId w:val="3"/>
      </w:numPr>
    </w:pPr>
  </w:style>
  <w:style w:type="paragraph" w:customStyle="1" w:styleId="ECHRCoverTitle1">
    <w:name w:val="ECHR_Cover_Title_1"/>
    <w:aliases w:val="Cover_1"/>
    <w:basedOn w:val="Normal"/>
    <w:next w:val="ECHRCoverTitle2"/>
    <w:uiPriority w:val="24"/>
    <w:qFormat/>
    <w:rsid w:val="00DC579E"/>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DC579E"/>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uiPriority w:val="99"/>
    <w:semiHidden/>
    <w:qFormat/>
    <w:rsid w:val="00DC579E"/>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DC579E"/>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DC579E"/>
    <w:pPr>
      <w:spacing w:before="1680" w:after="1080"/>
      <w:contextualSpacing/>
      <w:jc w:val="center"/>
    </w:pPr>
    <w:rPr>
      <w:color w:val="2F2F2F" w:themeColor="accent3" w:themeShade="80"/>
      <w:sz w:val="24"/>
    </w:rPr>
  </w:style>
  <w:style w:type="paragraph" w:customStyle="1" w:styleId="NormalJustified">
    <w:name w:val="Normal_Justified"/>
    <w:basedOn w:val="Normal"/>
    <w:semiHidden/>
    <w:rsid w:val="00DC579E"/>
    <w:pPr>
      <w:jc w:val="both"/>
    </w:pPr>
  </w:style>
  <w:style w:type="paragraph" w:customStyle="1" w:styleId="ECHRBullet3">
    <w:name w:val="ECHR_Bullet_3"/>
    <w:aliases w:val="Bul_3"/>
    <w:basedOn w:val="ECHRBullet2"/>
    <w:uiPriority w:val="8"/>
    <w:rsid w:val="00DC579E"/>
    <w:pPr>
      <w:numPr>
        <w:ilvl w:val="2"/>
      </w:numPr>
    </w:pPr>
  </w:style>
  <w:style w:type="paragraph" w:customStyle="1" w:styleId="ECHRBullet4">
    <w:name w:val="ECHR_Bullet_4"/>
    <w:aliases w:val="Bul_4"/>
    <w:basedOn w:val="ECHRBullet3"/>
    <w:uiPriority w:val="8"/>
    <w:rsid w:val="00DC579E"/>
    <w:pPr>
      <w:numPr>
        <w:ilvl w:val="3"/>
      </w:numPr>
    </w:pPr>
  </w:style>
  <w:style w:type="paragraph" w:customStyle="1" w:styleId="ECHRConfidential">
    <w:name w:val="ECHR_Confidential"/>
    <w:aliases w:val="Confidential"/>
    <w:basedOn w:val="Normal"/>
    <w:uiPriority w:val="30"/>
    <w:qFormat/>
    <w:rsid w:val="008C70C0"/>
    <w:pPr>
      <w:jc w:val="right"/>
    </w:pPr>
    <w:rPr>
      <w:color w:val="C00000"/>
      <w:sz w:val="20"/>
    </w:rPr>
  </w:style>
  <w:style w:type="paragraph" w:customStyle="1" w:styleId="ECHRDecisionBody">
    <w:name w:val="ECHR_Decision_Body"/>
    <w:aliases w:val="_Decision_Body"/>
    <w:basedOn w:val="NormalJustified"/>
    <w:uiPriority w:val="54"/>
    <w:semiHidden/>
    <w:rsid w:val="00DC579E"/>
    <w:pPr>
      <w:tabs>
        <w:tab w:val="left" w:pos="567"/>
        <w:tab w:val="left" w:pos="1134"/>
      </w:tabs>
      <w:spacing w:line="240" w:lineRule="exact"/>
      <w:jc w:val="left"/>
    </w:pPr>
    <w:rPr>
      <w:rFonts w:eastAsiaTheme="minorEastAsia"/>
    </w:rPr>
  </w:style>
  <w:style w:type="paragraph" w:customStyle="1" w:styleId="ECHRParaSpaced">
    <w:name w:val="ECHR_Para_Spaced"/>
    <w:aliases w:val="Para_Spaced,_Para_Spaced"/>
    <w:basedOn w:val="Normal"/>
    <w:link w:val="ECHRParaSpacedChar"/>
    <w:uiPriority w:val="5"/>
    <w:qFormat/>
    <w:rsid w:val="008C70C0"/>
    <w:pPr>
      <w:spacing w:before="120" w:after="120"/>
      <w:jc w:val="both"/>
    </w:pPr>
  </w:style>
  <w:style w:type="paragraph" w:customStyle="1" w:styleId="ECHRDivisionName">
    <w:name w:val="ECHR_DivisionName"/>
    <w:aliases w:val="Div_Name"/>
    <w:basedOn w:val="Normal"/>
    <w:link w:val="ECHRDivisionNameChar"/>
    <w:uiPriority w:val="29"/>
    <w:qFormat/>
    <w:rsid w:val="00DC579E"/>
    <w:rPr>
      <w:b/>
      <w:color w:val="0072BC" w:themeColor="accent1"/>
    </w:rPr>
  </w:style>
  <w:style w:type="paragraph" w:styleId="Header">
    <w:name w:val="header"/>
    <w:basedOn w:val="Normal"/>
    <w:link w:val="HeaderChar"/>
    <w:uiPriority w:val="48"/>
    <w:semiHidden/>
    <w:rsid w:val="00DC579E"/>
    <w:pPr>
      <w:tabs>
        <w:tab w:val="center" w:pos="4536"/>
        <w:tab w:val="right" w:pos="9696"/>
      </w:tabs>
      <w:ind w:left="-680" w:right="-680"/>
    </w:pPr>
  </w:style>
  <w:style w:type="character" w:customStyle="1" w:styleId="HeaderChar">
    <w:name w:val="Header Char"/>
    <w:basedOn w:val="DefaultParagraphFont"/>
    <w:link w:val="Header"/>
    <w:uiPriority w:val="48"/>
    <w:semiHidden/>
    <w:rsid w:val="00DC579E"/>
  </w:style>
  <w:style w:type="character" w:customStyle="1" w:styleId="Heading1Char">
    <w:name w:val="Heading 1 Char"/>
    <w:basedOn w:val="DefaultParagraphFont"/>
    <w:link w:val="Heading1"/>
    <w:uiPriority w:val="99"/>
    <w:rsid w:val="00DC579E"/>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A11F94"/>
    <w:pPr>
      <w:keepNext/>
      <w:keepLines/>
      <w:numPr>
        <w:numId w:val="30"/>
      </w:numPr>
      <w:spacing w:before="600" w:after="120"/>
      <w:ind w:left="34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DC579E"/>
    <w:pPr>
      <w:keepNext/>
      <w:keepLines/>
      <w:numPr>
        <w:ilvl w:val="1"/>
        <w:numId w:val="30"/>
      </w:numPr>
      <w:spacing w:before="240"/>
      <w:contextualSpacing/>
    </w:pPr>
    <w:rPr>
      <w:bCs w:val="0"/>
      <w:color w:val="2F2F2F" w:themeColor="accent3" w:themeShade="80"/>
      <w:sz w:val="32"/>
    </w:rPr>
  </w:style>
  <w:style w:type="character" w:customStyle="1" w:styleId="Heading2Char">
    <w:name w:val="Heading 2 Char"/>
    <w:basedOn w:val="DefaultParagraphFont"/>
    <w:link w:val="Heading2"/>
    <w:uiPriority w:val="99"/>
    <w:semiHidden/>
    <w:rsid w:val="00DC579E"/>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DC579E"/>
    <w:pPr>
      <w:keepNext/>
      <w:keepLines/>
      <w:numPr>
        <w:ilvl w:val="2"/>
        <w:numId w:val="30"/>
      </w:numPr>
      <w:spacing w:before="240" w:line="240" w:lineRule="auto"/>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DC579E"/>
    <w:pPr>
      <w:keepNext/>
      <w:keepLines/>
      <w:numPr>
        <w:ilvl w:val="3"/>
        <w:numId w:val="30"/>
      </w:numPr>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uiPriority w:val="99"/>
    <w:semiHidden/>
    <w:rsid w:val="00DC579E"/>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DC579E"/>
    <w:pPr>
      <w:keepNext/>
      <w:keepLines/>
      <w:numPr>
        <w:ilvl w:val="4"/>
        <w:numId w:val="30"/>
      </w:numPr>
      <w:spacing w:before="240"/>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DC579E"/>
    <w:pPr>
      <w:keepNext/>
      <w:keepLines/>
      <w:numPr>
        <w:ilvl w:val="5"/>
        <w:numId w:val="30"/>
      </w:numPr>
      <w:spacing w:before="240" w:line="240" w:lineRule="auto"/>
      <w:contextualSpacing/>
    </w:pPr>
    <w:rPr>
      <w:color w:val="2F2F2F" w:themeColor="accent3" w:themeShade="80"/>
    </w:rPr>
  </w:style>
  <w:style w:type="character" w:customStyle="1" w:styleId="Heading4Char">
    <w:name w:val="Heading 4 Char"/>
    <w:basedOn w:val="DefaultParagraphFont"/>
    <w:link w:val="Heading4"/>
    <w:uiPriority w:val="99"/>
    <w:semiHidden/>
    <w:rsid w:val="00DC579E"/>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DC579E"/>
    <w:pPr>
      <w:keepNext/>
      <w:keepLines/>
      <w:numPr>
        <w:ilvl w:val="6"/>
        <w:numId w:val="30"/>
      </w:numPr>
      <w:spacing w:before="240"/>
      <w:contextualSpacing/>
    </w:pPr>
    <w:rPr>
      <w:color w:val="2F2F2F" w:themeColor="accent3" w:themeShade="80"/>
    </w:rPr>
  </w:style>
  <w:style w:type="character" w:customStyle="1" w:styleId="Heading5Char">
    <w:name w:val="Heading 5 Char"/>
    <w:basedOn w:val="DefaultParagraphFont"/>
    <w:link w:val="Heading5"/>
    <w:uiPriority w:val="99"/>
    <w:semiHidden/>
    <w:rsid w:val="00DC579E"/>
    <w:rPr>
      <w:rFonts w:asciiTheme="majorHAnsi" w:eastAsiaTheme="majorEastAsia" w:hAnsiTheme="majorHAnsi" w:cstheme="majorBidi"/>
      <w:b/>
      <w:bCs/>
      <w:color w:val="808080"/>
    </w:rPr>
  </w:style>
  <w:style w:type="character" w:customStyle="1" w:styleId="ECHRDivisionNameChar">
    <w:name w:val="ECHR_DivisionName Char"/>
    <w:aliases w:val="Div_Name Char"/>
    <w:basedOn w:val="DefaultParagraphFont"/>
    <w:link w:val="ECHRDivisionName"/>
    <w:uiPriority w:val="29"/>
    <w:rsid w:val="00DC579E"/>
    <w:rPr>
      <w:b/>
      <w:color w:val="0072BC" w:themeColor="accent1"/>
    </w:rPr>
  </w:style>
  <w:style w:type="paragraph" w:customStyle="1" w:styleId="ECHRFooter">
    <w:name w:val="ECHR_Footer"/>
    <w:aliases w:val="Footer_ECHR"/>
    <w:basedOn w:val="Footer"/>
    <w:uiPriority w:val="40"/>
    <w:rsid w:val="00DC579E"/>
    <w:pPr>
      <w:tabs>
        <w:tab w:val="clear" w:pos="9696"/>
        <w:tab w:val="right" w:pos="9072"/>
      </w:tabs>
      <w:ind w:left="0" w:right="0"/>
    </w:pPr>
    <w:rPr>
      <w:sz w:val="20"/>
    </w:rPr>
  </w:style>
  <w:style w:type="character" w:styleId="SubtleEmphasis">
    <w:name w:val="Subtle Emphasis"/>
    <w:uiPriority w:val="99"/>
    <w:semiHidden/>
    <w:qFormat/>
    <w:rsid w:val="00DC579E"/>
    <w:rPr>
      <w:i/>
      <w:iCs/>
    </w:rPr>
  </w:style>
  <w:style w:type="paragraph" w:customStyle="1" w:styleId="ECHRFooterLine">
    <w:name w:val="ECHR_Footer_Line"/>
    <w:aliases w:val="Footer_Line"/>
    <w:basedOn w:val="Normal"/>
    <w:next w:val="Normal"/>
    <w:uiPriority w:val="41"/>
    <w:rsid w:val="00DC579E"/>
    <w:pPr>
      <w:pBdr>
        <w:top w:val="single" w:sz="12" w:space="1" w:color="9F9F9F" w:themeColor="accent3" w:themeTint="99"/>
      </w:pBdr>
      <w:tabs>
        <w:tab w:val="center" w:pos="4536"/>
        <w:tab w:val="right" w:pos="9696"/>
      </w:tabs>
      <w:ind w:left="-680" w:right="-680"/>
    </w:pPr>
    <w:rPr>
      <w:color w:val="474747" w:themeColor="accent3" w:themeShade="BF"/>
    </w:rPr>
  </w:style>
  <w:style w:type="table" w:customStyle="1" w:styleId="ECHRTable">
    <w:name w:val="ECHR_Table"/>
    <w:basedOn w:val="TableNormal"/>
    <w:rsid w:val="00DC579E"/>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DC579E"/>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FooterLineLandscape">
    <w:name w:val="ECHR_Footer_Line_Landscape"/>
    <w:aliases w:val="Footer_Line_Landscape"/>
    <w:basedOn w:val="ECHRFooterLine"/>
    <w:uiPriority w:val="42"/>
    <w:rsid w:val="00DC579E"/>
    <w:pPr>
      <w:tabs>
        <w:tab w:val="clear" w:pos="4536"/>
        <w:tab w:val="clear" w:pos="9696"/>
        <w:tab w:val="center" w:pos="6787"/>
        <w:tab w:val="right" w:pos="14640"/>
      </w:tabs>
    </w:pPr>
  </w:style>
  <w:style w:type="paragraph" w:customStyle="1" w:styleId="ECHRHeader">
    <w:name w:val="ECHR_Header"/>
    <w:aliases w:val="Top_Header"/>
    <w:basedOn w:val="Header"/>
    <w:uiPriority w:val="39"/>
    <w:rsid w:val="00DC579E"/>
    <w:pPr>
      <w:jc w:val="center"/>
    </w:pPr>
    <w:rPr>
      <w:sz w:val="20"/>
    </w:rPr>
  </w:style>
  <w:style w:type="paragraph" w:customStyle="1" w:styleId="ECHRHeaderDate">
    <w:name w:val="ECHR_Header_Date"/>
    <w:aliases w:val="Ref_Date"/>
    <w:basedOn w:val="Normal"/>
    <w:uiPriority w:val="32"/>
    <w:qFormat/>
    <w:rsid w:val="00DC579E"/>
    <w:pPr>
      <w:jc w:val="right"/>
    </w:pPr>
    <w:rPr>
      <w:sz w:val="20"/>
    </w:rPr>
  </w:style>
  <w:style w:type="character" w:styleId="Emphasis">
    <w:name w:val="Emphasis"/>
    <w:uiPriority w:val="99"/>
    <w:semiHidden/>
    <w:qFormat/>
    <w:rsid w:val="00DC579E"/>
    <w:rPr>
      <w:b/>
      <w:bCs/>
      <w:i/>
      <w:iCs/>
      <w:spacing w:val="10"/>
      <w:bdr w:val="none" w:sz="0" w:space="0" w:color="auto"/>
      <w:shd w:val="clear" w:color="auto" w:fill="auto"/>
    </w:rPr>
  </w:style>
  <w:style w:type="paragraph" w:styleId="Footer">
    <w:name w:val="footer"/>
    <w:basedOn w:val="Normal"/>
    <w:link w:val="FooterChar"/>
    <w:uiPriority w:val="49"/>
    <w:semiHidden/>
    <w:rsid w:val="00DC579E"/>
    <w:pPr>
      <w:tabs>
        <w:tab w:val="center" w:pos="4536"/>
        <w:tab w:val="right" w:pos="9696"/>
      </w:tabs>
      <w:ind w:left="-680" w:right="-680"/>
    </w:pPr>
  </w:style>
  <w:style w:type="character" w:customStyle="1" w:styleId="FooterChar">
    <w:name w:val="Footer Char"/>
    <w:basedOn w:val="DefaultParagraphFont"/>
    <w:link w:val="Footer"/>
    <w:uiPriority w:val="49"/>
    <w:semiHidden/>
    <w:rsid w:val="00DC579E"/>
  </w:style>
  <w:style w:type="character" w:styleId="FootnoteReference">
    <w:name w:val="footnote reference"/>
    <w:basedOn w:val="DefaultParagraphFont"/>
    <w:uiPriority w:val="99"/>
    <w:semiHidden/>
    <w:rsid w:val="00DC579E"/>
    <w:rPr>
      <w:vertAlign w:val="superscript"/>
    </w:rPr>
  </w:style>
  <w:style w:type="paragraph" w:styleId="FootnoteText">
    <w:name w:val="footnote text"/>
    <w:basedOn w:val="NormalJustified"/>
    <w:link w:val="FootnoteTextChar"/>
    <w:uiPriority w:val="99"/>
    <w:rsid w:val="00DC579E"/>
    <w:rPr>
      <w:sz w:val="20"/>
      <w:szCs w:val="20"/>
    </w:rPr>
  </w:style>
  <w:style w:type="character" w:customStyle="1" w:styleId="FootnoteTextChar">
    <w:name w:val="Footnote Text Char"/>
    <w:basedOn w:val="DefaultParagraphFont"/>
    <w:link w:val="FootnoteText"/>
    <w:uiPriority w:val="99"/>
    <w:rsid w:val="00DC579E"/>
    <w:rPr>
      <w:sz w:val="20"/>
      <w:szCs w:val="20"/>
    </w:rPr>
  </w:style>
  <w:style w:type="character" w:customStyle="1" w:styleId="Heading6Char">
    <w:name w:val="Heading 6 Char"/>
    <w:basedOn w:val="DefaultParagraphFont"/>
    <w:link w:val="Heading6"/>
    <w:uiPriority w:val="99"/>
    <w:semiHidden/>
    <w:rsid w:val="00DC579E"/>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DC579E"/>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DC579E"/>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DC579E"/>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E115F3"/>
    <w:rPr>
      <w:i/>
      <w:color w:val="0072BC" w:themeColor="accent1"/>
    </w:rPr>
  </w:style>
  <w:style w:type="character" w:styleId="IntenseEmphasis">
    <w:name w:val="Intense Emphasis"/>
    <w:uiPriority w:val="99"/>
    <w:semiHidden/>
    <w:qFormat/>
    <w:rsid w:val="00DC579E"/>
    <w:rPr>
      <w:b/>
      <w:bCs/>
    </w:rPr>
  </w:style>
  <w:style w:type="paragraph" w:styleId="IntenseQuote">
    <w:name w:val="Intense Quote"/>
    <w:basedOn w:val="Normal"/>
    <w:next w:val="Normal"/>
    <w:link w:val="IntenseQuoteChar"/>
    <w:uiPriority w:val="99"/>
    <w:semiHidden/>
    <w:qFormat/>
    <w:rsid w:val="00DC579E"/>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DC579E"/>
    <w:rPr>
      <w:b/>
      <w:bCs/>
      <w:i/>
      <w:iCs/>
      <w:lang w:bidi="en-US"/>
    </w:rPr>
  </w:style>
  <w:style w:type="character" w:styleId="IntenseReference">
    <w:name w:val="Intense Reference"/>
    <w:uiPriority w:val="99"/>
    <w:semiHidden/>
    <w:qFormat/>
    <w:rsid w:val="00DC579E"/>
    <w:rPr>
      <w:smallCaps/>
      <w:spacing w:val="5"/>
      <w:u w:val="single"/>
    </w:rPr>
  </w:style>
  <w:style w:type="paragraph" w:styleId="ListParagraph">
    <w:name w:val="List Paragraph"/>
    <w:basedOn w:val="Normal"/>
    <w:uiPriority w:val="99"/>
    <w:semiHidden/>
    <w:qFormat/>
    <w:rsid w:val="00DC579E"/>
    <w:pPr>
      <w:ind w:left="720"/>
      <w:contextualSpacing/>
    </w:pPr>
  </w:style>
  <w:style w:type="table" w:customStyle="1" w:styleId="LtrTableAddress">
    <w:name w:val="Ltr_Table_Address"/>
    <w:basedOn w:val="TableNormal"/>
    <w:uiPriority w:val="99"/>
    <w:rsid w:val="00DC579E"/>
    <w:tblPr>
      <w:tblInd w:w="5103" w:type="dxa"/>
    </w:tblPr>
  </w:style>
  <w:style w:type="paragraph" w:styleId="Quote">
    <w:name w:val="Quote"/>
    <w:basedOn w:val="Normal"/>
    <w:next w:val="Normal"/>
    <w:link w:val="QuoteChar"/>
    <w:uiPriority w:val="99"/>
    <w:semiHidden/>
    <w:qFormat/>
    <w:rsid w:val="00DC579E"/>
    <w:pPr>
      <w:spacing w:before="200"/>
      <w:ind w:left="360" w:right="360"/>
    </w:pPr>
    <w:rPr>
      <w:i/>
      <w:iCs/>
      <w:lang w:bidi="en-US"/>
    </w:rPr>
  </w:style>
  <w:style w:type="character" w:customStyle="1" w:styleId="QuoteChar">
    <w:name w:val="Quote Char"/>
    <w:basedOn w:val="DefaultParagraphFont"/>
    <w:link w:val="Quote"/>
    <w:uiPriority w:val="99"/>
    <w:semiHidden/>
    <w:rsid w:val="00DC579E"/>
    <w:rPr>
      <w:i/>
      <w:iCs/>
      <w:lang w:bidi="en-US"/>
    </w:rPr>
  </w:style>
  <w:style w:type="character" w:styleId="SubtleReference">
    <w:name w:val="Subtle Reference"/>
    <w:uiPriority w:val="99"/>
    <w:semiHidden/>
    <w:qFormat/>
    <w:rsid w:val="00DC579E"/>
    <w:rPr>
      <w:smallCaps/>
    </w:rPr>
  </w:style>
  <w:style w:type="table" w:styleId="TableGrid">
    <w:name w:val="Table Grid"/>
    <w:basedOn w:val="TableNormal"/>
    <w:uiPriority w:val="59"/>
    <w:rsid w:val="00DC579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40093"/>
    <w:pPr>
      <w:tabs>
        <w:tab w:val="right" w:leader="dot" w:pos="9017"/>
      </w:tabs>
      <w:spacing w:before="240"/>
      <w:ind w:left="567" w:right="340" w:hanging="567"/>
    </w:pPr>
    <w:rPr>
      <w:b/>
      <w:color w:val="474747" w:themeColor="accent3" w:themeShade="BF"/>
      <w:sz w:val="28"/>
    </w:rPr>
  </w:style>
  <w:style w:type="paragraph" w:styleId="TOC2">
    <w:name w:val="toc 2"/>
    <w:basedOn w:val="Normal"/>
    <w:next w:val="Normal"/>
    <w:autoRedefine/>
    <w:uiPriority w:val="39"/>
    <w:rsid w:val="00DC579E"/>
    <w:pPr>
      <w:spacing w:before="60"/>
      <w:ind w:left="680" w:right="340" w:hanging="340"/>
    </w:pPr>
  </w:style>
  <w:style w:type="paragraph" w:styleId="TOC3">
    <w:name w:val="toc 3"/>
    <w:basedOn w:val="Normal"/>
    <w:next w:val="Normal"/>
    <w:autoRedefine/>
    <w:uiPriority w:val="39"/>
    <w:rsid w:val="00DC579E"/>
    <w:pPr>
      <w:ind w:left="1020" w:right="340" w:hanging="340"/>
    </w:pPr>
  </w:style>
  <w:style w:type="paragraph" w:styleId="TOC4">
    <w:name w:val="toc 4"/>
    <w:basedOn w:val="Normal"/>
    <w:next w:val="Normal"/>
    <w:autoRedefine/>
    <w:uiPriority w:val="39"/>
    <w:rsid w:val="00DC579E"/>
    <w:pPr>
      <w:tabs>
        <w:tab w:val="right" w:leader="dot" w:pos="9017"/>
      </w:tabs>
      <w:ind w:left="1361" w:right="340" w:hanging="340"/>
    </w:pPr>
  </w:style>
  <w:style w:type="paragraph" w:styleId="TOC5">
    <w:name w:val="toc 5"/>
    <w:basedOn w:val="Normal"/>
    <w:next w:val="Normal"/>
    <w:autoRedefine/>
    <w:uiPriority w:val="39"/>
    <w:rsid w:val="00DC579E"/>
    <w:pPr>
      <w:ind w:left="1701" w:right="340" w:hanging="340"/>
    </w:pPr>
  </w:style>
  <w:style w:type="paragraph" w:styleId="TOCHeading">
    <w:name w:val="TOC Heading"/>
    <w:basedOn w:val="ECHRTitleCentre2"/>
    <w:next w:val="Normal"/>
    <w:uiPriority w:val="39"/>
    <w:semiHidden/>
    <w:qFormat/>
    <w:rsid w:val="00DC579E"/>
  </w:style>
  <w:style w:type="table" w:customStyle="1" w:styleId="UGTable">
    <w:name w:val="UG_Table"/>
    <w:basedOn w:val="TableNormal"/>
    <w:uiPriority w:val="99"/>
    <w:rsid w:val="00DC579E"/>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DC579E"/>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DC579E"/>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DC579E"/>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DC579E"/>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DC579E"/>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ECHRTitleCentre2"/>
    <w:next w:val="Normal"/>
    <w:uiPriority w:val="99"/>
    <w:semiHidden/>
    <w:rsid w:val="00DC579E"/>
    <w:rPr>
      <w:rFonts w:eastAsiaTheme="majorEastAsia" w:cstheme="majorBidi"/>
      <w:bCs/>
      <w:szCs w:val="24"/>
    </w:rPr>
  </w:style>
  <w:style w:type="paragraph" w:customStyle="1" w:styleId="ECHRHeaderLandscape">
    <w:name w:val="ECHR_Header_Landscape"/>
    <w:aliases w:val="Header_Landscape"/>
    <w:basedOn w:val="Header"/>
    <w:uiPriority w:val="39"/>
    <w:rsid w:val="00DC579E"/>
    <w:pPr>
      <w:tabs>
        <w:tab w:val="clear" w:pos="4536"/>
        <w:tab w:val="clear" w:pos="9696"/>
        <w:tab w:val="center" w:pos="6787"/>
        <w:tab w:val="right" w:pos="14640"/>
      </w:tabs>
    </w:pPr>
  </w:style>
  <w:style w:type="paragraph" w:customStyle="1" w:styleId="ECHRCoverTitle4">
    <w:name w:val="ECHR_Cover_Title_4"/>
    <w:aliases w:val="Cover_4"/>
    <w:basedOn w:val="NormalJustified"/>
    <w:uiPriority w:val="24"/>
    <w:qFormat/>
    <w:rsid w:val="00DC579E"/>
    <w:pPr>
      <w:tabs>
        <w:tab w:val="right" w:pos="7938"/>
      </w:tabs>
      <w:spacing w:before="120" w:after="120"/>
    </w:pPr>
    <w:rPr>
      <w:color w:val="2F2F2F" w:themeColor="accent3" w:themeShade="80"/>
      <w:sz w:val="20"/>
    </w:rPr>
  </w:style>
  <w:style w:type="paragraph" w:customStyle="1" w:styleId="ECHRParaQuote">
    <w:name w:val="ECHR_Para_Quote"/>
    <w:aliases w:val="Para_Quote,Ju_Quot"/>
    <w:basedOn w:val="ECHRParaSpaced"/>
    <w:next w:val="ECHRParaSpaced"/>
    <w:link w:val="JuQuotChar"/>
    <w:qFormat/>
    <w:rsid w:val="00DC579E"/>
    <w:pPr>
      <w:ind w:left="567"/>
    </w:pPr>
    <w:rPr>
      <w:sz w:val="20"/>
    </w:rPr>
  </w:style>
  <w:style w:type="paragraph" w:customStyle="1" w:styleId="ECHRHeaderRefIt">
    <w:name w:val="ECHR_Header_Ref_It"/>
    <w:aliases w:val="Ref_Ital"/>
    <w:basedOn w:val="Normal"/>
    <w:next w:val="ECHRHeaderDate"/>
    <w:uiPriority w:val="31"/>
    <w:qFormat/>
    <w:rsid w:val="00DC579E"/>
    <w:pPr>
      <w:jc w:val="right"/>
    </w:pPr>
    <w:rPr>
      <w:i/>
      <w:sz w:val="20"/>
    </w:rPr>
  </w:style>
  <w:style w:type="table" w:customStyle="1" w:styleId="ECHRTableSimpleBox">
    <w:name w:val="ECHR_Table_Simple_Box"/>
    <w:basedOn w:val="TableNormal"/>
    <w:uiPriority w:val="99"/>
    <w:rsid w:val="00DC579E"/>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DC579E"/>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Line">
    <w:name w:val="ECHR_Line"/>
    <w:basedOn w:val="NormalJustified"/>
    <w:next w:val="ECHRParaSpaced"/>
    <w:uiPriority w:val="15"/>
    <w:rsid w:val="00DC579E"/>
    <w:pPr>
      <w:pBdr>
        <w:bottom w:val="single" w:sz="12" w:space="1" w:color="949494" w:themeColor="text2" w:themeShade="BF"/>
      </w:pBdr>
      <w:spacing w:after="120"/>
    </w:pPr>
    <w:rPr>
      <w:sz w:val="12"/>
    </w:rPr>
  </w:style>
  <w:style w:type="table" w:customStyle="1" w:styleId="ECHRTableForInternalUse">
    <w:name w:val="ECHR_Table_For_Internal_Use"/>
    <w:basedOn w:val="TableNormal"/>
    <w:uiPriority w:val="99"/>
    <w:rsid w:val="00DC579E"/>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C579E"/>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character" w:customStyle="1" w:styleId="ECHRBold">
    <w:name w:val="ECHR_Bold"/>
    <w:aliases w:val="Bold"/>
    <w:uiPriority w:val="15"/>
    <w:semiHidden/>
    <w:rsid w:val="00DC579E"/>
    <w:rPr>
      <w:b/>
      <w:color w:val="2F2F2F" w:themeColor="accent3" w:themeShade="80"/>
    </w:rPr>
  </w:style>
  <w:style w:type="paragraph" w:customStyle="1" w:styleId="ECHRNumberedList1">
    <w:name w:val="ECHR_Numbered_List_1"/>
    <w:aliases w:val="Num_1"/>
    <w:basedOn w:val="Normal"/>
    <w:uiPriority w:val="9"/>
    <w:qFormat/>
    <w:rsid w:val="00DC579E"/>
    <w:pPr>
      <w:numPr>
        <w:numId w:val="34"/>
      </w:numPr>
      <w:spacing w:before="60" w:after="60"/>
    </w:pPr>
    <w:rPr>
      <w:rFonts w:eastAsiaTheme="minorEastAsia"/>
    </w:rPr>
  </w:style>
  <w:style w:type="table" w:customStyle="1" w:styleId="ECHRHeaderTable">
    <w:name w:val="ECHR_Header_Table"/>
    <w:basedOn w:val="TableNormal"/>
    <w:uiPriority w:val="99"/>
    <w:rsid w:val="00DC579E"/>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NumberedList2">
    <w:name w:val="ECHR_Numbered_List_2"/>
    <w:aliases w:val="Num_2"/>
    <w:basedOn w:val="ECHRNumberedList1"/>
    <w:uiPriority w:val="9"/>
    <w:rsid w:val="00DC579E"/>
    <w:pPr>
      <w:numPr>
        <w:ilvl w:val="1"/>
      </w:numPr>
    </w:pPr>
  </w:style>
  <w:style w:type="paragraph" w:customStyle="1" w:styleId="ECHRNumberedList3">
    <w:name w:val="ECHR_Numbered_List_3"/>
    <w:aliases w:val="Num_3"/>
    <w:basedOn w:val="ECHRNumberedList2"/>
    <w:uiPriority w:val="9"/>
    <w:rsid w:val="00DC579E"/>
    <w:pPr>
      <w:numPr>
        <w:ilvl w:val="2"/>
      </w:numPr>
    </w:pPr>
  </w:style>
  <w:style w:type="paragraph" w:customStyle="1" w:styleId="ECHRParaHanging">
    <w:name w:val="ECHR_Para_Hanging"/>
    <w:aliases w:val="Para_Hanging"/>
    <w:basedOn w:val="Normal"/>
    <w:uiPriority w:val="7"/>
    <w:qFormat/>
    <w:rsid w:val="008C70C0"/>
    <w:pPr>
      <w:ind w:left="567" w:hanging="567"/>
    </w:pPr>
  </w:style>
  <w:style w:type="numbering" w:customStyle="1" w:styleId="ECHRA1StyleBulletedSquare">
    <w:name w:val="ECHR_A1_Style_Bulleted_Square"/>
    <w:basedOn w:val="NoList"/>
    <w:rsid w:val="00DC579E"/>
    <w:pPr>
      <w:numPr>
        <w:numId w:val="1"/>
      </w:numPr>
    </w:pPr>
  </w:style>
  <w:style w:type="paragraph" w:customStyle="1" w:styleId="ECHRBullet1">
    <w:name w:val="ECHR_Bullet_1"/>
    <w:aliases w:val="Bul_1"/>
    <w:basedOn w:val="NormalJustified"/>
    <w:uiPriority w:val="8"/>
    <w:qFormat/>
    <w:rsid w:val="00DC579E"/>
    <w:pPr>
      <w:numPr>
        <w:numId w:val="23"/>
      </w:numPr>
      <w:spacing w:before="60" w:after="60"/>
    </w:pPr>
    <w:rPr>
      <w:rFonts w:eastAsiaTheme="minorEastAsia"/>
    </w:rPr>
  </w:style>
  <w:style w:type="paragraph" w:customStyle="1" w:styleId="ECHRBullet2">
    <w:name w:val="ECHR_Bullet_2"/>
    <w:aliases w:val="Bul_2"/>
    <w:basedOn w:val="ECHRBullet1"/>
    <w:uiPriority w:val="8"/>
    <w:rsid w:val="00DC579E"/>
    <w:pPr>
      <w:numPr>
        <w:ilvl w:val="1"/>
      </w:numPr>
    </w:pPr>
  </w:style>
  <w:style w:type="character" w:customStyle="1" w:styleId="ECHRBoldItalic">
    <w:name w:val="ECHR_Bold_Italic"/>
    <w:aliases w:val="Bold+Italic"/>
    <w:uiPriority w:val="17"/>
    <w:semiHidden/>
    <w:rsid w:val="00DC579E"/>
    <w:rPr>
      <w:b/>
      <w:i/>
      <w:color w:val="2F2F2F" w:themeColor="accent3" w:themeShade="80"/>
    </w:rPr>
  </w:style>
  <w:style w:type="paragraph" w:customStyle="1" w:styleId="ECHRSpacer">
    <w:name w:val="ECHR_Spacer"/>
    <w:basedOn w:val="Normal"/>
    <w:uiPriority w:val="38"/>
    <w:rsid w:val="00DC579E"/>
    <w:rPr>
      <w:sz w:val="4"/>
    </w:rPr>
  </w:style>
  <w:style w:type="paragraph" w:customStyle="1" w:styleId="ECHRTitle1">
    <w:name w:val="ECHR_Title_1"/>
    <w:aliases w:val="Title_L_1"/>
    <w:basedOn w:val="Normal"/>
    <w:next w:val="ECHRParaSpaced"/>
    <w:uiPriority w:val="20"/>
    <w:qFormat/>
    <w:rsid w:val="00DC579E"/>
    <w:pPr>
      <w:keepNext/>
      <w:keepLines/>
      <w:spacing w:before="600"/>
      <w:contextualSpacing/>
    </w:pPr>
    <w:rPr>
      <w:rFonts w:asciiTheme="majorHAnsi" w:hAnsiTheme="majorHAnsi"/>
      <w:b/>
      <w:color w:val="2F2F2F" w:themeColor="accent3" w:themeShade="80"/>
      <w:sz w:val="36"/>
    </w:rPr>
  </w:style>
  <w:style w:type="paragraph" w:customStyle="1" w:styleId="ECHRTitle2">
    <w:name w:val="ECHR_Title_2"/>
    <w:aliases w:val="Title_L_2"/>
    <w:basedOn w:val="Normal"/>
    <w:next w:val="ECHRParaSpaced"/>
    <w:uiPriority w:val="20"/>
    <w:qFormat/>
    <w:rsid w:val="00DC579E"/>
    <w:pPr>
      <w:keepNext/>
      <w:keepLines/>
      <w:spacing w:before="240"/>
      <w:contextualSpacing/>
    </w:pPr>
    <w:rPr>
      <w:rFonts w:asciiTheme="majorHAnsi" w:hAnsiTheme="majorHAnsi"/>
      <w:b/>
      <w:color w:val="474747" w:themeColor="accent3" w:themeShade="BF"/>
      <w:sz w:val="32"/>
    </w:rPr>
  </w:style>
  <w:style w:type="paragraph" w:customStyle="1" w:styleId="ECHRTitle3">
    <w:name w:val="ECHR_Title_3"/>
    <w:aliases w:val="Title_L_3"/>
    <w:basedOn w:val="Normal"/>
    <w:next w:val="ECHRParaSpaced"/>
    <w:uiPriority w:val="20"/>
    <w:qFormat/>
    <w:rsid w:val="00DC579E"/>
    <w:pPr>
      <w:keepNext/>
      <w:keepLines/>
      <w:spacing w:before="240"/>
      <w:contextualSpacing/>
    </w:pPr>
    <w:rPr>
      <w:rFonts w:asciiTheme="majorHAnsi" w:hAnsiTheme="majorHAnsi"/>
      <w:b/>
      <w:color w:val="474747" w:themeColor="accent3" w:themeShade="BF"/>
      <w:sz w:val="28"/>
    </w:rPr>
  </w:style>
  <w:style w:type="paragraph" w:customStyle="1" w:styleId="ECHRTitleCentre1">
    <w:name w:val="ECHR_Title_Centre_1"/>
    <w:aliases w:val="Title_C_1"/>
    <w:basedOn w:val="Normal"/>
    <w:next w:val="ECHRParaSpaced"/>
    <w:uiPriority w:val="17"/>
    <w:qFormat/>
    <w:rsid w:val="00863494"/>
    <w:pPr>
      <w:keepNext/>
      <w:keepLines/>
      <w:spacing w:before="600"/>
      <w:contextualSpacing/>
      <w:jc w:val="center"/>
    </w:pPr>
    <w:rPr>
      <w:rFonts w:asciiTheme="majorHAnsi" w:hAnsiTheme="majorHAnsi"/>
      <w:b/>
      <w:color w:val="2F2F2F" w:themeColor="accent3" w:themeShade="80"/>
      <w:sz w:val="36"/>
    </w:rPr>
  </w:style>
  <w:style w:type="paragraph" w:customStyle="1" w:styleId="ECHRTitleCentre2">
    <w:name w:val="ECHR_Title_Centre_2"/>
    <w:aliases w:val="Title_C_2"/>
    <w:basedOn w:val="Normal"/>
    <w:next w:val="ECHRParaSpaced"/>
    <w:uiPriority w:val="17"/>
    <w:qFormat/>
    <w:rsid w:val="00DC579E"/>
    <w:pPr>
      <w:keepNext/>
      <w:keepLines/>
      <w:spacing w:before="240"/>
      <w:contextualSpacing/>
      <w:jc w:val="center"/>
    </w:pPr>
    <w:rPr>
      <w:rFonts w:asciiTheme="majorHAnsi" w:hAnsiTheme="majorHAnsi"/>
      <w:b/>
      <w:color w:val="474747" w:themeColor="accent3" w:themeShade="BF"/>
      <w:sz w:val="32"/>
    </w:rPr>
  </w:style>
  <w:style w:type="paragraph" w:customStyle="1" w:styleId="ECHRTitleCentre3">
    <w:name w:val="ECHR_Title_Centre_3"/>
    <w:aliases w:val="Title_C_3"/>
    <w:basedOn w:val="Normal"/>
    <w:next w:val="ECHRParaSpaced"/>
    <w:uiPriority w:val="17"/>
    <w:qFormat/>
    <w:rsid w:val="00DC579E"/>
    <w:pPr>
      <w:keepNext/>
      <w:keepLines/>
      <w:spacing w:before="240"/>
      <w:contextualSpacing/>
      <w:jc w:val="center"/>
    </w:pPr>
    <w:rPr>
      <w:rFonts w:asciiTheme="majorHAnsi" w:hAnsiTheme="majorHAnsi"/>
      <w:b/>
      <w:color w:val="474747" w:themeColor="accent3" w:themeShade="BF"/>
      <w:sz w:val="28"/>
    </w:rPr>
  </w:style>
  <w:style w:type="character" w:styleId="PlaceholderText">
    <w:name w:val="Placeholder Text"/>
    <w:basedOn w:val="DefaultParagraphFont"/>
    <w:uiPriority w:val="99"/>
    <w:rsid w:val="00DC579E"/>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DC579E"/>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TitleCentreTOC1">
    <w:name w:val="ECHR_Title_Centre_TOC_1"/>
    <w:aliases w:val="Title_C_TOC"/>
    <w:basedOn w:val="ECHRTitleCentre1"/>
    <w:next w:val="ECHRHeading1"/>
    <w:uiPriority w:val="16"/>
    <w:qFormat/>
    <w:rsid w:val="00DC579E"/>
    <w:pPr>
      <w:outlineLvl w:val="0"/>
    </w:pPr>
  </w:style>
  <w:style w:type="character" w:styleId="FollowedHyperlink">
    <w:name w:val="FollowedHyperlink"/>
    <w:basedOn w:val="DefaultParagraphFont"/>
    <w:uiPriority w:val="99"/>
    <w:semiHidden/>
    <w:rsid w:val="007646F6"/>
    <w:rPr>
      <w:i/>
      <w:color w:val="0072BC" w:themeColor="accent1"/>
      <w:u w:val="none"/>
    </w:rPr>
  </w:style>
  <w:style w:type="character" w:styleId="CommentReference">
    <w:name w:val="annotation reference"/>
    <w:basedOn w:val="DefaultParagraphFont"/>
    <w:uiPriority w:val="99"/>
    <w:semiHidden/>
    <w:rsid w:val="00DC579E"/>
    <w:rPr>
      <w:sz w:val="16"/>
      <w:szCs w:val="16"/>
    </w:rPr>
  </w:style>
  <w:style w:type="paragraph" w:styleId="CommentText">
    <w:name w:val="annotation text"/>
    <w:basedOn w:val="Normal"/>
    <w:link w:val="CommentTextChar"/>
    <w:uiPriority w:val="99"/>
    <w:semiHidden/>
    <w:rsid w:val="00DC579E"/>
    <w:rPr>
      <w:sz w:val="20"/>
      <w:szCs w:val="20"/>
    </w:rPr>
  </w:style>
  <w:style w:type="character" w:customStyle="1" w:styleId="CommentTextChar">
    <w:name w:val="Comment Text Char"/>
    <w:basedOn w:val="DefaultParagraphFont"/>
    <w:link w:val="CommentText"/>
    <w:uiPriority w:val="99"/>
    <w:semiHidden/>
    <w:rsid w:val="00DC579E"/>
    <w:rPr>
      <w:sz w:val="20"/>
      <w:szCs w:val="20"/>
    </w:rPr>
  </w:style>
  <w:style w:type="paragraph" w:styleId="CommentSubject">
    <w:name w:val="annotation subject"/>
    <w:basedOn w:val="CommentText"/>
    <w:next w:val="CommentText"/>
    <w:link w:val="CommentSubjectChar"/>
    <w:uiPriority w:val="99"/>
    <w:semiHidden/>
    <w:rsid w:val="00DC579E"/>
    <w:rPr>
      <w:b/>
      <w:bCs/>
    </w:rPr>
  </w:style>
  <w:style w:type="character" w:customStyle="1" w:styleId="CommentSubjectChar">
    <w:name w:val="Comment Subject Char"/>
    <w:basedOn w:val="CommentTextChar"/>
    <w:link w:val="CommentSubject"/>
    <w:uiPriority w:val="99"/>
    <w:semiHidden/>
    <w:rsid w:val="00DC579E"/>
    <w:rPr>
      <w:b/>
      <w:bCs/>
      <w:sz w:val="20"/>
      <w:szCs w:val="20"/>
    </w:rPr>
  </w:style>
  <w:style w:type="paragraph" w:styleId="TOC6">
    <w:name w:val="toc 6"/>
    <w:basedOn w:val="Normal"/>
    <w:next w:val="Normal"/>
    <w:autoRedefine/>
    <w:uiPriority w:val="39"/>
    <w:rsid w:val="00DC579E"/>
    <w:pPr>
      <w:ind w:left="2041" w:right="340" w:hanging="340"/>
    </w:pPr>
  </w:style>
  <w:style w:type="paragraph" w:styleId="TOC7">
    <w:name w:val="toc 7"/>
    <w:basedOn w:val="Normal"/>
    <w:next w:val="Normal"/>
    <w:autoRedefine/>
    <w:uiPriority w:val="39"/>
    <w:rsid w:val="00DC579E"/>
    <w:pPr>
      <w:ind w:left="2381" w:right="340" w:hanging="340"/>
    </w:pPr>
  </w:style>
  <w:style w:type="paragraph" w:customStyle="1" w:styleId="ECHRTitleTOC1">
    <w:name w:val="ECHR_Title_TOC_1"/>
    <w:aliases w:val="Title_L_TOC"/>
    <w:basedOn w:val="ECHRTitle1"/>
    <w:next w:val="ECHRHeading1"/>
    <w:uiPriority w:val="19"/>
    <w:qFormat/>
    <w:rsid w:val="00DC579E"/>
    <w:pPr>
      <w:outlineLvl w:val="0"/>
    </w:pPr>
  </w:style>
  <w:style w:type="table" w:customStyle="1" w:styleId="ECHRHeaderTableReduced">
    <w:name w:val="ECHR_Header_Table_Reduced"/>
    <w:basedOn w:val="TableNormal"/>
    <w:uiPriority w:val="99"/>
    <w:rsid w:val="00DC579E"/>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table" w:customStyle="1" w:styleId="ECHRTableOddBanded">
    <w:name w:val="ECHR_Table_Odd_Banded"/>
    <w:basedOn w:val="TableNormal"/>
    <w:uiPriority w:val="99"/>
    <w:rsid w:val="00DC579E"/>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character" w:styleId="PageNumber">
    <w:name w:val="page number"/>
    <w:semiHidden/>
    <w:rsid w:val="00816A5A"/>
    <w:rPr>
      <w:sz w:val="18"/>
    </w:rPr>
  </w:style>
  <w:style w:type="paragraph" w:styleId="BodyTextIndent2">
    <w:name w:val="Body Text Indent 2"/>
    <w:basedOn w:val="Normal"/>
    <w:link w:val="BodyTextIndent2Char"/>
    <w:semiHidden/>
    <w:rsid w:val="00816A5A"/>
    <w:pPr>
      <w:suppressAutoHyphens/>
      <w:spacing w:after="120" w:line="480" w:lineRule="auto"/>
      <w:ind w:left="283"/>
      <w:jc w:val="both"/>
    </w:pPr>
    <w:rPr>
      <w:rFonts w:ascii="Times New Roman" w:eastAsia="Times New Roman" w:hAnsi="Times New Roman" w:cs="Times New Roman"/>
      <w:sz w:val="24"/>
      <w:szCs w:val="20"/>
      <w:lang w:eastAsia="fr-FR"/>
    </w:rPr>
  </w:style>
  <w:style w:type="character" w:customStyle="1" w:styleId="BodyTextIndent2Char">
    <w:name w:val="Body Text Indent 2 Char"/>
    <w:basedOn w:val="DefaultParagraphFont"/>
    <w:link w:val="BodyTextIndent2"/>
    <w:semiHidden/>
    <w:rsid w:val="00DF5101"/>
    <w:rPr>
      <w:rFonts w:ascii="Times New Roman" w:eastAsia="Times New Roman" w:hAnsi="Times New Roman" w:cs="Times New Roman"/>
      <w:sz w:val="24"/>
      <w:szCs w:val="20"/>
      <w:lang w:val="ro-RO" w:eastAsia="fr-FR"/>
    </w:rPr>
  </w:style>
  <w:style w:type="paragraph" w:styleId="Date">
    <w:name w:val="Date"/>
    <w:basedOn w:val="Normal"/>
    <w:next w:val="Normal"/>
    <w:link w:val="DateChar"/>
    <w:semiHidden/>
    <w:rsid w:val="00816A5A"/>
    <w:pPr>
      <w:tabs>
        <w:tab w:val="right" w:pos="9072"/>
      </w:tabs>
      <w:suppressAutoHyphens/>
      <w:jc w:val="both"/>
    </w:pPr>
    <w:rPr>
      <w:rFonts w:ascii="Times New Roman" w:eastAsia="Times New Roman" w:hAnsi="Times New Roman" w:cs="Times New Roman"/>
      <w:sz w:val="24"/>
      <w:szCs w:val="20"/>
      <w:lang w:eastAsia="fr-FR"/>
    </w:rPr>
  </w:style>
  <w:style w:type="character" w:customStyle="1" w:styleId="DateChar">
    <w:name w:val="Date Char"/>
    <w:basedOn w:val="DefaultParagraphFont"/>
    <w:link w:val="Date"/>
    <w:semiHidden/>
    <w:rsid w:val="00DF5101"/>
    <w:rPr>
      <w:rFonts w:ascii="Times New Roman" w:eastAsia="Times New Roman" w:hAnsi="Times New Roman" w:cs="Times New Roman"/>
      <w:sz w:val="24"/>
      <w:szCs w:val="20"/>
      <w:lang w:val="ro-RO" w:eastAsia="fr-FR"/>
    </w:rPr>
  </w:style>
  <w:style w:type="paragraph" w:styleId="BodyText">
    <w:name w:val="Body Text"/>
    <w:basedOn w:val="Normal"/>
    <w:link w:val="BodyTextChar"/>
    <w:semiHidden/>
    <w:rsid w:val="00816A5A"/>
    <w:pPr>
      <w:tabs>
        <w:tab w:val="left" w:pos="709"/>
        <w:tab w:val="left" w:pos="1985"/>
      </w:tabs>
      <w:spacing w:line="240" w:lineRule="atLeast"/>
      <w:ind w:right="985" w:firstLine="993"/>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DF5101"/>
    <w:rPr>
      <w:rFonts w:ascii="Times New Roman" w:eastAsia="Times New Roman" w:hAnsi="Times New Roman" w:cs="Times New Roman"/>
      <w:szCs w:val="20"/>
      <w:lang w:val="ro-RO"/>
    </w:rPr>
  </w:style>
  <w:style w:type="paragraph" w:styleId="TOC8">
    <w:name w:val="toc 8"/>
    <w:basedOn w:val="Normal"/>
    <w:next w:val="Normal"/>
    <w:autoRedefine/>
    <w:semiHidden/>
    <w:rsid w:val="00816A5A"/>
    <w:pPr>
      <w:ind w:left="1680"/>
    </w:pPr>
    <w:rPr>
      <w:rFonts w:ascii="Times New Roman" w:eastAsia="Times New Roman" w:hAnsi="Times New Roman" w:cs="Times New Roman"/>
      <w:sz w:val="24"/>
      <w:szCs w:val="24"/>
      <w:lang w:eastAsia="en-GB"/>
    </w:rPr>
  </w:style>
  <w:style w:type="paragraph" w:styleId="TOC9">
    <w:name w:val="toc 9"/>
    <w:basedOn w:val="Normal"/>
    <w:next w:val="Normal"/>
    <w:autoRedefine/>
    <w:semiHidden/>
    <w:rsid w:val="00816A5A"/>
    <w:pPr>
      <w:ind w:left="1920"/>
    </w:pPr>
    <w:rPr>
      <w:rFonts w:ascii="Times New Roman" w:eastAsia="Times New Roman" w:hAnsi="Times New Roman" w:cs="Times New Roman"/>
      <w:sz w:val="24"/>
      <w:szCs w:val="24"/>
      <w:lang w:eastAsia="en-GB"/>
    </w:rPr>
  </w:style>
  <w:style w:type="paragraph" w:styleId="Index2">
    <w:name w:val="index 2"/>
    <w:basedOn w:val="Normal"/>
    <w:next w:val="Normal"/>
    <w:autoRedefine/>
    <w:semiHidden/>
    <w:rsid w:val="00816A5A"/>
    <w:pPr>
      <w:suppressAutoHyphens/>
      <w:ind w:left="480" w:hanging="240"/>
    </w:pPr>
    <w:rPr>
      <w:rFonts w:ascii="Times New Roman" w:eastAsia="Times New Roman" w:hAnsi="Times New Roman" w:cs="Times New Roman"/>
      <w:sz w:val="18"/>
      <w:szCs w:val="18"/>
      <w:lang w:eastAsia="fr-FR"/>
    </w:rPr>
  </w:style>
  <w:style w:type="paragraph" w:styleId="Index3">
    <w:name w:val="index 3"/>
    <w:basedOn w:val="Normal"/>
    <w:next w:val="Normal"/>
    <w:autoRedefine/>
    <w:semiHidden/>
    <w:rsid w:val="00816A5A"/>
    <w:pPr>
      <w:suppressAutoHyphens/>
      <w:ind w:left="720" w:hanging="240"/>
    </w:pPr>
    <w:rPr>
      <w:rFonts w:ascii="Times New Roman" w:eastAsia="Times New Roman" w:hAnsi="Times New Roman" w:cs="Times New Roman"/>
      <w:sz w:val="18"/>
      <w:szCs w:val="18"/>
      <w:lang w:eastAsia="fr-FR"/>
    </w:rPr>
  </w:style>
  <w:style w:type="paragraph" w:styleId="Index4">
    <w:name w:val="index 4"/>
    <w:basedOn w:val="Normal"/>
    <w:next w:val="Normal"/>
    <w:autoRedefine/>
    <w:semiHidden/>
    <w:rsid w:val="00816A5A"/>
    <w:pPr>
      <w:suppressAutoHyphens/>
      <w:ind w:left="960" w:hanging="240"/>
    </w:pPr>
    <w:rPr>
      <w:rFonts w:ascii="Times New Roman" w:eastAsia="Times New Roman" w:hAnsi="Times New Roman" w:cs="Times New Roman"/>
      <w:sz w:val="18"/>
      <w:szCs w:val="18"/>
      <w:lang w:eastAsia="fr-FR"/>
    </w:rPr>
  </w:style>
  <w:style w:type="paragraph" w:styleId="Index5">
    <w:name w:val="index 5"/>
    <w:basedOn w:val="Normal"/>
    <w:next w:val="Normal"/>
    <w:autoRedefine/>
    <w:semiHidden/>
    <w:rsid w:val="00816A5A"/>
    <w:pPr>
      <w:suppressAutoHyphens/>
      <w:ind w:left="1200" w:hanging="240"/>
    </w:pPr>
    <w:rPr>
      <w:rFonts w:ascii="Times New Roman" w:eastAsia="Times New Roman" w:hAnsi="Times New Roman" w:cs="Times New Roman"/>
      <w:sz w:val="18"/>
      <w:szCs w:val="18"/>
      <w:lang w:eastAsia="fr-FR"/>
    </w:rPr>
  </w:style>
  <w:style w:type="paragraph" w:styleId="Index6">
    <w:name w:val="index 6"/>
    <w:basedOn w:val="Normal"/>
    <w:next w:val="Normal"/>
    <w:autoRedefine/>
    <w:semiHidden/>
    <w:rsid w:val="00816A5A"/>
    <w:pPr>
      <w:suppressAutoHyphens/>
      <w:ind w:left="1440" w:hanging="240"/>
    </w:pPr>
    <w:rPr>
      <w:rFonts w:ascii="Times New Roman" w:eastAsia="Times New Roman" w:hAnsi="Times New Roman" w:cs="Times New Roman"/>
      <w:sz w:val="18"/>
      <w:szCs w:val="18"/>
      <w:lang w:eastAsia="fr-FR"/>
    </w:rPr>
  </w:style>
  <w:style w:type="paragraph" w:styleId="Index7">
    <w:name w:val="index 7"/>
    <w:basedOn w:val="Normal"/>
    <w:next w:val="Normal"/>
    <w:autoRedefine/>
    <w:semiHidden/>
    <w:rsid w:val="00816A5A"/>
    <w:pPr>
      <w:suppressAutoHyphens/>
      <w:ind w:left="1680" w:hanging="240"/>
    </w:pPr>
    <w:rPr>
      <w:rFonts w:ascii="Times New Roman" w:eastAsia="Times New Roman" w:hAnsi="Times New Roman" w:cs="Times New Roman"/>
      <w:sz w:val="18"/>
      <w:szCs w:val="18"/>
      <w:lang w:eastAsia="fr-FR"/>
    </w:rPr>
  </w:style>
  <w:style w:type="paragraph" w:styleId="Index8">
    <w:name w:val="index 8"/>
    <w:basedOn w:val="Normal"/>
    <w:next w:val="Normal"/>
    <w:autoRedefine/>
    <w:semiHidden/>
    <w:rsid w:val="00816A5A"/>
    <w:pPr>
      <w:suppressAutoHyphens/>
      <w:ind w:left="1920" w:hanging="240"/>
    </w:pPr>
    <w:rPr>
      <w:rFonts w:ascii="Times New Roman" w:eastAsia="Times New Roman" w:hAnsi="Times New Roman" w:cs="Times New Roman"/>
      <w:sz w:val="18"/>
      <w:szCs w:val="18"/>
      <w:lang w:eastAsia="fr-FR"/>
    </w:rPr>
  </w:style>
  <w:style w:type="paragraph" w:styleId="Index9">
    <w:name w:val="index 9"/>
    <w:basedOn w:val="Normal"/>
    <w:next w:val="Normal"/>
    <w:autoRedefine/>
    <w:semiHidden/>
    <w:rsid w:val="00816A5A"/>
    <w:pPr>
      <w:suppressAutoHyphens/>
      <w:ind w:left="2160" w:hanging="240"/>
    </w:pPr>
    <w:rPr>
      <w:rFonts w:ascii="Times New Roman" w:eastAsia="Times New Roman" w:hAnsi="Times New Roman" w:cs="Times New Roman"/>
      <w:sz w:val="18"/>
      <w:szCs w:val="18"/>
      <w:lang w:eastAsia="fr-FR"/>
    </w:rPr>
  </w:style>
  <w:style w:type="paragraph" w:styleId="NormalWeb">
    <w:name w:val="Normal (Web)"/>
    <w:basedOn w:val="Normal"/>
    <w:uiPriority w:val="99"/>
    <w:semiHidden/>
    <w:rsid w:val="00816A5A"/>
    <w:pPr>
      <w:spacing w:beforeLines="1"/>
    </w:pPr>
    <w:rPr>
      <w:rFonts w:ascii="Times" w:eastAsia="Times New Roman" w:hAnsi="Times" w:cs="Times New Roman"/>
      <w:sz w:val="20"/>
      <w:szCs w:val="20"/>
    </w:rPr>
  </w:style>
  <w:style w:type="paragraph" w:styleId="DocumentMap">
    <w:name w:val="Document Map"/>
    <w:basedOn w:val="Normal"/>
    <w:link w:val="DocumentMapChar"/>
    <w:semiHidden/>
    <w:rsid w:val="00816A5A"/>
    <w:pPr>
      <w:shd w:val="clear" w:color="auto" w:fill="000080"/>
      <w:suppressAutoHyphens/>
      <w:jc w:val="both"/>
    </w:pPr>
    <w:rPr>
      <w:rFonts w:ascii="Tahoma" w:eastAsia="Times New Roman" w:hAnsi="Tahoma" w:cs="Tahoma"/>
      <w:sz w:val="20"/>
      <w:szCs w:val="20"/>
      <w:lang w:eastAsia="fr-FR"/>
    </w:rPr>
  </w:style>
  <w:style w:type="character" w:customStyle="1" w:styleId="DocumentMapChar">
    <w:name w:val="Document Map Char"/>
    <w:basedOn w:val="DefaultParagraphFont"/>
    <w:link w:val="DocumentMap"/>
    <w:semiHidden/>
    <w:rsid w:val="00DF5101"/>
    <w:rPr>
      <w:rFonts w:ascii="Tahoma" w:eastAsia="Times New Roman" w:hAnsi="Tahoma" w:cs="Tahoma"/>
      <w:sz w:val="20"/>
      <w:szCs w:val="20"/>
      <w:shd w:val="clear" w:color="auto" w:fill="000080"/>
      <w:lang w:val="ro-RO" w:eastAsia="fr-FR"/>
    </w:rPr>
  </w:style>
  <w:style w:type="character" w:customStyle="1" w:styleId="JuQuotChar">
    <w:name w:val="Ju_Quot Char"/>
    <w:link w:val="ECHRParaQuote"/>
    <w:locked/>
    <w:rsid w:val="00816A5A"/>
    <w:rPr>
      <w:sz w:val="20"/>
    </w:rPr>
  </w:style>
  <w:style w:type="paragraph" w:styleId="PlainText">
    <w:name w:val="Plain Text"/>
    <w:basedOn w:val="Normal"/>
    <w:link w:val="PlainTextChar"/>
    <w:uiPriority w:val="99"/>
    <w:semiHidden/>
    <w:rsid w:val="00816A5A"/>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DF5101"/>
    <w:rPr>
      <w:rFonts w:ascii="Calibri" w:eastAsia="Calibri" w:hAnsi="Calibri" w:cs="Times New Roman"/>
      <w:szCs w:val="21"/>
    </w:rPr>
  </w:style>
  <w:style w:type="paragraph" w:styleId="BodyText2">
    <w:name w:val="Body Text 2"/>
    <w:basedOn w:val="Normal"/>
    <w:link w:val="BodyText2Char"/>
    <w:semiHidden/>
    <w:rsid w:val="00816A5A"/>
    <w:pPr>
      <w:suppressAutoHyphens/>
      <w:spacing w:after="120" w:line="480" w:lineRule="auto"/>
      <w:jc w:val="both"/>
    </w:pPr>
    <w:rPr>
      <w:rFonts w:ascii="Times New Roman" w:eastAsia="Times New Roman" w:hAnsi="Times New Roman" w:cs="Times New Roman"/>
      <w:sz w:val="24"/>
      <w:szCs w:val="20"/>
      <w:lang w:eastAsia="fr-FR"/>
    </w:rPr>
  </w:style>
  <w:style w:type="character" w:customStyle="1" w:styleId="BodyText2Char">
    <w:name w:val="Body Text 2 Char"/>
    <w:basedOn w:val="DefaultParagraphFont"/>
    <w:link w:val="BodyText2"/>
    <w:semiHidden/>
    <w:rsid w:val="00DF5101"/>
    <w:rPr>
      <w:rFonts w:ascii="Times New Roman" w:eastAsia="Times New Roman" w:hAnsi="Times New Roman" w:cs="Times New Roman"/>
      <w:sz w:val="24"/>
      <w:szCs w:val="20"/>
      <w:lang w:val="ro-RO" w:eastAsia="fr-FR"/>
    </w:rPr>
  </w:style>
  <w:style w:type="paragraph" w:styleId="NoteHeading">
    <w:name w:val="Note Heading"/>
    <w:basedOn w:val="Normal"/>
    <w:next w:val="Normal"/>
    <w:link w:val="NoteHeadingChar"/>
    <w:semiHidden/>
    <w:rsid w:val="00816A5A"/>
    <w:pPr>
      <w:suppressAutoHyphens/>
      <w:jc w:val="both"/>
    </w:pPr>
    <w:rPr>
      <w:rFonts w:ascii="Times New Roman" w:eastAsia="Times New Roman" w:hAnsi="Times New Roman" w:cs="Times New Roman"/>
      <w:sz w:val="24"/>
      <w:szCs w:val="20"/>
      <w:lang w:eastAsia="fr-FR"/>
    </w:rPr>
  </w:style>
  <w:style w:type="character" w:customStyle="1" w:styleId="NoteHeadingChar">
    <w:name w:val="Note Heading Char"/>
    <w:basedOn w:val="DefaultParagraphFont"/>
    <w:link w:val="NoteHeading"/>
    <w:semiHidden/>
    <w:rsid w:val="00DF5101"/>
    <w:rPr>
      <w:rFonts w:ascii="Times New Roman" w:eastAsia="Times New Roman" w:hAnsi="Times New Roman" w:cs="Times New Roman"/>
      <w:sz w:val="24"/>
      <w:szCs w:val="20"/>
      <w:lang w:val="ro-RO" w:eastAsia="fr-FR"/>
    </w:rPr>
  </w:style>
  <w:style w:type="character" w:customStyle="1" w:styleId="ECHRParaSpacedChar">
    <w:name w:val="ECHR_Para_Spaced Char"/>
    <w:aliases w:val="Para_Spaced Char"/>
    <w:basedOn w:val="DefaultParagraphFont"/>
    <w:link w:val="ECHRParaSpaced"/>
    <w:uiPriority w:val="5"/>
    <w:rsid w:val="00DF5101"/>
  </w:style>
  <w:style w:type="character" w:customStyle="1" w:styleId="ECHRItalic">
    <w:name w:val="ECHR_Italic"/>
    <w:aliases w:val="Italic"/>
    <w:uiPriority w:val="16"/>
    <w:semiHidden/>
    <w:rsid w:val="00DC579E"/>
    <w:rPr>
      <w:i/>
    </w:rPr>
  </w:style>
  <w:style w:type="paragraph" w:customStyle="1" w:styleId="ECHRAlpha">
    <w:name w:val="ECHR_Alpha"/>
    <w:basedOn w:val="Normal"/>
    <w:rsid w:val="0079279F"/>
    <w:pPr>
      <w:keepNext/>
      <w:tabs>
        <w:tab w:val="right" w:leader="dot" w:pos="9060"/>
      </w:tabs>
      <w:spacing w:before="360" w:after="120"/>
      <w:jc w:val="center"/>
    </w:pPr>
    <w:rPr>
      <w:b/>
      <w:bCs/>
      <w:noProof/>
      <w:sz w:val="28"/>
      <w:szCs w:val="28"/>
    </w:rPr>
  </w:style>
  <w:style w:type="paragraph" w:customStyle="1" w:styleId="ECHRList">
    <w:name w:val="ECHR_List"/>
    <w:aliases w:val="List_Simple"/>
    <w:basedOn w:val="Normal"/>
    <w:uiPriority w:val="10"/>
    <w:qFormat/>
    <w:rsid w:val="00DC579E"/>
    <w:pPr>
      <w:numPr>
        <w:numId w:val="31"/>
      </w:numPr>
    </w:pPr>
  </w:style>
  <w:style w:type="character" w:customStyle="1" w:styleId="ECHRRed">
    <w:name w:val="ECHR_Red"/>
    <w:aliases w:val="Red"/>
    <w:basedOn w:val="DefaultParagraphFont"/>
    <w:uiPriority w:val="13"/>
    <w:qFormat/>
    <w:rsid w:val="00DC579E"/>
    <w:rPr>
      <w:color w:val="C00000" w:themeColor="accent2"/>
    </w:rPr>
  </w:style>
  <w:style w:type="character" w:styleId="EndnoteReference">
    <w:name w:val="endnote reference"/>
    <w:basedOn w:val="DefaultParagraphFont"/>
    <w:semiHidden/>
    <w:rsid w:val="00084090"/>
    <w:rPr>
      <w:vertAlign w:val="superscript"/>
    </w:rPr>
  </w:style>
  <w:style w:type="character" w:styleId="Strong">
    <w:name w:val="Strong"/>
    <w:uiPriority w:val="22"/>
    <w:qFormat/>
    <w:rsid w:val="00DC579E"/>
    <w:rPr>
      <w:b/>
      <w:bCs/>
    </w:rPr>
  </w:style>
  <w:style w:type="table" w:customStyle="1" w:styleId="ECHRTableGrey1">
    <w:name w:val="ECHR_Table_Grey1"/>
    <w:basedOn w:val="TableNormal"/>
    <w:uiPriority w:val="99"/>
    <w:rsid w:val="00F54C93"/>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Default">
    <w:name w:val="Default"/>
    <w:rsid w:val="00C55D4E"/>
    <w:pPr>
      <w:autoSpaceDE w:val="0"/>
      <w:autoSpaceDN w:val="0"/>
      <w:adjustRightInd w:val="0"/>
    </w:pPr>
    <w:rPr>
      <w:rFonts w:ascii="Times New Roman" w:eastAsia="Times New Roman" w:hAnsi="Times New Roman" w:cs="Times New Roman"/>
      <w:color w:val="000000"/>
      <w:sz w:val="24"/>
      <w:szCs w:val="24"/>
      <w:lang w:eastAsia="en-GB"/>
    </w:rPr>
  </w:style>
  <w:style w:type="character" w:customStyle="1" w:styleId="CLLSuperscript">
    <w:name w:val="CLL_Superscript"/>
    <w:basedOn w:val="DefaultParagraphFont"/>
    <w:uiPriority w:val="1"/>
    <w:rsid w:val="003D01D5"/>
    <w:rPr>
      <w:b w:val="0"/>
      <w:i w:val="0"/>
      <w:vertAlign w:val="superscript"/>
      <w:lang w:val="ro-RO"/>
    </w:rPr>
  </w:style>
  <w:style w:type="character" w:customStyle="1" w:styleId="CLLItalic">
    <w:name w:val="CLL_Italic"/>
    <w:basedOn w:val="DefaultParagraphFont"/>
    <w:uiPriority w:val="1"/>
    <w:rsid w:val="00036355"/>
    <w:rPr>
      <w:i/>
      <w:iCs/>
      <w:color w:val="auto"/>
      <w:lang w:val="ro-RO"/>
    </w:rPr>
  </w:style>
  <w:style w:type="table" w:customStyle="1" w:styleId="TableGrid1">
    <w:name w:val="Table Grid1"/>
    <w:basedOn w:val="TableNormal"/>
    <w:next w:val="TableGrid"/>
    <w:uiPriority w:val="59"/>
    <w:rsid w:val="00A11F9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99"/>
    <w:semiHidden/>
    <w:rsid w:val="00BA4641"/>
  </w:style>
  <w:style w:type="paragraph" w:styleId="BlockText">
    <w:name w:val="Block Text"/>
    <w:basedOn w:val="Normal"/>
    <w:semiHidden/>
    <w:rsid w:val="00BA4641"/>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rFonts w:eastAsiaTheme="minorEastAsia"/>
      <w:i/>
      <w:iCs/>
      <w:color w:val="0072BC" w:themeColor="accent1"/>
    </w:rPr>
  </w:style>
  <w:style w:type="paragraph" w:styleId="BodyText3">
    <w:name w:val="Body Text 3"/>
    <w:basedOn w:val="Normal"/>
    <w:link w:val="BodyText3Char"/>
    <w:uiPriority w:val="99"/>
    <w:semiHidden/>
    <w:rsid w:val="00BA4641"/>
    <w:pPr>
      <w:spacing w:after="120"/>
    </w:pPr>
    <w:rPr>
      <w:sz w:val="16"/>
      <w:szCs w:val="16"/>
    </w:rPr>
  </w:style>
  <w:style w:type="character" w:customStyle="1" w:styleId="BodyText3Char">
    <w:name w:val="Body Text 3 Char"/>
    <w:basedOn w:val="DefaultParagraphFont"/>
    <w:link w:val="BodyText3"/>
    <w:uiPriority w:val="99"/>
    <w:semiHidden/>
    <w:rsid w:val="00BA4641"/>
    <w:rPr>
      <w:sz w:val="16"/>
      <w:szCs w:val="16"/>
    </w:rPr>
  </w:style>
  <w:style w:type="paragraph" w:styleId="BodyTextFirstIndent">
    <w:name w:val="Body Text First Indent"/>
    <w:basedOn w:val="BodyText"/>
    <w:link w:val="BodyTextFirstIndentChar"/>
    <w:uiPriority w:val="99"/>
    <w:semiHidden/>
    <w:rsid w:val="00BA4641"/>
    <w:pPr>
      <w:tabs>
        <w:tab w:val="clear" w:pos="709"/>
        <w:tab w:val="clear" w:pos="1985"/>
      </w:tabs>
      <w:spacing w:line="240" w:lineRule="auto"/>
      <w:ind w:right="0" w:firstLine="360"/>
      <w:jc w:val="left"/>
    </w:pPr>
    <w:rPr>
      <w:rFonts w:asciiTheme="minorHAnsi" w:eastAsiaTheme="minorHAnsi" w:hAnsiTheme="minorHAnsi" w:cstheme="minorBidi"/>
      <w:szCs w:val="22"/>
    </w:rPr>
  </w:style>
  <w:style w:type="character" w:customStyle="1" w:styleId="BodyTextFirstIndentChar">
    <w:name w:val="Body Text First Indent Char"/>
    <w:basedOn w:val="BodyTextChar"/>
    <w:link w:val="BodyTextFirstIndent"/>
    <w:uiPriority w:val="99"/>
    <w:semiHidden/>
    <w:rsid w:val="00BA4641"/>
    <w:rPr>
      <w:rFonts w:ascii="Times New Roman" w:eastAsia="Times New Roman" w:hAnsi="Times New Roman" w:cs="Times New Roman"/>
      <w:szCs w:val="20"/>
      <w:lang w:val="ro-RO"/>
    </w:rPr>
  </w:style>
  <w:style w:type="paragraph" w:styleId="BodyTextIndent">
    <w:name w:val="Body Text Indent"/>
    <w:basedOn w:val="Normal"/>
    <w:link w:val="BodyTextIndentChar"/>
    <w:uiPriority w:val="99"/>
    <w:semiHidden/>
    <w:rsid w:val="00BA4641"/>
    <w:pPr>
      <w:spacing w:after="120"/>
      <w:ind w:left="283"/>
    </w:pPr>
  </w:style>
  <w:style w:type="character" w:customStyle="1" w:styleId="BodyTextIndentChar">
    <w:name w:val="Body Text Indent Char"/>
    <w:basedOn w:val="DefaultParagraphFont"/>
    <w:link w:val="BodyTextIndent"/>
    <w:uiPriority w:val="99"/>
    <w:semiHidden/>
    <w:rsid w:val="00BA4641"/>
  </w:style>
  <w:style w:type="paragraph" w:styleId="BodyTextFirstIndent2">
    <w:name w:val="Body Text First Indent 2"/>
    <w:basedOn w:val="BodyTextIndent"/>
    <w:link w:val="BodyTextFirstIndent2Char"/>
    <w:uiPriority w:val="99"/>
    <w:semiHidden/>
    <w:rsid w:val="00BA4641"/>
    <w:pPr>
      <w:spacing w:after="0"/>
      <w:ind w:left="360" w:firstLine="360"/>
    </w:pPr>
  </w:style>
  <w:style w:type="character" w:customStyle="1" w:styleId="BodyTextFirstIndent2Char">
    <w:name w:val="Body Text First Indent 2 Char"/>
    <w:basedOn w:val="BodyTextIndentChar"/>
    <w:link w:val="BodyTextFirstIndent2"/>
    <w:uiPriority w:val="99"/>
    <w:semiHidden/>
    <w:rsid w:val="00BA4641"/>
  </w:style>
  <w:style w:type="paragraph" w:styleId="BodyTextIndent3">
    <w:name w:val="Body Text Indent 3"/>
    <w:basedOn w:val="Normal"/>
    <w:link w:val="BodyTextIndent3Char"/>
    <w:uiPriority w:val="99"/>
    <w:semiHidden/>
    <w:rsid w:val="00BA464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A4641"/>
    <w:rPr>
      <w:sz w:val="16"/>
      <w:szCs w:val="16"/>
    </w:rPr>
  </w:style>
  <w:style w:type="paragraph" w:styleId="Caption">
    <w:name w:val="caption"/>
    <w:basedOn w:val="Normal"/>
    <w:next w:val="Normal"/>
    <w:uiPriority w:val="99"/>
    <w:semiHidden/>
    <w:qFormat/>
    <w:rsid w:val="00BA4641"/>
    <w:pPr>
      <w:spacing w:after="200"/>
    </w:pPr>
    <w:rPr>
      <w:b/>
      <w:bCs/>
      <w:color w:val="0072BC" w:themeColor="accent1"/>
      <w:sz w:val="18"/>
      <w:szCs w:val="18"/>
    </w:rPr>
  </w:style>
  <w:style w:type="paragraph" w:styleId="Closing">
    <w:name w:val="Closing"/>
    <w:basedOn w:val="Normal"/>
    <w:link w:val="ClosingChar"/>
    <w:uiPriority w:val="99"/>
    <w:semiHidden/>
    <w:rsid w:val="00BA4641"/>
    <w:pPr>
      <w:ind w:left="4252"/>
    </w:pPr>
  </w:style>
  <w:style w:type="character" w:customStyle="1" w:styleId="ClosingChar">
    <w:name w:val="Closing Char"/>
    <w:basedOn w:val="DefaultParagraphFont"/>
    <w:link w:val="Closing"/>
    <w:uiPriority w:val="99"/>
    <w:semiHidden/>
    <w:rsid w:val="00BA4641"/>
  </w:style>
  <w:style w:type="paragraph" w:styleId="E-mailSignature">
    <w:name w:val="E-mail Signature"/>
    <w:basedOn w:val="Normal"/>
    <w:link w:val="E-mailSignatureChar"/>
    <w:uiPriority w:val="99"/>
    <w:semiHidden/>
    <w:rsid w:val="00BA4641"/>
  </w:style>
  <w:style w:type="character" w:customStyle="1" w:styleId="E-mailSignatureChar">
    <w:name w:val="E-mail Signature Char"/>
    <w:basedOn w:val="DefaultParagraphFont"/>
    <w:link w:val="E-mailSignature"/>
    <w:uiPriority w:val="99"/>
    <w:semiHidden/>
    <w:rsid w:val="00BA4641"/>
  </w:style>
  <w:style w:type="paragraph" w:styleId="EndnoteText">
    <w:name w:val="endnote text"/>
    <w:basedOn w:val="Normal"/>
    <w:link w:val="EndnoteTextChar"/>
    <w:uiPriority w:val="99"/>
    <w:semiHidden/>
    <w:rsid w:val="00BA4641"/>
    <w:rPr>
      <w:sz w:val="20"/>
      <w:szCs w:val="20"/>
    </w:rPr>
  </w:style>
  <w:style w:type="character" w:customStyle="1" w:styleId="EndnoteTextChar">
    <w:name w:val="Endnote Text Char"/>
    <w:basedOn w:val="DefaultParagraphFont"/>
    <w:link w:val="EndnoteText"/>
    <w:uiPriority w:val="99"/>
    <w:semiHidden/>
    <w:rsid w:val="00BA4641"/>
    <w:rPr>
      <w:sz w:val="20"/>
      <w:szCs w:val="20"/>
    </w:rPr>
  </w:style>
  <w:style w:type="paragraph" w:styleId="EnvelopeAddress">
    <w:name w:val="envelope address"/>
    <w:basedOn w:val="Normal"/>
    <w:uiPriority w:val="99"/>
    <w:semiHidden/>
    <w:rsid w:val="00BA464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BA4641"/>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rsid w:val="00BA4641"/>
    <w:rPr>
      <w:i/>
      <w:iCs/>
    </w:rPr>
  </w:style>
  <w:style w:type="character" w:customStyle="1" w:styleId="HTMLAddressChar">
    <w:name w:val="HTML Address Char"/>
    <w:basedOn w:val="DefaultParagraphFont"/>
    <w:link w:val="HTMLAddress"/>
    <w:uiPriority w:val="99"/>
    <w:semiHidden/>
    <w:rsid w:val="00BA4641"/>
    <w:rPr>
      <w:i/>
      <w:iCs/>
    </w:rPr>
  </w:style>
  <w:style w:type="paragraph" w:styleId="HTMLPreformatted">
    <w:name w:val="HTML Preformatted"/>
    <w:basedOn w:val="Normal"/>
    <w:link w:val="HTMLPreformattedChar"/>
    <w:semiHidden/>
    <w:rsid w:val="00BA4641"/>
    <w:rPr>
      <w:rFonts w:ascii="Consolas" w:hAnsi="Consolas" w:cs="Consolas"/>
      <w:sz w:val="20"/>
      <w:szCs w:val="20"/>
    </w:rPr>
  </w:style>
  <w:style w:type="character" w:customStyle="1" w:styleId="HTMLPreformattedChar">
    <w:name w:val="HTML Preformatted Char"/>
    <w:basedOn w:val="DefaultParagraphFont"/>
    <w:link w:val="HTMLPreformatted"/>
    <w:semiHidden/>
    <w:rsid w:val="00BA4641"/>
    <w:rPr>
      <w:rFonts w:ascii="Consolas" w:hAnsi="Consolas" w:cs="Consolas"/>
      <w:sz w:val="20"/>
      <w:szCs w:val="20"/>
    </w:rPr>
  </w:style>
  <w:style w:type="paragraph" w:styleId="Index1">
    <w:name w:val="index 1"/>
    <w:basedOn w:val="Normal"/>
    <w:next w:val="Normal"/>
    <w:autoRedefine/>
    <w:uiPriority w:val="99"/>
    <w:semiHidden/>
    <w:rsid w:val="00BA4641"/>
    <w:pPr>
      <w:ind w:left="220" w:hanging="220"/>
    </w:pPr>
  </w:style>
  <w:style w:type="paragraph" w:styleId="IndexHeading">
    <w:name w:val="index heading"/>
    <w:basedOn w:val="Normal"/>
    <w:next w:val="Index1"/>
    <w:uiPriority w:val="99"/>
    <w:semiHidden/>
    <w:rsid w:val="00BA4641"/>
    <w:rPr>
      <w:rFonts w:asciiTheme="majorHAnsi" w:eastAsiaTheme="majorEastAsia" w:hAnsiTheme="majorHAnsi" w:cstheme="majorBidi"/>
      <w:b/>
      <w:bCs/>
    </w:rPr>
  </w:style>
  <w:style w:type="paragraph" w:styleId="List">
    <w:name w:val="List"/>
    <w:basedOn w:val="Normal"/>
    <w:uiPriority w:val="99"/>
    <w:semiHidden/>
    <w:rsid w:val="00BA4641"/>
    <w:pPr>
      <w:ind w:left="283" w:hanging="283"/>
      <w:contextualSpacing/>
    </w:pPr>
  </w:style>
  <w:style w:type="paragraph" w:styleId="List2">
    <w:name w:val="List 2"/>
    <w:basedOn w:val="Normal"/>
    <w:uiPriority w:val="99"/>
    <w:semiHidden/>
    <w:rsid w:val="00BA4641"/>
    <w:pPr>
      <w:ind w:left="566" w:hanging="283"/>
      <w:contextualSpacing/>
    </w:pPr>
  </w:style>
  <w:style w:type="paragraph" w:styleId="List3">
    <w:name w:val="List 3"/>
    <w:basedOn w:val="Normal"/>
    <w:uiPriority w:val="99"/>
    <w:semiHidden/>
    <w:rsid w:val="00BA4641"/>
    <w:pPr>
      <w:ind w:left="849" w:hanging="283"/>
      <w:contextualSpacing/>
    </w:pPr>
  </w:style>
  <w:style w:type="paragraph" w:styleId="List4">
    <w:name w:val="List 4"/>
    <w:basedOn w:val="Normal"/>
    <w:uiPriority w:val="99"/>
    <w:semiHidden/>
    <w:rsid w:val="00BA4641"/>
    <w:pPr>
      <w:ind w:left="1132" w:hanging="283"/>
      <w:contextualSpacing/>
    </w:pPr>
  </w:style>
  <w:style w:type="paragraph" w:styleId="List5">
    <w:name w:val="List 5"/>
    <w:basedOn w:val="Normal"/>
    <w:uiPriority w:val="99"/>
    <w:semiHidden/>
    <w:rsid w:val="00BA4641"/>
    <w:pPr>
      <w:ind w:left="1415" w:hanging="283"/>
      <w:contextualSpacing/>
    </w:pPr>
  </w:style>
  <w:style w:type="paragraph" w:styleId="ListBullet">
    <w:name w:val="List Bullet"/>
    <w:basedOn w:val="Normal"/>
    <w:uiPriority w:val="99"/>
    <w:semiHidden/>
    <w:rsid w:val="00BA4641"/>
    <w:pPr>
      <w:numPr>
        <w:numId w:val="8"/>
      </w:numPr>
      <w:contextualSpacing/>
    </w:pPr>
  </w:style>
  <w:style w:type="paragraph" w:styleId="ListBullet2">
    <w:name w:val="List Bullet 2"/>
    <w:basedOn w:val="Normal"/>
    <w:uiPriority w:val="99"/>
    <w:semiHidden/>
    <w:rsid w:val="00BA4641"/>
    <w:pPr>
      <w:numPr>
        <w:numId w:val="9"/>
      </w:numPr>
      <w:contextualSpacing/>
    </w:pPr>
  </w:style>
  <w:style w:type="paragraph" w:styleId="ListBullet3">
    <w:name w:val="List Bullet 3"/>
    <w:basedOn w:val="Normal"/>
    <w:uiPriority w:val="99"/>
    <w:semiHidden/>
    <w:rsid w:val="00BA4641"/>
    <w:pPr>
      <w:numPr>
        <w:numId w:val="10"/>
      </w:numPr>
      <w:contextualSpacing/>
    </w:pPr>
  </w:style>
  <w:style w:type="paragraph" w:styleId="ListBullet4">
    <w:name w:val="List Bullet 4"/>
    <w:basedOn w:val="Normal"/>
    <w:uiPriority w:val="99"/>
    <w:semiHidden/>
    <w:rsid w:val="00BA4641"/>
    <w:pPr>
      <w:numPr>
        <w:numId w:val="11"/>
      </w:numPr>
      <w:contextualSpacing/>
    </w:pPr>
  </w:style>
  <w:style w:type="paragraph" w:styleId="ListBullet5">
    <w:name w:val="List Bullet 5"/>
    <w:basedOn w:val="Normal"/>
    <w:uiPriority w:val="99"/>
    <w:semiHidden/>
    <w:rsid w:val="00BA4641"/>
    <w:pPr>
      <w:numPr>
        <w:numId w:val="12"/>
      </w:numPr>
      <w:contextualSpacing/>
    </w:pPr>
  </w:style>
  <w:style w:type="paragraph" w:styleId="ListContinue">
    <w:name w:val="List Continue"/>
    <w:basedOn w:val="Normal"/>
    <w:uiPriority w:val="99"/>
    <w:semiHidden/>
    <w:rsid w:val="00BA4641"/>
    <w:pPr>
      <w:spacing w:after="120"/>
      <w:ind w:left="283"/>
      <w:contextualSpacing/>
    </w:pPr>
  </w:style>
  <w:style w:type="paragraph" w:styleId="ListContinue2">
    <w:name w:val="List Continue 2"/>
    <w:basedOn w:val="Normal"/>
    <w:uiPriority w:val="99"/>
    <w:semiHidden/>
    <w:rsid w:val="00BA4641"/>
    <w:pPr>
      <w:spacing w:after="120"/>
      <w:ind w:left="566"/>
      <w:contextualSpacing/>
    </w:pPr>
  </w:style>
  <w:style w:type="paragraph" w:styleId="ListContinue3">
    <w:name w:val="List Continue 3"/>
    <w:basedOn w:val="Normal"/>
    <w:uiPriority w:val="99"/>
    <w:semiHidden/>
    <w:rsid w:val="00BA4641"/>
    <w:pPr>
      <w:spacing w:after="120"/>
      <w:ind w:left="849"/>
      <w:contextualSpacing/>
    </w:pPr>
  </w:style>
  <w:style w:type="paragraph" w:styleId="ListContinue4">
    <w:name w:val="List Continue 4"/>
    <w:basedOn w:val="Normal"/>
    <w:uiPriority w:val="99"/>
    <w:semiHidden/>
    <w:rsid w:val="00BA4641"/>
    <w:pPr>
      <w:spacing w:after="120"/>
      <w:ind w:left="1132"/>
      <w:contextualSpacing/>
    </w:pPr>
  </w:style>
  <w:style w:type="paragraph" w:styleId="ListContinue5">
    <w:name w:val="List Continue 5"/>
    <w:basedOn w:val="Normal"/>
    <w:uiPriority w:val="99"/>
    <w:semiHidden/>
    <w:rsid w:val="00BA4641"/>
    <w:pPr>
      <w:spacing w:after="120"/>
      <w:ind w:left="1415"/>
      <w:contextualSpacing/>
    </w:pPr>
  </w:style>
  <w:style w:type="paragraph" w:styleId="ListNumber">
    <w:name w:val="List Number"/>
    <w:basedOn w:val="Normal"/>
    <w:uiPriority w:val="99"/>
    <w:semiHidden/>
    <w:rsid w:val="00BA4641"/>
    <w:pPr>
      <w:numPr>
        <w:numId w:val="13"/>
      </w:numPr>
      <w:contextualSpacing/>
    </w:pPr>
  </w:style>
  <w:style w:type="paragraph" w:styleId="ListNumber2">
    <w:name w:val="List Number 2"/>
    <w:basedOn w:val="Normal"/>
    <w:uiPriority w:val="99"/>
    <w:semiHidden/>
    <w:rsid w:val="00BA4641"/>
    <w:pPr>
      <w:numPr>
        <w:numId w:val="14"/>
      </w:numPr>
      <w:contextualSpacing/>
    </w:pPr>
  </w:style>
  <w:style w:type="paragraph" w:styleId="ListNumber3">
    <w:name w:val="List Number 3"/>
    <w:basedOn w:val="Normal"/>
    <w:uiPriority w:val="99"/>
    <w:semiHidden/>
    <w:rsid w:val="00BA4641"/>
    <w:pPr>
      <w:numPr>
        <w:numId w:val="15"/>
      </w:numPr>
      <w:contextualSpacing/>
    </w:pPr>
  </w:style>
  <w:style w:type="paragraph" w:styleId="ListNumber4">
    <w:name w:val="List Number 4"/>
    <w:basedOn w:val="Normal"/>
    <w:uiPriority w:val="99"/>
    <w:semiHidden/>
    <w:rsid w:val="00BA4641"/>
    <w:pPr>
      <w:numPr>
        <w:numId w:val="16"/>
      </w:numPr>
      <w:contextualSpacing/>
    </w:pPr>
  </w:style>
  <w:style w:type="paragraph" w:styleId="ListNumber5">
    <w:name w:val="List Number 5"/>
    <w:basedOn w:val="Normal"/>
    <w:uiPriority w:val="99"/>
    <w:semiHidden/>
    <w:rsid w:val="00BA4641"/>
    <w:pPr>
      <w:numPr>
        <w:numId w:val="17"/>
      </w:numPr>
      <w:contextualSpacing/>
    </w:pPr>
  </w:style>
  <w:style w:type="paragraph" w:styleId="MacroText">
    <w:name w:val="macro"/>
    <w:link w:val="MacroTextChar"/>
    <w:uiPriority w:val="99"/>
    <w:semiHidden/>
    <w:rsid w:val="00BA4641"/>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BA4641"/>
    <w:rPr>
      <w:rFonts w:ascii="Consolas" w:hAnsi="Consolas" w:cs="Consolas"/>
      <w:sz w:val="20"/>
      <w:szCs w:val="20"/>
    </w:rPr>
  </w:style>
  <w:style w:type="paragraph" w:styleId="MessageHeader">
    <w:name w:val="Message Header"/>
    <w:basedOn w:val="Normal"/>
    <w:link w:val="MessageHeaderChar"/>
    <w:uiPriority w:val="99"/>
    <w:semiHidden/>
    <w:rsid w:val="00BA464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A4641"/>
    <w:rPr>
      <w:rFonts w:asciiTheme="majorHAnsi" w:eastAsiaTheme="majorEastAsia" w:hAnsiTheme="majorHAnsi" w:cstheme="majorBidi"/>
      <w:sz w:val="24"/>
      <w:szCs w:val="24"/>
      <w:shd w:val="pct20" w:color="auto" w:fill="auto"/>
    </w:rPr>
  </w:style>
  <w:style w:type="paragraph" w:styleId="NormalIndent">
    <w:name w:val="Normal Indent"/>
    <w:basedOn w:val="Normal"/>
    <w:semiHidden/>
    <w:rsid w:val="00BA4641"/>
    <w:pPr>
      <w:ind w:left="720"/>
    </w:pPr>
  </w:style>
  <w:style w:type="paragraph" w:styleId="Salutation">
    <w:name w:val="Salutation"/>
    <w:basedOn w:val="Normal"/>
    <w:next w:val="Normal"/>
    <w:link w:val="SalutationChar"/>
    <w:uiPriority w:val="99"/>
    <w:semiHidden/>
    <w:rsid w:val="00BA4641"/>
  </w:style>
  <w:style w:type="character" w:customStyle="1" w:styleId="SalutationChar">
    <w:name w:val="Salutation Char"/>
    <w:basedOn w:val="DefaultParagraphFont"/>
    <w:link w:val="Salutation"/>
    <w:uiPriority w:val="99"/>
    <w:semiHidden/>
    <w:rsid w:val="00BA4641"/>
  </w:style>
  <w:style w:type="paragraph" w:styleId="Signature">
    <w:name w:val="Signature"/>
    <w:basedOn w:val="Normal"/>
    <w:link w:val="SignatureChar"/>
    <w:uiPriority w:val="99"/>
    <w:semiHidden/>
    <w:rsid w:val="00BA4641"/>
    <w:pPr>
      <w:ind w:left="4252"/>
    </w:pPr>
  </w:style>
  <w:style w:type="character" w:customStyle="1" w:styleId="SignatureChar">
    <w:name w:val="Signature Char"/>
    <w:basedOn w:val="DefaultParagraphFont"/>
    <w:link w:val="Signature"/>
    <w:uiPriority w:val="99"/>
    <w:semiHidden/>
    <w:rsid w:val="00BA4641"/>
  </w:style>
  <w:style w:type="paragraph" w:styleId="Subtitle">
    <w:name w:val="Subtitle"/>
    <w:basedOn w:val="Normal"/>
    <w:next w:val="Normal"/>
    <w:link w:val="SubtitleChar"/>
    <w:uiPriority w:val="98"/>
    <w:semiHidden/>
    <w:qFormat/>
    <w:rsid w:val="00BA4641"/>
    <w:pPr>
      <w:numPr>
        <w:ilvl w:val="1"/>
      </w:numPr>
    </w:pPr>
    <w:rPr>
      <w:rFonts w:asciiTheme="majorHAnsi" w:eastAsiaTheme="majorEastAsia" w:hAnsiTheme="majorHAnsi" w:cstheme="majorBidi"/>
      <w:i/>
      <w:iCs/>
      <w:color w:val="0072BC" w:themeColor="accent1"/>
      <w:spacing w:val="15"/>
      <w:sz w:val="24"/>
      <w:szCs w:val="24"/>
    </w:rPr>
  </w:style>
  <w:style w:type="character" w:customStyle="1" w:styleId="SubtitleChar">
    <w:name w:val="Subtitle Char"/>
    <w:basedOn w:val="DefaultParagraphFont"/>
    <w:link w:val="Subtitle"/>
    <w:uiPriority w:val="98"/>
    <w:semiHidden/>
    <w:rsid w:val="00BA4641"/>
    <w:rPr>
      <w:rFonts w:asciiTheme="majorHAnsi" w:eastAsiaTheme="majorEastAsia" w:hAnsiTheme="majorHAnsi" w:cstheme="majorBidi"/>
      <w:i/>
      <w:iCs/>
      <w:color w:val="0072BC" w:themeColor="accent1"/>
      <w:spacing w:val="15"/>
      <w:sz w:val="24"/>
      <w:szCs w:val="24"/>
    </w:rPr>
  </w:style>
  <w:style w:type="paragraph" w:styleId="TableofAuthorities">
    <w:name w:val="table of authorities"/>
    <w:basedOn w:val="Normal"/>
    <w:next w:val="Normal"/>
    <w:semiHidden/>
    <w:rsid w:val="00BA4641"/>
    <w:pPr>
      <w:ind w:left="220" w:hanging="220"/>
    </w:pPr>
  </w:style>
  <w:style w:type="paragraph" w:styleId="TableofFigures">
    <w:name w:val="table of figures"/>
    <w:basedOn w:val="Normal"/>
    <w:next w:val="Normal"/>
    <w:uiPriority w:val="99"/>
    <w:semiHidden/>
    <w:rsid w:val="00BA4641"/>
  </w:style>
  <w:style w:type="character" w:customStyle="1" w:styleId="ECHRParaChar">
    <w:name w:val="ECHR_Para Char"/>
    <w:aliases w:val="Ju_Para Char,_Para Char"/>
    <w:link w:val="JuPara"/>
    <w:uiPriority w:val="8"/>
    <w:rsid w:val="00C97818"/>
    <w:rPr>
      <w:rFonts w:ascii="Times New Roman" w:eastAsiaTheme="minorEastAsia" w:hAnsi="Times New Roman"/>
      <w:sz w:val="24"/>
    </w:rPr>
  </w:style>
  <w:style w:type="character" w:customStyle="1" w:styleId="sb8d990e2">
    <w:name w:val="sb8d990e2"/>
    <w:basedOn w:val="DefaultParagraphFont"/>
    <w:rsid w:val="0071024C"/>
  </w:style>
  <w:style w:type="character" w:customStyle="1" w:styleId="textcolumn">
    <w:name w:val="textcolumn"/>
    <w:basedOn w:val="DefaultParagraphFont"/>
    <w:rsid w:val="00211EA3"/>
  </w:style>
  <w:style w:type="paragraph" w:customStyle="1" w:styleId="JuPara">
    <w:name w:val="Ju_Para"/>
    <w:aliases w:val="_Para"/>
    <w:basedOn w:val="NormalJustified"/>
    <w:link w:val="ECHRParaChar"/>
    <w:uiPriority w:val="4"/>
    <w:qFormat/>
    <w:rsid w:val="00EF5B99"/>
    <w:pPr>
      <w:ind w:firstLine="284"/>
    </w:pPr>
    <w:rPr>
      <w:rFonts w:ascii="Times New Roman" w:eastAsiaTheme="minorEastAsia" w:hAnsi="Times New Roman"/>
      <w:sz w:val="24"/>
    </w:rPr>
  </w:style>
  <w:style w:type="character" w:customStyle="1" w:styleId="Hyperlinkcase">
    <w:name w:val="Hyperlinkcase"/>
    <w:basedOn w:val="Hyperlink"/>
    <w:uiPriority w:val="2"/>
    <w:rsid w:val="0030764E"/>
    <w:rPr>
      <w:i/>
      <w:color w:val="0072BC" w:themeColor="accent1"/>
      <w:u w:val="none"/>
      <w:lang w:val="ro-RO"/>
    </w:rPr>
  </w:style>
  <w:style w:type="character" w:customStyle="1" w:styleId="UnresolvedMention">
    <w:name w:val="Unresolved Mention"/>
    <w:basedOn w:val="DefaultParagraphFont"/>
    <w:uiPriority w:val="99"/>
    <w:semiHidden/>
    <w:unhideWhenUsed/>
    <w:rsid w:val="00DA4E74"/>
    <w:rPr>
      <w:color w:val="605E5C"/>
      <w:shd w:val="clear" w:color="auto" w:fill="E1DFDD"/>
    </w:rPr>
  </w:style>
  <w:style w:type="paragraph" w:customStyle="1" w:styleId="DecList">
    <w:name w:val="Dec_List"/>
    <w:aliases w:val="_List"/>
    <w:basedOn w:val="Normal"/>
    <w:uiPriority w:val="22"/>
    <w:rsid w:val="005159DE"/>
    <w:pPr>
      <w:spacing w:before="280" w:after="60"/>
      <w:ind w:left="284"/>
      <w:jc w:val="both"/>
    </w:pPr>
    <w:rPr>
      <w:sz w:val="24"/>
      <w:szCs w:val="24"/>
    </w:rPr>
  </w:style>
  <w:style w:type="character" w:customStyle="1" w:styleId="s6b621b36">
    <w:name w:val="s6b621b36"/>
    <w:basedOn w:val="DefaultParagraphFont"/>
    <w:rsid w:val="004D1177"/>
  </w:style>
  <w:style w:type="paragraph" w:styleId="Revision">
    <w:name w:val="Revision"/>
    <w:hidden/>
    <w:uiPriority w:val="99"/>
    <w:semiHidden/>
    <w:rsid w:val="00432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34237">
      <w:bodyDiv w:val="1"/>
      <w:marLeft w:val="0"/>
      <w:marRight w:val="0"/>
      <w:marTop w:val="0"/>
      <w:marBottom w:val="0"/>
      <w:divBdr>
        <w:top w:val="none" w:sz="0" w:space="0" w:color="auto"/>
        <w:left w:val="none" w:sz="0" w:space="0" w:color="auto"/>
        <w:bottom w:val="none" w:sz="0" w:space="0" w:color="auto"/>
        <w:right w:val="none" w:sz="0" w:space="0" w:color="auto"/>
      </w:divBdr>
      <w:divsChild>
        <w:div w:id="403139218">
          <w:marLeft w:val="0"/>
          <w:marRight w:val="0"/>
          <w:marTop w:val="0"/>
          <w:marBottom w:val="0"/>
          <w:divBdr>
            <w:top w:val="none" w:sz="0" w:space="0" w:color="auto"/>
            <w:left w:val="none" w:sz="0" w:space="0" w:color="auto"/>
            <w:bottom w:val="none" w:sz="0" w:space="0" w:color="auto"/>
            <w:right w:val="none" w:sz="0" w:space="0" w:color="auto"/>
          </w:divBdr>
          <w:divsChild>
            <w:div w:id="147987085">
              <w:marLeft w:val="0"/>
              <w:marRight w:val="0"/>
              <w:marTop w:val="0"/>
              <w:marBottom w:val="0"/>
              <w:divBdr>
                <w:top w:val="none" w:sz="0" w:space="0" w:color="auto"/>
                <w:left w:val="none" w:sz="0" w:space="0" w:color="auto"/>
                <w:bottom w:val="none" w:sz="0" w:space="0" w:color="auto"/>
                <w:right w:val="none" w:sz="0" w:space="0" w:color="auto"/>
              </w:divBdr>
              <w:divsChild>
                <w:div w:id="2042509856">
                  <w:marLeft w:val="0"/>
                  <w:marRight w:val="0"/>
                  <w:marTop w:val="0"/>
                  <w:marBottom w:val="0"/>
                  <w:divBdr>
                    <w:top w:val="none" w:sz="0" w:space="0" w:color="auto"/>
                    <w:left w:val="none" w:sz="0" w:space="0" w:color="auto"/>
                    <w:bottom w:val="none" w:sz="0" w:space="0" w:color="auto"/>
                    <w:right w:val="none" w:sz="0" w:space="0" w:color="auto"/>
                  </w:divBdr>
                  <w:divsChild>
                    <w:div w:id="1226448855">
                      <w:marLeft w:val="0"/>
                      <w:marRight w:val="0"/>
                      <w:marTop w:val="0"/>
                      <w:marBottom w:val="0"/>
                      <w:divBdr>
                        <w:top w:val="none" w:sz="0" w:space="0" w:color="auto"/>
                        <w:left w:val="none" w:sz="0" w:space="0" w:color="auto"/>
                        <w:bottom w:val="none" w:sz="0" w:space="0" w:color="auto"/>
                        <w:right w:val="none" w:sz="0" w:space="0" w:color="auto"/>
                      </w:divBdr>
                      <w:divsChild>
                        <w:div w:id="908812527">
                          <w:marLeft w:val="0"/>
                          <w:marRight w:val="0"/>
                          <w:marTop w:val="0"/>
                          <w:marBottom w:val="0"/>
                          <w:divBdr>
                            <w:top w:val="none" w:sz="0" w:space="0" w:color="auto"/>
                            <w:left w:val="none" w:sz="0" w:space="0" w:color="auto"/>
                            <w:bottom w:val="none" w:sz="0" w:space="0" w:color="auto"/>
                            <w:right w:val="none" w:sz="0" w:space="0" w:color="auto"/>
                          </w:divBdr>
                          <w:divsChild>
                            <w:div w:id="14910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02224">
      <w:bodyDiv w:val="1"/>
      <w:marLeft w:val="0"/>
      <w:marRight w:val="0"/>
      <w:marTop w:val="0"/>
      <w:marBottom w:val="0"/>
      <w:divBdr>
        <w:top w:val="none" w:sz="0" w:space="0" w:color="auto"/>
        <w:left w:val="none" w:sz="0" w:space="0" w:color="auto"/>
        <w:bottom w:val="none" w:sz="0" w:space="0" w:color="auto"/>
        <w:right w:val="none" w:sz="0" w:space="0" w:color="auto"/>
      </w:divBdr>
      <w:divsChild>
        <w:div w:id="1119223861">
          <w:marLeft w:val="0"/>
          <w:marRight w:val="0"/>
          <w:marTop w:val="0"/>
          <w:marBottom w:val="0"/>
          <w:divBdr>
            <w:top w:val="none" w:sz="0" w:space="0" w:color="auto"/>
            <w:left w:val="none" w:sz="0" w:space="0" w:color="auto"/>
            <w:bottom w:val="none" w:sz="0" w:space="0" w:color="auto"/>
            <w:right w:val="none" w:sz="0" w:space="0" w:color="auto"/>
          </w:divBdr>
          <w:divsChild>
            <w:div w:id="245386981">
              <w:marLeft w:val="0"/>
              <w:marRight w:val="0"/>
              <w:marTop w:val="0"/>
              <w:marBottom w:val="0"/>
              <w:divBdr>
                <w:top w:val="none" w:sz="0" w:space="0" w:color="auto"/>
                <w:left w:val="none" w:sz="0" w:space="0" w:color="auto"/>
                <w:bottom w:val="none" w:sz="0" w:space="0" w:color="auto"/>
                <w:right w:val="none" w:sz="0" w:space="0" w:color="auto"/>
              </w:divBdr>
              <w:divsChild>
                <w:div w:id="916327899">
                  <w:marLeft w:val="0"/>
                  <w:marRight w:val="0"/>
                  <w:marTop w:val="0"/>
                  <w:marBottom w:val="0"/>
                  <w:divBdr>
                    <w:top w:val="none" w:sz="0" w:space="0" w:color="auto"/>
                    <w:left w:val="none" w:sz="0" w:space="0" w:color="auto"/>
                    <w:bottom w:val="none" w:sz="0" w:space="0" w:color="auto"/>
                    <w:right w:val="none" w:sz="0" w:space="0" w:color="auto"/>
                  </w:divBdr>
                  <w:divsChild>
                    <w:div w:id="1139884605">
                      <w:marLeft w:val="0"/>
                      <w:marRight w:val="0"/>
                      <w:marTop w:val="0"/>
                      <w:marBottom w:val="0"/>
                      <w:divBdr>
                        <w:top w:val="none" w:sz="0" w:space="0" w:color="auto"/>
                        <w:left w:val="none" w:sz="0" w:space="0" w:color="auto"/>
                        <w:bottom w:val="none" w:sz="0" w:space="0" w:color="auto"/>
                        <w:right w:val="none" w:sz="0" w:space="0" w:color="auto"/>
                      </w:divBdr>
                      <w:divsChild>
                        <w:div w:id="1634217976">
                          <w:marLeft w:val="0"/>
                          <w:marRight w:val="0"/>
                          <w:marTop w:val="0"/>
                          <w:marBottom w:val="0"/>
                          <w:divBdr>
                            <w:top w:val="none" w:sz="0" w:space="0" w:color="auto"/>
                            <w:left w:val="none" w:sz="0" w:space="0" w:color="auto"/>
                            <w:bottom w:val="none" w:sz="0" w:space="0" w:color="auto"/>
                            <w:right w:val="none" w:sz="0" w:space="0" w:color="auto"/>
                          </w:divBdr>
                          <w:divsChild>
                            <w:div w:id="14343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70974">
      <w:bodyDiv w:val="1"/>
      <w:marLeft w:val="0"/>
      <w:marRight w:val="0"/>
      <w:marTop w:val="0"/>
      <w:marBottom w:val="0"/>
      <w:divBdr>
        <w:top w:val="none" w:sz="0" w:space="0" w:color="auto"/>
        <w:left w:val="none" w:sz="0" w:space="0" w:color="auto"/>
        <w:bottom w:val="none" w:sz="0" w:space="0" w:color="auto"/>
        <w:right w:val="none" w:sz="0" w:space="0" w:color="auto"/>
      </w:divBdr>
      <w:divsChild>
        <w:div w:id="1920089322">
          <w:marLeft w:val="0"/>
          <w:marRight w:val="0"/>
          <w:marTop w:val="0"/>
          <w:marBottom w:val="0"/>
          <w:divBdr>
            <w:top w:val="none" w:sz="0" w:space="0" w:color="auto"/>
            <w:left w:val="none" w:sz="0" w:space="0" w:color="auto"/>
            <w:bottom w:val="none" w:sz="0" w:space="0" w:color="auto"/>
            <w:right w:val="none" w:sz="0" w:space="0" w:color="auto"/>
          </w:divBdr>
          <w:divsChild>
            <w:div w:id="1267999416">
              <w:marLeft w:val="0"/>
              <w:marRight w:val="0"/>
              <w:marTop w:val="0"/>
              <w:marBottom w:val="0"/>
              <w:divBdr>
                <w:top w:val="none" w:sz="0" w:space="0" w:color="auto"/>
                <w:left w:val="none" w:sz="0" w:space="0" w:color="auto"/>
                <w:bottom w:val="none" w:sz="0" w:space="0" w:color="auto"/>
                <w:right w:val="none" w:sz="0" w:space="0" w:color="auto"/>
              </w:divBdr>
              <w:divsChild>
                <w:div w:id="1715806622">
                  <w:marLeft w:val="0"/>
                  <w:marRight w:val="0"/>
                  <w:marTop w:val="0"/>
                  <w:marBottom w:val="0"/>
                  <w:divBdr>
                    <w:top w:val="none" w:sz="0" w:space="0" w:color="auto"/>
                    <w:left w:val="none" w:sz="0" w:space="0" w:color="auto"/>
                    <w:bottom w:val="none" w:sz="0" w:space="0" w:color="auto"/>
                    <w:right w:val="none" w:sz="0" w:space="0" w:color="auto"/>
                  </w:divBdr>
                  <w:divsChild>
                    <w:div w:id="1628391688">
                      <w:marLeft w:val="0"/>
                      <w:marRight w:val="0"/>
                      <w:marTop w:val="0"/>
                      <w:marBottom w:val="0"/>
                      <w:divBdr>
                        <w:top w:val="none" w:sz="0" w:space="0" w:color="auto"/>
                        <w:left w:val="none" w:sz="0" w:space="0" w:color="auto"/>
                        <w:bottom w:val="none" w:sz="0" w:space="0" w:color="auto"/>
                        <w:right w:val="none" w:sz="0" w:space="0" w:color="auto"/>
                      </w:divBdr>
                      <w:divsChild>
                        <w:div w:id="507211196">
                          <w:marLeft w:val="0"/>
                          <w:marRight w:val="0"/>
                          <w:marTop w:val="0"/>
                          <w:marBottom w:val="0"/>
                          <w:divBdr>
                            <w:top w:val="none" w:sz="0" w:space="0" w:color="auto"/>
                            <w:left w:val="none" w:sz="0" w:space="0" w:color="auto"/>
                            <w:bottom w:val="none" w:sz="0" w:space="0" w:color="auto"/>
                            <w:right w:val="none" w:sz="0" w:space="0" w:color="auto"/>
                          </w:divBdr>
                          <w:divsChild>
                            <w:div w:id="146211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07053">
      <w:bodyDiv w:val="1"/>
      <w:marLeft w:val="0"/>
      <w:marRight w:val="0"/>
      <w:marTop w:val="0"/>
      <w:marBottom w:val="0"/>
      <w:divBdr>
        <w:top w:val="none" w:sz="0" w:space="0" w:color="auto"/>
        <w:left w:val="none" w:sz="0" w:space="0" w:color="auto"/>
        <w:bottom w:val="none" w:sz="0" w:space="0" w:color="auto"/>
        <w:right w:val="none" w:sz="0" w:space="0" w:color="auto"/>
      </w:divBdr>
    </w:div>
    <w:div w:id="190270618">
      <w:bodyDiv w:val="1"/>
      <w:marLeft w:val="0"/>
      <w:marRight w:val="0"/>
      <w:marTop w:val="0"/>
      <w:marBottom w:val="0"/>
      <w:divBdr>
        <w:top w:val="none" w:sz="0" w:space="0" w:color="auto"/>
        <w:left w:val="none" w:sz="0" w:space="0" w:color="auto"/>
        <w:bottom w:val="none" w:sz="0" w:space="0" w:color="auto"/>
        <w:right w:val="none" w:sz="0" w:space="0" w:color="auto"/>
      </w:divBdr>
    </w:div>
    <w:div w:id="203174168">
      <w:bodyDiv w:val="1"/>
      <w:marLeft w:val="0"/>
      <w:marRight w:val="0"/>
      <w:marTop w:val="0"/>
      <w:marBottom w:val="0"/>
      <w:divBdr>
        <w:top w:val="none" w:sz="0" w:space="0" w:color="auto"/>
        <w:left w:val="none" w:sz="0" w:space="0" w:color="auto"/>
        <w:bottom w:val="none" w:sz="0" w:space="0" w:color="auto"/>
        <w:right w:val="none" w:sz="0" w:space="0" w:color="auto"/>
      </w:divBdr>
      <w:divsChild>
        <w:div w:id="1672635336">
          <w:marLeft w:val="0"/>
          <w:marRight w:val="0"/>
          <w:marTop w:val="0"/>
          <w:marBottom w:val="0"/>
          <w:divBdr>
            <w:top w:val="none" w:sz="0" w:space="0" w:color="auto"/>
            <w:left w:val="none" w:sz="0" w:space="0" w:color="auto"/>
            <w:bottom w:val="none" w:sz="0" w:space="0" w:color="auto"/>
            <w:right w:val="none" w:sz="0" w:space="0" w:color="auto"/>
          </w:divBdr>
          <w:divsChild>
            <w:div w:id="2103793559">
              <w:marLeft w:val="0"/>
              <w:marRight w:val="0"/>
              <w:marTop w:val="0"/>
              <w:marBottom w:val="0"/>
              <w:divBdr>
                <w:top w:val="none" w:sz="0" w:space="0" w:color="auto"/>
                <w:left w:val="none" w:sz="0" w:space="0" w:color="auto"/>
                <w:bottom w:val="none" w:sz="0" w:space="0" w:color="auto"/>
                <w:right w:val="none" w:sz="0" w:space="0" w:color="auto"/>
              </w:divBdr>
              <w:divsChild>
                <w:div w:id="833103791">
                  <w:marLeft w:val="0"/>
                  <w:marRight w:val="0"/>
                  <w:marTop w:val="0"/>
                  <w:marBottom w:val="0"/>
                  <w:divBdr>
                    <w:top w:val="none" w:sz="0" w:space="0" w:color="auto"/>
                    <w:left w:val="none" w:sz="0" w:space="0" w:color="auto"/>
                    <w:bottom w:val="none" w:sz="0" w:space="0" w:color="auto"/>
                    <w:right w:val="none" w:sz="0" w:space="0" w:color="auto"/>
                  </w:divBdr>
                  <w:divsChild>
                    <w:div w:id="319620434">
                      <w:marLeft w:val="0"/>
                      <w:marRight w:val="0"/>
                      <w:marTop w:val="0"/>
                      <w:marBottom w:val="0"/>
                      <w:divBdr>
                        <w:top w:val="none" w:sz="0" w:space="0" w:color="auto"/>
                        <w:left w:val="none" w:sz="0" w:space="0" w:color="auto"/>
                        <w:bottom w:val="none" w:sz="0" w:space="0" w:color="auto"/>
                        <w:right w:val="none" w:sz="0" w:space="0" w:color="auto"/>
                      </w:divBdr>
                      <w:divsChild>
                        <w:div w:id="13582488">
                          <w:marLeft w:val="0"/>
                          <w:marRight w:val="0"/>
                          <w:marTop w:val="0"/>
                          <w:marBottom w:val="0"/>
                          <w:divBdr>
                            <w:top w:val="none" w:sz="0" w:space="0" w:color="auto"/>
                            <w:left w:val="none" w:sz="0" w:space="0" w:color="auto"/>
                            <w:bottom w:val="none" w:sz="0" w:space="0" w:color="auto"/>
                            <w:right w:val="none" w:sz="0" w:space="0" w:color="auto"/>
                          </w:divBdr>
                          <w:divsChild>
                            <w:div w:id="46959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060565">
      <w:bodyDiv w:val="1"/>
      <w:marLeft w:val="0"/>
      <w:marRight w:val="0"/>
      <w:marTop w:val="0"/>
      <w:marBottom w:val="0"/>
      <w:divBdr>
        <w:top w:val="none" w:sz="0" w:space="0" w:color="auto"/>
        <w:left w:val="none" w:sz="0" w:space="0" w:color="auto"/>
        <w:bottom w:val="none" w:sz="0" w:space="0" w:color="auto"/>
        <w:right w:val="none" w:sz="0" w:space="0" w:color="auto"/>
      </w:divBdr>
      <w:divsChild>
        <w:div w:id="1996034586">
          <w:marLeft w:val="0"/>
          <w:marRight w:val="0"/>
          <w:marTop w:val="0"/>
          <w:marBottom w:val="0"/>
          <w:divBdr>
            <w:top w:val="none" w:sz="0" w:space="0" w:color="auto"/>
            <w:left w:val="none" w:sz="0" w:space="0" w:color="auto"/>
            <w:bottom w:val="none" w:sz="0" w:space="0" w:color="auto"/>
            <w:right w:val="none" w:sz="0" w:space="0" w:color="auto"/>
          </w:divBdr>
          <w:divsChild>
            <w:div w:id="723873543">
              <w:marLeft w:val="0"/>
              <w:marRight w:val="0"/>
              <w:marTop w:val="0"/>
              <w:marBottom w:val="0"/>
              <w:divBdr>
                <w:top w:val="none" w:sz="0" w:space="0" w:color="auto"/>
                <w:left w:val="none" w:sz="0" w:space="0" w:color="auto"/>
                <w:bottom w:val="none" w:sz="0" w:space="0" w:color="auto"/>
                <w:right w:val="none" w:sz="0" w:space="0" w:color="auto"/>
              </w:divBdr>
              <w:divsChild>
                <w:div w:id="1932470543">
                  <w:marLeft w:val="0"/>
                  <w:marRight w:val="0"/>
                  <w:marTop w:val="0"/>
                  <w:marBottom w:val="0"/>
                  <w:divBdr>
                    <w:top w:val="none" w:sz="0" w:space="0" w:color="auto"/>
                    <w:left w:val="none" w:sz="0" w:space="0" w:color="auto"/>
                    <w:bottom w:val="none" w:sz="0" w:space="0" w:color="auto"/>
                    <w:right w:val="none" w:sz="0" w:space="0" w:color="auto"/>
                  </w:divBdr>
                  <w:divsChild>
                    <w:div w:id="1303071849">
                      <w:marLeft w:val="0"/>
                      <w:marRight w:val="0"/>
                      <w:marTop w:val="0"/>
                      <w:marBottom w:val="0"/>
                      <w:divBdr>
                        <w:top w:val="none" w:sz="0" w:space="0" w:color="auto"/>
                        <w:left w:val="none" w:sz="0" w:space="0" w:color="auto"/>
                        <w:bottom w:val="none" w:sz="0" w:space="0" w:color="auto"/>
                        <w:right w:val="none" w:sz="0" w:space="0" w:color="auto"/>
                      </w:divBdr>
                      <w:divsChild>
                        <w:div w:id="174080921">
                          <w:marLeft w:val="0"/>
                          <w:marRight w:val="0"/>
                          <w:marTop w:val="0"/>
                          <w:marBottom w:val="0"/>
                          <w:divBdr>
                            <w:top w:val="none" w:sz="0" w:space="0" w:color="auto"/>
                            <w:left w:val="none" w:sz="0" w:space="0" w:color="auto"/>
                            <w:bottom w:val="none" w:sz="0" w:space="0" w:color="auto"/>
                            <w:right w:val="none" w:sz="0" w:space="0" w:color="auto"/>
                          </w:divBdr>
                          <w:divsChild>
                            <w:div w:id="144704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210012">
      <w:bodyDiv w:val="1"/>
      <w:marLeft w:val="0"/>
      <w:marRight w:val="0"/>
      <w:marTop w:val="0"/>
      <w:marBottom w:val="0"/>
      <w:divBdr>
        <w:top w:val="none" w:sz="0" w:space="0" w:color="auto"/>
        <w:left w:val="none" w:sz="0" w:space="0" w:color="auto"/>
        <w:bottom w:val="none" w:sz="0" w:space="0" w:color="auto"/>
        <w:right w:val="none" w:sz="0" w:space="0" w:color="auto"/>
      </w:divBdr>
    </w:div>
    <w:div w:id="353578626">
      <w:bodyDiv w:val="1"/>
      <w:marLeft w:val="0"/>
      <w:marRight w:val="0"/>
      <w:marTop w:val="0"/>
      <w:marBottom w:val="0"/>
      <w:divBdr>
        <w:top w:val="none" w:sz="0" w:space="0" w:color="auto"/>
        <w:left w:val="none" w:sz="0" w:space="0" w:color="auto"/>
        <w:bottom w:val="none" w:sz="0" w:space="0" w:color="auto"/>
        <w:right w:val="none" w:sz="0" w:space="0" w:color="auto"/>
      </w:divBdr>
      <w:divsChild>
        <w:div w:id="1715151017">
          <w:marLeft w:val="0"/>
          <w:marRight w:val="0"/>
          <w:marTop w:val="0"/>
          <w:marBottom w:val="0"/>
          <w:divBdr>
            <w:top w:val="none" w:sz="0" w:space="0" w:color="auto"/>
            <w:left w:val="none" w:sz="0" w:space="0" w:color="auto"/>
            <w:bottom w:val="none" w:sz="0" w:space="0" w:color="auto"/>
            <w:right w:val="none" w:sz="0" w:space="0" w:color="auto"/>
          </w:divBdr>
          <w:divsChild>
            <w:div w:id="625284180">
              <w:marLeft w:val="0"/>
              <w:marRight w:val="0"/>
              <w:marTop w:val="0"/>
              <w:marBottom w:val="0"/>
              <w:divBdr>
                <w:top w:val="none" w:sz="0" w:space="0" w:color="auto"/>
                <w:left w:val="none" w:sz="0" w:space="0" w:color="auto"/>
                <w:bottom w:val="none" w:sz="0" w:space="0" w:color="auto"/>
                <w:right w:val="none" w:sz="0" w:space="0" w:color="auto"/>
              </w:divBdr>
              <w:divsChild>
                <w:div w:id="1822884988">
                  <w:marLeft w:val="0"/>
                  <w:marRight w:val="0"/>
                  <w:marTop w:val="0"/>
                  <w:marBottom w:val="0"/>
                  <w:divBdr>
                    <w:top w:val="none" w:sz="0" w:space="0" w:color="auto"/>
                    <w:left w:val="none" w:sz="0" w:space="0" w:color="auto"/>
                    <w:bottom w:val="none" w:sz="0" w:space="0" w:color="auto"/>
                    <w:right w:val="none" w:sz="0" w:space="0" w:color="auto"/>
                  </w:divBdr>
                  <w:divsChild>
                    <w:div w:id="1922986772">
                      <w:marLeft w:val="0"/>
                      <w:marRight w:val="0"/>
                      <w:marTop w:val="0"/>
                      <w:marBottom w:val="0"/>
                      <w:divBdr>
                        <w:top w:val="none" w:sz="0" w:space="0" w:color="auto"/>
                        <w:left w:val="none" w:sz="0" w:space="0" w:color="auto"/>
                        <w:bottom w:val="none" w:sz="0" w:space="0" w:color="auto"/>
                        <w:right w:val="none" w:sz="0" w:space="0" w:color="auto"/>
                      </w:divBdr>
                      <w:divsChild>
                        <w:div w:id="1172647725">
                          <w:marLeft w:val="0"/>
                          <w:marRight w:val="0"/>
                          <w:marTop w:val="0"/>
                          <w:marBottom w:val="0"/>
                          <w:divBdr>
                            <w:top w:val="none" w:sz="0" w:space="0" w:color="auto"/>
                            <w:left w:val="none" w:sz="0" w:space="0" w:color="auto"/>
                            <w:bottom w:val="none" w:sz="0" w:space="0" w:color="auto"/>
                            <w:right w:val="none" w:sz="0" w:space="0" w:color="auto"/>
                          </w:divBdr>
                          <w:divsChild>
                            <w:div w:id="20231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893147">
      <w:bodyDiv w:val="1"/>
      <w:marLeft w:val="0"/>
      <w:marRight w:val="0"/>
      <w:marTop w:val="0"/>
      <w:marBottom w:val="0"/>
      <w:divBdr>
        <w:top w:val="none" w:sz="0" w:space="0" w:color="auto"/>
        <w:left w:val="none" w:sz="0" w:space="0" w:color="auto"/>
        <w:bottom w:val="none" w:sz="0" w:space="0" w:color="auto"/>
        <w:right w:val="none" w:sz="0" w:space="0" w:color="auto"/>
      </w:divBdr>
    </w:div>
    <w:div w:id="372192384">
      <w:bodyDiv w:val="1"/>
      <w:marLeft w:val="0"/>
      <w:marRight w:val="0"/>
      <w:marTop w:val="0"/>
      <w:marBottom w:val="0"/>
      <w:divBdr>
        <w:top w:val="none" w:sz="0" w:space="0" w:color="auto"/>
        <w:left w:val="none" w:sz="0" w:space="0" w:color="auto"/>
        <w:bottom w:val="none" w:sz="0" w:space="0" w:color="auto"/>
        <w:right w:val="none" w:sz="0" w:space="0" w:color="auto"/>
      </w:divBdr>
      <w:divsChild>
        <w:div w:id="465587796">
          <w:marLeft w:val="0"/>
          <w:marRight w:val="0"/>
          <w:marTop w:val="0"/>
          <w:marBottom w:val="0"/>
          <w:divBdr>
            <w:top w:val="none" w:sz="0" w:space="0" w:color="auto"/>
            <w:left w:val="none" w:sz="0" w:space="0" w:color="auto"/>
            <w:bottom w:val="none" w:sz="0" w:space="0" w:color="auto"/>
            <w:right w:val="none" w:sz="0" w:space="0" w:color="auto"/>
          </w:divBdr>
          <w:divsChild>
            <w:div w:id="1684621678">
              <w:marLeft w:val="0"/>
              <w:marRight w:val="0"/>
              <w:marTop w:val="0"/>
              <w:marBottom w:val="0"/>
              <w:divBdr>
                <w:top w:val="none" w:sz="0" w:space="0" w:color="auto"/>
                <w:left w:val="none" w:sz="0" w:space="0" w:color="auto"/>
                <w:bottom w:val="none" w:sz="0" w:space="0" w:color="auto"/>
                <w:right w:val="none" w:sz="0" w:space="0" w:color="auto"/>
              </w:divBdr>
              <w:divsChild>
                <w:div w:id="355154894">
                  <w:marLeft w:val="0"/>
                  <w:marRight w:val="0"/>
                  <w:marTop w:val="0"/>
                  <w:marBottom w:val="0"/>
                  <w:divBdr>
                    <w:top w:val="none" w:sz="0" w:space="0" w:color="auto"/>
                    <w:left w:val="none" w:sz="0" w:space="0" w:color="auto"/>
                    <w:bottom w:val="none" w:sz="0" w:space="0" w:color="auto"/>
                    <w:right w:val="none" w:sz="0" w:space="0" w:color="auto"/>
                  </w:divBdr>
                  <w:divsChild>
                    <w:div w:id="267276361">
                      <w:marLeft w:val="0"/>
                      <w:marRight w:val="0"/>
                      <w:marTop w:val="0"/>
                      <w:marBottom w:val="0"/>
                      <w:divBdr>
                        <w:top w:val="none" w:sz="0" w:space="0" w:color="auto"/>
                        <w:left w:val="none" w:sz="0" w:space="0" w:color="auto"/>
                        <w:bottom w:val="none" w:sz="0" w:space="0" w:color="auto"/>
                        <w:right w:val="none" w:sz="0" w:space="0" w:color="auto"/>
                      </w:divBdr>
                      <w:divsChild>
                        <w:div w:id="1318656536">
                          <w:marLeft w:val="0"/>
                          <w:marRight w:val="0"/>
                          <w:marTop w:val="0"/>
                          <w:marBottom w:val="0"/>
                          <w:divBdr>
                            <w:top w:val="none" w:sz="0" w:space="0" w:color="auto"/>
                            <w:left w:val="none" w:sz="0" w:space="0" w:color="auto"/>
                            <w:bottom w:val="none" w:sz="0" w:space="0" w:color="auto"/>
                            <w:right w:val="none" w:sz="0" w:space="0" w:color="auto"/>
                          </w:divBdr>
                          <w:divsChild>
                            <w:div w:id="18606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787857">
      <w:bodyDiv w:val="1"/>
      <w:marLeft w:val="0"/>
      <w:marRight w:val="0"/>
      <w:marTop w:val="0"/>
      <w:marBottom w:val="0"/>
      <w:divBdr>
        <w:top w:val="none" w:sz="0" w:space="0" w:color="auto"/>
        <w:left w:val="none" w:sz="0" w:space="0" w:color="auto"/>
        <w:bottom w:val="none" w:sz="0" w:space="0" w:color="auto"/>
        <w:right w:val="none" w:sz="0" w:space="0" w:color="auto"/>
      </w:divBdr>
    </w:div>
    <w:div w:id="506558267">
      <w:bodyDiv w:val="1"/>
      <w:marLeft w:val="0"/>
      <w:marRight w:val="0"/>
      <w:marTop w:val="0"/>
      <w:marBottom w:val="0"/>
      <w:divBdr>
        <w:top w:val="none" w:sz="0" w:space="0" w:color="auto"/>
        <w:left w:val="none" w:sz="0" w:space="0" w:color="auto"/>
        <w:bottom w:val="none" w:sz="0" w:space="0" w:color="auto"/>
        <w:right w:val="none" w:sz="0" w:space="0" w:color="auto"/>
      </w:divBdr>
    </w:div>
    <w:div w:id="598217260">
      <w:bodyDiv w:val="1"/>
      <w:marLeft w:val="0"/>
      <w:marRight w:val="0"/>
      <w:marTop w:val="0"/>
      <w:marBottom w:val="0"/>
      <w:divBdr>
        <w:top w:val="none" w:sz="0" w:space="0" w:color="auto"/>
        <w:left w:val="none" w:sz="0" w:space="0" w:color="auto"/>
        <w:bottom w:val="none" w:sz="0" w:space="0" w:color="auto"/>
        <w:right w:val="none" w:sz="0" w:space="0" w:color="auto"/>
      </w:divBdr>
    </w:div>
    <w:div w:id="600114891">
      <w:bodyDiv w:val="1"/>
      <w:marLeft w:val="0"/>
      <w:marRight w:val="0"/>
      <w:marTop w:val="0"/>
      <w:marBottom w:val="0"/>
      <w:divBdr>
        <w:top w:val="none" w:sz="0" w:space="0" w:color="auto"/>
        <w:left w:val="none" w:sz="0" w:space="0" w:color="auto"/>
        <w:bottom w:val="none" w:sz="0" w:space="0" w:color="auto"/>
        <w:right w:val="none" w:sz="0" w:space="0" w:color="auto"/>
      </w:divBdr>
      <w:divsChild>
        <w:div w:id="1756438908">
          <w:marLeft w:val="0"/>
          <w:marRight w:val="0"/>
          <w:marTop w:val="0"/>
          <w:marBottom w:val="0"/>
          <w:divBdr>
            <w:top w:val="none" w:sz="0" w:space="0" w:color="auto"/>
            <w:left w:val="none" w:sz="0" w:space="0" w:color="auto"/>
            <w:bottom w:val="none" w:sz="0" w:space="0" w:color="auto"/>
            <w:right w:val="none" w:sz="0" w:space="0" w:color="auto"/>
          </w:divBdr>
          <w:divsChild>
            <w:div w:id="1627464055">
              <w:marLeft w:val="0"/>
              <w:marRight w:val="0"/>
              <w:marTop w:val="0"/>
              <w:marBottom w:val="0"/>
              <w:divBdr>
                <w:top w:val="none" w:sz="0" w:space="0" w:color="auto"/>
                <w:left w:val="none" w:sz="0" w:space="0" w:color="auto"/>
                <w:bottom w:val="none" w:sz="0" w:space="0" w:color="auto"/>
                <w:right w:val="none" w:sz="0" w:space="0" w:color="auto"/>
              </w:divBdr>
              <w:divsChild>
                <w:div w:id="1311866768">
                  <w:marLeft w:val="0"/>
                  <w:marRight w:val="0"/>
                  <w:marTop w:val="0"/>
                  <w:marBottom w:val="0"/>
                  <w:divBdr>
                    <w:top w:val="none" w:sz="0" w:space="0" w:color="auto"/>
                    <w:left w:val="none" w:sz="0" w:space="0" w:color="auto"/>
                    <w:bottom w:val="none" w:sz="0" w:space="0" w:color="auto"/>
                    <w:right w:val="none" w:sz="0" w:space="0" w:color="auto"/>
                  </w:divBdr>
                  <w:divsChild>
                    <w:div w:id="272519546">
                      <w:marLeft w:val="0"/>
                      <w:marRight w:val="0"/>
                      <w:marTop w:val="0"/>
                      <w:marBottom w:val="0"/>
                      <w:divBdr>
                        <w:top w:val="none" w:sz="0" w:space="0" w:color="auto"/>
                        <w:left w:val="none" w:sz="0" w:space="0" w:color="auto"/>
                        <w:bottom w:val="none" w:sz="0" w:space="0" w:color="auto"/>
                        <w:right w:val="none" w:sz="0" w:space="0" w:color="auto"/>
                      </w:divBdr>
                      <w:divsChild>
                        <w:div w:id="152140409">
                          <w:marLeft w:val="0"/>
                          <w:marRight w:val="0"/>
                          <w:marTop w:val="0"/>
                          <w:marBottom w:val="0"/>
                          <w:divBdr>
                            <w:top w:val="none" w:sz="0" w:space="0" w:color="auto"/>
                            <w:left w:val="none" w:sz="0" w:space="0" w:color="auto"/>
                            <w:bottom w:val="none" w:sz="0" w:space="0" w:color="auto"/>
                            <w:right w:val="none" w:sz="0" w:space="0" w:color="auto"/>
                          </w:divBdr>
                          <w:divsChild>
                            <w:div w:id="93836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052228">
      <w:bodyDiv w:val="1"/>
      <w:marLeft w:val="0"/>
      <w:marRight w:val="0"/>
      <w:marTop w:val="0"/>
      <w:marBottom w:val="0"/>
      <w:divBdr>
        <w:top w:val="none" w:sz="0" w:space="0" w:color="auto"/>
        <w:left w:val="none" w:sz="0" w:space="0" w:color="auto"/>
        <w:bottom w:val="none" w:sz="0" w:space="0" w:color="auto"/>
        <w:right w:val="none" w:sz="0" w:space="0" w:color="auto"/>
      </w:divBdr>
      <w:divsChild>
        <w:div w:id="1496458103">
          <w:marLeft w:val="0"/>
          <w:marRight w:val="0"/>
          <w:marTop w:val="0"/>
          <w:marBottom w:val="0"/>
          <w:divBdr>
            <w:top w:val="none" w:sz="0" w:space="0" w:color="auto"/>
            <w:left w:val="none" w:sz="0" w:space="0" w:color="auto"/>
            <w:bottom w:val="none" w:sz="0" w:space="0" w:color="auto"/>
            <w:right w:val="none" w:sz="0" w:space="0" w:color="auto"/>
          </w:divBdr>
          <w:divsChild>
            <w:div w:id="1905216713">
              <w:marLeft w:val="0"/>
              <w:marRight w:val="0"/>
              <w:marTop w:val="0"/>
              <w:marBottom w:val="0"/>
              <w:divBdr>
                <w:top w:val="none" w:sz="0" w:space="0" w:color="auto"/>
                <w:left w:val="none" w:sz="0" w:space="0" w:color="auto"/>
                <w:bottom w:val="none" w:sz="0" w:space="0" w:color="auto"/>
                <w:right w:val="none" w:sz="0" w:space="0" w:color="auto"/>
              </w:divBdr>
              <w:divsChild>
                <w:div w:id="755706292">
                  <w:marLeft w:val="0"/>
                  <w:marRight w:val="0"/>
                  <w:marTop w:val="0"/>
                  <w:marBottom w:val="0"/>
                  <w:divBdr>
                    <w:top w:val="none" w:sz="0" w:space="0" w:color="auto"/>
                    <w:left w:val="none" w:sz="0" w:space="0" w:color="auto"/>
                    <w:bottom w:val="none" w:sz="0" w:space="0" w:color="auto"/>
                    <w:right w:val="none" w:sz="0" w:space="0" w:color="auto"/>
                  </w:divBdr>
                  <w:divsChild>
                    <w:div w:id="64575412">
                      <w:marLeft w:val="0"/>
                      <w:marRight w:val="0"/>
                      <w:marTop w:val="0"/>
                      <w:marBottom w:val="0"/>
                      <w:divBdr>
                        <w:top w:val="none" w:sz="0" w:space="0" w:color="auto"/>
                        <w:left w:val="none" w:sz="0" w:space="0" w:color="auto"/>
                        <w:bottom w:val="none" w:sz="0" w:space="0" w:color="auto"/>
                        <w:right w:val="none" w:sz="0" w:space="0" w:color="auto"/>
                      </w:divBdr>
                      <w:divsChild>
                        <w:div w:id="362175141">
                          <w:marLeft w:val="0"/>
                          <w:marRight w:val="0"/>
                          <w:marTop w:val="0"/>
                          <w:marBottom w:val="0"/>
                          <w:divBdr>
                            <w:top w:val="none" w:sz="0" w:space="0" w:color="auto"/>
                            <w:left w:val="none" w:sz="0" w:space="0" w:color="auto"/>
                            <w:bottom w:val="none" w:sz="0" w:space="0" w:color="auto"/>
                            <w:right w:val="none" w:sz="0" w:space="0" w:color="auto"/>
                          </w:divBdr>
                          <w:divsChild>
                            <w:div w:id="4869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589363">
      <w:bodyDiv w:val="1"/>
      <w:marLeft w:val="0"/>
      <w:marRight w:val="0"/>
      <w:marTop w:val="0"/>
      <w:marBottom w:val="0"/>
      <w:divBdr>
        <w:top w:val="none" w:sz="0" w:space="0" w:color="auto"/>
        <w:left w:val="none" w:sz="0" w:space="0" w:color="auto"/>
        <w:bottom w:val="none" w:sz="0" w:space="0" w:color="auto"/>
        <w:right w:val="none" w:sz="0" w:space="0" w:color="auto"/>
      </w:divBdr>
      <w:divsChild>
        <w:div w:id="1833400473">
          <w:marLeft w:val="0"/>
          <w:marRight w:val="0"/>
          <w:marTop w:val="0"/>
          <w:marBottom w:val="0"/>
          <w:divBdr>
            <w:top w:val="none" w:sz="0" w:space="0" w:color="auto"/>
            <w:left w:val="none" w:sz="0" w:space="0" w:color="auto"/>
            <w:bottom w:val="none" w:sz="0" w:space="0" w:color="auto"/>
            <w:right w:val="none" w:sz="0" w:space="0" w:color="auto"/>
          </w:divBdr>
          <w:divsChild>
            <w:div w:id="2016300207">
              <w:marLeft w:val="0"/>
              <w:marRight w:val="0"/>
              <w:marTop w:val="0"/>
              <w:marBottom w:val="0"/>
              <w:divBdr>
                <w:top w:val="none" w:sz="0" w:space="0" w:color="auto"/>
                <w:left w:val="none" w:sz="0" w:space="0" w:color="auto"/>
                <w:bottom w:val="none" w:sz="0" w:space="0" w:color="auto"/>
                <w:right w:val="none" w:sz="0" w:space="0" w:color="auto"/>
              </w:divBdr>
              <w:divsChild>
                <w:div w:id="964626022">
                  <w:marLeft w:val="0"/>
                  <w:marRight w:val="0"/>
                  <w:marTop w:val="0"/>
                  <w:marBottom w:val="0"/>
                  <w:divBdr>
                    <w:top w:val="none" w:sz="0" w:space="0" w:color="auto"/>
                    <w:left w:val="none" w:sz="0" w:space="0" w:color="auto"/>
                    <w:bottom w:val="none" w:sz="0" w:space="0" w:color="auto"/>
                    <w:right w:val="none" w:sz="0" w:space="0" w:color="auto"/>
                  </w:divBdr>
                  <w:divsChild>
                    <w:div w:id="509223706">
                      <w:marLeft w:val="0"/>
                      <w:marRight w:val="0"/>
                      <w:marTop w:val="0"/>
                      <w:marBottom w:val="0"/>
                      <w:divBdr>
                        <w:top w:val="none" w:sz="0" w:space="0" w:color="auto"/>
                        <w:left w:val="none" w:sz="0" w:space="0" w:color="auto"/>
                        <w:bottom w:val="none" w:sz="0" w:space="0" w:color="auto"/>
                        <w:right w:val="none" w:sz="0" w:space="0" w:color="auto"/>
                      </w:divBdr>
                      <w:divsChild>
                        <w:div w:id="1792937649">
                          <w:marLeft w:val="0"/>
                          <w:marRight w:val="0"/>
                          <w:marTop w:val="0"/>
                          <w:marBottom w:val="0"/>
                          <w:divBdr>
                            <w:top w:val="none" w:sz="0" w:space="0" w:color="auto"/>
                            <w:left w:val="none" w:sz="0" w:space="0" w:color="auto"/>
                            <w:bottom w:val="none" w:sz="0" w:space="0" w:color="auto"/>
                            <w:right w:val="none" w:sz="0" w:space="0" w:color="auto"/>
                          </w:divBdr>
                          <w:divsChild>
                            <w:div w:id="1530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732982">
      <w:bodyDiv w:val="1"/>
      <w:marLeft w:val="0"/>
      <w:marRight w:val="0"/>
      <w:marTop w:val="0"/>
      <w:marBottom w:val="0"/>
      <w:divBdr>
        <w:top w:val="none" w:sz="0" w:space="0" w:color="auto"/>
        <w:left w:val="none" w:sz="0" w:space="0" w:color="auto"/>
        <w:bottom w:val="none" w:sz="0" w:space="0" w:color="auto"/>
        <w:right w:val="none" w:sz="0" w:space="0" w:color="auto"/>
      </w:divBdr>
    </w:div>
    <w:div w:id="916749701">
      <w:bodyDiv w:val="1"/>
      <w:marLeft w:val="0"/>
      <w:marRight w:val="0"/>
      <w:marTop w:val="0"/>
      <w:marBottom w:val="0"/>
      <w:divBdr>
        <w:top w:val="none" w:sz="0" w:space="0" w:color="auto"/>
        <w:left w:val="none" w:sz="0" w:space="0" w:color="auto"/>
        <w:bottom w:val="none" w:sz="0" w:space="0" w:color="auto"/>
        <w:right w:val="none" w:sz="0" w:space="0" w:color="auto"/>
      </w:divBdr>
      <w:divsChild>
        <w:div w:id="1470783793">
          <w:marLeft w:val="0"/>
          <w:marRight w:val="0"/>
          <w:marTop w:val="0"/>
          <w:marBottom w:val="0"/>
          <w:divBdr>
            <w:top w:val="none" w:sz="0" w:space="0" w:color="auto"/>
            <w:left w:val="none" w:sz="0" w:space="0" w:color="auto"/>
            <w:bottom w:val="none" w:sz="0" w:space="0" w:color="auto"/>
            <w:right w:val="none" w:sz="0" w:space="0" w:color="auto"/>
          </w:divBdr>
          <w:divsChild>
            <w:div w:id="267734787">
              <w:marLeft w:val="0"/>
              <w:marRight w:val="0"/>
              <w:marTop w:val="0"/>
              <w:marBottom w:val="0"/>
              <w:divBdr>
                <w:top w:val="none" w:sz="0" w:space="0" w:color="auto"/>
                <w:left w:val="none" w:sz="0" w:space="0" w:color="auto"/>
                <w:bottom w:val="none" w:sz="0" w:space="0" w:color="auto"/>
                <w:right w:val="none" w:sz="0" w:space="0" w:color="auto"/>
              </w:divBdr>
              <w:divsChild>
                <w:div w:id="1647278916">
                  <w:marLeft w:val="0"/>
                  <w:marRight w:val="0"/>
                  <w:marTop w:val="0"/>
                  <w:marBottom w:val="0"/>
                  <w:divBdr>
                    <w:top w:val="none" w:sz="0" w:space="0" w:color="auto"/>
                    <w:left w:val="none" w:sz="0" w:space="0" w:color="auto"/>
                    <w:bottom w:val="none" w:sz="0" w:space="0" w:color="auto"/>
                    <w:right w:val="none" w:sz="0" w:space="0" w:color="auto"/>
                  </w:divBdr>
                  <w:divsChild>
                    <w:div w:id="440926561">
                      <w:marLeft w:val="0"/>
                      <w:marRight w:val="0"/>
                      <w:marTop w:val="0"/>
                      <w:marBottom w:val="0"/>
                      <w:divBdr>
                        <w:top w:val="none" w:sz="0" w:space="0" w:color="auto"/>
                        <w:left w:val="none" w:sz="0" w:space="0" w:color="auto"/>
                        <w:bottom w:val="none" w:sz="0" w:space="0" w:color="auto"/>
                        <w:right w:val="none" w:sz="0" w:space="0" w:color="auto"/>
                      </w:divBdr>
                      <w:divsChild>
                        <w:div w:id="1859805401">
                          <w:marLeft w:val="0"/>
                          <w:marRight w:val="0"/>
                          <w:marTop w:val="0"/>
                          <w:marBottom w:val="0"/>
                          <w:divBdr>
                            <w:top w:val="none" w:sz="0" w:space="0" w:color="auto"/>
                            <w:left w:val="none" w:sz="0" w:space="0" w:color="auto"/>
                            <w:bottom w:val="none" w:sz="0" w:space="0" w:color="auto"/>
                            <w:right w:val="none" w:sz="0" w:space="0" w:color="auto"/>
                          </w:divBdr>
                          <w:divsChild>
                            <w:div w:id="11197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560755">
      <w:bodyDiv w:val="1"/>
      <w:marLeft w:val="0"/>
      <w:marRight w:val="0"/>
      <w:marTop w:val="0"/>
      <w:marBottom w:val="0"/>
      <w:divBdr>
        <w:top w:val="none" w:sz="0" w:space="0" w:color="auto"/>
        <w:left w:val="none" w:sz="0" w:space="0" w:color="auto"/>
        <w:bottom w:val="none" w:sz="0" w:space="0" w:color="auto"/>
        <w:right w:val="none" w:sz="0" w:space="0" w:color="auto"/>
      </w:divBdr>
      <w:divsChild>
        <w:div w:id="1818839323">
          <w:marLeft w:val="0"/>
          <w:marRight w:val="0"/>
          <w:marTop w:val="0"/>
          <w:marBottom w:val="0"/>
          <w:divBdr>
            <w:top w:val="none" w:sz="0" w:space="0" w:color="auto"/>
            <w:left w:val="none" w:sz="0" w:space="0" w:color="auto"/>
            <w:bottom w:val="none" w:sz="0" w:space="0" w:color="auto"/>
            <w:right w:val="none" w:sz="0" w:space="0" w:color="auto"/>
          </w:divBdr>
          <w:divsChild>
            <w:div w:id="84962157">
              <w:marLeft w:val="0"/>
              <w:marRight w:val="0"/>
              <w:marTop w:val="0"/>
              <w:marBottom w:val="0"/>
              <w:divBdr>
                <w:top w:val="none" w:sz="0" w:space="0" w:color="auto"/>
                <w:left w:val="none" w:sz="0" w:space="0" w:color="auto"/>
                <w:bottom w:val="none" w:sz="0" w:space="0" w:color="auto"/>
                <w:right w:val="none" w:sz="0" w:space="0" w:color="auto"/>
              </w:divBdr>
              <w:divsChild>
                <w:div w:id="429356631">
                  <w:marLeft w:val="0"/>
                  <w:marRight w:val="0"/>
                  <w:marTop w:val="0"/>
                  <w:marBottom w:val="0"/>
                  <w:divBdr>
                    <w:top w:val="none" w:sz="0" w:space="0" w:color="auto"/>
                    <w:left w:val="none" w:sz="0" w:space="0" w:color="auto"/>
                    <w:bottom w:val="none" w:sz="0" w:space="0" w:color="auto"/>
                    <w:right w:val="none" w:sz="0" w:space="0" w:color="auto"/>
                  </w:divBdr>
                  <w:divsChild>
                    <w:div w:id="1688214010">
                      <w:marLeft w:val="0"/>
                      <w:marRight w:val="0"/>
                      <w:marTop w:val="0"/>
                      <w:marBottom w:val="0"/>
                      <w:divBdr>
                        <w:top w:val="none" w:sz="0" w:space="0" w:color="auto"/>
                        <w:left w:val="none" w:sz="0" w:space="0" w:color="auto"/>
                        <w:bottom w:val="none" w:sz="0" w:space="0" w:color="auto"/>
                        <w:right w:val="none" w:sz="0" w:space="0" w:color="auto"/>
                      </w:divBdr>
                      <w:divsChild>
                        <w:div w:id="972905921">
                          <w:marLeft w:val="0"/>
                          <w:marRight w:val="0"/>
                          <w:marTop w:val="0"/>
                          <w:marBottom w:val="0"/>
                          <w:divBdr>
                            <w:top w:val="none" w:sz="0" w:space="0" w:color="auto"/>
                            <w:left w:val="none" w:sz="0" w:space="0" w:color="auto"/>
                            <w:bottom w:val="none" w:sz="0" w:space="0" w:color="auto"/>
                            <w:right w:val="none" w:sz="0" w:space="0" w:color="auto"/>
                          </w:divBdr>
                          <w:divsChild>
                            <w:div w:id="188829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706575">
      <w:bodyDiv w:val="1"/>
      <w:marLeft w:val="0"/>
      <w:marRight w:val="0"/>
      <w:marTop w:val="0"/>
      <w:marBottom w:val="0"/>
      <w:divBdr>
        <w:top w:val="none" w:sz="0" w:space="0" w:color="auto"/>
        <w:left w:val="none" w:sz="0" w:space="0" w:color="auto"/>
        <w:bottom w:val="none" w:sz="0" w:space="0" w:color="auto"/>
        <w:right w:val="none" w:sz="0" w:space="0" w:color="auto"/>
      </w:divBdr>
      <w:divsChild>
        <w:div w:id="1131557760">
          <w:marLeft w:val="0"/>
          <w:marRight w:val="0"/>
          <w:marTop w:val="0"/>
          <w:marBottom w:val="0"/>
          <w:divBdr>
            <w:top w:val="none" w:sz="0" w:space="0" w:color="auto"/>
            <w:left w:val="none" w:sz="0" w:space="0" w:color="auto"/>
            <w:bottom w:val="none" w:sz="0" w:space="0" w:color="auto"/>
            <w:right w:val="none" w:sz="0" w:space="0" w:color="auto"/>
          </w:divBdr>
          <w:divsChild>
            <w:div w:id="1412115090">
              <w:marLeft w:val="0"/>
              <w:marRight w:val="0"/>
              <w:marTop w:val="0"/>
              <w:marBottom w:val="0"/>
              <w:divBdr>
                <w:top w:val="none" w:sz="0" w:space="0" w:color="auto"/>
                <w:left w:val="none" w:sz="0" w:space="0" w:color="auto"/>
                <w:bottom w:val="none" w:sz="0" w:space="0" w:color="auto"/>
                <w:right w:val="none" w:sz="0" w:space="0" w:color="auto"/>
              </w:divBdr>
              <w:divsChild>
                <w:div w:id="1791823708">
                  <w:marLeft w:val="0"/>
                  <w:marRight w:val="0"/>
                  <w:marTop w:val="0"/>
                  <w:marBottom w:val="0"/>
                  <w:divBdr>
                    <w:top w:val="none" w:sz="0" w:space="0" w:color="auto"/>
                    <w:left w:val="none" w:sz="0" w:space="0" w:color="auto"/>
                    <w:bottom w:val="none" w:sz="0" w:space="0" w:color="auto"/>
                    <w:right w:val="none" w:sz="0" w:space="0" w:color="auto"/>
                  </w:divBdr>
                  <w:divsChild>
                    <w:div w:id="655308633">
                      <w:marLeft w:val="0"/>
                      <w:marRight w:val="0"/>
                      <w:marTop w:val="0"/>
                      <w:marBottom w:val="0"/>
                      <w:divBdr>
                        <w:top w:val="none" w:sz="0" w:space="0" w:color="auto"/>
                        <w:left w:val="none" w:sz="0" w:space="0" w:color="auto"/>
                        <w:bottom w:val="none" w:sz="0" w:space="0" w:color="auto"/>
                        <w:right w:val="none" w:sz="0" w:space="0" w:color="auto"/>
                      </w:divBdr>
                      <w:divsChild>
                        <w:div w:id="1019430364">
                          <w:marLeft w:val="0"/>
                          <w:marRight w:val="0"/>
                          <w:marTop w:val="0"/>
                          <w:marBottom w:val="0"/>
                          <w:divBdr>
                            <w:top w:val="none" w:sz="0" w:space="0" w:color="auto"/>
                            <w:left w:val="none" w:sz="0" w:space="0" w:color="auto"/>
                            <w:bottom w:val="none" w:sz="0" w:space="0" w:color="auto"/>
                            <w:right w:val="none" w:sz="0" w:space="0" w:color="auto"/>
                          </w:divBdr>
                          <w:divsChild>
                            <w:div w:id="8085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482271">
      <w:bodyDiv w:val="1"/>
      <w:marLeft w:val="0"/>
      <w:marRight w:val="0"/>
      <w:marTop w:val="0"/>
      <w:marBottom w:val="0"/>
      <w:divBdr>
        <w:top w:val="none" w:sz="0" w:space="0" w:color="auto"/>
        <w:left w:val="none" w:sz="0" w:space="0" w:color="auto"/>
        <w:bottom w:val="none" w:sz="0" w:space="0" w:color="auto"/>
        <w:right w:val="none" w:sz="0" w:space="0" w:color="auto"/>
      </w:divBdr>
    </w:div>
    <w:div w:id="1279991429">
      <w:bodyDiv w:val="1"/>
      <w:marLeft w:val="0"/>
      <w:marRight w:val="0"/>
      <w:marTop w:val="0"/>
      <w:marBottom w:val="0"/>
      <w:divBdr>
        <w:top w:val="none" w:sz="0" w:space="0" w:color="auto"/>
        <w:left w:val="none" w:sz="0" w:space="0" w:color="auto"/>
        <w:bottom w:val="none" w:sz="0" w:space="0" w:color="auto"/>
        <w:right w:val="none" w:sz="0" w:space="0" w:color="auto"/>
      </w:divBdr>
      <w:divsChild>
        <w:div w:id="1624732632">
          <w:marLeft w:val="0"/>
          <w:marRight w:val="0"/>
          <w:marTop w:val="0"/>
          <w:marBottom w:val="0"/>
          <w:divBdr>
            <w:top w:val="none" w:sz="0" w:space="0" w:color="auto"/>
            <w:left w:val="none" w:sz="0" w:space="0" w:color="auto"/>
            <w:bottom w:val="none" w:sz="0" w:space="0" w:color="auto"/>
            <w:right w:val="none" w:sz="0" w:space="0" w:color="auto"/>
          </w:divBdr>
          <w:divsChild>
            <w:div w:id="328481632">
              <w:marLeft w:val="0"/>
              <w:marRight w:val="0"/>
              <w:marTop w:val="0"/>
              <w:marBottom w:val="0"/>
              <w:divBdr>
                <w:top w:val="none" w:sz="0" w:space="0" w:color="auto"/>
                <w:left w:val="none" w:sz="0" w:space="0" w:color="auto"/>
                <w:bottom w:val="none" w:sz="0" w:space="0" w:color="auto"/>
                <w:right w:val="none" w:sz="0" w:space="0" w:color="auto"/>
              </w:divBdr>
              <w:divsChild>
                <w:div w:id="126241331">
                  <w:marLeft w:val="0"/>
                  <w:marRight w:val="0"/>
                  <w:marTop w:val="0"/>
                  <w:marBottom w:val="0"/>
                  <w:divBdr>
                    <w:top w:val="none" w:sz="0" w:space="0" w:color="auto"/>
                    <w:left w:val="none" w:sz="0" w:space="0" w:color="auto"/>
                    <w:bottom w:val="none" w:sz="0" w:space="0" w:color="auto"/>
                    <w:right w:val="none" w:sz="0" w:space="0" w:color="auto"/>
                  </w:divBdr>
                  <w:divsChild>
                    <w:div w:id="1767266067">
                      <w:marLeft w:val="0"/>
                      <w:marRight w:val="0"/>
                      <w:marTop w:val="0"/>
                      <w:marBottom w:val="0"/>
                      <w:divBdr>
                        <w:top w:val="none" w:sz="0" w:space="0" w:color="auto"/>
                        <w:left w:val="none" w:sz="0" w:space="0" w:color="auto"/>
                        <w:bottom w:val="none" w:sz="0" w:space="0" w:color="auto"/>
                        <w:right w:val="none" w:sz="0" w:space="0" w:color="auto"/>
                      </w:divBdr>
                      <w:divsChild>
                        <w:div w:id="93869552">
                          <w:marLeft w:val="0"/>
                          <w:marRight w:val="0"/>
                          <w:marTop w:val="0"/>
                          <w:marBottom w:val="0"/>
                          <w:divBdr>
                            <w:top w:val="none" w:sz="0" w:space="0" w:color="auto"/>
                            <w:left w:val="none" w:sz="0" w:space="0" w:color="auto"/>
                            <w:bottom w:val="none" w:sz="0" w:space="0" w:color="auto"/>
                            <w:right w:val="none" w:sz="0" w:space="0" w:color="auto"/>
                          </w:divBdr>
                          <w:divsChild>
                            <w:div w:id="38610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142133">
      <w:bodyDiv w:val="1"/>
      <w:marLeft w:val="0"/>
      <w:marRight w:val="0"/>
      <w:marTop w:val="0"/>
      <w:marBottom w:val="0"/>
      <w:divBdr>
        <w:top w:val="none" w:sz="0" w:space="0" w:color="auto"/>
        <w:left w:val="none" w:sz="0" w:space="0" w:color="auto"/>
        <w:bottom w:val="none" w:sz="0" w:space="0" w:color="auto"/>
        <w:right w:val="none" w:sz="0" w:space="0" w:color="auto"/>
      </w:divBdr>
      <w:divsChild>
        <w:div w:id="500434800">
          <w:marLeft w:val="0"/>
          <w:marRight w:val="0"/>
          <w:marTop w:val="0"/>
          <w:marBottom w:val="0"/>
          <w:divBdr>
            <w:top w:val="none" w:sz="0" w:space="0" w:color="auto"/>
            <w:left w:val="none" w:sz="0" w:space="0" w:color="auto"/>
            <w:bottom w:val="none" w:sz="0" w:space="0" w:color="auto"/>
            <w:right w:val="none" w:sz="0" w:space="0" w:color="auto"/>
          </w:divBdr>
          <w:divsChild>
            <w:div w:id="1212578388">
              <w:marLeft w:val="0"/>
              <w:marRight w:val="0"/>
              <w:marTop w:val="0"/>
              <w:marBottom w:val="0"/>
              <w:divBdr>
                <w:top w:val="none" w:sz="0" w:space="0" w:color="auto"/>
                <w:left w:val="none" w:sz="0" w:space="0" w:color="auto"/>
                <w:bottom w:val="none" w:sz="0" w:space="0" w:color="auto"/>
                <w:right w:val="none" w:sz="0" w:space="0" w:color="auto"/>
              </w:divBdr>
              <w:divsChild>
                <w:div w:id="992491726">
                  <w:marLeft w:val="0"/>
                  <w:marRight w:val="0"/>
                  <w:marTop w:val="0"/>
                  <w:marBottom w:val="0"/>
                  <w:divBdr>
                    <w:top w:val="none" w:sz="0" w:space="0" w:color="auto"/>
                    <w:left w:val="none" w:sz="0" w:space="0" w:color="auto"/>
                    <w:bottom w:val="none" w:sz="0" w:space="0" w:color="auto"/>
                    <w:right w:val="none" w:sz="0" w:space="0" w:color="auto"/>
                  </w:divBdr>
                  <w:divsChild>
                    <w:div w:id="820583010">
                      <w:marLeft w:val="0"/>
                      <w:marRight w:val="0"/>
                      <w:marTop w:val="0"/>
                      <w:marBottom w:val="0"/>
                      <w:divBdr>
                        <w:top w:val="none" w:sz="0" w:space="0" w:color="auto"/>
                        <w:left w:val="none" w:sz="0" w:space="0" w:color="auto"/>
                        <w:bottom w:val="none" w:sz="0" w:space="0" w:color="auto"/>
                        <w:right w:val="none" w:sz="0" w:space="0" w:color="auto"/>
                      </w:divBdr>
                      <w:divsChild>
                        <w:div w:id="560478770">
                          <w:marLeft w:val="0"/>
                          <w:marRight w:val="0"/>
                          <w:marTop w:val="0"/>
                          <w:marBottom w:val="0"/>
                          <w:divBdr>
                            <w:top w:val="none" w:sz="0" w:space="0" w:color="auto"/>
                            <w:left w:val="none" w:sz="0" w:space="0" w:color="auto"/>
                            <w:bottom w:val="none" w:sz="0" w:space="0" w:color="auto"/>
                            <w:right w:val="none" w:sz="0" w:space="0" w:color="auto"/>
                          </w:divBdr>
                          <w:divsChild>
                            <w:div w:id="33438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973934">
      <w:bodyDiv w:val="1"/>
      <w:marLeft w:val="0"/>
      <w:marRight w:val="0"/>
      <w:marTop w:val="0"/>
      <w:marBottom w:val="0"/>
      <w:divBdr>
        <w:top w:val="none" w:sz="0" w:space="0" w:color="auto"/>
        <w:left w:val="none" w:sz="0" w:space="0" w:color="auto"/>
        <w:bottom w:val="none" w:sz="0" w:space="0" w:color="auto"/>
        <w:right w:val="none" w:sz="0" w:space="0" w:color="auto"/>
      </w:divBdr>
      <w:divsChild>
        <w:div w:id="1485664783">
          <w:marLeft w:val="0"/>
          <w:marRight w:val="0"/>
          <w:marTop w:val="0"/>
          <w:marBottom w:val="0"/>
          <w:divBdr>
            <w:top w:val="none" w:sz="0" w:space="0" w:color="auto"/>
            <w:left w:val="none" w:sz="0" w:space="0" w:color="auto"/>
            <w:bottom w:val="none" w:sz="0" w:space="0" w:color="auto"/>
            <w:right w:val="none" w:sz="0" w:space="0" w:color="auto"/>
          </w:divBdr>
          <w:divsChild>
            <w:div w:id="794100505">
              <w:marLeft w:val="0"/>
              <w:marRight w:val="0"/>
              <w:marTop w:val="0"/>
              <w:marBottom w:val="0"/>
              <w:divBdr>
                <w:top w:val="none" w:sz="0" w:space="0" w:color="auto"/>
                <w:left w:val="none" w:sz="0" w:space="0" w:color="auto"/>
                <w:bottom w:val="none" w:sz="0" w:space="0" w:color="auto"/>
                <w:right w:val="none" w:sz="0" w:space="0" w:color="auto"/>
              </w:divBdr>
              <w:divsChild>
                <w:div w:id="88933961">
                  <w:marLeft w:val="0"/>
                  <w:marRight w:val="0"/>
                  <w:marTop w:val="0"/>
                  <w:marBottom w:val="0"/>
                  <w:divBdr>
                    <w:top w:val="none" w:sz="0" w:space="0" w:color="auto"/>
                    <w:left w:val="none" w:sz="0" w:space="0" w:color="auto"/>
                    <w:bottom w:val="none" w:sz="0" w:space="0" w:color="auto"/>
                    <w:right w:val="none" w:sz="0" w:space="0" w:color="auto"/>
                  </w:divBdr>
                  <w:divsChild>
                    <w:div w:id="2085251273">
                      <w:marLeft w:val="0"/>
                      <w:marRight w:val="0"/>
                      <w:marTop w:val="0"/>
                      <w:marBottom w:val="0"/>
                      <w:divBdr>
                        <w:top w:val="none" w:sz="0" w:space="0" w:color="auto"/>
                        <w:left w:val="none" w:sz="0" w:space="0" w:color="auto"/>
                        <w:bottom w:val="none" w:sz="0" w:space="0" w:color="auto"/>
                        <w:right w:val="none" w:sz="0" w:space="0" w:color="auto"/>
                      </w:divBdr>
                      <w:divsChild>
                        <w:div w:id="1627852360">
                          <w:marLeft w:val="0"/>
                          <w:marRight w:val="0"/>
                          <w:marTop w:val="0"/>
                          <w:marBottom w:val="0"/>
                          <w:divBdr>
                            <w:top w:val="none" w:sz="0" w:space="0" w:color="auto"/>
                            <w:left w:val="none" w:sz="0" w:space="0" w:color="auto"/>
                            <w:bottom w:val="none" w:sz="0" w:space="0" w:color="auto"/>
                            <w:right w:val="none" w:sz="0" w:space="0" w:color="auto"/>
                          </w:divBdr>
                          <w:divsChild>
                            <w:div w:id="56780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645746">
      <w:bodyDiv w:val="1"/>
      <w:marLeft w:val="0"/>
      <w:marRight w:val="0"/>
      <w:marTop w:val="0"/>
      <w:marBottom w:val="0"/>
      <w:divBdr>
        <w:top w:val="none" w:sz="0" w:space="0" w:color="auto"/>
        <w:left w:val="none" w:sz="0" w:space="0" w:color="auto"/>
        <w:bottom w:val="none" w:sz="0" w:space="0" w:color="auto"/>
        <w:right w:val="none" w:sz="0" w:space="0" w:color="auto"/>
      </w:divBdr>
      <w:divsChild>
        <w:div w:id="294795483">
          <w:marLeft w:val="0"/>
          <w:marRight w:val="0"/>
          <w:marTop w:val="0"/>
          <w:marBottom w:val="0"/>
          <w:divBdr>
            <w:top w:val="none" w:sz="0" w:space="0" w:color="auto"/>
            <w:left w:val="none" w:sz="0" w:space="0" w:color="auto"/>
            <w:bottom w:val="none" w:sz="0" w:space="0" w:color="auto"/>
            <w:right w:val="none" w:sz="0" w:space="0" w:color="auto"/>
          </w:divBdr>
          <w:divsChild>
            <w:div w:id="1659459167">
              <w:marLeft w:val="0"/>
              <w:marRight w:val="0"/>
              <w:marTop w:val="0"/>
              <w:marBottom w:val="0"/>
              <w:divBdr>
                <w:top w:val="none" w:sz="0" w:space="0" w:color="auto"/>
                <w:left w:val="none" w:sz="0" w:space="0" w:color="auto"/>
                <w:bottom w:val="none" w:sz="0" w:space="0" w:color="auto"/>
                <w:right w:val="none" w:sz="0" w:space="0" w:color="auto"/>
              </w:divBdr>
              <w:divsChild>
                <w:div w:id="1746293995">
                  <w:marLeft w:val="0"/>
                  <w:marRight w:val="0"/>
                  <w:marTop w:val="0"/>
                  <w:marBottom w:val="0"/>
                  <w:divBdr>
                    <w:top w:val="none" w:sz="0" w:space="0" w:color="auto"/>
                    <w:left w:val="none" w:sz="0" w:space="0" w:color="auto"/>
                    <w:bottom w:val="none" w:sz="0" w:space="0" w:color="auto"/>
                    <w:right w:val="none" w:sz="0" w:space="0" w:color="auto"/>
                  </w:divBdr>
                  <w:divsChild>
                    <w:div w:id="940449146">
                      <w:marLeft w:val="0"/>
                      <w:marRight w:val="0"/>
                      <w:marTop w:val="0"/>
                      <w:marBottom w:val="0"/>
                      <w:divBdr>
                        <w:top w:val="none" w:sz="0" w:space="0" w:color="auto"/>
                        <w:left w:val="none" w:sz="0" w:space="0" w:color="auto"/>
                        <w:bottom w:val="none" w:sz="0" w:space="0" w:color="auto"/>
                        <w:right w:val="none" w:sz="0" w:space="0" w:color="auto"/>
                      </w:divBdr>
                      <w:divsChild>
                        <w:div w:id="1381053061">
                          <w:marLeft w:val="0"/>
                          <w:marRight w:val="0"/>
                          <w:marTop w:val="0"/>
                          <w:marBottom w:val="0"/>
                          <w:divBdr>
                            <w:top w:val="none" w:sz="0" w:space="0" w:color="auto"/>
                            <w:left w:val="none" w:sz="0" w:space="0" w:color="auto"/>
                            <w:bottom w:val="none" w:sz="0" w:space="0" w:color="auto"/>
                            <w:right w:val="none" w:sz="0" w:space="0" w:color="auto"/>
                          </w:divBdr>
                          <w:divsChild>
                            <w:div w:id="165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188590">
      <w:bodyDiv w:val="1"/>
      <w:marLeft w:val="0"/>
      <w:marRight w:val="0"/>
      <w:marTop w:val="0"/>
      <w:marBottom w:val="0"/>
      <w:divBdr>
        <w:top w:val="none" w:sz="0" w:space="0" w:color="auto"/>
        <w:left w:val="none" w:sz="0" w:space="0" w:color="auto"/>
        <w:bottom w:val="none" w:sz="0" w:space="0" w:color="auto"/>
        <w:right w:val="none" w:sz="0" w:space="0" w:color="auto"/>
      </w:divBdr>
    </w:div>
    <w:div w:id="1530683048">
      <w:bodyDiv w:val="1"/>
      <w:marLeft w:val="0"/>
      <w:marRight w:val="0"/>
      <w:marTop w:val="0"/>
      <w:marBottom w:val="0"/>
      <w:divBdr>
        <w:top w:val="none" w:sz="0" w:space="0" w:color="auto"/>
        <w:left w:val="none" w:sz="0" w:space="0" w:color="auto"/>
        <w:bottom w:val="none" w:sz="0" w:space="0" w:color="auto"/>
        <w:right w:val="none" w:sz="0" w:space="0" w:color="auto"/>
      </w:divBdr>
      <w:divsChild>
        <w:div w:id="984508315">
          <w:marLeft w:val="0"/>
          <w:marRight w:val="0"/>
          <w:marTop w:val="0"/>
          <w:marBottom w:val="0"/>
          <w:divBdr>
            <w:top w:val="none" w:sz="0" w:space="0" w:color="auto"/>
            <w:left w:val="none" w:sz="0" w:space="0" w:color="auto"/>
            <w:bottom w:val="none" w:sz="0" w:space="0" w:color="auto"/>
            <w:right w:val="none" w:sz="0" w:space="0" w:color="auto"/>
          </w:divBdr>
          <w:divsChild>
            <w:div w:id="1942059748">
              <w:marLeft w:val="0"/>
              <w:marRight w:val="0"/>
              <w:marTop w:val="0"/>
              <w:marBottom w:val="0"/>
              <w:divBdr>
                <w:top w:val="none" w:sz="0" w:space="0" w:color="auto"/>
                <w:left w:val="none" w:sz="0" w:space="0" w:color="auto"/>
                <w:bottom w:val="none" w:sz="0" w:space="0" w:color="auto"/>
                <w:right w:val="none" w:sz="0" w:space="0" w:color="auto"/>
              </w:divBdr>
              <w:divsChild>
                <w:div w:id="605767448">
                  <w:marLeft w:val="0"/>
                  <w:marRight w:val="0"/>
                  <w:marTop w:val="0"/>
                  <w:marBottom w:val="0"/>
                  <w:divBdr>
                    <w:top w:val="none" w:sz="0" w:space="0" w:color="auto"/>
                    <w:left w:val="none" w:sz="0" w:space="0" w:color="auto"/>
                    <w:bottom w:val="none" w:sz="0" w:space="0" w:color="auto"/>
                    <w:right w:val="none" w:sz="0" w:space="0" w:color="auto"/>
                  </w:divBdr>
                  <w:divsChild>
                    <w:div w:id="918558676">
                      <w:marLeft w:val="0"/>
                      <w:marRight w:val="0"/>
                      <w:marTop w:val="0"/>
                      <w:marBottom w:val="0"/>
                      <w:divBdr>
                        <w:top w:val="none" w:sz="0" w:space="0" w:color="auto"/>
                        <w:left w:val="none" w:sz="0" w:space="0" w:color="auto"/>
                        <w:bottom w:val="none" w:sz="0" w:space="0" w:color="auto"/>
                        <w:right w:val="none" w:sz="0" w:space="0" w:color="auto"/>
                      </w:divBdr>
                      <w:divsChild>
                        <w:div w:id="1813592930">
                          <w:marLeft w:val="0"/>
                          <w:marRight w:val="0"/>
                          <w:marTop w:val="0"/>
                          <w:marBottom w:val="0"/>
                          <w:divBdr>
                            <w:top w:val="none" w:sz="0" w:space="0" w:color="auto"/>
                            <w:left w:val="none" w:sz="0" w:space="0" w:color="auto"/>
                            <w:bottom w:val="none" w:sz="0" w:space="0" w:color="auto"/>
                            <w:right w:val="none" w:sz="0" w:space="0" w:color="auto"/>
                          </w:divBdr>
                          <w:divsChild>
                            <w:div w:id="158074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171611">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741253079">
      <w:bodyDiv w:val="1"/>
      <w:marLeft w:val="0"/>
      <w:marRight w:val="0"/>
      <w:marTop w:val="0"/>
      <w:marBottom w:val="0"/>
      <w:divBdr>
        <w:top w:val="none" w:sz="0" w:space="0" w:color="auto"/>
        <w:left w:val="none" w:sz="0" w:space="0" w:color="auto"/>
        <w:bottom w:val="none" w:sz="0" w:space="0" w:color="auto"/>
        <w:right w:val="none" w:sz="0" w:space="0" w:color="auto"/>
      </w:divBdr>
    </w:div>
    <w:div w:id="1754938514">
      <w:bodyDiv w:val="1"/>
      <w:marLeft w:val="0"/>
      <w:marRight w:val="0"/>
      <w:marTop w:val="0"/>
      <w:marBottom w:val="0"/>
      <w:divBdr>
        <w:top w:val="none" w:sz="0" w:space="0" w:color="auto"/>
        <w:left w:val="none" w:sz="0" w:space="0" w:color="auto"/>
        <w:bottom w:val="none" w:sz="0" w:space="0" w:color="auto"/>
        <w:right w:val="none" w:sz="0" w:space="0" w:color="auto"/>
      </w:divBdr>
      <w:divsChild>
        <w:div w:id="376852225">
          <w:marLeft w:val="0"/>
          <w:marRight w:val="0"/>
          <w:marTop w:val="0"/>
          <w:marBottom w:val="0"/>
          <w:divBdr>
            <w:top w:val="none" w:sz="0" w:space="0" w:color="auto"/>
            <w:left w:val="none" w:sz="0" w:space="0" w:color="auto"/>
            <w:bottom w:val="none" w:sz="0" w:space="0" w:color="auto"/>
            <w:right w:val="none" w:sz="0" w:space="0" w:color="auto"/>
          </w:divBdr>
          <w:divsChild>
            <w:div w:id="1392651041">
              <w:marLeft w:val="0"/>
              <w:marRight w:val="0"/>
              <w:marTop w:val="0"/>
              <w:marBottom w:val="0"/>
              <w:divBdr>
                <w:top w:val="none" w:sz="0" w:space="0" w:color="auto"/>
                <w:left w:val="none" w:sz="0" w:space="0" w:color="auto"/>
                <w:bottom w:val="none" w:sz="0" w:space="0" w:color="auto"/>
                <w:right w:val="none" w:sz="0" w:space="0" w:color="auto"/>
              </w:divBdr>
              <w:divsChild>
                <w:div w:id="1367365226">
                  <w:marLeft w:val="0"/>
                  <w:marRight w:val="0"/>
                  <w:marTop w:val="0"/>
                  <w:marBottom w:val="0"/>
                  <w:divBdr>
                    <w:top w:val="none" w:sz="0" w:space="0" w:color="auto"/>
                    <w:left w:val="none" w:sz="0" w:space="0" w:color="auto"/>
                    <w:bottom w:val="none" w:sz="0" w:space="0" w:color="auto"/>
                    <w:right w:val="none" w:sz="0" w:space="0" w:color="auto"/>
                  </w:divBdr>
                  <w:divsChild>
                    <w:div w:id="2019497407">
                      <w:marLeft w:val="0"/>
                      <w:marRight w:val="0"/>
                      <w:marTop w:val="0"/>
                      <w:marBottom w:val="0"/>
                      <w:divBdr>
                        <w:top w:val="none" w:sz="0" w:space="0" w:color="auto"/>
                        <w:left w:val="none" w:sz="0" w:space="0" w:color="auto"/>
                        <w:bottom w:val="none" w:sz="0" w:space="0" w:color="auto"/>
                        <w:right w:val="none" w:sz="0" w:space="0" w:color="auto"/>
                      </w:divBdr>
                      <w:divsChild>
                        <w:div w:id="2098137956">
                          <w:marLeft w:val="0"/>
                          <w:marRight w:val="0"/>
                          <w:marTop w:val="0"/>
                          <w:marBottom w:val="0"/>
                          <w:divBdr>
                            <w:top w:val="none" w:sz="0" w:space="0" w:color="auto"/>
                            <w:left w:val="none" w:sz="0" w:space="0" w:color="auto"/>
                            <w:bottom w:val="none" w:sz="0" w:space="0" w:color="auto"/>
                            <w:right w:val="none" w:sz="0" w:space="0" w:color="auto"/>
                          </w:divBdr>
                          <w:divsChild>
                            <w:div w:id="73809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865982">
      <w:bodyDiv w:val="1"/>
      <w:marLeft w:val="0"/>
      <w:marRight w:val="0"/>
      <w:marTop w:val="0"/>
      <w:marBottom w:val="0"/>
      <w:divBdr>
        <w:top w:val="none" w:sz="0" w:space="0" w:color="auto"/>
        <w:left w:val="none" w:sz="0" w:space="0" w:color="auto"/>
        <w:bottom w:val="none" w:sz="0" w:space="0" w:color="auto"/>
        <w:right w:val="none" w:sz="0" w:space="0" w:color="auto"/>
      </w:divBdr>
      <w:divsChild>
        <w:div w:id="388190380">
          <w:marLeft w:val="0"/>
          <w:marRight w:val="0"/>
          <w:marTop w:val="0"/>
          <w:marBottom w:val="0"/>
          <w:divBdr>
            <w:top w:val="none" w:sz="0" w:space="0" w:color="auto"/>
            <w:left w:val="none" w:sz="0" w:space="0" w:color="auto"/>
            <w:bottom w:val="none" w:sz="0" w:space="0" w:color="auto"/>
            <w:right w:val="none" w:sz="0" w:space="0" w:color="auto"/>
          </w:divBdr>
          <w:divsChild>
            <w:div w:id="1204093899">
              <w:marLeft w:val="0"/>
              <w:marRight w:val="0"/>
              <w:marTop w:val="0"/>
              <w:marBottom w:val="0"/>
              <w:divBdr>
                <w:top w:val="none" w:sz="0" w:space="0" w:color="auto"/>
                <w:left w:val="none" w:sz="0" w:space="0" w:color="auto"/>
                <w:bottom w:val="none" w:sz="0" w:space="0" w:color="auto"/>
                <w:right w:val="none" w:sz="0" w:space="0" w:color="auto"/>
              </w:divBdr>
              <w:divsChild>
                <w:div w:id="1477797226">
                  <w:marLeft w:val="0"/>
                  <w:marRight w:val="0"/>
                  <w:marTop w:val="0"/>
                  <w:marBottom w:val="0"/>
                  <w:divBdr>
                    <w:top w:val="none" w:sz="0" w:space="0" w:color="auto"/>
                    <w:left w:val="none" w:sz="0" w:space="0" w:color="auto"/>
                    <w:bottom w:val="none" w:sz="0" w:space="0" w:color="auto"/>
                    <w:right w:val="none" w:sz="0" w:space="0" w:color="auto"/>
                  </w:divBdr>
                  <w:divsChild>
                    <w:div w:id="75788512">
                      <w:marLeft w:val="0"/>
                      <w:marRight w:val="0"/>
                      <w:marTop w:val="0"/>
                      <w:marBottom w:val="0"/>
                      <w:divBdr>
                        <w:top w:val="none" w:sz="0" w:space="0" w:color="auto"/>
                        <w:left w:val="none" w:sz="0" w:space="0" w:color="auto"/>
                        <w:bottom w:val="none" w:sz="0" w:space="0" w:color="auto"/>
                        <w:right w:val="none" w:sz="0" w:space="0" w:color="auto"/>
                      </w:divBdr>
                      <w:divsChild>
                        <w:div w:id="799566275">
                          <w:marLeft w:val="0"/>
                          <w:marRight w:val="0"/>
                          <w:marTop w:val="0"/>
                          <w:marBottom w:val="0"/>
                          <w:divBdr>
                            <w:top w:val="none" w:sz="0" w:space="0" w:color="auto"/>
                            <w:left w:val="none" w:sz="0" w:space="0" w:color="auto"/>
                            <w:bottom w:val="none" w:sz="0" w:space="0" w:color="auto"/>
                            <w:right w:val="none" w:sz="0" w:space="0" w:color="auto"/>
                          </w:divBdr>
                          <w:divsChild>
                            <w:div w:id="174483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581398">
      <w:bodyDiv w:val="1"/>
      <w:marLeft w:val="0"/>
      <w:marRight w:val="0"/>
      <w:marTop w:val="0"/>
      <w:marBottom w:val="0"/>
      <w:divBdr>
        <w:top w:val="none" w:sz="0" w:space="0" w:color="auto"/>
        <w:left w:val="none" w:sz="0" w:space="0" w:color="auto"/>
        <w:bottom w:val="none" w:sz="0" w:space="0" w:color="auto"/>
        <w:right w:val="none" w:sz="0" w:space="0" w:color="auto"/>
      </w:divBdr>
      <w:divsChild>
        <w:div w:id="1379473586">
          <w:marLeft w:val="0"/>
          <w:marRight w:val="0"/>
          <w:marTop w:val="0"/>
          <w:marBottom w:val="0"/>
          <w:divBdr>
            <w:top w:val="none" w:sz="0" w:space="0" w:color="auto"/>
            <w:left w:val="none" w:sz="0" w:space="0" w:color="auto"/>
            <w:bottom w:val="none" w:sz="0" w:space="0" w:color="auto"/>
            <w:right w:val="none" w:sz="0" w:space="0" w:color="auto"/>
          </w:divBdr>
          <w:divsChild>
            <w:div w:id="1928345512">
              <w:marLeft w:val="0"/>
              <w:marRight w:val="0"/>
              <w:marTop w:val="0"/>
              <w:marBottom w:val="0"/>
              <w:divBdr>
                <w:top w:val="none" w:sz="0" w:space="0" w:color="auto"/>
                <w:left w:val="none" w:sz="0" w:space="0" w:color="auto"/>
                <w:bottom w:val="none" w:sz="0" w:space="0" w:color="auto"/>
                <w:right w:val="none" w:sz="0" w:space="0" w:color="auto"/>
              </w:divBdr>
              <w:divsChild>
                <w:div w:id="1157190134">
                  <w:marLeft w:val="0"/>
                  <w:marRight w:val="0"/>
                  <w:marTop w:val="0"/>
                  <w:marBottom w:val="0"/>
                  <w:divBdr>
                    <w:top w:val="none" w:sz="0" w:space="0" w:color="auto"/>
                    <w:left w:val="none" w:sz="0" w:space="0" w:color="auto"/>
                    <w:bottom w:val="none" w:sz="0" w:space="0" w:color="auto"/>
                    <w:right w:val="none" w:sz="0" w:space="0" w:color="auto"/>
                  </w:divBdr>
                  <w:divsChild>
                    <w:div w:id="233667921">
                      <w:marLeft w:val="0"/>
                      <w:marRight w:val="0"/>
                      <w:marTop w:val="0"/>
                      <w:marBottom w:val="0"/>
                      <w:divBdr>
                        <w:top w:val="none" w:sz="0" w:space="0" w:color="auto"/>
                        <w:left w:val="none" w:sz="0" w:space="0" w:color="auto"/>
                        <w:bottom w:val="none" w:sz="0" w:space="0" w:color="auto"/>
                        <w:right w:val="none" w:sz="0" w:space="0" w:color="auto"/>
                      </w:divBdr>
                      <w:divsChild>
                        <w:div w:id="1210726027">
                          <w:marLeft w:val="0"/>
                          <w:marRight w:val="0"/>
                          <w:marTop w:val="0"/>
                          <w:marBottom w:val="0"/>
                          <w:divBdr>
                            <w:top w:val="none" w:sz="0" w:space="0" w:color="auto"/>
                            <w:left w:val="none" w:sz="0" w:space="0" w:color="auto"/>
                            <w:bottom w:val="none" w:sz="0" w:space="0" w:color="auto"/>
                            <w:right w:val="none" w:sz="0" w:space="0" w:color="auto"/>
                          </w:divBdr>
                          <w:divsChild>
                            <w:div w:id="181883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615295">
      <w:bodyDiv w:val="1"/>
      <w:marLeft w:val="0"/>
      <w:marRight w:val="0"/>
      <w:marTop w:val="0"/>
      <w:marBottom w:val="0"/>
      <w:divBdr>
        <w:top w:val="none" w:sz="0" w:space="0" w:color="auto"/>
        <w:left w:val="none" w:sz="0" w:space="0" w:color="auto"/>
        <w:bottom w:val="none" w:sz="0" w:space="0" w:color="auto"/>
        <w:right w:val="none" w:sz="0" w:space="0" w:color="auto"/>
      </w:divBdr>
      <w:divsChild>
        <w:div w:id="1586693663">
          <w:marLeft w:val="0"/>
          <w:marRight w:val="0"/>
          <w:marTop w:val="0"/>
          <w:marBottom w:val="0"/>
          <w:divBdr>
            <w:top w:val="none" w:sz="0" w:space="0" w:color="auto"/>
            <w:left w:val="none" w:sz="0" w:space="0" w:color="auto"/>
            <w:bottom w:val="none" w:sz="0" w:space="0" w:color="auto"/>
            <w:right w:val="none" w:sz="0" w:space="0" w:color="auto"/>
          </w:divBdr>
          <w:divsChild>
            <w:div w:id="1670791238">
              <w:marLeft w:val="0"/>
              <w:marRight w:val="0"/>
              <w:marTop w:val="0"/>
              <w:marBottom w:val="0"/>
              <w:divBdr>
                <w:top w:val="none" w:sz="0" w:space="0" w:color="auto"/>
                <w:left w:val="none" w:sz="0" w:space="0" w:color="auto"/>
                <w:bottom w:val="none" w:sz="0" w:space="0" w:color="auto"/>
                <w:right w:val="none" w:sz="0" w:space="0" w:color="auto"/>
              </w:divBdr>
              <w:divsChild>
                <w:div w:id="1992633553">
                  <w:marLeft w:val="0"/>
                  <w:marRight w:val="0"/>
                  <w:marTop w:val="0"/>
                  <w:marBottom w:val="0"/>
                  <w:divBdr>
                    <w:top w:val="none" w:sz="0" w:space="0" w:color="auto"/>
                    <w:left w:val="none" w:sz="0" w:space="0" w:color="auto"/>
                    <w:bottom w:val="none" w:sz="0" w:space="0" w:color="auto"/>
                    <w:right w:val="none" w:sz="0" w:space="0" w:color="auto"/>
                  </w:divBdr>
                  <w:divsChild>
                    <w:div w:id="1504903798">
                      <w:marLeft w:val="0"/>
                      <w:marRight w:val="0"/>
                      <w:marTop w:val="0"/>
                      <w:marBottom w:val="0"/>
                      <w:divBdr>
                        <w:top w:val="none" w:sz="0" w:space="0" w:color="auto"/>
                        <w:left w:val="none" w:sz="0" w:space="0" w:color="auto"/>
                        <w:bottom w:val="none" w:sz="0" w:space="0" w:color="auto"/>
                        <w:right w:val="none" w:sz="0" w:space="0" w:color="auto"/>
                      </w:divBdr>
                      <w:divsChild>
                        <w:div w:id="1329941919">
                          <w:marLeft w:val="0"/>
                          <w:marRight w:val="0"/>
                          <w:marTop w:val="0"/>
                          <w:marBottom w:val="0"/>
                          <w:divBdr>
                            <w:top w:val="none" w:sz="0" w:space="0" w:color="auto"/>
                            <w:left w:val="none" w:sz="0" w:space="0" w:color="auto"/>
                            <w:bottom w:val="none" w:sz="0" w:space="0" w:color="auto"/>
                            <w:right w:val="none" w:sz="0" w:space="0" w:color="auto"/>
                          </w:divBdr>
                          <w:divsChild>
                            <w:div w:id="4959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7329">
      <w:bodyDiv w:val="1"/>
      <w:marLeft w:val="0"/>
      <w:marRight w:val="0"/>
      <w:marTop w:val="0"/>
      <w:marBottom w:val="0"/>
      <w:divBdr>
        <w:top w:val="none" w:sz="0" w:space="0" w:color="auto"/>
        <w:left w:val="none" w:sz="0" w:space="0" w:color="auto"/>
        <w:bottom w:val="none" w:sz="0" w:space="0" w:color="auto"/>
        <w:right w:val="none" w:sz="0" w:space="0" w:color="auto"/>
      </w:divBdr>
      <w:divsChild>
        <w:div w:id="238178573">
          <w:marLeft w:val="0"/>
          <w:marRight w:val="0"/>
          <w:marTop w:val="0"/>
          <w:marBottom w:val="0"/>
          <w:divBdr>
            <w:top w:val="none" w:sz="0" w:space="0" w:color="auto"/>
            <w:left w:val="none" w:sz="0" w:space="0" w:color="auto"/>
            <w:bottom w:val="none" w:sz="0" w:space="0" w:color="auto"/>
            <w:right w:val="none" w:sz="0" w:space="0" w:color="auto"/>
          </w:divBdr>
          <w:divsChild>
            <w:div w:id="327486795">
              <w:marLeft w:val="0"/>
              <w:marRight w:val="0"/>
              <w:marTop w:val="0"/>
              <w:marBottom w:val="0"/>
              <w:divBdr>
                <w:top w:val="none" w:sz="0" w:space="0" w:color="auto"/>
                <w:left w:val="none" w:sz="0" w:space="0" w:color="auto"/>
                <w:bottom w:val="none" w:sz="0" w:space="0" w:color="auto"/>
                <w:right w:val="none" w:sz="0" w:space="0" w:color="auto"/>
              </w:divBdr>
              <w:divsChild>
                <w:div w:id="1362972094">
                  <w:marLeft w:val="0"/>
                  <w:marRight w:val="0"/>
                  <w:marTop w:val="0"/>
                  <w:marBottom w:val="0"/>
                  <w:divBdr>
                    <w:top w:val="none" w:sz="0" w:space="0" w:color="auto"/>
                    <w:left w:val="none" w:sz="0" w:space="0" w:color="auto"/>
                    <w:bottom w:val="none" w:sz="0" w:space="0" w:color="auto"/>
                    <w:right w:val="none" w:sz="0" w:space="0" w:color="auto"/>
                  </w:divBdr>
                  <w:divsChild>
                    <w:div w:id="945423873">
                      <w:marLeft w:val="0"/>
                      <w:marRight w:val="0"/>
                      <w:marTop w:val="0"/>
                      <w:marBottom w:val="0"/>
                      <w:divBdr>
                        <w:top w:val="none" w:sz="0" w:space="0" w:color="auto"/>
                        <w:left w:val="none" w:sz="0" w:space="0" w:color="auto"/>
                        <w:bottom w:val="none" w:sz="0" w:space="0" w:color="auto"/>
                        <w:right w:val="none" w:sz="0" w:space="0" w:color="auto"/>
                      </w:divBdr>
                      <w:divsChild>
                        <w:div w:id="985162086">
                          <w:marLeft w:val="0"/>
                          <w:marRight w:val="0"/>
                          <w:marTop w:val="0"/>
                          <w:marBottom w:val="0"/>
                          <w:divBdr>
                            <w:top w:val="none" w:sz="0" w:space="0" w:color="auto"/>
                            <w:left w:val="none" w:sz="0" w:space="0" w:color="auto"/>
                            <w:bottom w:val="none" w:sz="0" w:space="0" w:color="auto"/>
                            <w:right w:val="none" w:sz="0" w:space="0" w:color="auto"/>
                          </w:divBdr>
                          <w:divsChild>
                            <w:div w:id="14864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63703">
      <w:bodyDiv w:val="1"/>
      <w:marLeft w:val="0"/>
      <w:marRight w:val="0"/>
      <w:marTop w:val="0"/>
      <w:marBottom w:val="0"/>
      <w:divBdr>
        <w:top w:val="none" w:sz="0" w:space="0" w:color="auto"/>
        <w:left w:val="none" w:sz="0" w:space="0" w:color="auto"/>
        <w:bottom w:val="none" w:sz="0" w:space="0" w:color="auto"/>
        <w:right w:val="none" w:sz="0" w:space="0" w:color="auto"/>
      </w:divBdr>
    </w:div>
    <w:div w:id="2018847301">
      <w:bodyDiv w:val="1"/>
      <w:marLeft w:val="0"/>
      <w:marRight w:val="0"/>
      <w:marTop w:val="0"/>
      <w:marBottom w:val="0"/>
      <w:divBdr>
        <w:top w:val="none" w:sz="0" w:space="0" w:color="auto"/>
        <w:left w:val="none" w:sz="0" w:space="0" w:color="auto"/>
        <w:bottom w:val="none" w:sz="0" w:space="0" w:color="auto"/>
        <w:right w:val="none" w:sz="0" w:space="0" w:color="auto"/>
      </w:divBdr>
    </w:div>
    <w:div w:id="2020695704">
      <w:bodyDiv w:val="1"/>
      <w:marLeft w:val="0"/>
      <w:marRight w:val="0"/>
      <w:marTop w:val="0"/>
      <w:marBottom w:val="0"/>
      <w:divBdr>
        <w:top w:val="none" w:sz="0" w:space="0" w:color="auto"/>
        <w:left w:val="none" w:sz="0" w:space="0" w:color="auto"/>
        <w:bottom w:val="none" w:sz="0" w:space="0" w:color="auto"/>
        <w:right w:val="none" w:sz="0" w:space="0" w:color="auto"/>
      </w:divBdr>
      <w:divsChild>
        <w:div w:id="852767280">
          <w:marLeft w:val="0"/>
          <w:marRight w:val="0"/>
          <w:marTop w:val="0"/>
          <w:marBottom w:val="0"/>
          <w:divBdr>
            <w:top w:val="none" w:sz="0" w:space="0" w:color="auto"/>
            <w:left w:val="none" w:sz="0" w:space="0" w:color="auto"/>
            <w:bottom w:val="none" w:sz="0" w:space="0" w:color="auto"/>
            <w:right w:val="none" w:sz="0" w:space="0" w:color="auto"/>
          </w:divBdr>
          <w:divsChild>
            <w:div w:id="772093737">
              <w:marLeft w:val="0"/>
              <w:marRight w:val="0"/>
              <w:marTop w:val="0"/>
              <w:marBottom w:val="0"/>
              <w:divBdr>
                <w:top w:val="none" w:sz="0" w:space="0" w:color="auto"/>
                <w:left w:val="none" w:sz="0" w:space="0" w:color="auto"/>
                <w:bottom w:val="none" w:sz="0" w:space="0" w:color="auto"/>
                <w:right w:val="none" w:sz="0" w:space="0" w:color="auto"/>
              </w:divBdr>
              <w:divsChild>
                <w:div w:id="1554079191">
                  <w:marLeft w:val="0"/>
                  <w:marRight w:val="0"/>
                  <w:marTop w:val="0"/>
                  <w:marBottom w:val="0"/>
                  <w:divBdr>
                    <w:top w:val="none" w:sz="0" w:space="0" w:color="auto"/>
                    <w:left w:val="none" w:sz="0" w:space="0" w:color="auto"/>
                    <w:bottom w:val="none" w:sz="0" w:space="0" w:color="auto"/>
                    <w:right w:val="none" w:sz="0" w:space="0" w:color="auto"/>
                  </w:divBdr>
                  <w:divsChild>
                    <w:div w:id="1606960098">
                      <w:marLeft w:val="0"/>
                      <w:marRight w:val="0"/>
                      <w:marTop w:val="0"/>
                      <w:marBottom w:val="0"/>
                      <w:divBdr>
                        <w:top w:val="none" w:sz="0" w:space="0" w:color="auto"/>
                        <w:left w:val="none" w:sz="0" w:space="0" w:color="auto"/>
                        <w:bottom w:val="none" w:sz="0" w:space="0" w:color="auto"/>
                        <w:right w:val="none" w:sz="0" w:space="0" w:color="auto"/>
                      </w:divBdr>
                      <w:divsChild>
                        <w:div w:id="995260987">
                          <w:marLeft w:val="0"/>
                          <w:marRight w:val="0"/>
                          <w:marTop w:val="0"/>
                          <w:marBottom w:val="0"/>
                          <w:divBdr>
                            <w:top w:val="none" w:sz="0" w:space="0" w:color="auto"/>
                            <w:left w:val="none" w:sz="0" w:space="0" w:color="auto"/>
                            <w:bottom w:val="none" w:sz="0" w:space="0" w:color="auto"/>
                            <w:right w:val="none" w:sz="0" w:space="0" w:color="auto"/>
                          </w:divBdr>
                          <w:divsChild>
                            <w:div w:id="755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026575">
      <w:bodyDiv w:val="1"/>
      <w:marLeft w:val="0"/>
      <w:marRight w:val="0"/>
      <w:marTop w:val="0"/>
      <w:marBottom w:val="0"/>
      <w:divBdr>
        <w:top w:val="none" w:sz="0" w:space="0" w:color="auto"/>
        <w:left w:val="none" w:sz="0" w:space="0" w:color="auto"/>
        <w:bottom w:val="none" w:sz="0" w:space="0" w:color="auto"/>
        <w:right w:val="none" w:sz="0" w:space="0" w:color="auto"/>
      </w:divBdr>
      <w:divsChild>
        <w:div w:id="2032952814">
          <w:marLeft w:val="0"/>
          <w:marRight w:val="0"/>
          <w:marTop w:val="0"/>
          <w:marBottom w:val="0"/>
          <w:divBdr>
            <w:top w:val="none" w:sz="0" w:space="0" w:color="auto"/>
            <w:left w:val="none" w:sz="0" w:space="0" w:color="auto"/>
            <w:bottom w:val="none" w:sz="0" w:space="0" w:color="auto"/>
            <w:right w:val="none" w:sz="0" w:space="0" w:color="auto"/>
          </w:divBdr>
          <w:divsChild>
            <w:div w:id="560020557">
              <w:marLeft w:val="0"/>
              <w:marRight w:val="0"/>
              <w:marTop w:val="0"/>
              <w:marBottom w:val="0"/>
              <w:divBdr>
                <w:top w:val="none" w:sz="0" w:space="0" w:color="auto"/>
                <w:left w:val="none" w:sz="0" w:space="0" w:color="auto"/>
                <w:bottom w:val="none" w:sz="0" w:space="0" w:color="auto"/>
                <w:right w:val="none" w:sz="0" w:space="0" w:color="auto"/>
              </w:divBdr>
              <w:divsChild>
                <w:div w:id="1930311608">
                  <w:marLeft w:val="0"/>
                  <w:marRight w:val="0"/>
                  <w:marTop w:val="0"/>
                  <w:marBottom w:val="0"/>
                  <w:divBdr>
                    <w:top w:val="none" w:sz="0" w:space="0" w:color="auto"/>
                    <w:left w:val="none" w:sz="0" w:space="0" w:color="auto"/>
                    <w:bottom w:val="none" w:sz="0" w:space="0" w:color="auto"/>
                    <w:right w:val="none" w:sz="0" w:space="0" w:color="auto"/>
                  </w:divBdr>
                  <w:divsChild>
                    <w:div w:id="2105148092">
                      <w:marLeft w:val="0"/>
                      <w:marRight w:val="0"/>
                      <w:marTop w:val="0"/>
                      <w:marBottom w:val="0"/>
                      <w:divBdr>
                        <w:top w:val="none" w:sz="0" w:space="0" w:color="auto"/>
                        <w:left w:val="none" w:sz="0" w:space="0" w:color="auto"/>
                        <w:bottom w:val="none" w:sz="0" w:space="0" w:color="auto"/>
                        <w:right w:val="none" w:sz="0" w:space="0" w:color="auto"/>
                      </w:divBdr>
                      <w:divsChild>
                        <w:div w:id="318340458">
                          <w:marLeft w:val="0"/>
                          <w:marRight w:val="0"/>
                          <w:marTop w:val="0"/>
                          <w:marBottom w:val="0"/>
                          <w:divBdr>
                            <w:top w:val="none" w:sz="0" w:space="0" w:color="auto"/>
                            <w:left w:val="none" w:sz="0" w:space="0" w:color="auto"/>
                            <w:bottom w:val="none" w:sz="0" w:space="0" w:color="auto"/>
                            <w:right w:val="none" w:sz="0" w:space="0" w:color="auto"/>
                          </w:divBdr>
                          <w:divsChild>
                            <w:div w:id="137122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84525" TargetMode="External"/><Relationship Id="rId299" Type="http://schemas.openxmlformats.org/officeDocument/2006/relationships/hyperlink" Target="http://hudoc.echr.coe.int/eng?i=001-127680" TargetMode="External"/><Relationship Id="rId671" Type="http://schemas.openxmlformats.org/officeDocument/2006/relationships/hyperlink" Target="http://hudoc.echr.coe.int/eng?i=001-163788" TargetMode="External"/><Relationship Id="rId21" Type="http://schemas.openxmlformats.org/officeDocument/2006/relationships/hyperlink" Target="http://hudoc.echr.coe.int/eng?i=001-62522" TargetMode="External"/><Relationship Id="rId63" Type="http://schemas.openxmlformats.org/officeDocument/2006/relationships/hyperlink" Target="http://hudoc.echr.coe.int/fre?i=001-127680" TargetMode="External"/><Relationship Id="rId159" Type="http://schemas.openxmlformats.org/officeDocument/2006/relationships/hyperlink" Target="http://hudoc.echr.coe.int/eng?i=001-196421" TargetMode="External"/><Relationship Id="rId324" Type="http://schemas.openxmlformats.org/officeDocument/2006/relationships/hyperlink" Target="http://hudoc.echr.coe.int/eng?i=001-77359" TargetMode="External"/><Relationship Id="rId366" Type="http://schemas.openxmlformats.org/officeDocument/2006/relationships/hyperlink" Target="http://hudoc.echr.coe.int/fre?i=001-85018" TargetMode="External"/><Relationship Id="rId531" Type="http://schemas.openxmlformats.org/officeDocument/2006/relationships/hyperlink" Target="http://hudoc.echr.coe.int/eng?i=001-98701" TargetMode="External"/><Relationship Id="rId573" Type="http://schemas.openxmlformats.org/officeDocument/2006/relationships/hyperlink" Target="http://hudoc.echr.coe.int/eng?i=001-57955" TargetMode="External"/><Relationship Id="rId629" Type="http://schemas.openxmlformats.org/officeDocument/2006/relationships/hyperlink" Target="http://hudoc.echr.coe.int/eng?i=001-84327" TargetMode="External"/><Relationship Id="rId170" Type="http://schemas.openxmlformats.org/officeDocument/2006/relationships/hyperlink" Target="http://hudoc.echr.coe.int/eng?i=001-102945" TargetMode="External"/><Relationship Id="rId226" Type="http://schemas.openxmlformats.org/officeDocument/2006/relationships/hyperlink" Target="http://hudoc.echr.coe.int/eng?i=001-91222" TargetMode="External"/><Relationship Id="rId433" Type="http://schemas.openxmlformats.org/officeDocument/2006/relationships/hyperlink" Target="http://hudoc.echr.coe.int/eng?i=001-105428" TargetMode="External"/><Relationship Id="rId268" Type="http://schemas.openxmlformats.org/officeDocument/2006/relationships/hyperlink" Target="http://hudoc.echr.coe.int/eng?i=001-158235" TargetMode="External"/><Relationship Id="rId475" Type="http://schemas.openxmlformats.org/officeDocument/2006/relationships/hyperlink" Target="http://hudoc.echr.coe.int/eng?i=001-96240" TargetMode="External"/><Relationship Id="rId640" Type="http://schemas.openxmlformats.org/officeDocument/2006/relationships/hyperlink" Target="http://hudoc.echr.coe.int/eng?i=001-68690" TargetMode="External"/><Relationship Id="rId682" Type="http://schemas.openxmlformats.org/officeDocument/2006/relationships/hyperlink" Target="http://hudoc.echr.coe.int/eng?i=001-208855" TargetMode="External"/><Relationship Id="rId32" Type="http://schemas.openxmlformats.org/officeDocument/2006/relationships/hyperlink" Target="http://hudoc.echr.coe.int/eng?i=001-86565" TargetMode="External"/><Relationship Id="rId74" Type="http://schemas.openxmlformats.org/officeDocument/2006/relationships/hyperlink" Target="http://hudoc.echr.coe.int/eng?i=001-127697" TargetMode="External"/><Relationship Id="rId128" Type="http://schemas.openxmlformats.org/officeDocument/2006/relationships/hyperlink" Target="http://hudoc.echr.coe.int/eng?i=001-159911" TargetMode="External"/><Relationship Id="rId335" Type="http://schemas.openxmlformats.org/officeDocument/2006/relationships/hyperlink" Target="http://hudoc.echr.coe.int/eng?i=001-115259" TargetMode="External"/><Relationship Id="rId377" Type="http://schemas.openxmlformats.org/officeDocument/2006/relationships/hyperlink" Target="http://hudoc.echr.coe.int/eng?i=001-77359" TargetMode="External"/><Relationship Id="rId500" Type="http://schemas.openxmlformats.org/officeDocument/2006/relationships/hyperlink" Target="http://hudoc.echr.coe.int/eng?i=001-165250" TargetMode="External"/><Relationship Id="rId542" Type="http://schemas.openxmlformats.org/officeDocument/2006/relationships/hyperlink" Target="http://hudoc.echr.coe.int/eng?i=001-158290" TargetMode="External"/><Relationship Id="rId584" Type="http://schemas.openxmlformats.org/officeDocument/2006/relationships/hyperlink" Target="http://hudoc.echr.coe.int/eng?i=001-69492" TargetMode="External"/><Relationship Id="rId5" Type="http://schemas.openxmlformats.org/officeDocument/2006/relationships/webSettings" Target="webSettings.xml"/><Relationship Id="rId181" Type="http://schemas.openxmlformats.org/officeDocument/2006/relationships/hyperlink" Target="http://hudoc.echr.coe.int/eng?i=001-94135" TargetMode="External"/><Relationship Id="rId237" Type="http://schemas.openxmlformats.org/officeDocument/2006/relationships/hyperlink" Target="http://hudoc.echr.coe.int/eng?i=001-63911" TargetMode="External"/><Relationship Id="rId402" Type="http://schemas.openxmlformats.org/officeDocument/2006/relationships/hyperlink" Target="http://hudoc.echr.coe.int/eng?i=001-187192" TargetMode="External"/><Relationship Id="rId279" Type="http://schemas.openxmlformats.org/officeDocument/2006/relationships/hyperlink" Target="http://hudoc.echr.coe.int/eng?i=001-85019" TargetMode="External"/><Relationship Id="rId444" Type="http://schemas.openxmlformats.org/officeDocument/2006/relationships/hyperlink" Target="http://hudoc.echr.coe.int/eng?i=001-63911" TargetMode="External"/><Relationship Id="rId486" Type="http://schemas.openxmlformats.org/officeDocument/2006/relationships/hyperlink" Target="http://hudoc.echr.coe.int/eng?i=001-158303" TargetMode="External"/><Relationship Id="rId651" Type="http://schemas.openxmlformats.org/officeDocument/2006/relationships/hyperlink" Target="http://hudoc.echr.coe.int/eng?i=001-77359" TargetMode="External"/><Relationship Id="rId693" Type="http://schemas.openxmlformats.org/officeDocument/2006/relationships/hyperlink" Target="http://hudoc.echr.coe.int/eng?i=001-57927" TargetMode="External"/><Relationship Id="rId43" Type="http://schemas.openxmlformats.org/officeDocument/2006/relationships/hyperlink" Target="http://hudoc.echr.coe.int/eng?i=001-184525" TargetMode="External"/><Relationship Id="rId139" Type="http://schemas.openxmlformats.org/officeDocument/2006/relationships/hyperlink" Target="http://hudoc.echr.coe.int/eng?i=001-63399" TargetMode="External"/><Relationship Id="rId290" Type="http://schemas.openxmlformats.org/officeDocument/2006/relationships/hyperlink" Target="http://hudoc.echr.coe.int/eng?i=001-158290" TargetMode="External"/><Relationship Id="rId304" Type="http://schemas.openxmlformats.org/officeDocument/2006/relationships/hyperlink" Target="http://hudoc.echr.coe.int/eng?i=001-81609" TargetMode="External"/><Relationship Id="rId346" Type="http://schemas.openxmlformats.org/officeDocument/2006/relationships/hyperlink" Target="http://hudoc.echr.coe.int/eng?i=001-98701" TargetMode="External"/><Relationship Id="rId388" Type="http://schemas.openxmlformats.org/officeDocument/2006/relationships/hyperlink" Target="http://hudoc.echr.coe.int/eng?i=001-122697" TargetMode="External"/><Relationship Id="rId511" Type="http://schemas.openxmlformats.org/officeDocument/2006/relationships/hyperlink" Target="http://hudoc.echr.coe.int/eng?i=001-151051" TargetMode="External"/><Relationship Id="rId553" Type="http://schemas.openxmlformats.org/officeDocument/2006/relationships/hyperlink" Target="http://hudoc.echr.coe.int" TargetMode="External"/><Relationship Id="rId609" Type="http://schemas.openxmlformats.org/officeDocument/2006/relationships/hyperlink" Target="http://hudoc.echr.coe.int/eng?i=001-105428" TargetMode="External"/><Relationship Id="rId85" Type="http://schemas.openxmlformats.org/officeDocument/2006/relationships/hyperlink" Target="http://hudoc.echr.coe.int/eng?i=001-158290" TargetMode="External"/><Relationship Id="rId150" Type="http://schemas.openxmlformats.org/officeDocument/2006/relationships/hyperlink" Target="http://hudoc.echr.coe.int/eng?i=001-29332" TargetMode="External"/><Relationship Id="rId192" Type="http://schemas.openxmlformats.org/officeDocument/2006/relationships/hyperlink" Target="http://hudoc.echr.coe.int/eng?i=002-3509" TargetMode="External"/><Relationship Id="rId206" Type="http://schemas.openxmlformats.org/officeDocument/2006/relationships/hyperlink" Target="http://hudoc.echr.coe.int/eng?i=001-85019" TargetMode="External"/><Relationship Id="rId413" Type="http://schemas.openxmlformats.org/officeDocument/2006/relationships/hyperlink" Target="http://hudoc.echr.coe.int/eng?i=001-68354" TargetMode="External"/><Relationship Id="rId595" Type="http://schemas.openxmlformats.org/officeDocument/2006/relationships/hyperlink" Target="http://hudoc.echr.coe.int/eng?i=001-207115" TargetMode="External"/><Relationship Id="rId248" Type="http://schemas.openxmlformats.org/officeDocument/2006/relationships/hyperlink" Target="http://hudoc.echr.coe.int/eng?i=001-98701" TargetMode="External"/><Relationship Id="rId455" Type="http://schemas.openxmlformats.org/officeDocument/2006/relationships/hyperlink" Target="http://hudoc.echr.coe.int/eng?i=001-81608" TargetMode="External"/><Relationship Id="rId497" Type="http://schemas.openxmlformats.org/officeDocument/2006/relationships/hyperlink" Target="http://hudoc.echr.coe.int/eng?i=001-140962" TargetMode="External"/><Relationship Id="rId620" Type="http://schemas.openxmlformats.org/officeDocument/2006/relationships/hyperlink" Target="http://hudoc.echr.coe.int/eng?i=001-170456" TargetMode="External"/><Relationship Id="rId662" Type="http://schemas.openxmlformats.org/officeDocument/2006/relationships/hyperlink" Target="http://hudoc.echr.coe.int/fre?i=001-193493" TargetMode="External"/><Relationship Id="rId12" Type="http://schemas.openxmlformats.org/officeDocument/2006/relationships/hyperlink" Target="http://hudoc.echr.coe.int/eng?i=001-57506" TargetMode="External"/><Relationship Id="rId108" Type="http://schemas.openxmlformats.org/officeDocument/2006/relationships/hyperlink" Target="http://hudoc.echr.coe.int/eng?i=001-62484" TargetMode="External"/><Relationship Id="rId315" Type="http://schemas.openxmlformats.org/officeDocument/2006/relationships/hyperlink" Target="http://hudoc.echr.coe.int/eng?i=003-6708535-9264619" TargetMode="External"/><Relationship Id="rId357" Type="http://schemas.openxmlformats.org/officeDocument/2006/relationships/hyperlink" Target="http://hudoc.echr.coe.int/eng?i=001-59353" TargetMode="External"/><Relationship Id="rId522" Type="http://schemas.openxmlformats.org/officeDocument/2006/relationships/hyperlink" Target="http://hudoc.echr.coe.int/eng?i=001-165250" TargetMode="External"/><Relationship Id="rId54" Type="http://schemas.openxmlformats.org/officeDocument/2006/relationships/hyperlink" Target="http://hudoc.echr.coe.int/eng?i=001-78135" TargetMode="External"/><Relationship Id="rId96" Type="http://schemas.openxmlformats.org/officeDocument/2006/relationships/hyperlink" Target="http://hudoc.echr.coe.int/eng?i=001-127680" TargetMode="External"/><Relationship Id="rId161" Type="http://schemas.openxmlformats.org/officeDocument/2006/relationships/hyperlink" Target="http://hudoc.echr.coe.int/eng?i=001-76033" TargetMode="External"/><Relationship Id="rId217" Type="http://schemas.openxmlformats.org/officeDocument/2006/relationships/hyperlink" Target="http://hudoc.echr.coe.int/eng?i=001-127697" TargetMode="External"/><Relationship Id="rId399" Type="http://schemas.openxmlformats.org/officeDocument/2006/relationships/hyperlink" Target="http://hudoc.echr.coe.int/eng?i=001-80615" TargetMode="External"/><Relationship Id="rId564" Type="http://schemas.openxmlformats.org/officeDocument/2006/relationships/hyperlink" Target="http://hudoc.echr.coe.int/eng?i=001-196421" TargetMode="External"/><Relationship Id="rId259" Type="http://schemas.openxmlformats.org/officeDocument/2006/relationships/hyperlink" Target="http://hudoc.echr.coe.int/eng?i=001-62627" TargetMode="External"/><Relationship Id="rId424" Type="http://schemas.openxmlformats.org/officeDocument/2006/relationships/hyperlink" Target="http://hudoc.echr.coe.int/eng?i=001-158303" TargetMode="External"/><Relationship Id="rId466" Type="http://schemas.openxmlformats.org/officeDocument/2006/relationships/hyperlink" Target="http://hudoc.echr.coe.int/eng?i=001-62384" TargetMode="External"/><Relationship Id="rId631" Type="http://schemas.openxmlformats.org/officeDocument/2006/relationships/hyperlink" Target="http://hudoc.echr.coe.int/eng?i=001-122716" TargetMode="External"/><Relationship Id="rId673" Type="http://schemas.openxmlformats.org/officeDocument/2006/relationships/hyperlink" Target="http://hudoc.echr.coe.int/eng?i=001-140962" TargetMode="External"/><Relationship Id="rId23" Type="http://schemas.openxmlformats.org/officeDocument/2006/relationships/hyperlink" Target="http://hudoc.echr.coe.int/eng?i=001-57955" TargetMode="External"/><Relationship Id="rId119" Type="http://schemas.openxmlformats.org/officeDocument/2006/relationships/hyperlink" Target="http://hudoc.echr.coe.int/eng?i=001-96389" TargetMode="External"/><Relationship Id="rId270" Type="http://schemas.openxmlformats.org/officeDocument/2006/relationships/hyperlink" Target="http://hudoc.echr.coe.int/eng?i=001-81608" TargetMode="External"/><Relationship Id="rId326" Type="http://schemas.openxmlformats.org/officeDocument/2006/relationships/hyperlink" Target="http://hudoc.echr.coe.int/fre?i=001-98701" TargetMode="External"/><Relationship Id="rId533" Type="http://schemas.openxmlformats.org/officeDocument/2006/relationships/hyperlink" Target="http://hudoc.echr.coe.int/eng?i=001-98669" TargetMode="External"/><Relationship Id="rId65" Type="http://schemas.openxmlformats.org/officeDocument/2006/relationships/hyperlink" Target="http://hudoc.echr.coe.int/eng?i=001-57965" TargetMode="External"/><Relationship Id="rId130" Type="http://schemas.openxmlformats.org/officeDocument/2006/relationships/hyperlink" Target="http://hudoc.echr.coe.int/eng?i=001-156521" TargetMode="External"/><Relationship Id="rId368" Type="http://schemas.openxmlformats.org/officeDocument/2006/relationships/hyperlink" Target="http://hudoc.echr.coe.int/eng?i=001-57965" TargetMode="External"/><Relationship Id="rId575" Type="http://schemas.openxmlformats.org/officeDocument/2006/relationships/hyperlink" Target="http://hudoc.echr.coe.int/eng?i=001-58068" TargetMode="External"/><Relationship Id="rId172" Type="http://schemas.openxmlformats.org/officeDocument/2006/relationships/hyperlink" Target="http://hudoc.echr.coe.int/eng?i=001-163788" TargetMode="External"/><Relationship Id="rId228" Type="http://schemas.openxmlformats.org/officeDocument/2006/relationships/hyperlink" Target="http://hudoc.echr.coe.int/eng?i=001-65111" TargetMode="External"/><Relationship Id="rId435" Type="http://schemas.openxmlformats.org/officeDocument/2006/relationships/hyperlink" Target="http://hudoc.echr.coe.int/eng?i=001-63911" TargetMode="External"/><Relationship Id="rId477" Type="http://schemas.openxmlformats.org/officeDocument/2006/relationships/hyperlink" Target="http://hudoc.echr.coe.int/fre?i=001-127680" TargetMode="External"/><Relationship Id="rId600" Type="http://schemas.openxmlformats.org/officeDocument/2006/relationships/hyperlink" Target="http://hudoc.echr.coe.int/eng?i=001-65762" TargetMode="External"/><Relationship Id="rId642" Type="http://schemas.openxmlformats.org/officeDocument/2006/relationships/hyperlink" Target="http://hudoc.echr.coe.int/eng?i=001-115259" TargetMode="External"/><Relationship Id="rId684" Type="http://schemas.openxmlformats.org/officeDocument/2006/relationships/hyperlink" Target="http://hudoc.echr.coe.int/eng?i=001-110210" TargetMode="External"/><Relationship Id="rId281" Type="http://schemas.openxmlformats.org/officeDocument/2006/relationships/hyperlink" Target="http://hudoc.echr.coe.int/eng?i=001-57827" TargetMode="External"/><Relationship Id="rId337" Type="http://schemas.openxmlformats.org/officeDocument/2006/relationships/hyperlink" Target="http://hudoc.echr.coe.int/eng?i=001-44428" TargetMode="External"/><Relationship Id="rId502" Type="http://schemas.openxmlformats.org/officeDocument/2006/relationships/hyperlink" Target="http://hudoc.echr.coe.int/eng?i=001-212829" TargetMode="External"/><Relationship Id="rId34" Type="http://schemas.openxmlformats.org/officeDocument/2006/relationships/hyperlink" Target="http://hudoc.echr.coe.int/eng?i=001-74847" TargetMode="External"/><Relationship Id="rId76" Type="http://schemas.openxmlformats.org/officeDocument/2006/relationships/hyperlink" Target="http://hudoc.echr.coe.int/eng?i=001-59353" TargetMode="External"/><Relationship Id="rId141" Type="http://schemas.openxmlformats.org/officeDocument/2006/relationships/hyperlink" Target="http://hudoc.echr.coe.int/eng?i=001-44833" TargetMode="External"/><Relationship Id="rId379" Type="http://schemas.openxmlformats.org/officeDocument/2006/relationships/hyperlink" Target="http://hudoc.echr.coe.int/eng?i=001-80615" TargetMode="External"/><Relationship Id="rId544" Type="http://schemas.openxmlformats.org/officeDocument/2006/relationships/hyperlink" Target="http://hudoc.echr.coe.int/fre?i=001-98701" TargetMode="External"/><Relationship Id="rId586" Type="http://schemas.openxmlformats.org/officeDocument/2006/relationships/hyperlink" Target="http://hudoc.echr.coe.int/eng?i=001-59221" TargetMode="External"/><Relationship Id="rId7" Type="http://schemas.openxmlformats.org/officeDocument/2006/relationships/endnotes" Target="endnotes.xml"/><Relationship Id="rId183" Type="http://schemas.openxmlformats.org/officeDocument/2006/relationships/hyperlink" Target="http://hudoc.echr.coe.int/eng?i=001-59194" TargetMode="External"/><Relationship Id="rId239" Type="http://schemas.openxmlformats.org/officeDocument/2006/relationships/hyperlink" Target="http://hudoc.echr.coe.int/eng?i=001-158303" TargetMode="External"/><Relationship Id="rId390" Type="http://schemas.openxmlformats.org/officeDocument/2006/relationships/hyperlink" Target="http://hudoc.echr.coe.int/eng?i=001-81608" TargetMode="External"/><Relationship Id="rId404" Type="http://schemas.openxmlformats.org/officeDocument/2006/relationships/hyperlink" Target="http://hudoc.echr.coe.int/eng?i=001-68354" TargetMode="External"/><Relationship Id="rId446" Type="http://schemas.openxmlformats.org/officeDocument/2006/relationships/hyperlink" Target="http://hudoc.echr.coe.int/eng?i=001-59353" TargetMode="External"/><Relationship Id="rId611" Type="http://schemas.openxmlformats.org/officeDocument/2006/relationships/hyperlink" Target="http://hudoc.echr.coe.int/eng?i=001-78135" TargetMode="External"/><Relationship Id="rId653" Type="http://schemas.openxmlformats.org/officeDocument/2006/relationships/hyperlink" Target="http://hudoc.echr.coe.int/eng?i=001-146373" TargetMode="External"/><Relationship Id="rId250" Type="http://schemas.openxmlformats.org/officeDocument/2006/relationships/hyperlink" Target="http://hudoc.echr.coe.int/eng?i=001-98669" TargetMode="External"/><Relationship Id="rId292" Type="http://schemas.openxmlformats.org/officeDocument/2006/relationships/hyperlink" Target="http://hudoc.echr.coe.int/fre?i=001-98701" TargetMode="External"/><Relationship Id="rId306" Type="http://schemas.openxmlformats.org/officeDocument/2006/relationships/hyperlink" Target="http://hudoc.echr.coe.int/eng?i=001-184525" TargetMode="External"/><Relationship Id="rId488" Type="http://schemas.openxmlformats.org/officeDocument/2006/relationships/hyperlink" Target="http://hudoc.echr.coe.int/eng?i=003-6708535-8973165" TargetMode="External"/><Relationship Id="rId695" Type="http://schemas.openxmlformats.org/officeDocument/2006/relationships/hyperlink" Target="http://hudoc.echr.coe.int/eng?i=001-23828" TargetMode="External"/><Relationship Id="rId45" Type="http://schemas.openxmlformats.org/officeDocument/2006/relationships/hyperlink" Target="http://hudoc.echr.coe.int/eng?i=001-184525" TargetMode="External"/><Relationship Id="rId87" Type="http://schemas.openxmlformats.org/officeDocument/2006/relationships/hyperlink" Target="http://hudoc.echr.coe.int/fre?i=001-98701" TargetMode="External"/><Relationship Id="rId110" Type="http://schemas.openxmlformats.org/officeDocument/2006/relationships/hyperlink" Target="http://hudoc.echr.coe.int/eng?i=001-75370" TargetMode="External"/><Relationship Id="rId348" Type="http://schemas.openxmlformats.org/officeDocument/2006/relationships/hyperlink" Target="http://hudoc.echr.coe.int/eng?i=001-98669" TargetMode="External"/><Relationship Id="rId513" Type="http://schemas.openxmlformats.org/officeDocument/2006/relationships/hyperlink" Target="http://hudoc.echr.coe.int/eng?i=001-61628" TargetMode="External"/><Relationship Id="rId555" Type="http://schemas.openxmlformats.org/officeDocument/2006/relationships/hyperlink" Target="http://hudoc.echr.coe.int/eng?i=001-611" TargetMode="External"/><Relationship Id="rId597" Type="http://schemas.openxmlformats.org/officeDocument/2006/relationships/hyperlink" Target="http://hudoc.echr.coe.int/eng?i=001-138580" TargetMode="External"/><Relationship Id="rId152" Type="http://schemas.openxmlformats.org/officeDocument/2006/relationships/hyperlink" Target="http://hudoc.echr.coe.int/eng?i=001-57870" TargetMode="External"/><Relationship Id="rId194" Type="http://schemas.openxmlformats.org/officeDocument/2006/relationships/hyperlink" Target="http://hudoc.echr.coe.int/eng?i=001-72685" TargetMode="External"/><Relationship Id="rId208" Type="http://schemas.openxmlformats.org/officeDocument/2006/relationships/hyperlink" Target="http://hudoc.echr.coe.int/eng?i=001-24029" TargetMode="External"/><Relationship Id="rId415" Type="http://schemas.openxmlformats.org/officeDocument/2006/relationships/hyperlink" Target="http://hudoc.echr.coe.int/eng?i=001-80615" TargetMode="External"/><Relationship Id="rId457" Type="http://schemas.openxmlformats.org/officeDocument/2006/relationships/hyperlink" Target="http://hudoc.echr.coe.int/eng?i=001-91980" TargetMode="External"/><Relationship Id="rId622" Type="http://schemas.openxmlformats.org/officeDocument/2006/relationships/hyperlink" Target="https://hudoc.echr.coe.int/eng?i=001-218302" TargetMode="External"/><Relationship Id="rId261" Type="http://schemas.openxmlformats.org/officeDocument/2006/relationships/hyperlink" Target="http://hudoc.echr.coe.int/eng?i=001-85018" TargetMode="External"/><Relationship Id="rId499" Type="http://schemas.openxmlformats.org/officeDocument/2006/relationships/hyperlink" Target="http://hudoc.echr.coe.int/eng?i=001-142087" TargetMode="External"/><Relationship Id="rId664" Type="http://schemas.openxmlformats.org/officeDocument/2006/relationships/hyperlink" Target="http://hudoc.echr.coe.int/eng?i=001-57965" TargetMode="External"/><Relationship Id="rId14" Type="http://schemas.openxmlformats.org/officeDocument/2006/relationships/hyperlink" Target="http://hudoc.echr.coe.int/eng?i=001-109868" TargetMode="External"/><Relationship Id="rId56" Type="http://schemas.openxmlformats.org/officeDocument/2006/relationships/hyperlink" Target="http://hudoc.echr.coe.int/eng?i=001-23517" TargetMode="External"/><Relationship Id="rId317" Type="http://schemas.openxmlformats.org/officeDocument/2006/relationships/hyperlink" Target="http://hudoc.echr.coe.int/fre?i=001-98701" TargetMode="External"/><Relationship Id="rId359" Type="http://schemas.openxmlformats.org/officeDocument/2006/relationships/hyperlink" Target="http://hudoc.echr.coe.int/eng?i=001-81608" TargetMode="External"/><Relationship Id="rId524" Type="http://schemas.openxmlformats.org/officeDocument/2006/relationships/hyperlink" Target="http://hudoc.echr.coe.int/eng?i=001-94135" TargetMode="External"/><Relationship Id="rId566" Type="http://schemas.openxmlformats.org/officeDocument/2006/relationships/hyperlink" Target="http://hudoc.echr.coe.int/eng?i=001-159782" TargetMode="External"/><Relationship Id="rId98" Type="http://schemas.openxmlformats.org/officeDocument/2006/relationships/hyperlink" Target="http://hudoc.echr.coe.int/eng?i=001-127697" TargetMode="External"/><Relationship Id="rId121" Type="http://schemas.openxmlformats.org/officeDocument/2006/relationships/hyperlink" Target="http://hudoc.echr.coe.int/eng?i=001-104490" TargetMode="External"/><Relationship Id="rId163" Type="http://schemas.openxmlformats.org/officeDocument/2006/relationships/hyperlink" Target="http://hudoc.echr.coe.int/eng?i=001-102618" TargetMode="External"/><Relationship Id="rId219" Type="http://schemas.openxmlformats.org/officeDocument/2006/relationships/hyperlink" Target="http://hudoc.echr.coe.int/eng?i=001-127697" TargetMode="External"/><Relationship Id="rId370" Type="http://schemas.openxmlformats.org/officeDocument/2006/relationships/hyperlink" Target="http://hudoc.echr.coe.int/eng?i=001-59353" TargetMode="External"/><Relationship Id="rId426" Type="http://schemas.openxmlformats.org/officeDocument/2006/relationships/hyperlink" Target="http://hudoc.echr.coe.int/eng?i=001-177665" TargetMode="External"/><Relationship Id="rId633" Type="http://schemas.openxmlformats.org/officeDocument/2006/relationships/hyperlink" Target="http://hudoc.echr.coe.int/eng?i=001-160060" TargetMode="External"/><Relationship Id="rId230" Type="http://schemas.openxmlformats.org/officeDocument/2006/relationships/hyperlink" Target="http://hudoc.echr.coe.int/eng?i=001-207115" TargetMode="External"/><Relationship Id="rId468" Type="http://schemas.openxmlformats.org/officeDocument/2006/relationships/hyperlink" Target="http://hudoc.echr.coe.int/eng?i=001-158303" TargetMode="External"/><Relationship Id="rId675" Type="http://schemas.openxmlformats.org/officeDocument/2006/relationships/hyperlink" Target="http://hudoc.echr.coe.int/eng?i=001-59353" TargetMode="External"/><Relationship Id="rId25" Type="http://schemas.openxmlformats.org/officeDocument/2006/relationships/hyperlink" Target="http://hudoc.echr.coe.int/eng?i=001-127697" TargetMode="External"/><Relationship Id="rId67" Type="http://schemas.openxmlformats.org/officeDocument/2006/relationships/hyperlink" Target="http://hudoc.echr.coe.int/eng?i=001-210874" TargetMode="External"/><Relationship Id="rId272" Type="http://schemas.openxmlformats.org/officeDocument/2006/relationships/hyperlink" Target="http://hudoc.echr.coe.int/fre?i=001-85018" TargetMode="External"/><Relationship Id="rId328" Type="http://schemas.openxmlformats.org/officeDocument/2006/relationships/hyperlink" Target="http://hudoc.echr.coe.int/eng?i=003-6708535-8973165" TargetMode="External"/><Relationship Id="rId535" Type="http://schemas.openxmlformats.org/officeDocument/2006/relationships/hyperlink" Target="http://hudoc.echr.coe.int/eng?i=001-84538" TargetMode="External"/><Relationship Id="rId577" Type="http://schemas.openxmlformats.org/officeDocument/2006/relationships/hyperlink" Target="http://hudoc.echr.coe.int/eng?i=001-44428" TargetMode="External"/><Relationship Id="rId700" Type="http://schemas.openxmlformats.org/officeDocument/2006/relationships/footer" Target="footer2.xml"/><Relationship Id="rId132" Type="http://schemas.openxmlformats.org/officeDocument/2006/relationships/hyperlink" Target="http://hudoc.echr.coe.int/eng?i=001-4504" TargetMode="External"/><Relationship Id="rId174" Type="http://schemas.openxmlformats.org/officeDocument/2006/relationships/hyperlink" Target="http://hudoc.echr.coe.int/eng?i=001-201734" TargetMode="External"/><Relationship Id="rId381" Type="http://schemas.openxmlformats.org/officeDocument/2006/relationships/hyperlink" Target="http://hudoc.echr.coe.int/eng?i=001-108957" TargetMode="External"/><Relationship Id="rId602" Type="http://schemas.openxmlformats.org/officeDocument/2006/relationships/hyperlink" Target="http://hudoc.echr.coe.int/eng?i=001-66807" TargetMode="External"/><Relationship Id="rId241" Type="http://schemas.openxmlformats.org/officeDocument/2006/relationships/hyperlink" Target="http://hudoc.echr.coe.int/eng?i=001-158290" TargetMode="External"/><Relationship Id="rId437" Type="http://schemas.openxmlformats.org/officeDocument/2006/relationships/hyperlink" Target="http://hudoc.echr.coe.int/eng?i=001-158303" TargetMode="External"/><Relationship Id="rId479" Type="http://schemas.openxmlformats.org/officeDocument/2006/relationships/hyperlink" Target="https://hudoc.echr.coe.int/eng?i=001-218302" TargetMode="External"/><Relationship Id="rId644" Type="http://schemas.openxmlformats.org/officeDocument/2006/relationships/hyperlink" Target="http://hudoc.echr.coe.int/eng?i=001-113014" TargetMode="External"/><Relationship Id="rId686" Type="http://schemas.openxmlformats.org/officeDocument/2006/relationships/hyperlink" Target="http://hudoc.echr.coe.int/eng?i=001-78858" TargetMode="External"/><Relationship Id="rId36" Type="http://schemas.openxmlformats.org/officeDocument/2006/relationships/hyperlink" Target="http://hudoc.echr.coe.int/eng?i=001-128094" TargetMode="External"/><Relationship Id="rId283" Type="http://schemas.openxmlformats.org/officeDocument/2006/relationships/hyperlink" Target="http://hudoc.echr.coe.int/eng?i=001-57968" TargetMode="External"/><Relationship Id="rId339" Type="http://schemas.openxmlformats.org/officeDocument/2006/relationships/hyperlink" Target="http://hudoc.echr.coe.int/eng?i=001-98490" TargetMode="External"/><Relationship Id="rId490" Type="http://schemas.openxmlformats.org/officeDocument/2006/relationships/hyperlink" Target="http://hudoc.echr.coe.int/eng?i=001-75669" TargetMode="External"/><Relationship Id="rId504" Type="http://schemas.openxmlformats.org/officeDocument/2006/relationships/hyperlink" Target="http://hudoc.echr.coe.int/eng?i=001-122716" TargetMode="External"/><Relationship Id="rId546" Type="http://schemas.openxmlformats.org/officeDocument/2006/relationships/hyperlink" Target="http://hudoc.echr.coe.int/eng?i=001-63316" TargetMode="External"/><Relationship Id="rId78" Type="http://schemas.openxmlformats.org/officeDocument/2006/relationships/hyperlink" Target="http://hudoc.echr.coe.int/eng?i=001-63911" TargetMode="External"/><Relationship Id="rId101" Type="http://schemas.openxmlformats.org/officeDocument/2006/relationships/hyperlink" Target="http://hudoc.echr.coe.int/fre?i=001-127680" TargetMode="External"/><Relationship Id="rId143" Type="http://schemas.openxmlformats.org/officeDocument/2006/relationships/hyperlink" Target="http://hudoc.echr.coe.int/eng?i=001-79871" TargetMode="External"/><Relationship Id="rId185" Type="http://schemas.openxmlformats.org/officeDocument/2006/relationships/hyperlink" Target="http://hudoc.echr.coe.int/eng?i=001-117033" TargetMode="External"/><Relationship Id="rId350" Type="http://schemas.openxmlformats.org/officeDocument/2006/relationships/hyperlink" Target="http://hudoc.echr.coe.int/eng?i=001-98669" TargetMode="External"/><Relationship Id="rId406" Type="http://schemas.openxmlformats.org/officeDocument/2006/relationships/hyperlink" Target="http://hudoc.echr.coe.int/eng?i=001-106659" TargetMode="External"/><Relationship Id="rId588" Type="http://schemas.openxmlformats.org/officeDocument/2006/relationships/hyperlink" Target="http://hudoc.echr.coe.int/eng?i=001-57968" TargetMode="External"/><Relationship Id="rId9" Type="http://schemas.openxmlformats.org/officeDocument/2006/relationships/hyperlink" Target="https://ks.echr.coe.int/web/echr-ks/all-case-law-guides" TargetMode="External"/><Relationship Id="rId210" Type="http://schemas.openxmlformats.org/officeDocument/2006/relationships/hyperlink" Target="http://hudoc.echr.coe.int/fre?i=001-85018" TargetMode="External"/><Relationship Id="rId392" Type="http://schemas.openxmlformats.org/officeDocument/2006/relationships/hyperlink" Target="http://hudoc.echr.coe.int/eng?i=001-81609" TargetMode="External"/><Relationship Id="rId448" Type="http://schemas.openxmlformats.org/officeDocument/2006/relationships/hyperlink" Target="http://hudoc.echr.coe.int/eng?i=001-59352" TargetMode="External"/><Relationship Id="rId613" Type="http://schemas.openxmlformats.org/officeDocument/2006/relationships/hyperlink" Target="http://hudoc.echr.coe.int/eng?i=001-68354" TargetMode="External"/><Relationship Id="rId655" Type="http://schemas.openxmlformats.org/officeDocument/2006/relationships/hyperlink" Target="http://hudoc.echr.coe.int/fre?i=001-191226" TargetMode="External"/><Relationship Id="rId697" Type="http://schemas.openxmlformats.org/officeDocument/2006/relationships/header" Target="header1.xml"/><Relationship Id="rId252" Type="http://schemas.openxmlformats.org/officeDocument/2006/relationships/hyperlink" Target="http://hudoc.echr.coe.int/eng?i=001-158290" TargetMode="External"/><Relationship Id="rId294" Type="http://schemas.openxmlformats.org/officeDocument/2006/relationships/hyperlink" Target="http://hudoc.echr.coe.int/eng?i=001-62627" TargetMode="External"/><Relationship Id="rId308" Type="http://schemas.openxmlformats.org/officeDocument/2006/relationships/hyperlink" Target="http://hudoc.echr.coe.int/eng?i=001-62384" TargetMode="External"/><Relationship Id="rId515" Type="http://schemas.openxmlformats.org/officeDocument/2006/relationships/hyperlink" Target="http://hudoc.echr.coe.int/eng?i=001-72926" TargetMode="External"/><Relationship Id="rId47" Type="http://schemas.openxmlformats.org/officeDocument/2006/relationships/hyperlink" Target="http://hudoc.echr.coe.int/eng?i=001-57479" TargetMode="External"/><Relationship Id="rId89" Type="http://schemas.openxmlformats.org/officeDocument/2006/relationships/hyperlink" Target="http://hudoc.echr.coe.int/eng?i=001-184525" TargetMode="External"/><Relationship Id="rId112" Type="http://schemas.openxmlformats.org/officeDocument/2006/relationships/hyperlink" Target="http://hudoc.echr.coe.int/eng?i=001-202558" TargetMode="External"/><Relationship Id="rId154" Type="http://schemas.openxmlformats.org/officeDocument/2006/relationships/hyperlink" Target="http://hudoc.echr.coe.int/eng?i=001-44188" TargetMode="External"/><Relationship Id="rId361" Type="http://schemas.openxmlformats.org/officeDocument/2006/relationships/hyperlink" Target="http://hudoc.echr.coe.int/eng?i=001-158290" TargetMode="External"/><Relationship Id="rId557" Type="http://schemas.openxmlformats.org/officeDocument/2006/relationships/hyperlink" Target="http://hudoc.echr.coe.int/eng?i=001-4504" TargetMode="External"/><Relationship Id="rId599" Type="http://schemas.openxmlformats.org/officeDocument/2006/relationships/hyperlink" Target="http://hudoc.echr.coe.int/eng?i=001-159911" TargetMode="External"/><Relationship Id="rId196" Type="http://schemas.openxmlformats.org/officeDocument/2006/relationships/hyperlink" Target="http://hudoc.echr.coe.int/eng?i=001-65762" TargetMode="External"/><Relationship Id="rId417" Type="http://schemas.openxmlformats.org/officeDocument/2006/relationships/hyperlink" Target="http://hudoc.echr.coe.int/eng?i=001-202558" TargetMode="External"/><Relationship Id="rId459" Type="http://schemas.openxmlformats.org/officeDocument/2006/relationships/hyperlink" Target="http://hudoc.echr.coe.int/eng?i=001-81609" TargetMode="External"/><Relationship Id="rId624" Type="http://schemas.openxmlformats.org/officeDocument/2006/relationships/hyperlink" Target="https://hudoc.echr.coe.int/eng?i=001-220960" TargetMode="External"/><Relationship Id="rId666" Type="http://schemas.openxmlformats.org/officeDocument/2006/relationships/hyperlink" Target="http://hudoc.echr.coe.int/eng?i=001-94135" TargetMode="External"/><Relationship Id="rId16" Type="http://schemas.openxmlformats.org/officeDocument/2006/relationships/hyperlink" Target="http://hudoc.echr.coe.int/eng?i=001-201353" TargetMode="External"/><Relationship Id="rId221" Type="http://schemas.openxmlformats.org/officeDocument/2006/relationships/hyperlink" Target="http://hudoc.echr.coe.int/eng?i=001-187192" TargetMode="External"/><Relationship Id="rId263" Type="http://schemas.openxmlformats.org/officeDocument/2006/relationships/hyperlink" Target="http://hudoc.echr.coe.int/eng?i=001-85019" TargetMode="External"/><Relationship Id="rId319" Type="http://schemas.openxmlformats.org/officeDocument/2006/relationships/hyperlink" Target="http://hudoc.echr.coe.int/eng?i=001-62627" TargetMode="External"/><Relationship Id="rId470" Type="http://schemas.openxmlformats.org/officeDocument/2006/relationships/hyperlink" Target="http://hudoc.echr.coe.int/eng?i=001-62484" TargetMode="External"/><Relationship Id="rId526" Type="http://schemas.openxmlformats.org/officeDocument/2006/relationships/hyperlink" Target="http://hudoc.echr.coe.int/eng?i=001-159911" TargetMode="External"/><Relationship Id="rId58" Type="http://schemas.openxmlformats.org/officeDocument/2006/relationships/hyperlink" Target="http://hudoc.echr.coe.int/eng?i=001-160060" TargetMode="External"/><Relationship Id="rId123" Type="http://schemas.openxmlformats.org/officeDocument/2006/relationships/hyperlink" Target="http://hudoc.echr.coe.int/eng?i=001-138580" TargetMode="External"/><Relationship Id="rId330" Type="http://schemas.openxmlformats.org/officeDocument/2006/relationships/hyperlink" Target="http://hudoc.echr.coe.int/eng?i=001-66767" TargetMode="External"/><Relationship Id="rId568" Type="http://schemas.openxmlformats.org/officeDocument/2006/relationships/hyperlink" Target="http://hudoc.echr.coe.int/eng?i=001-158117" TargetMode="External"/><Relationship Id="rId165" Type="http://schemas.openxmlformats.org/officeDocument/2006/relationships/hyperlink" Target="http://hudoc.echr.coe.int/eng?i=001-66807" TargetMode="External"/><Relationship Id="rId372" Type="http://schemas.openxmlformats.org/officeDocument/2006/relationships/hyperlink" Target="http://hudoc.echr.coe.int/fre?i=001-98701" TargetMode="External"/><Relationship Id="rId428" Type="http://schemas.openxmlformats.org/officeDocument/2006/relationships/hyperlink" Target="https://hudoc.echr.coe.int/?i=001-225906" TargetMode="External"/><Relationship Id="rId635" Type="http://schemas.openxmlformats.org/officeDocument/2006/relationships/hyperlink" Target="http://hudoc.echr.coe.int/eng?i=001-70006" TargetMode="External"/><Relationship Id="rId677" Type="http://schemas.openxmlformats.org/officeDocument/2006/relationships/hyperlink" Target="http://hudoc.echr.coe.int/eng?i=001-90753" TargetMode="External"/><Relationship Id="rId232" Type="http://schemas.openxmlformats.org/officeDocument/2006/relationships/hyperlink" Target="http://hudoc.echr.coe.int/eng?i=001-63450" TargetMode="External"/><Relationship Id="rId274" Type="http://schemas.openxmlformats.org/officeDocument/2006/relationships/hyperlink" Target="http://hudoc.echr.coe.int/eng?i=001-116076" TargetMode="External"/><Relationship Id="rId481" Type="http://schemas.openxmlformats.org/officeDocument/2006/relationships/hyperlink" Target="http://hudoc.echr.coe.int/eng?i=001-113014" TargetMode="External"/><Relationship Id="rId702" Type="http://schemas.openxmlformats.org/officeDocument/2006/relationships/footer" Target="footer3.xml"/><Relationship Id="rId27" Type="http://schemas.openxmlformats.org/officeDocument/2006/relationships/hyperlink" Target="http://hudoc.echr.coe.int/eng?i=001-158290" TargetMode="External"/><Relationship Id="rId69" Type="http://schemas.openxmlformats.org/officeDocument/2006/relationships/hyperlink" Target="http://hudoc.echr.coe.int/eng?i=003-6708535-8973165" TargetMode="External"/><Relationship Id="rId134" Type="http://schemas.openxmlformats.org/officeDocument/2006/relationships/hyperlink" Target="http://hudoc.echr.coe.int/eng?i=001-96457" TargetMode="External"/><Relationship Id="rId537" Type="http://schemas.openxmlformats.org/officeDocument/2006/relationships/hyperlink" Target="http://hudoc.echr.coe.int/eng?i=001-98701" TargetMode="External"/><Relationship Id="rId579" Type="http://schemas.openxmlformats.org/officeDocument/2006/relationships/hyperlink" Target="http://hudoc.echr.coe.int/eng?i=001-59194" TargetMode="External"/><Relationship Id="rId80" Type="http://schemas.openxmlformats.org/officeDocument/2006/relationships/hyperlink" Target="http://hudoc.echr.coe.int/eng?i=001-98701" TargetMode="External"/><Relationship Id="rId176" Type="http://schemas.openxmlformats.org/officeDocument/2006/relationships/hyperlink" Target="http://hudoc.echr.coe.int/eng?i=001-148722" TargetMode="External"/><Relationship Id="rId341" Type="http://schemas.openxmlformats.org/officeDocument/2006/relationships/hyperlink" Target="http://hudoc.echr.coe.int/eng?i=001-75548" TargetMode="External"/><Relationship Id="rId383" Type="http://schemas.openxmlformats.org/officeDocument/2006/relationships/hyperlink" Target="http://hudoc.echr.coe.int/fre?i=001-127680" TargetMode="External"/><Relationship Id="rId439" Type="http://schemas.openxmlformats.org/officeDocument/2006/relationships/hyperlink" Target="http://hudoc.echr.coe.int/eng?i=001-98701" TargetMode="External"/><Relationship Id="rId590" Type="http://schemas.openxmlformats.org/officeDocument/2006/relationships/hyperlink" Target="http://hudoc.echr.coe.int/eng?i=001-184525" TargetMode="External"/><Relationship Id="rId604" Type="http://schemas.openxmlformats.org/officeDocument/2006/relationships/hyperlink" Target="http://hudoc.echr.coe.int/eng?i=001-592" TargetMode="External"/><Relationship Id="rId646" Type="http://schemas.openxmlformats.org/officeDocument/2006/relationships/hyperlink" Target="http://hudoc.echr.coe.int/eng?i=001-206160" TargetMode="External"/><Relationship Id="rId201" Type="http://schemas.openxmlformats.org/officeDocument/2006/relationships/hyperlink" Target="http://hudoc.echr.coe.int/eng?i=001-71689" TargetMode="External"/><Relationship Id="rId243" Type="http://schemas.openxmlformats.org/officeDocument/2006/relationships/hyperlink" Target="http://hudoc.echr.coe.int/eng?i=001-98669" TargetMode="External"/><Relationship Id="rId285" Type="http://schemas.openxmlformats.org/officeDocument/2006/relationships/hyperlink" Target="http://hudoc.echr.coe.int/eng?i=001-75548" TargetMode="External"/><Relationship Id="rId450" Type="http://schemas.openxmlformats.org/officeDocument/2006/relationships/hyperlink" Target="http://hudoc.echr.coe.int/fre?i=001-98701" TargetMode="External"/><Relationship Id="rId506" Type="http://schemas.openxmlformats.org/officeDocument/2006/relationships/hyperlink" Target="http://hudoc.echr.coe.int/eng?i=001-201348" TargetMode="External"/><Relationship Id="rId688" Type="http://schemas.openxmlformats.org/officeDocument/2006/relationships/hyperlink" Target="http://hudoc.echr.coe.int/eng?i=001-158290" TargetMode="External"/><Relationship Id="rId38" Type="http://schemas.openxmlformats.org/officeDocument/2006/relationships/hyperlink" Target="http://hudoc.echr.coe.int/eng?i=001-128094" TargetMode="External"/><Relationship Id="rId103" Type="http://schemas.openxmlformats.org/officeDocument/2006/relationships/hyperlink" Target="http://hudoc.echr.coe.int/eng?i=001-78858" TargetMode="External"/><Relationship Id="rId310" Type="http://schemas.openxmlformats.org/officeDocument/2006/relationships/hyperlink" Target="http://hudoc.echr.coe.int/eng?i=001-58068" TargetMode="External"/><Relationship Id="rId492" Type="http://schemas.openxmlformats.org/officeDocument/2006/relationships/hyperlink" Target="http://hudoc.echr.coe.int/eng?i=001-92442" TargetMode="External"/><Relationship Id="rId548" Type="http://schemas.openxmlformats.org/officeDocument/2006/relationships/hyperlink" Target="http://hudoc.echr.coe.int/eng?i=001-80615" TargetMode="External"/><Relationship Id="rId91" Type="http://schemas.openxmlformats.org/officeDocument/2006/relationships/hyperlink" Target="http://hudoc.echr.coe.int/eng?i=001-184525" TargetMode="External"/><Relationship Id="rId145" Type="http://schemas.openxmlformats.org/officeDocument/2006/relationships/hyperlink" Target="http://hudoc.echr.coe.int/eng?i=001-114625" TargetMode="External"/><Relationship Id="rId187" Type="http://schemas.openxmlformats.org/officeDocument/2006/relationships/hyperlink" Target="http://hudoc.echr.coe.int/eng?i=001-158117" TargetMode="External"/><Relationship Id="rId352" Type="http://schemas.openxmlformats.org/officeDocument/2006/relationships/hyperlink" Target="http://hudoc.echr.coe.int/eng?i=001-59352" TargetMode="External"/><Relationship Id="rId394" Type="http://schemas.openxmlformats.org/officeDocument/2006/relationships/hyperlink" Target="http://hudoc.echr.coe.int/eng?i=001-57965" TargetMode="External"/><Relationship Id="rId408" Type="http://schemas.openxmlformats.org/officeDocument/2006/relationships/hyperlink" Target="http://hudoc.echr.coe.int/eng?i=001-81608" TargetMode="External"/><Relationship Id="rId615" Type="http://schemas.openxmlformats.org/officeDocument/2006/relationships/hyperlink" Target="http://hudoc.echr.coe.int/eng?i=001-179883" TargetMode="External"/><Relationship Id="rId212" Type="http://schemas.openxmlformats.org/officeDocument/2006/relationships/hyperlink" Target="http://hudoc.echr.coe.int/eng?i=001-96501" TargetMode="External"/><Relationship Id="rId254" Type="http://schemas.openxmlformats.org/officeDocument/2006/relationships/hyperlink" Target="http://hudoc.echr.coe.int/eng?i=001-65788" TargetMode="External"/><Relationship Id="rId657" Type="http://schemas.openxmlformats.org/officeDocument/2006/relationships/hyperlink" Target="http://hudoc.echr.coe.int/eng?i=001-61628" TargetMode="External"/><Relationship Id="rId699" Type="http://schemas.openxmlformats.org/officeDocument/2006/relationships/footer" Target="footer1.xml"/><Relationship Id="rId49" Type="http://schemas.openxmlformats.org/officeDocument/2006/relationships/hyperlink" Target="http://hudoc.echr.coe.int/eng?i=001-78135" TargetMode="External"/><Relationship Id="rId114" Type="http://schemas.openxmlformats.org/officeDocument/2006/relationships/hyperlink" Target="http://hudoc.echr.coe.int/eng?i=001-127394" TargetMode="External"/><Relationship Id="rId296" Type="http://schemas.openxmlformats.org/officeDocument/2006/relationships/hyperlink" Target="http://hudoc.echr.coe.int/eng?i=001-85018" TargetMode="External"/><Relationship Id="rId461" Type="http://schemas.openxmlformats.org/officeDocument/2006/relationships/hyperlink" Target="http://hudoc.echr.coe.int/eng?i=001-91980" TargetMode="External"/><Relationship Id="rId517" Type="http://schemas.openxmlformats.org/officeDocument/2006/relationships/hyperlink" Target="http://hudoc.echr.coe.int/eng?i=001-94135" TargetMode="External"/><Relationship Id="rId559" Type="http://schemas.openxmlformats.org/officeDocument/2006/relationships/hyperlink" Target="https://hudoc.echr.coe.int/eng?i=003-7317048-9981911" TargetMode="External"/><Relationship Id="rId60" Type="http://schemas.openxmlformats.org/officeDocument/2006/relationships/hyperlink" Target="http://hudoc.echr.coe.int/eng?i=001-102618" TargetMode="External"/><Relationship Id="rId156" Type="http://schemas.openxmlformats.org/officeDocument/2006/relationships/hyperlink" Target="http://hudoc.echr.coe.int/eng?i=001-93802" TargetMode="External"/><Relationship Id="rId198" Type="http://schemas.openxmlformats.org/officeDocument/2006/relationships/hyperlink" Target="http://hudoc.echr.coe.int/fre?i=001-85018" TargetMode="External"/><Relationship Id="rId321" Type="http://schemas.openxmlformats.org/officeDocument/2006/relationships/hyperlink" Target="http://hudoc.echr.coe.int/eng?i=001-58068" TargetMode="External"/><Relationship Id="rId363" Type="http://schemas.openxmlformats.org/officeDocument/2006/relationships/hyperlink" Target="http://hudoc.echr.coe.int/eng?i=001-98669" TargetMode="External"/><Relationship Id="rId419" Type="http://schemas.openxmlformats.org/officeDocument/2006/relationships/hyperlink" Target="http://hudoc.echr.coe.int/eng?i=001-122697" TargetMode="External"/><Relationship Id="rId570" Type="http://schemas.openxmlformats.org/officeDocument/2006/relationships/hyperlink" Target="http://hudoc.echr.coe.int/eng?i=001-93802" TargetMode="External"/><Relationship Id="rId626" Type="http://schemas.openxmlformats.org/officeDocument/2006/relationships/hyperlink" Target="http://hudoc.echr.coe.int/eng?i=001-93250" TargetMode="External"/><Relationship Id="rId223" Type="http://schemas.openxmlformats.org/officeDocument/2006/relationships/hyperlink" Target="http://hudoc.echr.coe.int/eng?i=001-93802" TargetMode="External"/><Relationship Id="rId430" Type="http://schemas.openxmlformats.org/officeDocument/2006/relationships/hyperlink" Target="http://hudoc.echr.coe.int/eng?i=001-153771" TargetMode="External"/><Relationship Id="rId668" Type="http://schemas.openxmlformats.org/officeDocument/2006/relationships/hyperlink" Target="http://hudoc.echr.coe.int/eng?i=001-23517" TargetMode="External"/><Relationship Id="rId18" Type="http://schemas.openxmlformats.org/officeDocument/2006/relationships/hyperlink" Target="http://www.echr.coe.int/Documents/HUDOC_Keywords_ENG.pdf" TargetMode="External"/><Relationship Id="rId265" Type="http://schemas.openxmlformats.org/officeDocument/2006/relationships/hyperlink" Target="http://hudoc.echr.coe.int/fre?i=001-127680" TargetMode="External"/><Relationship Id="rId472" Type="http://schemas.openxmlformats.org/officeDocument/2006/relationships/hyperlink" Target="http://hudoc.echr.coe.int/eng?i=001-96501" TargetMode="External"/><Relationship Id="rId528" Type="http://schemas.openxmlformats.org/officeDocument/2006/relationships/hyperlink" Target="https://hudoc.echr.coe.int/eng?i=001-215250" TargetMode="External"/><Relationship Id="rId125" Type="http://schemas.openxmlformats.org/officeDocument/2006/relationships/hyperlink" Target="http://hudoc.echr.coe.int/eng?i=001-159782" TargetMode="External"/><Relationship Id="rId167" Type="http://schemas.openxmlformats.org/officeDocument/2006/relationships/hyperlink" Target="http://hudoc.echr.coe.int/eng?i=001-611" TargetMode="External"/><Relationship Id="rId332" Type="http://schemas.openxmlformats.org/officeDocument/2006/relationships/hyperlink" Target="http://hudoc.echr.coe.int/eng?i=001-66243" TargetMode="External"/><Relationship Id="rId374" Type="http://schemas.openxmlformats.org/officeDocument/2006/relationships/hyperlink" Target="http://hudoc.echr.coe.int/eng?i=001-210874" TargetMode="External"/><Relationship Id="rId581" Type="http://schemas.openxmlformats.org/officeDocument/2006/relationships/hyperlink" Target="http://hudoc.echr.coe.int/eng?i=001-75548" TargetMode="External"/><Relationship Id="rId71" Type="http://schemas.openxmlformats.org/officeDocument/2006/relationships/hyperlink" Target="http://hudoc.echr.coe.int/eng?i=001-85019" TargetMode="External"/><Relationship Id="rId234" Type="http://schemas.openxmlformats.org/officeDocument/2006/relationships/hyperlink" Target="http://hudoc.echr.coe.int/eng?i=001-127680" TargetMode="External"/><Relationship Id="rId637" Type="http://schemas.openxmlformats.org/officeDocument/2006/relationships/hyperlink" Target="http://hudoc.echr.coe.int/eng?i=001-29332" TargetMode="External"/><Relationship Id="rId679" Type="http://schemas.openxmlformats.org/officeDocument/2006/relationships/hyperlink" Target="http://hudoc.echr.coe.int/eng?i=001-84538" TargetMode="External"/><Relationship Id="rId2" Type="http://schemas.openxmlformats.org/officeDocument/2006/relationships/numbering" Target="numbering.xml"/><Relationship Id="rId29" Type="http://schemas.openxmlformats.org/officeDocument/2006/relationships/hyperlink" Target="http://hudoc.echr.coe.int/eng?i=001-158290" TargetMode="External"/><Relationship Id="rId276" Type="http://schemas.openxmlformats.org/officeDocument/2006/relationships/hyperlink" Target="http://hudoc.echr.coe.int/eng?i=001-116076" TargetMode="External"/><Relationship Id="rId441" Type="http://schemas.openxmlformats.org/officeDocument/2006/relationships/hyperlink" Target="http://hudoc.echr.coe.int/eng?i=001-98669" TargetMode="External"/><Relationship Id="rId483" Type="http://schemas.openxmlformats.org/officeDocument/2006/relationships/hyperlink" Target="http://hudoc.echr.coe.int/eng?i=001-158290" TargetMode="External"/><Relationship Id="rId539" Type="http://schemas.openxmlformats.org/officeDocument/2006/relationships/hyperlink" Target="http://hudoc.echr.coe.int/eng?i=001-98669" TargetMode="External"/><Relationship Id="rId690" Type="http://schemas.openxmlformats.org/officeDocument/2006/relationships/hyperlink" Target="http://hudoc.echr.coe.int/eng?i=001-44833" TargetMode="External"/><Relationship Id="rId704" Type="http://schemas.openxmlformats.org/officeDocument/2006/relationships/theme" Target="theme/theme1.xml"/><Relationship Id="rId40" Type="http://schemas.openxmlformats.org/officeDocument/2006/relationships/hyperlink" Target="http://hudoc.echr.coe.int/eng?i=001-184525" TargetMode="External"/><Relationship Id="rId136" Type="http://schemas.openxmlformats.org/officeDocument/2006/relationships/hyperlink" Target="http://hudoc.echr.coe.int/eng?i=001-57518" TargetMode="External"/><Relationship Id="rId178" Type="http://schemas.openxmlformats.org/officeDocument/2006/relationships/hyperlink" Target="http://hudoc.echr.coe.int/eng?i=001-148722" TargetMode="External"/><Relationship Id="rId301" Type="http://schemas.openxmlformats.org/officeDocument/2006/relationships/hyperlink" Target="http://hudoc.echr.coe.int/eng?i=001-127697" TargetMode="External"/><Relationship Id="rId343" Type="http://schemas.openxmlformats.org/officeDocument/2006/relationships/hyperlink" Target="http://hudoc.echr.coe.int/eng?i=001-59353" TargetMode="External"/><Relationship Id="rId550" Type="http://schemas.openxmlformats.org/officeDocument/2006/relationships/hyperlink" Target="http://hudoc.echr.coe.int/eng?i=001-127680" TargetMode="External"/><Relationship Id="rId82" Type="http://schemas.openxmlformats.org/officeDocument/2006/relationships/hyperlink" Target="http://hudoc.echr.coe.int/eng?i=001-88430" TargetMode="External"/><Relationship Id="rId203" Type="http://schemas.openxmlformats.org/officeDocument/2006/relationships/hyperlink" Target="http://hudoc.echr.coe.int/eng?i=001-114604" TargetMode="External"/><Relationship Id="rId385" Type="http://schemas.openxmlformats.org/officeDocument/2006/relationships/hyperlink" Target="http://hudoc.echr.coe.int/eng?i=001-146373" TargetMode="External"/><Relationship Id="rId592" Type="http://schemas.openxmlformats.org/officeDocument/2006/relationships/hyperlink" Target="http://hudoc.echr.coe.int/eng?i=001-210749" TargetMode="External"/><Relationship Id="rId606" Type="http://schemas.openxmlformats.org/officeDocument/2006/relationships/hyperlink" Target="http://hudoc.echr.coe.int/eng?i=001-57929" TargetMode="External"/><Relationship Id="rId648" Type="http://schemas.openxmlformats.org/officeDocument/2006/relationships/hyperlink" Target="http://hudoc.echr.coe.int/eng?i=001-102945" TargetMode="External"/><Relationship Id="rId19" Type="http://schemas.openxmlformats.org/officeDocument/2006/relationships/hyperlink" Target="http://hudoc.echr.coe.int" TargetMode="External"/><Relationship Id="rId224" Type="http://schemas.openxmlformats.org/officeDocument/2006/relationships/hyperlink" Target="http://hudoc.echr.coe.int/eng?i=001-206160" TargetMode="External"/><Relationship Id="rId245" Type="http://schemas.openxmlformats.org/officeDocument/2006/relationships/hyperlink" Target="http://hudoc.echr.coe.int/eng?i=001-98669" TargetMode="External"/><Relationship Id="rId266" Type="http://schemas.openxmlformats.org/officeDocument/2006/relationships/hyperlink" Target="http://hudoc.echr.coe.int/eng?i=001-127697" TargetMode="External"/><Relationship Id="rId287" Type="http://schemas.openxmlformats.org/officeDocument/2006/relationships/hyperlink" Target="http://hudoc.echr.coe.int/fre?i=001-88430" TargetMode="External"/><Relationship Id="rId410" Type="http://schemas.openxmlformats.org/officeDocument/2006/relationships/hyperlink" Target="http://hudoc.echr.coe.int/eng?i=001-122697" TargetMode="External"/><Relationship Id="rId431" Type="http://schemas.openxmlformats.org/officeDocument/2006/relationships/hyperlink" Target="http://hudoc.echr.coe.int/eng?i=001-166925" TargetMode="External"/><Relationship Id="rId452" Type="http://schemas.openxmlformats.org/officeDocument/2006/relationships/hyperlink" Target="http://hudoc.echr.coe.int/eng?i=001-85152" TargetMode="External"/><Relationship Id="rId473" Type="http://schemas.openxmlformats.org/officeDocument/2006/relationships/hyperlink" Target="http://hudoc.echr.coe.int/eng?i=001-96389" TargetMode="External"/><Relationship Id="rId494" Type="http://schemas.openxmlformats.org/officeDocument/2006/relationships/hyperlink" Target="http://hudoc.echr.coe.int/eng?i=001-122664" TargetMode="External"/><Relationship Id="rId508" Type="http://schemas.openxmlformats.org/officeDocument/2006/relationships/hyperlink" Target="http://hudoc.echr.coe.int/eng?i=001-59221" TargetMode="External"/><Relationship Id="rId529" Type="http://schemas.openxmlformats.org/officeDocument/2006/relationships/hyperlink" Target="http://hudoc.echr.coe.int/eng?i=001-170456" TargetMode="External"/><Relationship Id="rId680" Type="http://schemas.openxmlformats.org/officeDocument/2006/relationships/hyperlink" Target="http://hudoc.echr.coe.int/eng?i=001-207375" TargetMode="External"/><Relationship Id="rId30" Type="http://schemas.openxmlformats.org/officeDocument/2006/relationships/hyperlink" Target="http://hudoc.echr.coe.int/eng?i=001-62384" TargetMode="External"/><Relationship Id="rId105" Type="http://schemas.openxmlformats.org/officeDocument/2006/relationships/hyperlink" Target="http://hudoc.echr.coe.int/eng?i=001-187540" TargetMode="External"/><Relationship Id="rId126" Type="http://schemas.openxmlformats.org/officeDocument/2006/relationships/hyperlink" Target="http://hudoc.echr.coe.int/eng?i=001-96240" TargetMode="External"/><Relationship Id="rId147" Type="http://schemas.openxmlformats.org/officeDocument/2006/relationships/hyperlink" Target="http://hudoc.echr.coe.int/eng?i=001-24566" TargetMode="External"/><Relationship Id="rId168" Type="http://schemas.openxmlformats.org/officeDocument/2006/relationships/hyperlink" Target="http://hudoc.echr.coe.int/eng?i=001-611" TargetMode="External"/><Relationship Id="rId312" Type="http://schemas.openxmlformats.org/officeDocument/2006/relationships/hyperlink" Target="http://hudoc.echr.coe.int/eng?i=001-93250" TargetMode="External"/><Relationship Id="rId333" Type="http://schemas.openxmlformats.org/officeDocument/2006/relationships/hyperlink" Target="http://hudoc.echr.coe.int/eng?i=001-61686" TargetMode="External"/><Relationship Id="rId354" Type="http://schemas.openxmlformats.org/officeDocument/2006/relationships/hyperlink" Target="http://hudoc.echr.coe.int/fre?i=001-127680" TargetMode="External"/><Relationship Id="rId540" Type="http://schemas.openxmlformats.org/officeDocument/2006/relationships/hyperlink" Target="http://hudoc.echr.coe.int/eng?i=001-122716" TargetMode="External"/><Relationship Id="rId51" Type="http://schemas.openxmlformats.org/officeDocument/2006/relationships/hyperlink" Target="http://hudoc.echr.coe.int/eng?i=001-163788" TargetMode="External"/><Relationship Id="rId72" Type="http://schemas.openxmlformats.org/officeDocument/2006/relationships/hyperlink" Target="http://hudoc.echr.coe.int/eng?i=001-127697" TargetMode="External"/><Relationship Id="rId93" Type="http://schemas.openxmlformats.org/officeDocument/2006/relationships/hyperlink" Target="http://hudoc.echr.coe.int/eng?i=001-184525" TargetMode="External"/><Relationship Id="rId189" Type="http://schemas.openxmlformats.org/officeDocument/2006/relationships/hyperlink" Target="http://hudoc.echr.coe.int/eng?i=001-203003" TargetMode="External"/><Relationship Id="rId375" Type="http://schemas.openxmlformats.org/officeDocument/2006/relationships/hyperlink" Target="https://hudoc.echr.coe.int/eng?i=001-215180" TargetMode="External"/><Relationship Id="rId396" Type="http://schemas.openxmlformats.org/officeDocument/2006/relationships/hyperlink" Target="http://hudoc.echr.coe.int/eng?i=001-77359" TargetMode="External"/><Relationship Id="rId561" Type="http://schemas.openxmlformats.org/officeDocument/2006/relationships/hyperlink" Target="http://hudoc.echr.coe.int/eng?i=001-203003" TargetMode="External"/><Relationship Id="rId582" Type="http://schemas.openxmlformats.org/officeDocument/2006/relationships/hyperlink" Target="http://hudoc.echr.coe.int/eng?i=001-160432" TargetMode="External"/><Relationship Id="rId617" Type="http://schemas.openxmlformats.org/officeDocument/2006/relationships/hyperlink" Target="http://hudoc.echr.coe.int/eng?i=001-57827" TargetMode="External"/><Relationship Id="rId638" Type="http://schemas.openxmlformats.org/officeDocument/2006/relationships/hyperlink" Target="http://hudoc.echr.coe.int/eng?i=001-177665" TargetMode="External"/><Relationship Id="rId659" Type="http://schemas.openxmlformats.org/officeDocument/2006/relationships/hyperlink" Target="http://hudoc.echr.coe.int/eng?i=001-57870" TargetMode="External"/><Relationship Id="rId3" Type="http://schemas.openxmlformats.org/officeDocument/2006/relationships/styles" Target="styles.xml"/><Relationship Id="rId214" Type="http://schemas.openxmlformats.org/officeDocument/2006/relationships/hyperlink" Target="http://hudoc.echr.coe.int/eng?i=001-127680" TargetMode="External"/><Relationship Id="rId235" Type="http://schemas.openxmlformats.org/officeDocument/2006/relationships/hyperlink" Target="http://hudoc.echr.coe.int/fre?i=001-127680" TargetMode="External"/><Relationship Id="rId256" Type="http://schemas.openxmlformats.org/officeDocument/2006/relationships/hyperlink" Target="http://hudoc.echr.coe.int/eng?i=001-58276" TargetMode="External"/><Relationship Id="rId277" Type="http://schemas.openxmlformats.org/officeDocument/2006/relationships/hyperlink" Target="http://hudoc.echr.coe.int/eng?i=001-85018" TargetMode="External"/><Relationship Id="rId298" Type="http://schemas.openxmlformats.org/officeDocument/2006/relationships/hyperlink" Target="http://hudoc.echr.coe.int/eng?i=001-85019" TargetMode="External"/><Relationship Id="rId400" Type="http://schemas.openxmlformats.org/officeDocument/2006/relationships/hyperlink" Target="http://hudoc.echr.coe.int/eng?i=001-127680" TargetMode="External"/><Relationship Id="rId421" Type="http://schemas.openxmlformats.org/officeDocument/2006/relationships/hyperlink" Target="http://hudoc.echr.coe.int/eng?i=001-81608" TargetMode="External"/><Relationship Id="rId442" Type="http://schemas.openxmlformats.org/officeDocument/2006/relationships/hyperlink" Target="http://hudoc.echr.coe.int/eng?i=001-158303" TargetMode="External"/><Relationship Id="rId463" Type="http://schemas.openxmlformats.org/officeDocument/2006/relationships/hyperlink" Target="http://hudoc.echr.coe.int/eng?i=001-127680" TargetMode="External"/><Relationship Id="rId484" Type="http://schemas.openxmlformats.org/officeDocument/2006/relationships/hyperlink" Target="http://hudoc.echr.coe.int/eng?i=001-110794" TargetMode="External"/><Relationship Id="rId519" Type="http://schemas.openxmlformats.org/officeDocument/2006/relationships/hyperlink" Target="http://hudoc.echr.coe.int/eng?i=001-94135" TargetMode="External"/><Relationship Id="rId670" Type="http://schemas.openxmlformats.org/officeDocument/2006/relationships/hyperlink" Target="http://hudoc.echr.coe.int/eng?i=001-76033" TargetMode="External"/><Relationship Id="rId116" Type="http://schemas.openxmlformats.org/officeDocument/2006/relationships/hyperlink" Target="http://hudoc.echr.coe.int/eng?i=001-184525" TargetMode="External"/><Relationship Id="rId137" Type="http://schemas.openxmlformats.org/officeDocument/2006/relationships/hyperlink" Target="http://hudoc.echr.coe.int/eng?i=001-28534" TargetMode="External"/><Relationship Id="rId158" Type="http://schemas.openxmlformats.org/officeDocument/2006/relationships/hyperlink" Target="http://hudoc.echr.coe.int/eng?i=001-93802" TargetMode="External"/><Relationship Id="rId302" Type="http://schemas.openxmlformats.org/officeDocument/2006/relationships/hyperlink" Target="http://hudoc.echr.coe.int/eng?i=001-44428" TargetMode="External"/><Relationship Id="rId323" Type="http://schemas.openxmlformats.org/officeDocument/2006/relationships/hyperlink" Target="http://hudoc.echr.coe.int/eng?i=001-77359" TargetMode="External"/><Relationship Id="rId344" Type="http://schemas.openxmlformats.org/officeDocument/2006/relationships/hyperlink" Target="http://hudoc.echr.coe.int/eng?i=001-63910" TargetMode="External"/><Relationship Id="rId530" Type="http://schemas.openxmlformats.org/officeDocument/2006/relationships/hyperlink" Target="http://hudoc.echr.coe.int/eng?i=003-6708535-8973165" TargetMode="External"/><Relationship Id="rId691" Type="http://schemas.openxmlformats.org/officeDocument/2006/relationships/hyperlink" Target="http://hudoc.echr.coe.int/eng?i=001-122664" TargetMode="External"/><Relationship Id="rId20" Type="http://schemas.openxmlformats.org/officeDocument/2006/relationships/hyperlink" Target="http://www.echr.coe.int/Documents/HUDOC_Manual_2016_ENG.PDF" TargetMode="External"/><Relationship Id="rId41" Type="http://schemas.openxmlformats.org/officeDocument/2006/relationships/hyperlink" Target="http://hudoc.echr.coe.int/eng?i=001-184525" TargetMode="External"/><Relationship Id="rId62" Type="http://schemas.openxmlformats.org/officeDocument/2006/relationships/hyperlink" Target="http://hudoc.echr.coe.int/eng?i=001-127680" TargetMode="External"/><Relationship Id="rId83" Type="http://schemas.openxmlformats.org/officeDocument/2006/relationships/hyperlink" Target="http://hudoc.echr.coe.int/eng?i=001-88429" TargetMode="External"/><Relationship Id="rId179" Type="http://schemas.openxmlformats.org/officeDocument/2006/relationships/hyperlink" Target="http://hudoc.echr.coe.int/eng?i=001-70006" TargetMode="External"/><Relationship Id="rId365" Type="http://schemas.openxmlformats.org/officeDocument/2006/relationships/hyperlink" Target="http://hudoc.echr.coe.int/eng?i=001-85018" TargetMode="External"/><Relationship Id="rId386" Type="http://schemas.openxmlformats.org/officeDocument/2006/relationships/hyperlink" Target="http://hudoc.echr.coe.int/eng?i=001-146373" TargetMode="External"/><Relationship Id="rId551" Type="http://schemas.openxmlformats.org/officeDocument/2006/relationships/hyperlink" Target="http://hudoc.echr.coe.int/eng?i=001-127697" TargetMode="External"/><Relationship Id="rId572" Type="http://schemas.openxmlformats.org/officeDocument/2006/relationships/hyperlink" Target="http://hudoc.echr.coe.int/eng?i=001-79871" TargetMode="External"/><Relationship Id="rId593" Type="http://schemas.openxmlformats.org/officeDocument/2006/relationships/hyperlink" Target="http://hudoc.echr.coe.int/eng?i=001-96457" TargetMode="External"/><Relationship Id="rId607" Type="http://schemas.openxmlformats.org/officeDocument/2006/relationships/hyperlink" Target="http://hudoc.echr.coe.int/eng?i=001-104490" TargetMode="External"/><Relationship Id="rId628" Type="http://schemas.openxmlformats.org/officeDocument/2006/relationships/hyperlink" Target="http://hudoc.echr.coe.int/eng?i=001-96389" TargetMode="External"/><Relationship Id="rId649" Type="http://schemas.openxmlformats.org/officeDocument/2006/relationships/hyperlink" Target="http://hudoc.echr.coe.int/eng?i=001-72685" TargetMode="External"/><Relationship Id="rId190" Type="http://schemas.openxmlformats.org/officeDocument/2006/relationships/hyperlink" Target="https://hudoc.echr.coe.int/eng?i=003-7317048-9981911" TargetMode="External"/><Relationship Id="rId204" Type="http://schemas.openxmlformats.org/officeDocument/2006/relationships/hyperlink" Target="http://hudoc.echr.coe.int/eng?i=001-85018" TargetMode="External"/><Relationship Id="rId225" Type="http://schemas.openxmlformats.org/officeDocument/2006/relationships/hyperlink" Target="http://hudoc.echr.coe.int/eng?i=001-210749" TargetMode="External"/><Relationship Id="rId246" Type="http://schemas.openxmlformats.org/officeDocument/2006/relationships/hyperlink" Target="http://hudoc.echr.coe.int/eng?i=001-151051" TargetMode="External"/><Relationship Id="rId267" Type="http://schemas.openxmlformats.org/officeDocument/2006/relationships/hyperlink" Target="http://hudoc.echr.coe.int/eng?i=001-158216" TargetMode="External"/><Relationship Id="rId288" Type="http://schemas.openxmlformats.org/officeDocument/2006/relationships/hyperlink" Target="http://hudoc.echr.coe.int/eng?i=001-88429" TargetMode="External"/><Relationship Id="rId411" Type="http://schemas.openxmlformats.org/officeDocument/2006/relationships/hyperlink" Target="http://hudoc.echr.coe.int/eng?i=001-199075" TargetMode="External"/><Relationship Id="rId432" Type="http://schemas.openxmlformats.org/officeDocument/2006/relationships/hyperlink" Target="http://hudoc.echr.coe.int/eng?i=001-166925" TargetMode="External"/><Relationship Id="rId453" Type="http://schemas.openxmlformats.org/officeDocument/2006/relationships/hyperlink" Target="http://hudoc.echr.coe.int/eng?i=001-57518" TargetMode="External"/><Relationship Id="rId474" Type="http://schemas.openxmlformats.org/officeDocument/2006/relationships/hyperlink" Target="http://hudoc.echr.coe.int/eng?i=001-96240" TargetMode="External"/><Relationship Id="rId509" Type="http://schemas.openxmlformats.org/officeDocument/2006/relationships/hyperlink" Target="http://hudoc.echr.coe.int/eng?i=001-151051" TargetMode="External"/><Relationship Id="rId660" Type="http://schemas.openxmlformats.org/officeDocument/2006/relationships/hyperlink" Target="http://hudoc.echr.coe.int/eng?i=001-28534" TargetMode="External"/><Relationship Id="rId106" Type="http://schemas.openxmlformats.org/officeDocument/2006/relationships/hyperlink" Target="http://hudoc.echr.coe.int/eng?i=001-187540" TargetMode="External"/><Relationship Id="rId127" Type="http://schemas.openxmlformats.org/officeDocument/2006/relationships/hyperlink" Target="http://hudoc.echr.coe.int/eng?i=001-96240" TargetMode="External"/><Relationship Id="rId313" Type="http://schemas.openxmlformats.org/officeDocument/2006/relationships/hyperlink" Target="http://hudoc.echr.coe.int/eng?i=001-202558" TargetMode="External"/><Relationship Id="rId495" Type="http://schemas.openxmlformats.org/officeDocument/2006/relationships/hyperlink" Target="http://hudoc.echr.coe.int/eng?i=001-75669" TargetMode="External"/><Relationship Id="rId681" Type="http://schemas.openxmlformats.org/officeDocument/2006/relationships/hyperlink" Target="https://hudoc.echr.coe.int/?i=001-225906" TargetMode="External"/><Relationship Id="rId10" Type="http://schemas.openxmlformats.org/officeDocument/2006/relationships/hyperlink" Target="https://ks.echr.coe.int/" TargetMode="External"/><Relationship Id="rId31" Type="http://schemas.openxmlformats.org/officeDocument/2006/relationships/hyperlink" Target="http://hudoc.echr.coe.int/eng?i=001-57827" TargetMode="External"/><Relationship Id="rId52" Type="http://schemas.openxmlformats.org/officeDocument/2006/relationships/hyperlink" Target="http://hudoc.echr.coe.int/eng?i=001-166925" TargetMode="External"/><Relationship Id="rId73" Type="http://schemas.openxmlformats.org/officeDocument/2006/relationships/hyperlink" Target="http://hudoc.echr.coe.int/fre?i=001-127680" TargetMode="External"/><Relationship Id="rId94" Type="http://schemas.openxmlformats.org/officeDocument/2006/relationships/hyperlink" Target="http://hudoc.echr.coe.int/eng?i=001-184525" TargetMode="External"/><Relationship Id="rId148" Type="http://schemas.openxmlformats.org/officeDocument/2006/relationships/hyperlink" Target="http://hudoc.echr.coe.int/eng?i=001-84327" TargetMode="External"/><Relationship Id="rId169" Type="http://schemas.openxmlformats.org/officeDocument/2006/relationships/hyperlink" Target="http://hudoc.echr.coe.int/eng?i=001-102945" TargetMode="External"/><Relationship Id="rId334" Type="http://schemas.openxmlformats.org/officeDocument/2006/relationships/hyperlink" Target="http://hudoc.echr.coe.int/eng?i=001-88816" TargetMode="External"/><Relationship Id="rId355" Type="http://schemas.openxmlformats.org/officeDocument/2006/relationships/hyperlink" Target="http://hudoc.echr.coe.int/eng?i=001-127697" TargetMode="External"/><Relationship Id="rId376" Type="http://schemas.openxmlformats.org/officeDocument/2006/relationships/hyperlink" Target="http://hudoc.echr.coe.int/eng?i=001-77359" TargetMode="External"/><Relationship Id="rId397" Type="http://schemas.openxmlformats.org/officeDocument/2006/relationships/hyperlink" Target="http://hudoc.echr.coe.int/eng?i=001-77359" TargetMode="External"/><Relationship Id="rId520" Type="http://schemas.openxmlformats.org/officeDocument/2006/relationships/hyperlink" Target="http://hudoc.echr.coe.int/eng?i=001-199075" TargetMode="External"/><Relationship Id="rId541" Type="http://schemas.openxmlformats.org/officeDocument/2006/relationships/hyperlink" Target="http://hudoc.echr.coe.int/eng?i=001-158303" TargetMode="External"/><Relationship Id="rId562" Type="http://schemas.openxmlformats.org/officeDocument/2006/relationships/hyperlink" Target="http://hudoc.echr.coe.int/eng?i=001-187192" TargetMode="External"/><Relationship Id="rId583" Type="http://schemas.openxmlformats.org/officeDocument/2006/relationships/hyperlink" Target="http://hudoc.echr.coe.int/eng?i=001-127697" TargetMode="External"/><Relationship Id="rId618" Type="http://schemas.openxmlformats.org/officeDocument/2006/relationships/hyperlink" Target="http://hudoc.echr.coe.int/eng?i=002-3508" TargetMode="External"/><Relationship Id="rId639" Type="http://schemas.openxmlformats.org/officeDocument/2006/relationships/hyperlink" Target="http://hudoc.echr.coe.int/eng?i=001-210874" TargetMode="External"/><Relationship Id="rId4" Type="http://schemas.openxmlformats.org/officeDocument/2006/relationships/settings" Target="settings.xml"/><Relationship Id="rId180" Type="http://schemas.openxmlformats.org/officeDocument/2006/relationships/hyperlink" Target="http://hudoc.echr.coe.int/eng?i=001-70006" TargetMode="External"/><Relationship Id="rId215" Type="http://schemas.openxmlformats.org/officeDocument/2006/relationships/hyperlink" Target="http://hudoc.echr.coe.int/fre?i=001-127680" TargetMode="External"/><Relationship Id="rId236" Type="http://schemas.openxmlformats.org/officeDocument/2006/relationships/hyperlink" Target="http://hudoc.echr.coe.int/eng?i=001-127697" TargetMode="External"/><Relationship Id="rId257" Type="http://schemas.openxmlformats.org/officeDocument/2006/relationships/hyperlink" Target="http://hudoc.echr.coe.int/eng?i=001-184525" TargetMode="External"/><Relationship Id="rId278" Type="http://schemas.openxmlformats.org/officeDocument/2006/relationships/hyperlink" Target="http://hudoc.echr.coe.int/fre?i=001-85018" TargetMode="External"/><Relationship Id="rId401" Type="http://schemas.openxmlformats.org/officeDocument/2006/relationships/hyperlink" Target="http://hudoc.echr.coe.int/fre?i=001-127680" TargetMode="External"/><Relationship Id="rId422" Type="http://schemas.openxmlformats.org/officeDocument/2006/relationships/hyperlink" Target="http://hudoc.echr.coe.int/eng?i=001-80615" TargetMode="External"/><Relationship Id="rId443" Type="http://schemas.openxmlformats.org/officeDocument/2006/relationships/hyperlink" Target="http://hudoc.echr.coe.int/eng?i=001-158290" TargetMode="External"/><Relationship Id="rId464" Type="http://schemas.openxmlformats.org/officeDocument/2006/relationships/hyperlink" Target="http://hudoc.echr.coe.int/fre?i=001-127680" TargetMode="External"/><Relationship Id="rId650" Type="http://schemas.openxmlformats.org/officeDocument/2006/relationships/hyperlink" Target="http://hudoc.echr.coe.int/eng?i=001-158235" TargetMode="External"/><Relationship Id="rId303" Type="http://schemas.openxmlformats.org/officeDocument/2006/relationships/hyperlink" Target="http://hudoc.echr.coe.int/eng?i=001-44428" TargetMode="External"/><Relationship Id="rId485" Type="http://schemas.openxmlformats.org/officeDocument/2006/relationships/hyperlink" Target="https://hudoc.echr.coe.int/eng?i=001-215180" TargetMode="External"/><Relationship Id="rId692" Type="http://schemas.openxmlformats.org/officeDocument/2006/relationships/hyperlink" Target="http://hudoc.echr.coe.int/eng?i=001-212829" TargetMode="External"/><Relationship Id="rId42" Type="http://schemas.openxmlformats.org/officeDocument/2006/relationships/hyperlink" Target="http://hudoc.echr.coe.int/eng?i=001-184525" TargetMode="External"/><Relationship Id="rId84" Type="http://schemas.openxmlformats.org/officeDocument/2006/relationships/hyperlink" Target="http://hudoc.echr.coe.int/eng?i=001-158303" TargetMode="External"/><Relationship Id="rId138" Type="http://schemas.openxmlformats.org/officeDocument/2006/relationships/hyperlink" Target="http://hudoc.echr.coe.int/eng?i=001-28534" TargetMode="External"/><Relationship Id="rId345" Type="http://schemas.openxmlformats.org/officeDocument/2006/relationships/hyperlink" Target="http://hudoc.echr.coe.int/eng?i=001-59352" TargetMode="External"/><Relationship Id="rId387" Type="http://schemas.openxmlformats.org/officeDocument/2006/relationships/hyperlink" Target="http://hudoc.echr.coe.int/eng?i=001-122697" TargetMode="External"/><Relationship Id="rId510" Type="http://schemas.openxmlformats.org/officeDocument/2006/relationships/hyperlink" Target="http://hudoc.echr.coe.int/eng?i=001-151051" TargetMode="External"/><Relationship Id="rId552" Type="http://schemas.openxmlformats.org/officeDocument/2006/relationships/hyperlink" Target="http://hudoc.echr.coe.int/eng?i=001-94135" TargetMode="External"/><Relationship Id="rId594" Type="http://schemas.openxmlformats.org/officeDocument/2006/relationships/hyperlink" Target="http://hudoc.echr.coe.int/eng?i=001-202558" TargetMode="External"/><Relationship Id="rId608" Type="http://schemas.openxmlformats.org/officeDocument/2006/relationships/hyperlink" Target="http://hudoc.echr.coe.int/eng?i=001-201348" TargetMode="External"/><Relationship Id="rId191" Type="http://schemas.openxmlformats.org/officeDocument/2006/relationships/hyperlink" Target="http://hudoc.echr.coe.int/eng?i=001-98701" TargetMode="External"/><Relationship Id="rId205" Type="http://schemas.openxmlformats.org/officeDocument/2006/relationships/hyperlink" Target="http://hudoc.echr.coe.int/fre?i=001-85018" TargetMode="External"/><Relationship Id="rId247" Type="http://schemas.openxmlformats.org/officeDocument/2006/relationships/hyperlink" Target="http://hudoc.echr.coe.int/eng?i=001-151051" TargetMode="External"/><Relationship Id="rId412" Type="http://schemas.openxmlformats.org/officeDocument/2006/relationships/hyperlink" Target="http://hudoc.echr.coe.int/eng?i=001-68354" TargetMode="External"/><Relationship Id="rId107" Type="http://schemas.openxmlformats.org/officeDocument/2006/relationships/hyperlink" Target="http://hudoc.echr.coe.int/eng?i=001-57927" TargetMode="External"/><Relationship Id="rId289" Type="http://schemas.openxmlformats.org/officeDocument/2006/relationships/hyperlink" Target="http://hudoc.echr.coe.int/eng?i=001-158303" TargetMode="External"/><Relationship Id="rId454" Type="http://schemas.openxmlformats.org/officeDocument/2006/relationships/hyperlink" Target="http://hudoc.echr.coe.int/eng?i=001-81609" TargetMode="External"/><Relationship Id="rId496" Type="http://schemas.openxmlformats.org/officeDocument/2006/relationships/hyperlink" Target="http://hudoc.echr.coe.int/eng?i=001-75669" TargetMode="External"/><Relationship Id="rId661" Type="http://schemas.openxmlformats.org/officeDocument/2006/relationships/hyperlink" Target="http://hudoc.echr.coe.int/eng?i=001-151051" TargetMode="External"/><Relationship Id="rId11" Type="http://schemas.openxmlformats.org/officeDocument/2006/relationships/hyperlink" Target="https://twitter.com/ECHR_CEDH" TargetMode="External"/><Relationship Id="rId53" Type="http://schemas.openxmlformats.org/officeDocument/2006/relationships/hyperlink" Target="http://hudoc.echr.coe.int/eng?i=001-78136" TargetMode="External"/><Relationship Id="rId149" Type="http://schemas.openxmlformats.org/officeDocument/2006/relationships/hyperlink" Target="http://hudoc.echr.coe.int/eng?i=001-29332" TargetMode="External"/><Relationship Id="rId314" Type="http://schemas.openxmlformats.org/officeDocument/2006/relationships/hyperlink" Target="http://hudoc.echr.coe.int/eng?i=003-6708535-8973165" TargetMode="External"/><Relationship Id="rId356" Type="http://schemas.openxmlformats.org/officeDocument/2006/relationships/hyperlink" Target="http://hudoc.echr.coe.int/eng?i=001-63911" TargetMode="External"/><Relationship Id="rId398" Type="http://schemas.openxmlformats.org/officeDocument/2006/relationships/hyperlink" Target="http://hudoc.echr.coe.int/eng?i=001-80615" TargetMode="External"/><Relationship Id="rId521" Type="http://schemas.openxmlformats.org/officeDocument/2006/relationships/hyperlink" Target="http://hudoc.echr.coe.int/eng?i=003-6708535-8973165" TargetMode="External"/><Relationship Id="rId563" Type="http://schemas.openxmlformats.org/officeDocument/2006/relationships/hyperlink" Target="https://hudoc.echr.coe.int/eng?i=001-215250" TargetMode="External"/><Relationship Id="rId619" Type="http://schemas.openxmlformats.org/officeDocument/2006/relationships/hyperlink" Target="http://hudoc.echr.coe.int/eng?i=001-98669" TargetMode="External"/><Relationship Id="rId95" Type="http://schemas.openxmlformats.org/officeDocument/2006/relationships/hyperlink" Target="http://hudoc.echr.coe.int/eng?i=001-57927" TargetMode="External"/><Relationship Id="rId160" Type="http://schemas.openxmlformats.org/officeDocument/2006/relationships/hyperlink" Target="http://hudoc.echr.coe.int/eng?i=001-208855" TargetMode="External"/><Relationship Id="rId216" Type="http://schemas.openxmlformats.org/officeDocument/2006/relationships/hyperlink" Target="http://hudoc.echr.coe.int/eng?i=001-127697" TargetMode="External"/><Relationship Id="rId423" Type="http://schemas.openxmlformats.org/officeDocument/2006/relationships/hyperlink" Target="http://hudoc.echr.coe.int/eng?i=001-80615" TargetMode="External"/><Relationship Id="rId258" Type="http://schemas.openxmlformats.org/officeDocument/2006/relationships/hyperlink" Target="http://hudoc.echr.coe.int/eng?i=001-184525" TargetMode="External"/><Relationship Id="rId465" Type="http://schemas.openxmlformats.org/officeDocument/2006/relationships/hyperlink" Target="http://hudoc.echr.coe.int/eng?i=001-127697" TargetMode="External"/><Relationship Id="rId630" Type="http://schemas.openxmlformats.org/officeDocument/2006/relationships/hyperlink" Target="http://hudoc.echr.coe.int/eng?i=001-58847" TargetMode="External"/><Relationship Id="rId672" Type="http://schemas.openxmlformats.org/officeDocument/2006/relationships/hyperlink" Target="http://hudoc.echr.coe.int/eng?i=001-106659" TargetMode="External"/><Relationship Id="rId22" Type="http://schemas.openxmlformats.org/officeDocument/2006/relationships/hyperlink" Target="http://hudoc.echr.coe.int/eng?i=001-57965" TargetMode="External"/><Relationship Id="rId64" Type="http://schemas.openxmlformats.org/officeDocument/2006/relationships/hyperlink" Target="http://hudoc.echr.coe.int/eng?i=001-127697" TargetMode="External"/><Relationship Id="rId118" Type="http://schemas.openxmlformats.org/officeDocument/2006/relationships/hyperlink" Target="http://hudoc.echr.coe.int/eng?i=001-96501" TargetMode="External"/><Relationship Id="rId325" Type="http://schemas.openxmlformats.org/officeDocument/2006/relationships/hyperlink" Target="http://hudoc.echr.coe.int/eng?i=001-98701" TargetMode="External"/><Relationship Id="rId367" Type="http://schemas.openxmlformats.org/officeDocument/2006/relationships/hyperlink" Target="http://hudoc.echr.coe.int/eng?i=001-85019" TargetMode="External"/><Relationship Id="rId532" Type="http://schemas.openxmlformats.org/officeDocument/2006/relationships/hyperlink" Target="http://hudoc.echr.coe.int/fre?i=001-98701" TargetMode="External"/><Relationship Id="rId574" Type="http://schemas.openxmlformats.org/officeDocument/2006/relationships/hyperlink" Target="http://hudoc.echr.coe.int/eng?i=001-116076" TargetMode="External"/><Relationship Id="rId171" Type="http://schemas.openxmlformats.org/officeDocument/2006/relationships/hyperlink" Target="http://hudoc.echr.coe.int/eng?i=001-142087" TargetMode="External"/><Relationship Id="rId227" Type="http://schemas.openxmlformats.org/officeDocument/2006/relationships/hyperlink" Target="http://hudoc.echr.coe.int/eng?i=001-207375" TargetMode="External"/><Relationship Id="rId269" Type="http://schemas.openxmlformats.org/officeDocument/2006/relationships/hyperlink" Target="http://hudoc.echr.coe.int/eng?i=001-81609" TargetMode="External"/><Relationship Id="rId434" Type="http://schemas.openxmlformats.org/officeDocument/2006/relationships/hyperlink" Target="http://hudoc.echr.coe.int/eng?i=001-68690" TargetMode="External"/><Relationship Id="rId476" Type="http://schemas.openxmlformats.org/officeDocument/2006/relationships/hyperlink" Target="http://hudoc.echr.coe.int/eng?i=001-127680" TargetMode="External"/><Relationship Id="rId641" Type="http://schemas.openxmlformats.org/officeDocument/2006/relationships/hyperlink" Target="http://hudoc.echr.coe.int/eng?i=001-142087" TargetMode="External"/><Relationship Id="rId683" Type="http://schemas.openxmlformats.org/officeDocument/2006/relationships/hyperlink" Target="http://hudoc.echr.coe.int/eng?i=001-71689" TargetMode="External"/><Relationship Id="rId33" Type="http://schemas.openxmlformats.org/officeDocument/2006/relationships/hyperlink" Target="http://hudoc.echr.coe.int/eng?i=001-2003" TargetMode="External"/><Relationship Id="rId129" Type="http://schemas.openxmlformats.org/officeDocument/2006/relationships/hyperlink" Target="http://hudoc.echr.coe.int/eng?i=001-159911" TargetMode="External"/><Relationship Id="rId280" Type="http://schemas.openxmlformats.org/officeDocument/2006/relationships/hyperlink" Target="http://hudoc.echr.coe.int/eng?i=001-62384" TargetMode="External"/><Relationship Id="rId336" Type="http://schemas.openxmlformats.org/officeDocument/2006/relationships/hyperlink" Target="http://hudoc.echr.coe.int/eng?i=001-44428" TargetMode="External"/><Relationship Id="rId501" Type="http://schemas.openxmlformats.org/officeDocument/2006/relationships/hyperlink" Target="http://hudoc.echr.coe.int/eng?i=001-179883" TargetMode="External"/><Relationship Id="rId543" Type="http://schemas.openxmlformats.org/officeDocument/2006/relationships/hyperlink" Target="http://hudoc.echr.coe.int/eng?i=001-98701" TargetMode="External"/><Relationship Id="rId75" Type="http://schemas.openxmlformats.org/officeDocument/2006/relationships/hyperlink" Target="http://hudoc.echr.coe.int/eng?i=001-63911" TargetMode="External"/><Relationship Id="rId140" Type="http://schemas.openxmlformats.org/officeDocument/2006/relationships/hyperlink" Target="http://hudoc.echr.coe.int/eng?i=001-58847" TargetMode="External"/><Relationship Id="rId182" Type="http://schemas.openxmlformats.org/officeDocument/2006/relationships/hyperlink" Target="http://hudoc.echr.coe.int/eng?i=001-63450" TargetMode="External"/><Relationship Id="rId378" Type="http://schemas.openxmlformats.org/officeDocument/2006/relationships/hyperlink" Target="http://hudoc.echr.coe.int/eng?i=001-80615" TargetMode="External"/><Relationship Id="rId403" Type="http://schemas.openxmlformats.org/officeDocument/2006/relationships/hyperlink" Target="http://hudoc.echr.coe.int/eng?i=001-68354" TargetMode="External"/><Relationship Id="rId585" Type="http://schemas.openxmlformats.org/officeDocument/2006/relationships/hyperlink" Target="http://hudoc.echr.coe.int/eng?i=001-80615" TargetMode="External"/><Relationship Id="rId6" Type="http://schemas.openxmlformats.org/officeDocument/2006/relationships/footnotes" Target="footnotes.xml"/><Relationship Id="rId238" Type="http://schemas.openxmlformats.org/officeDocument/2006/relationships/hyperlink" Target="http://hudoc.echr.coe.int/eng?i=001-59353" TargetMode="External"/><Relationship Id="rId445" Type="http://schemas.openxmlformats.org/officeDocument/2006/relationships/hyperlink" Target="http://hudoc.echr.coe.int/eng?i=001-59353" TargetMode="External"/><Relationship Id="rId487" Type="http://schemas.openxmlformats.org/officeDocument/2006/relationships/hyperlink" Target="http://hudoc.echr.coe.int/eng?i=001-158290" TargetMode="External"/><Relationship Id="rId610" Type="http://schemas.openxmlformats.org/officeDocument/2006/relationships/hyperlink" Target="http://hudoc.echr.coe.int/eng?i=001-81608" TargetMode="External"/><Relationship Id="rId652" Type="http://schemas.openxmlformats.org/officeDocument/2006/relationships/hyperlink" Target="http://hudoc.echr.coe.int/eng?i=001-201734" TargetMode="External"/><Relationship Id="rId694" Type="http://schemas.openxmlformats.org/officeDocument/2006/relationships/hyperlink" Target="http://hudoc.echr.coe.int/eng?i=001-74847" TargetMode="External"/><Relationship Id="rId291" Type="http://schemas.openxmlformats.org/officeDocument/2006/relationships/hyperlink" Target="http://hudoc.echr.coe.int/eng?i=001-98701" TargetMode="External"/><Relationship Id="rId305" Type="http://schemas.openxmlformats.org/officeDocument/2006/relationships/hyperlink" Target="http://hudoc.echr.coe.int/eng?i=001-81608" TargetMode="External"/><Relationship Id="rId347" Type="http://schemas.openxmlformats.org/officeDocument/2006/relationships/hyperlink" Target="http://hudoc.echr.coe.int/fre?i=001-98701" TargetMode="External"/><Relationship Id="rId512" Type="http://schemas.openxmlformats.org/officeDocument/2006/relationships/hyperlink" Target="http://hudoc.echr.coe.int/eng?i=001-60891" TargetMode="External"/><Relationship Id="rId44" Type="http://schemas.openxmlformats.org/officeDocument/2006/relationships/hyperlink" Target="http://hudoc.echr.coe.int/eng?i=001-184525" TargetMode="External"/><Relationship Id="rId86" Type="http://schemas.openxmlformats.org/officeDocument/2006/relationships/hyperlink" Target="http://hudoc.echr.coe.int/eng?i=001-98701" TargetMode="External"/><Relationship Id="rId151" Type="http://schemas.openxmlformats.org/officeDocument/2006/relationships/hyperlink" Target="http://hudoc.echr.coe.int/eng?i=001-62427" TargetMode="External"/><Relationship Id="rId389" Type="http://schemas.openxmlformats.org/officeDocument/2006/relationships/hyperlink" Target="http://hudoc.echr.coe.int/eng?i=001-81609" TargetMode="External"/><Relationship Id="rId554" Type="http://schemas.openxmlformats.org/officeDocument/2006/relationships/hyperlink" Target="https://hudoc.echr.coe.int/fre" TargetMode="External"/><Relationship Id="rId596" Type="http://schemas.openxmlformats.org/officeDocument/2006/relationships/hyperlink" Target="http://hudoc.echr.coe.int/eng?i=001-114625" TargetMode="External"/><Relationship Id="rId193" Type="http://schemas.openxmlformats.org/officeDocument/2006/relationships/hyperlink" Target="http://hudoc.echr.coe.int/eng?i=002-3508" TargetMode="External"/><Relationship Id="rId207" Type="http://schemas.openxmlformats.org/officeDocument/2006/relationships/hyperlink" Target="http://hudoc.echr.coe.int/eng?i=001-44221" TargetMode="External"/><Relationship Id="rId249" Type="http://schemas.openxmlformats.org/officeDocument/2006/relationships/hyperlink" Target="http://hudoc.echr.coe.int/fre?i=001-98701" TargetMode="External"/><Relationship Id="rId414" Type="http://schemas.openxmlformats.org/officeDocument/2006/relationships/hyperlink" Target="http://hudoc.echr.coe.int/eng?i=001-108957" TargetMode="External"/><Relationship Id="rId456" Type="http://schemas.openxmlformats.org/officeDocument/2006/relationships/hyperlink" Target="http://hudoc.echr.coe.int/eng?i=001-99990" TargetMode="External"/><Relationship Id="rId498" Type="http://schemas.openxmlformats.org/officeDocument/2006/relationships/hyperlink" Target="http://hudoc.echr.coe.int/eng?i=001-140962" TargetMode="External"/><Relationship Id="rId621" Type="http://schemas.openxmlformats.org/officeDocument/2006/relationships/hyperlink" Target="http://hudoc.echr.coe.int/eng?i=001-88429" TargetMode="External"/><Relationship Id="rId663" Type="http://schemas.openxmlformats.org/officeDocument/2006/relationships/hyperlink" Target="http://hudoc.echr.coe.int/eng?i=001-165250" TargetMode="External"/><Relationship Id="rId13" Type="http://schemas.openxmlformats.org/officeDocument/2006/relationships/hyperlink" Target="http://hudoc.echr.coe.int/eng?i=001-165032" TargetMode="External"/><Relationship Id="rId109" Type="http://schemas.openxmlformats.org/officeDocument/2006/relationships/hyperlink" Target="http://hudoc.echr.coe.int/eng?i=001-57929" TargetMode="External"/><Relationship Id="rId260" Type="http://schemas.openxmlformats.org/officeDocument/2006/relationships/hyperlink" Target="http://hudoc.echr.coe.int/eng?i=001-58068" TargetMode="External"/><Relationship Id="rId316" Type="http://schemas.openxmlformats.org/officeDocument/2006/relationships/hyperlink" Target="http://hudoc.echr.coe.int/eng?i=001-98701" TargetMode="External"/><Relationship Id="rId523" Type="http://schemas.openxmlformats.org/officeDocument/2006/relationships/hyperlink" Target="http://hudoc.echr.coe.int/eng?i=001-165250" TargetMode="External"/><Relationship Id="rId55" Type="http://schemas.openxmlformats.org/officeDocument/2006/relationships/hyperlink" Target="http://hudoc.echr.coe.int/eng?i=001-5523" TargetMode="External"/><Relationship Id="rId97" Type="http://schemas.openxmlformats.org/officeDocument/2006/relationships/hyperlink" Target="http://hudoc.echr.coe.int/fre?i=001-127680" TargetMode="External"/><Relationship Id="rId120" Type="http://schemas.openxmlformats.org/officeDocument/2006/relationships/hyperlink" Target="http://hudoc.echr.coe.int/eng?i=001-104490" TargetMode="External"/><Relationship Id="rId358" Type="http://schemas.openxmlformats.org/officeDocument/2006/relationships/hyperlink" Target="http://hudoc.echr.coe.int/eng?i=001-81609" TargetMode="External"/><Relationship Id="rId565" Type="http://schemas.openxmlformats.org/officeDocument/2006/relationships/hyperlink" Target="http://hudoc.echr.coe.int/eng?i=001-58276" TargetMode="External"/><Relationship Id="rId162" Type="http://schemas.openxmlformats.org/officeDocument/2006/relationships/hyperlink" Target="http://hudoc.echr.coe.int/eng?i=001-210749" TargetMode="External"/><Relationship Id="rId218" Type="http://schemas.openxmlformats.org/officeDocument/2006/relationships/hyperlink" Target="http://hudoc.echr.coe.int/eng?i=001-127697" TargetMode="External"/><Relationship Id="rId425" Type="http://schemas.openxmlformats.org/officeDocument/2006/relationships/hyperlink" Target="http://hudoc.echr.coe.int/eng?i=001-158290" TargetMode="External"/><Relationship Id="rId467" Type="http://schemas.openxmlformats.org/officeDocument/2006/relationships/hyperlink" Target="http://hudoc.echr.coe.int/eng?i=001-57827" TargetMode="External"/><Relationship Id="rId632" Type="http://schemas.openxmlformats.org/officeDocument/2006/relationships/hyperlink" Target="https://hudoc.echr.coe.int/eng?i=001-215180" TargetMode="External"/><Relationship Id="rId271" Type="http://schemas.openxmlformats.org/officeDocument/2006/relationships/hyperlink" Target="http://hudoc.echr.coe.int/eng?i=001-85018" TargetMode="External"/><Relationship Id="rId674" Type="http://schemas.openxmlformats.org/officeDocument/2006/relationships/hyperlink" Target="http://hudoc.echr.coe.int/eng?i=001-98490" TargetMode="External"/><Relationship Id="rId24" Type="http://schemas.openxmlformats.org/officeDocument/2006/relationships/hyperlink" Target="http://hudoc.echr.coe.int/eng?i=001-127680" TargetMode="External"/><Relationship Id="rId66" Type="http://schemas.openxmlformats.org/officeDocument/2006/relationships/hyperlink" Target="http://hudoc.echr.coe.int/eng?i=001-57965" TargetMode="External"/><Relationship Id="rId131" Type="http://schemas.openxmlformats.org/officeDocument/2006/relationships/hyperlink" Target="http://hudoc.echr.coe.int/eng?i=001-187540" TargetMode="External"/><Relationship Id="rId327" Type="http://schemas.openxmlformats.org/officeDocument/2006/relationships/hyperlink" Target="http://hudoc.echr.coe.int/eng?i=001-98669" TargetMode="External"/><Relationship Id="rId369" Type="http://schemas.openxmlformats.org/officeDocument/2006/relationships/hyperlink" Target="http://hudoc.echr.coe.int/eng?i=001-63911" TargetMode="External"/><Relationship Id="rId534" Type="http://schemas.openxmlformats.org/officeDocument/2006/relationships/hyperlink" Target="http://hudoc.echr.coe.int/eng?i=001-122716" TargetMode="External"/><Relationship Id="rId576" Type="http://schemas.openxmlformats.org/officeDocument/2006/relationships/hyperlink" Target="http://hudoc.echr.coe.int/eng?i=001-5523" TargetMode="External"/><Relationship Id="rId173" Type="http://schemas.openxmlformats.org/officeDocument/2006/relationships/hyperlink" Target="http://hudoc.echr.coe.int/fre?i=001-193493" TargetMode="External"/><Relationship Id="rId229" Type="http://schemas.openxmlformats.org/officeDocument/2006/relationships/hyperlink" Target="http://hudoc.echr.coe.int/eng?i=001-60555" TargetMode="External"/><Relationship Id="rId380" Type="http://schemas.openxmlformats.org/officeDocument/2006/relationships/hyperlink" Target="http://hudoc.echr.coe.int/eng?i=001-160432" TargetMode="External"/><Relationship Id="rId436" Type="http://schemas.openxmlformats.org/officeDocument/2006/relationships/hyperlink" Target="http://hudoc.echr.coe.int/eng?i=001-59353" TargetMode="External"/><Relationship Id="rId601" Type="http://schemas.openxmlformats.org/officeDocument/2006/relationships/hyperlink" Target="http://hudoc.echr.coe.int/eng?i=001-96240" TargetMode="External"/><Relationship Id="rId643" Type="http://schemas.openxmlformats.org/officeDocument/2006/relationships/hyperlink" Target="http://hudoc.echr.coe.int/eng?i=001-189625" TargetMode="External"/><Relationship Id="rId240" Type="http://schemas.openxmlformats.org/officeDocument/2006/relationships/hyperlink" Target="http://hudoc.echr.coe.int/fre?i=001-158303" TargetMode="External"/><Relationship Id="rId478" Type="http://schemas.openxmlformats.org/officeDocument/2006/relationships/hyperlink" Target="http://hudoc.echr.coe.int/eng?i=001-127697" TargetMode="External"/><Relationship Id="rId685" Type="http://schemas.openxmlformats.org/officeDocument/2006/relationships/hyperlink" Target="http://hudoc.echr.coe.int/eng?i=001-99990" TargetMode="External"/><Relationship Id="rId35" Type="http://schemas.openxmlformats.org/officeDocument/2006/relationships/hyperlink" Target="http://hudoc.echr.coe.int/eng?i=001-127394" TargetMode="External"/><Relationship Id="rId77" Type="http://schemas.openxmlformats.org/officeDocument/2006/relationships/hyperlink" Target="http://hudoc.echr.coe.int/eng?i=001-105985" TargetMode="External"/><Relationship Id="rId100" Type="http://schemas.openxmlformats.org/officeDocument/2006/relationships/hyperlink" Target="http://hudoc.echr.coe.int/eng?i=001-127680" TargetMode="External"/><Relationship Id="rId282" Type="http://schemas.openxmlformats.org/officeDocument/2006/relationships/hyperlink" Target="http://hudoc.echr.coe.int/eng?i=001-62513" TargetMode="External"/><Relationship Id="rId338" Type="http://schemas.openxmlformats.org/officeDocument/2006/relationships/hyperlink" Target="http://hudoc.echr.coe.int/eng?i=001-98490" TargetMode="External"/><Relationship Id="rId503" Type="http://schemas.openxmlformats.org/officeDocument/2006/relationships/hyperlink" Target="https://hudoc.echr.coe.int/eng?i=001-220960" TargetMode="External"/><Relationship Id="rId545" Type="http://schemas.openxmlformats.org/officeDocument/2006/relationships/hyperlink" Target="http://hudoc.echr.coe.int/eng?i=001-98669" TargetMode="External"/><Relationship Id="rId587" Type="http://schemas.openxmlformats.org/officeDocument/2006/relationships/hyperlink" Target="http://hudoc.echr.coe.int/eng?i=001-57479" TargetMode="External"/><Relationship Id="rId8" Type="http://schemas.openxmlformats.org/officeDocument/2006/relationships/hyperlink" Target="https://app.echr.coe.int/Contact/EchrContactForm/English/41" TargetMode="External"/><Relationship Id="rId142" Type="http://schemas.openxmlformats.org/officeDocument/2006/relationships/hyperlink" Target="http://hudoc.echr.coe.int/eng?i=001-79871" TargetMode="External"/><Relationship Id="rId184" Type="http://schemas.openxmlformats.org/officeDocument/2006/relationships/hyperlink" Target="http://hudoc.echr.coe.int/eng?i=001-117033" TargetMode="External"/><Relationship Id="rId391" Type="http://schemas.openxmlformats.org/officeDocument/2006/relationships/hyperlink" Target="http://hudoc.echr.coe.int/eng?i=001-210874" TargetMode="External"/><Relationship Id="rId405" Type="http://schemas.openxmlformats.org/officeDocument/2006/relationships/hyperlink" Target="http://hudoc.echr.coe.int/eng?i=001-106659" TargetMode="External"/><Relationship Id="rId447" Type="http://schemas.openxmlformats.org/officeDocument/2006/relationships/hyperlink" Target="http://hudoc.echr.coe.int/eng?i=001-63910" TargetMode="External"/><Relationship Id="rId612" Type="http://schemas.openxmlformats.org/officeDocument/2006/relationships/hyperlink" Target="http://hudoc.echr.coe.int/eng?i=001-59352" TargetMode="External"/><Relationship Id="rId251" Type="http://schemas.openxmlformats.org/officeDocument/2006/relationships/hyperlink" Target="http://hudoc.echr.coe.int/eng?i=001-158303" TargetMode="External"/><Relationship Id="rId489" Type="http://schemas.openxmlformats.org/officeDocument/2006/relationships/hyperlink" Target="http://hudoc.echr.coe.int/eng?i=001-75669" TargetMode="External"/><Relationship Id="rId654" Type="http://schemas.openxmlformats.org/officeDocument/2006/relationships/hyperlink" Target="http://hudoc.echr.coe.int/eng?i=001-105985" TargetMode="External"/><Relationship Id="rId696" Type="http://schemas.openxmlformats.org/officeDocument/2006/relationships/hyperlink" Target="http://hudoc.echr.coe.int/eng?i=001-166925" TargetMode="External"/><Relationship Id="rId46" Type="http://schemas.openxmlformats.org/officeDocument/2006/relationships/hyperlink" Target="http://hudoc.echr.coe.int/eng?i=001-184525" TargetMode="External"/><Relationship Id="rId293" Type="http://schemas.openxmlformats.org/officeDocument/2006/relationships/hyperlink" Target="http://hudoc.echr.coe.int/eng?i=001-98669" TargetMode="External"/><Relationship Id="rId307" Type="http://schemas.openxmlformats.org/officeDocument/2006/relationships/hyperlink" Target="http://hudoc.echr.coe.int/eng?i=001-184525" TargetMode="External"/><Relationship Id="rId349" Type="http://schemas.openxmlformats.org/officeDocument/2006/relationships/hyperlink" Target="http://hudoc.echr.coe.int/eng?i=001-98701" TargetMode="External"/><Relationship Id="rId514" Type="http://schemas.openxmlformats.org/officeDocument/2006/relationships/hyperlink" Target="http://hudoc.echr.coe.int/eng?i=001-61628" TargetMode="External"/><Relationship Id="rId556" Type="http://schemas.openxmlformats.org/officeDocument/2006/relationships/hyperlink" Target="http://hudoc.echr.coe.int/eng?i=001-72927" TargetMode="External"/><Relationship Id="rId88" Type="http://schemas.openxmlformats.org/officeDocument/2006/relationships/hyperlink" Target="http://hudoc.echr.coe.int/eng?i=001-98669" TargetMode="External"/><Relationship Id="rId111" Type="http://schemas.openxmlformats.org/officeDocument/2006/relationships/hyperlink" Target="http://hudoc.echr.coe.int/eng?i=001-110210" TargetMode="External"/><Relationship Id="rId153" Type="http://schemas.openxmlformats.org/officeDocument/2006/relationships/hyperlink" Target="http://hudoc.echr.coe.int/eng?i=001-207375" TargetMode="External"/><Relationship Id="rId195" Type="http://schemas.openxmlformats.org/officeDocument/2006/relationships/hyperlink" Target="http://hudoc.echr.coe.int/eng?i=001-65762" TargetMode="External"/><Relationship Id="rId209" Type="http://schemas.openxmlformats.org/officeDocument/2006/relationships/hyperlink" Target="http://hudoc.echr.coe.int/eng?i=001-85018" TargetMode="External"/><Relationship Id="rId360" Type="http://schemas.openxmlformats.org/officeDocument/2006/relationships/hyperlink" Target="http://hudoc.echr.coe.int/eng?i=001-158303" TargetMode="External"/><Relationship Id="rId416" Type="http://schemas.openxmlformats.org/officeDocument/2006/relationships/hyperlink" Target="http://hudoc.echr.coe.int/eng?i=001-80615" TargetMode="External"/><Relationship Id="rId598" Type="http://schemas.openxmlformats.org/officeDocument/2006/relationships/hyperlink" Target="http://hudoc.echr.coe.int/eng?i=001-60555" TargetMode="External"/><Relationship Id="rId220" Type="http://schemas.openxmlformats.org/officeDocument/2006/relationships/hyperlink" Target="http://hudoc.echr.coe.int/eng?i=001-170456" TargetMode="External"/><Relationship Id="rId458" Type="http://schemas.openxmlformats.org/officeDocument/2006/relationships/hyperlink" Target="http://hudoc.echr.coe.int/eng?i=001-113014" TargetMode="External"/><Relationship Id="rId623" Type="http://schemas.openxmlformats.org/officeDocument/2006/relationships/hyperlink" Target="http://hudoc.echr.coe.int/eng?i=001-57518" TargetMode="External"/><Relationship Id="rId665" Type="http://schemas.openxmlformats.org/officeDocument/2006/relationships/hyperlink" Target="http://hudoc.echr.coe.int/eng?i=001-91222" TargetMode="External"/><Relationship Id="rId15" Type="http://schemas.openxmlformats.org/officeDocument/2006/relationships/hyperlink" Target="http://hudoc.echr.coe.int/eng?i=001-69564" TargetMode="External"/><Relationship Id="rId57" Type="http://schemas.openxmlformats.org/officeDocument/2006/relationships/hyperlink" Target="http://hudoc.echr.coe.int/eng?i=001-23517" TargetMode="External"/><Relationship Id="rId262" Type="http://schemas.openxmlformats.org/officeDocument/2006/relationships/hyperlink" Target="http://hudoc.echr.coe.int/fre?i=001-85018" TargetMode="External"/><Relationship Id="rId318" Type="http://schemas.openxmlformats.org/officeDocument/2006/relationships/hyperlink" Target="http://hudoc.echr.coe.int/eng?i=001-98669" TargetMode="External"/><Relationship Id="rId525" Type="http://schemas.openxmlformats.org/officeDocument/2006/relationships/hyperlink" Target="http://hudoc.echr.coe.int/eng?i=001-159911" TargetMode="External"/><Relationship Id="rId567" Type="http://schemas.openxmlformats.org/officeDocument/2006/relationships/hyperlink" Target="http://hudoc.echr.coe.int/eng?i=001-156521" TargetMode="External"/><Relationship Id="rId99" Type="http://schemas.openxmlformats.org/officeDocument/2006/relationships/hyperlink" Target="http://hudoc.echr.coe.int/eng?i=001-210749" TargetMode="External"/><Relationship Id="rId122" Type="http://schemas.openxmlformats.org/officeDocument/2006/relationships/hyperlink" Target="http://hudoc.echr.coe.int/eng?i=001-138580" TargetMode="External"/><Relationship Id="rId164" Type="http://schemas.openxmlformats.org/officeDocument/2006/relationships/hyperlink" Target="http://hudoc.echr.coe.int/eng?i=001-102617" TargetMode="External"/><Relationship Id="rId371" Type="http://schemas.openxmlformats.org/officeDocument/2006/relationships/hyperlink" Target="http://hudoc.echr.coe.int/eng?i=001-98701" TargetMode="External"/><Relationship Id="rId427" Type="http://schemas.openxmlformats.org/officeDocument/2006/relationships/hyperlink" Target="http://hudoc.echr.coe.int/eng?i=001-199075" TargetMode="External"/><Relationship Id="rId469" Type="http://schemas.openxmlformats.org/officeDocument/2006/relationships/hyperlink" Target="http://hudoc.echr.coe.int/eng?i=001-158290" TargetMode="External"/><Relationship Id="rId634" Type="http://schemas.openxmlformats.org/officeDocument/2006/relationships/hyperlink" Target="http://hudoc.echr.coe.int/eng?i=001-24029" TargetMode="External"/><Relationship Id="rId676" Type="http://schemas.openxmlformats.org/officeDocument/2006/relationships/hyperlink" Target="http://hudoc.echr.coe.int/eng?i=001-82257" TargetMode="External"/><Relationship Id="rId26" Type="http://schemas.openxmlformats.org/officeDocument/2006/relationships/hyperlink" Target="http://hudoc.echr.coe.int/eng?i=001-158303" TargetMode="External"/><Relationship Id="rId231" Type="http://schemas.openxmlformats.org/officeDocument/2006/relationships/hyperlink" Target="http://hudoc.echr.coe.int/eng?i=001-207375" TargetMode="External"/><Relationship Id="rId273" Type="http://schemas.openxmlformats.org/officeDocument/2006/relationships/hyperlink" Target="http://hudoc.echr.coe.int/eng?i=001-85019" TargetMode="External"/><Relationship Id="rId329" Type="http://schemas.openxmlformats.org/officeDocument/2006/relationships/hyperlink" Target="http://hudoc.echr.coe.int/eng?i=001-58068" TargetMode="External"/><Relationship Id="rId480" Type="http://schemas.openxmlformats.org/officeDocument/2006/relationships/hyperlink" Target="http://hudoc.echr.coe.int/eng?i=001-91980" TargetMode="External"/><Relationship Id="rId536" Type="http://schemas.openxmlformats.org/officeDocument/2006/relationships/hyperlink" Target="http://hudoc.echr.coe.int/eng?i=001-84538" TargetMode="External"/><Relationship Id="rId701" Type="http://schemas.openxmlformats.org/officeDocument/2006/relationships/header" Target="header3.xml"/><Relationship Id="rId68" Type="http://schemas.openxmlformats.org/officeDocument/2006/relationships/hyperlink" Target="http://hudoc.echr.coe.int/eng?i=001-85019" TargetMode="External"/><Relationship Id="rId133" Type="http://schemas.openxmlformats.org/officeDocument/2006/relationships/hyperlink" Target="http://hudoc.echr.coe.int/eng?i=001-96369" TargetMode="External"/><Relationship Id="rId175" Type="http://schemas.openxmlformats.org/officeDocument/2006/relationships/hyperlink" Target="http://hudoc.echr.coe.int/eng?i=001-94135" TargetMode="External"/><Relationship Id="rId340" Type="http://schemas.openxmlformats.org/officeDocument/2006/relationships/hyperlink" Target="http://hudoc.echr.coe.int/eng?i=001-75548" TargetMode="External"/><Relationship Id="rId578" Type="http://schemas.openxmlformats.org/officeDocument/2006/relationships/hyperlink" Target="http://hudoc.echr.coe.int/eng?i=001-114604" TargetMode="External"/><Relationship Id="rId200" Type="http://schemas.openxmlformats.org/officeDocument/2006/relationships/hyperlink" Target="http://hudoc.echr.coe.int/eng?i=001-592" TargetMode="External"/><Relationship Id="rId382" Type="http://schemas.openxmlformats.org/officeDocument/2006/relationships/hyperlink" Target="http://hudoc.echr.coe.int/eng?i=001-127680" TargetMode="External"/><Relationship Id="rId438" Type="http://schemas.openxmlformats.org/officeDocument/2006/relationships/hyperlink" Target="http://hudoc.echr.coe.int/eng?i=001-158290" TargetMode="External"/><Relationship Id="rId603" Type="http://schemas.openxmlformats.org/officeDocument/2006/relationships/hyperlink" Target="http://hudoc.echr.coe.int/eng?i=001-92442" TargetMode="External"/><Relationship Id="rId645" Type="http://schemas.openxmlformats.org/officeDocument/2006/relationships/hyperlink" Target="http://hudoc.echr.coe.int/eng?i=001-102617" TargetMode="External"/><Relationship Id="rId687" Type="http://schemas.openxmlformats.org/officeDocument/2006/relationships/hyperlink" Target="http://hudoc.echr.coe.int/eng?i=001-128094" TargetMode="External"/><Relationship Id="rId242" Type="http://schemas.openxmlformats.org/officeDocument/2006/relationships/hyperlink" Target="http://hudoc.echr.coe.int/eng?i=001-98701" TargetMode="External"/><Relationship Id="rId284" Type="http://schemas.openxmlformats.org/officeDocument/2006/relationships/hyperlink" Target="http://hudoc.echr.coe.int/eng?i=001-75548" TargetMode="External"/><Relationship Id="rId491" Type="http://schemas.openxmlformats.org/officeDocument/2006/relationships/hyperlink" Target="http://hudoc.echr.coe.int/eng?i=001-92442" TargetMode="External"/><Relationship Id="rId505" Type="http://schemas.openxmlformats.org/officeDocument/2006/relationships/hyperlink" Target="http://hudoc.echr.coe.int/eng?i=001-122716" TargetMode="External"/><Relationship Id="rId37" Type="http://schemas.openxmlformats.org/officeDocument/2006/relationships/hyperlink" Target="http://hudoc.echr.coe.int/eng?i=001-127394" TargetMode="External"/><Relationship Id="rId79" Type="http://schemas.openxmlformats.org/officeDocument/2006/relationships/hyperlink" Target="http://hudoc.echr.coe.int/eng?i=001-59353" TargetMode="External"/><Relationship Id="rId102" Type="http://schemas.openxmlformats.org/officeDocument/2006/relationships/hyperlink" Target="http://hudoc.echr.coe.int/eng?i=001-127697" TargetMode="External"/><Relationship Id="rId144" Type="http://schemas.openxmlformats.org/officeDocument/2006/relationships/hyperlink" Target="http://hudoc.echr.coe.int/eng?i=001-76775" TargetMode="External"/><Relationship Id="rId547" Type="http://schemas.openxmlformats.org/officeDocument/2006/relationships/hyperlink" Target="http://hudoc.echr.coe.int/eng?i=001-58752" TargetMode="External"/><Relationship Id="rId589" Type="http://schemas.openxmlformats.org/officeDocument/2006/relationships/hyperlink" Target="http://hudoc.echr.coe.int/eng?i=001-184525" TargetMode="External"/><Relationship Id="rId90" Type="http://schemas.openxmlformats.org/officeDocument/2006/relationships/hyperlink" Target="http://hudoc.echr.coe.int/eng?i=001-184525" TargetMode="External"/><Relationship Id="rId186" Type="http://schemas.openxmlformats.org/officeDocument/2006/relationships/hyperlink" Target="http://hudoc.echr.coe.int/eng?i=001-158117" TargetMode="External"/><Relationship Id="rId351" Type="http://schemas.openxmlformats.org/officeDocument/2006/relationships/hyperlink" Target="http://hudoc.echr.coe.int/eng?i=001-63910" TargetMode="External"/><Relationship Id="rId393" Type="http://schemas.openxmlformats.org/officeDocument/2006/relationships/hyperlink" Target="http://hudoc.echr.coe.int/eng?i=001-81608" TargetMode="External"/><Relationship Id="rId407" Type="http://schemas.openxmlformats.org/officeDocument/2006/relationships/hyperlink" Target="http://hudoc.echr.coe.int/eng?i=001-81609" TargetMode="External"/><Relationship Id="rId449" Type="http://schemas.openxmlformats.org/officeDocument/2006/relationships/hyperlink" Target="http://hudoc.echr.coe.int/eng?i=001-98701" TargetMode="External"/><Relationship Id="rId614" Type="http://schemas.openxmlformats.org/officeDocument/2006/relationships/hyperlink" Target="http://hudoc.echr.coe.int/eng?i=001-85019" TargetMode="External"/><Relationship Id="rId656" Type="http://schemas.openxmlformats.org/officeDocument/2006/relationships/hyperlink" Target="http://hudoc.echr.coe.int/eng?i=001-117033" TargetMode="External"/><Relationship Id="rId211" Type="http://schemas.openxmlformats.org/officeDocument/2006/relationships/hyperlink" Target="http://hudoc.echr.coe.int/eng?i=001-85019" TargetMode="External"/><Relationship Id="rId253" Type="http://schemas.openxmlformats.org/officeDocument/2006/relationships/hyperlink" Target="http://hudoc.echr.coe.int/eng?i=001-65788" TargetMode="External"/><Relationship Id="rId295" Type="http://schemas.openxmlformats.org/officeDocument/2006/relationships/hyperlink" Target="http://hudoc.echr.coe.int/eng?i=001-58068" TargetMode="External"/><Relationship Id="rId309" Type="http://schemas.openxmlformats.org/officeDocument/2006/relationships/hyperlink" Target="http://hudoc.echr.coe.int/eng?i=001-57827" TargetMode="External"/><Relationship Id="rId460" Type="http://schemas.openxmlformats.org/officeDocument/2006/relationships/hyperlink" Target="http://hudoc.echr.coe.int/eng?i=001-81608" TargetMode="External"/><Relationship Id="rId516" Type="http://schemas.openxmlformats.org/officeDocument/2006/relationships/hyperlink" Target="http://hudoc.echr.coe.int/eng?i=001-72927" TargetMode="External"/><Relationship Id="rId698" Type="http://schemas.openxmlformats.org/officeDocument/2006/relationships/header" Target="header2.xml"/><Relationship Id="rId48" Type="http://schemas.openxmlformats.org/officeDocument/2006/relationships/hyperlink" Target="http://hudoc.echr.coe.int/eng?i=001-78136" TargetMode="External"/><Relationship Id="rId113" Type="http://schemas.openxmlformats.org/officeDocument/2006/relationships/hyperlink" Target="http://hudoc.echr.coe.int/eng?i=001-82257" TargetMode="External"/><Relationship Id="rId320" Type="http://schemas.openxmlformats.org/officeDocument/2006/relationships/hyperlink" Target="http://hudoc.echr.coe.int/eng?i=001-58068" TargetMode="External"/><Relationship Id="rId558" Type="http://schemas.openxmlformats.org/officeDocument/2006/relationships/hyperlink" Target="http://hudoc.echr.coe.int/eng?i=003-6708535-8973165" TargetMode="External"/><Relationship Id="rId155" Type="http://schemas.openxmlformats.org/officeDocument/2006/relationships/hyperlink" Target="http://hudoc.echr.coe.int/eng?i=001-23828" TargetMode="External"/><Relationship Id="rId197" Type="http://schemas.openxmlformats.org/officeDocument/2006/relationships/hyperlink" Target="http://hudoc.echr.coe.int/eng?i=001-85018" TargetMode="External"/><Relationship Id="rId362" Type="http://schemas.openxmlformats.org/officeDocument/2006/relationships/hyperlink" Target="http://hudoc.echr.coe.int/eng?i=001-98701" TargetMode="External"/><Relationship Id="rId418" Type="http://schemas.openxmlformats.org/officeDocument/2006/relationships/hyperlink" Target="http://hudoc.echr.coe.int/eng?i=001-122697" TargetMode="External"/><Relationship Id="rId625" Type="http://schemas.openxmlformats.org/officeDocument/2006/relationships/hyperlink" Target="http://hudoc.echr.coe.int/eng?i=001-57518" TargetMode="External"/><Relationship Id="rId222" Type="http://schemas.openxmlformats.org/officeDocument/2006/relationships/hyperlink" Target="https://hudoc.echr.coe.int/eng?i=001-220960" TargetMode="External"/><Relationship Id="rId264" Type="http://schemas.openxmlformats.org/officeDocument/2006/relationships/hyperlink" Target="http://hudoc.echr.coe.int/eng?i=001-127680" TargetMode="External"/><Relationship Id="rId471" Type="http://schemas.openxmlformats.org/officeDocument/2006/relationships/hyperlink" Target="http://hudoc.echr.coe.int/eng?i=001-57929" TargetMode="External"/><Relationship Id="rId667" Type="http://schemas.openxmlformats.org/officeDocument/2006/relationships/hyperlink" Target="http://hudoc.echr.coe.int/eng?i=001-58752" TargetMode="External"/><Relationship Id="rId17" Type="http://schemas.openxmlformats.org/officeDocument/2006/relationships/hyperlink" Target="https://hudoc.echr.coe.int/eng?i=001-216400" TargetMode="External"/><Relationship Id="rId59" Type="http://schemas.openxmlformats.org/officeDocument/2006/relationships/hyperlink" Target="http://hudoc.echr.coe.int/eng?i=001-160060" TargetMode="External"/><Relationship Id="rId124" Type="http://schemas.openxmlformats.org/officeDocument/2006/relationships/hyperlink" Target="http://hudoc.echr.coe.int/eng?i=001-159782" TargetMode="External"/><Relationship Id="rId527" Type="http://schemas.openxmlformats.org/officeDocument/2006/relationships/hyperlink" Target="http://hudoc.echr.coe.int/eng?i=001-159911" TargetMode="External"/><Relationship Id="rId569" Type="http://schemas.openxmlformats.org/officeDocument/2006/relationships/hyperlink" Target="http://hudoc.echr.coe.int/eng?i=001-148722" TargetMode="External"/><Relationship Id="rId70" Type="http://schemas.openxmlformats.org/officeDocument/2006/relationships/hyperlink" Target="http://hudoc.echr.coe.int/eng?i=001-210874" TargetMode="External"/><Relationship Id="rId166" Type="http://schemas.openxmlformats.org/officeDocument/2006/relationships/hyperlink" Target="http://hudoc.echr.coe.int/eng?i=001-66807" TargetMode="External"/><Relationship Id="rId331" Type="http://schemas.openxmlformats.org/officeDocument/2006/relationships/hyperlink" Target="http://hudoc.echr.coe.int/eng?i=001-69492" TargetMode="External"/><Relationship Id="rId373" Type="http://schemas.openxmlformats.org/officeDocument/2006/relationships/hyperlink" Target="http://hudoc.echr.coe.int/eng?i=001-98669" TargetMode="External"/><Relationship Id="rId429" Type="http://schemas.openxmlformats.org/officeDocument/2006/relationships/hyperlink" Target="http://hudoc.echr.coe.int/eng?i=001-153771" TargetMode="External"/><Relationship Id="rId580" Type="http://schemas.openxmlformats.org/officeDocument/2006/relationships/hyperlink" Target="http://hudoc.echr.coe.int/eng?i=001-153771" TargetMode="External"/><Relationship Id="rId636" Type="http://schemas.openxmlformats.org/officeDocument/2006/relationships/hyperlink" Target="https://hudoc.echr.coe.int/eng?i=001-219943" TargetMode="External"/><Relationship Id="rId1" Type="http://schemas.openxmlformats.org/officeDocument/2006/relationships/customXml" Target="../customXml/item1.xml"/><Relationship Id="rId233" Type="http://schemas.openxmlformats.org/officeDocument/2006/relationships/hyperlink" Target="http://hudoc.echr.coe.int/eng?i=001-59194" TargetMode="External"/><Relationship Id="rId440" Type="http://schemas.openxmlformats.org/officeDocument/2006/relationships/hyperlink" Target="http://hudoc.echr.coe.int/fre?i=001-98701" TargetMode="External"/><Relationship Id="rId678" Type="http://schemas.openxmlformats.org/officeDocument/2006/relationships/hyperlink" Target="http://hudoc.echr.coe.int/eng?i=001-76775" TargetMode="External"/><Relationship Id="rId28" Type="http://schemas.openxmlformats.org/officeDocument/2006/relationships/hyperlink" Target="http://hudoc.echr.coe.int/eng?i=001-158303" TargetMode="External"/><Relationship Id="rId275" Type="http://schemas.openxmlformats.org/officeDocument/2006/relationships/hyperlink" Target="http://hudoc.echr.coe.int/fre?i=001-191226" TargetMode="External"/><Relationship Id="rId300" Type="http://schemas.openxmlformats.org/officeDocument/2006/relationships/hyperlink" Target="http://hudoc.echr.coe.int/fre?i=001-127680" TargetMode="External"/><Relationship Id="rId482" Type="http://schemas.openxmlformats.org/officeDocument/2006/relationships/hyperlink" Target="http://hudoc.echr.coe.int/eng?i=001-158303" TargetMode="External"/><Relationship Id="rId538" Type="http://schemas.openxmlformats.org/officeDocument/2006/relationships/hyperlink" Target="http://hudoc.echr.coe.int/fre?i=001-98701" TargetMode="External"/><Relationship Id="rId703" Type="http://schemas.openxmlformats.org/officeDocument/2006/relationships/fontTable" Target="fontTable.xml"/><Relationship Id="rId81" Type="http://schemas.openxmlformats.org/officeDocument/2006/relationships/hyperlink" Target="http://hudoc.echr.coe.int/eng?i=001-98669" TargetMode="External"/><Relationship Id="rId135" Type="http://schemas.openxmlformats.org/officeDocument/2006/relationships/hyperlink" Target="http://hudoc.echr.coe.int/eng?i=001-78858" TargetMode="External"/><Relationship Id="rId177" Type="http://schemas.openxmlformats.org/officeDocument/2006/relationships/hyperlink" Target="http://hudoc.echr.coe.int/eng?i=001-148722" TargetMode="External"/><Relationship Id="rId342" Type="http://schemas.openxmlformats.org/officeDocument/2006/relationships/hyperlink" Target="http://hudoc.echr.coe.int/eng?i=001-63911" TargetMode="External"/><Relationship Id="rId384" Type="http://schemas.openxmlformats.org/officeDocument/2006/relationships/hyperlink" Target="http://hudoc.echr.coe.int/eng?i=001-127697" TargetMode="External"/><Relationship Id="rId591" Type="http://schemas.openxmlformats.org/officeDocument/2006/relationships/hyperlink" Target="http://hudoc.echr.coe.int/eng?i=001-65788" TargetMode="External"/><Relationship Id="rId605" Type="http://schemas.openxmlformats.org/officeDocument/2006/relationships/hyperlink" Target="http://hudoc.echr.coe.int/eng?i=001-75669" TargetMode="External"/><Relationship Id="rId202" Type="http://schemas.openxmlformats.org/officeDocument/2006/relationships/hyperlink" Target="http://hudoc.echr.coe.int/eng?i=001-114604" TargetMode="External"/><Relationship Id="rId244" Type="http://schemas.openxmlformats.org/officeDocument/2006/relationships/hyperlink" Target="http://hudoc.echr.coe.int/eng?i=001-98701" TargetMode="External"/><Relationship Id="rId647" Type="http://schemas.openxmlformats.org/officeDocument/2006/relationships/hyperlink" Target="http://hudoc.echr.coe.int/eng?i=001-199075" TargetMode="External"/><Relationship Id="rId689" Type="http://schemas.openxmlformats.org/officeDocument/2006/relationships/hyperlink" Target="http://hudoc.echr.coe.int/eng?i=001-60891" TargetMode="External"/><Relationship Id="rId39" Type="http://schemas.openxmlformats.org/officeDocument/2006/relationships/hyperlink" Target="http://hudoc.echr.coe.int/eng?i=001-90753" TargetMode="External"/><Relationship Id="rId286" Type="http://schemas.openxmlformats.org/officeDocument/2006/relationships/hyperlink" Target="http://hudoc.echr.coe.int/eng?i=001-88430" TargetMode="External"/><Relationship Id="rId451" Type="http://schemas.openxmlformats.org/officeDocument/2006/relationships/hyperlink" Target="http://hudoc.echr.coe.int/eng?i=001-98669" TargetMode="External"/><Relationship Id="rId493" Type="http://schemas.openxmlformats.org/officeDocument/2006/relationships/hyperlink" Target="http://hudoc.echr.coe.int/eng?i=001-122664" TargetMode="External"/><Relationship Id="rId507" Type="http://schemas.openxmlformats.org/officeDocument/2006/relationships/hyperlink" Target="http://hudoc.echr.coe.int/eng?i=001-63819" TargetMode="External"/><Relationship Id="rId549" Type="http://schemas.openxmlformats.org/officeDocument/2006/relationships/hyperlink" Target="http://hudoc.echr.coe.int/eng?i=001-80615" TargetMode="External"/><Relationship Id="rId50" Type="http://schemas.openxmlformats.org/officeDocument/2006/relationships/hyperlink" Target="http://hudoc.echr.coe.int/eng?i=001-4888" TargetMode="External"/><Relationship Id="rId104" Type="http://schemas.openxmlformats.org/officeDocument/2006/relationships/hyperlink" Target="http://hudoc.echr.coe.int/eng?i=001-187540" TargetMode="External"/><Relationship Id="rId146" Type="http://schemas.openxmlformats.org/officeDocument/2006/relationships/hyperlink" Target="http://hudoc.echr.coe.int/eng?i=001-114625" TargetMode="External"/><Relationship Id="rId188" Type="http://schemas.openxmlformats.org/officeDocument/2006/relationships/hyperlink" Target="http://hudoc.echr.coe.int/eng?i=001-189625" TargetMode="External"/><Relationship Id="rId311" Type="http://schemas.openxmlformats.org/officeDocument/2006/relationships/hyperlink" Target="http://hudoc.echr.coe.int/eng?i=001-58068" TargetMode="External"/><Relationship Id="rId353" Type="http://schemas.openxmlformats.org/officeDocument/2006/relationships/hyperlink" Target="http://hudoc.echr.coe.int/eng?i=001-127680" TargetMode="External"/><Relationship Id="rId395" Type="http://schemas.openxmlformats.org/officeDocument/2006/relationships/hyperlink" Target="http://hudoc.echr.coe.int/eng?i=001-57955" TargetMode="External"/><Relationship Id="rId409" Type="http://schemas.openxmlformats.org/officeDocument/2006/relationships/hyperlink" Target="http://hudoc.echr.coe.int/eng?i=001-122697" TargetMode="External"/><Relationship Id="rId560" Type="http://schemas.openxmlformats.org/officeDocument/2006/relationships/hyperlink" Target="http://hudoc.echr.coe.int/eng?i=001-108957" TargetMode="External"/><Relationship Id="rId92" Type="http://schemas.openxmlformats.org/officeDocument/2006/relationships/hyperlink" Target="http://hudoc.echr.coe.int/eng?i=001-184525" TargetMode="External"/><Relationship Id="rId213" Type="http://schemas.openxmlformats.org/officeDocument/2006/relationships/hyperlink" Target="http://hudoc.echr.coe.int/eng?i=001-96389" TargetMode="External"/><Relationship Id="rId420" Type="http://schemas.openxmlformats.org/officeDocument/2006/relationships/hyperlink" Target="http://hudoc.echr.coe.int/eng?i=001-81609" TargetMode="External"/><Relationship Id="rId616" Type="http://schemas.openxmlformats.org/officeDocument/2006/relationships/hyperlink" Target="http://hudoc.echr.coe.int/eng?i=001-122697" TargetMode="External"/><Relationship Id="rId658" Type="http://schemas.openxmlformats.org/officeDocument/2006/relationships/hyperlink" Target="http://hudoc.echr.coe.int/eng?i=001-61686" TargetMode="External"/><Relationship Id="rId255" Type="http://schemas.openxmlformats.org/officeDocument/2006/relationships/hyperlink" Target="http://hudoc.echr.coe.int/eng?i=001-62828" TargetMode="External"/><Relationship Id="rId297" Type="http://schemas.openxmlformats.org/officeDocument/2006/relationships/hyperlink" Target="http://hudoc.echr.coe.int/fre?i=001-85018" TargetMode="External"/><Relationship Id="rId462" Type="http://schemas.openxmlformats.org/officeDocument/2006/relationships/hyperlink" Target="http://hudoc.echr.coe.int/eng?i=001-113014" TargetMode="External"/><Relationship Id="rId518" Type="http://schemas.openxmlformats.org/officeDocument/2006/relationships/hyperlink" Target="http://hudoc.echr.coe.int/eng?i=001-94135" TargetMode="External"/><Relationship Id="rId115" Type="http://schemas.openxmlformats.org/officeDocument/2006/relationships/hyperlink" Target="http://hudoc.echr.coe.int/eng?i=001-128094" TargetMode="External"/><Relationship Id="rId157" Type="http://schemas.openxmlformats.org/officeDocument/2006/relationships/hyperlink" Target="http://hudoc.echr.coe.int/eng?i=001-93802" TargetMode="External"/><Relationship Id="rId322" Type="http://schemas.openxmlformats.org/officeDocument/2006/relationships/hyperlink" Target="http://hudoc.echr.coe.int/eng?i=001-58068" TargetMode="External"/><Relationship Id="rId364" Type="http://schemas.openxmlformats.org/officeDocument/2006/relationships/hyperlink" Target="http://hudoc.echr.coe.int/eng?i=001-99990" TargetMode="External"/><Relationship Id="rId61" Type="http://schemas.openxmlformats.org/officeDocument/2006/relationships/hyperlink" Target="http://hudoc.echr.coe.int/eng?i=001-102617" TargetMode="External"/><Relationship Id="rId199" Type="http://schemas.openxmlformats.org/officeDocument/2006/relationships/hyperlink" Target="http://hudoc.echr.coe.int/eng?i=001-85019" TargetMode="External"/><Relationship Id="rId571" Type="http://schemas.openxmlformats.org/officeDocument/2006/relationships/hyperlink" Target="http://hudoc.echr.coe.int/eng?i=001-4888" TargetMode="External"/><Relationship Id="rId627" Type="http://schemas.openxmlformats.org/officeDocument/2006/relationships/hyperlink" Target="http://hudoc.echr.coe.int/eng?i=001-2003" TargetMode="External"/><Relationship Id="rId669" Type="http://schemas.openxmlformats.org/officeDocument/2006/relationships/hyperlink" Target="http://hudoc.echr.coe.int/eng?i=001-110794"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2" Type="http://schemas.openxmlformats.org/officeDocument/2006/relationships/hyperlink" Target="http://www.echr.coe.int/Pages/home.aspx?p=caselaw/analysis/guides&amp;c=" TargetMode="External"/><Relationship Id="rId1" Type="http://schemas.openxmlformats.org/officeDocument/2006/relationships/hyperlink" Target="http://www.echr.coe.int/Documents/Guide_Art_6_criminal_ENG.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3C3BF-24AE-42A3-AF91-4A86F5F07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21618</Words>
  <Characters>123226</Characters>
  <Application>Microsoft Office Word</Application>
  <DocSecurity>0</DocSecurity>
  <Lines>1026</Lines>
  <Paragraphs>289</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144555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Case-Law_Guide_Article_7_RO_31.08.2023</dc:subject>
  <dc:creator/>
  <cp:lastModifiedBy/>
  <cp:revision>1</cp:revision>
  <dcterms:created xsi:type="dcterms:W3CDTF">2024-03-05T11:23:00Z</dcterms:created>
  <dcterms:modified xsi:type="dcterms:W3CDTF">2024-03-28T09:33:00Z</dcterms:modified>
</cp:coreProperties>
</file>