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8" w:type="dxa"/>
        <w:tblLayout w:type="fixed"/>
        <w:tblLook w:val="04A0" w:firstRow="1" w:lastRow="0" w:firstColumn="1" w:lastColumn="0" w:noHBand="0" w:noVBand="1"/>
      </w:tblPr>
      <w:tblGrid>
        <w:gridCol w:w="1589"/>
        <w:gridCol w:w="5040"/>
        <w:gridCol w:w="2949"/>
      </w:tblGrid>
      <w:tr w:rsidR="00026FF2" w:rsidRPr="00026FF2" w:rsidTr="0016597E">
        <w:trPr>
          <w:trHeight w:val="1578"/>
        </w:trPr>
        <w:tc>
          <w:tcPr>
            <w:tcW w:w="1589" w:type="dxa"/>
            <w:shd w:val="clear" w:color="auto" w:fill="auto"/>
          </w:tcPr>
          <w:p w:rsidR="00026FF2" w:rsidRPr="00026FF2" w:rsidRDefault="00026FF2" w:rsidP="00026FF2">
            <w:pPr>
              <w:spacing w:after="0" w:line="240" w:lineRule="auto"/>
              <w:rPr>
                <w:rFonts w:eastAsia="Times New Roman" w:cs="Times New Roman"/>
                <w:bCs w:val="0"/>
                <w:i/>
                <w:szCs w:val="24"/>
                <w:highlight w:val="red"/>
                <w:lang w:eastAsia="ro-RO"/>
              </w:rPr>
            </w:pPr>
            <w:r>
              <w:rPr>
                <w:rFonts w:eastAsia="Times New Roman" w:cs="Times New Roman"/>
                <w:bCs w:val="0"/>
                <w:i/>
                <w:noProof/>
                <w:szCs w:val="24"/>
                <w:lang w:eastAsia="ro-RO"/>
              </w:rPr>
              <w:drawing>
                <wp:inline distT="0" distB="0" distL="0" distR="0">
                  <wp:extent cx="838200" cy="838200"/>
                  <wp:effectExtent l="0" t="0" r="0" b="0"/>
                  <wp:docPr id="4" name="Picture 4" descr="Description: balant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alanta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5040" w:type="dxa"/>
            <w:shd w:val="clear" w:color="auto" w:fill="auto"/>
          </w:tcPr>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proofErr w:type="spellStart"/>
            <w:r w:rsidRPr="00026FF2">
              <w:rPr>
                <w:rFonts w:ascii="Verdana" w:eastAsia="Times New Roman" w:hAnsi="Verdana" w:cs="Times New Roman"/>
                <w:b/>
                <w:bCs w:val="0"/>
                <w:i/>
                <w:sz w:val="20"/>
                <w:szCs w:val="20"/>
                <w:lang w:val="en-US" w:eastAsia="ro-RO"/>
              </w:rPr>
              <w:t>Tribunalul</w:t>
            </w:r>
            <w:proofErr w:type="spellEnd"/>
            <w:r w:rsidRPr="00026FF2">
              <w:rPr>
                <w:rFonts w:ascii="Verdana" w:eastAsia="Times New Roman" w:hAnsi="Verdana" w:cs="Times New Roman"/>
                <w:b/>
                <w:bCs w:val="0"/>
                <w:i/>
                <w:sz w:val="20"/>
                <w:szCs w:val="20"/>
                <w:lang w:val="en-US" w:eastAsia="ro-RO"/>
              </w:rPr>
              <w:t xml:space="preserve"> </w:t>
            </w:r>
            <w:proofErr w:type="spellStart"/>
            <w:r w:rsidRPr="00026FF2">
              <w:rPr>
                <w:rFonts w:ascii="Verdana" w:eastAsia="Times New Roman" w:hAnsi="Verdana" w:cs="Times New Roman"/>
                <w:b/>
                <w:bCs w:val="0"/>
                <w:i/>
                <w:sz w:val="20"/>
                <w:szCs w:val="20"/>
                <w:lang w:val="en-US" w:eastAsia="ro-RO"/>
              </w:rPr>
              <w:t>Dâmboviţa</w:t>
            </w:r>
            <w:proofErr w:type="spellEnd"/>
            <w:r w:rsidRPr="00026FF2">
              <w:rPr>
                <w:rFonts w:ascii="Verdana" w:eastAsia="Times New Roman" w:hAnsi="Verdana" w:cs="Times New Roman"/>
                <w:b/>
                <w:bCs w:val="0"/>
                <w:i/>
                <w:sz w:val="20"/>
                <w:szCs w:val="20"/>
                <w:lang w:val="en-US" w:eastAsia="ro-RO"/>
              </w:rPr>
              <w:br/>
            </w:r>
            <w:r w:rsidRPr="00026FF2">
              <w:rPr>
                <w:rFonts w:ascii="Verdana" w:eastAsia="Times New Roman" w:hAnsi="Verdana" w:cs="Times New Roman"/>
                <w:bCs w:val="0"/>
                <w:i/>
                <w:sz w:val="20"/>
                <w:szCs w:val="20"/>
                <w:lang w:eastAsia="ro-RO"/>
              </w:rPr>
              <w:t>Biroul de Informare și Relații Publice,</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Municipiul Târgovişte, Str. Calea Bucureşti,</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Nr. 3, Jud. Dâmboviţa, Tel: 0245612344,</w:t>
            </w:r>
          </w:p>
          <w:p w:rsidR="00026FF2" w:rsidRPr="00026FF2" w:rsidRDefault="00026FF2" w:rsidP="00026FF2">
            <w:pPr>
              <w:tabs>
                <w:tab w:val="center" w:pos="4536"/>
                <w:tab w:val="right" w:pos="9072"/>
              </w:tabs>
              <w:spacing w:after="0" w:line="240" w:lineRule="auto"/>
              <w:jc w:val="center"/>
              <w:rPr>
                <w:rFonts w:ascii="Verdana" w:eastAsia="Times New Roman" w:hAnsi="Verdana" w:cs="Times New Roman"/>
                <w:bCs w:val="0"/>
                <w:i/>
                <w:sz w:val="20"/>
                <w:szCs w:val="20"/>
                <w:lang w:eastAsia="ro-RO"/>
              </w:rPr>
            </w:pPr>
            <w:r w:rsidRPr="00026FF2">
              <w:rPr>
                <w:rFonts w:ascii="Verdana" w:eastAsia="Times New Roman" w:hAnsi="Verdana" w:cs="Times New Roman"/>
                <w:bCs w:val="0"/>
                <w:i/>
                <w:sz w:val="20"/>
                <w:szCs w:val="20"/>
                <w:lang w:eastAsia="ro-RO"/>
              </w:rPr>
              <w:t>E-mail: tr-dambovita-brp@just.ro,</w:t>
            </w:r>
          </w:p>
          <w:p w:rsidR="00026FF2" w:rsidRPr="00026FF2" w:rsidRDefault="00026FF2" w:rsidP="00026FF2">
            <w:pPr>
              <w:tabs>
                <w:tab w:val="center" w:pos="4536"/>
                <w:tab w:val="right" w:pos="9072"/>
              </w:tabs>
              <w:spacing w:after="0" w:line="240" w:lineRule="auto"/>
              <w:jc w:val="center"/>
              <w:rPr>
                <w:rFonts w:ascii="Monotype Corsiva" w:eastAsia="Times New Roman" w:hAnsi="Monotype Corsiva" w:cs="Times New Roman"/>
                <w:bCs w:val="0"/>
                <w:i/>
                <w:sz w:val="20"/>
                <w:szCs w:val="20"/>
                <w:lang w:eastAsia="ro-RO"/>
              </w:rPr>
            </w:pPr>
            <w:r w:rsidRPr="00026FF2">
              <w:rPr>
                <w:rFonts w:ascii="Verdana" w:eastAsia="Times New Roman" w:hAnsi="Verdana" w:cs="Times New Roman"/>
                <w:bCs w:val="0"/>
                <w:i/>
                <w:sz w:val="20"/>
                <w:szCs w:val="20"/>
                <w:lang w:eastAsia="ro-RO"/>
              </w:rPr>
              <w:t xml:space="preserve">Web: </w:t>
            </w:r>
            <w:hyperlink r:id="rId7" w:history="1">
              <w:r w:rsidRPr="00026FF2">
                <w:rPr>
                  <w:rFonts w:ascii="Verdana" w:eastAsia="Times New Roman" w:hAnsi="Verdana" w:cs="Times New Roman"/>
                  <w:bCs w:val="0"/>
                  <w:i/>
                  <w:color w:val="0000FF"/>
                  <w:sz w:val="20"/>
                  <w:szCs w:val="20"/>
                  <w:u w:val="single"/>
                  <w:lang w:eastAsia="ro-RO"/>
                </w:rPr>
                <w:t>http://portal.just.ro/</w:t>
              </w:r>
            </w:hyperlink>
          </w:p>
        </w:tc>
        <w:tc>
          <w:tcPr>
            <w:tcW w:w="2949" w:type="dxa"/>
            <w:shd w:val="clear" w:color="auto" w:fill="auto"/>
          </w:tcPr>
          <w:p w:rsidR="00026FF2" w:rsidRPr="00026FF2" w:rsidRDefault="00026FF2" w:rsidP="00026FF2">
            <w:pPr>
              <w:spacing w:after="0" w:line="240" w:lineRule="auto"/>
              <w:jc w:val="right"/>
              <w:rPr>
                <w:rFonts w:eastAsia="Times New Roman" w:cs="Times New Roman"/>
                <w:bCs w:val="0"/>
                <w:i/>
                <w:szCs w:val="24"/>
                <w:lang w:eastAsia="ro-RO"/>
              </w:rPr>
            </w:pPr>
          </w:p>
        </w:tc>
      </w:tr>
    </w:tbl>
    <w:p w:rsidR="00026FF2" w:rsidRDefault="001E6CE0" w:rsidP="00026FF2">
      <w:pPr>
        <w:rPr>
          <w:b/>
          <w:szCs w:val="24"/>
        </w:rPr>
      </w:pPr>
      <w:r>
        <w:rPr>
          <w:b/>
          <w:szCs w:val="24"/>
        </w:rPr>
        <w:t xml:space="preserve"> </w:t>
      </w:r>
      <w:r w:rsidR="00702751">
        <w:rPr>
          <w:b/>
          <w:szCs w:val="24"/>
        </w:rPr>
        <w:t>1204</w:t>
      </w:r>
      <w:r w:rsidR="00295B05">
        <w:rPr>
          <w:b/>
          <w:szCs w:val="24"/>
        </w:rPr>
        <w:t>/</w:t>
      </w:r>
      <w:r>
        <w:rPr>
          <w:b/>
          <w:szCs w:val="24"/>
        </w:rPr>
        <w:t>A/10.</w:t>
      </w:r>
      <w:r w:rsidR="00F44267">
        <w:rPr>
          <w:b/>
          <w:szCs w:val="24"/>
        </w:rPr>
        <w:t>02</w:t>
      </w:r>
      <w:r w:rsidR="00C37D15">
        <w:rPr>
          <w:b/>
          <w:szCs w:val="24"/>
        </w:rPr>
        <w:t>.20</w:t>
      </w:r>
      <w:r w:rsidR="004E7E9C">
        <w:rPr>
          <w:b/>
          <w:szCs w:val="24"/>
        </w:rPr>
        <w:t>20</w:t>
      </w:r>
    </w:p>
    <w:p w:rsidR="00ED52DF" w:rsidRDefault="00ED52DF" w:rsidP="00026FF2">
      <w:pPr>
        <w:rPr>
          <w:b/>
          <w:szCs w:val="24"/>
        </w:rPr>
      </w:pPr>
    </w:p>
    <w:p w:rsidR="00ED52DF" w:rsidRDefault="00ED52DF" w:rsidP="00026FF2">
      <w:pPr>
        <w:rPr>
          <w:b/>
          <w:szCs w:val="24"/>
        </w:rPr>
      </w:pPr>
    </w:p>
    <w:p w:rsidR="00ED52DF" w:rsidRPr="00026FF2" w:rsidRDefault="00ED52DF" w:rsidP="00026FF2">
      <w:pPr>
        <w:rPr>
          <w:b/>
          <w:sz w:val="28"/>
          <w:szCs w:val="28"/>
        </w:rPr>
      </w:pPr>
    </w:p>
    <w:p w:rsidR="00026FF2" w:rsidRDefault="00026FF2" w:rsidP="00026FF2">
      <w:pPr>
        <w:jc w:val="center"/>
        <w:rPr>
          <w:b/>
          <w:sz w:val="28"/>
          <w:szCs w:val="28"/>
        </w:rPr>
      </w:pPr>
      <w:r w:rsidRPr="00026FF2">
        <w:rPr>
          <w:b/>
          <w:sz w:val="28"/>
          <w:szCs w:val="28"/>
        </w:rPr>
        <w:t>COMUNICAT  DE  PRESĂ</w:t>
      </w:r>
    </w:p>
    <w:p w:rsidR="00693658" w:rsidRDefault="00693658" w:rsidP="00026FF2">
      <w:pPr>
        <w:jc w:val="center"/>
        <w:rPr>
          <w:b/>
          <w:sz w:val="28"/>
          <w:szCs w:val="28"/>
        </w:rPr>
      </w:pPr>
    </w:p>
    <w:p w:rsidR="00693658" w:rsidRDefault="00693658" w:rsidP="00026FF2">
      <w:pPr>
        <w:jc w:val="center"/>
        <w:rPr>
          <w:b/>
          <w:sz w:val="28"/>
          <w:szCs w:val="28"/>
        </w:rPr>
      </w:pPr>
    </w:p>
    <w:p w:rsidR="00693658" w:rsidRDefault="00033A55" w:rsidP="00693658">
      <w:pPr>
        <w:spacing w:line="360" w:lineRule="auto"/>
        <w:ind w:firstLine="708"/>
        <w:jc w:val="both"/>
        <w:rPr>
          <w:sz w:val="28"/>
          <w:szCs w:val="28"/>
        </w:rPr>
      </w:pPr>
      <w:r>
        <w:rPr>
          <w:sz w:val="28"/>
          <w:szCs w:val="28"/>
        </w:rPr>
        <w:t xml:space="preserve">Prin Hotărârea nr. 3 din data </w:t>
      </w:r>
      <w:r w:rsidR="00F8423C">
        <w:rPr>
          <w:sz w:val="28"/>
          <w:szCs w:val="28"/>
        </w:rPr>
        <w:t>de</w:t>
      </w:r>
      <w:r w:rsidR="00125F37">
        <w:rPr>
          <w:sz w:val="28"/>
          <w:szCs w:val="28"/>
        </w:rPr>
        <w:t xml:space="preserve"> </w:t>
      </w:r>
      <w:r w:rsidR="00F44267">
        <w:rPr>
          <w:sz w:val="28"/>
          <w:szCs w:val="28"/>
        </w:rPr>
        <w:t>10 februarie</w:t>
      </w:r>
      <w:r w:rsidR="00F8423C" w:rsidRPr="00F8423C">
        <w:rPr>
          <w:sz w:val="28"/>
          <w:szCs w:val="28"/>
        </w:rPr>
        <w:t xml:space="preserve"> 20</w:t>
      </w:r>
      <w:r w:rsidR="004E7E9C">
        <w:rPr>
          <w:sz w:val="28"/>
          <w:szCs w:val="28"/>
        </w:rPr>
        <w:t>20</w:t>
      </w:r>
      <w:r w:rsidR="00AF01A7">
        <w:rPr>
          <w:sz w:val="28"/>
          <w:szCs w:val="28"/>
        </w:rPr>
        <w:t xml:space="preserve"> </w:t>
      </w:r>
      <w:r>
        <w:rPr>
          <w:sz w:val="28"/>
          <w:szCs w:val="28"/>
        </w:rPr>
        <w:t>a Adună</w:t>
      </w:r>
      <w:r w:rsidR="00693658" w:rsidRPr="00693658">
        <w:rPr>
          <w:sz w:val="28"/>
          <w:szCs w:val="28"/>
        </w:rPr>
        <w:t>r</w:t>
      </w:r>
      <w:r>
        <w:rPr>
          <w:sz w:val="28"/>
          <w:szCs w:val="28"/>
        </w:rPr>
        <w:t xml:space="preserve">ii </w:t>
      </w:r>
      <w:r w:rsidR="00693658" w:rsidRPr="00693658">
        <w:rPr>
          <w:sz w:val="28"/>
          <w:szCs w:val="28"/>
        </w:rPr>
        <w:t>gener</w:t>
      </w:r>
      <w:r>
        <w:rPr>
          <w:sz w:val="28"/>
          <w:szCs w:val="28"/>
        </w:rPr>
        <w:t>ale</w:t>
      </w:r>
      <w:r w:rsidR="00693658">
        <w:rPr>
          <w:sz w:val="28"/>
          <w:szCs w:val="28"/>
        </w:rPr>
        <w:t xml:space="preserve"> a judecătorilor din cadrul Tribunalului Dâmboviţa</w:t>
      </w:r>
      <w:r w:rsidR="00F8423C">
        <w:rPr>
          <w:sz w:val="28"/>
          <w:szCs w:val="28"/>
        </w:rPr>
        <w:t xml:space="preserve">, </w:t>
      </w:r>
      <w:r>
        <w:rPr>
          <w:sz w:val="28"/>
          <w:szCs w:val="28"/>
        </w:rPr>
        <w:t xml:space="preserve">s-au </w:t>
      </w:r>
      <w:r w:rsidR="001A036A">
        <w:rPr>
          <w:sz w:val="28"/>
          <w:szCs w:val="28"/>
        </w:rPr>
        <w:t xml:space="preserve">stabilit </w:t>
      </w:r>
      <w:r w:rsidR="00693658">
        <w:rPr>
          <w:sz w:val="28"/>
          <w:szCs w:val="28"/>
        </w:rPr>
        <w:t>următoarele:</w:t>
      </w:r>
    </w:p>
    <w:p w:rsidR="00702751" w:rsidRDefault="00702751" w:rsidP="00702751">
      <w:pPr>
        <w:spacing w:line="360" w:lineRule="auto"/>
        <w:ind w:firstLine="708"/>
        <w:jc w:val="both"/>
        <w:rPr>
          <w:i/>
          <w:sz w:val="28"/>
          <w:szCs w:val="28"/>
        </w:rPr>
      </w:pPr>
      <w:r w:rsidRPr="00A57438">
        <w:rPr>
          <w:sz w:val="28"/>
          <w:szCs w:val="28"/>
        </w:rPr>
        <w:t>„</w:t>
      </w:r>
      <w:r w:rsidRPr="00702751">
        <w:rPr>
          <w:b/>
          <w:i/>
          <w:sz w:val="28"/>
          <w:szCs w:val="28"/>
        </w:rPr>
        <w:t>Art. 1.</w:t>
      </w:r>
      <w:r w:rsidRPr="00702751">
        <w:rPr>
          <w:i/>
          <w:sz w:val="28"/>
          <w:szCs w:val="28"/>
        </w:rPr>
        <w:t xml:space="preserve">  Suspendarea formei de protest adoptată prin Hotărârea nr. 1 din data de 21/01/2020, începând cu data de 17.02.2020, până la pronunțarea de către Curtea Constituțională a României asupra sesizării privind neconstituționalitatea Legii prin care au fost abrogate pensiile speciale.</w:t>
      </w:r>
      <w:r w:rsidRPr="00702751">
        <w:rPr>
          <w:i/>
          <w:sz w:val="28"/>
          <w:szCs w:val="28"/>
        </w:rPr>
        <w:tab/>
      </w:r>
    </w:p>
    <w:p w:rsidR="00702751" w:rsidRPr="00702751" w:rsidRDefault="00702751" w:rsidP="00702751">
      <w:pPr>
        <w:spacing w:line="360" w:lineRule="auto"/>
        <w:ind w:firstLine="708"/>
        <w:jc w:val="both"/>
        <w:rPr>
          <w:i/>
          <w:sz w:val="28"/>
          <w:szCs w:val="28"/>
        </w:rPr>
      </w:pPr>
      <w:r w:rsidRPr="00702751">
        <w:rPr>
          <w:b/>
          <w:i/>
          <w:sz w:val="28"/>
          <w:szCs w:val="28"/>
        </w:rPr>
        <w:t>Art. 2.</w:t>
      </w:r>
      <w:r w:rsidRPr="00702751">
        <w:rPr>
          <w:i/>
          <w:sz w:val="28"/>
          <w:szCs w:val="28"/>
        </w:rPr>
        <w:t xml:space="preserve"> Sesizarea Consiliul Superior al Magistraturii și a Ministerului Justiției, pentru că temeiul atribuțiile legale ce le revin, să realizeze demersuri efective pentru soluționarea de urgență a următoarelor probleme ce țin de independența sistemului judiciar:</w:t>
      </w:r>
    </w:p>
    <w:p w:rsidR="00702751" w:rsidRPr="00702751" w:rsidRDefault="00702751" w:rsidP="00702751">
      <w:pPr>
        <w:numPr>
          <w:ilvl w:val="0"/>
          <w:numId w:val="5"/>
        </w:numPr>
        <w:spacing w:line="360" w:lineRule="auto"/>
        <w:jc w:val="both"/>
        <w:rPr>
          <w:i/>
          <w:sz w:val="28"/>
          <w:szCs w:val="28"/>
        </w:rPr>
      </w:pPr>
      <w:r w:rsidRPr="00702751">
        <w:rPr>
          <w:i/>
          <w:sz w:val="28"/>
          <w:szCs w:val="28"/>
        </w:rPr>
        <w:t>Încetarea atacului factorului politic la adresa statului de drept şi a Statutului Judecătorului, acţiune ce reprezintă o încălcare gravă a independenţei puterii judecătoreşti şi a principiului constituţional al separării puterilor în stat.</w:t>
      </w:r>
    </w:p>
    <w:p w:rsidR="00702751" w:rsidRPr="00702751" w:rsidRDefault="00702751" w:rsidP="00702751">
      <w:pPr>
        <w:numPr>
          <w:ilvl w:val="0"/>
          <w:numId w:val="5"/>
        </w:numPr>
        <w:spacing w:line="360" w:lineRule="auto"/>
        <w:jc w:val="both"/>
        <w:rPr>
          <w:i/>
          <w:sz w:val="28"/>
          <w:szCs w:val="28"/>
        </w:rPr>
      </w:pPr>
      <w:r w:rsidRPr="00702751">
        <w:rPr>
          <w:i/>
          <w:sz w:val="28"/>
          <w:szCs w:val="28"/>
        </w:rPr>
        <w:t>Normarea activităţi prin stabilirea unui volum optim, în vederea evitării suprasolicitării fizice şi psihice şi a creşterii calităţii actului de justiţie ţinând seama şi de volumul de activitate a unui judecător la nivelul Uniunii Europene.</w:t>
      </w:r>
    </w:p>
    <w:p w:rsidR="00702751" w:rsidRPr="00702751" w:rsidRDefault="00702751" w:rsidP="00702751">
      <w:pPr>
        <w:numPr>
          <w:ilvl w:val="0"/>
          <w:numId w:val="5"/>
        </w:numPr>
        <w:spacing w:line="360" w:lineRule="auto"/>
        <w:jc w:val="both"/>
        <w:rPr>
          <w:i/>
          <w:sz w:val="28"/>
          <w:szCs w:val="28"/>
        </w:rPr>
      </w:pPr>
      <w:r w:rsidRPr="00702751">
        <w:rPr>
          <w:i/>
          <w:sz w:val="28"/>
          <w:szCs w:val="28"/>
        </w:rPr>
        <w:lastRenderedPageBreak/>
        <w:t>Asigurarea resurselor materiale necesare desfăşurării în condiţii normale a activităţii instanţelor de judecată şi asigurarea independenţei financiare a sistemului judiciar prin preluarea bugetului de către Consiliul Superior al Magistraturii.</w:t>
      </w:r>
    </w:p>
    <w:p w:rsidR="00702751" w:rsidRPr="00702751" w:rsidRDefault="00702751" w:rsidP="00702751">
      <w:pPr>
        <w:numPr>
          <w:ilvl w:val="0"/>
          <w:numId w:val="5"/>
        </w:numPr>
        <w:spacing w:line="360" w:lineRule="auto"/>
        <w:jc w:val="both"/>
        <w:rPr>
          <w:i/>
          <w:sz w:val="28"/>
          <w:szCs w:val="28"/>
        </w:rPr>
      </w:pPr>
      <w:r w:rsidRPr="00702751">
        <w:rPr>
          <w:i/>
          <w:sz w:val="28"/>
          <w:szCs w:val="28"/>
        </w:rPr>
        <w:t xml:space="preserve">Asigurarea resurselor umane necesare înfăptuirii în condiţii optime a actului de justiţie prin raportare la volumul de activitate al fiecărui judecător şi legislaţia în continuă schimbare. Suplimentarea schemelor în privinţa posturilor de grefier raportat la acelaşi volum mare de activitate şi ţinând seama de atribuţiile tot mai numeroase ale personalului auxiliar. </w:t>
      </w:r>
    </w:p>
    <w:p w:rsidR="00702751" w:rsidRDefault="00702751" w:rsidP="00702751">
      <w:pPr>
        <w:numPr>
          <w:ilvl w:val="0"/>
          <w:numId w:val="5"/>
        </w:numPr>
        <w:spacing w:line="360" w:lineRule="auto"/>
        <w:jc w:val="both"/>
        <w:rPr>
          <w:i/>
          <w:sz w:val="28"/>
          <w:szCs w:val="28"/>
        </w:rPr>
      </w:pPr>
      <w:r w:rsidRPr="00702751">
        <w:rPr>
          <w:i/>
          <w:sz w:val="28"/>
          <w:szCs w:val="28"/>
        </w:rPr>
        <w:t>Reglementarea şi compensarea timpului de muncă suplimentar pentru activităţile prestate de magistraţi în afara programului de lucru şi pe parcursul zilelor nelucrătoare sau de sărbători legale.”</w:t>
      </w:r>
    </w:p>
    <w:p w:rsidR="00702751" w:rsidRPr="00702751" w:rsidRDefault="00702751" w:rsidP="001A036A">
      <w:pPr>
        <w:spacing w:line="360" w:lineRule="auto"/>
        <w:ind w:left="720" w:firstLine="360"/>
        <w:jc w:val="both"/>
        <w:rPr>
          <w:sz w:val="28"/>
          <w:szCs w:val="28"/>
        </w:rPr>
      </w:pPr>
      <w:r>
        <w:rPr>
          <w:sz w:val="28"/>
          <w:szCs w:val="28"/>
        </w:rPr>
        <w:t xml:space="preserve">Prin  urmare, începând cu data de </w:t>
      </w:r>
      <w:r w:rsidRPr="002C31E6">
        <w:rPr>
          <w:b/>
          <w:sz w:val="28"/>
          <w:szCs w:val="28"/>
        </w:rPr>
        <w:t>17.02.2020</w:t>
      </w:r>
      <w:r w:rsidR="002C31E6">
        <w:rPr>
          <w:b/>
          <w:sz w:val="28"/>
          <w:szCs w:val="28"/>
        </w:rPr>
        <w:t>,</w:t>
      </w:r>
      <w:r>
        <w:rPr>
          <w:sz w:val="28"/>
          <w:szCs w:val="28"/>
        </w:rPr>
        <w:t xml:space="preserve"> activitatea de soluţionare a cauzelor de către Tribunalul Dâmboviţa</w:t>
      </w:r>
      <w:r w:rsidR="001A036A">
        <w:rPr>
          <w:sz w:val="28"/>
          <w:szCs w:val="28"/>
        </w:rPr>
        <w:t>, precum şi de către</w:t>
      </w:r>
      <w:r>
        <w:rPr>
          <w:sz w:val="28"/>
          <w:szCs w:val="28"/>
        </w:rPr>
        <w:t xml:space="preserve"> </w:t>
      </w:r>
      <w:r w:rsidR="001A036A">
        <w:rPr>
          <w:sz w:val="28"/>
          <w:szCs w:val="28"/>
        </w:rPr>
        <w:t>judecătoriile</w:t>
      </w:r>
      <w:r>
        <w:rPr>
          <w:sz w:val="28"/>
          <w:szCs w:val="28"/>
        </w:rPr>
        <w:t xml:space="preserve"> arondate</w:t>
      </w:r>
      <w:r w:rsidR="002C31E6">
        <w:rPr>
          <w:sz w:val="28"/>
          <w:szCs w:val="28"/>
        </w:rPr>
        <w:t xml:space="preserve"> acestuia (potrivit hotărârilor Adunărilor G</w:t>
      </w:r>
      <w:bookmarkStart w:id="0" w:name="_GoBack"/>
      <w:bookmarkEnd w:id="0"/>
      <w:r w:rsidR="001A036A">
        <w:rPr>
          <w:sz w:val="28"/>
          <w:szCs w:val="28"/>
        </w:rPr>
        <w:t>enerale, adoptate de fiecare judecătorie în parte),</w:t>
      </w:r>
      <w:r>
        <w:rPr>
          <w:sz w:val="28"/>
          <w:szCs w:val="28"/>
        </w:rPr>
        <w:t xml:space="preserve"> se va desfăşura normal cu privire la toate tipurile de cauze.</w:t>
      </w:r>
    </w:p>
    <w:p w:rsidR="001E6CE0" w:rsidRDefault="001E6CE0" w:rsidP="00702751">
      <w:pPr>
        <w:spacing w:line="360" w:lineRule="auto"/>
        <w:jc w:val="both"/>
        <w:rPr>
          <w:sz w:val="28"/>
          <w:szCs w:val="28"/>
        </w:rPr>
      </w:pPr>
    </w:p>
    <w:p w:rsidR="00F012FA" w:rsidRPr="00F012FA" w:rsidRDefault="00F012FA" w:rsidP="00F012FA">
      <w:pPr>
        <w:jc w:val="center"/>
        <w:rPr>
          <w:b/>
          <w:sz w:val="28"/>
          <w:szCs w:val="28"/>
        </w:rPr>
      </w:pPr>
      <w:r w:rsidRPr="00F012FA">
        <w:rPr>
          <w:b/>
          <w:sz w:val="28"/>
          <w:szCs w:val="28"/>
        </w:rPr>
        <w:t>Purtător de cuvânt,</w:t>
      </w:r>
    </w:p>
    <w:p w:rsidR="00F012FA" w:rsidRPr="004165FF" w:rsidRDefault="00F012FA" w:rsidP="00F012FA">
      <w:pPr>
        <w:jc w:val="center"/>
        <w:rPr>
          <w:b/>
          <w:sz w:val="28"/>
          <w:szCs w:val="28"/>
        </w:rPr>
      </w:pPr>
      <w:r w:rsidRPr="004165FF">
        <w:rPr>
          <w:b/>
          <w:sz w:val="28"/>
          <w:szCs w:val="28"/>
        </w:rPr>
        <w:t>Judecător Narcis Erculescu</w:t>
      </w:r>
    </w:p>
    <w:p w:rsidR="009D1A3C" w:rsidRPr="003964F3" w:rsidRDefault="009D1A3C" w:rsidP="003964F3">
      <w:pPr>
        <w:jc w:val="both"/>
        <w:rPr>
          <w:sz w:val="28"/>
          <w:szCs w:val="28"/>
        </w:rPr>
      </w:pPr>
    </w:p>
    <w:sectPr w:rsidR="009D1A3C" w:rsidRPr="003964F3" w:rsidSect="00B11E22">
      <w:pgSz w:w="11906" w:h="16838"/>
      <w:pgMar w:top="96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55711"/>
    <w:multiLevelType w:val="hybridMultilevel"/>
    <w:tmpl w:val="0B5AC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A571F5A"/>
    <w:multiLevelType w:val="hybridMultilevel"/>
    <w:tmpl w:val="298ADFB0"/>
    <w:lvl w:ilvl="0" w:tplc="9F6EB7FE">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
    <w:nsid w:val="69484BAB"/>
    <w:multiLevelType w:val="hybridMultilevel"/>
    <w:tmpl w:val="6B02C344"/>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6E0C1B7A"/>
    <w:multiLevelType w:val="hybridMultilevel"/>
    <w:tmpl w:val="A86490D8"/>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4">
    <w:nsid w:val="7A74171D"/>
    <w:multiLevelType w:val="hybridMultilevel"/>
    <w:tmpl w:val="7A1AA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FF2"/>
    <w:rsid w:val="00002D7A"/>
    <w:rsid w:val="00026FF2"/>
    <w:rsid w:val="00033A55"/>
    <w:rsid w:val="00092C3A"/>
    <w:rsid w:val="000D3F90"/>
    <w:rsid w:val="000F5276"/>
    <w:rsid w:val="00101F92"/>
    <w:rsid w:val="00125F37"/>
    <w:rsid w:val="00126D18"/>
    <w:rsid w:val="00171F71"/>
    <w:rsid w:val="001A036A"/>
    <w:rsid w:val="001A0C19"/>
    <w:rsid w:val="001E6CE0"/>
    <w:rsid w:val="001F713A"/>
    <w:rsid w:val="002066A0"/>
    <w:rsid w:val="00276FCB"/>
    <w:rsid w:val="00295B05"/>
    <w:rsid w:val="002A4451"/>
    <w:rsid w:val="002A5D6B"/>
    <w:rsid w:val="002C31E6"/>
    <w:rsid w:val="0030609C"/>
    <w:rsid w:val="00312985"/>
    <w:rsid w:val="00351068"/>
    <w:rsid w:val="0035444C"/>
    <w:rsid w:val="00394BF3"/>
    <w:rsid w:val="003964F3"/>
    <w:rsid w:val="004165FF"/>
    <w:rsid w:val="00452C82"/>
    <w:rsid w:val="004E2427"/>
    <w:rsid w:val="004E7E9C"/>
    <w:rsid w:val="00557706"/>
    <w:rsid w:val="00561B4C"/>
    <w:rsid w:val="006435E7"/>
    <w:rsid w:val="0066316E"/>
    <w:rsid w:val="00693658"/>
    <w:rsid w:val="00702751"/>
    <w:rsid w:val="00717784"/>
    <w:rsid w:val="00730E3D"/>
    <w:rsid w:val="00785D38"/>
    <w:rsid w:val="007A0575"/>
    <w:rsid w:val="007B7E97"/>
    <w:rsid w:val="007C407C"/>
    <w:rsid w:val="007E34B3"/>
    <w:rsid w:val="007F2FE8"/>
    <w:rsid w:val="00812403"/>
    <w:rsid w:val="0082507B"/>
    <w:rsid w:val="008A73BD"/>
    <w:rsid w:val="00955274"/>
    <w:rsid w:val="009D1A3C"/>
    <w:rsid w:val="009D1BB3"/>
    <w:rsid w:val="009D33E8"/>
    <w:rsid w:val="009D62BA"/>
    <w:rsid w:val="00A40AF9"/>
    <w:rsid w:val="00A57438"/>
    <w:rsid w:val="00A70599"/>
    <w:rsid w:val="00A91F90"/>
    <w:rsid w:val="00AF01A7"/>
    <w:rsid w:val="00B11E22"/>
    <w:rsid w:val="00B52C78"/>
    <w:rsid w:val="00B70D52"/>
    <w:rsid w:val="00B965CE"/>
    <w:rsid w:val="00BA46C8"/>
    <w:rsid w:val="00BF7015"/>
    <w:rsid w:val="00C37D15"/>
    <w:rsid w:val="00C8453D"/>
    <w:rsid w:val="00C8787C"/>
    <w:rsid w:val="00D1530F"/>
    <w:rsid w:val="00D31B4A"/>
    <w:rsid w:val="00D84B3B"/>
    <w:rsid w:val="00DD0DE8"/>
    <w:rsid w:val="00E565E6"/>
    <w:rsid w:val="00ED52DF"/>
    <w:rsid w:val="00EF3912"/>
    <w:rsid w:val="00F012FA"/>
    <w:rsid w:val="00F32767"/>
    <w:rsid w:val="00F44267"/>
    <w:rsid w:val="00F46B15"/>
    <w:rsid w:val="00F65A9C"/>
    <w:rsid w:val="00F8423C"/>
    <w:rsid w:val="00FC4A3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aracterCaracterCharCaracterCaracter1CharChar">
    <w:name w:val="Char Caracter Caracter Char Caracter Caracter1 Char Char"/>
    <w:basedOn w:val="Normal"/>
    <w:rsid w:val="00026FF2"/>
    <w:pPr>
      <w:spacing w:after="0" w:line="240" w:lineRule="auto"/>
    </w:pPr>
    <w:rPr>
      <w:rFonts w:ascii="Arial" w:eastAsia="Times New Roman" w:hAnsi="Arial" w:cs="Times New Roman"/>
      <w:bCs w:val="0"/>
      <w:sz w:val="20"/>
      <w:szCs w:val="24"/>
      <w:lang w:val="pl-PL" w:eastAsia="pl-PL"/>
    </w:rPr>
  </w:style>
  <w:style w:type="paragraph" w:styleId="BalloonText">
    <w:name w:val="Balloon Text"/>
    <w:basedOn w:val="Normal"/>
    <w:link w:val="BalloonTextChar"/>
    <w:uiPriority w:val="99"/>
    <w:semiHidden/>
    <w:unhideWhenUsed/>
    <w:rsid w:val="00026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F2"/>
    <w:rPr>
      <w:rFonts w:ascii="Tahoma" w:hAnsi="Tahoma" w:cs="Tahoma"/>
      <w:sz w:val="16"/>
      <w:szCs w:val="16"/>
    </w:rPr>
  </w:style>
  <w:style w:type="paragraph" w:customStyle="1" w:styleId="CaracterCaracter2CharCharCaracterCharChar">
    <w:name w:val="Caracter Caracter2 Char Char Caracter Char Char"/>
    <w:basedOn w:val="Normal"/>
    <w:rsid w:val="008A73BD"/>
    <w:pPr>
      <w:spacing w:after="0" w:line="240" w:lineRule="auto"/>
    </w:pPr>
    <w:rPr>
      <w:rFonts w:eastAsia="Times New Roman" w:cs="Times New Roman"/>
      <w:bCs w:val="0"/>
      <w:sz w:val="20"/>
      <w:szCs w:val="20"/>
      <w:lang w:val="pl-PL" w:eastAsia="pl-PL"/>
    </w:rPr>
  </w:style>
  <w:style w:type="paragraph" w:styleId="ListParagraph">
    <w:name w:val="List Paragraph"/>
    <w:basedOn w:val="Normal"/>
    <w:uiPriority w:val="34"/>
    <w:qFormat/>
    <w:rsid w:val="007C4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4"/>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aracterCaracterCharCaracterCaracter1CharChar">
    <w:name w:val="Char Caracter Caracter Char Caracter Caracter1 Char Char"/>
    <w:basedOn w:val="Normal"/>
    <w:rsid w:val="00026FF2"/>
    <w:pPr>
      <w:spacing w:after="0" w:line="240" w:lineRule="auto"/>
    </w:pPr>
    <w:rPr>
      <w:rFonts w:ascii="Arial" w:eastAsia="Times New Roman" w:hAnsi="Arial" w:cs="Times New Roman"/>
      <w:bCs w:val="0"/>
      <w:sz w:val="20"/>
      <w:szCs w:val="24"/>
      <w:lang w:val="pl-PL" w:eastAsia="pl-PL"/>
    </w:rPr>
  </w:style>
  <w:style w:type="paragraph" w:styleId="BalloonText">
    <w:name w:val="Balloon Text"/>
    <w:basedOn w:val="Normal"/>
    <w:link w:val="BalloonTextChar"/>
    <w:uiPriority w:val="99"/>
    <w:semiHidden/>
    <w:unhideWhenUsed/>
    <w:rsid w:val="00026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F2"/>
    <w:rPr>
      <w:rFonts w:ascii="Tahoma" w:hAnsi="Tahoma" w:cs="Tahoma"/>
      <w:sz w:val="16"/>
      <w:szCs w:val="16"/>
    </w:rPr>
  </w:style>
  <w:style w:type="paragraph" w:customStyle="1" w:styleId="CaracterCaracter2CharCharCaracterCharChar">
    <w:name w:val="Caracter Caracter2 Char Char Caracter Char Char"/>
    <w:basedOn w:val="Normal"/>
    <w:rsid w:val="008A73BD"/>
    <w:pPr>
      <w:spacing w:after="0" w:line="240" w:lineRule="auto"/>
    </w:pPr>
    <w:rPr>
      <w:rFonts w:eastAsia="Times New Roman" w:cs="Times New Roman"/>
      <w:bCs w:val="0"/>
      <w:sz w:val="20"/>
      <w:szCs w:val="20"/>
      <w:lang w:val="pl-PL" w:eastAsia="pl-PL"/>
    </w:rPr>
  </w:style>
  <w:style w:type="paragraph" w:styleId="ListParagraph">
    <w:name w:val="List Paragraph"/>
    <w:basedOn w:val="Normal"/>
    <w:uiPriority w:val="34"/>
    <w:qFormat/>
    <w:rsid w:val="007C4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348858">
      <w:bodyDiv w:val="1"/>
      <w:marLeft w:val="0"/>
      <w:marRight w:val="0"/>
      <w:marTop w:val="0"/>
      <w:marBottom w:val="0"/>
      <w:divBdr>
        <w:top w:val="none" w:sz="0" w:space="0" w:color="auto"/>
        <w:left w:val="none" w:sz="0" w:space="0" w:color="auto"/>
        <w:bottom w:val="none" w:sz="0" w:space="0" w:color="auto"/>
        <w:right w:val="none" w:sz="0" w:space="0" w:color="auto"/>
      </w:divBdr>
    </w:div>
    <w:div w:id="1601182054">
      <w:bodyDiv w:val="1"/>
      <w:marLeft w:val="0"/>
      <w:marRight w:val="0"/>
      <w:marTop w:val="0"/>
      <w:marBottom w:val="0"/>
      <w:divBdr>
        <w:top w:val="none" w:sz="0" w:space="0" w:color="auto"/>
        <w:left w:val="none" w:sz="0" w:space="0" w:color="auto"/>
        <w:bottom w:val="none" w:sz="0" w:space="0" w:color="auto"/>
        <w:right w:val="none" w:sz="0" w:space="0" w:color="auto"/>
      </w:divBdr>
    </w:div>
    <w:div w:id="1915433875">
      <w:bodyDiv w:val="1"/>
      <w:marLeft w:val="0"/>
      <w:marRight w:val="0"/>
      <w:marTop w:val="0"/>
      <w:marBottom w:val="0"/>
      <w:divBdr>
        <w:top w:val="none" w:sz="0" w:space="0" w:color="auto"/>
        <w:left w:val="none" w:sz="0" w:space="0" w:color="auto"/>
        <w:bottom w:val="none" w:sz="0" w:space="0" w:color="auto"/>
        <w:right w:val="none" w:sz="0" w:space="0" w:color="auto"/>
      </w:divBdr>
    </w:div>
    <w:div w:id="1921405034">
      <w:bodyDiv w:val="1"/>
      <w:marLeft w:val="0"/>
      <w:marRight w:val="0"/>
      <w:marTop w:val="0"/>
      <w:marBottom w:val="0"/>
      <w:divBdr>
        <w:top w:val="none" w:sz="0" w:space="0" w:color="auto"/>
        <w:left w:val="none" w:sz="0" w:space="0" w:color="auto"/>
        <w:bottom w:val="none" w:sz="0" w:space="0" w:color="auto"/>
        <w:right w:val="none" w:sz="0" w:space="0" w:color="auto"/>
      </w:divBdr>
    </w:div>
    <w:div w:id="210294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ortal.just.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2</Pages>
  <Words>389</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Anamaria  Vasile</dc:creator>
  <cp:lastModifiedBy>Anamaria  Vasile</cp:lastModifiedBy>
  <cp:revision>42</cp:revision>
  <cp:lastPrinted>2020-02-10T13:57:00Z</cp:lastPrinted>
  <dcterms:created xsi:type="dcterms:W3CDTF">2019-10-28T09:17:00Z</dcterms:created>
  <dcterms:modified xsi:type="dcterms:W3CDTF">2020-02-10T14:15:00Z</dcterms:modified>
</cp:coreProperties>
</file>