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9CE" w:rsidRPr="00D67F74" w:rsidRDefault="00AF59CE" w:rsidP="00D67F74">
      <w:pPr>
        <w:rPr>
          <w:rFonts w:ascii="Times New Roman" w:hAnsi="Times New Roman" w:cs="Times New Roman"/>
        </w:rPr>
      </w:pPr>
    </w:p>
    <w:p w:rsidR="007A4070" w:rsidRPr="00D67F74" w:rsidRDefault="007A4070" w:rsidP="00D67F74"/>
    <w:p w:rsidR="00DE572F" w:rsidRDefault="00DE572F" w:rsidP="00DE572F">
      <w:pPr>
        <w:pStyle w:val="DecHTitle"/>
      </w:pPr>
      <w:r>
        <w:t>CURTEA EUROPEANĂ A DREPTURILOR OMULUI</w:t>
      </w:r>
    </w:p>
    <w:p w:rsidR="007A4070" w:rsidRPr="00D67F74" w:rsidRDefault="00DE572F" w:rsidP="00D67F74">
      <w:pPr>
        <w:pStyle w:val="DecHTitle"/>
      </w:pPr>
      <w:r>
        <w:t>SECȚIA A PATRA</w:t>
      </w:r>
    </w:p>
    <w:p w:rsidR="007A4070" w:rsidRPr="00D67F74" w:rsidRDefault="00DE572F" w:rsidP="00D67F74">
      <w:pPr>
        <w:pStyle w:val="JuTitle"/>
      </w:pPr>
      <w:r>
        <w:t>CAUZA BECALI ȘI CIOFLINĂ ÎMPOTRIVA ROMÂNIEI</w:t>
      </w:r>
    </w:p>
    <w:p w:rsidR="007A4070" w:rsidRPr="00D67F74" w:rsidRDefault="00DE572F" w:rsidP="00D67F74">
      <w:pPr>
        <w:pStyle w:val="ECHRCoverTitle4"/>
      </w:pPr>
      <w:r>
        <w:t>(</w:t>
      </w:r>
      <w:r w:rsidR="00D62C82">
        <w:t>C</w:t>
      </w:r>
      <w:r>
        <w:t>ererea nr. 62157/13)</w:t>
      </w:r>
    </w:p>
    <w:p w:rsidR="007A4070" w:rsidRPr="00D67F74" w:rsidRDefault="007A4070" w:rsidP="00D67F74">
      <w:pPr>
        <w:pStyle w:val="DecHCase"/>
      </w:pPr>
    </w:p>
    <w:p w:rsidR="007A4070" w:rsidRPr="00D67F74" w:rsidRDefault="007A4070" w:rsidP="00D67F74">
      <w:pPr>
        <w:pStyle w:val="DecHCase"/>
      </w:pPr>
    </w:p>
    <w:p w:rsidR="007A4070" w:rsidRPr="00D67F74" w:rsidRDefault="007A4070" w:rsidP="00D67F74">
      <w:pPr>
        <w:pStyle w:val="DecHCase"/>
      </w:pPr>
    </w:p>
    <w:p w:rsidR="007A4070" w:rsidRPr="00D67F74" w:rsidRDefault="007A4070" w:rsidP="00D67F74">
      <w:pPr>
        <w:pStyle w:val="DecHCase"/>
      </w:pPr>
    </w:p>
    <w:p w:rsidR="007A4070" w:rsidRPr="00D67F74" w:rsidRDefault="007A4070" w:rsidP="00D67F74">
      <w:pPr>
        <w:pStyle w:val="DecHCase"/>
      </w:pPr>
    </w:p>
    <w:p w:rsidR="007A4070" w:rsidRPr="00D67F74" w:rsidRDefault="007A4070" w:rsidP="00D67F74">
      <w:pPr>
        <w:pStyle w:val="DecHCase"/>
      </w:pPr>
    </w:p>
    <w:p w:rsidR="007A4070" w:rsidRPr="00D67F74" w:rsidRDefault="00DE572F" w:rsidP="00D67F74">
      <w:pPr>
        <w:pStyle w:val="DecHCase"/>
      </w:pPr>
      <w:r>
        <w:t>HOTĂRÂRE</w:t>
      </w:r>
      <w:r>
        <w:br/>
      </w:r>
    </w:p>
    <w:p w:rsidR="007A4070" w:rsidRPr="00D67F74" w:rsidRDefault="00DE572F" w:rsidP="00D67F74">
      <w:pPr>
        <w:pStyle w:val="DecHCase"/>
      </w:pPr>
      <w:r>
        <w:t>STRASBOURG</w:t>
      </w:r>
    </w:p>
    <w:p w:rsidR="007A4070" w:rsidRPr="00D67F74" w:rsidRDefault="00DE572F" w:rsidP="00D67F74">
      <w:pPr>
        <w:pStyle w:val="DecHCase"/>
      </w:pPr>
      <w:r>
        <w:t>20 februarie 2024</w:t>
      </w:r>
    </w:p>
    <w:p w:rsidR="007A4070" w:rsidRPr="00D67F74" w:rsidRDefault="007A4070" w:rsidP="00D67F74">
      <w:pPr>
        <w:pStyle w:val="DecHCase"/>
      </w:pPr>
    </w:p>
    <w:p w:rsidR="00516B59" w:rsidRPr="00D67F74" w:rsidRDefault="00DE572F" w:rsidP="004A113F">
      <w:pPr>
        <w:jc w:val="center"/>
        <w:rPr>
          <w:rFonts w:ascii="Times New Roman" w:hAnsi="Times New Roman" w:cs="Times New Roman"/>
          <w:i/>
          <w:sz w:val="22"/>
        </w:rPr>
      </w:pPr>
      <w:r>
        <w:rPr>
          <w:i/>
          <w:sz w:val="22"/>
        </w:rPr>
        <w:t>Hotărârea este definitivă. Aceasta poate suferi modificări de formă.</w:t>
      </w:r>
    </w:p>
    <w:p w:rsidR="00516B59" w:rsidRPr="00D67F74" w:rsidRDefault="00516B59" w:rsidP="004A113F">
      <w:pPr>
        <w:ind w:left="720"/>
        <w:jc w:val="center"/>
        <w:rPr>
          <w:rFonts w:ascii="Times New Roman" w:hAnsi="Times New Roman" w:cs="Times New Roman"/>
          <w:sz w:val="22"/>
        </w:rPr>
        <w:sectPr w:rsidR="00516B59" w:rsidRPr="00D67F74" w:rsidSect="00D62C82">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134" w:bottom="1134" w:left="1701" w:header="850" w:footer="720" w:gutter="0"/>
          <w:pgNumType w:start="1"/>
          <w:cols w:space="720"/>
          <w:noEndnote/>
          <w:titlePg/>
          <w:docGrid w:linePitch="326"/>
        </w:sectPr>
      </w:pPr>
    </w:p>
    <w:p w:rsidR="004344E6" w:rsidRPr="00D67F74" w:rsidRDefault="00DE572F" w:rsidP="00D67F74">
      <w:pPr>
        <w:pStyle w:val="JuCase"/>
      </w:pPr>
      <w:r>
        <w:lastRenderedPageBreak/>
        <w:t>În cauza Becali și Cioflină împotriva României,</w:t>
      </w:r>
    </w:p>
    <w:p w:rsidR="004344E6" w:rsidRPr="00D67F74" w:rsidRDefault="00DE572F" w:rsidP="00D67F74">
      <w:pPr>
        <w:pStyle w:val="JuPara"/>
      </w:pPr>
      <w:r>
        <w:t>Curtea Europeană a Drepturilor Omului (Sec</w:t>
      </w:r>
      <w:r w:rsidR="00D62C82">
        <w:t>ț</w:t>
      </w:r>
      <w:r>
        <w:t>ia a patra), reunită într-o cameră compusă din:</w:t>
      </w:r>
    </w:p>
    <w:p w:rsidR="004344E6" w:rsidRPr="00D67F74" w:rsidRDefault="00DE572F" w:rsidP="00D67F74">
      <w:pPr>
        <w:pStyle w:val="JuJudges"/>
      </w:pPr>
      <w:r>
        <w:tab/>
        <w:t xml:space="preserve">Tim Eicke, </w:t>
      </w:r>
      <w:r>
        <w:rPr>
          <w:i/>
        </w:rPr>
        <w:t>președinte</w:t>
      </w:r>
      <w:r>
        <w:t>,</w:t>
      </w:r>
      <w:r>
        <w:br/>
      </w:r>
      <w:r>
        <w:tab/>
        <w:t>Branko Lubarda,</w:t>
      </w:r>
      <w:r>
        <w:br/>
      </w:r>
      <w:r>
        <w:tab/>
        <w:t>Ana Maria Guerra Martins</w:t>
      </w:r>
      <w:r>
        <w:rPr>
          <w:i/>
        </w:rPr>
        <w:t>, judecători</w:t>
      </w:r>
      <w:r>
        <w:t>,</w:t>
      </w:r>
      <w:r>
        <w:br/>
        <w:t xml:space="preserve">și Ilse Freiwirth, </w:t>
      </w:r>
      <w:r>
        <w:rPr>
          <w:i/>
        </w:rPr>
        <w:t>grefier de sec</w:t>
      </w:r>
      <w:r w:rsidR="00D62C82">
        <w:rPr>
          <w:i/>
        </w:rPr>
        <w:t>ț</w:t>
      </w:r>
      <w:r>
        <w:rPr>
          <w:i/>
        </w:rPr>
        <w:t>ie</w:t>
      </w:r>
      <w:r>
        <w:t>,</w:t>
      </w:r>
    </w:p>
    <w:p w:rsidR="00AF59CE" w:rsidRPr="00D67F74" w:rsidRDefault="00DE572F" w:rsidP="00D67F74">
      <w:pPr>
        <w:pStyle w:val="JuPara"/>
      </w:pPr>
      <w:r>
        <w:t>având în vedere cererea men</w:t>
      </w:r>
      <w:r w:rsidR="00D62C82">
        <w:t>ț</w:t>
      </w:r>
      <w:r>
        <w:t>ionată mai sus (nr. 62157/13), îndreptată împotriva României, prin care doi resortisan</w:t>
      </w:r>
      <w:r w:rsidR="00D62C82">
        <w:t>ț</w:t>
      </w:r>
      <w:r>
        <w:t>i ai acestui stat, domnul George Becali și domnul Dumitru Cioflină („reclaman</w:t>
      </w:r>
      <w:r w:rsidR="00D62C82">
        <w:t>ț</w:t>
      </w:r>
      <w:r>
        <w:t>ii”), au sesizat Curtea la 1 octombrie 2013, în temeiul art. 34 din Conven</w:t>
      </w:r>
      <w:r w:rsidR="00D62C82">
        <w:t>ț</w:t>
      </w:r>
      <w:r>
        <w:t>ia pentru apărarea drepturilor omului și a libertă</w:t>
      </w:r>
      <w:r w:rsidR="00D62C82">
        <w:t>ț</w:t>
      </w:r>
      <w:r>
        <w:t>ilor fundamentale („Conven</w:t>
      </w:r>
      <w:r w:rsidR="00D62C82">
        <w:t>ț</w:t>
      </w:r>
      <w:r>
        <w:t>ia”),</w:t>
      </w:r>
    </w:p>
    <w:p w:rsidR="00AF59CE" w:rsidRPr="00D67F74" w:rsidRDefault="00DE572F" w:rsidP="00D67F74">
      <w:pPr>
        <w:pStyle w:val="JuPara"/>
      </w:pPr>
      <w:r>
        <w:t>având în vedere decizia de a aduce la cunoștin</w:t>
      </w:r>
      <w:r w:rsidR="00D62C82">
        <w:t>ț</w:t>
      </w:r>
      <w:r>
        <w:t>a Guvernului român („Guvernul”) capetele de cerere întemeiate pe art. 6, art. 7 și art. 8 din Conven</w:t>
      </w:r>
      <w:r w:rsidR="00D62C82">
        <w:t>ț</w:t>
      </w:r>
      <w:r>
        <w:t>ie,</w:t>
      </w:r>
    </w:p>
    <w:p w:rsidR="00AF59CE" w:rsidRPr="00D67F74" w:rsidRDefault="00DE572F" w:rsidP="00D67F74">
      <w:pPr>
        <w:pStyle w:val="JuPara"/>
      </w:pPr>
      <w:r>
        <w:t>având în vedere observa</w:t>
      </w:r>
      <w:r w:rsidR="00D62C82">
        <w:t>ț</w:t>
      </w:r>
      <w:r>
        <w:t>iile păr</w:t>
      </w:r>
      <w:r w:rsidR="00D62C82">
        <w:t>ț</w:t>
      </w:r>
      <w:r>
        <w:t>ilor,</w:t>
      </w:r>
    </w:p>
    <w:p w:rsidR="00AF59CE" w:rsidRPr="00D67F74" w:rsidRDefault="00DE572F" w:rsidP="00D67F74">
      <w:pPr>
        <w:pStyle w:val="JuPara"/>
      </w:pPr>
      <w:r>
        <w:t>având în vedere decizia prin care Curtea a respins obiec</w:t>
      </w:r>
      <w:r w:rsidR="00D62C82">
        <w:t>ț</w:t>
      </w:r>
      <w:r>
        <w:t>ia Guvernului fa</w:t>
      </w:r>
      <w:r w:rsidR="00D62C82">
        <w:t>ț</w:t>
      </w:r>
      <w:r>
        <w:t>ă de examinarea cererii de către un comitet,</w:t>
      </w:r>
    </w:p>
    <w:p w:rsidR="004344E6" w:rsidRPr="00D67F74" w:rsidRDefault="00DE572F" w:rsidP="00D67F74">
      <w:pPr>
        <w:pStyle w:val="JuPara"/>
      </w:pPr>
      <w:r>
        <w:t>după ce a deliberat în camera de consiliu, la 30 ianuarie 2024,</w:t>
      </w:r>
    </w:p>
    <w:p w:rsidR="00876F03" w:rsidRPr="00D67F74" w:rsidRDefault="00DE572F" w:rsidP="00D67F74">
      <w:pPr>
        <w:pStyle w:val="JuPara"/>
      </w:pPr>
      <w:r>
        <w:t>pronun</w:t>
      </w:r>
      <w:r w:rsidR="00D62C82">
        <w:t>ț</w:t>
      </w:r>
      <w:r>
        <w:t>ă prezenta hotărâre, adoptată la aceeași dată:</w:t>
      </w:r>
    </w:p>
    <w:p w:rsidR="00AF59CE" w:rsidRPr="00D67F74" w:rsidRDefault="00DE572F" w:rsidP="00D67F74">
      <w:pPr>
        <w:pStyle w:val="JuHHead"/>
      </w:pPr>
      <w:r>
        <w:t>INTRODUCERE</w:t>
      </w:r>
    </w:p>
    <w:p w:rsidR="00AF59CE" w:rsidRPr="00D67F74" w:rsidRDefault="00F23E65" w:rsidP="00D67F74">
      <w:pPr>
        <w:pStyle w:val="JuPara"/>
      </w:pPr>
      <w:r>
        <w:fldChar w:fldCharType="begin"/>
      </w:r>
      <w:r>
        <w:instrText xml:space="preserve"> SEQ level0 \*arabic </w:instrText>
      </w:r>
      <w:r>
        <w:fldChar w:fldCharType="separate"/>
      </w:r>
      <w:r>
        <w:rPr>
          <w:noProof/>
        </w:rPr>
        <w:t>1</w:t>
      </w:r>
      <w:r>
        <w:fldChar w:fldCharType="end"/>
      </w:r>
      <w:r w:rsidR="00DE572F">
        <w:t>. Cererea are ca obiect trei proceduri penale: prima a fost ini</w:t>
      </w:r>
      <w:r w:rsidR="00D62C82">
        <w:t>ț</w:t>
      </w:r>
      <w:r w:rsidR="00DE572F">
        <w:t>iată împotriva celor doi reclaman</w:t>
      </w:r>
      <w:r w:rsidR="00D62C82">
        <w:t>ț</w:t>
      </w:r>
      <w:r w:rsidR="00DE572F">
        <w:t>i, George Becali și Dumitru Cioflină, iar celelalte două au fost îndreptate doar împotriva reclamantului George Becali. În ceea ce privește prima procedură penală, cei doi reclaman</w:t>
      </w:r>
      <w:r w:rsidR="00D62C82">
        <w:t>ț</w:t>
      </w:r>
      <w:r w:rsidR="00DE572F">
        <w:t>i au formulat în special capete de cerere cu privire la durata și la caracterul echitabil al procedurii. De asemenea, reclamantul Dumitru Cioflină a formulat un capăt de cerere cu privire la legalitatea pedepselor. În cadrul celei de a doua proceduri penale, reclamantul George Becali a formulat în special un capăt de cerere cu privire la protec</w:t>
      </w:r>
      <w:r w:rsidR="00D62C82">
        <w:t>ț</w:t>
      </w:r>
      <w:r w:rsidR="00DE572F">
        <w:t>ia vie</w:t>
      </w:r>
      <w:r w:rsidR="00D62C82">
        <w:t>ț</w:t>
      </w:r>
      <w:r w:rsidR="00DE572F">
        <w:t>ii sale private.</w:t>
      </w:r>
    </w:p>
    <w:p w:rsidR="00AF59CE" w:rsidRPr="00D67F74" w:rsidRDefault="00DE572F" w:rsidP="00D67F74">
      <w:pPr>
        <w:pStyle w:val="JuHHead"/>
      </w:pPr>
      <w:r>
        <w:t>ÎN FAPT</w:t>
      </w:r>
    </w:p>
    <w:p w:rsidR="00AF59CE" w:rsidRPr="00D67F74" w:rsidRDefault="00F23E65" w:rsidP="00D67F74">
      <w:pPr>
        <w:pStyle w:val="JuPara"/>
      </w:pPr>
      <w:r>
        <w:fldChar w:fldCharType="begin"/>
      </w:r>
      <w:r>
        <w:instrText xml:space="preserve"> SEQ level0 \*arabic </w:instrText>
      </w:r>
      <w:r>
        <w:fldChar w:fldCharType="separate"/>
      </w:r>
      <w:r>
        <w:rPr>
          <w:noProof/>
        </w:rPr>
        <w:t>2</w:t>
      </w:r>
      <w:r>
        <w:fldChar w:fldCharType="end"/>
      </w:r>
      <w:r w:rsidR="00DE572F">
        <w:t>. Reclaman</w:t>
      </w:r>
      <w:r w:rsidR="00D62C82">
        <w:t>ț</w:t>
      </w:r>
      <w:r w:rsidR="00DE572F">
        <w:t>ii s-au născut în 1958 și, respectiv, 1942 și locuiesc în București. Aceștia au fost reprezenta</w:t>
      </w:r>
      <w:r w:rsidR="00D62C82">
        <w:t>ț</w:t>
      </w:r>
      <w:r w:rsidR="00DE572F">
        <w:t>i de domnul R. L. Chiri</w:t>
      </w:r>
      <w:r w:rsidR="00D62C82">
        <w:t>ț</w:t>
      </w:r>
      <w:r w:rsidR="00DE572F">
        <w:t>ă.</w:t>
      </w:r>
    </w:p>
    <w:p w:rsidR="00AF59CE" w:rsidRPr="00D67F74" w:rsidRDefault="00F23E65" w:rsidP="00D67F74">
      <w:pPr>
        <w:pStyle w:val="JuPara"/>
      </w:pPr>
      <w:r>
        <w:fldChar w:fldCharType="begin"/>
      </w:r>
      <w:r>
        <w:instrText xml:space="preserve"> SEQ level0 \*arabic </w:instrText>
      </w:r>
      <w:r>
        <w:fldChar w:fldCharType="separate"/>
      </w:r>
      <w:r>
        <w:rPr>
          <w:noProof/>
        </w:rPr>
        <w:t>3</w:t>
      </w:r>
      <w:r>
        <w:fldChar w:fldCharType="end"/>
      </w:r>
      <w:r w:rsidR="00DE572F">
        <w:t>. Guvernul a fost reprezentat, cel mai recent, de agentul guvernamental, doamna O.F. Ezer, din cadrul Ministerului Afacerilor Externe.</w:t>
      </w:r>
    </w:p>
    <w:p w:rsidR="00AF59CE" w:rsidRPr="00D67F74" w:rsidRDefault="00F23E65" w:rsidP="00D67F74">
      <w:pPr>
        <w:pStyle w:val="JuPara"/>
      </w:pPr>
      <w:r>
        <w:fldChar w:fldCharType="begin"/>
      </w:r>
      <w:r>
        <w:instrText xml:space="preserve"> SEQ level0 \*arabic </w:instrText>
      </w:r>
      <w:r>
        <w:fldChar w:fldCharType="separate"/>
      </w:r>
      <w:r>
        <w:rPr>
          <w:noProof/>
        </w:rPr>
        <w:t>4</w:t>
      </w:r>
      <w:r>
        <w:fldChar w:fldCharType="end"/>
      </w:r>
      <w:r w:rsidR="00DE572F">
        <w:t>. George Becali („primul reclamant”) este un om de afaceri și politician român, care, la momentul faptelor, era proprietarul clubului de fotbal Steaua București. Dumitru Cioflină („al doilea reclamant”) era, la momentul faptelor, secretar de stat în Ministerul Apărării Na</w:t>
      </w:r>
      <w:r w:rsidR="00D62C82">
        <w:t>ț</w:t>
      </w:r>
      <w:r w:rsidR="00DE572F">
        <w:t>ionale („ministerul”) și Șeful Statului Major General.</w:t>
      </w:r>
    </w:p>
    <w:p w:rsidR="00AF59CE" w:rsidRPr="00D67F74" w:rsidRDefault="00DE572F" w:rsidP="00D67F74">
      <w:pPr>
        <w:pStyle w:val="JuHIRoman"/>
      </w:pPr>
      <w:r>
        <w:t>Cu privire la prima procedură penală îndreptată împotriva reclaman</w:t>
      </w:r>
      <w:r w:rsidR="00D62C82">
        <w:t>ț</w:t>
      </w:r>
      <w:r>
        <w:t>ilor în legătură cu schimbul de terenuri apar</w:t>
      </w:r>
      <w:r w:rsidR="00D62C82">
        <w:t>ț</w:t>
      </w:r>
      <w:r>
        <w:t>inând ministerului</w:t>
      </w:r>
    </w:p>
    <w:bookmarkStart w:id="0" w:name="para0005"/>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5</w:t>
      </w:r>
      <w:r w:rsidRPr="00D67F74">
        <w:fldChar w:fldCharType="end"/>
      </w:r>
      <w:bookmarkEnd w:id="0"/>
      <w:r>
        <w:t>. În 2001, parchetul militar a deschis o anchetă cu privire la schimburile de terenuri apar</w:t>
      </w:r>
      <w:r w:rsidR="00D62C82">
        <w:t>ț</w:t>
      </w:r>
      <w:r>
        <w:t>inând ministerului, care au fost efectuate cu persoane fizice între 1996 și 1999.</w:t>
      </w:r>
    </w:p>
    <w:bookmarkStart w:id="1" w:name="para0006"/>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6</w:t>
      </w:r>
      <w:r w:rsidRPr="00D67F74">
        <w:fldChar w:fldCharType="end"/>
      </w:r>
      <w:bookmarkEnd w:id="1"/>
      <w:r>
        <w:t>. La 10 februarie 2005 a fost ini</w:t>
      </w:r>
      <w:r w:rsidR="00D62C82">
        <w:t>ț</w:t>
      </w:r>
      <w:r>
        <w:t>iată urmărirea penală împotriva celui de-al doilea reclamant și la 1 martie 2005 împotriva primului reclamant. La aceleași date, reclaman</w:t>
      </w:r>
      <w:r w:rsidR="00D62C82">
        <w:t>ț</w:t>
      </w:r>
      <w:r>
        <w:t>ii au fost informa</w:t>
      </w:r>
      <w:r w:rsidR="00D62C82">
        <w:t>ț</w:t>
      </w:r>
      <w:r>
        <w:t>i cu privire la acuza</w:t>
      </w:r>
      <w:r w:rsidR="00D62C82">
        <w:t>ț</w:t>
      </w:r>
      <w:r>
        <w:t>iile formulate împotriva lor.</w:t>
      </w:r>
    </w:p>
    <w:p w:rsidR="00AF59CE" w:rsidRPr="00D67F74" w:rsidRDefault="00F23E65" w:rsidP="00D67F74">
      <w:pPr>
        <w:pStyle w:val="JuPara"/>
      </w:pPr>
      <w:r>
        <w:fldChar w:fldCharType="begin"/>
      </w:r>
      <w:r>
        <w:instrText xml:space="preserve"> SEQ level0 \*arabic </w:instrText>
      </w:r>
      <w:r>
        <w:fldChar w:fldCharType="separate"/>
      </w:r>
      <w:r>
        <w:rPr>
          <w:noProof/>
        </w:rPr>
        <w:t>7</w:t>
      </w:r>
      <w:r>
        <w:fldChar w:fldCharType="end"/>
      </w:r>
      <w:r w:rsidR="00DE572F">
        <w:t>. În 2007, cauza a fost transferată Direc</w:t>
      </w:r>
      <w:r w:rsidR="00D62C82">
        <w:t>ț</w:t>
      </w:r>
      <w:r w:rsidR="00DE572F">
        <w:t>iei Na</w:t>
      </w:r>
      <w:r w:rsidR="00D62C82">
        <w:t>ț</w:t>
      </w:r>
      <w:r w:rsidR="00DE572F">
        <w:t>ionale Anticorup</w:t>
      </w:r>
      <w:r w:rsidR="00D62C82">
        <w:t>ț</w:t>
      </w:r>
      <w:r w:rsidR="00DE572F">
        <w:t>ie a Parchetului de pe lângă Înalta Curte de Casa</w:t>
      </w:r>
      <w:r w:rsidR="00D62C82">
        <w:t>ț</w:t>
      </w:r>
      <w:r w:rsidR="00DE572F">
        <w:t>ie și Justi</w:t>
      </w:r>
      <w:r w:rsidR="00D62C82">
        <w:t>ț</w:t>
      </w:r>
      <w:r w:rsidR="00DE572F">
        <w:t>ie.</w:t>
      </w:r>
    </w:p>
    <w:bookmarkStart w:id="2" w:name="para0008"/>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8</w:t>
      </w:r>
      <w:r w:rsidRPr="00D67F74">
        <w:fldChar w:fldCharType="end"/>
      </w:r>
      <w:bookmarkEnd w:id="2"/>
      <w:r>
        <w:t>. Printr-un rechizitoriu din 2 noiembrie 2010, al doilea reclamant a fost trimis în judecată pentru săvârșirea infrac</w:t>
      </w:r>
      <w:r w:rsidR="00D62C82">
        <w:t>ț</w:t>
      </w:r>
      <w:r>
        <w:t>iunii de abuz în serviciu în formă calificată, sanc</w:t>
      </w:r>
      <w:r w:rsidR="00D62C82">
        <w:t>ț</w:t>
      </w:r>
      <w:r>
        <w:t>ionată de art. 248 și art. 248</w:t>
      </w:r>
      <w:r>
        <w:rPr>
          <w:vertAlign w:val="superscript"/>
        </w:rPr>
        <w:t>1</w:t>
      </w:r>
      <w:r>
        <w:t xml:space="preserve"> C. pen. Primul reclamant a fost trimis în judecată pentru complicitate la aceleași fapte. Celui de-al doilea reclamant i s-a reproșat în special că a aprobat, în mod nelegal și având drept consecin</w:t>
      </w:r>
      <w:r w:rsidR="00D62C82">
        <w:t>ț</w:t>
      </w:r>
      <w:r>
        <w:t>ă prejudicierea ministerului, efectuarea unui schimb de terenuri cu primul reclamant, care a oferit în schimb terenuri cu o valoare mai mică. De asemenea, acestuia i s-a imputat că, pentru a facilita acest schimb de terenuri, a stabilit în mod nelegal necesitatea construirii unui obiectiv militar nou în comuna Ș. Primul reclamant a fost acuzat de încheierea unor contracte de schimb de terenuri, cu încălcarea dispozi</w:t>
      </w:r>
      <w:r w:rsidR="00D62C82">
        <w:t>ț</w:t>
      </w:r>
      <w:r>
        <w:t>iilor legale privind regimul juridic al proprietă</w:t>
      </w:r>
      <w:r w:rsidR="00D62C82">
        <w:t>ț</w:t>
      </w:r>
      <w:r>
        <w:t>ii publice, și de predarea unor terenuri care aveau un regim juridic incert. Ministrul Apărării de la momentul faptelor a fost, de asemenea, trimis în judecată.</w:t>
      </w:r>
    </w:p>
    <w:p w:rsidR="00AF59CE" w:rsidRPr="00D67F74" w:rsidRDefault="00F23E65" w:rsidP="00D67F74">
      <w:pPr>
        <w:pStyle w:val="JuPara"/>
      </w:pPr>
      <w:r>
        <w:fldChar w:fldCharType="begin"/>
      </w:r>
      <w:r>
        <w:instrText xml:space="preserve"> SEQ level0 \*arabic </w:instrText>
      </w:r>
      <w:r>
        <w:fldChar w:fldCharType="separate"/>
      </w:r>
      <w:r>
        <w:rPr>
          <w:noProof/>
        </w:rPr>
        <w:t>9</w:t>
      </w:r>
      <w:r>
        <w:fldChar w:fldCharType="end"/>
      </w:r>
      <w:r w:rsidR="00DE572F">
        <w:t>. Având în vedere calitatea de europarlamentar a primului reclamant și cea de ministru a unuia dintre coinculpa</w:t>
      </w:r>
      <w:r w:rsidR="00D62C82">
        <w:t>ț</w:t>
      </w:r>
      <w:r w:rsidR="00DE572F">
        <w:t>i, cauza a fost înregistrată pe rolul Înaltei Cur</w:t>
      </w:r>
      <w:r w:rsidR="00D62C82">
        <w:t>ț</w:t>
      </w:r>
      <w:r w:rsidR="00DE572F">
        <w:t>i de Casa</w:t>
      </w:r>
      <w:r w:rsidR="00D62C82">
        <w:t>ț</w:t>
      </w:r>
      <w:r w:rsidR="00DE572F">
        <w:t>ie și Justi</w:t>
      </w:r>
      <w:r w:rsidR="00D62C82">
        <w:t>ț</w:t>
      </w:r>
      <w:r w:rsidR="00DE572F">
        <w:t>ie („Înalta Curte”). Aceasta a fost examinată, în primă instan</w:t>
      </w:r>
      <w:r w:rsidR="00D62C82">
        <w:t>ț</w:t>
      </w:r>
      <w:r w:rsidR="00DE572F">
        <w:t>ă, de un complet de trei judecători.</w:t>
      </w:r>
    </w:p>
    <w:p w:rsidR="00AF59CE" w:rsidRPr="00D67F74" w:rsidRDefault="00F23E65" w:rsidP="00D67F74">
      <w:pPr>
        <w:pStyle w:val="JuPara"/>
      </w:pPr>
      <w:r>
        <w:fldChar w:fldCharType="begin"/>
      </w:r>
      <w:r>
        <w:instrText xml:space="preserve"> SEQ level0 \*arabic </w:instrText>
      </w:r>
      <w:r>
        <w:fldChar w:fldCharType="separate"/>
      </w:r>
      <w:r>
        <w:rPr>
          <w:noProof/>
        </w:rPr>
        <w:t>10</w:t>
      </w:r>
      <w:r>
        <w:fldChar w:fldCharType="end"/>
      </w:r>
      <w:r w:rsidR="00DE572F">
        <w:t>. În ședin</w:t>
      </w:r>
      <w:r w:rsidR="00D62C82">
        <w:t>ț</w:t>
      </w:r>
      <w:r w:rsidR="00DE572F">
        <w:t>a din 17 ianuarie 2012, completul de trei judecători a solicitat Ministerului Apărării Na</w:t>
      </w:r>
      <w:r w:rsidR="00D62C82">
        <w:t>ț</w:t>
      </w:r>
      <w:r w:rsidR="00DE572F">
        <w:t>ionale să facă publice documentele secrete utilizate de parchet pentru a-și întemeia acuzarea.</w:t>
      </w:r>
    </w:p>
    <w:bookmarkStart w:id="3" w:name="para0011"/>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11</w:t>
      </w:r>
      <w:r w:rsidRPr="00D67F74">
        <w:fldChar w:fldCharType="end"/>
      </w:r>
      <w:bookmarkEnd w:id="3"/>
      <w:r>
        <w:t>. În ședin</w:t>
      </w:r>
      <w:r w:rsidR="00D62C82">
        <w:t>ț</w:t>
      </w:r>
      <w:r>
        <w:t>a din 19 martie 2012, reprezentantul ministerului a informat completul de trei judecători că toate documentele aflate la dosar au fost declasificate, cu excep</w:t>
      </w:r>
      <w:r w:rsidR="00D62C82">
        <w:t>ț</w:t>
      </w:r>
      <w:r>
        <w:t>ia raportului de prezentare a proiectului Programului de pregătire operativă a teritoriului pentru apărare pentru perioada 1997-2000 („raportul privind programul de pregătire operativă”), obiectivele stabilite în acesta fiind încă în vigoare. În ceea ce privește un alt document, care se referea la transmiterea de bunuri aflate în proprietate publică, reprezentantul ministerului a precizat că nu ministerul era autorul documentului respectiv și a solicitat completului de trei judecători să se adreseze Oficiului Registrului National al Informa</w:t>
      </w:r>
      <w:r w:rsidR="00D62C82">
        <w:t>ț</w:t>
      </w:r>
      <w:r>
        <w:t>iilor Secrete de Stat. Al doilea reclamant a confirmat că, în cursul urmăririi penale, i-a fost prezentată o hartă militară („harta”) pe care erau marcate anumite obiective militare vizate în cauză. Harta era anexată raportului privind programul de pregătire operativă. Avocatul persoanei în cauză a subliniat că simbolurile prezente pe această hartă erau incorecte și a solicitat permisiunea de a prezenta elemente de probă care să arate ce simboluri erau utilizate pe hăr</w:t>
      </w:r>
      <w:r w:rsidR="00D62C82">
        <w:t>ț</w:t>
      </w:r>
      <w:r>
        <w:t>ile de importan</w:t>
      </w:r>
      <w:r w:rsidR="00D62C82">
        <w:t>ț</w:t>
      </w:r>
      <w:r>
        <w:t>ă strategică na</w:t>
      </w:r>
      <w:r w:rsidR="00D62C82">
        <w:t>ț</w:t>
      </w:r>
      <w:r>
        <w:t>ională. Completul de trei judecători a admis cererea acestuia și a încuviin</w:t>
      </w:r>
      <w:r w:rsidR="00D62C82">
        <w:t>ț</w:t>
      </w:r>
      <w:r>
        <w:t>at prezentarea de înscrisuri în acest scop.</w:t>
      </w:r>
    </w:p>
    <w:p w:rsidR="00AF59CE" w:rsidRPr="00D67F74" w:rsidRDefault="00F23E65" w:rsidP="00D67F74">
      <w:pPr>
        <w:pStyle w:val="JuPara"/>
      </w:pPr>
      <w:r>
        <w:fldChar w:fldCharType="begin"/>
      </w:r>
      <w:r>
        <w:instrText xml:space="preserve"> SEQ level0 \*arabic </w:instrText>
      </w:r>
      <w:r>
        <w:fldChar w:fldCharType="separate"/>
      </w:r>
      <w:r>
        <w:rPr>
          <w:noProof/>
        </w:rPr>
        <w:t>12</w:t>
      </w:r>
      <w:r>
        <w:fldChar w:fldCharType="end"/>
      </w:r>
      <w:r w:rsidR="00DE572F">
        <w:t>. În ședin</w:t>
      </w:r>
      <w:r w:rsidR="00D62C82">
        <w:t>ț</w:t>
      </w:r>
      <w:r w:rsidR="00DE572F">
        <w:t>a din 24 martie 2012, Înalta Curte a luat act de faptul că ministerul a procedat la declasificarea, cu câteva excep</w:t>
      </w:r>
      <w:r w:rsidR="00D62C82">
        <w:t>ț</w:t>
      </w:r>
      <w:r w:rsidR="00DE572F">
        <w:t>ii, a înscrisurilor care constituiau documente clasificate. Guvernul precizează că documentele făcute publice au fost puse la dispozi</w:t>
      </w:r>
      <w:r w:rsidR="00D62C82">
        <w:t>ț</w:t>
      </w:r>
      <w:r w:rsidR="00DE572F">
        <w:t>ia păr</w:t>
      </w:r>
      <w:r w:rsidR="00D62C82">
        <w:t>ț</w:t>
      </w:r>
      <w:r w:rsidR="00DE572F">
        <w:t>ilor, fapt necontestat de reclaman</w:t>
      </w:r>
      <w:r w:rsidR="00D62C82">
        <w:t>ț</w:t>
      </w:r>
      <w:r w:rsidR="00DE572F">
        <w:t>i.</w:t>
      </w:r>
    </w:p>
    <w:bookmarkStart w:id="4" w:name="para0013"/>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13</w:t>
      </w:r>
      <w:r w:rsidRPr="00D67F74">
        <w:fldChar w:fldCharType="end"/>
      </w:r>
      <w:bookmarkEnd w:id="4"/>
      <w:r>
        <w:t>. În cadrul ședin</w:t>
      </w:r>
      <w:r w:rsidR="00D62C82">
        <w:t>ț</w:t>
      </w:r>
      <w:r>
        <w:t>ei din 12 aprilie 2012, completul de judecată l-a audiat pe cel de-al doilea reclamant în legătură cu programele de apărare. Acesta a depus la dosar documentele a căror prezentare fusese încuviin</w:t>
      </w:r>
      <w:r w:rsidR="00D62C82">
        <w:t>ț</w:t>
      </w:r>
      <w:r>
        <w:t>ată în cadrul ședin</w:t>
      </w:r>
      <w:r w:rsidR="00D62C82">
        <w:t>ț</w:t>
      </w:r>
      <w:r>
        <w:t>ei precedente (supra, pct. </w:t>
      </w:r>
      <w:r w:rsidRPr="00D67F74">
        <w:fldChar w:fldCharType="begin"/>
      </w:r>
      <w:r w:rsidRPr="00D67F74">
        <w:instrText xml:space="preserve"> REF para0011 \h </w:instrText>
      </w:r>
      <w:r w:rsidRPr="00D67F74">
        <w:fldChar w:fldCharType="separate"/>
      </w:r>
      <w:r w:rsidR="00F23E65">
        <w:rPr>
          <w:noProof/>
        </w:rPr>
        <w:t>11</w:t>
      </w:r>
      <w:r w:rsidRPr="00D67F74">
        <w:fldChar w:fldCharType="end"/>
      </w:r>
      <w:r>
        <w:t>) și a solicitat completului de trei judecători să se adreseze ministerului pentru a verifica dacă acesta a depus la dosar toate probele și dacă existau documente clasificate la care apărarea nu avea acces. Completul de trei judecători a respins cererea pentru motivul că probele care se aflau deja la dosar erau suficiente pentru examinarea cauzei.</w:t>
      </w:r>
    </w:p>
    <w:bookmarkStart w:id="5" w:name="para0014"/>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14</w:t>
      </w:r>
      <w:r w:rsidRPr="00D67F74">
        <w:fldChar w:fldCharType="end"/>
      </w:r>
      <w:bookmarkEnd w:id="5"/>
      <w:r>
        <w:t>. Printr-o sentin</w:t>
      </w:r>
      <w:r w:rsidR="00D62C82">
        <w:t>ț</w:t>
      </w:r>
      <w:r>
        <w:t>ă penală din 24 mai 2012, completul de trei judecători i-a achitat pe reclaman</w:t>
      </w:r>
      <w:r w:rsidR="00D62C82">
        <w:t>ț</w:t>
      </w:r>
      <w:r>
        <w:t>i pentru motivul că statul nu a suferit niciun prejudiciu ca urmare a încheierii contractelor de schimb și că, în consecin</w:t>
      </w:r>
      <w:r w:rsidR="00D62C82">
        <w:t>ț</w:t>
      </w:r>
      <w:r>
        <w:t>ă, lipsea unul dintre elementele constitutive ale infrac</w:t>
      </w:r>
      <w:r w:rsidR="00D62C82">
        <w:t>ț</w:t>
      </w:r>
      <w:r>
        <w:t>iunii de abuz în serviciu. Acesta a statuat că acuza</w:t>
      </w:r>
      <w:r w:rsidR="00D62C82">
        <w:t>ț</w:t>
      </w:r>
      <w:r>
        <w:t>iile formulate împotriva reclaman</w:t>
      </w:r>
      <w:r w:rsidR="00D62C82">
        <w:t>ț</w:t>
      </w:r>
      <w:r>
        <w:t>ilor nu au fost confirmate de probele prezentate în fa</w:t>
      </w:r>
      <w:r w:rsidR="00D62C82">
        <w:t>ț</w:t>
      </w:r>
      <w:r>
        <w:t>a sa. Acesta a re</w:t>
      </w:r>
      <w:r w:rsidR="00D62C82">
        <w:t>ț</w:t>
      </w:r>
      <w:r>
        <w:t>inut, în subsidiar, că trebuia să fie respinsă cererea reclaman</w:t>
      </w:r>
      <w:r w:rsidR="00D62C82">
        <w:t>ț</w:t>
      </w:r>
      <w:r>
        <w:t xml:space="preserve">ilor de efectuare a unei noi expertize </w:t>
      </w:r>
      <w:r w:rsidR="00D62C82">
        <w:t>ț</w:t>
      </w:r>
      <w:r>
        <w:t>inând seama de considerentele, întemeiate pe art. 6 din Conven</w:t>
      </w:r>
      <w:r w:rsidR="00D62C82">
        <w:t>ț</w:t>
      </w:r>
      <w:r>
        <w:t>ie, legate de durata anchetei efectuate în spe</w:t>
      </w:r>
      <w:r w:rsidR="00D62C82">
        <w:t>ț</w:t>
      </w:r>
      <w:r>
        <w:t>ă.</w:t>
      </w:r>
    </w:p>
    <w:p w:rsidR="00AF59CE" w:rsidRPr="00D67F74" w:rsidRDefault="00F23E65" w:rsidP="00D67F74">
      <w:pPr>
        <w:pStyle w:val="JuPara"/>
      </w:pPr>
      <w:r>
        <w:fldChar w:fldCharType="begin"/>
      </w:r>
      <w:r>
        <w:instrText xml:space="preserve"> SEQ level0 \*arabic </w:instrText>
      </w:r>
      <w:r>
        <w:fldChar w:fldCharType="separate"/>
      </w:r>
      <w:r>
        <w:rPr>
          <w:noProof/>
        </w:rPr>
        <w:t>15</w:t>
      </w:r>
      <w:r>
        <w:fldChar w:fldCharType="end"/>
      </w:r>
      <w:r w:rsidR="00DE572F">
        <w:t>. Parchetul a declarat apel. Apelul a fost examinat de un complet de cinci judecători al Înaltei Cur</w:t>
      </w:r>
      <w:r w:rsidR="00D62C82">
        <w:t>ț</w:t>
      </w:r>
      <w:r w:rsidR="00DE572F">
        <w:t>i.</w:t>
      </w:r>
    </w:p>
    <w:p w:rsidR="00AF59CE" w:rsidRPr="00D67F74" w:rsidRDefault="00F23E65" w:rsidP="00D67F74">
      <w:pPr>
        <w:pStyle w:val="JuPara"/>
      </w:pPr>
      <w:r>
        <w:fldChar w:fldCharType="begin"/>
      </w:r>
      <w:r>
        <w:instrText xml:space="preserve"> SEQ level0 \*arabic </w:instrText>
      </w:r>
      <w:r>
        <w:fldChar w:fldCharType="separate"/>
      </w:r>
      <w:r>
        <w:rPr>
          <w:noProof/>
        </w:rPr>
        <w:t>16</w:t>
      </w:r>
      <w:r>
        <w:fldChar w:fldCharType="end"/>
      </w:r>
      <w:r w:rsidR="00DE572F">
        <w:t>. Avocatul celui de-al doilea reclamant a solicitat completului de cinci judecători să se adreseze Direc</w:t>
      </w:r>
      <w:r w:rsidR="00D62C82">
        <w:t>ț</w:t>
      </w:r>
      <w:r w:rsidR="00DE572F">
        <w:t>iei Na</w:t>
      </w:r>
      <w:r w:rsidR="00D62C82">
        <w:t>ț</w:t>
      </w:r>
      <w:r w:rsidR="00DE572F">
        <w:t>ionale Anticorup</w:t>
      </w:r>
      <w:r w:rsidR="00D62C82">
        <w:t>ț</w:t>
      </w:r>
      <w:r w:rsidR="00DE572F">
        <w:t>ie și Ministerului Apărării pentru a clarifica modul în care harta sus-men</w:t>
      </w:r>
      <w:r w:rsidR="00D62C82">
        <w:t>ț</w:t>
      </w:r>
      <w:r w:rsidR="00DE572F">
        <w:t>ionată a fost întocmită și ulterior, depusă la dosar. În ședin</w:t>
      </w:r>
      <w:r w:rsidR="00D62C82">
        <w:t>ț</w:t>
      </w:r>
      <w:r w:rsidR="00DE572F">
        <w:t>a din 26 martie 2013, completul de cinci judecători a admis în parte această cerere și a solicitat ministerului anumite informa</w:t>
      </w:r>
      <w:r w:rsidR="00D62C82">
        <w:t>ț</w:t>
      </w:r>
      <w:r w:rsidR="00DE572F">
        <w:t>ii privind arhivarea și comunicarea unor documente referitoare la raportul privind programul de pregătire operativă. În cadrul aceleiași ședin</w:t>
      </w:r>
      <w:r w:rsidR="00D62C82">
        <w:t>ț</w:t>
      </w:r>
      <w:r w:rsidR="00DE572F">
        <w:t>e, acesta a solicitat, din oficiu, Biroului de Documente Secrete al Înaltei Cur</w:t>
      </w:r>
      <w:r w:rsidR="00D62C82">
        <w:t>ț</w:t>
      </w:r>
      <w:r w:rsidR="00DE572F">
        <w:t>i, să precizeze dacă dispunea de aceste documente, în caz afirmativ, urmând a fi prezentate completului de judecată. Din documentele transmise Cur</w:t>
      </w:r>
      <w:r w:rsidR="00D62C82">
        <w:t>ț</w:t>
      </w:r>
      <w:r w:rsidR="00DE572F">
        <w:t>ii nu reiese modul în care a fost solu</w:t>
      </w:r>
      <w:r w:rsidR="00D62C82">
        <w:t>ț</w:t>
      </w:r>
      <w:r w:rsidR="00DE572F">
        <w:t>ionată această cerere.</w:t>
      </w:r>
    </w:p>
    <w:p w:rsidR="00AF59CE" w:rsidRPr="00D67F74" w:rsidRDefault="00F23E65" w:rsidP="00D67F74">
      <w:pPr>
        <w:pStyle w:val="JuPara"/>
      </w:pPr>
      <w:r>
        <w:fldChar w:fldCharType="begin"/>
      </w:r>
      <w:r>
        <w:instrText xml:space="preserve"> SEQ level0 \*arabic </w:instrText>
      </w:r>
      <w:r>
        <w:fldChar w:fldCharType="separate"/>
      </w:r>
      <w:r>
        <w:rPr>
          <w:noProof/>
        </w:rPr>
        <w:t>17</w:t>
      </w:r>
      <w:r>
        <w:fldChar w:fldCharType="end"/>
      </w:r>
      <w:r w:rsidR="00DE572F">
        <w:t>. În ședin</w:t>
      </w:r>
      <w:r w:rsidR="00D62C82">
        <w:t>ț</w:t>
      </w:r>
      <w:r w:rsidR="00DE572F">
        <w:t>a din 9 aprilie 2013, completul de cinci judecători a transmis, din oficiu, o adresă către Consiliul Suprem de Apărare a Țării, solicitându-i să îi furnizeze, în măsura în care legea permitea, informa</w:t>
      </w:r>
      <w:r w:rsidR="00D62C82">
        <w:t>ț</w:t>
      </w:r>
      <w:r w:rsidR="00DE572F">
        <w:t>ii cu privire la versiunile succesive ale raportului privind programul de pregătire operativă.</w:t>
      </w:r>
    </w:p>
    <w:p w:rsidR="00AF59CE" w:rsidRPr="00D67F74" w:rsidRDefault="00F23E65" w:rsidP="00D67F74">
      <w:pPr>
        <w:pStyle w:val="JuPara"/>
      </w:pPr>
      <w:r>
        <w:fldChar w:fldCharType="begin"/>
      </w:r>
      <w:r>
        <w:instrText xml:space="preserve"> SEQ level0 \*arabic </w:instrText>
      </w:r>
      <w:r>
        <w:fldChar w:fldCharType="separate"/>
      </w:r>
      <w:r>
        <w:rPr>
          <w:noProof/>
        </w:rPr>
        <w:t>18</w:t>
      </w:r>
      <w:r>
        <w:fldChar w:fldCharType="end"/>
      </w:r>
      <w:r w:rsidR="00DE572F">
        <w:t>. În ședin</w:t>
      </w:r>
      <w:r w:rsidR="00D62C82">
        <w:t>ț</w:t>
      </w:r>
      <w:r w:rsidR="00DE572F">
        <w:t>a din 16 aprilie 2013, completul de cinci judecători a respins cererea de amânare a judecării cauzei, formulată de unul dintre avoca</w:t>
      </w:r>
      <w:r w:rsidR="00D62C82">
        <w:t>ț</w:t>
      </w:r>
      <w:r w:rsidR="00DE572F">
        <w:t>ii reclaman</w:t>
      </w:r>
      <w:r w:rsidR="00D62C82">
        <w:t>ț</w:t>
      </w:r>
      <w:r w:rsidR="00DE572F">
        <w:t>ilor pentru a putea ob</w:t>
      </w:r>
      <w:r w:rsidR="00D62C82">
        <w:t>ț</w:t>
      </w:r>
      <w:r w:rsidR="00DE572F">
        <w:t>ine autoriza</w:t>
      </w:r>
      <w:r w:rsidR="00D62C82">
        <w:t>ț</w:t>
      </w:r>
      <w:r w:rsidR="00DE572F">
        <w:t>ia impusă de lege pentru a avea acces la documentele clasificate. Completul de cinci judecători a re</w:t>
      </w:r>
      <w:r w:rsidR="00D62C82">
        <w:t>ț</w:t>
      </w:r>
      <w:r w:rsidR="00DE572F">
        <w:t>inut că avocatul ar fi putut solicita o astfel de autoriza</w:t>
      </w:r>
      <w:r w:rsidR="00D62C82">
        <w:t>ț</w:t>
      </w:r>
      <w:r w:rsidR="00DE572F">
        <w:t>ie în martie 2012, când documentele clasificate au fost transmise Înaltei Cur</w:t>
      </w:r>
      <w:r w:rsidR="00D62C82">
        <w:t>ț</w:t>
      </w:r>
      <w:r w:rsidR="00DE572F">
        <w:t>i, și a precizat că, ulterior, acesta ar fi putut să consulte documentele existente în cadrul Biroului de Documente Secrete al Înaltei Cur</w:t>
      </w:r>
      <w:r w:rsidR="00D62C82">
        <w:t>ț</w:t>
      </w:r>
      <w:r w:rsidR="00DE572F">
        <w:t>i, odată ob</w:t>
      </w:r>
      <w:r w:rsidR="00D62C82">
        <w:t>ț</w:t>
      </w:r>
      <w:r w:rsidR="00DE572F">
        <w:t>inută autoriza</w:t>
      </w:r>
      <w:r w:rsidR="00D62C82">
        <w:t>ț</w:t>
      </w:r>
      <w:r w:rsidR="00DE572F">
        <w:t>ia necesară în acest sens. În cadrul aceleiași ședin</w:t>
      </w:r>
      <w:r w:rsidR="00D62C82">
        <w:t>ț</w:t>
      </w:r>
      <w:r w:rsidR="00DE572F">
        <w:t>e, completul de cinci judecători a adresat Consiliului Suprem de Apărare a Țării o nouă cerere de informa</w:t>
      </w:r>
      <w:r w:rsidR="00D62C82">
        <w:t>ț</w:t>
      </w:r>
      <w:r w:rsidR="00DE572F">
        <w:t>ii. Răspunsul acestuia din urmă nu a fost comunicat Cur</w:t>
      </w:r>
      <w:r w:rsidR="00D62C82">
        <w:t>ț</w:t>
      </w:r>
      <w:r w:rsidR="00DE572F">
        <w:t>ii.</w:t>
      </w:r>
    </w:p>
    <w:bookmarkStart w:id="6" w:name="para0019"/>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19</w:t>
      </w:r>
      <w:r w:rsidRPr="00D67F74">
        <w:fldChar w:fldCharType="end"/>
      </w:r>
      <w:bookmarkEnd w:id="6"/>
      <w:r>
        <w:t>. Printr-o hotărâre definitivă din 20 mai 2013, completul de cinci judecători, cu majoritate, a casat sentin</w:t>
      </w:r>
      <w:r w:rsidR="00D62C82">
        <w:t>ț</w:t>
      </w:r>
      <w:r>
        <w:t>a penală în privin</w:t>
      </w:r>
      <w:r w:rsidR="00D62C82">
        <w:t>ț</w:t>
      </w:r>
      <w:r>
        <w:t>a solu</w:t>
      </w:r>
      <w:r w:rsidR="00D62C82">
        <w:t>ț</w:t>
      </w:r>
      <w:r>
        <w:t>iei de achitare și a dispus condamnarea fiecărui reclamant la o pedeapsă de doi ani de închisoare pentru săvârșirea infrac</w:t>
      </w:r>
      <w:r w:rsidR="00D62C82">
        <w:t>ț</w:t>
      </w:r>
      <w:r>
        <w:t>iunii de abuz în serviciu în formă calificată și, respectiv, pentru complicitate la săvârșirea acestei infrac</w:t>
      </w:r>
      <w:r w:rsidR="00D62C82">
        <w:t>ț</w:t>
      </w:r>
      <w:r>
        <w:t xml:space="preserve">iuni. Având în vedere pedepsele anterioare de câte trei ani de închisoare, dispuse împotriva primului reclamant, după contopirea pedepselor, </w:t>
      </w:r>
      <w:r>
        <w:rPr>
          <w:i/>
        </w:rPr>
        <w:t>pedeapsa principală rezultantă</w:t>
      </w:r>
      <w:r>
        <w:t xml:space="preserve"> de executat a fost de trei ani de închisoare.</w:t>
      </w:r>
    </w:p>
    <w:bookmarkStart w:id="7" w:name="para0020"/>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20</w:t>
      </w:r>
      <w:r w:rsidRPr="00D67F74">
        <w:fldChar w:fldCharType="end"/>
      </w:r>
      <w:bookmarkEnd w:id="7"/>
      <w:r>
        <w:t>. Pe baza unui ansamblu de probe, inclusiv documente, rapoarte de expertiză și depozi</w:t>
      </w:r>
      <w:r w:rsidR="00D62C82">
        <w:t>ț</w:t>
      </w:r>
      <w:r>
        <w:t>ii ale martorilor, Înalta Curte a statuat, pe de o parte, că primul reclamant a propus în mod activ celui de-al doilea reclamant și ministrului Apărării să facă schimb de mai multe terenuri cu ministerul și, pe de altă parte, că al doilea reclamant a aprobat aceste schimburi cu încălcarea dispozi</w:t>
      </w:r>
      <w:r w:rsidR="00D62C82">
        <w:t>ț</w:t>
      </w:r>
      <w:r>
        <w:t>iilor legale care reglementau achizi</w:t>
      </w:r>
      <w:r w:rsidR="00D62C82">
        <w:t>ț</w:t>
      </w:r>
      <w:r>
        <w:t>iile de terenuri. În ceea ce îl privește pe cel de-al doilea reclamant, instan</w:t>
      </w:r>
      <w:r w:rsidR="00D62C82">
        <w:t>ț</w:t>
      </w:r>
      <w:r>
        <w:t xml:space="preserve">a a hotărât că acesta, după efectuarea unuia dintre schimburile de terenuri, a introdus în raportul privind programul de pregătire operativă necesitatea construirii unui obiectiv militar nou în comuna Ș., cu scopul de a justifica </w:t>
      </w:r>
      <w:r>
        <w:rPr>
          <w:i/>
        </w:rPr>
        <w:t xml:space="preserve">post factum </w:t>
      </w:r>
      <w:r>
        <w:t>realizarea opera</w:t>
      </w:r>
      <w:r w:rsidR="00D62C82">
        <w:t>ț</w:t>
      </w:r>
      <w:r>
        <w:t>iunii respective, ini</w:t>
      </w:r>
      <w:r w:rsidR="00D62C82">
        <w:t>ț</w:t>
      </w:r>
      <w:r>
        <w:t>iată și controlată de acesta. A ajuns la această concluzie pe baza diferitelor versiuni ale raportului privind programul de pregătire operativă. Pentru a decide că schimburile de terenuri nu erau nici necesare, nici oportune, aceasta a luat în considerare aspecte legate de suprafa</w:t>
      </w:r>
      <w:r w:rsidR="00D62C82">
        <w:t>ț</w:t>
      </w:r>
      <w:r>
        <w:t>a și forma terenurilor, precum și costurile aferente opera</w:t>
      </w:r>
      <w:r w:rsidR="00D62C82">
        <w:t>ț</w:t>
      </w:r>
      <w:r>
        <w:t>iunii. Pe baza mai multor rapoarte de expertiză, aceasta a statuat de asemenea că schimburile de terenuri au produs o pagubă semnificativă patrimoniului public, întrucât primul reclamant a oferit în schimb terenuri cu o valoare mai mică. Aceasta a apreciat că primul reclamant a avut o contribu</w:t>
      </w:r>
      <w:r w:rsidR="00D62C82">
        <w:t>ț</w:t>
      </w:r>
      <w:r>
        <w:t>ie esen</w:t>
      </w:r>
      <w:r w:rsidR="00D62C82">
        <w:t>ț</w:t>
      </w:r>
      <w:r>
        <w:t>ială la comiterea infrac</w:t>
      </w:r>
      <w:r w:rsidR="00D62C82">
        <w:t>ț</w:t>
      </w:r>
      <w:r>
        <w:t>iunilor în cauză, având în vedere rolul pe care l-a avut în ini</w:t>
      </w:r>
      <w:r w:rsidR="00D62C82">
        <w:t>ț</w:t>
      </w:r>
      <w:r>
        <w:t>ierea, derularea și finalizarea celor două schimburi în condi</w:t>
      </w:r>
      <w:r w:rsidR="00D62C82">
        <w:t>ț</w:t>
      </w:r>
      <w:r>
        <w:t>ii nelegale. Aceasta a adăugat că reclaman</w:t>
      </w:r>
      <w:r w:rsidR="00D62C82">
        <w:t>ț</w:t>
      </w:r>
      <w:r>
        <w:t>ii au ac</w:t>
      </w:r>
      <w:r w:rsidR="00D62C82">
        <w:t>ț</w:t>
      </w:r>
      <w:r>
        <w:t>ionat cu inten</w:t>
      </w:r>
      <w:r w:rsidR="00D62C82">
        <w:t>ț</w:t>
      </w:r>
      <w:r>
        <w:t>ie și, în același timp, au fost conștien</w:t>
      </w:r>
      <w:r w:rsidR="00D62C82">
        <w:t>ț</w:t>
      </w:r>
      <w:r>
        <w:t>i de rezultatul prejudiciabil al ac</w:t>
      </w:r>
      <w:r w:rsidR="00D62C82">
        <w:t>ț</w:t>
      </w:r>
      <w:r>
        <w:t>iunilor lor.</w:t>
      </w:r>
    </w:p>
    <w:bookmarkStart w:id="8" w:name="para0021"/>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21</w:t>
      </w:r>
      <w:r w:rsidRPr="00D67F74">
        <w:fldChar w:fldCharType="end"/>
      </w:r>
      <w:bookmarkEnd w:id="8"/>
      <w:r>
        <w:t>. În ceea ce privește, în special, încadrarea juridică dată faptelor imputate celui de-al doilea reclamant, Înalta Curte a re</w:t>
      </w:r>
      <w:r w:rsidR="00D62C82">
        <w:t>ț</w:t>
      </w:r>
      <w:r>
        <w:t>inut că forma calificată a abuzului în serviciu a</w:t>
      </w:r>
      <w:r>
        <w:rPr>
          <w:i/>
        </w:rPr>
        <w:t xml:space="preserve"> </w:t>
      </w:r>
      <w:r>
        <w:t>fost introdusă în Codul penal la 14 noiembrie 1996, prin Legea nr. 140/1996 pentru modificarea și completarea Codului penal (Legea nr. 140/1996; infra, pct. </w:t>
      </w:r>
      <w:r w:rsidRPr="00D67F74">
        <w:fldChar w:fldCharType="begin"/>
      </w:r>
      <w:r w:rsidRPr="00D67F74">
        <w:instrText xml:space="preserve"> REF para0033 \h </w:instrText>
      </w:r>
      <w:r w:rsidRPr="00D67F74">
        <w:fldChar w:fldCharType="separate"/>
      </w:r>
      <w:r w:rsidR="00F23E65">
        <w:rPr>
          <w:noProof/>
        </w:rPr>
        <w:t>33</w:t>
      </w:r>
      <w:r w:rsidRPr="00D67F74">
        <w:fldChar w:fldCharType="end"/>
      </w:r>
      <w:r>
        <w:t>). Aceasta l-a găsit pe cel de-al doilea reclamant vinovat de săvârșirea mai multor acte, care, considerate împreună, întruneau elementele constitutive ale infrac</w:t>
      </w:r>
      <w:r w:rsidR="00D62C82">
        <w:t>ț</w:t>
      </w:r>
      <w:r>
        <w:t>iunii de care era acuzat. Instan</w:t>
      </w:r>
      <w:r w:rsidR="00D62C82">
        <w:t>ț</w:t>
      </w:r>
      <w:r>
        <w:t>a a apreciat că, pe lângă efectuarea schimbului de terenuri, aprobată la 14 octombrie 1996, persoana în cauză săvârșise alte acte, strâns legate între ele, înainte și după data modificării Codului penal. Înalta Curte s-a exprimat după cum urmează:</w:t>
      </w:r>
    </w:p>
    <w:p w:rsidR="00AF59CE" w:rsidRPr="00D67F74" w:rsidRDefault="00DE572F" w:rsidP="00D67F74">
      <w:pPr>
        <w:pStyle w:val="JuQuot"/>
      </w:pPr>
      <w:r>
        <w:t>„Or, printre aceste acte se regăsește și adresa trimisă Ministerului Agriculturii și Alimenta</w:t>
      </w:r>
      <w:r w:rsidR="00D62C82">
        <w:t>ț</w:t>
      </w:r>
      <w:r>
        <w:t>iei, pe care inculpatul, în calitatea sa șef al Statului Major General, a semnat-o în data de 4 decembrie 1996 (așadar, după aprobarea schimbului și intrarea în vigoare a Legii nr. 140/1996, dar mai înainte de efectuarea propriu-zisă a acestuia și de semnarea contractului în formă autentică), adresă prin care inculpatul s-a implicat în mod direct în urgentarea ob</w:t>
      </w:r>
      <w:r w:rsidR="00D62C82">
        <w:t>ț</w:t>
      </w:r>
      <w:r>
        <w:t>inerii avizului de la această institu</w:t>
      </w:r>
      <w:r w:rsidR="00D62C82">
        <w:t>ț</w:t>
      </w:r>
      <w:r>
        <w:t>ie, care sesizase o neclaritate în legătură cu categoria de folosin</w:t>
      </w:r>
      <w:r w:rsidR="00D62C82">
        <w:t>ț</w:t>
      </w:r>
      <w:r>
        <w:t>ă a terenului dat la schimb de M.A.N. (element esen</w:t>
      </w:r>
      <w:r w:rsidR="00D62C82">
        <w:t>ț</w:t>
      </w:r>
      <w:r>
        <w:t>ial, așa cum s-a văzut anterior).</w:t>
      </w:r>
    </w:p>
    <w:p w:rsidR="00AF59CE" w:rsidRPr="00D67F74" w:rsidRDefault="00DE572F" w:rsidP="00D67F74">
      <w:pPr>
        <w:pStyle w:val="JuQuot"/>
      </w:pPr>
      <w:r>
        <w:t>Dincolo de acest aspect (care demonstrează că activitatea infrac</w:t>
      </w:r>
      <w:r w:rsidR="00D62C82">
        <w:t>ț</w:t>
      </w:r>
      <w:r>
        <w:t>ională a inculpatului nu s-a oprit la data de 14 octombrie 1996), instan</w:t>
      </w:r>
      <w:r w:rsidR="00D62C82">
        <w:t>ț</w:t>
      </w:r>
      <w:r>
        <w:t>a de recurs, în opinie majoritară, constată că în cazul inculpatului [Cioflină Dumitru] termenul de prescrip</w:t>
      </w:r>
      <w:r w:rsidR="00D62C82">
        <w:t>ț</w:t>
      </w:r>
      <w:r>
        <w:t>ie a răspunderii penale a început să curgă de la data săvârșirii infrac</w:t>
      </w:r>
      <w:r w:rsidR="00D62C82">
        <w:t>ț</w:t>
      </w:r>
      <w:r>
        <w:t>iunii, care, în cazul infrac</w:t>
      </w:r>
      <w:r w:rsidR="00D62C82">
        <w:t>ț</w:t>
      </w:r>
      <w:r>
        <w:t>iunii de rezultat (cum este și cea de abuz în serviciu), este data la care aceasta s-a consumat, adică s-a produs urmarea socialmente periculoasă.</w:t>
      </w:r>
    </w:p>
    <w:p w:rsidR="00AF59CE" w:rsidRPr="00D67F74" w:rsidRDefault="00DE572F" w:rsidP="00D67F74">
      <w:pPr>
        <w:pStyle w:val="JuQuot"/>
      </w:pPr>
      <w:r>
        <w:t>Or, chiar dacă inculpatul [Cioflină Dumitru] a aprobat efectuarea schimbului de terenuri în 14 octombrie 1996 (după acest moment, respectiv la datele de 04 decembrie 1996 și 06 decembrie 1996, realizând și alte acte de executare pentru finalizarea tranzac</w:t>
      </w:r>
      <w:r w:rsidR="00D62C82">
        <w:t>ț</w:t>
      </w:r>
      <w:r>
        <w:t>iei, inclusiv procesul-verbal de predare-primire [nr. 3319] din 11 decembrie 1996), consecin</w:t>
      </w:r>
      <w:r w:rsidR="00D62C82">
        <w:t>ț</w:t>
      </w:r>
      <w:r>
        <w:t>a păgubitoare a actelor sale s-a produs abia la data de 05 octombrie 1998, odată cu încheierea contractului de schimb în formă autentică (condi</w:t>
      </w:r>
      <w:r w:rsidR="00D62C82">
        <w:t>ț</w:t>
      </w:r>
      <w:r>
        <w:t xml:space="preserve">ie cerută </w:t>
      </w:r>
      <w:r>
        <w:rPr>
          <w:i/>
        </w:rPr>
        <w:t>ad validitatem</w:t>
      </w:r>
      <w:r>
        <w:t>), iar la această dată Legea nr. 140/1996 și, implicit, varianta calificată a infrac</w:t>
      </w:r>
      <w:r w:rsidR="00D62C82">
        <w:t>ț</w:t>
      </w:r>
      <w:r>
        <w:t>iunii de abuz în serviciu erau în vigoare.”</w:t>
      </w:r>
    </w:p>
    <w:bookmarkStart w:id="9" w:name="para0022"/>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22</w:t>
      </w:r>
      <w:r w:rsidRPr="00D67F74">
        <w:fldChar w:fldCharType="end"/>
      </w:r>
      <w:bookmarkEnd w:id="9"/>
      <w:r>
        <w:t>. Hotărârea din 20 mai 2013 con</w:t>
      </w:r>
      <w:r w:rsidR="00D62C82">
        <w:t>ț</w:t>
      </w:r>
      <w:r>
        <w:t>ine, de asemenea, următoarele pasaje:</w:t>
      </w:r>
    </w:p>
    <w:p w:rsidR="00AF59CE" w:rsidRPr="00D67F74" w:rsidRDefault="00DE572F" w:rsidP="00D67F74">
      <w:pPr>
        <w:pStyle w:val="JuQuot"/>
      </w:pPr>
      <w:r>
        <w:t>„În egală măsură, completul de 5 judecători, în opinie majoritară, va re</w:t>
      </w:r>
      <w:r w:rsidR="00D62C82">
        <w:t>ț</w:t>
      </w:r>
      <w:r>
        <w:t>ine ca și circumstan</w:t>
      </w:r>
      <w:r w:rsidR="00D62C82">
        <w:t>ț</w:t>
      </w:r>
      <w:r>
        <w:t>ă atenuantă judiciară prev. de art. 74 alin. ultim C. pen. timpul îndelungat scurs de la data comiterii faptelor, ceea ce justifică aplicarea unor sanc</w:t>
      </w:r>
      <w:r w:rsidR="00D62C82">
        <w:t>ț</w:t>
      </w:r>
      <w:r>
        <w:t>iuni orientate sub minimul special, inclusiv în cazul inculpatului [Becali George] în privin</w:t>
      </w:r>
      <w:r w:rsidR="00D62C82">
        <w:t>ț</w:t>
      </w:r>
      <w:r>
        <w:t>a căruia această cauză de atenuare a pedepsei intră în concurs cu cea de agravare reprezentată de caracterul continuat al infrac</w:t>
      </w:r>
      <w:r w:rsidR="00D62C82">
        <w:t>ț</w:t>
      </w:r>
      <w:r w:rsidR="00FE4F07">
        <w:t>iunii.</w:t>
      </w:r>
      <w:r>
        <w:t>”</w:t>
      </w:r>
    </w:p>
    <w:bookmarkStart w:id="10" w:name="para0023"/>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23</w:t>
      </w:r>
      <w:r w:rsidRPr="00D67F74">
        <w:fldChar w:fldCharType="end"/>
      </w:r>
      <w:bookmarkEnd w:id="10"/>
      <w:r>
        <w:t>. Guvernul a precizat că hotărârea din 20 mai 2013 a fost redactată în aprilie 2014 și arhivată la 24 aprilie 2014.</w:t>
      </w:r>
    </w:p>
    <w:bookmarkStart w:id="11" w:name="para0024"/>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24</w:t>
      </w:r>
      <w:r w:rsidRPr="00D67F74">
        <w:fldChar w:fldCharType="end"/>
      </w:r>
      <w:bookmarkEnd w:id="11"/>
      <w:r>
        <w:t>. De asemenea, acesta a transmis Cur</w:t>
      </w:r>
      <w:r w:rsidR="00D62C82">
        <w:t>ț</w:t>
      </w:r>
      <w:r>
        <w:t>ii extrase din mai multe versiuni ale raportului privind programul de pregătire operativă, care includ propunerea de înfiin</w:t>
      </w:r>
      <w:r w:rsidR="00D62C82">
        <w:t>ț</w:t>
      </w:r>
      <w:r>
        <w:t>are a unui punct de comandă în comuna Ș. și de alocare a fondurilor bugetare necesare în acest scop. Raportul privind programul este cosemnat de cel de-al doilea reclamant. Două versiuni ale raportului con</w:t>
      </w:r>
      <w:r w:rsidR="00D62C82">
        <w:t>ț</w:t>
      </w:r>
      <w:r>
        <w:t>in men</w:t>
      </w:r>
      <w:r w:rsidR="00D62C82">
        <w:t>ț</w:t>
      </w:r>
      <w:r>
        <w:t>iunea „strict secret”</w:t>
      </w:r>
      <w:r>
        <w:rPr>
          <w:i/>
        </w:rPr>
        <w:t xml:space="preserve">, </w:t>
      </w:r>
      <w:r>
        <w:t>iar o altă versiune poartă aceeași men</w:t>
      </w:r>
      <w:r w:rsidR="00D62C82">
        <w:t>ț</w:t>
      </w:r>
      <w:r>
        <w:t>iune tăiată, o ștampilă cu men</w:t>
      </w:r>
      <w:r w:rsidR="00D62C82">
        <w:t>ț</w:t>
      </w:r>
      <w:r>
        <w:t>iunea „declasificat” și o dată pu</w:t>
      </w:r>
      <w:r w:rsidR="00D62C82">
        <w:t>ț</w:t>
      </w:r>
      <w:r>
        <w:t>in lizibilă. Guvernul a prezentat, de asemenea, o copie a hăr</w:t>
      </w:r>
      <w:r w:rsidR="00D62C82">
        <w:t>ț</w:t>
      </w:r>
      <w:r>
        <w:t>ii României, pe care erau indicate anumite puncte de comandă. Acesta a precizat că, la 22 iunie 2013, ministerul a făcut public raportul privind programul de pregătire operativă.</w:t>
      </w:r>
    </w:p>
    <w:p w:rsidR="00AF59CE" w:rsidRPr="00D67F74" w:rsidRDefault="00DE572F" w:rsidP="00D67F74">
      <w:pPr>
        <w:pStyle w:val="JuHIRoman"/>
      </w:pPr>
      <w:r>
        <w:t>Cu privire la cea de-a doua procedură penală îndreptată împotriva primului reclamant în legătură cu fapte de corup</w:t>
      </w:r>
      <w:r w:rsidR="00D62C82">
        <w:t>ț</w:t>
      </w:r>
      <w:r>
        <w:t>ie în sport</w:t>
      </w:r>
    </w:p>
    <w:bookmarkStart w:id="12" w:name="para0025"/>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25</w:t>
      </w:r>
      <w:r w:rsidRPr="00D67F74">
        <w:fldChar w:fldCharType="end"/>
      </w:r>
      <w:bookmarkEnd w:id="12"/>
      <w:r>
        <w:t>. La 7 mai 2008, a început urmărirea penală fa</w:t>
      </w:r>
      <w:r w:rsidR="00D62C82">
        <w:t>ț</w:t>
      </w:r>
      <w:r>
        <w:t>ă de mai multe persoane, printre care și primul reclamant. Acesta era suspectat că ar fi promis sau ar fi dat mită unor jucători de la două echipe de fotbal, prin intermediul altor inculpa</w:t>
      </w:r>
      <w:r w:rsidR="00D62C82">
        <w:t>ț</w:t>
      </w:r>
      <w:r>
        <w:t>i. În aceeași zi, în timpul unei perchezi</w:t>
      </w:r>
      <w:r w:rsidR="00D62C82">
        <w:t>ț</w:t>
      </w:r>
      <w:r>
        <w:t>ii, o valiză care con</w:t>
      </w:r>
      <w:r w:rsidR="00D62C82">
        <w:t>ț</w:t>
      </w:r>
      <w:r>
        <w:t>inea bancnote în valoare de 1 700 000 de euro a fost găsită într-o mașină care fusese folosită de unele dintre persoanele învinuite.</w:t>
      </w:r>
    </w:p>
    <w:p w:rsidR="00AF59CE" w:rsidRPr="00D67F74" w:rsidRDefault="00F23E65" w:rsidP="00D67F74">
      <w:pPr>
        <w:pStyle w:val="JuPara"/>
      </w:pPr>
      <w:r>
        <w:fldChar w:fldCharType="begin"/>
      </w:r>
      <w:r>
        <w:instrText xml:space="preserve"> SEQ level0 \*arabic </w:instrText>
      </w:r>
      <w:r>
        <w:fldChar w:fldCharType="separate"/>
      </w:r>
      <w:r>
        <w:rPr>
          <w:noProof/>
        </w:rPr>
        <w:t>26</w:t>
      </w:r>
      <w:r>
        <w:fldChar w:fldCharType="end"/>
      </w:r>
      <w:r w:rsidR="00DE572F">
        <w:t xml:space="preserve">. În mai 2008, primul reclamant a </w:t>
      </w:r>
      <w:r w:rsidR="00D62C82">
        <w:t>ț</w:t>
      </w:r>
      <w:r w:rsidR="00DE572F">
        <w:t>inut o conferin</w:t>
      </w:r>
      <w:r w:rsidR="00D62C82">
        <w:t>ț</w:t>
      </w:r>
      <w:r w:rsidR="00DE572F">
        <w:t>ă de presă. Din informa</w:t>
      </w:r>
      <w:r w:rsidR="00D62C82">
        <w:t>ț</w:t>
      </w:r>
      <w:r w:rsidR="00DE572F">
        <w:t>iile comunicate de Guvern reiese că, cu această ocazie, primul reclamant a făcut comentarii cu privire la evenimentele din 7 mai 2008 și a declarat că banii găsi</w:t>
      </w:r>
      <w:r w:rsidR="00D62C82">
        <w:t>ț</w:t>
      </w:r>
      <w:r w:rsidR="00DE572F">
        <w:t>i în timpul perchezi</w:t>
      </w:r>
      <w:r w:rsidR="00D62C82">
        <w:t>ț</w:t>
      </w:r>
      <w:r w:rsidR="00DE572F">
        <w:t>iei erau, în realitate, destina</w:t>
      </w:r>
      <w:r w:rsidR="00D62C82">
        <w:t>ț</w:t>
      </w:r>
      <w:r w:rsidR="00DE572F">
        <w:t>i achizi</w:t>
      </w:r>
      <w:r w:rsidR="00D62C82">
        <w:t>ț</w:t>
      </w:r>
      <w:r w:rsidR="00DE572F">
        <w:t>ionării unui teren din Cluj-Napoca.</w:t>
      </w:r>
    </w:p>
    <w:p w:rsidR="00AF59CE" w:rsidRPr="00D67F74" w:rsidRDefault="00F23E65" w:rsidP="00D67F74">
      <w:pPr>
        <w:pStyle w:val="JuPara"/>
      </w:pPr>
      <w:r>
        <w:fldChar w:fldCharType="begin"/>
      </w:r>
      <w:r>
        <w:instrText xml:space="preserve"> SEQ level0 \*arabic </w:instrText>
      </w:r>
      <w:r>
        <w:fldChar w:fldCharType="separate"/>
      </w:r>
      <w:r>
        <w:rPr>
          <w:noProof/>
        </w:rPr>
        <w:t>27</w:t>
      </w:r>
      <w:r>
        <w:fldChar w:fldCharType="end"/>
      </w:r>
      <w:r w:rsidR="00DE572F">
        <w:t>. Printr-un rechizitoriu din 16 decembrie 2008, Direc</w:t>
      </w:r>
      <w:r w:rsidR="00D62C82">
        <w:t>ț</w:t>
      </w:r>
      <w:r w:rsidR="00DE572F">
        <w:t>ia Na</w:t>
      </w:r>
      <w:r w:rsidR="00D62C82">
        <w:t>ț</w:t>
      </w:r>
      <w:r w:rsidR="00DE572F">
        <w:t>ională Anticorup</w:t>
      </w:r>
      <w:r w:rsidR="00D62C82">
        <w:t>ț</w:t>
      </w:r>
      <w:r w:rsidR="00DE572F">
        <w:t>ie i-a trimis în judecată pe primul reclamant și opt coinculpa</w:t>
      </w:r>
      <w:r w:rsidR="00D62C82">
        <w:t>ț</w:t>
      </w:r>
      <w:r w:rsidR="00DE572F">
        <w:t>i, pentru dare de mită și fals în înscrisuri sub semnătură privată. Rechizitoriul con</w:t>
      </w:r>
      <w:r w:rsidR="00D62C82">
        <w:t>ț</w:t>
      </w:r>
      <w:r w:rsidR="00DE572F">
        <w:t>inea transcrieri ale convorbirilor telefonice pe care le-a avut primul reclamant cu respectivii coinculpa</w:t>
      </w:r>
      <w:r w:rsidR="00D62C82">
        <w:t>ț</w:t>
      </w:r>
      <w:r w:rsidR="00DE572F">
        <w:t>i și cu ter</w:t>
      </w:r>
      <w:r w:rsidR="00D62C82">
        <w:t>ț</w:t>
      </w:r>
      <w:r w:rsidR="00DE572F">
        <w:t>i.</w:t>
      </w:r>
    </w:p>
    <w:bookmarkStart w:id="13" w:name="para0028"/>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28</w:t>
      </w:r>
      <w:r w:rsidRPr="00D67F74">
        <w:fldChar w:fldCharType="end"/>
      </w:r>
      <w:bookmarkEnd w:id="13"/>
      <w:r>
        <w:t>. Cauza a fost înregistrată ini</w:t>
      </w:r>
      <w:r w:rsidR="00D62C82">
        <w:t>ț</w:t>
      </w:r>
      <w:r>
        <w:t>ial pe rolul Cur</w:t>
      </w:r>
      <w:r w:rsidR="00D62C82">
        <w:t>ț</w:t>
      </w:r>
      <w:r>
        <w:t>ii de Apel Cluj („curtea de apel”). Din informa</w:t>
      </w:r>
      <w:r w:rsidR="00D62C82">
        <w:t>ț</w:t>
      </w:r>
      <w:r>
        <w:t>iile furnizate Guvernului de curtea de apel reiese că această instan</w:t>
      </w:r>
      <w:r w:rsidR="00D62C82">
        <w:t>ț</w:t>
      </w:r>
      <w:r>
        <w:t>ă a înregistrat cauza pe rolul său la 18 decembrie 2008 și că a permis accesul jurnaliștilor la documentele din dosar. De asemenea, reiese că, între 23 decembrie 2008 și 6 februarie 2009, curtea de apel a înregistrat 16 cereri din partea unor jurnaliști care doreau să consulte dosarul ori să realizeze fotocopii, fotografii sau înregistrări. Aceasta a admis 15 cereri, dintre care unele sub rezerva „protec</w:t>
      </w:r>
      <w:r w:rsidR="00D62C82">
        <w:t>ț</w:t>
      </w:r>
      <w:r>
        <w:t>iei datelor cu caracter personal” sau a „ascunderii ștampilei și semnăturii”. Aceasta a respins o cerere formulată la 4 februarie 2009 pentru motivul că fotocopia declara</w:t>
      </w:r>
      <w:r w:rsidR="00D62C82">
        <w:t>ț</w:t>
      </w:r>
      <w:r>
        <w:t>iilor martorilor sau a contractelor de muncă și copia unei înregistrări video con</w:t>
      </w:r>
      <w:r w:rsidR="00D62C82">
        <w:t>ț</w:t>
      </w:r>
      <w:r>
        <w:t>ineau date cu caracter personal. Aceasta a respins alte două cereri de fotocopii formulate în aceeași zi, considerând că fotocopiile solicitate ale declara</w:t>
      </w:r>
      <w:r w:rsidR="00D62C82">
        <w:t>ț</w:t>
      </w:r>
      <w:r>
        <w:t>iilor martorilor ar fi putut să aducă prejudicii persoanelor implicate sau să aducă atingere desfășurării procedurii.</w:t>
      </w:r>
    </w:p>
    <w:p w:rsidR="00AF59CE" w:rsidRPr="00D67F74" w:rsidRDefault="00F23E65" w:rsidP="00D67F74">
      <w:pPr>
        <w:pStyle w:val="JuPara"/>
      </w:pPr>
      <w:r>
        <w:fldChar w:fldCharType="begin"/>
      </w:r>
      <w:r>
        <w:instrText xml:space="preserve"> SEQ level0 \*arabic </w:instrText>
      </w:r>
      <w:r>
        <w:fldChar w:fldCharType="separate"/>
      </w:r>
      <w:r>
        <w:rPr>
          <w:noProof/>
        </w:rPr>
        <w:t>29</w:t>
      </w:r>
      <w:r>
        <w:fldChar w:fldCharType="end"/>
      </w:r>
      <w:r w:rsidR="00DE572F">
        <w:t>. La 6 octombrie 2009, cauza a fost trimisă în fa</w:t>
      </w:r>
      <w:r w:rsidR="00D62C82">
        <w:t>ț</w:t>
      </w:r>
      <w:r w:rsidR="00DE572F">
        <w:t>a Înaltei Cur</w:t>
      </w:r>
      <w:r w:rsidR="00D62C82">
        <w:t>ț</w:t>
      </w:r>
      <w:r w:rsidR="00DE572F">
        <w:t>i ca urmare a dobândirii calită</w:t>
      </w:r>
      <w:r w:rsidR="00D62C82">
        <w:t>ț</w:t>
      </w:r>
      <w:r w:rsidR="00DE572F">
        <w:t>ii de europarlamentar de către primul reclamant.</w:t>
      </w:r>
    </w:p>
    <w:bookmarkStart w:id="14" w:name="para0030"/>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30</w:t>
      </w:r>
      <w:r w:rsidRPr="00D67F74">
        <w:fldChar w:fldCharType="end"/>
      </w:r>
      <w:bookmarkEnd w:id="14"/>
      <w:r>
        <w:t>. Printr-o decizie din 4 iunie 2013, un complet de cinci judecători al Înaltei Cur</w:t>
      </w:r>
      <w:r w:rsidR="00D62C82">
        <w:t>ț</w:t>
      </w:r>
      <w:r>
        <w:t>i a casat decizia de achitare pronun</w:t>
      </w:r>
      <w:r w:rsidR="00D62C82">
        <w:t>ț</w:t>
      </w:r>
      <w:r>
        <w:t>ată în primă instan</w:t>
      </w:r>
      <w:r w:rsidR="00D62C82">
        <w:t>ț</w:t>
      </w:r>
      <w:r>
        <w:t>ă de un complet de trei judecători al acesteia și l</w:t>
      </w:r>
      <w:r w:rsidR="00810DCC">
        <w:noBreakHyphen/>
      </w:r>
      <w:r>
        <w:t>a condamnat pe reclamant la o pedeapsă de trei ani de închisoare cu executare pentru dare de mită și fals în înscrisuri sub semnătură privată.</w:t>
      </w:r>
    </w:p>
    <w:p w:rsidR="00AF59CE" w:rsidRPr="00D67F74" w:rsidRDefault="00F23E65" w:rsidP="00D67F74">
      <w:pPr>
        <w:pStyle w:val="JuPara"/>
      </w:pPr>
      <w:r>
        <w:fldChar w:fldCharType="begin"/>
      </w:r>
      <w:r>
        <w:instrText xml:space="preserve"> SEQ level0 \*arabic </w:instrText>
      </w:r>
      <w:r>
        <w:fldChar w:fldCharType="separate"/>
      </w:r>
      <w:r>
        <w:rPr>
          <w:noProof/>
        </w:rPr>
        <w:t>31</w:t>
      </w:r>
      <w:r>
        <w:fldChar w:fldCharType="end"/>
      </w:r>
      <w:r w:rsidR="00DE572F">
        <w:t>. Reclamantul a prezentat copii ale unor articole de presă în care erau rezumate sau reproduse în totalitate conversa</w:t>
      </w:r>
      <w:r w:rsidR="00D62C82">
        <w:t>ț</w:t>
      </w:r>
      <w:r w:rsidR="00DE572F">
        <w:t>iile telefonice pe care le-a avut cu respectivii coinculpa</w:t>
      </w:r>
      <w:r w:rsidR="00D62C82">
        <w:t>ț</w:t>
      </w:r>
      <w:r w:rsidR="00DE572F">
        <w:t>i și cu ter</w:t>
      </w:r>
      <w:r w:rsidR="00D62C82">
        <w:t>ț</w:t>
      </w:r>
      <w:r w:rsidR="00DE572F">
        <w:t>i. Aceste articole au fost imprimate de pe site-urile Internet unde au fost publicate la date cuprinse între 18 decembrie 2008, orele 15:12, și 18 iulie 2013.</w:t>
      </w:r>
    </w:p>
    <w:p w:rsidR="00AF59CE" w:rsidRPr="00D67F74" w:rsidRDefault="00DE572F" w:rsidP="00D67F74">
      <w:pPr>
        <w:pStyle w:val="JuHIRoman"/>
      </w:pPr>
      <w:r>
        <w:t>Cu privire la cea de-a treia procedură penală îndreptată împotriva primului reclamant în legătură cu sechestrarea unor persoane</w:t>
      </w:r>
    </w:p>
    <w:bookmarkStart w:id="15" w:name="para0032"/>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32</w:t>
      </w:r>
      <w:r w:rsidRPr="00D67F74">
        <w:fldChar w:fldCharType="end"/>
      </w:r>
      <w:bookmarkEnd w:id="15"/>
      <w:r>
        <w:t>. Printr-o hotărâre definitivă din 11 februarie 2013, un complet de cinci judecători al Înaltei Cur</w:t>
      </w:r>
      <w:r w:rsidR="00D62C82">
        <w:t>ț</w:t>
      </w:r>
      <w:r>
        <w:t>i a casat hotărârea de achitare pronun</w:t>
      </w:r>
      <w:r w:rsidR="00D62C82">
        <w:t>ț</w:t>
      </w:r>
      <w:r>
        <w:t>ată în primă instan</w:t>
      </w:r>
      <w:r w:rsidR="00D62C82">
        <w:t>ț</w:t>
      </w:r>
      <w:r>
        <w:t>ă de un complet de trei judecători al acesteia și l-a condamnat pe reclamant la o pedeapsă de trei ani de închisoare cu suspendare pentru sechestrare de persoane. Înalta Curte a statuat că reclamantul le ceruse coinculpa</w:t>
      </w:r>
      <w:r w:rsidR="00D62C82">
        <w:t>ț</w:t>
      </w:r>
      <w:r>
        <w:t>ilor acestuia să re</w:t>
      </w:r>
      <w:r w:rsidR="00D62C82">
        <w:t>ț</w:t>
      </w:r>
      <w:r>
        <w:t>ină trei persoane pe care le suspecta că îi furaseră autoturismul și să le aducă la acesta (cu for</w:t>
      </w:r>
      <w:r w:rsidR="00D62C82">
        <w:t>ț</w:t>
      </w:r>
      <w:r>
        <w:t>a) pentru a negocia condi</w:t>
      </w:r>
      <w:r w:rsidR="00D62C82">
        <w:t>ț</w:t>
      </w:r>
      <w:r>
        <w:t>iile de restituire a bunului său.</w:t>
      </w:r>
    </w:p>
    <w:p w:rsidR="00AF59CE" w:rsidRPr="00D67F74" w:rsidRDefault="00DE572F" w:rsidP="00D67F74">
      <w:pPr>
        <w:pStyle w:val="JuHHead"/>
      </w:pPr>
      <w:r>
        <w:t>CADRUL JURIDIC INTERN RELEVANT</w:t>
      </w:r>
    </w:p>
    <w:bookmarkStart w:id="16" w:name="para0033"/>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33</w:t>
      </w:r>
      <w:r w:rsidRPr="00D67F74">
        <w:fldChar w:fldCharType="end"/>
      </w:r>
      <w:bookmarkEnd w:id="16"/>
      <w:r>
        <w:t>. Legea nr. 140/1996, care a intrat în vigoare la 14 noiembrie 1996, con</w:t>
      </w:r>
      <w:r w:rsidR="00D62C82">
        <w:t>ț</w:t>
      </w:r>
      <w:r>
        <w:t>inea următoarele dispozi</w:t>
      </w:r>
      <w:r w:rsidR="00D62C82">
        <w:t>ț</w:t>
      </w:r>
      <w:r>
        <w:t>ii:</w:t>
      </w:r>
    </w:p>
    <w:p w:rsidR="00AF59CE" w:rsidRPr="00D67F74" w:rsidRDefault="00DE572F" w:rsidP="00D67F74">
      <w:pPr>
        <w:pStyle w:val="JuQuot"/>
        <w:jc w:val="center"/>
        <w:rPr>
          <w:b/>
        </w:rPr>
      </w:pPr>
      <w:r>
        <w:rPr>
          <w:b/>
        </w:rPr>
        <w:t>Art. I alin. 110</w:t>
      </w:r>
    </w:p>
    <w:p w:rsidR="00AF59CE" w:rsidRPr="00D67F74" w:rsidRDefault="00DE572F" w:rsidP="00D67F74">
      <w:pPr>
        <w:pStyle w:val="JuQuot"/>
      </w:pPr>
      <w:r>
        <w:t>„După articolul 248 se introduce articolul 248^1, care va avea următorul cuprins:</w:t>
      </w:r>
    </w:p>
    <w:p w:rsidR="00AF59CE" w:rsidRPr="00D67F74" w:rsidRDefault="00DE572F" w:rsidP="00D67F74">
      <w:pPr>
        <w:pStyle w:val="JuQuot"/>
        <w:rPr>
          <w:b/>
        </w:rPr>
      </w:pPr>
      <w:r>
        <w:t>Abuzul în serviciu în formă calificată</w:t>
      </w:r>
    </w:p>
    <w:p w:rsidR="00AF59CE" w:rsidRPr="00D67F74" w:rsidRDefault="00DE572F" w:rsidP="00D67F74">
      <w:pPr>
        <w:pStyle w:val="JuQuot"/>
      </w:pPr>
      <w:r>
        <w:t>Articolul 248^1 ‒ Dacă faptele prevăzute în art. 246, 247 și 248 au avut consecin</w:t>
      </w:r>
      <w:r w:rsidR="00D62C82">
        <w:t>ț</w:t>
      </w:r>
      <w:r>
        <w:t>e deosebit de grave, se pedepsesc cu închisoare de la 5 la 15 ani</w:t>
      </w:r>
      <w:r w:rsidR="00FE4F07">
        <w:t xml:space="preserve"> și interzicerea unor drepturi.</w:t>
      </w:r>
      <w:r>
        <w:t>”</w:t>
      </w:r>
    </w:p>
    <w:bookmarkStart w:id="17" w:name="para0034"/>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34</w:t>
      </w:r>
      <w:r w:rsidRPr="00D67F74">
        <w:fldChar w:fldCharType="end"/>
      </w:r>
      <w:bookmarkEnd w:id="17"/>
      <w:r>
        <w:t>. Articolul 92 din Regulamentul de ordine interioară al instan</w:t>
      </w:r>
      <w:r w:rsidR="00D62C82">
        <w:t>ț</w:t>
      </w:r>
      <w:r>
        <w:t>elor judecătorești, adoptat de Consiliul Superior al Magistraturii, care a fost în vigoare între 22 septembrie 2005 și 27 decembrie 2015, con</w:t>
      </w:r>
      <w:r w:rsidR="00D62C82">
        <w:t>ț</w:t>
      </w:r>
      <w:r>
        <w:t>inea următoarele dispozi</w:t>
      </w:r>
      <w:r w:rsidR="00D62C82">
        <w:t>ț</w:t>
      </w:r>
      <w:r>
        <w:t>ii:</w:t>
      </w:r>
    </w:p>
    <w:p w:rsidR="00AF59CE" w:rsidRPr="00D67F74" w:rsidRDefault="00DE572F" w:rsidP="00D67F74">
      <w:pPr>
        <w:pStyle w:val="JuQuot"/>
      </w:pPr>
      <w:r>
        <w:t>„[...]</w:t>
      </w:r>
    </w:p>
    <w:p w:rsidR="00AF59CE" w:rsidRPr="00D67F74" w:rsidRDefault="00DE572F" w:rsidP="00D67F74">
      <w:pPr>
        <w:pStyle w:val="JuQuot"/>
      </w:pPr>
      <w:r>
        <w:t>(2) Dosarele și eviden</w:t>
      </w:r>
      <w:r w:rsidR="00D62C82">
        <w:t>ț</w:t>
      </w:r>
      <w:r>
        <w:t>ele instan</w:t>
      </w:r>
      <w:r w:rsidR="00D62C82">
        <w:t>ț</w:t>
      </w:r>
      <w:r>
        <w:t>ei privitoare la activitatea de judecată pot fi consultate de persoanele care justifică un interes legitim [...] Cererile formulate de ziariști se aprobă de purtătorul de cuvânt sau, în lipsa acestuia, de persoana care coordonează activitatea compartimentului arhivă.</w:t>
      </w:r>
    </w:p>
    <w:p w:rsidR="00AF59CE" w:rsidRPr="00D67F74" w:rsidRDefault="00DE572F" w:rsidP="00D67F74">
      <w:pPr>
        <w:pStyle w:val="JuQuot"/>
      </w:pPr>
      <w:r>
        <w:t>[...]</w:t>
      </w:r>
    </w:p>
    <w:p w:rsidR="00AF59CE" w:rsidRPr="00D67F74" w:rsidRDefault="00DE572F" w:rsidP="00D67F74">
      <w:pPr>
        <w:pStyle w:val="JuQuot"/>
      </w:pPr>
      <w:r>
        <w:t>(5) Au prioritate la consultarea dosarului cauzei, în următoarea ordine: avoca</w:t>
      </w:r>
      <w:r w:rsidR="00D62C82">
        <w:t>ț</w:t>
      </w:r>
      <w:r>
        <w:t>ii, păr</w:t>
      </w:r>
      <w:r w:rsidR="00D62C82">
        <w:t>ț</w:t>
      </w:r>
      <w:r>
        <w:t>ile sau reprezentan</w:t>
      </w:r>
      <w:r w:rsidR="00D62C82">
        <w:t>ț</w:t>
      </w:r>
      <w:r>
        <w:t>ii păr</w:t>
      </w:r>
      <w:r w:rsidR="00D62C82">
        <w:t>ț</w:t>
      </w:r>
      <w:r>
        <w:t>ilor, exper</w:t>
      </w:r>
      <w:r w:rsidR="00D62C82">
        <w:t>ț</w:t>
      </w:r>
      <w:r>
        <w:t>ii și interpre</w:t>
      </w:r>
      <w:r w:rsidR="00D62C82">
        <w:t>ț</w:t>
      </w:r>
      <w:r>
        <w:t>ii desemna</w:t>
      </w:r>
      <w:r w:rsidR="00D62C82">
        <w:t>ț</w:t>
      </w:r>
      <w:r>
        <w:t>i în cauză.</w:t>
      </w:r>
    </w:p>
    <w:p w:rsidR="00AF59CE" w:rsidRPr="00D67F74" w:rsidRDefault="00DE572F" w:rsidP="00D67F74">
      <w:pPr>
        <w:pStyle w:val="JuQuot"/>
      </w:pPr>
      <w:r>
        <w:t>(6) Dosarele privind cauzele care au fost sau sunt judecate în ședin</w:t>
      </w:r>
      <w:r w:rsidR="00D62C82">
        <w:t>ț</w:t>
      </w:r>
      <w:r>
        <w:t>ă secretă, cele privind adop</w:t>
      </w:r>
      <w:r w:rsidR="00D62C82">
        <w:t>ț</w:t>
      </w:r>
      <w:r>
        <w:t>iile, precum și cele privind autorizarea efectuării perchezi</w:t>
      </w:r>
      <w:r w:rsidR="00D62C82">
        <w:t>ț</w:t>
      </w:r>
      <w:r>
        <w:t>iilor și confirmarea și autorizarea interceptărilor și înregistrărilor convorbirilor telefonice pot fi consultate numai de către persoanele men</w:t>
      </w:r>
      <w:r w:rsidR="00D62C82">
        <w:t>ț</w:t>
      </w:r>
      <w:r>
        <w:t>ionate la alin. (5), în condi</w:t>
      </w:r>
      <w:r w:rsidR="00D62C82">
        <w:t>ț</w:t>
      </w:r>
      <w:r>
        <w:t>iile legii. În același mod pot fi consultate documentele [...] instan</w:t>
      </w:r>
      <w:r w:rsidR="00D62C82">
        <w:t>ț</w:t>
      </w:r>
      <w:r>
        <w:t>ei care presupun confiden</w:t>
      </w:r>
      <w:r w:rsidR="00D62C82">
        <w:t>ț</w:t>
      </w:r>
      <w:r>
        <w:t>ialitate.”</w:t>
      </w:r>
    </w:p>
    <w:p w:rsidR="00AF59CE" w:rsidRPr="00D67F74" w:rsidRDefault="00DE572F" w:rsidP="00D67F74">
      <w:pPr>
        <w:pStyle w:val="JuHHead"/>
      </w:pPr>
      <w:r>
        <w:t>ÎN DREPT</w:t>
      </w:r>
    </w:p>
    <w:p w:rsidR="00AF59CE" w:rsidRPr="00D67F74" w:rsidRDefault="00DE572F" w:rsidP="00D67F74">
      <w:pPr>
        <w:pStyle w:val="JuHIRoman"/>
      </w:pPr>
      <w:r>
        <w:t>CU PRIVIRE LA PRETINSA ÎNCĂLCARE A ART. 6 DIN CONVENȚIE</w:t>
      </w:r>
    </w:p>
    <w:p w:rsidR="00AF59CE" w:rsidRPr="00D67F74" w:rsidRDefault="00F23E65" w:rsidP="00D67F74">
      <w:pPr>
        <w:pStyle w:val="JuPara"/>
      </w:pPr>
      <w:r>
        <w:fldChar w:fldCharType="begin"/>
      </w:r>
      <w:r>
        <w:instrText xml:space="preserve"> SEQ level0 \*arabic </w:instrText>
      </w:r>
      <w:r>
        <w:fldChar w:fldCharType="separate"/>
      </w:r>
      <w:r>
        <w:rPr>
          <w:noProof/>
        </w:rPr>
        <w:t>35</w:t>
      </w:r>
      <w:r>
        <w:fldChar w:fldCharType="end"/>
      </w:r>
      <w:r w:rsidR="00DE572F">
        <w:t>. Reclaman</w:t>
      </w:r>
      <w:r w:rsidR="00D62C82">
        <w:t>ț</w:t>
      </w:r>
      <w:r w:rsidR="00DE572F">
        <w:t>ii se plâng de o încălcare a principiului contradictorialită</w:t>
      </w:r>
      <w:r w:rsidR="00D62C82">
        <w:t>ț</w:t>
      </w:r>
      <w:r w:rsidR="00DE572F">
        <w:t>ii ca urmare a utilizării unor documente confiden</w:t>
      </w:r>
      <w:r w:rsidR="00D62C82">
        <w:t>ț</w:t>
      </w:r>
      <w:r w:rsidR="00DE572F">
        <w:t>iale în cadrul primei proceduri penale îndreptate împotriva lor. În plus, sus</w:t>
      </w:r>
      <w:r w:rsidR="00D62C82">
        <w:t>ț</w:t>
      </w:r>
      <w:r w:rsidR="00DE572F">
        <w:t xml:space="preserve">in că durata acestei proceduri a fost </w:t>
      </w:r>
      <w:r w:rsidR="00FE4F07">
        <w:t xml:space="preserve">excesivă. Aceștia invocă art. 6 </w:t>
      </w:r>
      <w:r w:rsidR="00DE572F">
        <w:t>§ 1 din Conven</w:t>
      </w:r>
      <w:r w:rsidR="00D62C82">
        <w:t>ț</w:t>
      </w:r>
      <w:r w:rsidR="00DE572F">
        <w:t>ie, redactat după cum urmează:</w:t>
      </w:r>
    </w:p>
    <w:p w:rsidR="00AF59CE" w:rsidRPr="00D67F74" w:rsidRDefault="00DE572F" w:rsidP="00D67F74">
      <w:pPr>
        <w:pStyle w:val="JuQuot"/>
      </w:pPr>
      <w:r>
        <w:t>„Orice persoană are dreptul la judecarea în mod echitabil […] și într-un termen rezonabil a cauzei sale, de către o instan</w:t>
      </w:r>
      <w:r w:rsidR="00D62C82">
        <w:t>ț</w:t>
      </w:r>
      <w:r>
        <w:t>ă […] care va hotărî […] asupra temeiniciei oricărei acuza</w:t>
      </w:r>
      <w:r w:rsidR="00D62C82">
        <w:t>ț</w:t>
      </w:r>
      <w:r>
        <w:t>ii în materie penală îndreptate împotriva sa.”</w:t>
      </w:r>
    </w:p>
    <w:p w:rsidR="00AF59CE" w:rsidRPr="00D67F74" w:rsidRDefault="00F23E65" w:rsidP="00D67F74">
      <w:pPr>
        <w:pStyle w:val="JuPara"/>
      </w:pPr>
      <w:r>
        <w:fldChar w:fldCharType="begin"/>
      </w:r>
      <w:r>
        <w:instrText xml:space="preserve"> SEQ level0 \*arabic </w:instrText>
      </w:r>
      <w:r>
        <w:fldChar w:fldCharType="separate"/>
      </w:r>
      <w:r>
        <w:rPr>
          <w:noProof/>
        </w:rPr>
        <w:t>36</w:t>
      </w:r>
      <w:r>
        <w:fldChar w:fldCharType="end"/>
      </w:r>
      <w:r w:rsidR="00DE572F">
        <w:t>. Curtea observă că plângerea formulată de reclaman</w:t>
      </w:r>
      <w:r w:rsidR="00D62C82">
        <w:t>ț</w:t>
      </w:r>
      <w:r w:rsidR="00DE572F">
        <w:t>i cuprinde două capete de cerere, pe care le va examina separat în continuare.</w:t>
      </w:r>
    </w:p>
    <w:p w:rsidR="00AF59CE" w:rsidRPr="00D67F74" w:rsidRDefault="00DE572F" w:rsidP="00D67F74">
      <w:pPr>
        <w:pStyle w:val="JuHA"/>
        <w:numPr>
          <w:ilvl w:val="2"/>
          <w:numId w:val="23"/>
        </w:numPr>
      </w:pPr>
      <w:r>
        <w:t>Cu privire la utilizarea documentelor confiden</w:t>
      </w:r>
      <w:r w:rsidR="00D62C82">
        <w:t>ț</w:t>
      </w:r>
      <w:r>
        <w:t>iale</w:t>
      </w:r>
    </w:p>
    <w:p w:rsidR="00AF59CE" w:rsidRPr="00D67F74" w:rsidRDefault="00DE572F" w:rsidP="00D67F74">
      <w:pPr>
        <w:pStyle w:val="JuH1"/>
        <w:numPr>
          <w:ilvl w:val="3"/>
          <w:numId w:val="23"/>
        </w:numPr>
      </w:pPr>
      <w:r>
        <w:t>Argumentele păr</w:t>
      </w:r>
      <w:r w:rsidR="00D62C82">
        <w:t>ț</w:t>
      </w:r>
      <w:r>
        <w:t>ilor</w:t>
      </w:r>
    </w:p>
    <w:p w:rsidR="00AF59CE" w:rsidRPr="00D67F74" w:rsidRDefault="00DE572F" w:rsidP="00D67F74">
      <w:pPr>
        <w:pStyle w:val="JuHa0"/>
        <w:numPr>
          <w:ilvl w:val="4"/>
          <w:numId w:val="23"/>
        </w:numPr>
      </w:pPr>
      <w:bookmarkStart w:id="18" w:name="lt_pId911"/>
      <w:r>
        <w:t>Guvernul</w:t>
      </w:r>
      <w:bookmarkEnd w:id="18"/>
    </w:p>
    <w:bookmarkStart w:id="19" w:name="para0037"/>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37</w:t>
      </w:r>
      <w:r w:rsidRPr="00D67F74">
        <w:fldChar w:fldCharType="end"/>
      </w:r>
      <w:bookmarkEnd w:id="19"/>
      <w:r>
        <w:t>. Guvernul invocă mai multe excep</w:t>
      </w:r>
      <w:r w:rsidR="00D62C82">
        <w:t>ț</w:t>
      </w:r>
      <w:r>
        <w:t>ii de inadmisibilitate. Acesta sus</w:t>
      </w:r>
      <w:r w:rsidR="00D62C82">
        <w:t>ț</w:t>
      </w:r>
      <w:r>
        <w:t>ine, în primul rând, că reclaman</w:t>
      </w:r>
      <w:r w:rsidR="00D62C82">
        <w:t>ț</w:t>
      </w:r>
      <w:r>
        <w:t>ii au folosit abuziv dreptul de recurs, sus</w:t>
      </w:r>
      <w:r w:rsidR="00D62C82">
        <w:t>ț</w:t>
      </w:r>
      <w:r>
        <w:t>inând că aceștia nu au informat Curtea cu privire la faptul că al doilea reclamant prezentase el însuși completului de cinci judecători al Înaltei Cur</w:t>
      </w:r>
      <w:r w:rsidR="00D62C82">
        <w:t>ț</w:t>
      </w:r>
      <w:r>
        <w:t>i o copie a raportului privind programul de pregătire operativă din iunie 1996. Acesta invocă, de asemenea, neepuizarea căilor de atac interne, afirmând în acest sens că avocatul reclaman</w:t>
      </w:r>
      <w:r w:rsidR="00D62C82">
        <w:t>ț</w:t>
      </w:r>
      <w:r>
        <w:t>ilor a solicitat cu întârziere autoriza</w:t>
      </w:r>
      <w:r w:rsidR="00D62C82">
        <w:t>ț</w:t>
      </w:r>
      <w:r>
        <w:t>ia necesară pentru a avea acces la documentele secrete.</w:t>
      </w:r>
    </w:p>
    <w:p w:rsidR="00AF59CE" w:rsidRPr="00D67F74" w:rsidRDefault="00F23E65" w:rsidP="00D67F74">
      <w:pPr>
        <w:pStyle w:val="JuPara"/>
      </w:pPr>
      <w:r>
        <w:fldChar w:fldCharType="begin"/>
      </w:r>
      <w:r>
        <w:instrText xml:space="preserve"> SEQ level0 \*arabic </w:instrText>
      </w:r>
      <w:r>
        <w:fldChar w:fldCharType="separate"/>
      </w:r>
      <w:r>
        <w:rPr>
          <w:noProof/>
        </w:rPr>
        <w:t>38</w:t>
      </w:r>
      <w:r>
        <w:fldChar w:fldCharType="end"/>
      </w:r>
      <w:r w:rsidR="00DE572F">
        <w:t>. În continuare, argumentează că respectivul capăt de cerere este vădit nefondat, afirmând că documentul în cauză nu a servit în niciun fel drept temei pentru constatarea vinovă</w:t>
      </w:r>
      <w:r w:rsidR="00D62C82">
        <w:t>ț</w:t>
      </w:r>
      <w:r w:rsidR="00DE572F">
        <w:t>iei primului reclamant și nici nu a avut vreo importan</w:t>
      </w:r>
      <w:r w:rsidR="00D62C82">
        <w:t>ț</w:t>
      </w:r>
      <w:r w:rsidR="00DE572F">
        <w:t>ă pentru condamnarea celui de-al doilea reclamant și stabilirea pedepsei aplicate acestuia.</w:t>
      </w:r>
    </w:p>
    <w:bookmarkStart w:id="20" w:name="para0039"/>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39</w:t>
      </w:r>
      <w:r w:rsidRPr="00D67F74">
        <w:fldChar w:fldCharType="end"/>
      </w:r>
      <w:bookmarkEnd w:id="20"/>
      <w:r>
        <w:t>. Guvernul precizează că toate documentele confiden</w:t>
      </w:r>
      <w:r w:rsidR="00D62C82">
        <w:t>ț</w:t>
      </w:r>
      <w:r>
        <w:t>iale au fost făcute publice în martie 2012, cu excep</w:t>
      </w:r>
      <w:r w:rsidR="00D62C82">
        <w:t>ț</w:t>
      </w:r>
      <w:r>
        <w:t xml:space="preserve">ia raportului privind programul de pregătire operativă din iunie 1996, care, în opinia sa, </w:t>
      </w:r>
      <w:r w:rsidR="00D62C82">
        <w:t>ț</w:t>
      </w:r>
      <w:r>
        <w:t>inea de securitatea na</w:t>
      </w:r>
      <w:r w:rsidR="00D62C82">
        <w:t>ț</w:t>
      </w:r>
      <w:r>
        <w:t>ională și încă era în vigoare la momentul respectiv. Adaugă că acest document avea legătură doar cu acuza</w:t>
      </w:r>
      <w:r w:rsidR="00D62C82">
        <w:t>ț</w:t>
      </w:r>
      <w:r>
        <w:t>iile formulate împotriva celui de-al doilea reclamant, care a depus el însuși la Înalta Curte o copie a acestui raport. Acesta afirmă că a constatat, după ce a comparat copia documentului respectiv depusă la dosar de cel de-al doilea reclamant cu versiunea documentului făcută publică în iunie 2013, că din documentul prezentat de cel de-al doilea reclamant lipsea doar copia hăr</w:t>
      </w:r>
      <w:r w:rsidR="00D62C82">
        <w:t>ț</w:t>
      </w:r>
      <w:r>
        <w:t>ii. Apreciază că această hartă nu era relevantă pentru stabilirea faptelor. În plus, potrivit Guvernului, reclaman</w:t>
      </w:r>
      <w:r w:rsidR="00D62C82">
        <w:t>ț</w:t>
      </w:r>
      <w:r>
        <w:t>ii ar fi putut să angajeze un avocat care avea autoriza</w:t>
      </w:r>
      <w:r w:rsidR="00D62C82">
        <w:t>ț</w:t>
      </w:r>
      <w:r>
        <w:t>ia necesară pentru a consulta documentele secrete.</w:t>
      </w:r>
    </w:p>
    <w:p w:rsidR="00AF59CE" w:rsidRPr="00D67F74" w:rsidRDefault="00DE572F" w:rsidP="00D67F74">
      <w:pPr>
        <w:pStyle w:val="JuHa0"/>
        <w:numPr>
          <w:ilvl w:val="4"/>
          <w:numId w:val="23"/>
        </w:numPr>
      </w:pPr>
      <w:bookmarkStart w:id="21" w:name="lt_pId1008"/>
      <w:r>
        <w:t>Reclaman</w:t>
      </w:r>
      <w:r w:rsidR="00D62C82">
        <w:t>ț</w:t>
      </w:r>
      <w:r>
        <w:t>ii</w:t>
      </w:r>
      <w:bookmarkEnd w:id="21"/>
    </w:p>
    <w:bookmarkStart w:id="22" w:name="para0040"/>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40</w:t>
      </w:r>
      <w:r w:rsidRPr="00D67F74">
        <w:fldChar w:fldCharType="end"/>
      </w:r>
      <w:bookmarkEnd w:id="22"/>
      <w:r w:rsidR="0004539A">
        <w:t xml:space="preserve">. </w:t>
      </w:r>
      <w:r>
        <w:t>Reclaman</w:t>
      </w:r>
      <w:r w:rsidR="00D62C82">
        <w:t>ț</w:t>
      </w:r>
      <w:r>
        <w:t>ii consideră că faptul că al doilea reclamant a prezentat instan</w:t>
      </w:r>
      <w:r w:rsidR="00D62C82">
        <w:t>ț</w:t>
      </w:r>
      <w:r>
        <w:t>elor interne o copie a raportului în cauză nu scutește instan</w:t>
      </w:r>
      <w:r w:rsidR="00D62C82">
        <w:t>ț</w:t>
      </w:r>
      <w:r>
        <w:t>ele de obliga</w:t>
      </w:r>
      <w:r w:rsidR="00D62C82">
        <w:t>ț</w:t>
      </w:r>
      <w:r>
        <w:t>ia de a le acorda acces la documentele depuse la dosar. Aceștia precizează că documentul în cauză era doar o copie și că, prin urmare, nu puteau ști dacă acesta avea exact același con</w:t>
      </w:r>
      <w:r w:rsidR="00D62C82">
        <w:t>ț</w:t>
      </w:r>
      <w:r>
        <w:t>inut ca și versiunea confiden</w:t>
      </w:r>
      <w:r w:rsidR="00D62C82">
        <w:t>ț</w:t>
      </w:r>
      <w:r>
        <w:t>ială prezentată instan</w:t>
      </w:r>
      <w:r w:rsidR="00D62C82">
        <w:t>ț</w:t>
      </w:r>
      <w:r>
        <w:t>elor. Ei afirmă că versiunea documentului care a fost făcută publică la finalul procedurii avea anexată o hartă care a fost folosită de parchet pentru a-l pune sub acuzare pe cel de-al doilea reclamant.</w:t>
      </w:r>
    </w:p>
    <w:p w:rsidR="00AF59CE" w:rsidRPr="00D67F74" w:rsidRDefault="00F23E65" w:rsidP="00D67F74">
      <w:pPr>
        <w:pStyle w:val="JuPara"/>
      </w:pPr>
      <w:r>
        <w:fldChar w:fldCharType="begin"/>
      </w:r>
      <w:r>
        <w:instrText xml:space="preserve"> SEQ level0 \*arabic </w:instrText>
      </w:r>
      <w:r>
        <w:fldChar w:fldCharType="separate"/>
      </w:r>
      <w:r>
        <w:rPr>
          <w:noProof/>
        </w:rPr>
        <w:t>41</w:t>
      </w:r>
      <w:r>
        <w:fldChar w:fldCharType="end"/>
      </w:r>
      <w:r w:rsidR="00DE572F">
        <w:t>. De asemenea, reclaman</w:t>
      </w:r>
      <w:r w:rsidR="00D62C82">
        <w:t>ț</w:t>
      </w:r>
      <w:r w:rsidR="00DE572F">
        <w:t>ii afirmă că avocatul lor a ac</w:t>
      </w:r>
      <w:r w:rsidR="00D62C82">
        <w:t>ț</w:t>
      </w:r>
      <w:r w:rsidR="00DE572F">
        <w:t>ionat cu diligen</w:t>
      </w:r>
      <w:r w:rsidR="00D62C82">
        <w:t>ț</w:t>
      </w:r>
      <w:r w:rsidR="00DE572F">
        <w:t>ă atunci când a solicitat, în apel, audierea în calitate de martor a persoanei care a elaborat harta, considerând că această mărturie ar fi putut atenua dificultă</w:t>
      </w:r>
      <w:r w:rsidR="00D62C82">
        <w:t>ț</w:t>
      </w:r>
      <w:r w:rsidR="00DE572F">
        <w:t>ile create de clasificarea documentului în cauză. Aceștia adaugă că avocatul a solicitat amânarea procedurii abia după respingerea acestei cereri de către Înalta Curte, pentru a putea ob</w:t>
      </w:r>
      <w:r w:rsidR="00D62C82">
        <w:t>ț</w:t>
      </w:r>
      <w:r w:rsidR="00DE572F">
        <w:t>ine autoriza</w:t>
      </w:r>
      <w:r w:rsidR="00D62C82">
        <w:t>ț</w:t>
      </w:r>
      <w:r w:rsidR="00DE572F">
        <w:t>ia de acces la documentele secrete. Ei argumentează că această autoriza</w:t>
      </w:r>
      <w:r w:rsidR="00D62C82">
        <w:t>ț</w:t>
      </w:r>
      <w:r w:rsidR="00DE572F">
        <w:t>ie ar fi fost inutilă, explicând că doar al doilea reclamant, care cunoștea procedurile ministeriale și simbolurile cartografice folosite în hăr</w:t>
      </w:r>
      <w:r w:rsidR="00D62C82">
        <w:t>ț</w:t>
      </w:r>
      <w:r w:rsidR="00DE572F">
        <w:t>ile militare, ar fi putut să-și pregătească în mod eficient apărarea. Aceștia adaugă că nu au avut timp să contacteze un avocat autorizat să consulte documentele secrete, întrucât Înalta Curte a respins cererea de amânare a judecării cauzei la 16 aprilie 2013, iar ultima ședin</w:t>
      </w:r>
      <w:r w:rsidR="00D62C82">
        <w:t>ț</w:t>
      </w:r>
      <w:r w:rsidR="00DE572F">
        <w:t>ă s-a desfășurat la 15 mai 2013.</w:t>
      </w:r>
    </w:p>
    <w:bookmarkStart w:id="23" w:name="para0042"/>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42</w:t>
      </w:r>
      <w:r w:rsidRPr="00D67F74">
        <w:fldChar w:fldCharType="end"/>
      </w:r>
      <w:bookmarkEnd w:id="23"/>
      <w:r>
        <w:t>. În continuare, aceștia sus</w:t>
      </w:r>
      <w:r w:rsidR="00D62C82">
        <w:t>ț</w:t>
      </w:r>
      <w:r>
        <w:t>in că nu exista niciun interes public care să justifice limitarea dreptului lor de acces la documentul în cauză. Aceștia consideră că dosarul nu con</w:t>
      </w:r>
      <w:r w:rsidR="00D62C82">
        <w:t>ț</w:t>
      </w:r>
      <w:r>
        <w:t>ine suficiente probe care să permită Cur</w:t>
      </w:r>
      <w:r w:rsidR="00D62C82">
        <w:t>ț</w:t>
      </w:r>
      <w:r>
        <w:t>ii să examineze existen</w:t>
      </w:r>
      <w:r w:rsidR="00D62C82">
        <w:t>ț</w:t>
      </w:r>
      <w:r>
        <w:t>a sau inexisten</w:t>
      </w:r>
      <w:r w:rsidR="00D62C82">
        <w:t>ț</w:t>
      </w:r>
      <w:r>
        <w:t>a unui interes public legat de securitatea na</w:t>
      </w:r>
      <w:r w:rsidR="00D62C82">
        <w:t>ț</w:t>
      </w:r>
      <w:r>
        <w:t>ională. Potrivit acestora, raportul în cauză nu a fost aprobat de Consiliul Suprem de Apărare al Țării și nu era în vigoare la momentul faptelor. Reclaman</w:t>
      </w:r>
      <w:r w:rsidR="00D62C82">
        <w:t>ț</w:t>
      </w:r>
      <w:r>
        <w:t>ii au îndoieli cu privire la motivele care au permis declasificarea raportului după numai o lună de la pronun</w:t>
      </w:r>
      <w:r w:rsidR="00D62C82">
        <w:t>ț</w:t>
      </w:r>
      <w:r>
        <w:t>area hotărârii definitive în prezenta cauză. Aceștia adaugă că instan</w:t>
      </w:r>
      <w:r w:rsidR="00D62C82">
        <w:t>ț</w:t>
      </w:r>
      <w:r>
        <w:t>ele nu au solicitat Ministerului informa</w:t>
      </w:r>
      <w:r w:rsidR="00D62C82">
        <w:t>ț</w:t>
      </w:r>
      <w:r>
        <w:t>ii suplimentare cu privire la punerea în aplicare efectivă a programului elaborat în raportul în cauză și nici nu au avut în vedere măsuri alternative, cum ar fi o declasificare par</w:t>
      </w:r>
      <w:r w:rsidR="00D62C82">
        <w:t>ț</w:t>
      </w:r>
      <w:r>
        <w:t>ială. Aceștia sus</w:t>
      </w:r>
      <w:r w:rsidR="00D62C82">
        <w:t>ț</w:t>
      </w:r>
      <w:r>
        <w:t>in că documentul a avut un impact și asupra condamnării primului reclamant, având în vedere că acesta era acuzat de complicitate la ac</w:t>
      </w:r>
      <w:r w:rsidR="00D62C82">
        <w:t>ț</w:t>
      </w:r>
      <w:r>
        <w:t>iunile imputate celui de-al doilea reclamant. În cele din urmă, afirmă că acest document era necesar pentru pregătirea apărării celui de-al doilea reclamant în ceea ce privește amplasarea noului obiectiv militar avut în vedere în raport.</w:t>
      </w:r>
    </w:p>
    <w:p w:rsidR="00AF59CE" w:rsidRPr="00D67F74" w:rsidRDefault="00DE572F" w:rsidP="00D67F74">
      <w:pPr>
        <w:pStyle w:val="JuH1"/>
        <w:numPr>
          <w:ilvl w:val="3"/>
          <w:numId w:val="23"/>
        </w:numPr>
      </w:pPr>
      <w:r>
        <w:t>Motivarea Cur</w:t>
      </w:r>
      <w:r w:rsidR="00D62C82">
        <w:t>ț</w:t>
      </w:r>
      <w:r>
        <w:t>ii</w:t>
      </w:r>
    </w:p>
    <w:p w:rsidR="00AF59CE" w:rsidRPr="00D67F74" w:rsidRDefault="00F23E65" w:rsidP="00D67F74">
      <w:pPr>
        <w:pStyle w:val="JuPara"/>
      </w:pPr>
      <w:r>
        <w:fldChar w:fldCharType="begin"/>
      </w:r>
      <w:r>
        <w:instrText xml:space="preserve"> SEQ level0 \*arabic </w:instrText>
      </w:r>
      <w:r>
        <w:fldChar w:fldCharType="separate"/>
      </w:r>
      <w:r>
        <w:rPr>
          <w:noProof/>
        </w:rPr>
        <w:t>43</w:t>
      </w:r>
      <w:r>
        <w:fldChar w:fldCharType="end"/>
      </w:r>
      <w:r w:rsidR="00DE572F">
        <w:t>. Curtea apreciază că nu este necesar să examineze în detaliu toate excep</w:t>
      </w:r>
      <w:r w:rsidR="00D62C82">
        <w:t>ț</w:t>
      </w:r>
      <w:r w:rsidR="00DE572F">
        <w:t>iile ridicate de Guvern, în măsura în care acest capăt de cerere este, în orice caz, vădit nefondat pentru următoarele motive:</w:t>
      </w:r>
    </w:p>
    <w:p w:rsidR="00AF59CE" w:rsidRPr="00D67F74" w:rsidRDefault="00F23E65" w:rsidP="00D67F74">
      <w:pPr>
        <w:pStyle w:val="JuPara"/>
      </w:pPr>
      <w:r>
        <w:fldChar w:fldCharType="begin"/>
      </w:r>
      <w:r>
        <w:instrText xml:space="preserve"> SEQ level0 \*arabic </w:instrText>
      </w:r>
      <w:r>
        <w:fldChar w:fldCharType="separate"/>
      </w:r>
      <w:r>
        <w:rPr>
          <w:noProof/>
        </w:rPr>
        <w:t>44</w:t>
      </w:r>
      <w:r>
        <w:fldChar w:fldCharType="end"/>
      </w:r>
      <w:r w:rsidR="00DE572F">
        <w:t xml:space="preserve">. Principiile generale aplicabile au fost rezumate în hotărârile </w:t>
      </w:r>
      <w:r w:rsidR="00DE572F">
        <w:rPr>
          <w:i/>
        </w:rPr>
        <w:t>Fitt împotriva</w:t>
      </w:r>
      <w:r w:rsidR="00286F37">
        <w:rPr>
          <w:i/>
        </w:rPr>
        <w:t xml:space="preserve"> </w:t>
      </w:r>
      <w:r w:rsidR="00DE572F">
        <w:rPr>
          <w:i/>
        </w:rPr>
        <w:t>Regatului Unit</w:t>
      </w:r>
      <w:r w:rsidR="00DE572F">
        <w:t xml:space="preserve"> [(MC), nr. 29777/9</w:t>
      </w:r>
      <w:r w:rsidR="007D0663">
        <w:t>6, pct. 43-46, CEDO 2000</w:t>
      </w:r>
      <w:r w:rsidR="007D0663">
        <w:noBreakHyphen/>
        <w:t xml:space="preserve">II] și </w:t>
      </w:r>
      <w:r w:rsidR="00286F37">
        <w:rPr>
          <w:i/>
        </w:rPr>
        <w:t xml:space="preserve">M împotriva </w:t>
      </w:r>
      <w:r w:rsidR="00DE572F">
        <w:rPr>
          <w:i/>
        </w:rPr>
        <w:t>Țărilor de Jos</w:t>
      </w:r>
      <w:r w:rsidR="00DE572F">
        <w:t xml:space="preserve"> [nr. 2156/10, pct. 66, 25 iulie 2017 (extrase)].</w:t>
      </w:r>
    </w:p>
    <w:p w:rsidR="00AF59CE" w:rsidRPr="00D67F74" w:rsidRDefault="00F23E65" w:rsidP="00D67F74">
      <w:pPr>
        <w:pStyle w:val="JuPara"/>
      </w:pPr>
      <w:r>
        <w:fldChar w:fldCharType="begin"/>
      </w:r>
      <w:r>
        <w:instrText xml:space="preserve"> SEQ level0 \*arabic </w:instrText>
      </w:r>
      <w:r>
        <w:fldChar w:fldCharType="separate"/>
      </w:r>
      <w:r>
        <w:rPr>
          <w:noProof/>
        </w:rPr>
        <w:t>45</w:t>
      </w:r>
      <w:r>
        <w:fldChar w:fldCharType="end"/>
      </w:r>
      <w:r w:rsidR="00DE572F">
        <w:t xml:space="preserve">. În special, dreptul la divulgarea probelor </w:t>
      </w:r>
      <w:r w:rsidR="00E91F7B">
        <w:t>relevante</w:t>
      </w:r>
      <w:r w:rsidR="00DE572F">
        <w:t xml:space="preserve"> nu este un drept absolut. În orice proces penal pot exista interese concurente, precum securitatea na</w:t>
      </w:r>
      <w:r w:rsidR="00D62C82">
        <w:t>ț</w:t>
      </w:r>
      <w:r w:rsidR="00DE572F">
        <w:t>ională sau necesitatea de a proteja martorii care riscă represalii sau de a păstra secrete metodele poli</w:t>
      </w:r>
      <w:r w:rsidR="00D62C82">
        <w:t>ț</w:t>
      </w:r>
      <w:r w:rsidR="00DE572F">
        <w:t>iei de cercetare a infrac</w:t>
      </w:r>
      <w:r w:rsidR="00D62C82">
        <w:t>ț</w:t>
      </w:r>
      <w:r w:rsidR="00DE572F">
        <w:t>iunilor, care trebuie evaluate în raport cu drepturile acuzatului (</w:t>
      </w:r>
      <w:r w:rsidR="00DE572F">
        <w:rPr>
          <w:i/>
        </w:rPr>
        <w:t>Fitt</w:t>
      </w:r>
      <w:r w:rsidR="00DE572F">
        <w:t>, citată anterior, pct. 45). În plus, pentru a avea garan</w:t>
      </w:r>
      <w:r w:rsidR="00D62C82">
        <w:t>ț</w:t>
      </w:r>
      <w:r w:rsidR="00DE572F">
        <w:t>ia că inculpatul beneficiază de un proces echitabil, orice dificultă</w:t>
      </w:r>
      <w:r w:rsidR="00D62C82">
        <w:t>ț</w:t>
      </w:r>
      <w:r w:rsidR="00DE572F">
        <w:t>i cauzate apărării prin limitarea drepturilor acestuia trebuie să fie suficient compensate de procedura urmată de autorită</w:t>
      </w:r>
      <w:r w:rsidR="00D62C82">
        <w:t>ț</w:t>
      </w:r>
      <w:r w:rsidR="00DE572F">
        <w:t>ile judiciare (</w:t>
      </w:r>
      <w:r w:rsidR="00DE572F">
        <w:rPr>
          <w:i/>
        </w:rPr>
        <w:t>ibidem</w:t>
      </w:r>
      <w:r w:rsidR="00286F37">
        <w:t xml:space="preserve">, și </w:t>
      </w:r>
      <w:r w:rsidR="00DE572F">
        <w:rPr>
          <w:i/>
        </w:rPr>
        <w:t>M</w:t>
      </w:r>
      <w:r w:rsidR="00286F37">
        <w:rPr>
          <w:i/>
        </w:rPr>
        <w:t> </w:t>
      </w:r>
      <w:r w:rsidR="00DE572F">
        <w:rPr>
          <w:i/>
        </w:rPr>
        <w:t>împotriva</w:t>
      </w:r>
      <w:r w:rsidR="00286F37">
        <w:rPr>
          <w:i/>
        </w:rPr>
        <w:t xml:space="preserve"> </w:t>
      </w:r>
      <w:r w:rsidR="00DE572F">
        <w:rPr>
          <w:i/>
        </w:rPr>
        <w:t>Țărilor de Jos</w:t>
      </w:r>
      <w:r w:rsidR="00DE572F">
        <w:t>, citată anterior, pct. 66).</w:t>
      </w:r>
    </w:p>
    <w:p w:rsidR="00AF59CE" w:rsidRPr="00D67F74" w:rsidRDefault="00F23E65" w:rsidP="00D67F74">
      <w:pPr>
        <w:pStyle w:val="JuPara"/>
      </w:pPr>
      <w:r>
        <w:fldChar w:fldCharType="begin"/>
      </w:r>
      <w:r>
        <w:instrText xml:space="preserve"> SEQ level0 \*arabic </w:instrText>
      </w:r>
      <w:r>
        <w:fldChar w:fldCharType="separate"/>
      </w:r>
      <w:r>
        <w:rPr>
          <w:noProof/>
        </w:rPr>
        <w:t>46</w:t>
      </w:r>
      <w:r>
        <w:fldChar w:fldCharType="end"/>
      </w:r>
      <w:r w:rsidR="00DE572F">
        <w:t>. Curtea subliniază în spe</w:t>
      </w:r>
      <w:r w:rsidR="00D62C82">
        <w:t>ț</w:t>
      </w:r>
      <w:r w:rsidR="00DE572F">
        <w:t>ă că anumite documente au fost făcute publice în cursul procedurii penale în discu</w:t>
      </w:r>
      <w:r w:rsidR="00D62C82">
        <w:t>ț</w:t>
      </w:r>
      <w:r w:rsidR="00DE572F">
        <w:t>ie în prezenta cauză și că reclaman</w:t>
      </w:r>
      <w:r w:rsidR="00D62C82">
        <w:t>ț</w:t>
      </w:r>
      <w:r w:rsidR="00DE572F">
        <w:t>ii au avut acces la aceste documente (supra, pct. </w:t>
      </w:r>
      <w:r w:rsidR="00DE572F" w:rsidRPr="00D67F74">
        <w:fldChar w:fldCharType="begin"/>
      </w:r>
      <w:r w:rsidR="00DE572F" w:rsidRPr="00D67F74">
        <w:instrText xml:space="preserve"> REF para0011 \h </w:instrText>
      </w:r>
      <w:r w:rsidR="00DE572F" w:rsidRPr="00D67F74">
        <w:fldChar w:fldCharType="separate"/>
      </w:r>
      <w:r>
        <w:rPr>
          <w:noProof/>
        </w:rPr>
        <w:t>11</w:t>
      </w:r>
      <w:r w:rsidR="00DE572F" w:rsidRPr="00D67F74">
        <w:fldChar w:fldCharType="end"/>
      </w:r>
      <w:r w:rsidR="00DE572F">
        <w:t xml:space="preserve"> și </w:t>
      </w:r>
      <w:r w:rsidR="00DE572F" w:rsidRPr="00D67F74">
        <w:fldChar w:fldCharType="begin"/>
      </w:r>
      <w:r w:rsidR="00DE572F" w:rsidRPr="00D67F74">
        <w:instrText xml:space="preserve"> REF para0022 \h </w:instrText>
      </w:r>
      <w:r w:rsidR="00DE572F" w:rsidRPr="00D67F74">
        <w:fldChar w:fldCharType="separate"/>
      </w:r>
      <w:r>
        <w:rPr>
          <w:noProof/>
        </w:rPr>
        <w:t>22</w:t>
      </w:r>
      <w:r w:rsidR="00DE572F" w:rsidRPr="00D67F74">
        <w:fldChar w:fldCharType="end"/>
      </w:r>
      <w:r w:rsidR="00DE572F">
        <w:t>). În special în ceea ce privește raportul privind programul de pregătire operativă, Curtea observă că din încheierea de ședin</w:t>
      </w:r>
      <w:r w:rsidR="00D62C82">
        <w:t>ț</w:t>
      </w:r>
      <w:r w:rsidR="00DE572F">
        <w:t>ă din 19 martie 2012 reiese că acest document nu a fost făcut public întrucât privea opera</w:t>
      </w:r>
      <w:r w:rsidR="00D62C82">
        <w:t>ț</w:t>
      </w:r>
      <w:r w:rsidR="00DE572F">
        <w:t>iuni în desfășurare (supra, pct. </w:t>
      </w:r>
      <w:r w:rsidR="00DE572F" w:rsidRPr="00D67F74">
        <w:fldChar w:fldCharType="begin"/>
      </w:r>
      <w:r w:rsidR="00DE572F" w:rsidRPr="00D67F74">
        <w:instrText xml:space="preserve"> REF para0011 \h </w:instrText>
      </w:r>
      <w:r w:rsidR="00DE572F" w:rsidRPr="00D67F74">
        <w:fldChar w:fldCharType="separate"/>
      </w:r>
      <w:r>
        <w:rPr>
          <w:noProof/>
        </w:rPr>
        <w:t>11</w:t>
      </w:r>
      <w:r w:rsidR="00DE572F" w:rsidRPr="00D67F74">
        <w:fldChar w:fldCharType="end"/>
      </w:r>
      <w:r w:rsidR="00DE572F">
        <w:t>). De altfel, Guvernul a informat Curtea că acest raport a fost făcut public la finalul procedurii în cauză (supra, pct. </w:t>
      </w:r>
      <w:r w:rsidR="00DE572F" w:rsidRPr="00D67F74">
        <w:fldChar w:fldCharType="begin"/>
      </w:r>
      <w:r w:rsidR="00DE572F" w:rsidRPr="00D67F74">
        <w:instrText xml:space="preserve"> REF para0024 \h </w:instrText>
      </w:r>
      <w:r w:rsidR="00DE572F" w:rsidRPr="00D67F74">
        <w:fldChar w:fldCharType="separate"/>
      </w:r>
      <w:r>
        <w:rPr>
          <w:noProof/>
        </w:rPr>
        <w:t>24</w:t>
      </w:r>
      <w:r w:rsidR="00DE572F" w:rsidRPr="00D67F74">
        <w:fldChar w:fldCharType="end"/>
      </w:r>
      <w:r w:rsidR="00DE572F">
        <w:t>). Curtea observă, de asemenea, că Înalta Curte a luat în considerare acest document doar pentru justificarea condamnării celui de-al doilea reclamant (supra, pct. </w:t>
      </w:r>
      <w:r w:rsidR="00DE572F" w:rsidRPr="00D67F74">
        <w:fldChar w:fldCharType="begin"/>
      </w:r>
      <w:r w:rsidR="00DE572F" w:rsidRPr="00D67F74">
        <w:instrText xml:space="preserve"> REF para0020 \h </w:instrText>
      </w:r>
      <w:r w:rsidR="00DE572F" w:rsidRPr="00D67F74">
        <w:fldChar w:fldCharType="separate"/>
      </w:r>
      <w:r>
        <w:rPr>
          <w:noProof/>
        </w:rPr>
        <w:t>20</w:t>
      </w:r>
      <w:r w:rsidR="00DE572F" w:rsidRPr="00D67F74">
        <w:fldChar w:fldCharType="end"/>
      </w:r>
      <w:r w:rsidR="00DE572F">
        <w:t xml:space="preserve">). Prin urmare, aceasta apreciază că primul reclamant nu era vizat de documentul în cauză și că acesta nu a avut niciun efect asupra caracterului echitabil al procedurii îndreptate împotriva sa (a se vedea, </w:t>
      </w:r>
      <w:r w:rsidR="00286F37">
        <w:rPr>
          <w:i/>
        </w:rPr>
        <w:t xml:space="preserve">mutatis </w:t>
      </w:r>
      <w:r w:rsidR="00DE572F">
        <w:rPr>
          <w:i/>
        </w:rPr>
        <w:t>mutandis</w:t>
      </w:r>
      <w:r w:rsidR="00DE572F">
        <w:t xml:space="preserve">, </w:t>
      </w:r>
      <w:r w:rsidR="00DE572F">
        <w:rPr>
          <w:i/>
        </w:rPr>
        <w:t>D și al</w:t>
      </w:r>
      <w:r w:rsidR="00D62C82">
        <w:rPr>
          <w:i/>
        </w:rPr>
        <w:t>ț</w:t>
      </w:r>
      <w:r w:rsidR="00286F37">
        <w:rPr>
          <w:i/>
        </w:rPr>
        <w:t xml:space="preserve">ii împotriva </w:t>
      </w:r>
      <w:r w:rsidR="00DE572F">
        <w:rPr>
          <w:i/>
        </w:rPr>
        <w:t>României</w:t>
      </w:r>
      <w:r w:rsidR="00DE572F">
        <w:t>, nr. 75953/16, pct. 114, 14 ianuarie 2020).</w:t>
      </w:r>
    </w:p>
    <w:p w:rsidR="00AF59CE" w:rsidRPr="00D67F74" w:rsidRDefault="00F23E65" w:rsidP="00D67F74">
      <w:pPr>
        <w:pStyle w:val="JuPara"/>
      </w:pPr>
      <w:r>
        <w:fldChar w:fldCharType="begin"/>
      </w:r>
      <w:r>
        <w:instrText xml:space="preserve"> SEQ level0 \*arabic </w:instrText>
      </w:r>
      <w:r>
        <w:fldChar w:fldCharType="separate"/>
      </w:r>
      <w:r>
        <w:rPr>
          <w:noProof/>
        </w:rPr>
        <w:t>47</w:t>
      </w:r>
      <w:r>
        <w:fldChar w:fldCharType="end"/>
      </w:r>
      <w:r w:rsidR="00DE572F">
        <w:t xml:space="preserve">. În ceea ce privește procedura îndreptată împotriva celui de-al doilea reclamant, Curtea </w:t>
      </w:r>
      <w:r w:rsidR="00D62C82">
        <w:t>ț</w:t>
      </w:r>
      <w:r w:rsidR="00DE572F">
        <w:t>ine seama de argumentul persoanei în cauză potrivit căruia Înalta Curte ar fi trebuit să îi comunice acest document și că refuzul de a face acest lucru nu urmărea niciun scop legitim (supra, pct. </w:t>
      </w:r>
      <w:r w:rsidR="00DE572F" w:rsidRPr="00D67F74">
        <w:fldChar w:fldCharType="begin"/>
      </w:r>
      <w:r w:rsidR="00DE572F" w:rsidRPr="00D67F74">
        <w:instrText xml:space="preserve"> REF para0040 \h  \* MERGEFORMAT </w:instrText>
      </w:r>
      <w:r w:rsidR="00DE572F" w:rsidRPr="00D67F74">
        <w:fldChar w:fldCharType="separate"/>
      </w:r>
      <w:r>
        <w:t>40</w:t>
      </w:r>
      <w:r w:rsidR="00DE572F" w:rsidRPr="00D67F74">
        <w:fldChar w:fldCharType="end"/>
      </w:r>
      <w:r w:rsidR="00DE572F">
        <w:t>-</w:t>
      </w:r>
      <w:r w:rsidR="00DE572F" w:rsidRPr="00D67F74">
        <w:fldChar w:fldCharType="begin"/>
      </w:r>
      <w:r w:rsidR="00DE572F" w:rsidRPr="00D67F74">
        <w:instrText xml:space="preserve"> REF para0042 \h </w:instrText>
      </w:r>
      <w:r w:rsidR="00DE572F" w:rsidRPr="00D67F74">
        <w:fldChar w:fldCharType="separate"/>
      </w:r>
      <w:r>
        <w:rPr>
          <w:noProof/>
        </w:rPr>
        <w:t>42</w:t>
      </w:r>
      <w:r w:rsidR="00DE572F" w:rsidRPr="00D67F74">
        <w:fldChar w:fldCharType="end"/>
      </w:r>
      <w:r w:rsidR="00DE572F">
        <w:t xml:space="preserve">). Cu toate acestea, Curtea observă că, potrivit Guvernului, raportul privind programul de pregătire operativă </w:t>
      </w:r>
      <w:r w:rsidR="00D62C82">
        <w:t>ț</w:t>
      </w:r>
      <w:r w:rsidR="00DE572F">
        <w:t>inea de securitatea na</w:t>
      </w:r>
      <w:r w:rsidR="00D62C82">
        <w:t>ț</w:t>
      </w:r>
      <w:r w:rsidR="00DE572F">
        <w:t>ională și viza opera</w:t>
      </w:r>
      <w:r w:rsidR="00D62C82">
        <w:t>ț</w:t>
      </w:r>
      <w:r w:rsidR="00DE572F">
        <w:t>iuni în desfășurare ale Ministerului Apărării (supra, pct. </w:t>
      </w:r>
      <w:r w:rsidR="00DE572F" w:rsidRPr="00D67F74">
        <w:fldChar w:fldCharType="begin"/>
      </w:r>
      <w:r w:rsidR="00DE572F" w:rsidRPr="00D67F74">
        <w:instrText xml:space="preserve"> REF para0039 \h </w:instrText>
      </w:r>
      <w:r w:rsidR="00DE572F" w:rsidRPr="00D67F74">
        <w:fldChar w:fldCharType="separate"/>
      </w:r>
      <w:r>
        <w:rPr>
          <w:noProof/>
        </w:rPr>
        <w:t>39</w:t>
      </w:r>
      <w:r w:rsidR="00DE572F" w:rsidRPr="00D67F74">
        <w:fldChar w:fldCharType="end"/>
      </w:r>
      <w:r w:rsidR="00DE572F">
        <w:t>). În circumstan</w:t>
      </w:r>
      <w:r w:rsidR="00D62C82">
        <w:t>ț</w:t>
      </w:r>
      <w:r w:rsidR="00DE572F">
        <w:t>ele cauzei, Curtea poate admite argumentele Guvernului.</w:t>
      </w:r>
    </w:p>
    <w:p w:rsidR="00AF59CE" w:rsidRPr="00D67F74" w:rsidRDefault="00F23E65" w:rsidP="00D67F74">
      <w:pPr>
        <w:pStyle w:val="JuPara"/>
      </w:pPr>
      <w:r>
        <w:fldChar w:fldCharType="begin"/>
      </w:r>
      <w:r>
        <w:instrText xml:space="preserve"> SEQ level0 \*arabic </w:instrText>
      </w:r>
      <w:r>
        <w:fldChar w:fldCharType="separate"/>
      </w:r>
      <w:r>
        <w:rPr>
          <w:noProof/>
        </w:rPr>
        <w:t>48</w:t>
      </w:r>
      <w:r>
        <w:fldChar w:fldCharType="end"/>
      </w:r>
      <w:r w:rsidR="00DE572F">
        <w:t>. Prin urmare, Curtea consideră că trebuie să examineze în continuare dacă limitarea dreptului celui de-al doilea reclamant a fost suficient compensată în cursul procedurii interne (</w:t>
      </w:r>
      <w:r w:rsidR="00DE572F">
        <w:rPr>
          <w:i/>
        </w:rPr>
        <w:t>Fitt</w:t>
      </w:r>
      <w:r w:rsidR="00DE572F">
        <w:t>, citată anterior, pct. 45). Aceasta observă că autorită</w:t>
      </w:r>
      <w:r w:rsidR="00D62C82">
        <w:t>ț</w:t>
      </w:r>
      <w:r w:rsidR="00DE572F">
        <w:t>ile na</w:t>
      </w:r>
      <w:r w:rsidR="00D62C82">
        <w:t>ț</w:t>
      </w:r>
      <w:r w:rsidR="00DE572F">
        <w:t>ionale i-au imputat acestuia că a aprobat, în mod nelegal și având drept consecin</w:t>
      </w:r>
      <w:r w:rsidR="00D62C82">
        <w:t>ț</w:t>
      </w:r>
      <w:r w:rsidR="00DE572F">
        <w:t>ă prejudicierea ministerului, efectuarea unui schimb de terenuri cu primul reclamant și că, pentru a facilita acest schimb de terenuri, a stabilit în mod nelegal necesitatea construirii unui obiectiv militar nou (punct de comandă) în comuna Ș. (supra, pct. </w:t>
      </w:r>
      <w:r w:rsidR="00DE572F" w:rsidRPr="00D67F74">
        <w:fldChar w:fldCharType="begin"/>
      </w:r>
      <w:r w:rsidR="00DE572F" w:rsidRPr="00D67F74">
        <w:instrText xml:space="preserve"> REF para0008 \h </w:instrText>
      </w:r>
      <w:r w:rsidR="00DE572F" w:rsidRPr="00D67F74">
        <w:fldChar w:fldCharType="separate"/>
      </w:r>
      <w:r>
        <w:rPr>
          <w:noProof/>
        </w:rPr>
        <w:t>8</w:t>
      </w:r>
      <w:r w:rsidR="00DE572F" w:rsidRPr="00D67F74">
        <w:fldChar w:fldCharType="end"/>
      </w:r>
      <w:r w:rsidR="00DE572F">
        <w:t>). Pentru a stabili că al doilea reclamant a săvârșit toate aceste acte, instan</w:t>
      </w:r>
      <w:r w:rsidR="00D62C82">
        <w:t>ț</w:t>
      </w:r>
      <w:r w:rsidR="00DE572F">
        <w:t>ele na</w:t>
      </w:r>
      <w:r w:rsidR="00D62C82">
        <w:t>ț</w:t>
      </w:r>
      <w:r w:rsidR="00DE572F">
        <w:t xml:space="preserve">ionale au </w:t>
      </w:r>
      <w:r w:rsidR="00D62C82">
        <w:t>ț</w:t>
      </w:r>
      <w:r w:rsidR="00DE572F">
        <w:t>inut seama de un ansamblu de probe, inclusiv documente, rapoarte de expertiză și depozi</w:t>
      </w:r>
      <w:r w:rsidR="00D62C82">
        <w:t>ț</w:t>
      </w:r>
      <w:r w:rsidR="00DE572F">
        <w:t>ii ale martorilor (supra, pct. </w:t>
      </w:r>
      <w:r w:rsidR="00DE572F" w:rsidRPr="00D67F74">
        <w:fldChar w:fldCharType="begin"/>
      </w:r>
      <w:r w:rsidR="00DE572F" w:rsidRPr="00D67F74">
        <w:instrText xml:space="preserve"> REF para0020 \h </w:instrText>
      </w:r>
      <w:r w:rsidR="00DE572F" w:rsidRPr="00D67F74">
        <w:fldChar w:fldCharType="separate"/>
      </w:r>
      <w:r>
        <w:rPr>
          <w:noProof/>
        </w:rPr>
        <w:t>20</w:t>
      </w:r>
      <w:r w:rsidR="00DE572F" w:rsidRPr="00D67F74">
        <w:fldChar w:fldCharType="end"/>
      </w:r>
      <w:r w:rsidR="00DE572F">
        <w:t>). Prin urmare, verdictul vinovă</w:t>
      </w:r>
      <w:r w:rsidR="00D62C82">
        <w:t>ț</w:t>
      </w:r>
      <w:r w:rsidR="00DE572F">
        <w:t>iei celui de-al doilea reclamant nu s-a întemeiat exclusiv pe raportul privind programul de pregătire operativă.</w:t>
      </w:r>
    </w:p>
    <w:p w:rsidR="00AF59CE" w:rsidRPr="00D67F74" w:rsidRDefault="00F23E65" w:rsidP="00D67F74">
      <w:pPr>
        <w:pStyle w:val="JuPara"/>
      </w:pPr>
      <w:r>
        <w:fldChar w:fldCharType="begin"/>
      </w:r>
      <w:r>
        <w:instrText xml:space="preserve"> SEQ level0 \*arabic </w:instrText>
      </w:r>
      <w:r>
        <w:fldChar w:fldCharType="separate"/>
      </w:r>
      <w:r>
        <w:rPr>
          <w:noProof/>
        </w:rPr>
        <w:t>49</w:t>
      </w:r>
      <w:r>
        <w:fldChar w:fldCharType="end"/>
      </w:r>
      <w:r w:rsidR="00DE572F">
        <w:t xml:space="preserve">. Curtea observă că, într-adevăr, Înalta Curte s-a întemeiat pe diferitele versiuni ale raportului privind programul de pregătire operativă pentru a concluziona că al doilea reclamant, după efectuarea schimbului de terenuri, a introdus în raport necesitatea construirii unui obiectiv militar nou în comuna Ș., cu scopul de a justifica </w:t>
      </w:r>
      <w:r w:rsidR="00DE572F">
        <w:rPr>
          <w:i/>
        </w:rPr>
        <w:t>post factum</w:t>
      </w:r>
      <w:r w:rsidR="00DE572F">
        <w:t xml:space="preserve"> realizarea opera</w:t>
      </w:r>
      <w:r w:rsidR="00D62C82">
        <w:t>ț</w:t>
      </w:r>
      <w:r w:rsidR="00DE572F">
        <w:t>iunii respective (supra, pct. </w:t>
      </w:r>
      <w:r w:rsidR="00DE572F" w:rsidRPr="00D67F74">
        <w:fldChar w:fldCharType="begin"/>
      </w:r>
      <w:r w:rsidR="00DE572F" w:rsidRPr="00D67F74">
        <w:instrText xml:space="preserve"> REF para0020 \h  \* MERGEFORMAT </w:instrText>
      </w:r>
      <w:r w:rsidR="00DE572F" w:rsidRPr="00D67F74">
        <w:fldChar w:fldCharType="separate"/>
      </w:r>
      <w:r>
        <w:t>20</w:t>
      </w:r>
      <w:r w:rsidR="00DE572F" w:rsidRPr="00D67F74">
        <w:fldChar w:fldCharType="end"/>
      </w:r>
      <w:r w:rsidR="00DE572F">
        <w:t>). Or, din elementele de care dispune Curtea reiese că al doilea reclamant a cosemnat acest raport privind programul de pregătire operativă (supra, pct. </w:t>
      </w:r>
      <w:r w:rsidR="00DE572F" w:rsidRPr="00D67F74">
        <w:fldChar w:fldCharType="begin"/>
      </w:r>
      <w:r w:rsidR="00DE572F" w:rsidRPr="00D67F74">
        <w:instrText xml:space="preserve"> REF para0024 \h  \* MERGEFORMAT </w:instrText>
      </w:r>
      <w:r w:rsidR="00DE572F" w:rsidRPr="00D67F74">
        <w:fldChar w:fldCharType="separate"/>
      </w:r>
      <w:r>
        <w:t>24</w:t>
      </w:r>
      <w:r w:rsidR="00DE572F" w:rsidRPr="00D67F74">
        <w:fldChar w:fldCharType="end"/>
      </w:r>
      <w:r w:rsidR="00DE572F">
        <w:t>). Curtea observă că persoana în cauză nu contestă că avea cunoștin</w:t>
      </w:r>
      <w:r w:rsidR="00D62C82">
        <w:t>ț</w:t>
      </w:r>
      <w:r w:rsidR="00DE572F">
        <w:t>ă de con</w:t>
      </w:r>
      <w:r w:rsidR="00D62C82">
        <w:t>ț</w:t>
      </w:r>
      <w:r w:rsidR="00DE572F">
        <w:t>inutul raportului privind programul de pregătire operativă și de cel al hăr</w:t>
      </w:r>
      <w:r w:rsidR="00D62C82">
        <w:t>ț</w:t>
      </w:r>
      <w:r w:rsidR="00DE572F">
        <w:t>ii anexate, care i-a fost prezentată în cursul procedurii în fa</w:t>
      </w:r>
      <w:r w:rsidR="00D62C82">
        <w:t>ț</w:t>
      </w:r>
      <w:r w:rsidR="00DE572F">
        <w:t>a parchetului (supra, pct. </w:t>
      </w:r>
      <w:r w:rsidR="00DE572F" w:rsidRPr="00D67F74">
        <w:fldChar w:fldCharType="begin"/>
      </w:r>
      <w:r w:rsidR="00DE572F" w:rsidRPr="00D67F74">
        <w:instrText xml:space="preserve"> REF para0011 \h  \* MERGEFORMAT </w:instrText>
      </w:r>
      <w:r w:rsidR="00DE572F" w:rsidRPr="00D67F74">
        <w:fldChar w:fldCharType="separate"/>
      </w:r>
      <w:r>
        <w:t>11</w:t>
      </w:r>
      <w:r w:rsidR="00DE572F" w:rsidRPr="00D67F74">
        <w:fldChar w:fldCharType="end"/>
      </w:r>
      <w:r w:rsidR="00DE572F">
        <w:t>). Argumentul său este mai degrabă acela că nu putea ști care versiune a raportului a fost prezentată Înaltei Cur</w:t>
      </w:r>
      <w:r w:rsidR="00D62C82">
        <w:t>ț</w:t>
      </w:r>
      <w:r w:rsidR="00DE572F">
        <w:t>i (supra, pct. </w:t>
      </w:r>
      <w:r w:rsidR="00DE572F" w:rsidRPr="00D67F74">
        <w:fldChar w:fldCharType="begin"/>
      </w:r>
      <w:r w:rsidR="00DE572F" w:rsidRPr="00D67F74">
        <w:instrText xml:space="preserve"> REF para0040 \h  \* MERGEFORMAT </w:instrText>
      </w:r>
      <w:r w:rsidR="00DE572F" w:rsidRPr="00D67F74">
        <w:fldChar w:fldCharType="separate"/>
      </w:r>
      <w:r>
        <w:t>40</w:t>
      </w:r>
      <w:r w:rsidR="00DE572F" w:rsidRPr="00D67F74">
        <w:fldChar w:fldCharType="end"/>
      </w:r>
      <w:r w:rsidR="00DE572F">
        <w:t>). Cu toate acestea, Curtea subliniază că al doilea reclamant a putut să depună la dosarul din fa</w:t>
      </w:r>
      <w:r w:rsidR="00D62C82">
        <w:t>ț</w:t>
      </w:r>
      <w:r w:rsidR="00DE572F">
        <w:t>a instan</w:t>
      </w:r>
      <w:r w:rsidR="00D62C82">
        <w:t>ț</w:t>
      </w:r>
      <w:r w:rsidR="00DE572F">
        <w:t>elor na</w:t>
      </w:r>
      <w:r w:rsidR="00D62C82">
        <w:t>ț</w:t>
      </w:r>
      <w:r w:rsidR="00DE572F">
        <w:t>ionale documente care i-au permis să explice care versiune a documentului în cauză era, în opinia sa, valabilă și că, astfel, a fost în măsură să pună în discu</w:t>
      </w:r>
      <w:r w:rsidR="00D62C82">
        <w:t>ț</w:t>
      </w:r>
      <w:r w:rsidR="00DE572F">
        <w:t>ie versiunea confiden</w:t>
      </w:r>
      <w:r w:rsidR="00D62C82">
        <w:t>ț</w:t>
      </w:r>
      <w:r w:rsidR="00DE572F">
        <w:t>ială aflată la dosar (supra, pct. </w:t>
      </w:r>
      <w:r w:rsidR="00DE572F" w:rsidRPr="00D67F74">
        <w:fldChar w:fldCharType="begin"/>
      </w:r>
      <w:r w:rsidR="00DE572F" w:rsidRPr="00D67F74">
        <w:instrText xml:space="preserve"> REF para0011 \h  \* MERGEFORMAT </w:instrText>
      </w:r>
      <w:r w:rsidR="00DE572F" w:rsidRPr="00D67F74">
        <w:fldChar w:fldCharType="separate"/>
      </w:r>
      <w:r>
        <w:t>11</w:t>
      </w:r>
      <w:r w:rsidR="00DE572F" w:rsidRPr="00D67F74">
        <w:fldChar w:fldCharType="end"/>
      </w:r>
      <w:r w:rsidR="00DE572F">
        <w:t xml:space="preserve"> și </w:t>
      </w:r>
      <w:r w:rsidR="00DE572F" w:rsidRPr="00D67F74">
        <w:fldChar w:fldCharType="begin"/>
      </w:r>
      <w:r w:rsidR="00DE572F" w:rsidRPr="00D67F74">
        <w:instrText xml:space="preserve"> REF para0013 \h  \* MERGEFORMAT </w:instrText>
      </w:r>
      <w:r w:rsidR="00DE572F" w:rsidRPr="00D67F74">
        <w:fldChar w:fldCharType="separate"/>
      </w:r>
      <w:r>
        <w:t>13</w:t>
      </w:r>
      <w:r w:rsidR="00DE572F" w:rsidRPr="00D67F74">
        <w:fldChar w:fldCharType="end"/>
      </w:r>
      <w:r w:rsidR="00DE572F">
        <w:t>). Așadar, Curtea consideră că informa</w:t>
      </w:r>
      <w:r w:rsidR="00D62C82">
        <w:t>ț</w:t>
      </w:r>
      <w:r w:rsidR="00DE572F">
        <w:t>iile de care dispunea al doilea reclamant erau suficiente pentru a-i permite să aprecieze natura acestora și să își pregătească apărarea (</w:t>
      </w:r>
      <w:r w:rsidR="00DE572F">
        <w:rPr>
          <w:i/>
        </w:rPr>
        <w:t>M</w:t>
      </w:r>
      <w:r w:rsidR="00286F37">
        <w:rPr>
          <w:i/>
        </w:rPr>
        <w:t xml:space="preserve"> împotriva </w:t>
      </w:r>
      <w:r w:rsidR="00DE572F">
        <w:rPr>
          <w:i/>
        </w:rPr>
        <w:t>Țărilor de Jos</w:t>
      </w:r>
      <w:r w:rsidR="00DE572F">
        <w:t>, citată anterior, pct. 70). Prin urmare, aceasta apreciază că procedura îndreptată împotriva celui de-al doilea reclamant, considerată în ansamblul său, a fost echitabilă în sensul art. 6 din Conven</w:t>
      </w:r>
      <w:r w:rsidR="00D62C82">
        <w:t>ț</w:t>
      </w:r>
      <w:r w:rsidR="00DE572F">
        <w:t>ie.</w:t>
      </w:r>
    </w:p>
    <w:bookmarkStart w:id="24" w:name="para0051"/>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50</w:t>
      </w:r>
      <w:r w:rsidRPr="00D67F74">
        <w:fldChar w:fldCharType="end"/>
      </w:r>
      <w:bookmarkEnd w:id="24"/>
      <w:r>
        <w:t>. Rezultă că acest capăt de cerere, formulat de cei doi reclaman</w:t>
      </w:r>
      <w:r w:rsidR="00D62C82">
        <w:t>ț</w:t>
      </w:r>
      <w:r>
        <w:t>i, este vădit nefondat și trebuie respins, în temeiul art. 35</w:t>
      </w:r>
      <w:r w:rsidR="00FE4F07">
        <w:t xml:space="preserve"> </w:t>
      </w:r>
      <w:r>
        <w:t>§ 3 și art. 35 § 4 din Conven</w:t>
      </w:r>
      <w:r w:rsidR="00D62C82">
        <w:t>ț</w:t>
      </w:r>
      <w:r>
        <w:t>ie.</w:t>
      </w:r>
    </w:p>
    <w:p w:rsidR="00AF59CE" w:rsidRPr="00D67F74" w:rsidRDefault="00DE572F" w:rsidP="00D67F74">
      <w:pPr>
        <w:pStyle w:val="JuHA"/>
        <w:numPr>
          <w:ilvl w:val="2"/>
          <w:numId w:val="23"/>
        </w:numPr>
      </w:pPr>
      <w:r>
        <w:t>Cu privire la durata procedurii penale</w:t>
      </w:r>
    </w:p>
    <w:p w:rsidR="00AF59CE" w:rsidRPr="00D67F74" w:rsidRDefault="00DE572F" w:rsidP="00D67F74">
      <w:pPr>
        <w:pStyle w:val="JuH1"/>
        <w:numPr>
          <w:ilvl w:val="3"/>
          <w:numId w:val="23"/>
        </w:numPr>
        <w:ind w:left="732" w:hanging="301"/>
      </w:pPr>
      <w:r>
        <w:t>Cu privire la admisibilitate</w:t>
      </w:r>
    </w:p>
    <w:bookmarkStart w:id="25" w:name="para0052"/>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51</w:t>
      </w:r>
      <w:r w:rsidRPr="00D67F74">
        <w:fldChar w:fldCharType="end"/>
      </w:r>
      <w:bookmarkEnd w:id="25"/>
      <w:r>
        <w:t>. Guvernul apreciază că reclaman</w:t>
      </w:r>
      <w:r w:rsidR="00D62C82">
        <w:t>ț</w:t>
      </w:r>
      <w:r>
        <w:t xml:space="preserve">ii nu mai pot pretinde că au calitatea de victimă, precizând că Înalta Curte a recunoscut încălcarea dreptului lor și, în decizia acesteia din 20 mai 2013, le-a aplicat pedepse mai mici decât pedeapsa minimă prevăzută de lege. În plus, precizează că, în cazul primului reclamant, Înalta Curte nu a </w:t>
      </w:r>
      <w:r w:rsidR="00D62C82">
        <w:t>ț</w:t>
      </w:r>
      <w:r>
        <w:t>inut seama de circumstan</w:t>
      </w:r>
      <w:r w:rsidR="00D62C82">
        <w:t>ț</w:t>
      </w:r>
      <w:r>
        <w:t>ele agravante. În observa</w:t>
      </w:r>
      <w:r w:rsidR="00D62C82">
        <w:t>ț</w:t>
      </w:r>
      <w:r>
        <w:t>iile sale suplimentare, acesta insistă asupra argumentului său potrivit căruia reclaman</w:t>
      </w:r>
      <w:r w:rsidR="00D62C82">
        <w:t>ț</w:t>
      </w:r>
      <w:r>
        <w:t>ii și-au pierdut calitatea de victimă și că reducerea pedepselor lor constituie o reparare a prejudiciului cauzat de durata procedurii.</w:t>
      </w:r>
    </w:p>
    <w:p w:rsidR="00AF59CE" w:rsidRPr="00D67F74" w:rsidRDefault="00F23E65" w:rsidP="00D67F74">
      <w:pPr>
        <w:pStyle w:val="JuPara"/>
      </w:pPr>
      <w:r>
        <w:fldChar w:fldCharType="begin"/>
      </w:r>
      <w:r>
        <w:instrText xml:space="preserve"> SEQ level0 \*arabic </w:instrText>
      </w:r>
      <w:r>
        <w:fldChar w:fldCharType="separate"/>
      </w:r>
      <w:r>
        <w:rPr>
          <w:noProof/>
        </w:rPr>
        <w:t>52</w:t>
      </w:r>
      <w:r>
        <w:fldChar w:fldCharType="end"/>
      </w:r>
      <w:r w:rsidR="00DE572F">
        <w:t>. La rândul lor, reclaman</w:t>
      </w:r>
      <w:r w:rsidR="00D62C82">
        <w:t>ț</w:t>
      </w:r>
      <w:r w:rsidR="00DE572F">
        <w:t>ii sus</w:t>
      </w:r>
      <w:r w:rsidR="00D62C82">
        <w:t>ț</w:t>
      </w:r>
      <w:r w:rsidR="00DE572F">
        <w:t>in că Înalta Curte nu a recunoscut încălcarea dreptului lor. Aceștia sus</w:t>
      </w:r>
      <w:r w:rsidR="00D62C82">
        <w:t>ț</w:t>
      </w:r>
      <w:r w:rsidR="00DE572F">
        <w:t>in că, în realitate, Înalta Curte, pentru a respinge cererea primului reclamant de efectuare a unei noi expertize, invocase deja durata excesivă a procedurii, ca argument împotriva reclaman</w:t>
      </w:r>
      <w:r w:rsidR="00D62C82">
        <w:t>ț</w:t>
      </w:r>
      <w:r w:rsidR="00DE572F">
        <w:t>ilor, în cadrul procedurii în primă instan</w:t>
      </w:r>
      <w:r w:rsidR="00D62C82">
        <w:t>ț</w:t>
      </w:r>
      <w:r w:rsidR="00DE572F">
        <w:t>ă. În ceea ce privește modul în care Înalta Curte a decis cu privire la pedepsele care trebuiau aplicate, reclaman</w:t>
      </w:r>
      <w:r w:rsidR="00D62C82">
        <w:t>ț</w:t>
      </w:r>
      <w:r w:rsidR="00DE572F">
        <w:t>ii precizează că aceasta nu a luat în considerare durata procedurii, ci mai degrabă „timpul îndelungat scurs de la data comiterii faptelor”. Ei apreciază că aceasta nu a recunoscut așadar în mod explicit existen</w:t>
      </w:r>
      <w:r w:rsidR="00D62C82">
        <w:t>ț</w:t>
      </w:r>
      <w:r w:rsidR="00DE572F">
        <w:t>a unui comportament eronat al autorită</w:t>
      </w:r>
      <w:r w:rsidR="00D62C82">
        <w:t>ț</w:t>
      </w:r>
      <w:r w:rsidR="00DE572F">
        <w:t>ilor statului și nu le-a oferit o repara</w:t>
      </w:r>
      <w:r w:rsidR="00D62C82">
        <w:t>ț</w:t>
      </w:r>
      <w:r w:rsidR="00DE572F">
        <w:t>ie corespunzătoare.</w:t>
      </w:r>
    </w:p>
    <w:p w:rsidR="00AF59CE" w:rsidRPr="00D67F74" w:rsidRDefault="00F23E65" w:rsidP="00D67F74">
      <w:pPr>
        <w:pStyle w:val="JuPara"/>
      </w:pPr>
      <w:r>
        <w:fldChar w:fldCharType="begin"/>
      </w:r>
      <w:r>
        <w:instrText xml:space="preserve"> SEQ level0 \*arabic </w:instrText>
      </w:r>
      <w:r>
        <w:fldChar w:fldCharType="separate"/>
      </w:r>
      <w:r>
        <w:rPr>
          <w:noProof/>
        </w:rPr>
        <w:t>53</w:t>
      </w:r>
      <w:r>
        <w:fldChar w:fldCharType="end"/>
      </w:r>
      <w:r w:rsidR="00DE572F">
        <w:t>. Curtea reamintește că o decizie sau o măsură favorabilă reclamantului nu este suficientă, în principiu, pentru a-i retrage acestuia calitatea de „victimă”, cu excep</w:t>
      </w:r>
      <w:r w:rsidR="00D62C82">
        <w:t>ț</w:t>
      </w:r>
      <w:r w:rsidR="00DE572F">
        <w:t>ia cazului în care autorită</w:t>
      </w:r>
      <w:r w:rsidR="00D62C82">
        <w:t>ț</w:t>
      </w:r>
      <w:r w:rsidR="00DE572F">
        <w:t>ile na</w:t>
      </w:r>
      <w:r w:rsidR="00D62C82">
        <w:t>ț</w:t>
      </w:r>
      <w:r w:rsidR="00DE572F">
        <w:t>ionale au recunoscut, în mod explicit sau în esen</w:t>
      </w:r>
      <w:r w:rsidR="00D62C82">
        <w:t>ț</w:t>
      </w:r>
      <w:r w:rsidR="00DE572F">
        <w:t>ă, apoi au reparat încălcarea Conven</w:t>
      </w:r>
      <w:r w:rsidR="00D62C82">
        <w:t>ț</w:t>
      </w:r>
      <w:r w:rsidR="00DE572F">
        <w:t xml:space="preserve">iei (a se vedea, printre multe altele, </w:t>
      </w:r>
      <w:r w:rsidR="00286F37">
        <w:rPr>
          <w:i/>
        </w:rPr>
        <w:t xml:space="preserve">Chiarello împotriva </w:t>
      </w:r>
      <w:r w:rsidR="00DE572F">
        <w:rPr>
          <w:i/>
        </w:rPr>
        <w:t>Germaniei</w:t>
      </w:r>
      <w:r w:rsidR="00DE572F">
        <w:t>, nr. 497/17, pct. 54, 20 iunie 2019). Prin urmare, Cur</w:t>
      </w:r>
      <w:r w:rsidR="00D62C82">
        <w:t>ț</w:t>
      </w:r>
      <w:r w:rsidR="00DE572F">
        <w:t>ii îi revine sarcina de a verifica, pe de o parte, dacă autorită</w:t>
      </w:r>
      <w:r w:rsidR="00D62C82">
        <w:t>ț</w:t>
      </w:r>
      <w:r w:rsidR="00DE572F">
        <w:t>ile na</w:t>
      </w:r>
      <w:r w:rsidR="00D62C82">
        <w:t>ț</w:t>
      </w:r>
      <w:r w:rsidR="00DE572F">
        <w:t>ionale au recunoscut, cel pu</w:t>
      </w:r>
      <w:r w:rsidR="00D62C82">
        <w:t>ț</w:t>
      </w:r>
      <w:r w:rsidR="00DE572F">
        <w:t>in în esen</w:t>
      </w:r>
      <w:r w:rsidR="00D62C82">
        <w:t>ț</w:t>
      </w:r>
      <w:r w:rsidR="00DE572F">
        <w:t>ă, încălcarea unui drept protejat de Conven</w:t>
      </w:r>
      <w:r w:rsidR="00D62C82">
        <w:t>ț</w:t>
      </w:r>
      <w:r w:rsidR="00DE572F">
        <w:t>ie și, pe de altă parte, dacă repara</w:t>
      </w:r>
      <w:r w:rsidR="00D62C82">
        <w:t>ț</w:t>
      </w:r>
      <w:r w:rsidR="00DE572F">
        <w:t>ia oferită poate fi considerată adecvată și suficientă [</w:t>
      </w:r>
      <w:proofErr w:type="spellStart"/>
      <w:r w:rsidR="00DE572F">
        <w:rPr>
          <w:i/>
        </w:rPr>
        <w:t>Scordino</w:t>
      </w:r>
      <w:proofErr w:type="spellEnd"/>
      <w:r w:rsidR="00DE572F">
        <w:rPr>
          <w:i/>
        </w:rPr>
        <w:t xml:space="preserve"> împotriva</w:t>
      </w:r>
      <w:r w:rsidR="00286F37">
        <w:rPr>
          <w:i/>
        </w:rPr>
        <w:t xml:space="preserve"> </w:t>
      </w:r>
      <w:r w:rsidR="00DE572F">
        <w:rPr>
          <w:i/>
        </w:rPr>
        <w:t>Italiei (nr. 1)</w:t>
      </w:r>
      <w:r w:rsidR="00DE572F">
        <w:t xml:space="preserve"> (MC), nr. 36813/97, pct. 193, CEDO 2006</w:t>
      </w:r>
      <w:r w:rsidR="00DE572F">
        <w:noBreakHyphen/>
        <w:t>V].</w:t>
      </w:r>
    </w:p>
    <w:p w:rsidR="00AF59CE" w:rsidRPr="00D67F74" w:rsidRDefault="00F23E65" w:rsidP="00D67F74">
      <w:pPr>
        <w:pStyle w:val="JuPara"/>
      </w:pPr>
      <w:r>
        <w:fldChar w:fldCharType="begin"/>
      </w:r>
      <w:r>
        <w:instrText xml:space="preserve"> SEQ level0 \*arabic </w:instrText>
      </w:r>
      <w:r>
        <w:fldChar w:fldCharType="separate"/>
      </w:r>
      <w:r>
        <w:rPr>
          <w:noProof/>
        </w:rPr>
        <w:t>54</w:t>
      </w:r>
      <w:r>
        <w:fldChar w:fldCharType="end"/>
      </w:r>
      <w:r w:rsidR="00DE572F">
        <w:t>. În spe</w:t>
      </w:r>
      <w:r w:rsidR="00D62C82">
        <w:t>ț</w:t>
      </w:r>
      <w:r w:rsidR="00DE572F">
        <w:t>ă, Curtea observă, în primul rând, că decizia pronun</w:t>
      </w:r>
      <w:r w:rsidR="00D62C82">
        <w:t>ț</w:t>
      </w:r>
      <w:r w:rsidR="00DE572F">
        <w:t>ată de Înalta Curte la 24 mai 2012 nu era definitivă și că aceasta a făcut obiectul unui recurs (supra, pct. </w:t>
      </w:r>
      <w:r w:rsidR="00DE572F" w:rsidRPr="00D67F74">
        <w:fldChar w:fldCharType="begin"/>
      </w:r>
      <w:r w:rsidR="00DE572F" w:rsidRPr="00D67F74">
        <w:instrText xml:space="preserve"> REF para0014 \h </w:instrText>
      </w:r>
      <w:r w:rsidR="00DE572F" w:rsidRPr="00D67F74">
        <w:fldChar w:fldCharType="separate"/>
      </w:r>
      <w:r>
        <w:rPr>
          <w:noProof/>
        </w:rPr>
        <w:t>14</w:t>
      </w:r>
      <w:r w:rsidR="00DE572F" w:rsidRPr="00D67F74">
        <w:fldChar w:fldCharType="end"/>
      </w:r>
      <w:r w:rsidR="00DE572F">
        <w:t xml:space="preserve"> și </w:t>
      </w:r>
      <w:r w:rsidR="00DE572F" w:rsidRPr="00D67F74">
        <w:fldChar w:fldCharType="begin"/>
      </w:r>
      <w:r w:rsidR="00DE572F" w:rsidRPr="00D67F74">
        <w:instrText xml:space="preserve"> REF para0019 \h </w:instrText>
      </w:r>
      <w:r w:rsidR="00DE572F" w:rsidRPr="00D67F74">
        <w:fldChar w:fldCharType="separate"/>
      </w:r>
      <w:r>
        <w:rPr>
          <w:noProof/>
        </w:rPr>
        <w:t>19</w:t>
      </w:r>
      <w:r w:rsidR="00DE572F" w:rsidRPr="00D67F74">
        <w:fldChar w:fldCharType="end"/>
      </w:r>
      <w:r w:rsidR="00DE572F">
        <w:t>). În continuare, aceasta subliniază că, în hotărârea sa definitivă din 20 mai 2013, Înalta Curte a luat în considerare timpul scurs de la comiterea infrac</w:t>
      </w:r>
      <w:r w:rsidR="00D62C82">
        <w:t>ț</w:t>
      </w:r>
      <w:r w:rsidR="00DE572F">
        <w:t>iunilor imputate pentru a decide cu privire la pedeapsa aplicabilă reclaman</w:t>
      </w:r>
      <w:r w:rsidR="00D62C82">
        <w:t>ț</w:t>
      </w:r>
      <w:r w:rsidR="00DE572F">
        <w:t>ilor (supra, pct. </w:t>
      </w:r>
      <w:r w:rsidR="00DE572F" w:rsidRPr="00D67F74">
        <w:fldChar w:fldCharType="begin"/>
      </w:r>
      <w:r w:rsidR="00DE572F" w:rsidRPr="00D67F74">
        <w:instrText xml:space="preserve"> REF para0022 \h </w:instrText>
      </w:r>
      <w:r w:rsidR="00DE572F" w:rsidRPr="00D67F74">
        <w:fldChar w:fldCharType="separate"/>
      </w:r>
      <w:r>
        <w:rPr>
          <w:noProof/>
        </w:rPr>
        <w:t>22</w:t>
      </w:r>
      <w:r w:rsidR="00DE572F" w:rsidRPr="00D67F74">
        <w:fldChar w:fldCharType="end"/>
      </w:r>
      <w:r w:rsidR="00DE572F">
        <w:t>). Cu toate acestea, Curtea observă că Înalta Curte nu a făcut referire la art. 6 din Conven</w:t>
      </w:r>
      <w:r w:rsidR="00D62C82">
        <w:t>ț</w:t>
      </w:r>
      <w:r w:rsidR="00DE572F">
        <w:t>ie și la cerin</w:t>
      </w:r>
      <w:r w:rsidR="00D62C82">
        <w:t>ț</w:t>
      </w:r>
      <w:r w:rsidR="00DE572F">
        <w:t>a care decurge din acesta privind desfășurarea procesului într-un termen rezonabil (</w:t>
      </w:r>
      <w:r w:rsidR="00DE572F">
        <w:rPr>
          <w:i/>
        </w:rPr>
        <w:t>Mladenov împotriva</w:t>
      </w:r>
      <w:r w:rsidR="00286F37">
        <w:rPr>
          <w:i/>
        </w:rPr>
        <w:t xml:space="preserve"> </w:t>
      </w:r>
      <w:r w:rsidR="00DE572F">
        <w:rPr>
          <w:i/>
        </w:rPr>
        <w:t>Bulgariei</w:t>
      </w:r>
      <w:r w:rsidR="00DE572F">
        <w:t>, nr. 58775/00, pct. 32, 12 octombrie 2006). În plus, Înalta Curte nu a recunoscut nici faptul că întârzierile din procedură erau imputabile autorită</w:t>
      </w:r>
      <w:r w:rsidR="00D62C82">
        <w:t>ț</w:t>
      </w:r>
      <w:r w:rsidR="00DE572F">
        <w:t>ilor competente (</w:t>
      </w:r>
      <w:r w:rsidR="00DE572F">
        <w:rPr>
          <w:i/>
        </w:rPr>
        <w:t>Huart împotriva</w:t>
      </w:r>
      <w:r w:rsidR="00286F37">
        <w:rPr>
          <w:i/>
        </w:rPr>
        <w:t xml:space="preserve"> </w:t>
      </w:r>
      <w:r w:rsidR="00DE572F">
        <w:rPr>
          <w:i/>
        </w:rPr>
        <w:t>Fran</w:t>
      </w:r>
      <w:r w:rsidR="00D62C82">
        <w:rPr>
          <w:i/>
        </w:rPr>
        <w:t>ț</w:t>
      </w:r>
      <w:r w:rsidR="00DE572F">
        <w:rPr>
          <w:i/>
        </w:rPr>
        <w:t>ei</w:t>
      </w:r>
      <w:r w:rsidR="00DE572F">
        <w:t>, nr. 55829/00, pct. 41, 25 noiembrie 2003). În aceste condi</w:t>
      </w:r>
      <w:r w:rsidR="00D62C82">
        <w:t>ț</w:t>
      </w:r>
      <w:r w:rsidR="00DE572F">
        <w:t>ii, Curtea consideră că, în spe</w:t>
      </w:r>
      <w:r w:rsidR="00D62C82">
        <w:t>ț</w:t>
      </w:r>
      <w:r w:rsidR="00DE572F">
        <w:t>ă, nu s-a stabilit că instan</w:t>
      </w:r>
      <w:r w:rsidR="00D62C82">
        <w:t>ț</w:t>
      </w:r>
      <w:r w:rsidR="00DE572F">
        <w:t>ele interne au recunoscut, în mod explicit sau în esen</w:t>
      </w:r>
      <w:r w:rsidR="00D62C82">
        <w:t>ț</w:t>
      </w:r>
      <w:r w:rsidR="00DE572F">
        <w:t>ă, o încălcare a art. 6 din cauza duratei procedurii (</w:t>
      </w:r>
      <w:r w:rsidR="00DE572F">
        <w:rPr>
          <w:i/>
        </w:rPr>
        <w:t>Mladenov</w:t>
      </w:r>
      <w:r w:rsidR="00DE572F">
        <w:t>, citată anterior, pct. 32, în care instan</w:t>
      </w:r>
      <w:r w:rsidR="00D62C82">
        <w:t>ț</w:t>
      </w:r>
      <w:r w:rsidR="00DE572F">
        <w:t>ele interne au făcut referire doar la timpul îndelungat care s-a scurs de la data comiterii faptelor și hotărârea pronun</w:t>
      </w:r>
      <w:r w:rsidR="00D62C82">
        <w:t>ț</w:t>
      </w:r>
      <w:r w:rsidR="00DE572F">
        <w:t>ată în primă instan</w:t>
      </w:r>
      <w:r w:rsidR="00D62C82">
        <w:t>ț</w:t>
      </w:r>
      <w:r w:rsidR="00DE572F">
        <w:t>ă).</w:t>
      </w:r>
    </w:p>
    <w:p w:rsidR="00AF59CE" w:rsidRPr="00D67F74" w:rsidRDefault="00F23E65" w:rsidP="00D67F74">
      <w:pPr>
        <w:pStyle w:val="JuPara"/>
      </w:pPr>
      <w:r>
        <w:fldChar w:fldCharType="begin"/>
      </w:r>
      <w:r>
        <w:instrText xml:space="preserve"> SEQ level0 \*arabic </w:instrText>
      </w:r>
      <w:r>
        <w:fldChar w:fldCharType="separate"/>
      </w:r>
      <w:r>
        <w:rPr>
          <w:noProof/>
        </w:rPr>
        <w:t>55</w:t>
      </w:r>
      <w:r>
        <w:fldChar w:fldCharType="end"/>
      </w:r>
      <w:r w:rsidR="00DE572F">
        <w:t>. În aceste circumstan</w:t>
      </w:r>
      <w:r w:rsidR="00D62C82">
        <w:t>ț</w:t>
      </w:r>
      <w:r w:rsidR="00DE572F">
        <w:t>e, reclaman</w:t>
      </w:r>
      <w:r w:rsidR="00D62C82">
        <w:t>ț</w:t>
      </w:r>
      <w:r w:rsidR="00DE572F">
        <w:t>ii nu și-au pierdut calitatea de victimă în sensul art. 34 din Conven</w:t>
      </w:r>
      <w:r w:rsidR="00D62C82">
        <w:t>ț</w:t>
      </w:r>
      <w:r w:rsidR="00DE572F">
        <w:t>ie, iar excep</w:t>
      </w:r>
      <w:r w:rsidR="00D62C82">
        <w:t>ț</w:t>
      </w:r>
      <w:r w:rsidR="00DE572F">
        <w:t>ia ridicată de Guvern trebuie să fie respinsă.</w:t>
      </w:r>
    </w:p>
    <w:p w:rsidR="00AF59CE" w:rsidRPr="00D67F74" w:rsidRDefault="00F23E65" w:rsidP="00D67F74">
      <w:pPr>
        <w:pStyle w:val="JuPara"/>
      </w:pPr>
      <w:r>
        <w:fldChar w:fldCharType="begin"/>
      </w:r>
      <w:r>
        <w:instrText xml:space="preserve"> SEQ level0 \*arabic </w:instrText>
      </w:r>
      <w:r>
        <w:fldChar w:fldCharType="separate"/>
      </w:r>
      <w:r>
        <w:rPr>
          <w:noProof/>
        </w:rPr>
        <w:t>56</w:t>
      </w:r>
      <w:r>
        <w:fldChar w:fldCharType="end"/>
      </w:r>
      <w:r w:rsidR="00DE572F">
        <w:t>. Constatând că acest capăt de cerere nu este în mod vădit nefondat și că nu prezintă niciun alt motiv de inadmisibilitate în sensul art. 35 din Conven</w:t>
      </w:r>
      <w:r w:rsidR="00D62C82">
        <w:t>ț</w:t>
      </w:r>
      <w:r w:rsidR="00DE572F">
        <w:t>ie, Curtea îl declară admisibil.</w:t>
      </w:r>
    </w:p>
    <w:p w:rsidR="00AF59CE" w:rsidRPr="00D67F74" w:rsidRDefault="00DE572F" w:rsidP="00D67F74">
      <w:pPr>
        <w:pStyle w:val="JuH1"/>
        <w:numPr>
          <w:ilvl w:val="3"/>
          <w:numId w:val="23"/>
        </w:numPr>
        <w:ind w:left="732" w:hanging="301"/>
      </w:pPr>
      <w:r>
        <w:t>Cu privire la fond</w:t>
      </w:r>
    </w:p>
    <w:p w:rsidR="00AF59CE" w:rsidRPr="00D67F74" w:rsidRDefault="00F23E65" w:rsidP="00D67F74">
      <w:pPr>
        <w:pStyle w:val="JuPara"/>
      </w:pPr>
      <w:r>
        <w:fldChar w:fldCharType="begin"/>
      </w:r>
      <w:r>
        <w:instrText xml:space="preserve"> SEQ level0 \*arabic </w:instrText>
      </w:r>
      <w:r>
        <w:fldChar w:fldCharType="separate"/>
      </w:r>
      <w:r>
        <w:rPr>
          <w:noProof/>
        </w:rPr>
        <w:t>57</w:t>
      </w:r>
      <w:r>
        <w:fldChar w:fldCharType="end"/>
      </w:r>
      <w:r w:rsidR="00DE572F">
        <w:t>. Reclaman</w:t>
      </w:r>
      <w:r w:rsidR="00D62C82">
        <w:t>ț</w:t>
      </w:r>
      <w:r w:rsidR="00DE572F">
        <w:t>ii consideră că, în spe</w:t>
      </w:r>
      <w:r w:rsidR="00D62C82">
        <w:t>ț</w:t>
      </w:r>
      <w:r w:rsidR="00DE572F">
        <w:t>ă, autorită</w:t>
      </w:r>
      <w:r w:rsidR="00D62C82">
        <w:t>ț</w:t>
      </w:r>
      <w:r w:rsidR="00DE572F">
        <w:t>ile nu au derulat procedura într-un termen rezonabil, în sensul art. 6 din Conven</w:t>
      </w:r>
      <w:r w:rsidR="00D62C82">
        <w:t>ț</w:t>
      </w:r>
      <w:r w:rsidR="00DE572F">
        <w:t>ie.</w:t>
      </w:r>
    </w:p>
    <w:p w:rsidR="00AF59CE" w:rsidRPr="00D67F74" w:rsidRDefault="00F23E65" w:rsidP="00D67F74">
      <w:pPr>
        <w:pStyle w:val="JuPara"/>
      </w:pPr>
      <w:r>
        <w:fldChar w:fldCharType="begin"/>
      </w:r>
      <w:r>
        <w:instrText xml:space="preserve"> SEQ level0 \*arabic </w:instrText>
      </w:r>
      <w:r>
        <w:fldChar w:fldCharType="separate"/>
      </w:r>
      <w:r>
        <w:rPr>
          <w:noProof/>
        </w:rPr>
        <w:t>58</w:t>
      </w:r>
      <w:r>
        <w:fldChar w:fldCharType="end"/>
      </w:r>
      <w:r w:rsidR="00DE572F">
        <w:t>. Guvernul contestă aceste acuza</w:t>
      </w:r>
      <w:r w:rsidR="00D62C82">
        <w:t>ț</w:t>
      </w:r>
      <w:r w:rsidR="00DE572F">
        <w:t>ii.</w:t>
      </w:r>
    </w:p>
    <w:p w:rsidR="00AF59CE" w:rsidRPr="00D67F74" w:rsidRDefault="00F23E65" w:rsidP="00D67F74">
      <w:pPr>
        <w:pStyle w:val="JuPara"/>
      </w:pPr>
      <w:r>
        <w:fldChar w:fldCharType="begin"/>
      </w:r>
      <w:r>
        <w:instrText xml:space="preserve"> SEQ level0 \*arabic </w:instrText>
      </w:r>
      <w:r>
        <w:fldChar w:fldCharType="separate"/>
      </w:r>
      <w:r>
        <w:rPr>
          <w:noProof/>
        </w:rPr>
        <w:t>59</w:t>
      </w:r>
      <w:r>
        <w:fldChar w:fldCharType="end"/>
      </w:r>
      <w:r w:rsidR="00DE572F">
        <w:t>. Caracterul rezonabil al duratei unei proceduri se apreciază în func</w:t>
      </w:r>
      <w:r w:rsidR="00D62C82">
        <w:t>ț</w:t>
      </w:r>
      <w:r w:rsidR="00DE572F">
        <w:t>ie de circumstan</w:t>
      </w:r>
      <w:r w:rsidR="00D62C82">
        <w:t>ț</w:t>
      </w:r>
      <w:r w:rsidR="00DE572F">
        <w:t xml:space="preserve">ele cauzei și </w:t>
      </w:r>
      <w:r w:rsidR="00D62C82">
        <w:t>ț</w:t>
      </w:r>
      <w:r w:rsidR="00DE572F">
        <w:t>inând seama de criteriile consacrate de jurispruden</w:t>
      </w:r>
      <w:r w:rsidR="00D62C82">
        <w:t>ț</w:t>
      </w:r>
      <w:r w:rsidR="00DE572F">
        <w:t>a Cur</w:t>
      </w:r>
      <w:r w:rsidR="00D62C82">
        <w:t>ț</w:t>
      </w:r>
      <w:r w:rsidR="00DE572F">
        <w:t>ii, în special complexitatea cauzei, comportamentul reclamantului și cel al autorită</w:t>
      </w:r>
      <w:r w:rsidR="00D62C82">
        <w:t>ț</w:t>
      </w:r>
      <w:r w:rsidR="00DE572F">
        <w:t>ilor competente [</w:t>
      </w:r>
      <w:r w:rsidR="0004539A">
        <w:rPr>
          <w:i/>
        </w:rPr>
        <w:t xml:space="preserve">Pélissier și Sassi împotriva </w:t>
      </w:r>
      <w:r w:rsidR="00DE572F">
        <w:rPr>
          <w:i/>
        </w:rPr>
        <w:t>Fran</w:t>
      </w:r>
      <w:r w:rsidR="00D62C82">
        <w:rPr>
          <w:i/>
        </w:rPr>
        <w:t>ț</w:t>
      </w:r>
      <w:r w:rsidR="00DE572F">
        <w:rPr>
          <w:i/>
        </w:rPr>
        <w:t>ei</w:t>
      </w:r>
      <w:r w:rsidR="00DE572F">
        <w:t xml:space="preserve"> (MC), nr. 25444/94, pct. 67, CEDO 1999</w:t>
      </w:r>
      <w:r w:rsidR="00DE572F">
        <w:noBreakHyphen/>
        <w:t>II].</w:t>
      </w:r>
    </w:p>
    <w:p w:rsidR="00AF59CE" w:rsidRPr="00D67F74" w:rsidRDefault="00F23E65" w:rsidP="00D67F74">
      <w:pPr>
        <w:pStyle w:val="JuPara"/>
      </w:pPr>
      <w:r>
        <w:fldChar w:fldCharType="begin"/>
      </w:r>
      <w:r>
        <w:instrText xml:space="preserve"> SEQ level0 \*arabic </w:instrText>
      </w:r>
      <w:r>
        <w:fldChar w:fldCharType="separate"/>
      </w:r>
      <w:r>
        <w:rPr>
          <w:noProof/>
        </w:rPr>
        <w:t>60</w:t>
      </w:r>
      <w:r>
        <w:fldChar w:fldCharType="end"/>
      </w:r>
      <w:r w:rsidR="00DE572F">
        <w:t>. În spe</w:t>
      </w:r>
      <w:r w:rsidR="00D62C82">
        <w:t>ț</w:t>
      </w:r>
      <w:r w:rsidR="00DE572F">
        <w:t>ă, Curtea observă că procedura penală a început la 10 februarie 2005 și, respectiv, la 1 martie 2005, atunci când reclaman</w:t>
      </w:r>
      <w:r w:rsidR="00D62C82">
        <w:t>ț</w:t>
      </w:r>
      <w:r w:rsidR="00DE572F">
        <w:t>ii au fost informa</w:t>
      </w:r>
      <w:r w:rsidR="00D62C82">
        <w:t>ț</w:t>
      </w:r>
      <w:r w:rsidR="00DE572F">
        <w:t>i cu privire la acuza</w:t>
      </w:r>
      <w:r w:rsidR="00D62C82">
        <w:t>ț</w:t>
      </w:r>
      <w:r w:rsidR="00DE572F">
        <w:t>iile formulate împotriva lor (supra, pct. </w:t>
      </w:r>
      <w:r w:rsidR="00DE572F" w:rsidRPr="00D67F74">
        <w:fldChar w:fldCharType="begin"/>
      </w:r>
      <w:r w:rsidR="00DE572F" w:rsidRPr="00D67F74">
        <w:instrText xml:space="preserve"> REF para0006 \h </w:instrText>
      </w:r>
      <w:r w:rsidR="00DE572F" w:rsidRPr="00D67F74">
        <w:fldChar w:fldCharType="separate"/>
      </w:r>
      <w:r>
        <w:rPr>
          <w:noProof/>
        </w:rPr>
        <w:t>6</w:t>
      </w:r>
      <w:r w:rsidR="00DE572F" w:rsidRPr="00D67F74">
        <w:fldChar w:fldCharType="end"/>
      </w:r>
      <w:r w:rsidR="00DE572F">
        <w:t>), că Înalta Curte a pronun</w:t>
      </w:r>
      <w:r w:rsidR="00D62C82">
        <w:t>ț</w:t>
      </w:r>
      <w:r w:rsidR="00DE572F">
        <w:t>at o hotărâre definitivă la 20 mai 2013 (supra, pct. </w:t>
      </w:r>
      <w:r w:rsidR="00DE572F" w:rsidRPr="00D67F74">
        <w:fldChar w:fldCharType="begin"/>
      </w:r>
      <w:r w:rsidR="00DE572F" w:rsidRPr="00D67F74">
        <w:instrText xml:space="preserve"> REF para0019 \h </w:instrText>
      </w:r>
      <w:r w:rsidR="00DE572F" w:rsidRPr="00D67F74">
        <w:fldChar w:fldCharType="separate"/>
      </w:r>
      <w:r>
        <w:rPr>
          <w:noProof/>
        </w:rPr>
        <w:t>19</w:t>
      </w:r>
      <w:r w:rsidR="00DE572F" w:rsidRPr="00D67F74">
        <w:fldChar w:fldCharType="end"/>
      </w:r>
      <w:r w:rsidR="00DE572F">
        <w:t>) și că această hotărâre a fost redactată în aprilie 2014 (supra, pct. </w:t>
      </w:r>
      <w:r w:rsidR="00DE572F" w:rsidRPr="00D67F74">
        <w:fldChar w:fldCharType="begin"/>
      </w:r>
      <w:r w:rsidR="00DE572F" w:rsidRPr="00D67F74">
        <w:instrText xml:space="preserve"> REF para0023 \h </w:instrText>
      </w:r>
      <w:r w:rsidR="00DE572F" w:rsidRPr="00D67F74">
        <w:fldChar w:fldCharType="separate"/>
      </w:r>
      <w:r>
        <w:rPr>
          <w:noProof/>
        </w:rPr>
        <w:t>23</w:t>
      </w:r>
      <w:r w:rsidR="00DE572F" w:rsidRPr="00D67F74">
        <w:fldChar w:fldCharType="end"/>
      </w:r>
      <w:r w:rsidR="00DE572F">
        <w:t>). Subliniază că durata de redactare a unei hotărâri judecătorești trebuie inclusă în calculul duratei totale a unei proceduri [</w:t>
      </w:r>
      <w:r w:rsidR="00DE572F">
        <w:rPr>
          <w:i/>
        </w:rPr>
        <w:t>Mierlă și al</w:t>
      </w:r>
      <w:r w:rsidR="00D62C82">
        <w:rPr>
          <w:i/>
        </w:rPr>
        <w:t>ț</w:t>
      </w:r>
      <w:r w:rsidR="00DE572F">
        <w:rPr>
          <w:i/>
        </w:rPr>
        <w:t>ii împotriva României</w:t>
      </w:r>
      <w:r w:rsidR="00DE572F">
        <w:t xml:space="preserve"> (dec.), nr. 25801/17 și alte 2 cereri, pct. 81, 2 iunie 2022; </w:t>
      </w:r>
      <w:r w:rsidR="0004539A">
        <w:rPr>
          <w:i/>
        </w:rPr>
        <w:t xml:space="preserve">Năstase împotriva </w:t>
      </w:r>
      <w:r w:rsidR="00DE572F">
        <w:rPr>
          <w:i/>
        </w:rPr>
        <w:t>României</w:t>
      </w:r>
      <w:r w:rsidR="00DE572F">
        <w:t xml:space="preserve"> (dec.), nr. 46/15 și 744/15, pct. 179, 6 septembrie 2022]. În spe</w:t>
      </w:r>
      <w:r w:rsidR="00D62C82">
        <w:t>ț</w:t>
      </w:r>
      <w:r w:rsidR="00DE572F">
        <w:t>ă, procedura penală a durat aproximativ nouă ani, pentru două grade de jurisdic</w:t>
      </w:r>
      <w:r w:rsidR="00D62C82">
        <w:t>ț</w:t>
      </w:r>
      <w:r w:rsidR="00DE572F">
        <w:t>ie. Curtea apreciază că această durată este problematică.</w:t>
      </w:r>
    </w:p>
    <w:p w:rsidR="00AF59CE" w:rsidRPr="00D67F74" w:rsidRDefault="00F23E65" w:rsidP="00D67F74">
      <w:pPr>
        <w:pStyle w:val="JuPara"/>
      </w:pPr>
      <w:r>
        <w:fldChar w:fldCharType="begin"/>
      </w:r>
      <w:r>
        <w:instrText xml:space="preserve"> SEQ level0 \*arabic </w:instrText>
      </w:r>
      <w:r>
        <w:fldChar w:fldCharType="separate"/>
      </w:r>
      <w:r>
        <w:rPr>
          <w:noProof/>
        </w:rPr>
        <w:t>61</w:t>
      </w:r>
      <w:r>
        <w:fldChar w:fldCharType="end"/>
      </w:r>
      <w:r w:rsidR="00DE572F">
        <w:t>. Curtea admite că este posibil ca procedura penală să fi prezentat o anumită complexitate, având în vedere natura acuza</w:t>
      </w:r>
      <w:r w:rsidR="00D62C82">
        <w:t>ț</w:t>
      </w:r>
      <w:r w:rsidR="00DE572F">
        <w:t>iilor formulate împotriva reclaman</w:t>
      </w:r>
      <w:r w:rsidR="00D62C82">
        <w:t>ț</w:t>
      </w:r>
      <w:r w:rsidR="00DE572F">
        <w:t>ilor și toate probele, unele dintre ele având un caracter confiden</w:t>
      </w:r>
      <w:r w:rsidR="00D62C82">
        <w:t>ț</w:t>
      </w:r>
      <w:r w:rsidR="00DE572F">
        <w:t>ial, pe care instan</w:t>
      </w:r>
      <w:r w:rsidR="00D62C82">
        <w:t>ț</w:t>
      </w:r>
      <w:r w:rsidR="00DE572F">
        <w:t>ele na</w:t>
      </w:r>
      <w:r w:rsidR="00D62C82">
        <w:t>ț</w:t>
      </w:r>
      <w:r w:rsidR="00DE572F">
        <w:t>ionale au trebuit să le examineze. Cu toate acestea, apreciază că complexitatea cauzei nu este suficientă, în sine, pentru a justifica durata procedurii. Aceasta observă că Guvernul nu a prezentat niciun argument pentru a justifica această durată, care, prin urmare, trebuie să fie imputată autorită</w:t>
      </w:r>
      <w:r w:rsidR="00D62C82">
        <w:t>ț</w:t>
      </w:r>
      <w:r w:rsidR="00DE572F">
        <w:t>ilor na</w:t>
      </w:r>
      <w:r w:rsidR="00D62C82">
        <w:t>ț</w:t>
      </w:r>
      <w:r w:rsidR="00DE572F">
        <w:t xml:space="preserve">ionale (a se vedea, </w:t>
      </w:r>
      <w:r w:rsidR="00DE572F">
        <w:rPr>
          <w:i/>
        </w:rPr>
        <w:t>mutatis mutandis</w:t>
      </w:r>
      <w:r w:rsidR="00DE572F">
        <w:t xml:space="preserve">, </w:t>
      </w:r>
      <w:r w:rsidR="00DE572F">
        <w:rPr>
          <w:i/>
        </w:rPr>
        <w:t>Vlad și al</w:t>
      </w:r>
      <w:r w:rsidR="00D62C82">
        <w:rPr>
          <w:i/>
        </w:rPr>
        <w:t>ț</w:t>
      </w:r>
      <w:r w:rsidR="00DE572F">
        <w:rPr>
          <w:i/>
        </w:rPr>
        <w:t>ii împotriva</w:t>
      </w:r>
      <w:r w:rsidR="00286F37">
        <w:rPr>
          <w:i/>
        </w:rPr>
        <w:t xml:space="preserve"> </w:t>
      </w:r>
      <w:r w:rsidR="00DE572F">
        <w:rPr>
          <w:i/>
        </w:rPr>
        <w:t>României</w:t>
      </w:r>
      <w:r w:rsidR="00DE572F">
        <w:rPr>
          <w:snapToGrid w:val="0"/>
        </w:rPr>
        <w:t>,</w:t>
      </w:r>
      <w:r w:rsidR="00DE572F">
        <w:t xml:space="preserve"> nr. 40756/06 și alte 2 cereri, </w:t>
      </w:r>
      <w:r w:rsidR="00DE572F">
        <w:rPr>
          <w:snapToGrid w:val="0"/>
        </w:rPr>
        <w:t>pct. 145, 26 noiembrie 2013).</w:t>
      </w:r>
    </w:p>
    <w:bookmarkStart w:id="26" w:name="para0063"/>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62</w:t>
      </w:r>
      <w:r w:rsidRPr="00D67F74">
        <w:fldChar w:fldCharType="end"/>
      </w:r>
      <w:bookmarkEnd w:id="26"/>
      <w:r>
        <w:t>. Prin</w:t>
      </w:r>
      <w:r w:rsidR="00FE4F07">
        <w:t xml:space="preserve"> urmare, a fost încălcat art. 6 </w:t>
      </w:r>
      <w:r>
        <w:t>§ 1 din Conven</w:t>
      </w:r>
      <w:r w:rsidR="00D62C82">
        <w:t>ț</w:t>
      </w:r>
      <w:r>
        <w:t>ie.</w:t>
      </w:r>
    </w:p>
    <w:p w:rsidR="00AF59CE" w:rsidRPr="00D67F74" w:rsidRDefault="00DE572F" w:rsidP="00D67F74">
      <w:pPr>
        <w:pStyle w:val="JuHIRoman"/>
      </w:pPr>
      <w:r>
        <w:t>CU PRIVIRE LA PRETINSA ÎNCĂLCARE A ART. 7 DIN CONVENȚIE</w:t>
      </w:r>
    </w:p>
    <w:p w:rsidR="00AF59CE" w:rsidRPr="00D67F74" w:rsidRDefault="00F23E65" w:rsidP="00D67F74">
      <w:pPr>
        <w:pStyle w:val="JuPara"/>
      </w:pPr>
      <w:r>
        <w:fldChar w:fldCharType="begin"/>
      </w:r>
      <w:r>
        <w:instrText xml:space="preserve"> SEQ level</w:instrText>
      </w:r>
      <w:r>
        <w:instrText xml:space="preserve">0 \*arabic </w:instrText>
      </w:r>
      <w:r>
        <w:fldChar w:fldCharType="separate"/>
      </w:r>
      <w:r>
        <w:rPr>
          <w:noProof/>
        </w:rPr>
        <w:t>63</w:t>
      </w:r>
      <w:r>
        <w:fldChar w:fldCharType="end"/>
      </w:r>
      <w:r w:rsidR="00DE572F">
        <w:t>. Cel de-al doilea reclamant sus</w:t>
      </w:r>
      <w:r w:rsidR="00D62C82">
        <w:t>ț</w:t>
      </w:r>
      <w:r w:rsidR="00DE572F">
        <w:t>ine că, la momentul săvârșirii lor, faptele pentru care a fost condamnat prin hotărârea Înaltei Cur</w:t>
      </w:r>
      <w:r w:rsidR="00D62C82">
        <w:t>ț</w:t>
      </w:r>
      <w:r w:rsidR="00DE572F">
        <w:t>i din 20 mai 2013 nu constituiau o infrac</w:t>
      </w:r>
      <w:r w:rsidR="00D62C82">
        <w:t>ț</w:t>
      </w:r>
      <w:r w:rsidR="00DE572F">
        <w:t>iune, potrivit dreptului na</w:t>
      </w:r>
      <w:r w:rsidR="00D62C82">
        <w:t>ț</w:t>
      </w:r>
      <w:r w:rsidR="00DE572F">
        <w:t>ional. Acesta invocă art. 7 din Conven</w:t>
      </w:r>
      <w:r w:rsidR="00D62C82">
        <w:t>ț</w:t>
      </w:r>
      <w:r w:rsidR="00DE572F">
        <w:t>ie, formulat după cum urmează, în păr</w:t>
      </w:r>
      <w:r w:rsidR="00D62C82">
        <w:t>ț</w:t>
      </w:r>
      <w:r w:rsidR="00DE572F">
        <w:t>ile sale relevante în spe</w:t>
      </w:r>
      <w:r w:rsidR="00D62C82">
        <w:t>ț</w:t>
      </w:r>
      <w:r w:rsidR="00DE572F">
        <w:t>ă:</w:t>
      </w:r>
    </w:p>
    <w:p w:rsidR="00AF59CE" w:rsidRPr="00D67F74" w:rsidRDefault="00DE572F" w:rsidP="00D67F74">
      <w:pPr>
        <w:pStyle w:val="JuQuot"/>
      </w:pPr>
      <w:r>
        <w:t>„1. Nimeni nu poate fi condamnat pentru o ac</w:t>
      </w:r>
      <w:r w:rsidR="00D62C82">
        <w:t>ț</w:t>
      </w:r>
      <w:r>
        <w:t>iune sau o omisiune care, în momentul în care a fost săvârșită, nu constituia o infrac</w:t>
      </w:r>
      <w:r w:rsidR="00D62C82">
        <w:t>ț</w:t>
      </w:r>
      <w:r>
        <w:t>iune, potrivit dreptului na</w:t>
      </w:r>
      <w:r w:rsidR="00D62C82">
        <w:t>ț</w:t>
      </w:r>
      <w:r>
        <w:t>ional și interna</w:t>
      </w:r>
      <w:r w:rsidR="00D62C82">
        <w:t>ț</w:t>
      </w:r>
      <w:r>
        <w:t>ional. De asemenea, nu se poate aplica o pedeapsă mai severă decât aceea care era aplicabilă în momentul săvârșirii infrac</w:t>
      </w:r>
      <w:r w:rsidR="00D62C82">
        <w:t>ț</w:t>
      </w:r>
      <w:r>
        <w:t>iunii.</w:t>
      </w:r>
    </w:p>
    <w:p w:rsidR="00AF59CE" w:rsidRPr="00D67F74" w:rsidRDefault="00DE572F" w:rsidP="00D67F74">
      <w:pPr>
        <w:pStyle w:val="JuQuot"/>
      </w:pPr>
      <w:r>
        <w:t>[...]”</w:t>
      </w:r>
    </w:p>
    <w:p w:rsidR="00AF59CE" w:rsidRPr="00D67F74" w:rsidRDefault="00DE572F" w:rsidP="00D67F74">
      <w:pPr>
        <w:pStyle w:val="JuHA"/>
        <w:ind w:left="572"/>
      </w:pPr>
      <w:r>
        <w:t>Argumentele păr</w:t>
      </w:r>
      <w:r w:rsidR="00D62C82">
        <w:t>ț</w:t>
      </w:r>
      <w:r>
        <w:t>ilor</w:t>
      </w:r>
    </w:p>
    <w:p w:rsidR="00AF59CE" w:rsidRPr="00D67F74" w:rsidRDefault="00DE572F" w:rsidP="00D67F74">
      <w:pPr>
        <w:pStyle w:val="JuH1"/>
        <w:ind w:left="771"/>
      </w:pPr>
      <w:r>
        <w:t>Guvernul</w:t>
      </w:r>
    </w:p>
    <w:bookmarkStart w:id="27" w:name="para0067"/>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64</w:t>
      </w:r>
      <w:r w:rsidRPr="00D67F74">
        <w:fldChar w:fldCharType="end"/>
      </w:r>
      <w:bookmarkEnd w:id="27"/>
      <w:r>
        <w:t>. Guvernul ridică mai multe excep</w:t>
      </w:r>
      <w:r w:rsidR="00D62C82">
        <w:t>ț</w:t>
      </w:r>
      <w:r>
        <w:t>ii de inadmisibilitate. Acesta sus</w:t>
      </w:r>
      <w:r w:rsidR="00D62C82">
        <w:t>ț</w:t>
      </w:r>
      <w:r>
        <w:t>ine, în primul rând, că al doilea reclamant a formulat cererea sa într-o manieră vagă și imprecisă, pentru a crea impresia că împrejurările cauzei determină o constatare a încălcării art. 7. Acesta apreciază că, astfel, persoana în cauză a folosit în mod abuziv dreptul de recurs. În continuare, solicită Cur</w:t>
      </w:r>
      <w:r w:rsidR="00D62C82">
        <w:t>ț</w:t>
      </w:r>
      <w:r>
        <w:t>ii să declare capătul de cerere neîntemeiat pentru motivul că, în opinia sa, are un caracter formal și nu privește o încălcare materială a art. 7.</w:t>
      </w:r>
    </w:p>
    <w:p w:rsidR="00AF59CE" w:rsidRPr="00D67F74" w:rsidRDefault="00F23E65" w:rsidP="00D67F74">
      <w:pPr>
        <w:pStyle w:val="JuPara"/>
      </w:pPr>
      <w:r>
        <w:fldChar w:fldCharType="begin"/>
      </w:r>
      <w:r>
        <w:instrText xml:space="preserve"> SEQ level0 \*arabic </w:instrText>
      </w:r>
      <w:r>
        <w:fldChar w:fldCharType="separate"/>
      </w:r>
      <w:r>
        <w:rPr>
          <w:noProof/>
        </w:rPr>
        <w:t>65</w:t>
      </w:r>
      <w:r>
        <w:fldChar w:fldCharType="end"/>
      </w:r>
      <w:r w:rsidR="00DE572F">
        <w:t>. De asemenea, sus</w:t>
      </w:r>
      <w:r w:rsidR="00D62C82">
        <w:t>ț</w:t>
      </w:r>
      <w:r w:rsidR="00DE572F">
        <w:t>ine că plângerea celui de-al doilea reclamant este în mod vădit nefondată, considerând că aceasta pune în discu</w:t>
      </w:r>
      <w:r w:rsidR="00D62C82">
        <w:t>ț</w:t>
      </w:r>
      <w:r w:rsidR="00DE572F">
        <w:t>ie stabilirea faptelor și interpretarea dreptului intern, efectuate de instan</w:t>
      </w:r>
      <w:r w:rsidR="00D62C82">
        <w:t>ț</w:t>
      </w:r>
      <w:r w:rsidR="00DE572F">
        <w:t>ele interne. Afirmă că argumentul potrivit căruia schimbul de terenuri a avut loc la 14 octombrie 1996 este nefondat, în măsura în care, în opinia sa, persoana în cauză doar a semnat un act ministerial intern, care nu producea efecte în lipsa punerii în posesie și a transferului dreptului de proprietate.</w:t>
      </w:r>
    </w:p>
    <w:p w:rsidR="00AF59CE" w:rsidRPr="00D67F74" w:rsidRDefault="00F23E65" w:rsidP="00D67F74">
      <w:pPr>
        <w:pStyle w:val="JuPara"/>
      </w:pPr>
      <w:r>
        <w:fldChar w:fldCharType="begin"/>
      </w:r>
      <w:r>
        <w:instrText xml:space="preserve"> SEQ level0 \*arabic </w:instrText>
      </w:r>
      <w:r>
        <w:fldChar w:fldCharType="separate"/>
      </w:r>
      <w:r>
        <w:rPr>
          <w:noProof/>
        </w:rPr>
        <w:t>66</w:t>
      </w:r>
      <w:r>
        <w:fldChar w:fldCharType="end"/>
      </w:r>
      <w:r w:rsidR="00DE572F">
        <w:t>. Guvernul sus</w:t>
      </w:r>
      <w:r w:rsidR="00D62C82">
        <w:t>ț</w:t>
      </w:r>
      <w:r w:rsidR="00DE572F">
        <w:t>ine că, în spe</w:t>
      </w:r>
      <w:r w:rsidR="00D62C82">
        <w:t>ț</w:t>
      </w:r>
      <w:r w:rsidR="00DE572F">
        <w:t>ă, nu sunt îndeplinite cele două criterii stabilite de Curte în jurispruden</w:t>
      </w:r>
      <w:r w:rsidR="00D62C82">
        <w:t>ț</w:t>
      </w:r>
      <w:r w:rsidR="00DE572F">
        <w:t>a sa. Acesta sus</w:t>
      </w:r>
      <w:r w:rsidR="00D62C82">
        <w:t>ț</w:t>
      </w:r>
      <w:r w:rsidR="00DE572F">
        <w:t>ine că infrac</w:t>
      </w:r>
      <w:r w:rsidR="00D62C82">
        <w:t>ț</w:t>
      </w:r>
      <w:r w:rsidR="00DE572F">
        <w:t>iunea de abuz în serviciu era deja sanc</w:t>
      </w:r>
      <w:r w:rsidR="00D62C82">
        <w:t>ț</w:t>
      </w:r>
      <w:r w:rsidR="00DE572F">
        <w:t>ionată de Codul penal și că reclamantul nu a fost pedepsit pentru o nouă infrac</w:t>
      </w:r>
      <w:r w:rsidR="00D62C82">
        <w:t>ț</w:t>
      </w:r>
      <w:r w:rsidR="00DE572F">
        <w:t>iune și nici nu a fost condamnat la o pedeapsă mai severă, ca urmare a modificării Codului. În continuare, acesta sus</w:t>
      </w:r>
      <w:r w:rsidR="00D62C82">
        <w:t>ț</w:t>
      </w:r>
      <w:r w:rsidR="00DE572F">
        <w:t>ine că stabilirea caracterului continuat al infrac</w:t>
      </w:r>
      <w:r w:rsidR="00D62C82">
        <w:t>ț</w:t>
      </w:r>
      <w:r w:rsidR="00DE572F">
        <w:t>iunii în cauză nu a agravat pedeapsa aplicată. Acesta adăugă că, de altfel, dispozi</w:t>
      </w:r>
      <w:r w:rsidR="00D62C82">
        <w:t>ț</w:t>
      </w:r>
      <w:r w:rsidR="00DE572F">
        <w:t>iile noii legi erau mai favorabile. În sfârșit, consideră că infrac</w:t>
      </w:r>
      <w:r w:rsidR="00D62C82">
        <w:t>ț</w:t>
      </w:r>
      <w:r w:rsidR="00DE572F">
        <w:t>iunea avea un temei în dreptul intern în vigoare la momentul faptelor și că persoana în cauză putea să prevadă că va fi considerat responsabil pentru o infrac</w:t>
      </w:r>
      <w:r w:rsidR="00D62C82">
        <w:t>ț</w:t>
      </w:r>
      <w:r w:rsidR="00DE572F">
        <w:t>iune continuată și să își schimbe comportamentul în consecin</w:t>
      </w:r>
      <w:r w:rsidR="00D62C82">
        <w:t>ț</w:t>
      </w:r>
      <w:r w:rsidR="00DE572F">
        <w:t>ă.</w:t>
      </w:r>
    </w:p>
    <w:p w:rsidR="00AF59CE" w:rsidRPr="00D67F74" w:rsidRDefault="00DE572F" w:rsidP="00D67F74">
      <w:pPr>
        <w:pStyle w:val="JuH1"/>
        <w:ind w:left="771"/>
      </w:pPr>
      <w:r>
        <w:t>Cel de-al doilea reclamant</w:t>
      </w:r>
    </w:p>
    <w:bookmarkStart w:id="28" w:name="para0070"/>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67</w:t>
      </w:r>
      <w:r w:rsidRPr="00D67F74">
        <w:fldChar w:fldCharType="end"/>
      </w:r>
      <w:bookmarkEnd w:id="28"/>
      <w:r>
        <w:t>. Al doilea reclamant afirmă că nu urmărește să ob</w:t>
      </w:r>
      <w:r w:rsidR="00D62C82">
        <w:t>ț</w:t>
      </w:r>
      <w:r>
        <w:t>ină o nouă examinare de către Curte a faptelor cauzei, dar consideră că pronun</w:t>
      </w:r>
      <w:r w:rsidR="00D62C82">
        <w:t>ț</w:t>
      </w:r>
      <w:r>
        <w:t>area condamnării sale a încălcat art. 7. Acesta precizează că argumentul său este acela că fapta săvârșită de el și încadrată de instan</w:t>
      </w:r>
      <w:r w:rsidR="00D62C82">
        <w:t>ț</w:t>
      </w:r>
      <w:r>
        <w:t>e ca fiind infrac</w:t>
      </w:r>
      <w:r w:rsidR="00D62C82">
        <w:t>ț</w:t>
      </w:r>
      <w:r>
        <w:t>iunea de abuz în serviciu a avut loc în octombrie 1996 și că nu a făcut referire la data efectuării schimbului de terenuri. El afirmă că, în cererea sa formulată în fa</w:t>
      </w:r>
      <w:r w:rsidR="00D62C82">
        <w:t>ț</w:t>
      </w:r>
      <w:r>
        <w:t>a Cur</w:t>
      </w:r>
      <w:r w:rsidR="00D62C82">
        <w:t>ț</w:t>
      </w:r>
      <w:r>
        <w:t>ii, a utilizat un limbaj clar și explicit și a făcut referire la hotărârea din 20 mai 2013, în care Înalta Curte a declarat că trebuia să fie re</w:t>
      </w:r>
      <w:r w:rsidR="00D62C82">
        <w:t>ț</w:t>
      </w:r>
      <w:r>
        <w:t>inută forma calificată a infrac</w:t>
      </w:r>
      <w:r w:rsidR="00D62C82">
        <w:t>ț</w:t>
      </w:r>
      <w:r>
        <w:t>iunii întrucât prejudiciul s-a produs după intrarea în vigoare a noii legi.</w:t>
      </w:r>
    </w:p>
    <w:p w:rsidR="00AF59CE" w:rsidRPr="00D67F74" w:rsidRDefault="00DE572F" w:rsidP="00D67F74">
      <w:pPr>
        <w:pStyle w:val="JuPara"/>
      </w:pPr>
      <w:r w:rsidRPr="00D67F74">
        <w:rPr>
          <w:snapToGrid w:val="0"/>
        </w:rPr>
        <w:fldChar w:fldCharType="begin"/>
      </w:r>
      <w:r w:rsidRPr="00D67F74">
        <w:rPr>
          <w:snapToGrid w:val="0"/>
        </w:rPr>
        <w:instrText xml:space="preserve"> SEQ level0 \*arabic </w:instrText>
      </w:r>
      <w:r w:rsidRPr="00D67F74">
        <w:rPr>
          <w:snapToGrid w:val="0"/>
        </w:rPr>
        <w:fldChar w:fldCharType="separate"/>
      </w:r>
      <w:r w:rsidR="00F23E65">
        <w:rPr>
          <w:noProof/>
          <w:snapToGrid w:val="0"/>
        </w:rPr>
        <w:t>68</w:t>
      </w:r>
      <w:r w:rsidRPr="00D67F74">
        <w:rPr>
          <w:snapToGrid w:val="0"/>
        </w:rPr>
        <w:fldChar w:fldCharType="end"/>
      </w:r>
      <w:r>
        <w:rPr>
          <w:snapToGrid w:val="0"/>
        </w:rPr>
        <w:t>. Cel de-al doilea reclamant sus</w:t>
      </w:r>
      <w:r w:rsidR="00D62C82">
        <w:rPr>
          <w:snapToGrid w:val="0"/>
        </w:rPr>
        <w:t>ț</w:t>
      </w:r>
      <w:r>
        <w:rPr>
          <w:snapToGrid w:val="0"/>
        </w:rPr>
        <w:t>ine că Legea nr. 140/1996 a introdus o nouă infrac</w:t>
      </w:r>
      <w:r w:rsidR="00D62C82">
        <w:rPr>
          <w:snapToGrid w:val="0"/>
        </w:rPr>
        <w:t>ț</w:t>
      </w:r>
      <w:r>
        <w:rPr>
          <w:snapToGrid w:val="0"/>
        </w:rPr>
        <w:t>iune calificată drept abuz în serviciu și că limitele pedepsei prevăzute pentru aceasta erau mai severe. El adăugă că legea în cauză a modificat, în defavoarea lui, condi</w:t>
      </w:r>
      <w:r w:rsidR="00D62C82">
        <w:rPr>
          <w:snapToGrid w:val="0"/>
        </w:rPr>
        <w:t>ț</w:t>
      </w:r>
      <w:r>
        <w:rPr>
          <w:snapToGrid w:val="0"/>
        </w:rPr>
        <w:t>iile interven</w:t>
      </w:r>
      <w:r w:rsidR="00D62C82">
        <w:rPr>
          <w:snapToGrid w:val="0"/>
        </w:rPr>
        <w:t>ț</w:t>
      </w:r>
      <w:r>
        <w:rPr>
          <w:snapToGrid w:val="0"/>
        </w:rPr>
        <w:t>iei prescrip</w:t>
      </w:r>
      <w:r w:rsidR="00D62C82">
        <w:rPr>
          <w:snapToGrid w:val="0"/>
        </w:rPr>
        <w:t>ț</w:t>
      </w:r>
      <w:r>
        <w:rPr>
          <w:snapToGrid w:val="0"/>
        </w:rPr>
        <w:t>iei răspunderii penale. Argumentează că simpla aprobare de către acesta a unui document nu constituie o infrac</w:t>
      </w:r>
      <w:r w:rsidR="00D62C82">
        <w:rPr>
          <w:snapToGrid w:val="0"/>
        </w:rPr>
        <w:t>ț</w:t>
      </w:r>
      <w:r>
        <w:rPr>
          <w:snapToGrid w:val="0"/>
        </w:rPr>
        <w:t>iune și nu a cauzat niciun prejudiciu ministerului. El sus</w:t>
      </w:r>
      <w:r w:rsidR="00D62C82">
        <w:rPr>
          <w:snapToGrid w:val="0"/>
        </w:rPr>
        <w:t>ț</w:t>
      </w:r>
      <w:r>
        <w:rPr>
          <w:snapToGrid w:val="0"/>
        </w:rPr>
        <w:t>ine că, la momentul aprobării schimbului, nu putea să prevadă că fapta lui va fi considerată infrac</w:t>
      </w:r>
      <w:r w:rsidR="00D62C82">
        <w:rPr>
          <w:snapToGrid w:val="0"/>
        </w:rPr>
        <w:t>ț</w:t>
      </w:r>
      <w:r>
        <w:rPr>
          <w:snapToGrid w:val="0"/>
        </w:rPr>
        <w:t>iune, încadrată ca abuz în serviciu. De asemenea, apreciază că pedeapsa care i-a fost aplicată nu era prevăzută de legea care era în vigoare la momentul aprobării documentului. În plus, potrivit acestuia, odată ce a aprobat documentul, acesta nu a mai avut niciun control asupra desfășurării evenimentelor, deoarece nu putea să prevadă dacă și când va fi semnat contractul de schimb.</w:t>
      </w:r>
    </w:p>
    <w:p w:rsidR="00AF59CE" w:rsidRPr="00D67F74" w:rsidRDefault="00DE572F" w:rsidP="00D67F74">
      <w:pPr>
        <w:pStyle w:val="JuHA"/>
      </w:pPr>
      <w:r>
        <w:t>Motivarea Cur</w:t>
      </w:r>
      <w:r w:rsidR="00D62C82">
        <w:t>ț</w:t>
      </w:r>
      <w:r>
        <w:t>ii</w:t>
      </w:r>
    </w:p>
    <w:p w:rsidR="00AF59CE" w:rsidRPr="00D67F74" w:rsidRDefault="00F23E65" w:rsidP="00D67F74">
      <w:pPr>
        <w:pStyle w:val="JuPara"/>
      </w:pPr>
      <w:r>
        <w:fldChar w:fldCharType="begin"/>
      </w:r>
      <w:r>
        <w:instrText xml:space="preserve"> SEQ level0 \*arabic</w:instrText>
      </w:r>
      <w:r>
        <w:instrText xml:space="preserve"> </w:instrText>
      </w:r>
      <w:r>
        <w:fldChar w:fldCharType="separate"/>
      </w:r>
      <w:r>
        <w:rPr>
          <w:noProof/>
        </w:rPr>
        <w:t>69</w:t>
      </w:r>
      <w:r>
        <w:fldChar w:fldCharType="end"/>
      </w:r>
      <w:r w:rsidR="00DE572F">
        <w:t>. Curtea consideră că nu este necesar să examineze în spe</w:t>
      </w:r>
      <w:r w:rsidR="00D62C82">
        <w:t>ț</w:t>
      </w:r>
      <w:r w:rsidR="00DE572F">
        <w:t>ă toate excep</w:t>
      </w:r>
      <w:r w:rsidR="00D62C82">
        <w:t>ț</w:t>
      </w:r>
      <w:r w:rsidR="00DE572F">
        <w:t>iile de inadmisibilitate ridicate de Guvern, în măsura în care acest capăt de cerere este, în orice caz, vădit nefondat pentru următoarele motive.</w:t>
      </w:r>
    </w:p>
    <w:p w:rsidR="00AF59CE" w:rsidRPr="00D67F74" w:rsidRDefault="00F23E65" w:rsidP="00D67F74">
      <w:pPr>
        <w:pStyle w:val="JuPara"/>
      </w:pPr>
      <w:r>
        <w:fldChar w:fldCharType="begin"/>
      </w:r>
      <w:r>
        <w:instrText xml:space="preserve"> SEQ level0 \*arabic </w:instrText>
      </w:r>
      <w:r>
        <w:fldChar w:fldCharType="separate"/>
      </w:r>
      <w:r>
        <w:rPr>
          <w:noProof/>
        </w:rPr>
        <w:t>70</w:t>
      </w:r>
      <w:r>
        <w:fldChar w:fldCharType="end"/>
      </w:r>
      <w:r w:rsidR="00DE572F">
        <w:t xml:space="preserve">. Principiile generale aplicabile au fost rezumate în hotărârea </w:t>
      </w:r>
      <w:proofErr w:type="spellStart"/>
      <w:r w:rsidR="00286F37">
        <w:rPr>
          <w:i/>
        </w:rPr>
        <w:t>Rohlena</w:t>
      </w:r>
      <w:proofErr w:type="spellEnd"/>
      <w:r w:rsidR="00286F37">
        <w:rPr>
          <w:i/>
        </w:rPr>
        <w:t xml:space="preserve"> împotriva </w:t>
      </w:r>
      <w:r w:rsidR="00DE572F">
        <w:rPr>
          <w:i/>
        </w:rPr>
        <w:t>Republicii Cehe</w:t>
      </w:r>
      <w:r w:rsidR="00DE572F">
        <w:t xml:space="preserve"> [(MC)</w:t>
      </w:r>
      <w:r w:rsidR="00DE572F">
        <w:rPr>
          <w:snapToGrid w:val="0"/>
        </w:rPr>
        <w:t xml:space="preserve">, nr. 59552/08, pct. 50, CEDO 2015, cu trimiterile citate]. În special, </w:t>
      </w:r>
      <w:r w:rsidR="00DE572F">
        <w:t>art. 7 din Conven</w:t>
      </w:r>
      <w:r w:rsidR="00D62C82">
        <w:t>ț</w:t>
      </w:r>
      <w:r w:rsidR="00DE572F">
        <w:t>ie impune existen</w:t>
      </w:r>
      <w:r w:rsidR="00D62C82">
        <w:t>ț</w:t>
      </w:r>
      <w:r w:rsidR="00DE572F">
        <w:t>a unui temei legal pentru pronun</w:t>
      </w:r>
      <w:r w:rsidR="00D62C82">
        <w:t>ț</w:t>
      </w:r>
      <w:r w:rsidR="00DE572F">
        <w:t>area unei condamnări și aplicarea unei pedepse. Acesta impune Cur</w:t>
      </w:r>
      <w:r w:rsidR="00D62C82">
        <w:t>ț</w:t>
      </w:r>
      <w:r w:rsidR="00DE572F">
        <w:t>ii să cerceteze dacă respectiva condamnare a reclamantului avea, la momentul respectiv, un temei legal. În special, Curtea trebuie să se asigure că rezultatul la care au ajuns instan</w:t>
      </w:r>
      <w:r w:rsidR="00D62C82">
        <w:t>ț</w:t>
      </w:r>
      <w:r w:rsidR="00DE572F">
        <w:t>ele interne competente est</w:t>
      </w:r>
      <w:r w:rsidR="00810DCC">
        <w:t>e în conformitate cu art. </w:t>
      </w:r>
      <w:r w:rsidR="00DE572F">
        <w:t>7 din Conven</w:t>
      </w:r>
      <w:r w:rsidR="00D62C82">
        <w:t>ț</w:t>
      </w:r>
      <w:r w:rsidR="00DE572F">
        <w:t>ie. Această dispozi</w:t>
      </w:r>
      <w:r w:rsidR="00D62C82">
        <w:t>ț</w:t>
      </w:r>
      <w:r w:rsidR="00DE572F">
        <w:t>ie ar fi lipsită de obiect în cazul în care Cur</w:t>
      </w:r>
      <w:r w:rsidR="00D62C82">
        <w:t>ț</w:t>
      </w:r>
      <w:r w:rsidR="00DE572F">
        <w:t>ii i s-ar acorda o competen</w:t>
      </w:r>
      <w:r w:rsidR="00D62C82">
        <w:t>ț</w:t>
      </w:r>
      <w:r w:rsidR="00DE572F">
        <w:t>ă de control mai redusă (</w:t>
      </w:r>
      <w:r w:rsidR="00DE572F">
        <w:rPr>
          <w:i/>
        </w:rPr>
        <w:t>ibidem</w:t>
      </w:r>
      <w:r w:rsidR="00DE572F">
        <w:t>, pct. 52).</w:t>
      </w:r>
    </w:p>
    <w:p w:rsidR="00AF59CE" w:rsidRPr="00D67F74" w:rsidRDefault="00F23E65" w:rsidP="00D67F74">
      <w:pPr>
        <w:pStyle w:val="JuPara"/>
      </w:pPr>
      <w:r>
        <w:fldChar w:fldCharType="begin"/>
      </w:r>
      <w:r>
        <w:instrText xml:space="preserve"> SEQ level0 \*arabic </w:instrText>
      </w:r>
      <w:r>
        <w:fldChar w:fldCharType="separate"/>
      </w:r>
      <w:r>
        <w:rPr>
          <w:noProof/>
        </w:rPr>
        <w:t>71</w:t>
      </w:r>
      <w:r>
        <w:fldChar w:fldCharType="end"/>
      </w:r>
      <w:r w:rsidR="00DE572F">
        <w:t>. Aplicând aceste principii în prezenta cauză, Curtea observă mai întâi că, în hotărârea sa din 20 mai 2013, Înalta Curte a statuat că al doilea reclamant a săvârșit mai multe fapte și a explicat că acestea erau elementele constitutive ale infrac</w:t>
      </w:r>
      <w:r w:rsidR="00D62C82">
        <w:t>ț</w:t>
      </w:r>
      <w:r w:rsidR="00DE572F">
        <w:t>iunii pentru care persoana în cauză fusese pusă sub acuzare. Înalta Curte a precizat că unele dintre aceste fapte au fost comise de cel de-al doilea reclamant după intrarea în vigoare a Legii nr. 140/1996, ceea ce determina aplicarea formei calificate a infrac</w:t>
      </w:r>
      <w:r w:rsidR="00D62C82">
        <w:t>ț</w:t>
      </w:r>
      <w:r w:rsidR="00DE572F">
        <w:t>iunii de abuz în serviciu, prevăzută în versiunea modificată a Codului penal (supra, pct. </w:t>
      </w:r>
      <w:r w:rsidR="00DE572F" w:rsidRPr="00D67F74">
        <w:fldChar w:fldCharType="begin"/>
      </w:r>
      <w:r w:rsidR="00DE572F" w:rsidRPr="00D67F74">
        <w:instrText xml:space="preserve"> REF para0021 \h </w:instrText>
      </w:r>
      <w:r w:rsidR="00DE572F" w:rsidRPr="00D67F74">
        <w:fldChar w:fldCharType="separate"/>
      </w:r>
      <w:r>
        <w:rPr>
          <w:noProof/>
        </w:rPr>
        <w:t>21</w:t>
      </w:r>
      <w:r w:rsidR="00DE572F" w:rsidRPr="00D67F74">
        <w:fldChar w:fldCharType="end"/>
      </w:r>
      <w:r w:rsidR="00DE572F">
        <w:t>).</w:t>
      </w:r>
    </w:p>
    <w:p w:rsidR="00AF59CE" w:rsidRPr="00D67F74" w:rsidRDefault="00F23E65" w:rsidP="00D67F74">
      <w:pPr>
        <w:pStyle w:val="JuPara"/>
      </w:pPr>
      <w:r>
        <w:fldChar w:fldCharType="begin"/>
      </w:r>
      <w:r>
        <w:instrText xml:space="preserve"> SEQ level0 \*arabic </w:instrText>
      </w:r>
      <w:r>
        <w:fldChar w:fldCharType="separate"/>
      </w:r>
      <w:r>
        <w:rPr>
          <w:noProof/>
        </w:rPr>
        <w:t>72</w:t>
      </w:r>
      <w:r>
        <w:fldChar w:fldCharType="end"/>
      </w:r>
      <w:r w:rsidR="00DE572F">
        <w:t>. În continuare, Curtea observă că persoana în cauză nu contestă ra</w:t>
      </w:r>
      <w:r w:rsidR="00D62C82">
        <w:t>ț</w:t>
      </w:r>
      <w:r w:rsidR="00DE572F">
        <w:t>ionamentul Înaltei Cur</w:t>
      </w:r>
      <w:r w:rsidR="00D62C82">
        <w:t>ț</w:t>
      </w:r>
      <w:r w:rsidR="00DE572F">
        <w:t>i, dar că, potrivit capătului său de cerere, acesta a săvârșit o singură faptă care constituie o infrac</w:t>
      </w:r>
      <w:r w:rsidR="00D62C82">
        <w:t>ț</w:t>
      </w:r>
      <w:r w:rsidR="00DE572F">
        <w:t>iune, în octombrie 1996, adică anterior modificării legislative în cauză (supra, pct. </w:t>
      </w:r>
      <w:r w:rsidR="00DE572F" w:rsidRPr="00D67F74">
        <w:fldChar w:fldCharType="begin"/>
      </w:r>
      <w:r w:rsidR="00DE572F" w:rsidRPr="00D67F74">
        <w:instrText xml:space="preserve"> REF para0070 \h </w:instrText>
      </w:r>
      <w:r w:rsidR="00DE572F" w:rsidRPr="00D67F74">
        <w:fldChar w:fldCharType="separate"/>
      </w:r>
      <w:r>
        <w:rPr>
          <w:noProof/>
        </w:rPr>
        <w:t>67</w:t>
      </w:r>
      <w:r w:rsidR="00DE572F" w:rsidRPr="00D67F74">
        <w:fldChar w:fldCharType="end"/>
      </w:r>
      <w:r w:rsidR="00DE572F">
        <w:t>). Or, Curtea apreciază că, prin capătul său de cerere, formulat astfel, cel de-al doilea reclamant pune în discu</w:t>
      </w:r>
      <w:r w:rsidR="00D62C82">
        <w:t>ț</w:t>
      </w:r>
      <w:r w:rsidR="00DE572F">
        <w:t>ie modul în care instan</w:t>
      </w:r>
      <w:r w:rsidR="00D62C82">
        <w:t>ț</w:t>
      </w:r>
      <w:r w:rsidR="00DE572F">
        <w:t>ele na</w:t>
      </w:r>
      <w:r w:rsidR="00D62C82">
        <w:t>ț</w:t>
      </w:r>
      <w:r w:rsidR="00DE572F">
        <w:t>ionale au stabilit circumstan</w:t>
      </w:r>
      <w:r w:rsidR="00D62C82">
        <w:t>ț</w:t>
      </w:r>
      <w:r w:rsidR="00DE572F">
        <w:t xml:space="preserve">ele cauzei, mai precis elementele </w:t>
      </w:r>
      <w:r w:rsidR="00E52E0C">
        <w:t>constitutive</w:t>
      </w:r>
      <w:r w:rsidR="00DE572F">
        <w:t xml:space="preserve"> ale infrac</w:t>
      </w:r>
      <w:r w:rsidR="00D62C82">
        <w:t>ț</w:t>
      </w:r>
      <w:r w:rsidR="00DE572F">
        <w:t>iunii săvârșite de acesta. Prin urmare, problema ridicată în spe</w:t>
      </w:r>
      <w:r w:rsidR="00D62C82">
        <w:t>ț</w:t>
      </w:r>
      <w:r w:rsidR="00DE572F">
        <w:t>ă nu privește aplicarea legii penale în vigoare la momentul faptelor.</w:t>
      </w:r>
    </w:p>
    <w:p w:rsidR="00AF59CE" w:rsidRPr="00D67F74" w:rsidRDefault="00F23E65" w:rsidP="00D67F74">
      <w:pPr>
        <w:pStyle w:val="JuPara"/>
        <w:rPr>
          <w:rStyle w:val="JuParaChar"/>
        </w:rPr>
      </w:pPr>
      <w:r>
        <w:fldChar w:fldCharType="begin"/>
      </w:r>
      <w:r>
        <w:instrText xml:space="preserve"> SEQ level0 \*arabic </w:instrText>
      </w:r>
      <w:r>
        <w:fldChar w:fldCharType="separate"/>
      </w:r>
      <w:r>
        <w:rPr>
          <w:noProof/>
        </w:rPr>
        <w:t>73</w:t>
      </w:r>
      <w:r>
        <w:fldChar w:fldCharType="end"/>
      </w:r>
      <w:r w:rsidR="00DE572F">
        <w:t>.</w:t>
      </w:r>
      <w:r w:rsidR="00DE572F">
        <w:rPr>
          <w:rStyle w:val="JuParaChar"/>
        </w:rPr>
        <w:t xml:space="preserve"> Curtea reamintește că, deși, în temeiul art. 19 din Conven</w:t>
      </w:r>
      <w:r w:rsidR="00D62C82">
        <w:rPr>
          <w:rStyle w:val="JuParaChar"/>
        </w:rPr>
        <w:t>ț</w:t>
      </w:r>
      <w:r w:rsidR="00DE572F">
        <w:rPr>
          <w:rStyle w:val="JuParaChar"/>
        </w:rPr>
        <w:t>ie, sarcina sa este de a asigura respectarea angajamentelor care rezultă din Conven</w:t>
      </w:r>
      <w:r w:rsidR="00D62C82">
        <w:rPr>
          <w:rStyle w:val="JuParaChar"/>
        </w:rPr>
        <w:t>ț</w:t>
      </w:r>
      <w:r w:rsidR="00DE572F">
        <w:rPr>
          <w:rStyle w:val="JuParaChar"/>
        </w:rPr>
        <w:t>ie pentru statele contractante, nu are competen</w:t>
      </w:r>
      <w:r w:rsidR="00D62C82">
        <w:rPr>
          <w:rStyle w:val="JuParaChar"/>
        </w:rPr>
        <w:t>ț</w:t>
      </w:r>
      <w:r w:rsidR="00DE572F">
        <w:rPr>
          <w:rStyle w:val="JuParaChar"/>
        </w:rPr>
        <w:t>a de a se pronun</w:t>
      </w:r>
      <w:r w:rsidR="00D62C82">
        <w:rPr>
          <w:rStyle w:val="JuParaChar"/>
        </w:rPr>
        <w:t>ț</w:t>
      </w:r>
      <w:r w:rsidR="00DE572F">
        <w:rPr>
          <w:rStyle w:val="JuParaChar"/>
        </w:rPr>
        <w:t>a cu privire la erorile de fapt sau de drept pretins comise de o instan</w:t>
      </w:r>
      <w:r w:rsidR="00D62C82">
        <w:rPr>
          <w:rStyle w:val="JuParaChar"/>
        </w:rPr>
        <w:t>ț</w:t>
      </w:r>
      <w:r w:rsidR="00DE572F">
        <w:rPr>
          <w:rStyle w:val="JuParaChar"/>
        </w:rPr>
        <w:t>ă internă, cu excep</w:t>
      </w:r>
      <w:r w:rsidR="00D62C82">
        <w:rPr>
          <w:rStyle w:val="JuParaChar"/>
        </w:rPr>
        <w:t>ț</w:t>
      </w:r>
      <w:r w:rsidR="00DE572F">
        <w:rPr>
          <w:rStyle w:val="JuParaChar"/>
        </w:rPr>
        <w:t>ia cazului în care și în măsura în care acestea ar fi putut aduce atingere drepturilor și libertă</w:t>
      </w:r>
      <w:r w:rsidR="00D62C82">
        <w:rPr>
          <w:rStyle w:val="JuParaChar"/>
        </w:rPr>
        <w:t>ț</w:t>
      </w:r>
      <w:r w:rsidR="00DE572F">
        <w:rPr>
          <w:rStyle w:val="JuParaChar"/>
        </w:rPr>
        <w:t>ilor garantate de Conven</w:t>
      </w:r>
      <w:r w:rsidR="00D62C82">
        <w:rPr>
          <w:rStyle w:val="JuParaChar"/>
        </w:rPr>
        <w:t>ț</w:t>
      </w:r>
      <w:r w:rsidR="00DE572F">
        <w:rPr>
          <w:rStyle w:val="JuParaChar"/>
        </w:rPr>
        <w:t>ie [</w:t>
      </w:r>
      <w:proofErr w:type="spellStart"/>
      <w:r w:rsidR="00DE572F">
        <w:rPr>
          <w:rStyle w:val="JuParaChar"/>
          <w:i/>
        </w:rPr>
        <w:t>García</w:t>
      </w:r>
      <w:proofErr w:type="spellEnd"/>
      <w:r w:rsidR="00DE572F">
        <w:rPr>
          <w:rStyle w:val="JuParaChar"/>
          <w:i/>
        </w:rPr>
        <w:t xml:space="preserve"> Ruiz împotriva</w:t>
      </w:r>
      <w:r w:rsidR="00286F37">
        <w:rPr>
          <w:rStyle w:val="JuParaChar"/>
          <w:i/>
        </w:rPr>
        <w:t xml:space="preserve"> </w:t>
      </w:r>
      <w:r w:rsidR="00DE572F">
        <w:rPr>
          <w:rStyle w:val="JuParaChar"/>
          <w:i/>
        </w:rPr>
        <w:t>Spaniei</w:t>
      </w:r>
      <w:r w:rsidR="00DE572F">
        <w:rPr>
          <w:rStyle w:val="JuParaChar"/>
        </w:rPr>
        <w:t xml:space="preserve"> (MC), nr. 30544/96, pct. 28, CEDO 1999</w:t>
      </w:r>
      <w:r w:rsidR="00DE572F">
        <w:rPr>
          <w:rStyle w:val="JuParaChar"/>
        </w:rPr>
        <w:noBreakHyphen/>
        <w:t>I]. În plus, în primul rând autorită</w:t>
      </w:r>
      <w:r w:rsidR="00D62C82">
        <w:rPr>
          <w:rStyle w:val="JuParaChar"/>
        </w:rPr>
        <w:t>ț</w:t>
      </w:r>
      <w:r w:rsidR="00DE572F">
        <w:rPr>
          <w:rStyle w:val="JuParaChar"/>
        </w:rPr>
        <w:t>ilor na</w:t>
      </w:r>
      <w:r w:rsidR="00D62C82">
        <w:rPr>
          <w:rStyle w:val="JuParaChar"/>
        </w:rPr>
        <w:t>ț</w:t>
      </w:r>
      <w:r w:rsidR="00DE572F">
        <w:rPr>
          <w:rStyle w:val="JuParaChar"/>
        </w:rPr>
        <w:t>ionale, în special cur</w:t>
      </w:r>
      <w:r w:rsidR="00D62C82">
        <w:rPr>
          <w:rStyle w:val="JuParaChar"/>
        </w:rPr>
        <w:t>ț</w:t>
      </w:r>
      <w:r w:rsidR="00DE572F">
        <w:rPr>
          <w:rStyle w:val="JuParaChar"/>
        </w:rPr>
        <w:t>ilor și tribunalelor, le revine sarcina de a interpreta și de a aplica dreptul intern, rolul Cur</w:t>
      </w:r>
      <w:r w:rsidR="00D62C82">
        <w:rPr>
          <w:rStyle w:val="JuParaChar"/>
        </w:rPr>
        <w:t>ț</w:t>
      </w:r>
      <w:r w:rsidR="00DE572F">
        <w:rPr>
          <w:rStyle w:val="JuParaChar"/>
        </w:rPr>
        <w:t>ii limitându-se la verificarea compatibilită</w:t>
      </w:r>
      <w:r w:rsidR="00D62C82">
        <w:rPr>
          <w:rStyle w:val="JuParaChar"/>
        </w:rPr>
        <w:t>ț</w:t>
      </w:r>
      <w:r w:rsidR="00DE572F">
        <w:rPr>
          <w:rStyle w:val="JuParaChar"/>
        </w:rPr>
        <w:t>ii cu Conven</w:t>
      </w:r>
      <w:r w:rsidR="00D62C82">
        <w:rPr>
          <w:rStyle w:val="JuParaChar"/>
        </w:rPr>
        <w:t>ț</w:t>
      </w:r>
      <w:r w:rsidR="00DE572F">
        <w:rPr>
          <w:rStyle w:val="JuParaChar"/>
        </w:rPr>
        <w:t>ia a efectelor unei astfel de interpretări [</w:t>
      </w:r>
      <w:proofErr w:type="spellStart"/>
      <w:r w:rsidR="00DE572F">
        <w:rPr>
          <w:i/>
        </w:rPr>
        <w:t>Kononov</w:t>
      </w:r>
      <w:proofErr w:type="spellEnd"/>
      <w:r w:rsidR="00DE572F">
        <w:rPr>
          <w:i/>
        </w:rPr>
        <w:t xml:space="preserve"> împotriva</w:t>
      </w:r>
      <w:r w:rsidR="00286F37">
        <w:rPr>
          <w:i/>
        </w:rPr>
        <w:t xml:space="preserve"> </w:t>
      </w:r>
      <w:r w:rsidR="00DE572F">
        <w:rPr>
          <w:i/>
        </w:rPr>
        <w:t>Letoniei</w:t>
      </w:r>
      <w:r w:rsidR="00DE572F">
        <w:t xml:space="preserve"> (MC), nr. 36376/04, pct. 197, CEDO 2010].</w:t>
      </w:r>
    </w:p>
    <w:p w:rsidR="00AF59CE" w:rsidRPr="00D67F74" w:rsidRDefault="00F23E65" w:rsidP="00D67F74">
      <w:pPr>
        <w:pStyle w:val="JuPara"/>
      </w:pPr>
      <w:r>
        <w:fldChar w:fldCharType="begin"/>
      </w:r>
      <w:r>
        <w:instrText xml:space="preserve"> SEQ level0 \*arabic </w:instrText>
      </w:r>
      <w:r>
        <w:fldChar w:fldCharType="separate"/>
      </w:r>
      <w:r>
        <w:rPr>
          <w:noProof/>
        </w:rPr>
        <w:t>74</w:t>
      </w:r>
      <w:r>
        <w:fldChar w:fldCharType="end"/>
      </w:r>
      <w:r w:rsidR="00DE572F">
        <w:t>. În spe</w:t>
      </w:r>
      <w:r w:rsidR="00D62C82">
        <w:t>ț</w:t>
      </w:r>
      <w:r w:rsidR="00DE572F">
        <w:t>ă, Curtea subliniază că deciziile instan</w:t>
      </w:r>
      <w:r w:rsidR="00D62C82">
        <w:t>ț</w:t>
      </w:r>
      <w:r w:rsidR="00DE572F">
        <w:t>elor na</w:t>
      </w:r>
      <w:r w:rsidR="00D62C82">
        <w:t>ț</w:t>
      </w:r>
      <w:r w:rsidR="00DE572F">
        <w:t>ionale sunt motivate în mod corespunzător și lipsite de arbitrar și că nu poate repune în discu</w:t>
      </w:r>
      <w:r w:rsidR="00D62C82">
        <w:t>ț</w:t>
      </w:r>
      <w:r w:rsidR="00DE572F">
        <w:t>ie concluziile acestora cu privire la con</w:t>
      </w:r>
      <w:r w:rsidR="00D62C82">
        <w:t>ț</w:t>
      </w:r>
      <w:r w:rsidR="00DE572F">
        <w:t>inutul și la data săvârșirii faptelor care constituie o infrac</w:t>
      </w:r>
      <w:r w:rsidR="00D62C82">
        <w:t>ț</w:t>
      </w:r>
      <w:r w:rsidR="00DE572F">
        <w:t>iune re</w:t>
      </w:r>
      <w:r w:rsidR="00D62C82">
        <w:t>ț</w:t>
      </w:r>
      <w:r w:rsidR="00DE572F">
        <w:t>inută în sarcina celui de-al doilea reclamant.</w:t>
      </w:r>
    </w:p>
    <w:bookmarkStart w:id="29" w:name="para0078"/>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75</w:t>
      </w:r>
      <w:r w:rsidRPr="00D67F74">
        <w:fldChar w:fldCharType="end"/>
      </w:r>
      <w:bookmarkEnd w:id="29"/>
      <w:r>
        <w:t>. Rezultă că acest capăt de cerere trebuie respins ca fiind văd</w:t>
      </w:r>
      <w:r w:rsidR="00286F37">
        <w:t xml:space="preserve">it nefondat, în temeiul art. 35 § 3 lit. a) și art. 35 </w:t>
      </w:r>
      <w:r>
        <w:t>§ 4 din Conven</w:t>
      </w:r>
      <w:r w:rsidR="00D62C82">
        <w:t>ț</w:t>
      </w:r>
      <w:r>
        <w:t>ie.</w:t>
      </w:r>
    </w:p>
    <w:p w:rsidR="00AF59CE" w:rsidRPr="00D67F74" w:rsidRDefault="00DE572F" w:rsidP="00D67F74">
      <w:pPr>
        <w:pStyle w:val="JuHIRoman"/>
      </w:pPr>
      <w:r>
        <w:t>CU PRIVIRE LA PRETINSA ÎNCĂLCARE A ART. 8 DIN CONVENȚIE</w:t>
      </w:r>
    </w:p>
    <w:bookmarkStart w:id="30" w:name="para0079"/>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76</w:t>
      </w:r>
      <w:r w:rsidRPr="00D67F74">
        <w:fldChar w:fldCharType="end"/>
      </w:r>
      <w:bookmarkEnd w:id="30"/>
      <w:r>
        <w:t>. Primul reclamant sus</w:t>
      </w:r>
      <w:r w:rsidR="00D62C82">
        <w:t>ț</w:t>
      </w:r>
      <w:r>
        <w:t>ine că publicarea în presă a transcrierilor convorbirilor sale telefonice, care au fost interceptate de organele de urmărire penală în cadrul procedurii finalizate cu hotărârea pronun</w:t>
      </w:r>
      <w:r w:rsidR="00D62C82">
        <w:t>ț</w:t>
      </w:r>
      <w:r>
        <w:t>ată de Înalta Curte la 4 iunie 2013, a adus atingere dreptului său la respectarea vie</w:t>
      </w:r>
      <w:r w:rsidR="00D62C82">
        <w:t>ț</w:t>
      </w:r>
      <w:r>
        <w:t>ii sale private și a coresponden</w:t>
      </w:r>
      <w:r w:rsidR="00D62C82">
        <w:t>ț</w:t>
      </w:r>
      <w:r>
        <w:t>ei sale (supra, pct. </w:t>
      </w:r>
      <w:r w:rsidRPr="00D67F74">
        <w:fldChar w:fldCharType="begin"/>
      </w:r>
      <w:r w:rsidRPr="00D67F74">
        <w:instrText xml:space="preserve"> REF para0030 \h </w:instrText>
      </w:r>
      <w:r w:rsidRPr="00D67F74">
        <w:fldChar w:fldCharType="separate"/>
      </w:r>
      <w:r w:rsidR="00F23E65">
        <w:rPr>
          <w:noProof/>
        </w:rPr>
        <w:t>30</w:t>
      </w:r>
      <w:r w:rsidRPr="00D67F74">
        <w:fldChar w:fldCharType="end"/>
      </w:r>
      <w:r>
        <w:t>). El invocă art. 8 din Conven</w:t>
      </w:r>
      <w:r w:rsidR="00D62C82">
        <w:t>ț</w:t>
      </w:r>
      <w:r>
        <w:t>ie, redactat după cum urmează:</w:t>
      </w:r>
    </w:p>
    <w:p w:rsidR="00AF59CE" w:rsidRPr="00D67F74" w:rsidRDefault="00DE572F" w:rsidP="00D67F74">
      <w:pPr>
        <w:pStyle w:val="JuQuot"/>
      </w:pPr>
      <w:r>
        <w:t>„1. Orice persoană are dreptul la respectarea vie</w:t>
      </w:r>
      <w:r w:rsidR="00D62C82">
        <w:t>ț</w:t>
      </w:r>
      <w:r>
        <w:t>ii sale private și de familie, a domiciliului său și a coresponden</w:t>
      </w:r>
      <w:r w:rsidR="00D62C82">
        <w:t>ț</w:t>
      </w:r>
      <w:r>
        <w:t>ei sale.</w:t>
      </w:r>
    </w:p>
    <w:p w:rsidR="00AF59CE" w:rsidRPr="00D67F74" w:rsidRDefault="00DE572F" w:rsidP="00D67F74">
      <w:pPr>
        <w:pStyle w:val="JuQuot"/>
      </w:pPr>
      <w:r>
        <w:t>2. Nu este admis amestecul unei autorită</w:t>
      </w:r>
      <w:r w:rsidR="00D62C82">
        <w:t>ț</w:t>
      </w:r>
      <w:r>
        <w:t>i publice în exercitarea acestui drept decât în măsura în care acest amestec este prevăzut de lege și dacă constituie o măsură care, într-o societate democratică, este necesară pentru securitatea na</w:t>
      </w:r>
      <w:r w:rsidR="00D62C82">
        <w:t>ț</w:t>
      </w:r>
      <w:r>
        <w:t>ională, siguran</w:t>
      </w:r>
      <w:r w:rsidR="00D62C82">
        <w:t>ț</w:t>
      </w:r>
      <w:r>
        <w:t xml:space="preserve">a publică, bunăstarea economică a </w:t>
      </w:r>
      <w:r w:rsidR="00D62C82">
        <w:t>ț</w:t>
      </w:r>
      <w:r>
        <w:t>ării, apărarea ordinii și prevenirea faptelor penale, protejarea sănătă</w:t>
      </w:r>
      <w:r w:rsidR="00D62C82">
        <w:t>ț</w:t>
      </w:r>
      <w:r>
        <w:t>ii sau a moralei, ori protejarea drepturilor și libertă</w:t>
      </w:r>
      <w:r w:rsidR="00D62C82">
        <w:t>ț</w:t>
      </w:r>
      <w:r>
        <w:t>ilor altora.”</w:t>
      </w:r>
    </w:p>
    <w:p w:rsidR="00AF59CE" w:rsidRPr="00D67F74" w:rsidRDefault="00DE572F" w:rsidP="00D67F74">
      <w:pPr>
        <w:pStyle w:val="JuHA"/>
        <w:ind w:left="572"/>
      </w:pPr>
      <w:r>
        <w:t>Argumentele păr</w:t>
      </w:r>
      <w:r w:rsidR="00D62C82">
        <w:t>ț</w:t>
      </w:r>
      <w:r>
        <w:t>ilor</w:t>
      </w:r>
    </w:p>
    <w:p w:rsidR="00AF59CE" w:rsidRPr="00D67F74" w:rsidRDefault="00F23E65" w:rsidP="00D67F74">
      <w:pPr>
        <w:pStyle w:val="JuPara"/>
      </w:pPr>
      <w:r>
        <w:fldChar w:fldCharType="begin"/>
      </w:r>
      <w:r>
        <w:instrText xml:space="preserve"> SEQ level0 \*arabic </w:instrText>
      </w:r>
      <w:r>
        <w:fldChar w:fldCharType="separate"/>
      </w:r>
      <w:r>
        <w:rPr>
          <w:noProof/>
        </w:rPr>
        <w:t>77</w:t>
      </w:r>
      <w:r>
        <w:fldChar w:fldCharType="end"/>
      </w:r>
      <w:r w:rsidR="00DE572F">
        <w:t>. Guvernul ridică două excep</w:t>
      </w:r>
      <w:r w:rsidR="00D62C82">
        <w:t>ț</w:t>
      </w:r>
      <w:r w:rsidR="00DE572F">
        <w:t>ii de inadmisibilitate în privin</w:t>
      </w:r>
      <w:r w:rsidR="00D62C82">
        <w:t>ț</w:t>
      </w:r>
      <w:r w:rsidR="00DE572F">
        <w:t>a acestui capăt de cerere. Acesta sus</w:t>
      </w:r>
      <w:r w:rsidR="00D62C82">
        <w:t>ț</w:t>
      </w:r>
      <w:r w:rsidR="00DE572F">
        <w:t>ine, în primul rând, că nu au fost epuizate căile de atac interne, arătând că primul reclamant nu a formulat nicio plângere disciplinară și nicio ac</w:t>
      </w:r>
      <w:r w:rsidR="00D62C82">
        <w:t>ț</w:t>
      </w:r>
      <w:r w:rsidR="00DE572F">
        <w:t>iune în răspundere civilă delictuală împotriva persoanelor ușor de identificat care au acordat presei acces la dosarul său, în perioada în care - sus</w:t>
      </w:r>
      <w:r w:rsidR="00D62C82">
        <w:t>ț</w:t>
      </w:r>
      <w:r w:rsidR="00DE572F">
        <w:t>ine el - acesta se afla la Curtea de Apel Cluj.</w:t>
      </w:r>
    </w:p>
    <w:bookmarkStart w:id="31" w:name="para0081"/>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78</w:t>
      </w:r>
      <w:r w:rsidRPr="00D67F74">
        <w:fldChar w:fldCharType="end"/>
      </w:r>
      <w:bookmarkEnd w:id="31"/>
      <w:r>
        <w:t>. În continuare, acesta sus</w:t>
      </w:r>
      <w:r w:rsidR="00D62C82">
        <w:t>ț</w:t>
      </w:r>
      <w:r>
        <w:t>ine că primul re</w:t>
      </w:r>
      <w:bookmarkStart w:id="32" w:name="_GoBack"/>
      <w:bookmarkEnd w:id="32"/>
      <w:r>
        <w:t>clamant a folosit în mod abuziv dreptul de recurs, afirmând că persoana în cauză nu a informat Curtea că a ini</w:t>
      </w:r>
      <w:r w:rsidR="00D62C82">
        <w:t>ț</w:t>
      </w:r>
      <w:r>
        <w:t>iat el însuși o campanie de presă în cursul procedurii, că a depus plângeri împotriva procurorilor și că, astfel, a exercitat presiuni asupra magistra</w:t>
      </w:r>
      <w:r w:rsidR="00D62C82">
        <w:t>ț</w:t>
      </w:r>
      <w:r>
        <w:t>ilor care îi examinau cauza.</w:t>
      </w:r>
    </w:p>
    <w:bookmarkStart w:id="33" w:name="para0082"/>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79</w:t>
      </w:r>
      <w:r w:rsidRPr="00D67F74">
        <w:fldChar w:fldCharType="end"/>
      </w:r>
      <w:bookmarkEnd w:id="33"/>
      <w:r>
        <w:t>. Primul reclamant apreciază că respectivele căi de atac indicate de Guvern erau iluzorii, considerând că nu putea să identifice persoanele responsabile. Acesta contestă, de asemenea, existen</w:t>
      </w:r>
      <w:r w:rsidR="00D62C82">
        <w:t>ț</w:t>
      </w:r>
      <w:r>
        <w:t>a unei jurispruden</w:t>
      </w:r>
      <w:r w:rsidR="00D62C82">
        <w:t>ț</w:t>
      </w:r>
      <w:r>
        <w:t>e interne în acest sens. Potrivit acestuia, la momentul faptelor, Regulamentul de ordine interioară al instan</w:t>
      </w:r>
      <w:r w:rsidR="00D62C82">
        <w:t>ț</w:t>
      </w:r>
      <w:r>
        <w:t>elor judecătorești autoriza accesul presei la documentele din dosar, indiferent de natura lor, și, din acest motiv, persoana care a autorizat accesul presei nu putea să fie considerată responsabilă. Acest regulament a fost modificat abia în luna iunie 2012, în scopul protejării datelor cu caracter personal.</w:t>
      </w:r>
    </w:p>
    <w:p w:rsidR="00AF59CE" w:rsidRPr="00D67F74" w:rsidRDefault="00F23E65" w:rsidP="00D67F74">
      <w:pPr>
        <w:pStyle w:val="JuPara"/>
      </w:pPr>
      <w:r>
        <w:fldChar w:fldCharType="begin"/>
      </w:r>
      <w:r>
        <w:instrText xml:space="preserve"> SEQ level0 \*arabic </w:instrText>
      </w:r>
      <w:r>
        <w:fldChar w:fldCharType="separate"/>
      </w:r>
      <w:r>
        <w:rPr>
          <w:noProof/>
        </w:rPr>
        <w:t>80</w:t>
      </w:r>
      <w:r>
        <w:fldChar w:fldCharType="end"/>
      </w:r>
      <w:r w:rsidR="00DE572F">
        <w:t>. În sfârșit, acesta respinge argumentele întemeiate pe folosirea abuzivă a dreptului de recurs. Precizează că s-a adresat presei deoarece s-a sim</w:t>
      </w:r>
      <w:r w:rsidR="00D62C82">
        <w:t>ț</w:t>
      </w:r>
      <w:r w:rsidR="00DE572F">
        <w:t>it vizat pe nedrept de ancheta ini</w:t>
      </w:r>
      <w:r w:rsidR="00D62C82">
        <w:t>ț</w:t>
      </w:r>
      <w:r w:rsidR="00DE572F">
        <w:t>iată de parchet.</w:t>
      </w:r>
    </w:p>
    <w:p w:rsidR="00AF59CE" w:rsidRPr="00D67F74" w:rsidRDefault="00DE572F" w:rsidP="00D67F74">
      <w:pPr>
        <w:pStyle w:val="JuHA"/>
        <w:ind w:left="572"/>
      </w:pPr>
      <w:r>
        <w:t>Motivarea Cur</w:t>
      </w:r>
      <w:r w:rsidR="00D62C82">
        <w:t>ț</w:t>
      </w:r>
      <w:r>
        <w:t>ii</w:t>
      </w:r>
    </w:p>
    <w:p w:rsidR="00AF59CE" w:rsidRPr="00D67F74" w:rsidRDefault="00F23E65" w:rsidP="00D67F74">
      <w:pPr>
        <w:pStyle w:val="JuPara"/>
      </w:pPr>
      <w:r>
        <w:fldChar w:fldCharType="begin"/>
      </w:r>
      <w:r>
        <w:instrText xml:space="preserve"> SEQ level0 \*arabic </w:instrText>
      </w:r>
      <w:r>
        <w:fldChar w:fldCharType="separate"/>
      </w:r>
      <w:r>
        <w:rPr>
          <w:noProof/>
        </w:rPr>
        <w:t>81</w:t>
      </w:r>
      <w:r>
        <w:fldChar w:fldCharType="end"/>
      </w:r>
      <w:r w:rsidR="00DE572F">
        <w:t xml:space="preserve">. Curtea face referire, în primul rând, la principiile aplicabile în ceea ce privește epuizarea căilor de atac interne [a se vedea, printre multe altele, </w:t>
      </w:r>
      <w:r w:rsidR="00DE572F">
        <w:rPr>
          <w:i/>
        </w:rPr>
        <w:t>Vučković și al</w:t>
      </w:r>
      <w:r w:rsidR="00D62C82">
        <w:rPr>
          <w:i/>
        </w:rPr>
        <w:t>ț</w:t>
      </w:r>
      <w:r w:rsidR="00286F37">
        <w:rPr>
          <w:i/>
        </w:rPr>
        <w:t xml:space="preserve">ii împotriva </w:t>
      </w:r>
      <w:r w:rsidR="00DE572F">
        <w:rPr>
          <w:i/>
        </w:rPr>
        <w:t xml:space="preserve">Serbiei </w:t>
      </w:r>
      <w:r w:rsidR="00DE572F">
        <w:t>(excep</w:t>
      </w:r>
      <w:r w:rsidR="00D62C82">
        <w:t>ț</w:t>
      </w:r>
      <w:r w:rsidR="00DE572F">
        <w:t xml:space="preserve">ie preliminară) (MC), nr. 17153/11 și alte 29 de cereri, pct. 69-77, 25 martie 2014, și </w:t>
      </w:r>
      <w:r w:rsidR="00286F37">
        <w:rPr>
          <w:i/>
        </w:rPr>
        <w:t xml:space="preserve">Apostu împotriva </w:t>
      </w:r>
      <w:r w:rsidR="00DE572F">
        <w:rPr>
          <w:i/>
        </w:rPr>
        <w:t>României</w:t>
      </w:r>
      <w:r w:rsidR="00DE572F">
        <w:t>, nr. 22765/12, pct. 107, 3 februarie 2015].</w:t>
      </w:r>
    </w:p>
    <w:p w:rsidR="00AF59CE" w:rsidRPr="00D67F74" w:rsidRDefault="00F23E65" w:rsidP="00D67F74">
      <w:pPr>
        <w:pStyle w:val="JuPara"/>
      </w:pPr>
      <w:r>
        <w:fldChar w:fldCharType="begin"/>
      </w:r>
      <w:r>
        <w:instrText xml:space="preserve"> SEQ level0 \*arabic </w:instrText>
      </w:r>
      <w:r>
        <w:fldChar w:fldCharType="separate"/>
      </w:r>
      <w:r>
        <w:rPr>
          <w:noProof/>
        </w:rPr>
        <w:t>82</w:t>
      </w:r>
      <w:r>
        <w:fldChar w:fldCharType="end"/>
      </w:r>
      <w:r w:rsidR="00DE572F">
        <w:t>. Aceasta reamintește, de asemenea, că, într-o altă cauză îndreptată împotriva României, a hotărât că, în cazul mediatizării unei cauze, o ac</w:t>
      </w:r>
      <w:r w:rsidR="00D62C82">
        <w:t>ț</w:t>
      </w:r>
      <w:r w:rsidR="00DE572F">
        <w:t>iune în răspundere civilă delictuală ar fi oferit autorită</w:t>
      </w:r>
      <w:r w:rsidR="00D62C82">
        <w:t>ț</w:t>
      </w:r>
      <w:r w:rsidR="00DE572F">
        <w:t>ilor posibilitatea de a pune în balan</w:t>
      </w:r>
      <w:r w:rsidR="00D62C82">
        <w:t>ț</w:t>
      </w:r>
      <w:r w:rsidR="00DE572F">
        <w:t>ă diferitele interese aflate în joc și de a decide, după caz, care sunt cele mai adecvate modalită</w:t>
      </w:r>
      <w:r w:rsidR="00D62C82">
        <w:t>ț</w:t>
      </w:r>
      <w:r w:rsidR="00DE572F">
        <w:t xml:space="preserve">i de reparare a prejudiciului [a se vedea, </w:t>
      </w:r>
      <w:r w:rsidR="00DE572F">
        <w:rPr>
          <w:i/>
        </w:rPr>
        <w:t>mutatis mutandis</w:t>
      </w:r>
      <w:r w:rsidR="00DE572F">
        <w:t xml:space="preserve">, </w:t>
      </w:r>
      <w:proofErr w:type="spellStart"/>
      <w:r w:rsidR="00DE572F">
        <w:rPr>
          <w:i/>
        </w:rPr>
        <w:t>Cătăniciu</w:t>
      </w:r>
      <w:proofErr w:type="spellEnd"/>
      <w:r w:rsidR="00DE572F">
        <w:rPr>
          <w:i/>
        </w:rPr>
        <w:t xml:space="preserve"> împotriva</w:t>
      </w:r>
      <w:r w:rsidR="00286F37">
        <w:rPr>
          <w:i/>
        </w:rPr>
        <w:t xml:space="preserve"> </w:t>
      </w:r>
      <w:r w:rsidR="00DE572F">
        <w:rPr>
          <w:i/>
        </w:rPr>
        <w:t>României</w:t>
      </w:r>
      <w:r w:rsidR="00DE572F">
        <w:t>, (dec.), nr. 22717/17, pct. 48-49, 6 decembrie 2018]. Aceasta observă că primul reclamant a sus</w:t>
      </w:r>
      <w:r w:rsidR="00D62C82">
        <w:t>ț</w:t>
      </w:r>
      <w:r w:rsidR="00DE572F">
        <w:t>inut că nu putea să identifice persoanele responsabile pentru furnizarea informa</w:t>
      </w:r>
      <w:r w:rsidR="00D62C82">
        <w:t>ț</w:t>
      </w:r>
      <w:r w:rsidR="00DE572F">
        <w:t>iilor respective către presă. Cu toate acestea, din dosar reiese că presa a avut acces la aceste informa</w:t>
      </w:r>
      <w:r w:rsidR="00D62C82">
        <w:t>ț</w:t>
      </w:r>
      <w:r w:rsidR="00DE572F">
        <w:t>ii, în perioada în care dosarul penal intern se afla pe rolul Cur</w:t>
      </w:r>
      <w:r w:rsidR="00D62C82">
        <w:t>ț</w:t>
      </w:r>
      <w:r w:rsidR="00DE572F">
        <w:t>ii de Apel Cluj (supra, pct. </w:t>
      </w:r>
      <w:r w:rsidR="00DE572F" w:rsidRPr="00D67F74">
        <w:fldChar w:fldCharType="begin"/>
      </w:r>
      <w:r w:rsidR="00DE572F" w:rsidRPr="00D67F74">
        <w:instrText xml:space="preserve"> REF para0028 \h </w:instrText>
      </w:r>
      <w:r w:rsidR="00DE572F" w:rsidRPr="00D67F74">
        <w:fldChar w:fldCharType="separate"/>
      </w:r>
      <w:r>
        <w:rPr>
          <w:noProof/>
        </w:rPr>
        <w:t>28</w:t>
      </w:r>
      <w:r w:rsidR="00DE572F" w:rsidRPr="00D67F74">
        <w:fldChar w:fldCharType="end"/>
      </w:r>
      <w:r w:rsidR="00DE572F">
        <w:t>). Prin urmare, reclamantul nu poate sus</w:t>
      </w:r>
      <w:r w:rsidR="00D62C82">
        <w:t>ț</w:t>
      </w:r>
      <w:r w:rsidR="00DE572F">
        <w:t>ine în mod valabil că nu putea să identifice persoanele sau autorită</w:t>
      </w:r>
      <w:r w:rsidR="00D62C82">
        <w:t>ț</w:t>
      </w:r>
      <w:r w:rsidR="00DE572F">
        <w:t>ile responsabile pentru comunicarea informa</w:t>
      </w:r>
      <w:r w:rsidR="00D62C82">
        <w:t>ț</w:t>
      </w:r>
      <w:r w:rsidR="00DE572F">
        <w:t>iilor către presă, sau, după caz, să solicite identificarea acestora de către autorită</w:t>
      </w:r>
      <w:r w:rsidR="00D62C82">
        <w:t>ț</w:t>
      </w:r>
      <w:r w:rsidR="00DE572F">
        <w:t>ile na</w:t>
      </w:r>
      <w:r w:rsidR="00D62C82">
        <w:t>ț</w:t>
      </w:r>
      <w:r w:rsidR="00DE572F">
        <w:t xml:space="preserve">ionale competente (a se vedea </w:t>
      </w:r>
      <w:r w:rsidR="00DE572F">
        <w:rPr>
          <w:i/>
        </w:rPr>
        <w:t>a </w:t>
      </w:r>
      <w:proofErr w:type="spellStart"/>
      <w:r w:rsidR="00DE572F">
        <w:rPr>
          <w:i/>
        </w:rPr>
        <w:t>contrario</w:t>
      </w:r>
      <w:proofErr w:type="spellEnd"/>
      <w:r w:rsidR="00DE572F">
        <w:t xml:space="preserve">, </w:t>
      </w:r>
      <w:proofErr w:type="spellStart"/>
      <w:r w:rsidR="00286F37">
        <w:rPr>
          <w:i/>
        </w:rPr>
        <w:t>Cășuneanu</w:t>
      </w:r>
      <w:proofErr w:type="spellEnd"/>
      <w:r w:rsidR="00286F37">
        <w:rPr>
          <w:i/>
        </w:rPr>
        <w:t xml:space="preserve"> împotriva </w:t>
      </w:r>
      <w:r w:rsidR="00DE572F">
        <w:rPr>
          <w:i/>
        </w:rPr>
        <w:t>României</w:t>
      </w:r>
      <w:r w:rsidR="00DE572F">
        <w:t>, nr. 22018/10</w:t>
      </w:r>
      <w:r w:rsidR="00DE572F">
        <w:rPr>
          <w:snapToGrid w:val="0"/>
        </w:rPr>
        <w:t>, pct. 71, 16 aprilie 2013). În ceea ce privește argumentul primului reclamant, potrivit căruia această cale de atac nu era eficientă pe motiv că legisla</w:t>
      </w:r>
      <w:r w:rsidR="00D62C82">
        <w:rPr>
          <w:snapToGrid w:val="0"/>
        </w:rPr>
        <w:t>ț</w:t>
      </w:r>
      <w:r w:rsidR="00DE572F">
        <w:rPr>
          <w:snapToGrid w:val="0"/>
        </w:rPr>
        <w:t>ia impunea Cur</w:t>
      </w:r>
      <w:r w:rsidR="00D62C82">
        <w:rPr>
          <w:snapToGrid w:val="0"/>
        </w:rPr>
        <w:t>ț</w:t>
      </w:r>
      <w:r w:rsidR="00DE572F">
        <w:rPr>
          <w:snapToGrid w:val="0"/>
        </w:rPr>
        <w:t>ii de Apel Cluj să acorde presei acces la dosarul său (supra, pct. </w:t>
      </w:r>
      <w:r w:rsidR="00DE572F" w:rsidRPr="00D67F74">
        <w:rPr>
          <w:snapToGrid w:val="0"/>
        </w:rPr>
        <w:fldChar w:fldCharType="begin"/>
      </w:r>
      <w:r w:rsidR="00DE572F" w:rsidRPr="00D67F74">
        <w:rPr>
          <w:snapToGrid w:val="0"/>
        </w:rPr>
        <w:instrText xml:space="preserve"> REF para0082 \h </w:instrText>
      </w:r>
      <w:r w:rsidR="00DE572F" w:rsidRPr="00D67F74">
        <w:rPr>
          <w:snapToGrid w:val="0"/>
        </w:rPr>
      </w:r>
      <w:r w:rsidR="00DE572F" w:rsidRPr="00D67F74">
        <w:rPr>
          <w:snapToGrid w:val="0"/>
        </w:rPr>
        <w:fldChar w:fldCharType="separate"/>
      </w:r>
      <w:r>
        <w:rPr>
          <w:noProof/>
        </w:rPr>
        <w:t>79</w:t>
      </w:r>
      <w:r w:rsidR="00DE572F" w:rsidRPr="00D67F74">
        <w:rPr>
          <w:snapToGrid w:val="0"/>
        </w:rPr>
        <w:fldChar w:fldCharType="end"/>
      </w:r>
      <w:r w:rsidR="00DE572F">
        <w:rPr>
          <w:snapToGrid w:val="0"/>
        </w:rPr>
        <w:t xml:space="preserve">), Curtea observă că </w:t>
      </w:r>
      <w:r w:rsidR="00DE572F">
        <w:t>Regulamentul de ordine interioară al instan</w:t>
      </w:r>
      <w:r w:rsidR="00D62C82">
        <w:t>ț</w:t>
      </w:r>
      <w:r w:rsidR="00DE572F">
        <w:t>elor judecătorești, adoptat de Consiliul Superior al Magistraturii, în vigoare la momentul faptelor, condi</w:t>
      </w:r>
      <w:r w:rsidR="00D62C82">
        <w:t>ț</w:t>
      </w:r>
      <w:r w:rsidR="00DE572F">
        <w:t>iona accesul jurnaliștilor la dosar de ob</w:t>
      </w:r>
      <w:r w:rsidR="00D62C82">
        <w:t>ț</w:t>
      </w:r>
      <w:r w:rsidR="00DE572F">
        <w:t>inerea unei aprobări prealabile și limita acest acces la documentele confiden</w:t>
      </w:r>
      <w:r w:rsidR="00D62C82">
        <w:t>ț</w:t>
      </w:r>
      <w:r w:rsidR="00DE572F">
        <w:t>iale (supra, pct. </w:t>
      </w:r>
      <w:r w:rsidR="00DE572F" w:rsidRPr="00D67F74">
        <w:fldChar w:fldCharType="begin"/>
      </w:r>
      <w:r w:rsidR="00DE572F" w:rsidRPr="00D67F74">
        <w:instrText xml:space="preserve"> REF para0034 \h </w:instrText>
      </w:r>
      <w:r w:rsidR="00DE572F" w:rsidRPr="00D67F74">
        <w:fldChar w:fldCharType="separate"/>
      </w:r>
      <w:r>
        <w:rPr>
          <w:noProof/>
        </w:rPr>
        <w:t>34</w:t>
      </w:r>
      <w:r w:rsidR="00DE572F" w:rsidRPr="00D67F74">
        <w:fldChar w:fldCharType="end"/>
      </w:r>
      <w:r w:rsidR="00DE572F">
        <w:t>). În spe</w:t>
      </w:r>
      <w:r w:rsidR="00D62C82">
        <w:t>ț</w:t>
      </w:r>
      <w:r w:rsidR="00DE572F">
        <w:t xml:space="preserve">ă, </w:t>
      </w:r>
      <w:r w:rsidR="00DE572F">
        <w:rPr>
          <w:snapToGrid w:val="0"/>
        </w:rPr>
        <w:t>accesul la dosar nu a fost acordat în mod automat, întrucât curtea de apel a respins anumite cereri din motive legate de protec</w:t>
      </w:r>
      <w:r w:rsidR="00D62C82">
        <w:rPr>
          <w:snapToGrid w:val="0"/>
        </w:rPr>
        <w:t>ț</w:t>
      </w:r>
      <w:r w:rsidR="00DE572F">
        <w:rPr>
          <w:snapToGrid w:val="0"/>
        </w:rPr>
        <w:t>ia vie</w:t>
      </w:r>
      <w:r w:rsidR="00D62C82">
        <w:rPr>
          <w:snapToGrid w:val="0"/>
        </w:rPr>
        <w:t>ț</w:t>
      </w:r>
      <w:r w:rsidR="00DE572F">
        <w:rPr>
          <w:snapToGrid w:val="0"/>
        </w:rPr>
        <w:t>ii private (supra, pct. </w:t>
      </w:r>
      <w:r w:rsidR="00DE572F" w:rsidRPr="00D67F74">
        <w:rPr>
          <w:snapToGrid w:val="0"/>
        </w:rPr>
        <w:fldChar w:fldCharType="begin"/>
      </w:r>
      <w:r w:rsidR="00DE572F" w:rsidRPr="00D67F74">
        <w:rPr>
          <w:snapToGrid w:val="0"/>
        </w:rPr>
        <w:instrText xml:space="preserve"> REF para0028 \h </w:instrText>
      </w:r>
      <w:r w:rsidR="00DE572F" w:rsidRPr="00D67F74">
        <w:rPr>
          <w:snapToGrid w:val="0"/>
        </w:rPr>
      </w:r>
      <w:r w:rsidR="00DE572F" w:rsidRPr="00D67F74">
        <w:rPr>
          <w:snapToGrid w:val="0"/>
        </w:rPr>
        <w:fldChar w:fldCharType="separate"/>
      </w:r>
      <w:r>
        <w:rPr>
          <w:noProof/>
        </w:rPr>
        <w:t>28</w:t>
      </w:r>
      <w:r w:rsidR="00DE572F" w:rsidRPr="00D67F74">
        <w:rPr>
          <w:snapToGrid w:val="0"/>
        </w:rPr>
        <w:fldChar w:fldCharType="end"/>
      </w:r>
      <w:r w:rsidR="00DE572F">
        <w:rPr>
          <w:snapToGrid w:val="0"/>
        </w:rPr>
        <w:t>).</w:t>
      </w:r>
    </w:p>
    <w:bookmarkStart w:id="34" w:name="para0086"/>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83</w:t>
      </w:r>
      <w:r w:rsidRPr="00D67F74">
        <w:fldChar w:fldCharType="end"/>
      </w:r>
      <w:bookmarkEnd w:id="34"/>
      <w:r>
        <w:t>. Pentru aceste motive, Curtea admite excep</w:t>
      </w:r>
      <w:r w:rsidR="00D62C82">
        <w:t>ț</w:t>
      </w:r>
      <w:r>
        <w:t xml:space="preserve">ia de neepuizare a căilor de atac interne ridicată de Guvern și consideră că acest capăt de cerere trebuie respins în conformitate cu </w:t>
      </w:r>
      <w:r w:rsidR="00FE4F07">
        <w:t xml:space="preserve">art. 35 </w:t>
      </w:r>
      <w:r>
        <w:t>§ 4 din Conven</w:t>
      </w:r>
      <w:r w:rsidR="00D62C82">
        <w:t>ț</w:t>
      </w:r>
      <w:r>
        <w:t>ie. De asemenea, consideră că nu este necesar să examineze și excep</w:t>
      </w:r>
      <w:r w:rsidR="00D62C82">
        <w:t>ț</w:t>
      </w:r>
      <w:r>
        <w:t>ia ridicată de Guvern cu privire la folosirea abuzivă a dreptului de recurs (supra, pct. </w:t>
      </w:r>
      <w:r w:rsidRPr="00D67F74">
        <w:fldChar w:fldCharType="begin"/>
      </w:r>
      <w:r w:rsidRPr="00D67F74">
        <w:instrText xml:space="preserve"> REF para0081 \h </w:instrText>
      </w:r>
      <w:r w:rsidRPr="00D67F74">
        <w:fldChar w:fldCharType="separate"/>
      </w:r>
      <w:r w:rsidR="00F23E65">
        <w:rPr>
          <w:noProof/>
        </w:rPr>
        <w:t>78</w:t>
      </w:r>
      <w:r w:rsidRPr="00D67F74">
        <w:fldChar w:fldCharType="end"/>
      </w:r>
      <w:r>
        <w:t>).</w:t>
      </w:r>
    </w:p>
    <w:p w:rsidR="00AF59CE" w:rsidRPr="00D67F74" w:rsidRDefault="00DE572F" w:rsidP="00D67F74">
      <w:pPr>
        <w:pStyle w:val="JuHIRoman"/>
      </w:pPr>
      <w:r>
        <w:t>CU PRIVIRE LA CELELALTE PRETINSE ÎNCĂLCĂRI ALE CONVENȚIEI</w:t>
      </w:r>
    </w:p>
    <w:p w:rsidR="00AF59CE" w:rsidRPr="00D67F74" w:rsidRDefault="00F23E65" w:rsidP="00D67F74">
      <w:pPr>
        <w:pStyle w:val="JuPara"/>
      </w:pPr>
      <w:r>
        <w:fldChar w:fldCharType="begin"/>
      </w:r>
      <w:r>
        <w:instrText xml:space="preserve"> SEQ level0 \*arabic </w:instrText>
      </w:r>
      <w:r>
        <w:fldChar w:fldCharType="separate"/>
      </w:r>
      <w:r>
        <w:rPr>
          <w:noProof/>
        </w:rPr>
        <w:t>84</w:t>
      </w:r>
      <w:r>
        <w:fldChar w:fldCharType="end"/>
      </w:r>
      <w:r w:rsidR="00DE572F">
        <w:t>. În cele din urmă, reclaman</w:t>
      </w:r>
      <w:r w:rsidR="00D62C82">
        <w:t>ț</w:t>
      </w:r>
      <w:r w:rsidR="00DE572F">
        <w:t>ii se plâng de diferite încălcări ale drepturilor acestora ce decurg din art. 6, 7 și 8 din Conven</w:t>
      </w:r>
      <w:r w:rsidR="00D62C82">
        <w:t>ț</w:t>
      </w:r>
      <w:r w:rsidR="00DE572F">
        <w:t>ie, din cauza procedurilor penale desfășurate în spe</w:t>
      </w:r>
      <w:r w:rsidR="00D62C82">
        <w:t>ț</w:t>
      </w:r>
      <w:r w:rsidR="00DE572F">
        <w:t>ă.</w:t>
      </w:r>
    </w:p>
    <w:p w:rsidR="00AF59CE" w:rsidRPr="00D67F74" w:rsidRDefault="00F23E65" w:rsidP="00D67F74">
      <w:pPr>
        <w:pStyle w:val="JuPara"/>
      </w:pPr>
      <w:r>
        <w:fldChar w:fldCharType="begin"/>
      </w:r>
      <w:r>
        <w:instrText xml:space="preserve"> SEQ level0 \*arabic </w:instrText>
      </w:r>
      <w:r>
        <w:fldChar w:fldCharType="separate"/>
      </w:r>
      <w:r>
        <w:rPr>
          <w:noProof/>
        </w:rPr>
        <w:t>85</w:t>
      </w:r>
      <w:r>
        <w:fldChar w:fldCharType="end"/>
      </w:r>
      <w:r w:rsidR="00DE572F">
        <w:t>. Având în vedere toate elementele de care dispune și în măsura în care este competentă să se pronun</w:t>
      </w:r>
      <w:r w:rsidR="00D62C82">
        <w:t>ț</w:t>
      </w:r>
      <w:r w:rsidR="00DE572F">
        <w:t>e cu privire la aceste capete de cerere, Curtea nu a identificat nicio aparentă încălcare a drepturilor și a libertă</w:t>
      </w:r>
      <w:r w:rsidR="00D62C82">
        <w:t>ț</w:t>
      </w:r>
      <w:r w:rsidR="00DE572F">
        <w:t>ilor garantate de Conven</w:t>
      </w:r>
      <w:r w:rsidR="00D62C82">
        <w:t>ț</w:t>
      </w:r>
      <w:r w:rsidR="00DE572F">
        <w:t>ie sau de protocoalele sale.</w:t>
      </w:r>
    </w:p>
    <w:p w:rsidR="00AF59CE" w:rsidRPr="00D67F74" w:rsidRDefault="00F23E65" w:rsidP="00D67F74">
      <w:pPr>
        <w:pStyle w:val="JuPara"/>
      </w:pPr>
      <w:r>
        <w:fldChar w:fldCharType="begin"/>
      </w:r>
      <w:r>
        <w:instrText xml:space="preserve"> SEQ level0 \*arabic </w:instrText>
      </w:r>
      <w:r>
        <w:fldChar w:fldCharType="separate"/>
      </w:r>
      <w:r>
        <w:rPr>
          <w:noProof/>
        </w:rPr>
        <w:t>86</w:t>
      </w:r>
      <w:r>
        <w:fldChar w:fldCharType="end"/>
      </w:r>
      <w:r w:rsidR="00DE572F">
        <w:t>. Rezultă că acest capăt de cerere este în mod vădit nefondat și trebuie să</w:t>
      </w:r>
      <w:r w:rsidR="00FE4F07">
        <w:t xml:space="preserve"> fie respins în temeiul art. 35 § 3 lit. a) și art. 35 </w:t>
      </w:r>
      <w:r w:rsidR="00DE572F">
        <w:t>§ 4 din Conven</w:t>
      </w:r>
      <w:r w:rsidR="00D62C82">
        <w:t>ț</w:t>
      </w:r>
      <w:r w:rsidR="00DE572F">
        <w:t>ie.</w:t>
      </w:r>
    </w:p>
    <w:p w:rsidR="00AF59CE" w:rsidRPr="00D67F74" w:rsidRDefault="00DE572F" w:rsidP="00D67F74">
      <w:pPr>
        <w:pStyle w:val="JuHIRoman"/>
      </w:pPr>
      <w:r>
        <w:t>CU PRIVIRE LA APLICAREA ART. 41 DIN CONVENȚIE</w:t>
      </w:r>
    </w:p>
    <w:p w:rsidR="00AF59CE" w:rsidRPr="00D67F74" w:rsidRDefault="00F23E65" w:rsidP="00D67F74">
      <w:pPr>
        <w:pStyle w:val="JuPara"/>
      </w:pPr>
      <w:r>
        <w:fldChar w:fldCharType="begin"/>
      </w:r>
      <w:r>
        <w:instrText xml:space="preserve"> SEQ level0 \*arabic </w:instrText>
      </w:r>
      <w:r>
        <w:fldChar w:fldCharType="separate"/>
      </w:r>
      <w:r>
        <w:rPr>
          <w:noProof/>
        </w:rPr>
        <w:t>87</w:t>
      </w:r>
      <w:r>
        <w:fldChar w:fldCharType="end"/>
      </w:r>
      <w:r w:rsidR="00DE572F">
        <w:t>. Art. 41 din Conven</w:t>
      </w:r>
      <w:r w:rsidR="00D62C82">
        <w:t>ț</w:t>
      </w:r>
      <w:r w:rsidR="00DE572F">
        <w:t>ie prevede:</w:t>
      </w:r>
    </w:p>
    <w:p w:rsidR="00AF59CE" w:rsidRPr="00D67F74" w:rsidRDefault="00DE572F" w:rsidP="00D67F74">
      <w:pPr>
        <w:pStyle w:val="JuQuot"/>
      </w:pPr>
      <w:r>
        <w:t>„Dacă Curtea declară că a avut loc o încălcare a Conven</w:t>
      </w:r>
      <w:r w:rsidR="00D62C82">
        <w:t>ț</w:t>
      </w:r>
      <w:r>
        <w:t>iei sau a protocoalelor sale și dacă dreptul intern al înaltei păr</w:t>
      </w:r>
      <w:r w:rsidR="00D62C82">
        <w:t>ț</w:t>
      </w:r>
      <w:r>
        <w:t>i contractante nu permite decât o înlăturare incompletă a consecin</w:t>
      </w:r>
      <w:r w:rsidR="00D62C82">
        <w:t>ț</w:t>
      </w:r>
      <w:r>
        <w:t>elor acestei încălcări, Curtea acordă păr</w:t>
      </w:r>
      <w:r w:rsidR="00D62C82">
        <w:t>ț</w:t>
      </w:r>
      <w:r>
        <w:t>ii lezate, dacă este cazul, o repara</w:t>
      </w:r>
      <w:r w:rsidR="00D62C82">
        <w:t>ț</w:t>
      </w:r>
      <w:r w:rsidR="00FE4F07">
        <w:t>ie echitabilă.</w:t>
      </w:r>
      <w:r>
        <w:t>”</w:t>
      </w:r>
    </w:p>
    <w:p w:rsidR="00AF59CE" w:rsidRPr="00D67F74" w:rsidRDefault="00DE572F" w:rsidP="00D67F74">
      <w:pPr>
        <w:pStyle w:val="JuHA"/>
        <w:ind w:left="572"/>
      </w:pPr>
      <w:r>
        <w:t>Prejudiciu</w:t>
      </w:r>
    </w:p>
    <w:p w:rsidR="00AF59CE" w:rsidRPr="00D67F74" w:rsidRDefault="00F23E65" w:rsidP="00D67F74">
      <w:pPr>
        <w:pStyle w:val="JuPara"/>
      </w:pPr>
      <w:r>
        <w:fldChar w:fldCharType="begin"/>
      </w:r>
      <w:r>
        <w:instrText xml:space="preserve"> SEQ level0 \*arabic </w:instrText>
      </w:r>
      <w:r>
        <w:fldChar w:fldCharType="separate"/>
      </w:r>
      <w:r>
        <w:rPr>
          <w:noProof/>
        </w:rPr>
        <w:t>88</w:t>
      </w:r>
      <w:r>
        <w:fldChar w:fldCharType="end"/>
      </w:r>
      <w:r w:rsidR="00DE572F">
        <w:t>. Fiecare dintre reclaman</w:t>
      </w:r>
      <w:r w:rsidR="00D62C82">
        <w:t>ț</w:t>
      </w:r>
      <w:r w:rsidR="00DE572F">
        <w:t>i solicită 1 EUR cu titlu de despăgubire pentru prejudiciul moral pe care pretind că l-au suferit.</w:t>
      </w:r>
    </w:p>
    <w:p w:rsidR="00AF59CE" w:rsidRPr="00D67F74" w:rsidRDefault="00F23E65" w:rsidP="00D67F74">
      <w:pPr>
        <w:pStyle w:val="JuPara"/>
      </w:pPr>
      <w:r>
        <w:fldChar w:fldCharType="begin"/>
      </w:r>
      <w:r>
        <w:instrText xml:space="preserve"> SEQ level0 \*arabic </w:instrText>
      </w:r>
      <w:r>
        <w:fldChar w:fldCharType="separate"/>
      </w:r>
      <w:r>
        <w:rPr>
          <w:noProof/>
        </w:rPr>
        <w:t>89</w:t>
      </w:r>
      <w:r>
        <w:fldChar w:fldCharType="end"/>
      </w:r>
      <w:r w:rsidR="00DE572F">
        <w:t>. Guvernul se opune acestei solicitări.</w:t>
      </w:r>
    </w:p>
    <w:bookmarkStart w:id="35" w:name="para0093"/>
    <w:p w:rsidR="00AF59CE" w:rsidRPr="00D67F74" w:rsidRDefault="00DE572F" w:rsidP="00D67F74">
      <w:pPr>
        <w:pStyle w:val="JuPara"/>
      </w:pPr>
      <w:r w:rsidRPr="00D67F74">
        <w:fldChar w:fldCharType="begin"/>
      </w:r>
      <w:r w:rsidRPr="00D67F74">
        <w:instrText xml:space="preserve"> SEQ level0 \*arabic </w:instrText>
      </w:r>
      <w:r w:rsidRPr="00D67F74">
        <w:fldChar w:fldCharType="separate"/>
      </w:r>
      <w:r w:rsidR="00F23E65">
        <w:rPr>
          <w:noProof/>
        </w:rPr>
        <w:t>90</w:t>
      </w:r>
      <w:r w:rsidRPr="00D67F74">
        <w:fldChar w:fldCharType="end"/>
      </w:r>
      <w:bookmarkEnd w:id="35"/>
      <w:r>
        <w:t>. Curtea observă că singura constatare a unei încălcări se referă la capătul de cerere privind durata primei proceduri penale îndreptate împotriva celor doi reclaman</w:t>
      </w:r>
      <w:r w:rsidR="00D62C82">
        <w:t>ț</w:t>
      </w:r>
      <w:r>
        <w:t>i (supra, pct. </w:t>
      </w:r>
      <w:r w:rsidRPr="00D67F74">
        <w:fldChar w:fldCharType="begin"/>
      </w:r>
      <w:r w:rsidRPr="00D67F74">
        <w:instrText xml:space="preserve"> REF para0063 \h </w:instrText>
      </w:r>
      <w:r w:rsidRPr="00D67F74">
        <w:fldChar w:fldCharType="separate"/>
      </w:r>
      <w:r w:rsidR="00F23E65">
        <w:rPr>
          <w:noProof/>
        </w:rPr>
        <w:t>62</w:t>
      </w:r>
      <w:r w:rsidRPr="00D67F74">
        <w:fldChar w:fldCharType="end"/>
      </w:r>
      <w:r>
        <w:t>). Având în vedere circumstan</w:t>
      </w:r>
      <w:r w:rsidR="00D62C82">
        <w:t>ț</w:t>
      </w:r>
      <w:r>
        <w:t>ele spe</w:t>
      </w:r>
      <w:r w:rsidR="00D62C82">
        <w:t>ț</w:t>
      </w:r>
      <w:r>
        <w:t>ei, aceasta apreciază că simpla constatare a unei încălcări constituie, în sine, o repara</w:t>
      </w:r>
      <w:r w:rsidR="00D62C82">
        <w:t>ț</w:t>
      </w:r>
      <w:r>
        <w:t>ie echitabilă suficientă pentru orice prejudiciu moral pe care l-ar fi putut suferi persoanele în cauză.</w:t>
      </w:r>
    </w:p>
    <w:p w:rsidR="00AF59CE" w:rsidRPr="00D67F74" w:rsidRDefault="00DE572F" w:rsidP="00D67F74">
      <w:pPr>
        <w:pStyle w:val="JuHA"/>
        <w:ind w:left="572"/>
      </w:pPr>
      <w:r>
        <w:t>Cheltuieli de judecată</w:t>
      </w:r>
    </w:p>
    <w:p w:rsidR="00AF59CE" w:rsidRPr="00D67F74" w:rsidRDefault="00F23E65" w:rsidP="00D67F74">
      <w:pPr>
        <w:pStyle w:val="JuPara"/>
      </w:pPr>
      <w:r>
        <w:fldChar w:fldCharType="begin"/>
      </w:r>
      <w:r>
        <w:instrText xml:space="preserve"> SEQ level0 \*arabic </w:instrText>
      </w:r>
      <w:r>
        <w:fldChar w:fldCharType="separate"/>
      </w:r>
      <w:r>
        <w:rPr>
          <w:noProof/>
        </w:rPr>
        <w:t>91</w:t>
      </w:r>
      <w:r>
        <w:fldChar w:fldCharType="end"/>
      </w:r>
      <w:r w:rsidR="00DE572F">
        <w:t>. Reclaman</w:t>
      </w:r>
      <w:r w:rsidR="00D62C82">
        <w:t>ț</w:t>
      </w:r>
      <w:r w:rsidR="00DE572F">
        <w:t>ii nu solicită rambursarea cheltuielilor de judecată.</w:t>
      </w:r>
    </w:p>
    <w:p w:rsidR="00AF59CE" w:rsidRPr="00D67F74" w:rsidRDefault="00DE572F" w:rsidP="00D67F74">
      <w:pPr>
        <w:pStyle w:val="JuHHead"/>
      </w:pPr>
      <w:r>
        <w:t xml:space="preserve">PENTRU ACESTE MOTIVE, CURTEA, </w:t>
      </w:r>
      <w:r>
        <w:rPr>
          <w:caps w:val="0"/>
        </w:rPr>
        <w:t>ÎN UNANIMITATE</w:t>
      </w:r>
      <w:r>
        <w:t>,</w:t>
      </w:r>
    </w:p>
    <w:p w:rsidR="00AF59CE" w:rsidRPr="00D67F74" w:rsidRDefault="00DE572F" w:rsidP="00D67F74">
      <w:pPr>
        <w:pStyle w:val="JuList"/>
        <w:numPr>
          <w:ilvl w:val="0"/>
          <w:numId w:val="24"/>
        </w:numPr>
      </w:pPr>
      <w:r>
        <w:rPr>
          <w:i/>
        </w:rPr>
        <w:t>declară</w:t>
      </w:r>
      <w:r>
        <w:t xml:space="preserve"> cererea admisibilă în ceea ce privește capătul de cerere privind durata primei proceduri penale îndreptate împotriva reclaman</w:t>
      </w:r>
      <w:r w:rsidR="00D62C82">
        <w:t>ț</w:t>
      </w:r>
      <w:r>
        <w:t>ilor și inadmisibilă în ceea ce privește celelalte capete de cerere;</w:t>
      </w:r>
    </w:p>
    <w:p w:rsidR="00AF59CE" w:rsidRPr="00D67F74" w:rsidRDefault="00DE572F" w:rsidP="00D67F74">
      <w:pPr>
        <w:pStyle w:val="JuList"/>
        <w:numPr>
          <w:ilvl w:val="0"/>
          <w:numId w:val="24"/>
        </w:numPr>
      </w:pPr>
      <w:r>
        <w:rPr>
          <w:i/>
          <w:iCs/>
        </w:rPr>
        <w:t>hotărăște</w:t>
      </w:r>
      <w:r>
        <w:t xml:space="preserve"> că a fost încălcat art. 6</w:t>
      </w:r>
      <w:r w:rsidR="00FE4F07">
        <w:t xml:space="preserve"> </w:t>
      </w:r>
      <w:r>
        <w:t>§ 1 din Conven</w:t>
      </w:r>
      <w:r w:rsidR="00D62C82">
        <w:t>ț</w:t>
      </w:r>
      <w:r>
        <w:t>ie;</w:t>
      </w:r>
    </w:p>
    <w:p w:rsidR="00AF59CE" w:rsidRPr="00D67F74" w:rsidRDefault="00DE572F" w:rsidP="00D67F74">
      <w:pPr>
        <w:pStyle w:val="JuList"/>
        <w:numPr>
          <w:ilvl w:val="0"/>
          <w:numId w:val="24"/>
        </w:numPr>
      </w:pPr>
      <w:r>
        <w:rPr>
          <w:i/>
          <w:iCs/>
        </w:rPr>
        <w:t>hotărăște</w:t>
      </w:r>
      <w:r>
        <w:t xml:space="preserve"> că respectiva constatare a unei încălcări constituie în sine o repara</w:t>
      </w:r>
      <w:r w:rsidR="00D62C82">
        <w:t>ț</w:t>
      </w:r>
      <w:r>
        <w:t>ie echitabilă suficientă pentru prejudiciul moral suferit de reclaman</w:t>
      </w:r>
      <w:r w:rsidR="00D62C82">
        <w:t>ț</w:t>
      </w:r>
      <w:r>
        <w:t>i;</w:t>
      </w:r>
    </w:p>
    <w:p w:rsidR="00876F03" w:rsidRPr="00D67F74" w:rsidRDefault="00DE572F" w:rsidP="00D67F74">
      <w:pPr>
        <w:pStyle w:val="JuList"/>
        <w:numPr>
          <w:ilvl w:val="0"/>
          <w:numId w:val="24"/>
        </w:numPr>
      </w:pPr>
      <w:r>
        <w:rPr>
          <w:i/>
        </w:rPr>
        <w:t>respinge</w:t>
      </w:r>
      <w:r>
        <w:t xml:space="preserve"> cererea de acordare a unei repara</w:t>
      </w:r>
      <w:r w:rsidR="00D62C82">
        <w:t>ț</w:t>
      </w:r>
      <w:r>
        <w:t>ii echitabile pentru celelalte capete de cerere.</w:t>
      </w:r>
    </w:p>
    <w:p w:rsidR="00893F30" w:rsidRPr="00D67F74" w:rsidRDefault="00DE572F" w:rsidP="00D67F74">
      <w:pPr>
        <w:pStyle w:val="JuParaLast"/>
      </w:pPr>
      <w:r>
        <w:t>Redactată în limba franceză, apoi comunicată în scris la 20 feb</w:t>
      </w:r>
      <w:r w:rsidR="00FE4F07">
        <w:t xml:space="preserve">ruarie 2024, în temeiul art. 77 § 2 și art. 77 </w:t>
      </w:r>
      <w:r>
        <w:t>§ 3 din Regulament.</w:t>
      </w:r>
    </w:p>
    <w:p w:rsidR="00F94531" w:rsidRPr="00D67F74" w:rsidRDefault="00DE572F" w:rsidP="00D67F74">
      <w:pPr>
        <w:pStyle w:val="JuSigned"/>
        <w:keepNext/>
        <w:keepLines/>
        <w:rPr>
          <w:color w:val="F8F8F8" w:themeColor="background2"/>
        </w:rPr>
      </w:pPr>
      <w:r>
        <w:rPr>
          <w:color w:val="F8F8F8" w:themeColor="background2"/>
        </w:rPr>
        <w:tab/>
      </w:r>
    </w:p>
    <w:p w:rsidR="00876F03" w:rsidRPr="00D67F74" w:rsidRDefault="00DE572F" w:rsidP="00D67F74">
      <w:pPr>
        <w:pStyle w:val="JuSigned"/>
      </w:pPr>
      <w:r>
        <w:tab/>
        <w:t>Ilse Freiwirth</w:t>
      </w:r>
      <w:r>
        <w:tab/>
        <w:t>Tim Eicke</w:t>
      </w:r>
      <w:r>
        <w:br/>
      </w:r>
      <w:r>
        <w:tab/>
        <w:t>Grefier de sec</w:t>
      </w:r>
      <w:r w:rsidR="00D62C82">
        <w:t>ț</w:t>
      </w:r>
      <w:r>
        <w:t>ie</w:t>
      </w:r>
      <w:r>
        <w:tab/>
        <w:t>Președinte</w:t>
      </w:r>
    </w:p>
    <w:sectPr w:rsidR="00876F03" w:rsidRPr="00D67F74" w:rsidSect="00D62C82">
      <w:headerReference w:type="even" r:id="rId13"/>
      <w:headerReference w:type="default" r:id="rId14"/>
      <w:footerReference w:type="default" r:id="rId15"/>
      <w:footnotePr>
        <w:numRestart w:val="eachSect"/>
      </w:footnotePr>
      <w:pgSz w:w="11906" w:h="16838" w:code="9"/>
      <w:pgMar w:top="1134" w:right="1134" w:bottom="1134" w:left="1701" w:header="1134"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52A" w:rsidRDefault="006A552A">
      <w:r>
        <w:separator/>
      </w:r>
    </w:p>
  </w:endnote>
  <w:endnote w:type="continuationSeparator" w:id="0">
    <w:p w:rsidR="006A552A" w:rsidRDefault="006A5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F25EFC" w:rsidRDefault="00DE572F" w:rsidP="00954AD6">
    <w:pPr>
      <w:pStyle w:val="JuHeader"/>
    </w:pPr>
    <w:r>
      <w:fldChar w:fldCharType="begin"/>
    </w:r>
    <w:r>
      <w:instrText xml:space="preserve"> PAGE </w:instrText>
    </w:r>
    <w:r>
      <w:fldChar w:fldCharType="separate"/>
    </w:r>
    <w:r w:rsidR="00D62C82">
      <w:rPr>
        <w:noProof/>
      </w:rP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9CE" w:rsidRPr="00150BFA" w:rsidRDefault="00DE572F" w:rsidP="0020718E">
    <w:pPr>
      <w:jc w:val="center"/>
    </w:pPr>
    <w:r>
      <w:rPr>
        <w:noProof/>
        <w:lang w:eastAsia="ro-RO"/>
      </w:rPr>
      <w:drawing>
        <wp:inline distT="0" distB="0" distL="0" distR="0">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F22D5C" w:rsidRPr="00F25EFC" w:rsidRDefault="00F22D5C"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9CE" w:rsidRPr="00150BFA" w:rsidRDefault="00DE572F"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2601" w:rsidRPr="00F25EF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DE572F" w:rsidP="00662882">
    <w:pPr>
      <w:pStyle w:val="JuHeader"/>
    </w:pPr>
    <w:r>
      <w:fldChar w:fldCharType="begin"/>
    </w:r>
    <w:r>
      <w:instrText xml:space="preserve"> PAGE </w:instrText>
    </w:r>
    <w:r>
      <w:fldChar w:fldCharType="separate"/>
    </w:r>
    <w:r w:rsidR="00F23E65">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52A" w:rsidRDefault="006A552A">
      <w:r>
        <w:separator/>
      </w:r>
    </w:p>
  </w:footnote>
  <w:footnote w:type="continuationSeparator" w:id="0">
    <w:p w:rsidR="006A552A" w:rsidRDefault="006A5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9CE" w:rsidRPr="00A45145" w:rsidRDefault="00DE572F" w:rsidP="00A45145">
    <w:pPr>
      <w:jc w:val="center"/>
    </w:pPr>
    <w:r>
      <w:rPr>
        <w:noProof/>
        <w:lang w:eastAsia="ro-RO"/>
      </w:rPr>
      <w:drawing>
        <wp:inline distT="0" distB="0" distL="0" distR="0">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F22D5C" w:rsidRPr="00F25EFC" w:rsidRDefault="00F22D5C"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13F" w:rsidRDefault="004A113F" w:rsidP="004A113F">
    <w:pPr>
      <w:jc w:val="right"/>
    </w:pPr>
    <w:r>
      <w:t>Tradus și revizuit de IER (</w:t>
    </w:r>
    <w:hyperlink r:id="rId1" w:history="1">
      <w:r w:rsidRPr="00802BFF">
        <w:rPr>
          <w:rStyle w:val="Hyperlink"/>
        </w:rPr>
        <w:t>http://ier.gov.ro/</w:t>
      </w:r>
    </w:hyperlink>
    <w:r>
      <w:t>)</w:t>
    </w:r>
  </w:p>
  <w:p w:rsidR="004A113F" w:rsidRDefault="004A113F" w:rsidP="004A113F">
    <w:pPr>
      <w:jc w:val="right"/>
    </w:pPr>
  </w:p>
  <w:p w:rsidR="004A113F" w:rsidRDefault="004A113F" w:rsidP="004A113F">
    <w:r>
      <w:rPr>
        <w:noProof/>
        <w:lang w:eastAsia="ro-RO"/>
      </w:rPr>
      <w:drawing>
        <wp:anchor distT="0" distB="0" distL="114300" distR="114300" simplePos="0" relativeHeight="251658240" behindDoc="1" locked="0" layoutInCell="1" allowOverlap="1" wp14:anchorId="36EF207C" wp14:editId="0EBE1290">
          <wp:simplePos x="0" y="0"/>
          <wp:positionH relativeFrom="column">
            <wp:posOffset>1274445</wp:posOffset>
          </wp:positionH>
          <wp:positionV relativeFrom="paragraph">
            <wp:posOffset>9525</wp:posOffset>
          </wp:positionV>
          <wp:extent cx="2962275" cy="1219200"/>
          <wp:effectExtent l="0" t="0" r="9525" b="0"/>
          <wp:wrapTight wrapText="bothSides">
            <wp:wrapPolygon edited="0">
              <wp:start x="0" y="0"/>
              <wp:lineTo x="0" y="21263"/>
              <wp:lineTo x="21531" y="21263"/>
              <wp:lineTo x="21531" y="0"/>
              <wp:lineTo x="0" y="0"/>
            </wp:wrapPolygon>
          </wp:wrapTight>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anchor>
      </w:drawing>
    </w:r>
  </w:p>
  <w:p w:rsidR="004A113F" w:rsidRDefault="004A113F" w:rsidP="004A113F"/>
  <w:p w:rsidR="004A113F" w:rsidRDefault="004A113F" w:rsidP="004A113F"/>
  <w:p w:rsidR="004A113F" w:rsidRDefault="004A113F" w:rsidP="004A113F"/>
  <w:p w:rsidR="00AF59CE" w:rsidRPr="00A45145" w:rsidRDefault="00AF59CE" w:rsidP="004A113F"/>
  <w:p w:rsidR="00902601" w:rsidRPr="00F25EFC"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B91DA4" w:rsidRDefault="00DE572F" w:rsidP="00A21624">
    <w:pPr>
      <w:pStyle w:val="JuHeader"/>
    </w:pPr>
    <w:r>
      <w:t xml:space="preserve">HOTĂRÂREA BECALI ȘI CIOFLINĂ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Default="00DE572F" w:rsidP="00662882">
    <w:pPr>
      <w:pStyle w:val="JuHeader"/>
    </w:pPr>
    <w:r>
      <w:t xml:space="preserve">HOTĂRÂREA BECALI ȘI CIOFLINĂ ÎMPOTRIVA ROMÂNIEI </w:t>
    </w:r>
  </w:p>
  <w:p w:rsidR="00D62C82" w:rsidRDefault="00D62C82" w:rsidP="00662882">
    <w:pPr>
      <w:pStyle w:val="JuHeader"/>
    </w:pPr>
  </w:p>
  <w:p w:rsidR="00D62C82" w:rsidRPr="00662882" w:rsidRDefault="00D62C82" w:rsidP="00662882">
    <w:pPr>
      <w:pStyle w:val="Ju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28722A74"/>
    <w:numStyleLink w:val="ECHRA1StyleList"/>
  </w:abstractNum>
  <w:abstractNum w:abstractNumId="10"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28722A74"/>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85E6A40"/>
    <w:multiLevelType w:val="multilevel"/>
    <w:tmpl w:val="3704F6F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3377FF"/>
    <w:multiLevelType w:val="multilevel"/>
    <w:tmpl w:val="DCB22BDE"/>
    <w:lvl w:ilvl="0">
      <w:start w:val="1"/>
      <w:numFmt w:val="bullet"/>
      <w:lvlText w:val=""/>
      <w:lvlJc w:val="left"/>
      <w:pPr>
        <w:ind w:left="567" w:hanging="283"/>
      </w:pPr>
      <w:rPr>
        <w:rFonts w:ascii="Wingdings" w:hAnsi="Wingdings" w:hint="default"/>
        <w:color w:val="0072BC" w:themeColor="background1"/>
      </w:rPr>
    </w:lvl>
    <w:lvl w:ilvl="1">
      <w:start w:val="1"/>
      <w:numFmt w:val="bullet"/>
      <w:lvlText w:val=""/>
      <w:lvlJc w:val="left"/>
      <w:pPr>
        <w:ind w:left="851" w:hanging="284"/>
      </w:pPr>
      <w:rPr>
        <w:rFonts w:ascii="Wingdings" w:hAnsi="Wingdings" w:hint="default"/>
        <w:color w:val="7F7F7F" w:themeColor="text1" w:themeTint="80"/>
      </w:rPr>
    </w:lvl>
    <w:lvl w:ilvl="2">
      <w:start w:val="1"/>
      <w:numFmt w:val="bullet"/>
      <w:lvlText w:val=""/>
      <w:lvlJc w:val="left"/>
      <w:pPr>
        <w:ind w:left="1134" w:hanging="283"/>
      </w:pPr>
      <w:rPr>
        <w:rFonts w:ascii="Wingdings" w:hAnsi="Wingdings" w:hint="default"/>
        <w:color w:val="0072BC" w:themeColor="background1"/>
      </w:rPr>
    </w:lvl>
    <w:lvl w:ilvl="3">
      <w:start w:val="1"/>
      <w:numFmt w:val="decimal"/>
      <w:lvlText w:val="(%4)"/>
      <w:lvlJc w:val="left"/>
      <w:pPr>
        <w:ind w:left="1156" w:hanging="360"/>
      </w:pPr>
      <w:rPr>
        <w:rFonts w:hint="default"/>
      </w:rPr>
    </w:lvl>
    <w:lvl w:ilvl="4">
      <w:start w:val="1"/>
      <w:numFmt w:val="lowerLetter"/>
      <w:lvlText w:val="(%5)"/>
      <w:lvlJc w:val="left"/>
      <w:pPr>
        <w:ind w:left="1516" w:hanging="360"/>
      </w:pPr>
      <w:rPr>
        <w:rFonts w:hint="default"/>
      </w:rPr>
    </w:lvl>
    <w:lvl w:ilvl="5">
      <w:start w:val="1"/>
      <w:numFmt w:val="lowerRoman"/>
      <w:lvlText w:val="(%6)"/>
      <w:lvlJc w:val="left"/>
      <w:pPr>
        <w:ind w:left="1876" w:hanging="360"/>
      </w:pPr>
      <w:rPr>
        <w:rFonts w:hint="default"/>
      </w:rPr>
    </w:lvl>
    <w:lvl w:ilvl="6">
      <w:start w:val="1"/>
      <w:numFmt w:val="decimal"/>
      <w:lvlText w:val="%7."/>
      <w:lvlJc w:val="left"/>
      <w:pPr>
        <w:ind w:left="2236" w:hanging="360"/>
      </w:pPr>
      <w:rPr>
        <w:rFonts w:hint="default"/>
      </w:rPr>
    </w:lvl>
    <w:lvl w:ilvl="7">
      <w:start w:val="1"/>
      <w:numFmt w:val="lowerLetter"/>
      <w:lvlText w:val="%8."/>
      <w:lvlJc w:val="left"/>
      <w:pPr>
        <w:ind w:left="2596" w:hanging="360"/>
      </w:pPr>
      <w:rPr>
        <w:rFonts w:hint="default"/>
      </w:rPr>
    </w:lvl>
    <w:lvl w:ilvl="8">
      <w:start w:val="1"/>
      <w:numFmt w:val="lowerRoman"/>
      <w:lvlText w:val="%9."/>
      <w:lvlJc w:val="left"/>
      <w:pPr>
        <w:ind w:left="2956" w:hanging="360"/>
      </w:pPr>
      <w:rPr>
        <w:rFonts w:hint="default"/>
      </w:rPr>
    </w:lvl>
  </w:abstractNum>
  <w:abstractNum w:abstractNumId="17"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8"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9" w15:restartNumberingAfterBreak="0">
    <w:nsid w:val="56B9429C"/>
    <w:multiLevelType w:val="multilevel"/>
    <w:tmpl w:val="4CD28D7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3896"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20" w15:restartNumberingAfterBreak="0">
    <w:nsid w:val="67FD1241"/>
    <w:multiLevelType w:val="hybridMultilevel"/>
    <w:tmpl w:val="F6D86CC2"/>
    <w:lvl w:ilvl="0" w:tplc="7FA687EE">
      <w:start w:val="1"/>
      <w:numFmt w:val="bullet"/>
      <w:pStyle w:val="ListBullet"/>
      <w:lvlText w:val=""/>
      <w:lvlJc w:val="left"/>
      <w:pPr>
        <w:tabs>
          <w:tab w:val="num" w:pos="851"/>
        </w:tabs>
        <w:ind w:left="568" w:firstLine="0"/>
      </w:pPr>
      <w:rPr>
        <w:rFonts w:ascii="Wingdings" w:hAnsi="Wingdings" w:hint="default"/>
        <w:color w:val="808080"/>
        <w:sz w:val="16"/>
      </w:rPr>
    </w:lvl>
    <w:lvl w:ilvl="1" w:tplc="3DB23E7E" w:tentative="1">
      <w:start w:val="1"/>
      <w:numFmt w:val="bullet"/>
      <w:lvlText w:val="o"/>
      <w:lvlJc w:val="left"/>
      <w:pPr>
        <w:tabs>
          <w:tab w:val="num" w:pos="1724"/>
        </w:tabs>
        <w:ind w:left="1724" w:hanging="360"/>
      </w:pPr>
      <w:rPr>
        <w:rFonts w:ascii="Courier New" w:hAnsi="Courier New" w:cs="Courier New" w:hint="default"/>
      </w:rPr>
    </w:lvl>
    <w:lvl w:ilvl="2" w:tplc="F0F21BAC" w:tentative="1">
      <w:start w:val="1"/>
      <w:numFmt w:val="bullet"/>
      <w:lvlText w:val=""/>
      <w:lvlJc w:val="left"/>
      <w:pPr>
        <w:tabs>
          <w:tab w:val="num" w:pos="2444"/>
        </w:tabs>
        <w:ind w:left="2444" w:hanging="360"/>
      </w:pPr>
      <w:rPr>
        <w:rFonts w:ascii="Wingdings" w:hAnsi="Wingdings" w:hint="default"/>
      </w:rPr>
    </w:lvl>
    <w:lvl w:ilvl="3" w:tplc="E26E4E06" w:tentative="1">
      <w:start w:val="1"/>
      <w:numFmt w:val="bullet"/>
      <w:lvlText w:val=""/>
      <w:lvlJc w:val="left"/>
      <w:pPr>
        <w:tabs>
          <w:tab w:val="num" w:pos="3164"/>
        </w:tabs>
        <w:ind w:left="3164" w:hanging="360"/>
      </w:pPr>
      <w:rPr>
        <w:rFonts w:ascii="Symbol" w:hAnsi="Symbol" w:hint="default"/>
      </w:rPr>
    </w:lvl>
    <w:lvl w:ilvl="4" w:tplc="8F5AFE32" w:tentative="1">
      <w:start w:val="1"/>
      <w:numFmt w:val="bullet"/>
      <w:lvlText w:val="o"/>
      <w:lvlJc w:val="left"/>
      <w:pPr>
        <w:tabs>
          <w:tab w:val="num" w:pos="3884"/>
        </w:tabs>
        <w:ind w:left="3884" w:hanging="360"/>
      </w:pPr>
      <w:rPr>
        <w:rFonts w:ascii="Courier New" w:hAnsi="Courier New" w:cs="Courier New" w:hint="default"/>
      </w:rPr>
    </w:lvl>
    <w:lvl w:ilvl="5" w:tplc="55FE509A" w:tentative="1">
      <w:start w:val="1"/>
      <w:numFmt w:val="bullet"/>
      <w:lvlText w:val=""/>
      <w:lvlJc w:val="left"/>
      <w:pPr>
        <w:tabs>
          <w:tab w:val="num" w:pos="4604"/>
        </w:tabs>
        <w:ind w:left="4604" w:hanging="360"/>
      </w:pPr>
      <w:rPr>
        <w:rFonts w:ascii="Wingdings" w:hAnsi="Wingdings" w:hint="default"/>
      </w:rPr>
    </w:lvl>
    <w:lvl w:ilvl="6" w:tplc="824C173A" w:tentative="1">
      <w:start w:val="1"/>
      <w:numFmt w:val="bullet"/>
      <w:lvlText w:val=""/>
      <w:lvlJc w:val="left"/>
      <w:pPr>
        <w:tabs>
          <w:tab w:val="num" w:pos="5324"/>
        </w:tabs>
        <w:ind w:left="5324" w:hanging="360"/>
      </w:pPr>
      <w:rPr>
        <w:rFonts w:ascii="Symbol" w:hAnsi="Symbol" w:hint="default"/>
      </w:rPr>
    </w:lvl>
    <w:lvl w:ilvl="7" w:tplc="735CE968" w:tentative="1">
      <w:start w:val="1"/>
      <w:numFmt w:val="bullet"/>
      <w:lvlText w:val="o"/>
      <w:lvlJc w:val="left"/>
      <w:pPr>
        <w:tabs>
          <w:tab w:val="num" w:pos="6044"/>
        </w:tabs>
        <w:ind w:left="6044" w:hanging="360"/>
      </w:pPr>
      <w:rPr>
        <w:rFonts w:ascii="Courier New" w:hAnsi="Courier New" w:cs="Courier New" w:hint="default"/>
      </w:rPr>
    </w:lvl>
    <w:lvl w:ilvl="8" w:tplc="EA985050"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718C54F2"/>
    <w:multiLevelType w:val="multilevel"/>
    <w:tmpl w:val="28722A74"/>
    <w:numStyleLink w:val="ECHRA1StyleList"/>
  </w:abstractNum>
  <w:abstractNum w:abstractNumId="22" w15:restartNumberingAfterBreak="0">
    <w:nsid w:val="74605EAE"/>
    <w:multiLevelType w:val="multilevel"/>
    <w:tmpl w:val="28722A74"/>
    <w:numStyleLink w:val="ECHRA1StyleList"/>
  </w:abstractNum>
  <w:num w:numId="1">
    <w:abstractNumId w:val="15"/>
  </w:num>
  <w:num w:numId="2">
    <w:abstractNumId w:val="12"/>
  </w:num>
  <w:num w:numId="3">
    <w:abstractNumId w:val="11"/>
  </w:num>
  <w:num w:numId="4">
    <w:abstractNumId w:val="17"/>
  </w:num>
  <w:num w:numId="5">
    <w:abstractNumId w:val="13"/>
  </w:num>
  <w:num w:numId="6">
    <w:abstractNumId w:val="18"/>
  </w:num>
  <w:num w:numId="7">
    <w:abstractNumId w:val="17"/>
  </w:num>
  <w:num w:numId="8">
    <w:abstractNumId w:val="18"/>
  </w:num>
  <w:num w:numId="9">
    <w:abstractNumId w:val="10"/>
  </w:num>
  <w:num w:numId="10">
    <w:abstractNumId w:val="21"/>
  </w:num>
  <w:num w:numId="11">
    <w:abstractNumId w:val="20"/>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22"/>
  </w:num>
  <w:num w:numId="23">
    <w:abstractNumId w:val="19"/>
  </w:num>
  <w:num w:numId="24">
    <w:abstractNumId w:val="14"/>
  </w:num>
  <w:num w:numId="25">
    <w:abstractNumId w:val="16"/>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1"/>
  </w:docVars>
  <w:rsids>
    <w:rsidRoot w:val="00AF59CE"/>
    <w:rsid w:val="000041F8"/>
    <w:rsid w:val="000042A8"/>
    <w:rsid w:val="00004308"/>
    <w:rsid w:val="00005BF0"/>
    <w:rsid w:val="00007154"/>
    <w:rsid w:val="000103AE"/>
    <w:rsid w:val="00011D69"/>
    <w:rsid w:val="00012AD3"/>
    <w:rsid w:val="00015C2D"/>
    <w:rsid w:val="00015F00"/>
    <w:rsid w:val="00022C1D"/>
    <w:rsid w:val="000276CF"/>
    <w:rsid w:val="00034987"/>
    <w:rsid w:val="0004539A"/>
    <w:rsid w:val="00051015"/>
    <w:rsid w:val="000602DF"/>
    <w:rsid w:val="00061B05"/>
    <w:rsid w:val="000632D5"/>
    <w:rsid w:val="000644EE"/>
    <w:rsid w:val="000675A9"/>
    <w:rsid w:val="00080ECE"/>
    <w:rsid w:val="00086E4E"/>
    <w:rsid w:val="00086E70"/>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86F37"/>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87DFB"/>
    <w:rsid w:val="0039364F"/>
    <w:rsid w:val="00396686"/>
    <w:rsid w:val="0039778E"/>
    <w:rsid w:val="003A37B8"/>
    <w:rsid w:val="003B4941"/>
    <w:rsid w:val="003B6A2E"/>
    <w:rsid w:val="003C5714"/>
    <w:rsid w:val="003C6B9F"/>
    <w:rsid w:val="003C6E2A"/>
    <w:rsid w:val="003D0299"/>
    <w:rsid w:val="003D32BE"/>
    <w:rsid w:val="003E29DF"/>
    <w:rsid w:val="003E3FE3"/>
    <w:rsid w:val="003E6D80"/>
    <w:rsid w:val="003E7A9C"/>
    <w:rsid w:val="003F05FA"/>
    <w:rsid w:val="003F244A"/>
    <w:rsid w:val="003F30B8"/>
    <w:rsid w:val="003F4C45"/>
    <w:rsid w:val="003F5F7B"/>
    <w:rsid w:val="003F7D64"/>
    <w:rsid w:val="00401F7D"/>
    <w:rsid w:val="004068B7"/>
    <w:rsid w:val="0041177B"/>
    <w:rsid w:val="00414300"/>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E5F"/>
    <w:rsid w:val="00484EA4"/>
    <w:rsid w:val="00485FF9"/>
    <w:rsid w:val="004907F0"/>
    <w:rsid w:val="0049140B"/>
    <w:rsid w:val="004923A5"/>
    <w:rsid w:val="00496197"/>
    <w:rsid w:val="00496BFB"/>
    <w:rsid w:val="004A113F"/>
    <w:rsid w:val="004A15C7"/>
    <w:rsid w:val="004B013B"/>
    <w:rsid w:val="004B112B"/>
    <w:rsid w:val="004C01E4"/>
    <w:rsid w:val="004C086C"/>
    <w:rsid w:val="004C14C4"/>
    <w:rsid w:val="004C1A3F"/>
    <w:rsid w:val="004C1F56"/>
    <w:rsid w:val="004C27BC"/>
    <w:rsid w:val="004D15F3"/>
    <w:rsid w:val="004D51C3"/>
    <w:rsid w:val="004D5311"/>
    <w:rsid w:val="004D5DCC"/>
    <w:rsid w:val="004E22F1"/>
    <w:rsid w:val="004E3AF7"/>
    <w:rsid w:val="004F10AF"/>
    <w:rsid w:val="004F11A4"/>
    <w:rsid w:val="004F2389"/>
    <w:rsid w:val="004F304D"/>
    <w:rsid w:val="004F61BE"/>
    <w:rsid w:val="004F66B1"/>
    <w:rsid w:val="00510D77"/>
    <w:rsid w:val="00511C07"/>
    <w:rsid w:val="0051696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79BD"/>
    <w:rsid w:val="00682BF2"/>
    <w:rsid w:val="006859CE"/>
    <w:rsid w:val="00691270"/>
    <w:rsid w:val="00694BA8"/>
    <w:rsid w:val="006A037C"/>
    <w:rsid w:val="006A36F4"/>
    <w:rsid w:val="006A406F"/>
    <w:rsid w:val="006A552A"/>
    <w:rsid w:val="006A5D3A"/>
    <w:rsid w:val="006C23D4"/>
    <w:rsid w:val="006C475E"/>
    <w:rsid w:val="006C7BB0"/>
    <w:rsid w:val="006D3237"/>
    <w:rsid w:val="006D7CEF"/>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3DA5"/>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0663"/>
    <w:rsid w:val="007D4832"/>
    <w:rsid w:val="007E21B2"/>
    <w:rsid w:val="007E2C4E"/>
    <w:rsid w:val="007F1905"/>
    <w:rsid w:val="00801300"/>
    <w:rsid w:val="00802C64"/>
    <w:rsid w:val="0080523A"/>
    <w:rsid w:val="00805E52"/>
    <w:rsid w:val="008061D0"/>
    <w:rsid w:val="00810B38"/>
    <w:rsid w:val="00810DCC"/>
    <w:rsid w:val="008204C7"/>
    <w:rsid w:val="00820992"/>
    <w:rsid w:val="00823602"/>
    <w:rsid w:val="008255F5"/>
    <w:rsid w:val="00825BE7"/>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66AC1"/>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4639"/>
    <w:rsid w:val="009E776C"/>
    <w:rsid w:val="00A00672"/>
    <w:rsid w:val="00A065BF"/>
    <w:rsid w:val="00A132AD"/>
    <w:rsid w:val="00A1726E"/>
    <w:rsid w:val="00A204CF"/>
    <w:rsid w:val="00A21624"/>
    <w:rsid w:val="00A23D49"/>
    <w:rsid w:val="00A27004"/>
    <w:rsid w:val="00A30C29"/>
    <w:rsid w:val="00A34DD6"/>
    <w:rsid w:val="00A36819"/>
    <w:rsid w:val="00A36989"/>
    <w:rsid w:val="00A43628"/>
    <w:rsid w:val="00A43AA3"/>
    <w:rsid w:val="00A45145"/>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E3651"/>
    <w:rsid w:val="00AF4B07"/>
    <w:rsid w:val="00AF59CE"/>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1DA4"/>
    <w:rsid w:val="00B922FF"/>
    <w:rsid w:val="00B9281E"/>
    <w:rsid w:val="00B93925"/>
    <w:rsid w:val="00B95187"/>
    <w:rsid w:val="00BA2D55"/>
    <w:rsid w:val="00BA38A8"/>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94389"/>
    <w:rsid w:val="00CA4BDA"/>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2C82"/>
    <w:rsid w:val="00D6435F"/>
    <w:rsid w:val="00D64896"/>
    <w:rsid w:val="00D67F74"/>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E572F"/>
    <w:rsid w:val="00DF098B"/>
    <w:rsid w:val="00DF11C4"/>
    <w:rsid w:val="00DF210C"/>
    <w:rsid w:val="00DF4B6A"/>
    <w:rsid w:val="00E02C09"/>
    <w:rsid w:val="00E04D59"/>
    <w:rsid w:val="00E07DA1"/>
    <w:rsid w:val="00E123CB"/>
    <w:rsid w:val="00E20E13"/>
    <w:rsid w:val="00E21DBC"/>
    <w:rsid w:val="00E22638"/>
    <w:rsid w:val="00E275D7"/>
    <w:rsid w:val="00E27DBE"/>
    <w:rsid w:val="00E32AB1"/>
    <w:rsid w:val="00E36C71"/>
    <w:rsid w:val="00E37E79"/>
    <w:rsid w:val="00E40404"/>
    <w:rsid w:val="00E459C6"/>
    <w:rsid w:val="00E47589"/>
    <w:rsid w:val="00E52E0C"/>
    <w:rsid w:val="00E64915"/>
    <w:rsid w:val="00E661D4"/>
    <w:rsid w:val="00E70091"/>
    <w:rsid w:val="00E720F5"/>
    <w:rsid w:val="00E76D47"/>
    <w:rsid w:val="00E849F7"/>
    <w:rsid w:val="00E90302"/>
    <w:rsid w:val="00E91F7B"/>
    <w:rsid w:val="00E97396"/>
    <w:rsid w:val="00EA185E"/>
    <w:rsid w:val="00EA592A"/>
    <w:rsid w:val="00EB14E4"/>
    <w:rsid w:val="00EB182B"/>
    <w:rsid w:val="00EB32A5"/>
    <w:rsid w:val="00EB34ED"/>
    <w:rsid w:val="00EB4A37"/>
    <w:rsid w:val="00EB7BE0"/>
    <w:rsid w:val="00EC09CE"/>
    <w:rsid w:val="00EC2C5F"/>
    <w:rsid w:val="00EC315E"/>
    <w:rsid w:val="00EC58D1"/>
    <w:rsid w:val="00ED077C"/>
    <w:rsid w:val="00ED1190"/>
    <w:rsid w:val="00ED6544"/>
    <w:rsid w:val="00EE0277"/>
    <w:rsid w:val="00EE3E00"/>
    <w:rsid w:val="00EE5DD2"/>
    <w:rsid w:val="00EF34CB"/>
    <w:rsid w:val="00EF6E2D"/>
    <w:rsid w:val="00F00A79"/>
    <w:rsid w:val="00F00E86"/>
    <w:rsid w:val="00F07C1E"/>
    <w:rsid w:val="00F105DB"/>
    <w:rsid w:val="00F132BC"/>
    <w:rsid w:val="00F13D80"/>
    <w:rsid w:val="00F16AAA"/>
    <w:rsid w:val="00F21161"/>
    <w:rsid w:val="00F218EF"/>
    <w:rsid w:val="00F21BC7"/>
    <w:rsid w:val="00F22D5C"/>
    <w:rsid w:val="00F23E65"/>
    <w:rsid w:val="00F25EFC"/>
    <w:rsid w:val="00F266A2"/>
    <w:rsid w:val="00F27D13"/>
    <w:rsid w:val="00F32269"/>
    <w:rsid w:val="00F56A6F"/>
    <w:rsid w:val="00F5709C"/>
    <w:rsid w:val="00F61F33"/>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4F07"/>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9B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6779BD"/>
    <w:rPr>
      <w:sz w:val="24"/>
      <w:szCs w:val="24"/>
    </w:rPr>
  </w:style>
  <w:style w:type="paragraph" w:styleId="Heading1">
    <w:name w:val="heading 1"/>
    <w:basedOn w:val="Normal"/>
    <w:next w:val="Normal"/>
    <w:link w:val="Heading1Char"/>
    <w:uiPriority w:val="99"/>
    <w:semiHidden/>
    <w:rsid w:val="00794E9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794E9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794E9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9"/>
    <w:semiHidden/>
    <w:rsid w:val="00794E9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9"/>
    <w:semiHidden/>
    <w:qFormat/>
    <w:rsid w:val="00794E9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9"/>
    <w:semiHidden/>
    <w:rsid w:val="00794E9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9"/>
    <w:semiHidden/>
    <w:qFormat/>
    <w:rsid w:val="00794E9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9"/>
    <w:semiHidden/>
    <w:qFormat/>
    <w:rsid w:val="00794E9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794E9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94E99"/>
    <w:rPr>
      <w:rFonts w:ascii="Tahoma" w:hAnsi="Tahoma" w:cs="Tahoma"/>
      <w:sz w:val="16"/>
      <w:szCs w:val="16"/>
    </w:rPr>
  </w:style>
  <w:style w:type="character" w:customStyle="1" w:styleId="BalloonTextChar">
    <w:name w:val="Balloon Text Char"/>
    <w:basedOn w:val="DefaultParagraphFont"/>
    <w:link w:val="BalloonText"/>
    <w:uiPriority w:val="99"/>
    <w:semiHidden/>
    <w:rsid w:val="00794E99"/>
    <w:rPr>
      <w:rFonts w:ascii="Tahoma" w:hAnsi="Tahoma" w:cs="Tahoma"/>
      <w:sz w:val="16"/>
      <w:szCs w:val="16"/>
      <w:lang w:val="ro-RO"/>
    </w:rPr>
  </w:style>
  <w:style w:type="character" w:styleId="BookTitle">
    <w:name w:val="Book Title"/>
    <w:uiPriority w:val="99"/>
    <w:semiHidden/>
    <w:qFormat/>
    <w:rsid w:val="00794E99"/>
    <w:rPr>
      <w:i/>
      <w:iCs/>
      <w:smallCaps/>
      <w:spacing w:val="5"/>
    </w:rPr>
  </w:style>
  <w:style w:type="paragraph" w:customStyle="1" w:styleId="JuHeader">
    <w:name w:val="Ju_Header"/>
    <w:aliases w:val="_Header"/>
    <w:basedOn w:val="Header"/>
    <w:uiPriority w:val="29"/>
    <w:qFormat/>
    <w:rsid w:val="00794E99"/>
    <w:pPr>
      <w:tabs>
        <w:tab w:val="clear" w:pos="4536"/>
        <w:tab w:val="clear" w:pos="9072"/>
      </w:tabs>
      <w:jc w:val="center"/>
    </w:pPr>
    <w:rPr>
      <w:sz w:val="18"/>
    </w:rPr>
  </w:style>
  <w:style w:type="paragraph" w:customStyle="1" w:styleId="DummyStyle">
    <w:name w:val="Dummy_Style"/>
    <w:aliases w:val="_Dummy"/>
    <w:basedOn w:val="Normal"/>
    <w:semiHidden/>
    <w:qFormat/>
    <w:rsid w:val="00794E99"/>
    <w:rPr>
      <w:color w:val="00B050"/>
      <w:sz w:val="22"/>
    </w:rPr>
  </w:style>
  <w:style w:type="character" w:styleId="Strong">
    <w:name w:val="Strong"/>
    <w:uiPriority w:val="99"/>
    <w:semiHidden/>
    <w:qFormat/>
    <w:rsid w:val="00794E99"/>
    <w:rPr>
      <w:b/>
      <w:bCs/>
    </w:rPr>
  </w:style>
  <w:style w:type="paragraph" w:styleId="NoSpacing">
    <w:name w:val="No Spacing"/>
    <w:basedOn w:val="Normal"/>
    <w:link w:val="NoSpacingChar"/>
    <w:semiHidden/>
    <w:qFormat/>
    <w:rsid w:val="00794E99"/>
  </w:style>
  <w:style w:type="character" w:customStyle="1" w:styleId="NoSpacingChar">
    <w:name w:val="No Spacing Char"/>
    <w:basedOn w:val="DefaultParagraphFont"/>
    <w:link w:val="NoSpacing"/>
    <w:semiHidden/>
    <w:rsid w:val="00794E99"/>
    <w:rPr>
      <w:sz w:val="24"/>
      <w:szCs w:val="24"/>
      <w:lang w:val="ro-RO"/>
    </w:rPr>
  </w:style>
  <w:style w:type="paragraph" w:customStyle="1" w:styleId="JuQuot">
    <w:name w:val="Ju_Quot"/>
    <w:aliases w:val="ECHR_Para_Quote,_Quote"/>
    <w:basedOn w:val="NormalJustified"/>
    <w:uiPriority w:val="14"/>
    <w:qFormat/>
    <w:rsid w:val="00794E99"/>
    <w:pPr>
      <w:spacing w:before="120" w:after="120"/>
      <w:ind w:left="425" w:firstLine="142"/>
    </w:pPr>
    <w:rPr>
      <w:sz w:val="20"/>
    </w:rPr>
  </w:style>
  <w:style w:type="paragraph" w:customStyle="1" w:styleId="JuList">
    <w:name w:val="Ju_List"/>
    <w:aliases w:val="N_Bul_1,_List_1"/>
    <w:basedOn w:val="NormalJustified"/>
    <w:uiPriority w:val="38"/>
    <w:qFormat/>
    <w:rsid w:val="00EF34CB"/>
    <w:pPr>
      <w:numPr>
        <w:numId w:val="22"/>
      </w:numPr>
      <w:spacing w:before="280" w:after="60"/>
    </w:pPr>
  </w:style>
  <w:style w:type="paragraph" w:customStyle="1" w:styleId="JuLista">
    <w:name w:val="Ju_List_a"/>
    <w:aliases w:val="_List_2"/>
    <w:basedOn w:val="NormalJustified"/>
    <w:uiPriority w:val="23"/>
    <w:rsid w:val="00794E99"/>
    <w:pPr>
      <w:numPr>
        <w:ilvl w:val="1"/>
        <w:numId w:val="22"/>
      </w:numPr>
    </w:pPr>
  </w:style>
  <w:style w:type="paragraph" w:customStyle="1" w:styleId="JuListi">
    <w:name w:val="Ju_List_i"/>
    <w:aliases w:val="_List_3"/>
    <w:basedOn w:val="NormalJustified"/>
    <w:uiPriority w:val="23"/>
    <w:rsid w:val="00794E99"/>
    <w:pPr>
      <w:numPr>
        <w:ilvl w:val="2"/>
        <w:numId w:val="22"/>
      </w:numPr>
    </w:pPr>
  </w:style>
  <w:style w:type="paragraph" w:customStyle="1" w:styleId="DecHTitle">
    <w:name w:val="Dec_H_Title"/>
    <w:aliases w:val="_Title_1"/>
    <w:basedOn w:val="JuPara"/>
    <w:next w:val="JuPara"/>
    <w:uiPriority w:val="35"/>
    <w:qFormat/>
    <w:rsid w:val="00794E99"/>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20"/>
    <w:qFormat/>
    <w:rsid w:val="00794E99"/>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5"/>
    <w:qFormat/>
    <w:rsid w:val="00794E99"/>
    <w:pPr>
      <w:keepNext/>
      <w:keepLines/>
      <w:tabs>
        <w:tab w:val="right" w:pos="7938"/>
      </w:tabs>
      <w:ind w:firstLine="0"/>
      <w:jc w:val="center"/>
    </w:pPr>
    <w:rPr>
      <w:i/>
    </w:rPr>
  </w:style>
  <w:style w:type="numbering" w:customStyle="1" w:styleId="ECHRA1StyleBulletedSquare">
    <w:name w:val="ECHR_A1_Style_Bulleted_Square"/>
    <w:basedOn w:val="NoList"/>
    <w:rsid w:val="00794E99"/>
    <w:pPr>
      <w:numPr>
        <w:numId w:val="4"/>
      </w:numPr>
    </w:pPr>
  </w:style>
  <w:style w:type="paragraph" w:customStyle="1" w:styleId="JuHHead">
    <w:name w:val="Ju_H_Head"/>
    <w:aliases w:val="_Head_1"/>
    <w:basedOn w:val="Heading1"/>
    <w:next w:val="JuPara"/>
    <w:uiPriority w:val="17"/>
    <w:qFormat/>
    <w:rsid w:val="00794E99"/>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94E99"/>
    <w:pPr>
      <w:numPr>
        <w:numId w:val="5"/>
      </w:numPr>
    </w:pPr>
  </w:style>
  <w:style w:type="paragraph" w:customStyle="1" w:styleId="JuSigned">
    <w:name w:val="Ju_Signed"/>
    <w:aliases w:val="_Signature"/>
    <w:basedOn w:val="Normal"/>
    <w:next w:val="JuPara"/>
    <w:uiPriority w:val="30"/>
    <w:qFormat/>
    <w:rsid w:val="00794E99"/>
    <w:pPr>
      <w:tabs>
        <w:tab w:val="center" w:pos="1418"/>
        <w:tab w:val="center" w:pos="5954"/>
      </w:tabs>
      <w:spacing w:before="720"/>
    </w:pPr>
  </w:style>
  <w:style w:type="paragraph" w:styleId="Title">
    <w:name w:val="Title"/>
    <w:basedOn w:val="Normal"/>
    <w:next w:val="Normal"/>
    <w:link w:val="TitleChar"/>
    <w:uiPriority w:val="99"/>
    <w:semiHidden/>
    <w:qFormat/>
    <w:rsid w:val="00794E9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794E99"/>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94E99"/>
    <w:pPr>
      <w:numPr>
        <w:numId w:val="6"/>
      </w:numPr>
    </w:pPr>
  </w:style>
  <w:style w:type="table" w:customStyle="1" w:styleId="ECHRTable2019">
    <w:name w:val="ECHR_Table_2019"/>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1"/>
    <w:qFormat/>
    <w:rsid w:val="00794E9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94E99"/>
    <w:pPr>
      <w:tabs>
        <w:tab w:val="center" w:pos="6407"/>
      </w:tabs>
      <w:spacing w:before="720"/>
      <w:jc w:val="right"/>
    </w:pPr>
  </w:style>
  <w:style w:type="paragraph" w:customStyle="1" w:styleId="JuHIRoman">
    <w:name w:val="Ju_H_I_Roman"/>
    <w:aliases w:val="ECHR_Heading_1,_Head_2"/>
    <w:basedOn w:val="Heading2"/>
    <w:next w:val="JuPara"/>
    <w:uiPriority w:val="19"/>
    <w:qFormat/>
    <w:rsid w:val="00794E99"/>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ECHR_Heading_2,_Head_3"/>
    <w:basedOn w:val="Heading3"/>
    <w:next w:val="JuPara"/>
    <w:uiPriority w:val="20"/>
    <w:qFormat/>
    <w:rsid w:val="00794E99"/>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ECHR_Heading_3,_Head_4"/>
    <w:basedOn w:val="Heading4"/>
    <w:next w:val="JuPara"/>
    <w:uiPriority w:val="21"/>
    <w:qFormat/>
    <w:rsid w:val="00794E99"/>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57"/>
    <w:semiHidden/>
    <w:rsid w:val="00794E99"/>
    <w:pPr>
      <w:tabs>
        <w:tab w:val="center" w:pos="4536"/>
        <w:tab w:val="right" w:pos="9072"/>
      </w:tabs>
    </w:pPr>
  </w:style>
  <w:style w:type="character" w:customStyle="1" w:styleId="HeaderChar">
    <w:name w:val="Header Char"/>
    <w:basedOn w:val="DefaultParagraphFont"/>
    <w:link w:val="Header"/>
    <w:uiPriority w:val="57"/>
    <w:semiHidden/>
    <w:rsid w:val="00794E99"/>
    <w:rPr>
      <w:sz w:val="24"/>
      <w:szCs w:val="24"/>
      <w:lang w:val="ro-RO"/>
    </w:rPr>
  </w:style>
  <w:style w:type="character" w:customStyle="1" w:styleId="Heading1Char">
    <w:name w:val="Heading 1 Char"/>
    <w:basedOn w:val="DefaultParagraphFont"/>
    <w:link w:val="Heading1"/>
    <w:uiPriority w:val="99"/>
    <w:semiHidden/>
    <w:rsid w:val="00794E99"/>
    <w:rPr>
      <w:rFonts w:asciiTheme="majorHAnsi" w:eastAsiaTheme="majorEastAsia" w:hAnsiTheme="majorHAnsi" w:cstheme="majorBidi"/>
      <w:b/>
      <w:bCs/>
      <w:color w:val="333333"/>
      <w:sz w:val="28"/>
      <w:szCs w:val="28"/>
      <w:lang w:val="ro-RO"/>
    </w:rPr>
  </w:style>
  <w:style w:type="paragraph" w:customStyle="1" w:styleId="JuHa0">
    <w:name w:val="Ju_H_a"/>
    <w:aliases w:val="ECHR_Heading_4,_Head_5"/>
    <w:basedOn w:val="Heading5"/>
    <w:next w:val="JuPara"/>
    <w:uiPriority w:val="22"/>
    <w:qFormat/>
    <w:rsid w:val="00794E99"/>
    <w:pPr>
      <w:keepNext/>
      <w:keepLines/>
      <w:numPr>
        <w:ilvl w:val="4"/>
        <w:numId w:val="9"/>
      </w:numPr>
      <w:spacing w:before="100" w:beforeAutospacing="1" w:after="120"/>
      <w:jc w:val="both"/>
    </w:pPr>
    <w:rPr>
      <w:color w:val="auto"/>
      <w:sz w:val="20"/>
    </w:rPr>
  </w:style>
  <w:style w:type="paragraph" w:customStyle="1" w:styleId="JuHi">
    <w:name w:val="Ju_H_i"/>
    <w:aliases w:val="ECHR_Heading_5,_Head_6"/>
    <w:basedOn w:val="Heading6"/>
    <w:next w:val="JuPara"/>
    <w:uiPriority w:val="23"/>
    <w:qFormat/>
    <w:rsid w:val="00794E99"/>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9"/>
    <w:semiHidden/>
    <w:rsid w:val="00794E99"/>
    <w:rPr>
      <w:rFonts w:asciiTheme="majorHAnsi" w:eastAsiaTheme="majorEastAsia" w:hAnsiTheme="majorHAnsi" w:cstheme="majorBidi"/>
      <w:b/>
      <w:bCs/>
      <w:color w:val="4D4D4D"/>
      <w:sz w:val="26"/>
      <w:szCs w:val="26"/>
      <w:lang w:val="ro-RO"/>
    </w:rPr>
  </w:style>
  <w:style w:type="paragraph" w:customStyle="1" w:styleId="JuHalpha">
    <w:name w:val="Ju_H_alpha"/>
    <w:aliases w:val="ECHR_Heading_6,_Head_7"/>
    <w:basedOn w:val="Heading7"/>
    <w:next w:val="JuPara"/>
    <w:uiPriority w:val="24"/>
    <w:qFormat/>
    <w:rsid w:val="00794E99"/>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ECHR_Heading_7,_Head_8"/>
    <w:basedOn w:val="Heading8"/>
    <w:next w:val="JuPara"/>
    <w:uiPriority w:val="25"/>
    <w:qFormat/>
    <w:rsid w:val="00794E99"/>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9"/>
    <w:semiHidden/>
    <w:rsid w:val="00794E9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794E99"/>
    <w:pPr>
      <w:keepNext/>
      <w:keepLines/>
      <w:spacing w:before="240" w:after="240"/>
      <w:ind w:firstLine="284"/>
    </w:pPr>
  </w:style>
  <w:style w:type="paragraph" w:customStyle="1" w:styleId="JuJudges">
    <w:name w:val="Ju_Judges"/>
    <w:aliases w:val="_Judges"/>
    <w:basedOn w:val="Normal"/>
    <w:uiPriority w:val="31"/>
    <w:qFormat/>
    <w:rsid w:val="00794E99"/>
    <w:pPr>
      <w:tabs>
        <w:tab w:val="left" w:pos="567"/>
        <w:tab w:val="left" w:pos="1134"/>
      </w:tabs>
    </w:pPr>
  </w:style>
  <w:style w:type="character" w:customStyle="1" w:styleId="Heading4Char">
    <w:name w:val="Heading 4 Char"/>
    <w:basedOn w:val="DefaultParagraphFont"/>
    <w:link w:val="Heading4"/>
    <w:uiPriority w:val="99"/>
    <w:semiHidden/>
    <w:rsid w:val="00794E99"/>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38"/>
    <w:qFormat/>
    <w:rsid w:val="00794E99"/>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9"/>
    <w:semiHidden/>
    <w:rsid w:val="00794E99"/>
    <w:rPr>
      <w:rFonts w:asciiTheme="majorHAnsi" w:eastAsiaTheme="majorEastAsia" w:hAnsiTheme="majorHAnsi" w:cstheme="majorBidi"/>
      <w:b/>
      <w:bCs/>
      <w:color w:val="808080"/>
      <w:lang w:val="ro-RO"/>
    </w:rPr>
  </w:style>
  <w:style w:type="character" w:customStyle="1" w:styleId="JUNAMES">
    <w:name w:val="JU_NAMES"/>
    <w:aliases w:val="_Ju_Names"/>
    <w:uiPriority w:val="34"/>
    <w:qFormat/>
    <w:rsid w:val="00794E99"/>
    <w:rPr>
      <w:caps w:val="0"/>
      <w:smallCaps/>
    </w:rPr>
  </w:style>
  <w:style w:type="paragraph" w:customStyle="1" w:styleId="NormalJustified">
    <w:name w:val="Normal_Justified"/>
    <w:basedOn w:val="Normal"/>
    <w:semiHidden/>
    <w:rsid w:val="00794E99"/>
    <w:pPr>
      <w:jc w:val="both"/>
    </w:pPr>
  </w:style>
  <w:style w:type="character" w:styleId="SubtleEmphasis">
    <w:name w:val="Subtle Emphasis"/>
    <w:uiPriority w:val="99"/>
    <w:semiHidden/>
    <w:qFormat/>
    <w:rsid w:val="00794E99"/>
    <w:rPr>
      <w:i/>
      <w:iCs/>
    </w:rPr>
  </w:style>
  <w:style w:type="table" w:customStyle="1" w:styleId="ECHRTable">
    <w:name w:val="ECHR_Table"/>
    <w:basedOn w:val="TableNormal"/>
    <w:rsid w:val="00794E9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94E9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9"/>
    <w:semiHidden/>
    <w:qFormat/>
    <w:rsid w:val="00794E99"/>
    <w:rPr>
      <w:b/>
      <w:bCs/>
      <w:i/>
      <w:iCs/>
      <w:spacing w:val="10"/>
      <w:bdr w:val="none" w:sz="0" w:space="0" w:color="auto"/>
      <w:shd w:val="clear" w:color="auto" w:fill="auto"/>
    </w:rPr>
  </w:style>
  <w:style w:type="paragraph" w:styleId="Footer0">
    <w:name w:val="footer"/>
    <w:basedOn w:val="Normal"/>
    <w:link w:val="FooterChar"/>
    <w:uiPriority w:val="57"/>
    <w:semiHidden/>
    <w:rsid w:val="00794E99"/>
    <w:pPr>
      <w:tabs>
        <w:tab w:val="center" w:pos="3686"/>
        <w:tab w:val="right" w:pos="7371"/>
      </w:tabs>
    </w:pPr>
  </w:style>
  <w:style w:type="character" w:customStyle="1" w:styleId="FooterChar">
    <w:name w:val="Footer Char"/>
    <w:basedOn w:val="DefaultParagraphFont"/>
    <w:link w:val="Footer0"/>
    <w:uiPriority w:val="57"/>
    <w:semiHidden/>
    <w:rsid w:val="00794E99"/>
    <w:rPr>
      <w:sz w:val="24"/>
      <w:szCs w:val="24"/>
      <w:lang w:val="ro-RO"/>
    </w:rPr>
  </w:style>
  <w:style w:type="character" w:styleId="FootnoteReference">
    <w:name w:val="footnote reference"/>
    <w:basedOn w:val="DefaultParagraphFont"/>
    <w:semiHidden/>
    <w:rsid w:val="00794E99"/>
    <w:rPr>
      <w:vertAlign w:val="superscript"/>
    </w:rPr>
  </w:style>
  <w:style w:type="paragraph" w:styleId="FootnoteText">
    <w:name w:val="footnote text"/>
    <w:basedOn w:val="Normal"/>
    <w:link w:val="FootnoteTextChar"/>
    <w:semiHidden/>
    <w:rsid w:val="00794E99"/>
    <w:rPr>
      <w:sz w:val="20"/>
      <w:szCs w:val="20"/>
    </w:rPr>
  </w:style>
  <w:style w:type="character" w:customStyle="1" w:styleId="FootnoteTextChar">
    <w:name w:val="Footnote Text Char"/>
    <w:basedOn w:val="DefaultParagraphFont"/>
    <w:link w:val="FootnoteText"/>
    <w:semiHidden/>
    <w:rsid w:val="00794E99"/>
    <w:rPr>
      <w:sz w:val="20"/>
      <w:szCs w:val="20"/>
      <w:lang w:val="ro-RO"/>
    </w:rPr>
  </w:style>
  <w:style w:type="character" w:customStyle="1" w:styleId="Heading6Char">
    <w:name w:val="Heading 6 Char"/>
    <w:basedOn w:val="DefaultParagraphFont"/>
    <w:link w:val="Heading6"/>
    <w:uiPriority w:val="99"/>
    <w:semiHidden/>
    <w:rsid w:val="00794E9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9"/>
    <w:semiHidden/>
    <w:rsid w:val="00794E9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9"/>
    <w:semiHidden/>
    <w:rsid w:val="00794E9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9"/>
    <w:semiHidden/>
    <w:rsid w:val="00794E9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semiHidden/>
    <w:rsid w:val="00794E99"/>
    <w:rPr>
      <w:color w:val="0072BC" w:themeColor="hyperlink"/>
      <w:u w:val="single"/>
    </w:rPr>
  </w:style>
  <w:style w:type="character" w:styleId="IntenseEmphasis">
    <w:name w:val="Intense Emphasis"/>
    <w:uiPriority w:val="99"/>
    <w:semiHidden/>
    <w:qFormat/>
    <w:rsid w:val="00794E99"/>
    <w:rPr>
      <w:b/>
      <w:bCs/>
    </w:rPr>
  </w:style>
  <w:style w:type="paragraph" w:styleId="IntenseQuote">
    <w:name w:val="Intense Quote"/>
    <w:basedOn w:val="Normal"/>
    <w:next w:val="Normal"/>
    <w:link w:val="IntenseQuoteChar"/>
    <w:uiPriority w:val="99"/>
    <w:semiHidden/>
    <w:qFormat/>
    <w:rsid w:val="00794E9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794E99"/>
    <w:rPr>
      <w:b/>
      <w:bCs/>
      <w:i/>
      <w:iCs/>
      <w:sz w:val="24"/>
      <w:szCs w:val="24"/>
      <w:lang w:val="ro-RO" w:bidi="en-US"/>
    </w:rPr>
  </w:style>
  <w:style w:type="character" w:styleId="IntenseReference">
    <w:name w:val="Intense Reference"/>
    <w:uiPriority w:val="99"/>
    <w:semiHidden/>
    <w:qFormat/>
    <w:rsid w:val="00794E99"/>
    <w:rPr>
      <w:smallCaps/>
      <w:spacing w:val="5"/>
      <w:u w:val="single"/>
    </w:rPr>
  </w:style>
  <w:style w:type="paragraph" w:styleId="ListParagraph">
    <w:name w:val="List Paragraph"/>
    <w:basedOn w:val="Normal"/>
    <w:uiPriority w:val="99"/>
    <w:semiHidden/>
    <w:qFormat/>
    <w:rsid w:val="00794E99"/>
    <w:pPr>
      <w:ind w:left="720"/>
      <w:contextualSpacing/>
    </w:pPr>
  </w:style>
  <w:style w:type="table" w:customStyle="1" w:styleId="LtrTableAddress">
    <w:name w:val="Ltr_Table_Address"/>
    <w:aliases w:val="ECHR_Ltr_Table_Address"/>
    <w:basedOn w:val="TableNormal"/>
    <w:uiPriority w:val="99"/>
    <w:rsid w:val="00794E99"/>
    <w:rPr>
      <w:sz w:val="24"/>
      <w:szCs w:val="24"/>
    </w:rPr>
    <w:tblPr>
      <w:tblInd w:w="5103" w:type="dxa"/>
    </w:tblPr>
  </w:style>
  <w:style w:type="paragraph" w:styleId="Quote">
    <w:name w:val="Quote"/>
    <w:basedOn w:val="Normal"/>
    <w:next w:val="Normal"/>
    <w:link w:val="QuoteChar"/>
    <w:uiPriority w:val="99"/>
    <w:semiHidden/>
    <w:qFormat/>
    <w:rsid w:val="00794E99"/>
    <w:pPr>
      <w:spacing w:before="200"/>
      <w:ind w:left="360" w:right="360"/>
    </w:pPr>
    <w:rPr>
      <w:i/>
      <w:iCs/>
      <w:lang w:bidi="en-US"/>
    </w:rPr>
  </w:style>
  <w:style w:type="character" w:customStyle="1" w:styleId="QuoteChar">
    <w:name w:val="Quote Char"/>
    <w:basedOn w:val="DefaultParagraphFont"/>
    <w:link w:val="Quote"/>
    <w:uiPriority w:val="99"/>
    <w:semiHidden/>
    <w:rsid w:val="00794E99"/>
    <w:rPr>
      <w:i/>
      <w:iCs/>
      <w:sz w:val="24"/>
      <w:szCs w:val="24"/>
      <w:lang w:val="ro-RO" w:bidi="en-US"/>
    </w:rPr>
  </w:style>
  <w:style w:type="character" w:styleId="SubtleReference">
    <w:name w:val="Subtle Reference"/>
    <w:uiPriority w:val="99"/>
    <w:semiHidden/>
    <w:qFormat/>
    <w:rsid w:val="00794E99"/>
    <w:rPr>
      <w:smallCaps/>
    </w:rPr>
  </w:style>
  <w:style w:type="table" w:styleId="TableGrid">
    <w:name w:val="Table Grid"/>
    <w:basedOn w:val="TableNormal"/>
    <w:uiPriority w:val="59"/>
    <w:rsid w:val="00794E9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794E9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794E9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794E9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794E9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794E9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794E9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94E9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94E9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94E9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94E9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94E9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794E9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794E9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9"/>
    <w:semiHidden/>
    <w:qFormat/>
    <w:rsid w:val="00794E9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9"/>
    <w:semiHidden/>
    <w:rsid w:val="00794E9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94E99"/>
    <w:pPr>
      <w:numPr>
        <w:numId w:val="1"/>
      </w:numPr>
    </w:pPr>
  </w:style>
  <w:style w:type="paragraph" w:customStyle="1" w:styleId="JuPara">
    <w:name w:val="Ju_Para"/>
    <w:aliases w:val="_Para"/>
    <w:basedOn w:val="NormalJustified"/>
    <w:link w:val="JuParaChar"/>
    <w:uiPriority w:val="4"/>
    <w:qFormat/>
    <w:rsid w:val="00794E99"/>
    <w:pPr>
      <w:ind w:firstLine="284"/>
    </w:pPr>
  </w:style>
  <w:style w:type="numbering" w:styleId="1ai">
    <w:name w:val="Outline List 1"/>
    <w:basedOn w:val="NoList"/>
    <w:uiPriority w:val="99"/>
    <w:semiHidden/>
    <w:unhideWhenUsed/>
    <w:rsid w:val="00794E99"/>
    <w:pPr>
      <w:numPr>
        <w:numId w:val="2"/>
      </w:numPr>
    </w:pPr>
  </w:style>
  <w:style w:type="table" w:customStyle="1" w:styleId="ECHRTableSimpleBox">
    <w:name w:val="ECHR_Table_Simple_Box"/>
    <w:basedOn w:val="TableNormal"/>
    <w:uiPriority w:val="99"/>
    <w:rsid w:val="00794E9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94E9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94E99"/>
    <w:pPr>
      <w:numPr>
        <w:numId w:val="3"/>
      </w:numPr>
    </w:pPr>
  </w:style>
  <w:style w:type="table" w:customStyle="1" w:styleId="ECHRTableForInternalUse">
    <w:name w:val="ECHR_Table_For_Internal_Use"/>
    <w:basedOn w:val="TableNormal"/>
    <w:uiPriority w:val="99"/>
    <w:rsid w:val="00794E9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94E9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794E99"/>
  </w:style>
  <w:style w:type="paragraph" w:styleId="BlockText">
    <w:name w:val="Block Text"/>
    <w:basedOn w:val="Normal"/>
    <w:uiPriority w:val="99"/>
    <w:semiHidden/>
    <w:rsid w:val="00794E9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94E9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794E99"/>
    <w:pPr>
      <w:spacing w:after="120"/>
    </w:pPr>
  </w:style>
  <w:style w:type="character" w:customStyle="1" w:styleId="BodyTextChar">
    <w:name w:val="Body Text Char"/>
    <w:basedOn w:val="DefaultParagraphFont"/>
    <w:link w:val="BodyText"/>
    <w:uiPriority w:val="99"/>
    <w:semiHidden/>
    <w:rsid w:val="00794E99"/>
    <w:rPr>
      <w:sz w:val="24"/>
      <w:szCs w:val="24"/>
      <w:lang w:val="ro-RO"/>
    </w:rPr>
  </w:style>
  <w:style w:type="table" w:customStyle="1" w:styleId="ECHRTableOddBanded">
    <w:name w:val="ECHR_Table_Odd_Banded"/>
    <w:basedOn w:val="TableNormal"/>
    <w:uiPriority w:val="99"/>
    <w:rsid w:val="00794E9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794E99"/>
    <w:pPr>
      <w:spacing w:after="120" w:line="480" w:lineRule="auto"/>
    </w:pPr>
  </w:style>
  <w:style w:type="table" w:customStyle="1" w:styleId="ECHRHeaderTableReduced">
    <w:name w:val="ECHR_Header_Table_Reduced"/>
    <w:basedOn w:val="TableNormal"/>
    <w:uiPriority w:val="99"/>
    <w:rsid w:val="00794E9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1"/>
    <w:rsid w:val="00794E99"/>
    <w:pPr>
      <w:ind w:firstLine="284"/>
      <w:jc w:val="both"/>
    </w:pPr>
    <w:rPr>
      <w:b/>
    </w:rPr>
  </w:style>
  <w:style w:type="character" w:styleId="PageNumber">
    <w:name w:val="page number"/>
    <w:uiPriority w:val="99"/>
    <w:semiHidden/>
    <w:rsid w:val="00794E99"/>
    <w:rPr>
      <w:sz w:val="18"/>
    </w:rPr>
  </w:style>
  <w:style w:type="paragraph" w:styleId="ListBullet2">
    <w:name w:val="List Bullet 2"/>
    <w:basedOn w:val="Normal"/>
    <w:uiPriority w:val="99"/>
    <w:semiHidden/>
    <w:rsid w:val="00794E99"/>
    <w:pPr>
      <w:numPr>
        <w:numId w:val="12"/>
      </w:numPr>
      <w:contextualSpacing/>
    </w:pPr>
  </w:style>
  <w:style w:type="character" w:customStyle="1" w:styleId="BodyText2Char">
    <w:name w:val="Body Text 2 Char"/>
    <w:basedOn w:val="DefaultParagraphFont"/>
    <w:link w:val="BodyText2"/>
    <w:uiPriority w:val="99"/>
    <w:semiHidden/>
    <w:rsid w:val="00794E99"/>
    <w:rPr>
      <w:sz w:val="24"/>
      <w:szCs w:val="24"/>
      <w:lang w:val="ro-RO"/>
    </w:rPr>
  </w:style>
  <w:style w:type="paragraph" w:styleId="BodyText3">
    <w:name w:val="Body Text 3"/>
    <w:basedOn w:val="Normal"/>
    <w:link w:val="BodyText3Char"/>
    <w:uiPriority w:val="99"/>
    <w:semiHidden/>
    <w:rsid w:val="00794E99"/>
    <w:pPr>
      <w:spacing w:after="120"/>
    </w:pPr>
    <w:rPr>
      <w:sz w:val="16"/>
      <w:szCs w:val="16"/>
    </w:rPr>
  </w:style>
  <w:style w:type="character" w:customStyle="1" w:styleId="BodyText3Char">
    <w:name w:val="Body Text 3 Char"/>
    <w:basedOn w:val="DefaultParagraphFont"/>
    <w:link w:val="BodyText3"/>
    <w:uiPriority w:val="99"/>
    <w:semiHidden/>
    <w:rsid w:val="00794E99"/>
    <w:rPr>
      <w:sz w:val="16"/>
      <w:szCs w:val="16"/>
      <w:lang w:val="ro-RO"/>
    </w:rPr>
  </w:style>
  <w:style w:type="paragraph" w:styleId="BodyTextFirstIndent">
    <w:name w:val="Body Text First Indent"/>
    <w:basedOn w:val="BodyText"/>
    <w:link w:val="BodyTextFirstIndentChar"/>
    <w:uiPriority w:val="99"/>
    <w:semiHidden/>
    <w:rsid w:val="00794E99"/>
    <w:pPr>
      <w:spacing w:after="0"/>
      <w:ind w:firstLine="360"/>
    </w:pPr>
  </w:style>
  <w:style w:type="character" w:customStyle="1" w:styleId="BodyTextFirstIndentChar">
    <w:name w:val="Body Text First Indent Char"/>
    <w:basedOn w:val="BodyTextChar"/>
    <w:link w:val="BodyTextFirstIndent"/>
    <w:uiPriority w:val="99"/>
    <w:semiHidden/>
    <w:rsid w:val="00794E99"/>
    <w:rPr>
      <w:sz w:val="24"/>
      <w:szCs w:val="24"/>
      <w:lang w:val="ro-RO"/>
    </w:rPr>
  </w:style>
  <w:style w:type="paragraph" w:styleId="BodyTextIndent">
    <w:name w:val="Body Text Indent"/>
    <w:basedOn w:val="Normal"/>
    <w:link w:val="BodyTextIndentChar"/>
    <w:uiPriority w:val="99"/>
    <w:semiHidden/>
    <w:rsid w:val="00794E99"/>
    <w:pPr>
      <w:spacing w:after="120"/>
      <w:ind w:left="283"/>
    </w:pPr>
  </w:style>
  <w:style w:type="character" w:customStyle="1" w:styleId="BodyTextIndentChar">
    <w:name w:val="Body Text Indent Char"/>
    <w:basedOn w:val="DefaultParagraphFont"/>
    <w:link w:val="BodyTextIndent"/>
    <w:uiPriority w:val="99"/>
    <w:semiHidden/>
    <w:rsid w:val="00794E99"/>
    <w:rPr>
      <w:sz w:val="24"/>
      <w:szCs w:val="24"/>
      <w:lang w:val="ro-RO"/>
    </w:rPr>
  </w:style>
  <w:style w:type="paragraph" w:styleId="BodyTextFirstIndent2">
    <w:name w:val="Body Text First Indent 2"/>
    <w:basedOn w:val="BodyTextIndent"/>
    <w:link w:val="BodyTextFirstIndent2Char"/>
    <w:uiPriority w:val="99"/>
    <w:semiHidden/>
    <w:rsid w:val="00794E99"/>
    <w:pPr>
      <w:spacing w:after="0"/>
      <w:ind w:left="360" w:firstLine="360"/>
    </w:pPr>
  </w:style>
  <w:style w:type="character" w:customStyle="1" w:styleId="BodyTextFirstIndent2Char">
    <w:name w:val="Body Text First Indent 2 Char"/>
    <w:basedOn w:val="BodyTextIndentChar"/>
    <w:link w:val="BodyTextFirstIndent2"/>
    <w:uiPriority w:val="99"/>
    <w:semiHidden/>
    <w:rsid w:val="00794E99"/>
    <w:rPr>
      <w:sz w:val="24"/>
      <w:szCs w:val="24"/>
      <w:lang w:val="ro-RO"/>
    </w:rPr>
  </w:style>
  <w:style w:type="paragraph" w:styleId="BodyTextIndent2">
    <w:name w:val="Body Text Indent 2"/>
    <w:basedOn w:val="Normal"/>
    <w:link w:val="BodyTextIndent2Char"/>
    <w:uiPriority w:val="99"/>
    <w:semiHidden/>
    <w:rsid w:val="00794E99"/>
    <w:pPr>
      <w:spacing w:after="120" w:line="480" w:lineRule="auto"/>
      <w:ind w:left="283"/>
    </w:pPr>
  </w:style>
  <w:style w:type="character" w:customStyle="1" w:styleId="BodyTextIndent2Char">
    <w:name w:val="Body Text Indent 2 Char"/>
    <w:basedOn w:val="DefaultParagraphFont"/>
    <w:link w:val="BodyTextIndent2"/>
    <w:uiPriority w:val="99"/>
    <w:semiHidden/>
    <w:rsid w:val="00794E99"/>
    <w:rPr>
      <w:sz w:val="24"/>
      <w:szCs w:val="24"/>
      <w:lang w:val="ro-RO"/>
    </w:rPr>
  </w:style>
  <w:style w:type="paragraph" w:styleId="BodyTextIndent3">
    <w:name w:val="Body Text Indent 3"/>
    <w:basedOn w:val="Normal"/>
    <w:link w:val="BodyTextIndent3Char"/>
    <w:uiPriority w:val="99"/>
    <w:semiHidden/>
    <w:rsid w:val="00794E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94E99"/>
    <w:rPr>
      <w:sz w:val="16"/>
      <w:szCs w:val="16"/>
      <w:lang w:val="ro-RO"/>
    </w:rPr>
  </w:style>
  <w:style w:type="paragraph" w:styleId="Caption">
    <w:name w:val="caption"/>
    <w:basedOn w:val="Normal"/>
    <w:next w:val="Normal"/>
    <w:uiPriority w:val="99"/>
    <w:semiHidden/>
    <w:qFormat/>
    <w:rsid w:val="00794E99"/>
    <w:pPr>
      <w:spacing w:after="200"/>
    </w:pPr>
    <w:rPr>
      <w:b/>
      <w:bCs/>
      <w:color w:val="0072BC" w:themeColor="accent1"/>
      <w:sz w:val="18"/>
      <w:szCs w:val="18"/>
    </w:rPr>
  </w:style>
  <w:style w:type="paragraph" w:styleId="Closing">
    <w:name w:val="Closing"/>
    <w:basedOn w:val="Normal"/>
    <w:link w:val="ClosingChar"/>
    <w:uiPriority w:val="99"/>
    <w:semiHidden/>
    <w:rsid w:val="00794E99"/>
    <w:pPr>
      <w:ind w:left="4252"/>
    </w:pPr>
  </w:style>
  <w:style w:type="character" w:customStyle="1" w:styleId="ClosingChar">
    <w:name w:val="Closing Char"/>
    <w:basedOn w:val="DefaultParagraphFont"/>
    <w:link w:val="Closing"/>
    <w:uiPriority w:val="99"/>
    <w:semiHidden/>
    <w:rsid w:val="00794E99"/>
    <w:rPr>
      <w:sz w:val="24"/>
      <w:szCs w:val="24"/>
      <w:lang w:val="ro-RO"/>
    </w:rPr>
  </w:style>
  <w:style w:type="table" w:styleId="ColorfulGrid">
    <w:name w:val="Colorful Grid"/>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94E9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94E9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94E9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94E9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94E9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94E9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94E9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94E9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94E9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94E9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94E9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794E99"/>
    <w:rPr>
      <w:sz w:val="16"/>
      <w:szCs w:val="16"/>
    </w:rPr>
  </w:style>
  <w:style w:type="paragraph" w:styleId="CommentText">
    <w:name w:val="annotation text"/>
    <w:basedOn w:val="Normal"/>
    <w:link w:val="CommentTextChar"/>
    <w:semiHidden/>
    <w:rsid w:val="00794E99"/>
    <w:rPr>
      <w:sz w:val="20"/>
      <w:szCs w:val="20"/>
    </w:rPr>
  </w:style>
  <w:style w:type="character" w:customStyle="1" w:styleId="CommentTextChar">
    <w:name w:val="Comment Text Char"/>
    <w:basedOn w:val="DefaultParagraphFont"/>
    <w:link w:val="CommentText"/>
    <w:semiHidden/>
    <w:rsid w:val="00794E99"/>
    <w:rPr>
      <w:sz w:val="20"/>
      <w:szCs w:val="20"/>
      <w:lang w:val="ro-RO"/>
    </w:rPr>
  </w:style>
  <w:style w:type="paragraph" w:styleId="CommentSubject">
    <w:name w:val="annotation subject"/>
    <w:basedOn w:val="CommentText"/>
    <w:next w:val="CommentText"/>
    <w:link w:val="CommentSubjectChar"/>
    <w:uiPriority w:val="99"/>
    <w:semiHidden/>
    <w:rsid w:val="00794E99"/>
    <w:rPr>
      <w:b/>
      <w:bCs/>
    </w:rPr>
  </w:style>
  <w:style w:type="character" w:customStyle="1" w:styleId="CommentSubjectChar">
    <w:name w:val="Comment Subject Char"/>
    <w:basedOn w:val="CommentTextChar"/>
    <w:link w:val="CommentSubject"/>
    <w:uiPriority w:val="99"/>
    <w:semiHidden/>
    <w:rsid w:val="00794E99"/>
    <w:rPr>
      <w:b/>
      <w:bCs/>
      <w:sz w:val="20"/>
      <w:szCs w:val="20"/>
      <w:lang w:val="ro-RO"/>
    </w:rPr>
  </w:style>
  <w:style w:type="table" w:styleId="DarkList">
    <w:name w:val="Dark List"/>
    <w:basedOn w:val="TableNormal"/>
    <w:uiPriority w:val="70"/>
    <w:semiHidden/>
    <w:rsid w:val="00794E9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94E9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94E9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94E9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94E9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94E9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94E9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794E99"/>
  </w:style>
  <w:style w:type="character" w:customStyle="1" w:styleId="DateChar">
    <w:name w:val="Date Char"/>
    <w:basedOn w:val="DefaultParagraphFont"/>
    <w:link w:val="Date"/>
    <w:uiPriority w:val="99"/>
    <w:semiHidden/>
    <w:rsid w:val="00794E99"/>
    <w:rPr>
      <w:sz w:val="24"/>
      <w:szCs w:val="24"/>
      <w:lang w:val="ro-RO"/>
    </w:rPr>
  </w:style>
  <w:style w:type="paragraph" w:styleId="DocumentMap">
    <w:name w:val="Document Map"/>
    <w:basedOn w:val="Normal"/>
    <w:link w:val="DocumentMapChar"/>
    <w:uiPriority w:val="99"/>
    <w:semiHidden/>
    <w:rsid w:val="00794E99"/>
    <w:rPr>
      <w:rFonts w:ascii="Tahoma" w:hAnsi="Tahoma" w:cs="Tahoma"/>
      <w:sz w:val="16"/>
      <w:szCs w:val="16"/>
    </w:rPr>
  </w:style>
  <w:style w:type="character" w:customStyle="1" w:styleId="DocumentMapChar">
    <w:name w:val="Document Map Char"/>
    <w:basedOn w:val="DefaultParagraphFont"/>
    <w:link w:val="DocumentMap"/>
    <w:uiPriority w:val="99"/>
    <w:semiHidden/>
    <w:rsid w:val="00794E99"/>
    <w:rPr>
      <w:rFonts w:ascii="Tahoma" w:hAnsi="Tahoma" w:cs="Tahoma"/>
      <w:sz w:val="16"/>
      <w:szCs w:val="16"/>
      <w:lang w:val="ro-RO"/>
    </w:rPr>
  </w:style>
  <w:style w:type="paragraph" w:styleId="E-mailSignature">
    <w:name w:val="E-mail Signature"/>
    <w:basedOn w:val="Normal"/>
    <w:link w:val="E-mailSignatureChar"/>
    <w:uiPriority w:val="99"/>
    <w:semiHidden/>
    <w:rsid w:val="00794E99"/>
  </w:style>
  <w:style w:type="character" w:customStyle="1" w:styleId="E-mailSignatureChar">
    <w:name w:val="E-mail Signature Char"/>
    <w:basedOn w:val="DefaultParagraphFont"/>
    <w:link w:val="E-mailSignature"/>
    <w:uiPriority w:val="99"/>
    <w:semiHidden/>
    <w:rsid w:val="00794E99"/>
    <w:rPr>
      <w:sz w:val="24"/>
      <w:szCs w:val="24"/>
      <w:lang w:val="ro-RO"/>
    </w:rPr>
  </w:style>
  <w:style w:type="character" w:styleId="EndnoteReference">
    <w:name w:val="endnote reference"/>
    <w:basedOn w:val="DefaultParagraphFont"/>
    <w:uiPriority w:val="99"/>
    <w:semiHidden/>
    <w:rsid w:val="00794E99"/>
    <w:rPr>
      <w:vertAlign w:val="superscript"/>
    </w:rPr>
  </w:style>
  <w:style w:type="paragraph" w:styleId="EndnoteText">
    <w:name w:val="endnote text"/>
    <w:basedOn w:val="Normal"/>
    <w:link w:val="EndnoteTextChar"/>
    <w:uiPriority w:val="99"/>
    <w:semiHidden/>
    <w:rsid w:val="00794E99"/>
    <w:rPr>
      <w:sz w:val="20"/>
      <w:szCs w:val="20"/>
    </w:rPr>
  </w:style>
  <w:style w:type="character" w:customStyle="1" w:styleId="EndnoteTextChar">
    <w:name w:val="Endnote Text Char"/>
    <w:basedOn w:val="DefaultParagraphFont"/>
    <w:link w:val="EndnoteText"/>
    <w:uiPriority w:val="99"/>
    <w:semiHidden/>
    <w:rsid w:val="00794E99"/>
    <w:rPr>
      <w:sz w:val="20"/>
      <w:szCs w:val="20"/>
      <w:lang w:val="ro-RO"/>
    </w:rPr>
  </w:style>
  <w:style w:type="paragraph" w:styleId="EnvelopeAddress">
    <w:name w:val="envelope address"/>
    <w:basedOn w:val="Normal"/>
    <w:uiPriority w:val="99"/>
    <w:semiHidden/>
    <w:rsid w:val="00794E9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9"/>
    <w:semiHidden/>
    <w:rsid w:val="00794E99"/>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794E99"/>
    <w:rPr>
      <w:color w:val="7030A0" w:themeColor="followedHyperlink"/>
      <w:u w:val="single"/>
    </w:rPr>
  </w:style>
  <w:style w:type="character" w:styleId="HTMLAcronym">
    <w:name w:val="HTML Acronym"/>
    <w:basedOn w:val="DefaultParagraphFont"/>
    <w:uiPriority w:val="99"/>
    <w:semiHidden/>
    <w:rsid w:val="00794E99"/>
  </w:style>
  <w:style w:type="paragraph" w:styleId="HTMLAddress">
    <w:name w:val="HTML Address"/>
    <w:basedOn w:val="Normal"/>
    <w:link w:val="HTMLAddressChar"/>
    <w:uiPriority w:val="99"/>
    <w:semiHidden/>
    <w:rsid w:val="00794E99"/>
    <w:rPr>
      <w:i/>
      <w:iCs/>
    </w:rPr>
  </w:style>
  <w:style w:type="character" w:customStyle="1" w:styleId="HTMLAddressChar">
    <w:name w:val="HTML Address Char"/>
    <w:basedOn w:val="DefaultParagraphFont"/>
    <w:link w:val="HTMLAddress"/>
    <w:uiPriority w:val="99"/>
    <w:semiHidden/>
    <w:rsid w:val="00794E99"/>
    <w:rPr>
      <w:i/>
      <w:iCs/>
      <w:sz w:val="24"/>
      <w:szCs w:val="24"/>
      <w:lang w:val="ro-RO"/>
    </w:rPr>
  </w:style>
  <w:style w:type="character" w:styleId="HTMLCite">
    <w:name w:val="HTML Cite"/>
    <w:basedOn w:val="DefaultParagraphFont"/>
    <w:uiPriority w:val="99"/>
    <w:semiHidden/>
    <w:rsid w:val="00794E99"/>
    <w:rPr>
      <w:i/>
      <w:iCs/>
    </w:rPr>
  </w:style>
  <w:style w:type="character" w:styleId="HTMLCode">
    <w:name w:val="HTML Code"/>
    <w:basedOn w:val="DefaultParagraphFont"/>
    <w:uiPriority w:val="99"/>
    <w:semiHidden/>
    <w:rsid w:val="00794E99"/>
    <w:rPr>
      <w:rFonts w:ascii="Consolas" w:hAnsi="Consolas" w:cs="Consolas"/>
      <w:sz w:val="20"/>
      <w:szCs w:val="20"/>
    </w:rPr>
  </w:style>
  <w:style w:type="character" w:styleId="HTMLDefinition">
    <w:name w:val="HTML Definition"/>
    <w:basedOn w:val="DefaultParagraphFont"/>
    <w:uiPriority w:val="99"/>
    <w:semiHidden/>
    <w:rsid w:val="00794E99"/>
    <w:rPr>
      <w:i/>
      <w:iCs/>
    </w:rPr>
  </w:style>
  <w:style w:type="character" w:styleId="HTMLKeyboard">
    <w:name w:val="HTML Keyboard"/>
    <w:basedOn w:val="DefaultParagraphFont"/>
    <w:uiPriority w:val="99"/>
    <w:semiHidden/>
    <w:rsid w:val="00794E99"/>
    <w:rPr>
      <w:rFonts w:ascii="Consolas" w:hAnsi="Consolas" w:cs="Consolas"/>
      <w:sz w:val="20"/>
      <w:szCs w:val="20"/>
    </w:rPr>
  </w:style>
  <w:style w:type="paragraph" w:styleId="HTMLPreformatted">
    <w:name w:val="HTML Preformatted"/>
    <w:basedOn w:val="Normal"/>
    <w:link w:val="HTMLPreformattedChar"/>
    <w:uiPriority w:val="99"/>
    <w:semiHidden/>
    <w:rsid w:val="00794E9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94E99"/>
    <w:rPr>
      <w:rFonts w:ascii="Consolas" w:hAnsi="Consolas" w:cs="Consolas"/>
      <w:sz w:val="20"/>
      <w:szCs w:val="20"/>
      <w:lang w:val="ro-RO"/>
    </w:rPr>
  </w:style>
  <w:style w:type="character" w:styleId="HTMLSample">
    <w:name w:val="HTML Sample"/>
    <w:basedOn w:val="DefaultParagraphFont"/>
    <w:uiPriority w:val="99"/>
    <w:semiHidden/>
    <w:rsid w:val="00794E99"/>
    <w:rPr>
      <w:rFonts w:ascii="Consolas" w:hAnsi="Consolas" w:cs="Consolas"/>
      <w:sz w:val="24"/>
      <w:szCs w:val="24"/>
    </w:rPr>
  </w:style>
  <w:style w:type="character" w:styleId="HTMLTypewriter">
    <w:name w:val="HTML Typewriter"/>
    <w:basedOn w:val="DefaultParagraphFont"/>
    <w:uiPriority w:val="99"/>
    <w:semiHidden/>
    <w:rsid w:val="00794E99"/>
    <w:rPr>
      <w:rFonts w:ascii="Consolas" w:hAnsi="Consolas" w:cs="Consolas"/>
      <w:sz w:val="20"/>
      <w:szCs w:val="20"/>
    </w:rPr>
  </w:style>
  <w:style w:type="character" w:styleId="HTMLVariable">
    <w:name w:val="HTML Variable"/>
    <w:basedOn w:val="DefaultParagraphFont"/>
    <w:uiPriority w:val="99"/>
    <w:semiHidden/>
    <w:rsid w:val="00794E99"/>
    <w:rPr>
      <w:i/>
      <w:iCs/>
    </w:rPr>
  </w:style>
  <w:style w:type="paragraph" w:styleId="Index1">
    <w:name w:val="index 1"/>
    <w:basedOn w:val="Normal"/>
    <w:next w:val="Normal"/>
    <w:autoRedefine/>
    <w:uiPriority w:val="99"/>
    <w:semiHidden/>
    <w:rsid w:val="00794E99"/>
    <w:pPr>
      <w:ind w:left="240" w:hanging="240"/>
    </w:pPr>
  </w:style>
  <w:style w:type="paragraph" w:styleId="Index2">
    <w:name w:val="index 2"/>
    <w:basedOn w:val="Normal"/>
    <w:next w:val="Normal"/>
    <w:autoRedefine/>
    <w:uiPriority w:val="99"/>
    <w:semiHidden/>
    <w:rsid w:val="00794E99"/>
    <w:pPr>
      <w:ind w:left="480" w:hanging="240"/>
    </w:pPr>
  </w:style>
  <w:style w:type="paragraph" w:styleId="Index3">
    <w:name w:val="index 3"/>
    <w:basedOn w:val="Normal"/>
    <w:next w:val="Normal"/>
    <w:autoRedefine/>
    <w:uiPriority w:val="99"/>
    <w:semiHidden/>
    <w:rsid w:val="00794E99"/>
    <w:pPr>
      <w:ind w:left="720" w:hanging="240"/>
    </w:pPr>
  </w:style>
  <w:style w:type="paragraph" w:styleId="Index4">
    <w:name w:val="index 4"/>
    <w:basedOn w:val="Normal"/>
    <w:next w:val="Normal"/>
    <w:autoRedefine/>
    <w:uiPriority w:val="99"/>
    <w:semiHidden/>
    <w:rsid w:val="00794E99"/>
    <w:pPr>
      <w:ind w:left="960" w:hanging="240"/>
    </w:pPr>
  </w:style>
  <w:style w:type="paragraph" w:styleId="Index5">
    <w:name w:val="index 5"/>
    <w:basedOn w:val="Normal"/>
    <w:next w:val="Normal"/>
    <w:autoRedefine/>
    <w:uiPriority w:val="99"/>
    <w:semiHidden/>
    <w:rsid w:val="00794E99"/>
    <w:pPr>
      <w:ind w:left="1200" w:hanging="240"/>
    </w:pPr>
  </w:style>
  <w:style w:type="paragraph" w:styleId="Index6">
    <w:name w:val="index 6"/>
    <w:basedOn w:val="Normal"/>
    <w:next w:val="Normal"/>
    <w:autoRedefine/>
    <w:uiPriority w:val="99"/>
    <w:semiHidden/>
    <w:rsid w:val="00794E99"/>
    <w:pPr>
      <w:ind w:left="1440" w:hanging="240"/>
    </w:pPr>
  </w:style>
  <w:style w:type="paragraph" w:styleId="Index7">
    <w:name w:val="index 7"/>
    <w:basedOn w:val="Normal"/>
    <w:next w:val="Normal"/>
    <w:autoRedefine/>
    <w:uiPriority w:val="99"/>
    <w:semiHidden/>
    <w:rsid w:val="00794E99"/>
    <w:pPr>
      <w:ind w:left="1680" w:hanging="240"/>
    </w:pPr>
  </w:style>
  <w:style w:type="paragraph" w:styleId="Index8">
    <w:name w:val="index 8"/>
    <w:basedOn w:val="Normal"/>
    <w:next w:val="Normal"/>
    <w:autoRedefine/>
    <w:uiPriority w:val="99"/>
    <w:semiHidden/>
    <w:rsid w:val="00794E99"/>
    <w:pPr>
      <w:ind w:left="1920" w:hanging="240"/>
    </w:pPr>
  </w:style>
  <w:style w:type="paragraph" w:styleId="Index9">
    <w:name w:val="index 9"/>
    <w:basedOn w:val="Normal"/>
    <w:next w:val="Normal"/>
    <w:autoRedefine/>
    <w:uiPriority w:val="99"/>
    <w:semiHidden/>
    <w:rsid w:val="00794E99"/>
    <w:pPr>
      <w:ind w:left="2160" w:hanging="240"/>
    </w:pPr>
  </w:style>
  <w:style w:type="paragraph" w:styleId="IndexHeading">
    <w:name w:val="index heading"/>
    <w:basedOn w:val="Normal"/>
    <w:next w:val="Index1"/>
    <w:uiPriority w:val="99"/>
    <w:semiHidden/>
    <w:rsid w:val="00794E99"/>
    <w:rPr>
      <w:rFonts w:asciiTheme="majorHAnsi" w:eastAsiaTheme="majorEastAsia" w:hAnsiTheme="majorHAnsi" w:cstheme="majorBidi"/>
      <w:b/>
      <w:bCs/>
    </w:rPr>
  </w:style>
  <w:style w:type="table" w:styleId="LightGrid">
    <w:name w:val="Light Grid"/>
    <w:basedOn w:val="TableNormal"/>
    <w:uiPriority w:val="62"/>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94E9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94E9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94E9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94E9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94E9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94E9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94E9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794E99"/>
  </w:style>
  <w:style w:type="paragraph" w:styleId="List">
    <w:name w:val="List"/>
    <w:basedOn w:val="Normal"/>
    <w:uiPriority w:val="99"/>
    <w:semiHidden/>
    <w:rsid w:val="00794E99"/>
    <w:pPr>
      <w:ind w:left="283" w:hanging="283"/>
      <w:contextualSpacing/>
    </w:pPr>
  </w:style>
  <w:style w:type="paragraph" w:styleId="List2">
    <w:name w:val="List 2"/>
    <w:basedOn w:val="Normal"/>
    <w:uiPriority w:val="99"/>
    <w:semiHidden/>
    <w:rsid w:val="00794E99"/>
    <w:pPr>
      <w:ind w:left="566" w:hanging="283"/>
      <w:contextualSpacing/>
    </w:pPr>
  </w:style>
  <w:style w:type="paragraph" w:styleId="List3">
    <w:name w:val="List 3"/>
    <w:basedOn w:val="Normal"/>
    <w:uiPriority w:val="99"/>
    <w:semiHidden/>
    <w:rsid w:val="00794E99"/>
    <w:pPr>
      <w:ind w:left="849" w:hanging="283"/>
      <w:contextualSpacing/>
    </w:pPr>
  </w:style>
  <w:style w:type="paragraph" w:styleId="List4">
    <w:name w:val="List 4"/>
    <w:basedOn w:val="Normal"/>
    <w:uiPriority w:val="99"/>
    <w:semiHidden/>
    <w:rsid w:val="00794E99"/>
    <w:pPr>
      <w:ind w:left="1132" w:hanging="283"/>
      <w:contextualSpacing/>
    </w:pPr>
  </w:style>
  <w:style w:type="paragraph" w:styleId="List5">
    <w:name w:val="List 5"/>
    <w:basedOn w:val="Normal"/>
    <w:uiPriority w:val="99"/>
    <w:semiHidden/>
    <w:rsid w:val="00794E99"/>
    <w:pPr>
      <w:ind w:left="1415" w:hanging="283"/>
      <w:contextualSpacing/>
    </w:pPr>
  </w:style>
  <w:style w:type="paragraph" w:styleId="ListBullet">
    <w:name w:val="List Bullet"/>
    <w:basedOn w:val="Normal"/>
    <w:uiPriority w:val="99"/>
    <w:semiHidden/>
    <w:rsid w:val="00794E99"/>
    <w:pPr>
      <w:numPr>
        <w:numId w:val="11"/>
      </w:numPr>
    </w:pPr>
  </w:style>
  <w:style w:type="paragraph" w:styleId="ListBullet3">
    <w:name w:val="List Bullet 3"/>
    <w:basedOn w:val="Normal"/>
    <w:uiPriority w:val="99"/>
    <w:semiHidden/>
    <w:rsid w:val="00794E99"/>
    <w:pPr>
      <w:numPr>
        <w:numId w:val="13"/>
      </w:numPr>
      <w:contextualSpacing/>
    </w:pPr>
  </w:style>
  <w:style w:type="paragraph" w:styleId="ListBullet4">
    <w:name w:val="List Bullet 4"/>
    <w:basedOn w:val="Normal"/>
    <w:uiPriority w:val="99"/>
    <w:semiHidden/>
    <w:rsid w:val="00794E99"/>
    <w:pPr>
      <w:numPr>
        <w:numId w:val="14"/>
      </w:numPr>
      <w:contextualSpacing/>
    </w:pPr>
  </w:style>
  <w:style w:type="paragraph" w:styleId="ListBullet5">
    <w:name w:val="List Bullet 5"/>
    <w:basedOn w:val="Normal"/>
    <w:uiPriority w:val="99"/>
    <w:semiHidden/>
    <w:rsid w:val="00794E99"/>
    <w:pPr>
      <w:numPr>
        <w:numId w:val="15"/>
      </w:numPr>
      <w:contextualSpacing/>
    </w:pPr>
  </w:style>
  <w:style w:type="paragraph" w:styleId="ListContinue">
    <w:name w:val="List Continue"/>
    <w:basedOn w:val="Normal"/>
    <w:uiPriority w:val="99"/>
    <w:semiHidden/>
    <w:rsid w:val="00794E99"/>
    <w:pPr>
      <w:spacing w:after="120"/>
      <w:ind w:left="283"/>
      <w:contextualSpacing/>
    </w:pPr>
  </w:style>
  <w:style w:type="paragraph" w:styleId="ListContinue2">
    <w:name w:val="List Continue 2"/>
    <w:basedOn w:val="Normal"/>
    <w:uiPriority w:val="99"/>
    <w:semiHidden/>
    <w:rsid w:val="00794E99"/>
    <w:pPr>
      <w:spacing w:after="120"/>
      <w:ind w:left="566"/>
      <w:contextualSpacing/>
    </w:pPr>
  </w:style>
  <w:style w:type="paragraph" w:styleId="ListContinue3">
    <w:name w:val="List Continue 3"/>
    <w:basedOn w:val="Normal"/>
    <w:uiPriority w:val="99"/>
    <w:semiHidden/>
    <w:rsid w:val="00794E99"/>
    <w:pPr>
      <w:spacing w:after="120"/>
      <w:ind w:left="849"/>
      <w:contextualSpacing/>
    </w:pPr>
  </w:style>
  <w:style w:type="paragraph" w:styleId="ListContinue4">
    <w:name w:val="List Continue 4"/>
    <w:basedOn w:val="Normal"/>
    <w:uiPriority w:val="99"/>
    <w:semiHidden/>
    <w:rsid w:val="00794E99"/>
    <w:pPr>
      <w:spacing w:after="120"/>
      <w:ind w:left="1132"/>
      <w:contextualSpacing/>
    </w:pPr>
  </w:style>
  <w:style w:type="paragraph" w:styleId="ListContinue5">
    <w:name w:val="List Continue 5"/>
    <w:basedOn w:val="Normal"/>
    <w:uiPriority w:val="99"/>
    <w:semiHidden/>
    <w:rsid w:val="00794E99"/>
    <w:pPr>
      <w:spacing w:after="120"/>
      <w:ind w:left="1415"/>
      <w:contextualSpacing/>
    </w:pPr>
  </w:style>
  <w:style w:type="paragraph" w:styleId="ListNumber">
    <w:name w:val="List Number"/>
    <w:basedOn w:val="Normal"/>
    <w:semiHidden/>
    <w:rsid w:val="00794E99"/>
    <w:pPr>
      <w:numPr>
        <w:numId w:val="16"/>
      </w:numPr>
      <w:contextualSpacing/>
    </w:pPr>
  </w:style>
  <w:style w:type="paragraph" w:styleId="ListNumber2">
    <w:name w:val="List Number 2"/>
    <w:basedOn w:val="Normal"/>
    <w:uiPriority w:val="99"/>
    <w:semiHidden/>
    <w:rsid w:val="00794E99"/>
    <w:pPr>
      <w:numPr>
        <w:numId w:val="17"/>
      </w:numPr>
      <w:contextualSpacing/>
    </w:pPr>
  </w:style>
  <w:style w:type="paragraph" w:styleId="ListNumber3">
    <w:name w:val="List Number 3"/>
    <w:basedOn w:val="Normal"/>
    <w:uiPriority w:val="99"/>
    <w:semiHidden/>
    <w:rsid w:val="00794E99"/>
    <w:pPr>
      <w:numPr>
        <w:numId w:val="18"/>
      </w:numPr>
      <w:contextualSpacing/>
    </w:pPr>
  </w:style>
  <w:style w:type="paragraph" w:styleId="ListNumber4">
    <w:name w:val="List Number 4"/>
    <w:basedOn w:val="Normal"/>
    <w:uiPriority w:val="99"/>
    <w:semiHidden/>
    <w:rsid w:val="00794E99"/>
    <w:pPr>
      <w:numPr>
        <w:numId w:val="19"/>
      </w:numPr>
      <w:contextualSpacing/>
    </w:pPr>
  </w:style>
  <w:style w:type="paragraph" w:styleId="ListNumber5">
    <w:name w:val="List Number 5"/>
    <w:basedOn w:val="Normal"/>
    <w:uiPriority w:val="99"/>
    <w:semiHidden/>
    <w:rsid w:val="00794E99"/>
    <w:pPr>
      <w:numPr>
        <w:numId w:val="20"/>
      </w:numPr>
      <w:contextualSpacing/>
    </w:pPr>
  </w:style>
  <w:style w:type="paragraph" w:styleId="MacroText">
    <w:name w:val="macro"/>
    <w:link w:val="MacroTextChar"/>
    <w:uiPriority w:val="99"/>
    <w:semiHidden/>
    <w:rsid w:val="00794E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794E99"/>
    <w:rPr>
      <w:rFonts w:ascii="Consolas" w:eastAsiaTheme="minorEastAsia" w:hAnsi="Consolas" w:cs="Consolas"/>
      <w:sz w:val="20"/>
      <w:szCs w:val="20"/>
    </w:rPr>
  </w:style>
  <w:style w:type="table" w:styleId="MediumGrid1">
    <w:name w:val="Medium Grid 1"/>
    <w:basedOn w:val="TableNormal"/>
    <w:uiPriority w:val="67"/>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94E9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94E9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94E9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94E9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94E9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94E9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94E9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794E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94E9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9"/>
    <w:semiHidden/>
    <w:rsid w:val="00794E99"/>
    <w:rPr>
      <w:rFonts w:ascii="Times New Roman" w:hAnsi="Times New Roman" w:cs="Times New Roman"/>
    </w:rPr>
  </w:style>
  <w:style w:type="paragraph" w:styleId="NormalIndent">
    <w:name w:val="Normal Indent"/>
    <w:basedOn w:val="Normal"/>
    <w:uiPriority w:val="99"/>
    <w:semiHidden/>
    <w:rsid w:val="00794E99"/>
    <w:pPr>
      <w:ind w:left="720"/>
    </w:pPr>
  </w:style>
  <w:style w:type="paragraph" w:styleId="NoteHeading">
    <w:name w:val="Note Heading"/>
    <w:basedOn w:val="Normal"/>
    <w:next w:val="Normal"/>
    <w:link w:val="NoteHeadingChar"/>
    <w:uiPriority w:val="99"/>
    <w:semiHidden/>
    <w:rsid w:val="00794E99"/>
  </w:style>
  <w:style w:type="character" w:customStyle="1" w:styleId="NoteHeadingChar">
    <w:name w:val="Note Heading Char"/>
    <w:basedOn w:val="DefaultParagraphFont"/>
    <w:link w:val="NoteHeading"/>
    <w:uiPriority w:val="99"/>
    <w:semiHidden/>
    <w:rsid w:val="00794E99"/>
    <w:rPr>
      <w:sz w:val="24"/>
      <w:szCs w:val="24"/>
      <w:lang w:val="ro-RO"/>
    </w:rPr>
  </w:style>
  <w:style w:type="character" w:styleId="PlaceholderText">
    <w:name w:val="Placeholder Text"/>
    <w:basedOn w:val="DefaultParagraphFont"/>
    <w:uiPriority w:val="99"/>
    <w:semiHidden/>
    <w:rsid w:val="00794E99"/>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794E99"/>
    <w:rPr>
      <w:rFonts w:ascii="Consolas" w:hAnsi="Consolas" w:cs="Consolas"/>
      <w:sz w:val="21"/>
      <w:szCs w:val="21"/>
    </w:rPr>
  </w:style>
  <w:style w:type="character" w:customStyle="1" w:styleId="PlainTextChar">
    <w:name w:val="Plain Text Char"/>
    <w:basedOn w:val="DefaultParagraphFont"/>
    <w:link w:val="PlainText"/>
    <w:uiPriority w:val="99"/>
    <w:semiHidden/>
    <w:rsid w:val="00794E99"/>
    <w:rPr>
      <w:rFonts w:ascii="Consolas" w:hAnsi="Consolas" w:cs="Consolas"/>
      <w:sz w:val="21"/>
      <w:szCs w:val="21"/>
      <w:lang w:val="ro-RO"/>
    </w:rPr>
  </w:style>
  <w:style w:type="paragraph" w:styleId="Salutation">
    <w:name w:val="Salutation"/>
    <w:basedOn w:val="Normal"/>
    <w:next w:val="Normal"/>
    <w:link w:val="SalutationChar"/>
    <w:uiPriority w:val="99"/>
    <w:semiHidden/>
    <w:rsid w:val="00794E99"/>
  </w:style>
  <w:style w:type="character" w:customStyle="1" w:styleId="SalutationChar">
    <w:name w:val="Salutation Char"/>
    <w:basedOn w:val="DefaultParagraphFont"/>
    <w:link w:val="Salutation"/>
    <w:uiPriority w:val="99"/>
    <w:semiHidden/>
    <w:rsid w:val="00794E99"/>
    <w:rPr>
      <w:sz w:val="24"/>
      <w:szCs w:val="24"/>
      <w:lang w:val="ro-RO"/>
    </w:rPr>
  </w:style>
  <w:style w:type="paragraph" w:styleId="Signature">
    <w:name w:val="Signature"/>
    <w:basedOn w:val="Normal"/>
    <w:link w:val="SignatureChar"/>
    <w:uiPriority w:val="99"/>
    <w:semiHidden/>
    <w:rsid w:val="00794E99"/>
    <w:pPr>
      <w:ind w:left="4252"/>
    </w:pPr>
  </w:style>
  <w:style w:type="character" w:customStyle="1" w:styleId="SignatureChar">
    <w:name w:val="Signature Char"/>
    <w:basedOn w:val="DefaultParagraphFont"/>
    <w:link w:val="Signature"/>
    <w:uiPriority w:val="99"/>
    <w:semiHidden/>
    <w:rsid w:val="00794E99"/>
    <w:rPr>
      <w:sz w:val="24"/>
      <w:szCs w:val="24"/>
      <w:lang w:val="ro-RO"/>
    </w:rPr>
  </w:style>
  <w:style w:type="table" w:styleId="Table3Deffects1">
    <w:name w:val="Table 3D effects 1"/>
    <w:basedOn w:val="TableNormal"/>
    <w:uiPriority w:val="99"/>
    <w:semiHidden/>
    <w:unhideWhenUsed/>
    <w:rsid w:val="00794E9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94E9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94E9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94E9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94E9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94E9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94E9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94E9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94E9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94E9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94E9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94E9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94E9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94E9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94E9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94E9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94E9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94E9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94E9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94E9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94E9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94E9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94E9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94E9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794E99"/>
    <w:pPr>
      <w:ind w:left="240" w:hanging="240"/>
    </w:pPr>
  </w:style>
  <w:style w:type="paragraph" w:styleId="TableofFigures">
    <w:name w:val="table of figures"/>
    <w:basedOn w:val="Normal"/>
    <w:next w:val="Normal"/>
    <w:uiPriority w:val="99"/>
    <w:semiHidden/>
    <w:rsid w:val="00794E99"/>
  </w:style>
  <w:style w:type="table" w:styleId="TableProfessional">
    <w:name w:val="Table Professional"/>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94E9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94E9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94E9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94E9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94E9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94E9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94E9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94E9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794E9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794E9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794E99"/>
    <w:pPr>
      <w:spacing w:after="100"/>
      <w:ind w:left="1680"/>
    </w:pPr>
  </w:style>
  <w:style w:type="paragraph" w:styleId="TOC9">
    <w:name w:val="toc 9"/>
    <w:basedOn w:val="Normal"/>
    <w:next w:val="Normal"/>
    <w:autoRedefine/>
    <w:uiPriority w:val="99"/>
    <w:semiHidden/>
    <w:rsid w:val="00794E99"/>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Footer_Line,_Footer_Line"/>
    <w:basedOn w:val="Normal"/>
    <w:next w:val="Normal"/>
    <w:uiPriority w:val="57"/>
    <w:semiHidden/>
    <w:rsid w:val="00794E9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5"/>
    <w:qFormat/>
    <w:rsid w:val="00794E9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5"/>
    <w:qFormat/>
    <w:rsid w:val="00794E9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794E9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94E99"/>
    <w:pPr>
      <w:numPr>
        <w:numId w:val="7"/>
      </w:numPr>
      <w:spacing w:before="60" w:after="60"/>
    </w:pPr>
  </w:style>
  <w:style w:type="paragraph" w:customStyle="1" w:styleId="ECHRBullet2">
    <w:name w:val="ECHR_Bullet_2"/>
    <w:aliases w:val="_Bul_2"/>
    <w:basedOn w:val="ECHRBullet1"/>
    <w:uiPriority w:val="23"/>
    <w:semiHidden/>
    <w:rsid w:val="00794E99"/>
    <w:pPr>
      <w:numPr>
        <w:ilvl w:val="1"/>
      </w:numPr>
    </w:pPr>
  </w:style>
  <w:style w:type="paragraph" w:customStyle="1" w:styleId="ECHRBullet3">
    <w:name w:val="ECHR_Bullet_3"/>
    <w:aliases w:val="_Bul_3"/>
    <w:basedOn w:val="ECHRBullet2"/>
    <w:uiPriority w:val="23"/>
    <w:semiHidden/>
    <w:rsid w:val="00794E99"/>
    <w:pPr>
      <w:numPr>
        <w:ilvl w:val="2"/>
      </w:numPr>
    </w:pPr>
  </w:style>
  <w:style w:type="paragraph" w:customStyle="1" w:styleId="ECHRBullet4">
    <w:name w:val="ECHR_Bullet_4"/>
    <w:aliases w:val="_Bul_4"/>
    <w:basedOn w:val="ECHRBullet3"/>
    <w:uiPriority w:val="23"/>
    <w:semiHidden/>
    <w:rsid w:val="00794E99"/>
    <w:pPr>
      <w:numPr>
        <w:ilvl w:val="3"/>
      </w:numPr>
    </w:pPr>
  </w:style>
  <w:style w:type="paragraph" w:customStyle="1" w:styleId="ECHRConfidential">
    <w:name w:val="ECHR_Confidential"/>
    <w:aliases w:val="_Confidential"/>
    <w:basedOn w:val="Normal"/>
    <w:next w:val="Normal"/>
    <w:uiPriority w:val="42"/>
    <w:semiHidden/>
    <w:qFormat/>
    <w:rsid w:val="00794E99"/>
    <w:pPr>
      <w:jc w:val="right"/>
    </w:pPr>
    <w:rPr>
      <w:color w:val="C00000"/>
      <w:sz w:val="20"/>
    </w:rPr>
  </w:style>
  <w:style w:type="paragraph" w:customStyle="1" w:styleId="ECHRDecisionBody">
    <w:name w:val="ECHR_Decision_Body"/>
    <w:aliases w:val="_Decision_Body"/>
    <w:basedOn w:val="NormalJustified"/>
    <w:uiPriority w:val="54"/>
    <w:semiHidden/>
    <w:rsid w:val="00794E9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94E9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94E9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94E9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94E99"/>
    <w:pPr>
      <w:jc w:val="right"/>
    </w:pPr>
    <w:rPr>
      <w:sz w:val="20"/>
    </w:rPr>
  </w:style>
  <w:style w:type="paragraph" w:customStyle="1" w:styleId="ECHRHeaderRefIt">
    <w:name w:val="ECHR_Header_Ref_It"/>
    <w:aliases w:val="Ref_Ital,_Ref_Ital"/>
    <w:basedOn w:val="Normal"/>
    <w:next w:val="ECHRHeaderDate"/>
    <w:uiPriority w:val="38"/>
    <w:qFormat/>
    <w:rsid w:val="00794E99"/>
    <w:pPr>
      <w:jc w:val="right"/>
    </w:pPr>
    <w:rPr>
      <w:i/>
      <w:sz w:val="20"/>
    </w:rPr>
  </w:style>
  <w:style w:type="paragraph" w:customStyle="1" w:styleId="ECHRHeading9">
    <w:name w:val="ECHR_Heading_9"/>
    <w:aliases w:val="_Head_9"/>
    <w:basedOn w:val="Heading9"/>
    <w:uiPriority w:val="17"/>
    <w:semiHidden/>
    <w:rsid w:val="00794E99"/>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94E99"/>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794E99"/>
    <w:pPr>
      <w:numPr>
        <w:numId w:val="8"/>
      </w:numPr>
      <w:spacing w:before="60" w:after="60"/>
    </w:pPr>
  </w:style>
  <w:style w:type="paragraph" w:customStyle="1" w:styleId="ECHRNumberedList2">
    <w:name w:val="ECHR_Numbered_List_2"/>
    <w:aliases w:val="_Num_2"/>
    <w:basedOn w:val="ECHRNumberedList1"/>
    <w:uiPriority w:val="23"/>
    <w:semiHidden/>
    <w:rsid w:val="00794E99"/>
    <w:pPr>
      <w:numPr>
        <w:ilvl w:val="1"/>
      </w:numPr>
    </w:pPr>
  </w:style>
  <w:style w:type="paragraph" w:customStyle="1" w:styleId="ECHRNumberedList3">
    <w:name w:val="ECHR_Numbered_List_3"/>
    <w:aliases w:val="_Num_3"/>
    <w:basedOn w:val="ECHRNumberedList2"/>
    <w:uiPriority w:val="23"/>
    <w:semiHidden/>
    <w:rsid w:val="00794E99"/>
    <w:pPr>
      <w:numPr>
        <w:ilvl w:val="2"/>
      </w:numPr>
    </w:pPr>
  </w:style>
  <w:style w:type="paragraph" w:customStyle="1" w:styleId="ECHRParaHanging">
    <w:name w:val="ECHR_Para_Hanging"/>
    <w:aliases w:val="_Hanging"/>
    <w:basedOn w:val="Normal"/>
    <w:uiPriority w:val="8"/>
    <w:semiHidden/>
    <w:qFormat/>
    <w:rsid w:val="00794E99"/>
    <w:pPr>
      <w:ind w:left="567" w:hanging="567"/>
      <w:jc w:val="both"/>
    </w:pPr>
  </w:style>
  <w:style w:type="paragraph" w:customStyle="1" w:styleId="ECHRParaIndent">
    <w:name w:val="ECHR_Para_Indent"/>
    <w:aliases w:val="_Indent"/>
    <w:basedOn w:val="Normal"/>
    <w:uiPriority w:val="7"/>
    <w:semiHidden/>
    <w:qFormat/>
    <w:rsid w:val="00794E99"/>
    <w:pPr>
      <w:spacing w:before="120" w:after="120"/>
      <w:ind w:left="567"/>
      <w:jc w:val="both"/>
    </w:pPr>
  </w:style>
  <w:style w:type="character" w:customStyle="1" w:styleId="ECHRRed">
    <w:name w:val="ECHR_Red"/>
    <w:aliases w:val="_Red"/>
    <w:basedOn w:val="DefaultParagraphFont"/>
    <w:uiPriority w:val="15"/>
    <w:semiHidden/>
    <w:qFormat/>
    <w:rsid w:val="00794E99"/>
    <w:rPr>
      <w:color w:val="C00000" w:themeColor="accent2"/>
    </w:rPr>
  </w:style>
  <w:style w:type="paragraph" w:customStyle="1" w:styleId="DecList">
    <w:name w:val="Dec_List"/>
    <w:aliases w:val="_List"/>
    <w:basedOn w:val="JuList"/>
    <w:uiPriority w:val="22"/>
    <w:rsid w:val="00794E99"/>
    <w:pPr>
      <w:numPr>
        <w:numId w:val="0"/>
      </w:numPr>
      <w:ind w:left="284"/>
    </w:pPr>
  </w:style>
  <w:style w:type="table" w:customStyle="1" w:styleId="ECHRTable2">
    <w:name w:val="ECHR_Table_2"/>
    <w:basedOn w:val="TableNormal"/>
    <w:uiPriority w:val="99"/>
    <w:rsid w:val="00794E9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94E9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94E9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94E9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94E9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94E99"/>
    <w:pPr>
      <w:outlineLvl w:val="0"/>
    </w:pPr>
  </w:style>
  <w:style w:type="paragraph" w:customStyle="1" w:styleId="ECHRTitleTOC1">
    <w:name w:val="ECHR_Title_TOC_1"/>
    <w:aliases w:val="_Title_L_TOC"/>
    <w:basedOn w:val="ECHRTitle1"/>
    <w:next w:val="Normal"/>
    <w:uiPriority w:val="27"/>
    <w:semiHidden/>
    <w:qFormat/>
    <w:rsid w:val="00794E99"/>
    <w:pPr>
      <w:outlineLvl w:val="0"/>
    </w:pPr>
  </w:style>
  <w:style w:type="paragraph" w:customStyle="1" w:styleId="ECHRPlaceholder">
    <w:name w:val="ECHR_Placeholder"/>
    <w:aliases w:val="_Placeholder"/>
    <w:basedOn w:val="JuSigned"/>
    <w:uiPriority w:val="31"/>
    <w:rsid w:val="00794E99"/>
    <w:rPr>
      <w:color w:val="FFFFFF"/>
    </w:rPr>
  </w:style>
  <w:style w:type="paragraph" w:customStyle="1" w:styleId="ECHRSpacer">
    <w:name w:val="ECHR_Spacer"/>
    <w:aliases w:val="_Spacer"/>
    <w:basedOn w:val="Normal"/>
    <w:uiPriority w:val="45"/>
    <w:semiHidden/>
    <w:rsid w:val="00794E99"/>
    <w:rPr>
      <w:sz w:val="4"/>
    </w:rPr>
  </w:style>
  <w:style w:type="table" w:customStyle="1" w:styleId="ECHRTableGrey">
    <w:name w:val="ECHR_Table_Grey"/>
    <w:basedOn w:val="TableNormal"/>
    <w:uiPriority w:val="99"/>
    <w:rsid w:val="00794E9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AF59CE"/>
    <w:rPr>
      <w:sz w:val="24"/>
      <w:szCs w:val="24"/>
      <w:lang w:val="ro-RO"/>
    </w:rPr>
  </w:style>
  <w:style w:type="character" w:customStyle="1" w:styleId="JuNames0">
    <w:name w:val="Ju_Names"/>
    <w:rsid w:val="00AF59CE"/>
    <w:rPr>
      <w:smallCaps/>
    </w:rPr>
  </w:style>
  <w:style w:type="paragraph" w:customStyle="1" w:styleId="JuList4">
    <w:name w:val="Ju_List_4"/>
    <w:aliases w:val="N_Bul_4"/>
    <w:basedOn w:val="JuListi"/>
    <w:uiPriority w:val="19"/>
    <w:rsid w:val="00AF59CE"/>
    <w:pPr>
      <w:numPr>
        <w:ilvl w:val="0"/>
        <w:numId w:val="0"/>
      </w:numPr>
      <w:tabs>
        <w:tab w:val="num" w:pos="1701"/>
      </w:tabs>
      <w:spacing w:before="60" w:after="60" w:line="240" w:lineRule="exact"/>
      <w:ind w:left="1703" w:hanging="284"/>
      <w:contextualSpacing/>
    </w:pPr>
    <w:rPr>
      <w:sz w:val="22"/>
      <w:lang w:eastAsia="fr-FR"/>
    </w:rPr>
  </w:style>
  <w:style w:type="character" w:customStyle="1" w:styleId="JuParaCar">
    <w:name w:val="Ju_Para Car"/>
    <w:uiPriority w:val="8"/>
    <w:rsid w:val="00AF59CE"/>
    <w:rPr>
      <w:rFonts w:eastAsiaTheme="minorEastAsia"/>
    </w:rPr>
  </w:style>
  <w:style w:type="character" w:customStyle="1" w:styleId="textcolumn">
    <w:name w:val="textcolumn"/>
    <w:basedOn w:val="DefaultParagraphFont"/>
    <w:rsid w:val="00AF5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6CD70-1732-44BD-83DB-2BA4A94A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8375</Words>
  <Characters>48580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Becali și Cioflină împotriva României</dc:title>
  <dc:subject>JUDF</dc:subject>
  <dc:creator/>
  <cp:lastModifiedBy/>
  <cp:revision>1</cp:revision>
  <dcterms:created xsi:type="dcterms:W3CDTF">2024-02-20T11:31:00Z</dcterms:created>
  <dcterms:modified xsi:type="dcterms:W3CDTF">2024-04-11T09:55:00Z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912893</vt:lpwstr>
  </property>
  <property fmtid="{D5CDD505-2E9C-101B-9397-08002B2CF9AE}" pid="3" name="cstLanguage">
    <vt:i4>1036</vt:i4>
  </property>
  <property fmtid="{D5CDD505-2E9C-101B-9397-08002B2CF9AE}" pid="4" name="RegisteredNo">
    <vt:lpwstr>62157/13</vt:lpwstr>
  </property>
</Properties>
</file>