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5F" w:rsidRPr="00B16472" w:rsidRDefault="00B16472" w:rsidP="00B16472">
      <w:pPr>
        <w:jc w:val="center"/>
        <w:rPr>
          <w:rFonts w:asciiTheme="majorHAnsi" w:hAnsiTheme="majorHAnsi"/>
          <w:sz w:val="28"/>
        </w:rPr>
      </w:pPr>
      <w:bookmarkStart w:id="0" w:name="_GoBack"/>
      <w:bookmarkEnd w:id="0"/>
      <w:r>
        <w:rPr>
          <w:rFonts w:asciiTheme="majorHAnsi" w:hAnsiTheme="majorHAnsi"/>
          <w:sz w:val="28"/>
        </w:rPr>
        <w:t>CURTEA EUROPEANĂ A DREPTURILOR OMULUI</w:t>
      </w:r>
    </w:p>
    <w:p w:rsidR="0098410D" w:rsidRPr="00325F5F" w:rsidRDefault="005A30A0" w:rsidP="00325F5F">
      <w:pPr>
        <w:pStyle w:val="DecHTitle"/>
      </w:pPr>
      <w:r>
        <w:t>SECȚIA A PATRA</w:t>
      </w:r>
    </w:p>
    <w:p w:rsidR="008E6217" w:rsidRPr="00325F5F" w:rsidRDefault="005A30A0" w:rsidP="00DA167B">
      <w:pPr>
        <w:pStyle w:val="JuTitle"/>
        <w:spacing w:before="960"/>
      </w:pPr>
      <w:r>
        <w:rPr>
          <w:color w:val="000000" w:themeColor="text1"/>
        </w:rPr>
        <w:t>CAUZA VASILE SORIN</w:t>
      </w:r>
      <w:r>
        <w:t xml:space="preserve"> MARIN împotriva ROMÂNIEI</w:t>
      </w:r>
    </w:p>
    <w:p w:rsidR="00D74888" w:rsidRPr="00325F5F" w:rsidRDefault="005A30A0" w:rsidP="00325F5F">
      <w:pPr>
        <w:pStyle w:val="ECHRCoverTitle4"/>
      </w:pPr>
      <w:r>
        <w:t>(Cererea nr. 17412/16)</w:t>
      </w:r>
    </w:p>
    <w:p w:rsidR="0098410D" w:rsidRPr="00325F5F" w:rsidRDefault="0098410D" w:rsidP="00DA167B">
      <w:pPr>
        <w:pStyle w:val="DecHCase"/>
        <w:spacing w:after="120"/>
      </w:pPr>
    </w:p>
    <w:p w:rsidR="00325F5F" w:rsidRPr="00325F5F" w:rsidRDefault="005A30A0" w:rsidP="00325F5F">
      <w:pPr>
        <w:pStyle w:val="DecHCase"/>
      </w:pPr>
      <w:r>
        <w:t>HOTĂRÂRE</w:t>
      </w:r>
      <w:r>
        <w:br/>
      </w:r>
    </w:p>
    <w:p w:rsidR="00325F5F" w:rsidRPr="00325F5F" w:rsidRDefault="005A30A0" w:rsidP="00DA167B">
      <w:pPr>
        <w:pStyle w:val="DecHCase"/>
        <w:pBdr>
          <w:top w:val="single" w:sz="4" w:space="1" w:color="auto"/>
          <w:left w:val="single" w:sz="4" w:space="4" w:color="auto"/>
          <w:bottom w:val="single" w:sz="4" w:space="1" w:color="auto"/>
          <w:right w:val="single" w:sz="4" w:space="4" w:color="auto"/>
        </w:pBdr>
        <w:spacing w:after="120"/>
        <w:jc w:val="both"/>
      </w:pPr>
      <w:bookmarkStart w:id="1" w:name="_Hlk146551175"/>
      <w:r>
        <w:t>Art. 4 din Protocolul nr. 7 • Dreptul de a nu fi judecat sau condamnat de două ori • Dublarea procedurii, amendă contravențională și proces penal pentru comportament agresiv social care a tulburat ordinea publică, care nu au fost combinate într-un mod integrat, astfel încât să formeze un ansamblu coerent și nu au fost proporționale • Amenda contravențională are caracter penal, date fiind elementele de sancționare și descurajare • Faptele care constituie cele două infracțiuni sunt în esență aceleași • Amenda contravențională a constituit o „condamnare definitivă” • Proceduri suficient de legate în timp • Dubla procedură nu urmărește scopuri complementare și nu constituie o consecință previzibilă pentru același comportament incriminat</w:t>
      </w:r>
      <w:bookmarkEnd w:id="1"/>
    </w:p>
    <w:p w:rsidR="00325F5F" w:rsidRPr="00325F5F" w:rsidRDefault="00325F5F" w:rsidP="00DA167B">
      <w:pPr>
        <w:pStyle w:val="DecHCase"/>
        <w:spacing w:after="200"/>
      </w:pPr>
    </w:p>
    <w:p w:rsidR="0098410D" w:rsidRPr="00325F5F" w:rsidRDefault="005A30A0" w:rsidP="00325F5F">
      <w:pPr>
        <w:pStyle w:val="DecHCase"/>
      </w:pPr>
      <w:r>
        <w:t>STRASBOURG</w:t>
      </w:r>
    </w:p>
    <w:p w:rsidR="0098410D" w:rsidRPr="00325F5F" w:rsidRDefault="005A30A0" w:rsidP="00325F5F">
      <w:pPr>
        <w:pStyle w:val="DecHCase"/>
      </w:pPr>
      <w:r>
        <w:rPr>
          <w:rFonts w:ascii="Times New Roman" w:hAnsi="Times New Roman"/>
        </w:rPr>
        <w:t>3 octombrie 2023</w:t>
      </w:r>
    </w:p>
    <w:p w:rsidR="002422B6" w:rsidRDefault="002422B6" w:rsidP="00325F5F">
      <w:pPr>
        <w:rPr>
          <w:i/>
          <w:sz w:val="22"/>
        </w:rPr>
      </w:pPr>
    </w:p>
    <w:p w:rsidR="00DA167B" w:rsidRDefault="005A30A0" w:rsidP="00DA167B">
      <w:pPr>
        <w:pStyle w:val="jucase0"/>
        <w:ind w:firstLine="0"/>
        <w:jc w:val="center"/>
        <w:rPr>
          <w:color w:val="FF0000"/>
          <w:sz w:val="28"/>
          <w:szCs w:val="28"/>
          <w:u w:val="single"/>
        </w:rPr>
      </w:pPr>
      <w:bookmarkStart w:id="2" w:name="_Hlk59706592"/>
      <w:bookmarkStart w:id="3" w:name="_Hlk59704667"/>
      <w:r>
        <w:rPr>
          <w:color w:val="FF0000"/>
          <w:sz w:val="28"/>
          <w:u w:val="single"/>
        </w:rPr>
        <w:t>DEFINITIVĂ</w:t>
      </w:r>
    </w:p>
    <w:p w:rsidR="00DA167B" w:rsidRPr="00D04090" w:rsidRDefault="00DA167B" w:rsidP="00DA167B">
      <w:pPr>
        <w:pStyle w:val="jucase0"/>
        <w:ind w:firstLine="0"/>
        <w:jc w:val="center"/>
        <w:rPr>
          <w:b w:val="0"/>
          <w:bCs w:val="0"/>
          <w:color w:val="FF0000"/>
          <w:u w:val="single"/>
        </w:rPr>
      </w:pPr>
    </w:p>
    <w:p w:rsidR="00DA167B" w:rsidRPr="00502BB5" w:rsidRDefault="005A30A0" w:rsidP="00DA167B">
      <w:pPr>
        <w:pStyle w:val="jucase0"/>
        <w:ind w:firstLine="0"/>
        <w:jc w:val="center"/>
        <w:rPr>
          <w:b w:val="0"/>
          <w:color w:val="FF0000"/>
          <w:sz w:val="28"/>
          <w:szCs w:val="28"/>
        </w:rPr>
      </w:pPr>
      <w:r>
        <w:rPr>
          <w:b w:val="0"/>
          <w:color w:val="FF0000"/>
          <w:sz w:val="28"/>
        </w:rPr>
        <w:t>3 ianuarie 2024</w:t>
      </w:r>
    </w:p>
    <w:p w:rsidR="00DA167B" w:rsidRPr="00261F46" w:rsidRDefault="00DA167B" w:rsidP="00DA167B">
      <w:pPr>
        <w:pStyle w:val="jupara0"/>
        <w:ind w:firstLine="0"/>
        <w:jc w:val="center"/>
      </w:pPr>
    </w:p>
    <w:p w:rsidR="00DA167B" w:rsidRPr="00325F5F" w:rsidRDefault="005A30A0" w:rsidP="00DA167B">
      <w:pPr>
        <w:jc w:val="center"/>
        <w:rPr>
          <w:i/>
          <w:sz w:val="22"/>
        </w:rPr>
      </w:pPr>
      <w:r>
        <w:rPr>
          <w:i/>
          <w:sz w:val="22"/>
        </w:rPr>
        <w:lastRenderedPageBreak/>
        <w:t xml:space="preserve">Hotărârea a devenit definitivă în condițiile prevăzute la art. 44 § 2 din Convenție. </w:t>
      </w:r>
      <w:r>
        <w:rPr>
          <w:i/>
          <w:sz w:val="22"/>
        </w:rPr>
        <w:br/>
        <w:t>Poate suferi modificări de formă.</w:t>
      </w:r>
      <w:bookmarkEnd w:id="2"/>
      <w:bookmarkEnd w:id="3"/>
    </w:p>
    <w:p w:rsidR="0098410D" w:rsidRPr="00325F5F" w:rsidRDefault="0098410D" w:rsidP="00325F5F">
      <w:pPr>
        <w:sectPr w:rsidR="0098410D" w:rsidRPr="00325F5F" w:rsidSect="0045729D">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155" w:right="1985" w:bottom="2155" w:left="1985" w:header="1701" w:footer="720" w:gutter="0"/>
          <w:pgNumType w:start="1"/>
          <w:cols w:space="720"/>
          <w:noEndnote/>
          <w:titlePg/>
        </w:sectPr>
      </w:pPr>
    </w:p>
    <w:p w:rsidR="0098410D" w:rsidRPr="00325F5F" w:rsidRDefault="005A30A0" w:rsidP="00325F5F">
      <w:pPr>
        <w:pStyle w:val="JuCase"/>
      </w:pPr>
      <w:r>
        <w:t>În cauza Vasile Sorin Marin împotriva României,</w:t>
      </w:r>
    </w:p>
    <w:p w:rsidR="009F4C8F" w:rsidRPr="00325F5F" w:rsidRDefault="005A30A0" w:rsidP="00325F5F">
      <w:pPr>
        <w:pStyle w:val="JuPara"/>
      </w:pPr>
      <w:r>
        <w:t>Curtea Europeană a Drepturilor Omului (Secția a patra), reunită într-o cameră compusă din:</w:t>
      </w:r>
    </w:p>
    <w:p w:rsidR="00A92625" w:rsidRPr="00325F5F" w:rsidRDefault="005A30A0" w:rsidP="00325F5F">
      <w:pPr>
        <w:pStyle w:val="JuJudges"/>
      </w:pPr>
      <w:r>
        <w:tab/>
        <w:t xml:space="preserve">Gabriele </w:t>
      </w:r>
      <w:proofErr w:type="spellStart"/>
      <w:r>
        <w:t>Kucsko-Stadlmayer</w:t>
      </w:r>
      <w:proofErr w:type="spellEnd"/>
      <w:r>
        <w:rPr>
          <w:i/>
        </w:rPr>
        <w:t>, președinte</w:t>
      </w:r>
      <w:r>
        <w:t>,</w:t>
      </w:r>
      <w:r>
        <w:br/>
      </w:r>
      <w:r>
        <w:tab/>
        <w:t xml:space="preserve">Tim </w:t>
      </w:r>
      <w:proofErr w:type="spellStart"/>
      <w:r>
        <w:t>Eicke</w:t>
      </w:r>
      <w:proofErr w:type="spellEnd"/>
      <w:r>
        <w:t>,</w:t>
      </w:r>
      <w:r>
        <w:br/>
      </w:r>
      <w:r>
        <w:tab/>
      </w:r>
      <w:proofErr w:type="spellStart"/>
      <w:r>
        <w:t>Faris</w:t>
      </w:r>
      <w:proofErr w:type="spellEnd"/>
      <w:r>
        <w:t xml:space="preserve"> </w:t>
      </w:r>
      <w:proofErr w:type="spellStart"/>
      <w:r>
        <w:t>Vehabović</w:t>
      </w:r>
      <w:proofErr w:type="spellEnd"/>
      <w:r>
        <w:t>,</w:t>
      </w:r>
      <w:r>
        <w:br/>
      </w:r>
      <w:r>
        <w:tab/>
      </w:r>
      <w:proofErr w:type="spellStart"/>
      <w:r>
        <w:t>Armen</w:t>
      </w:r>
      <w:proofErr w:type="spellEnd"/>
      <w:r>
        <w:t xml:space="preserve"> </w:t>
      </w:r>
      <w:proofErr w:type="spellStart"/>
      <w:r>
        <w:t>Harutyunyan</w:t>
      </w:r>
      <w:proofErr w:type="spellEnd"/>
      <w:r>
        <w:t>,</w:t>
      </w:r>
      <w:r>
        <w:br/>
      </w:r>
      <w:r>
        <w:tab/>
      </w:r>
      <w:proofErr w:type="spellStart"/>
      <w:r>
        <w:t>Anja</w:t>
      </w:r>
      <w:proofErr w:type="spellEnd"/>
      <w:r>
        <w:t xml:space="preserve"> </w:t>
      </w:r>
      <w:proofErr w:type="spellStart"/>
      <w:r>
        <w:t>Seibert-Fohr</w:t>
      </w:r>
      <w:proofErr w:type="spellEnd"/>
      <w:r>
        <w:t>,</w:t>
      </w:r>
      <w:r>
        <w:br/>
      </w:r>
      <w:r>
        <w:tab/>
        <w:t xml:space="preserve">Ana Maria </w:t>
      </w:r>
      <w:proofErr w:type="spellStart"/>
      <w:r>
        <w:t>Guerra</w:t>
      </w:r>
      <w:proofErr w:type="spellEnd"/>
      <w:r>
        <w:t xml:space="preserve"> </w:t>
      </w:r>
      <w:proofErr w:type="spellStart"/>
      <w:r>
        <w:t>Martins</w:t>
      </w:r>
      <w:proofErr w:type="spellEnd"/>
      <w:r>
        <w:t>,</w:t>
      </w:r>
      <w:r>
        <w:br/>
      </w:r>
      <w:r>
        <w:tab/>
        <w:t xml:space="preserve">Sebastian </w:t>
      </w:r>
      <w:proofErr w:type="spellStart"/>
      <w:r>
        <w:t>Răduleţu</w:t>
      </w:r>
      <w:proofErr w:type="spellEnd"/>
      <w:r>
        <w:rPr>
          <w:i/>
        </w:rPr>
        <w:t>, judecători</w:t>
      </w:r>
      <w:r>
        <w:t>,</w:t>
      </w:r>
      <w:r>
        <w:br/>
        <w:t xml:space="preserve">și Andrea </w:t>
      </w:r>
      <w:proofErr w:type="spellStart"/>
      <w:r>
        <w:t>Tamietti</w:t>
      </w:r>
      <w:proofErr w:type="spellEnd"/>
      <w:r>
        <w:t xml:space="preserve">, </w:t>
      </w:r>
      <w:r>
        <w:rPr>
          <w:i/>
        </w:rPr>
        <w:t>grefier de secție,</w:t>
      </w:r>
    </w:p>
    <w:p w:rsidR="00761D85" w:rsidRPr="00325F5F" w:rsidRDefault="005A30A0" w:rsidP="00325F5F">
      <w:pPr>
        <w:pStyle w:val="JuPara"/>
      </w:pPr>
      <w:r>
        <w:t>Având în vedere:</w:t>
      </w:r>
    </w:p>
    <w:p w:rsidR="00761D85" w:rsidRPr="00325F5F" w:rsidRDefault="005A30A0" w:rsidP="00325F5F">
      <w:pPr>
        <w:pStyle w:val="JuPara"/>
      </w:pPr>
      <w:r>
        <w:t>cererea (nr. 17412/16) îndreptată împotriva României, prin care un resortisant al acestui stat, domnul Vasile Sorin Marin („reclamantul”), a sesizat Curtea, la 23 martie 2016, în temeiul art. 34 din Convenția pentru apărarea drepturilor omului și a libertăților fundamentale („Convenția“);</w:t>
      </w:r>
    </w:p>
    <w:p w:rsidR="00761D85" w:rsidRPr="00325F5F" w:rsidRDefault="005A30A0" w:rsidP="00325F5F">
      <w:pPr>
        <w:pStyle w:val="JuPara"/>
      </w:pPr>
      <w:r>
        <w:t>decizia de a comunica Guvernului României („Guvernul”) capătul de cerere privind art. 4 din Protocolul nr. 7 la Convenție;</w:t>
      </w:r>
    </w:p>
    <w:p w:rsidR="00761D85" w:rsidRPr="00325F5F" w:rsidRDefault="005A30A0" w:rsidP="00325F5F">
      <w:pPr>
        <w:pStyle w:val="JuPara"/>
      </w:pPr>
      <w:r>
        <w:t>observațiile părților;</w:t>
      </w:r>
    </w:p>
    <w:p w:rsidR="009F4C8F" w:rsidRPr="00325F5F" w:rsidRDefault="005A30A0" w:rsidP="00325F5F">
      <w:pPr>
        <w:pStyle w:val="JuPara"/>
      </w:pPr>
      <w:r>
        <w:t>După ce a deliberat în camera de consiliu la 12 septembrie 2023,</w:t>
      </w:r>
    </w:p>
    <w:p w:rsidR="009F4C8F" w:rsidRPr="00325F5F" w:rsidRDefault="005A30A0" w:rsidP="00325F5F">
      <w:pPr>
        <w:pStyle w:val="JuPara"/>
      </w:pPr>
      <w:r>
        <w:t>Pronunță prezenta hotărâre, adoptată la aceeași dată:</w:t>
      </w:r>
    </w:p>
    <w:p w:rsidR="00761D85" w:rsidRPr="00325F5F" w:rsidRDefault="005A30A0" w:rsidP="00325F5F">
      <w:pPr>
        <w:pStyle w:val="JuHHead"/>
        <w:numPr>
          <w:ilvl w:val="0"/>
          <w:numId w:val="0"/>
        </w:numPr>
      </w:pPr>
      <w:r>
        <w:t>INTRODUCERE</w:t>
      </w:r>
    </w:p>
    <w:p w:rsidR="00761D85" w:rsidRPr="00325F5F" w:rsidRDefault="003130F1" w:rsidP="00325F5F">
      <w:pPr>
        <w:pStyle w:val="JuPara"/>
      </w:pPr>
      <w:r>
        <w:fldChar w:fldCharType="begin"/>
      </w:r>
      <w:r>
        <w:instrText xml:space="preserve"> SEQ level0 \*arabic </w:instrText>
      </w:r>
      <w:r>
        <w:fldChar w:fldCharType="separate"/>
      </w:r>
      <w:r>
        <w:rPr>
          <w:noProof/>
        </w:rPr>
        <w:t>1</w:t>
      </w:r>
      <w:r>
        <w:fldChar w:fldCharType="end"/>
      </w:r>
      <w:r w:rsidR="005A30A0">
        <w:t>.</w:t>
      </w:r>
      <w:r w:rsidR="00061D78">
        <w:t xml:space="preserve"> </w:t>
      </w:r>
      <w:r w:rsidR="005A30A0">
        <w:t>Cauza privește susținerile reclamantului potrivit cărora acesta ar fi fost pedepsit de două ori, în primul rând cu o amendă și, ulterior, cu o condamnare pentru aceeași faptă, cu încălcarea dreptului de a nu fi judecat și condamnat de două ori pentru aceeași infracțiune, drept prevăzut la art. 4 din Protocolul nr. 7 la Convenție.</w:t>
      </w:r>
    </w:p>
    <w:p w:rsidR="00761D85" w:rsidRPr="00325F5F" w:rsidRDefault="005A30A0" w:rsidP="0047462E">
      <w:pPr>
        <w:pStyle w:val="JuHHead"/>
      </w:pPr>
      <w:r>
        <w:t>ÎN FAPT</w:t>
      </w:r>
    </w:p>
    <w:p w:rsidR="00761D85" w:rsidRPr="00325F5F" w:rsidRDefault="003130F1" w:rsidP="00325F5F">
      <w:pPr>
        <w:pStyle w:val="JuPara"/>
      </w:pPr>
      <w:r>
        <w:fldChar w:fldCharType="begin"/>
      </w:r>
      <w:r>
        <w:instrText xml:space="preserve"> SEQ level0 \*arabic </w:instrText>
      </w:r>
      <w:r>
        <w:fldChar w:fldCharType="separate"/>
      </w:r>
      <w:r>
        <w:rPr>
          <w:noProof/>
        </w:rPr>
        <w:t>2</w:t>
      </w:r>
      <w:r>
        <w:fldChar w:fldCharType="end"/>
      </w:r>
      <w:r w:rsidR="005A30A0">
        <w:t>.</w:t>
      </w:r>
      <w:r w:rsidR="00061D78">
        <w:t xml:space="preserve"> </w:t>
      </w:r>
      <w:r w:rsidR="005A30A0">
        <w:t xml:space="preserve">Reclamantul s-a născut în 1981 și locuiește în Bacău. El a fost reprezentat de dl </w:t>
      </w:r>
      <w:bookmarkStart w:id="4" w:name="_Hlk147148531"/>
      <w:r w:rsidR="005A30A0">
        <w:t xml:space="preserve">G.-B. </w:t>
      </w:r>
      <w:proofErr w:type="spellStart"/>
      <w:r w:rsidR="005A30A0">
        <w:t>Pocovnicu</w:t>
      </w:r>
      <w:bookmarkEnd w:id="4"/>
      <w:proofErr w:type="spellEnd"/>
      <w:r w:rsidR="005A30A0">
        <w:t>, avocat în Bacău.</w:t>
      </w:r>
    </w:p>
    <w:p w:rsidR="00761D85" w:rsidRPr="00325F5F" w:rsidRDefault="003130F1" w:rsidP="00325F5F">
      <w:pPr>
        <w:pStyle w:val="JuPara"/>
      </w:pPr>
      <w:r>
        <w:fldChar w:fldCharType="begin"/>
      </w:r>
      <w:r>
        <w:instrText xml:space="preserve"> SEQ level0 \*arabic </w:instrText>
      </w:r>
      <w:r>
        <w:fldChar w:fldCharType="separate"/>
      </w:r>
      <w:r>
        <w:rPr>
          <w:noProof/>
        </w:rPr>
        <w:t>3</w:t>
      </w:r>
      <w:r>
        <w:fldChar w:fldCharType="end"/>
      </w:r>
      <w:r w:rsidR="005A30A0">
        <w:t>.</w:t>
      </w:r>
      <w:r w:rsidR="00061D78">
        <w:t xml:space="preserve"> </w:t>
      </w:r>
      <w:r w:rsidR="005A30A0">
        <w:t xml:space="preserve">Guvernul a fost reprezentat de agentul său guvernamental, doamna O.F. </w:t>
      </w:r>
      <w:proofErr w:type="spellStart"/>
      <w:r w:rsidR="005A30A0">
        <w:t>Ezer</w:t>
      </w:r>
      <w:proofErr w:type="spellEnd"/>
      <w:r w:rsidR="005A30A0">
        <w:t>, din cadrul Ministerului Afacerilor Externe,</w:t>
      </w:r>
    </w:p>
    <w:p w:rsidR="00761D85" w:rsidRPr="00325F5F" w:rsidRDefault="003130F1" w:rsidP="00325F5F">
      <w:pPr>
        <w:pStyle w:val="JuPara"/>
      </w:pPr>
      <w:r>
        <w:fldChar w:fldCharType="begin"/>
      </w:r>
      <w:r>
        <w:instrText xml:space="preserve"> SEQ level0 \*arabic </w:instrText>
      </w:r>
      <w:r>
        <w:fldChar w:fldCharType="separate"/>
      </w:r>
      <w:r>
        <w:rPr>
          <w:noProof/>
        </w:rPr>
        <w:t>4</w:t>
      </w:r>
      <w:r>
        <w:fldChar w:fldCharType="end"/>
      </w:r>
      <w:r w:rsidR="005A30A0">
        <w:t>.</w:t>
      </w:r>
      <w:r w:rsidR="00061D78">
        <w:t xml:space="preserve"> </w:t>
      </w:r>
      <w:r w:rsidR="005A30A0">
        <w:t>Faptele cauzei pot fi rezumate după cum urmează.</w:t>
      </w:r>
    </w:p>
    <w:p w:rsidR="00761D85" w:rsidRPr="00325F5F" w:rsidRDefault="005A30A0" w:rsidP="0047462E">
      <w:pPr>
        <w:pStyle w:val="JuHIRoman"/>
      </w:pPr>
      <w:r>
        <w:t>Incidentul din 24/25 septembrie 2011</w:t>
      </w:r>
    </w:p>
    <w:p w:rsidR="00761D85" w:rsidRPr="00325F5F" w:rsidRDefault="00834E9D" w:rsidP="00325F5F">
      <w:pPr>
        <w:pStyle w:val="JuPara"/>
      </w:pPr>
      <w:fldSimple w:instr=" SEQ level0 \*arabic \* MERGEFORMAT ">
        <w:bookmarkStart w:id="5" w:name="paragraph00005"/>
        <w:r w:rsidR="003130F1">
          <w:rPr>
            <w:noProof/>
          </w:rPr>
          <w:t>5</w:t>
        </w:r>
        <w:bookmarkEnd w:id="5"/>
      </w:fldSimple>
      <w:r w:rsidR="005A30A0">
        <w:t>.</w:t>
      </w:r>
      <w:r w:rsidR="00061D78">
        <w:t xml:space="preserve"> </w:t>
      </w:r>
      <w:r w:rsidR="005A30A0">
        <w:t xml:space="preserve">În noaptea de 24/25 septembrie 2011, câteva sute de persoane au participat la un program de divertisment la Clubul K. (denumit în continuare „clubul”), aflat în centrul comercial C.P. din </w:t>
      </w:r>
      <w:r w:rsidR="00061D78">
        <w:t>Bacău</w:t>
      </w:r>
      <w:r w:rsidR="005A30A0">
        <w:t>. Printre clienții clubului s-au numărat două grupuri de persoane, unul format din patru indivizi (inclusiv numitul R.C.), iar celălalt din șase indivizi (inclusiv reclamantul). Având în vedere că între cele două grupuri exista o stare conflictuală mai veche, angajații clubului le-au rezervat canapele în locuri diferite ale localului, și anume, unul lângă intrarea în club, celălalt în partea din spate a clubului.</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6</w:t>
      </w:r>
      <w:r w:rsidRPr="00325F5F">
        <w:fldChar w:fldCharType="end"/>
      </w:r>
      <w:r>
        <w:t>.</w:t>
      </w:r>
      <w:r w:rsidR="00061D78">
        <w:t xml:space="preserve"> </w:t>
      </w:r>
      <w:r>
        <w:t>În jurul orei 3.40, reclamantul s-a ridicat de la locul său, având o sticlă în mână, și s-a îndreptat în grabă către ușă, îmbrâncind mai multe persoane aflate pe culoarul de ieșire. Acesta a fost urmat îndeaproape de către persoanele din grupul său.</w:t>
      </w:r>
    </w:p>
    <w:p w:rsidR="00761D85" w:rsidRPr="00325F5F" w:rsidRDefault="005A30A0" w:rsidP="00325F5F">
      <w:pPr>
        <w:pStyle w:val="JuPara"/>
      </w:pPr>
      <w:r>
        <w:t>Întrucât administratorul clubului cunoștea că între reclamant și R.C. au mai avut loc conflicte a încercat să intervină pentru a-l opri pe reclamant să îl atace pe R.C. Reclamantul a căzut pe podea, însă, la scurt timp după aceea, s-a ridicat și și-a continuat drumul spre R.C., pe care a încercat să-l lovească.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7</w:t>
      </w:r>
      <w:r w:rsidRPr="00325F5F">
        <w:fldChar w:fldCharType="end"/>
      </w:r>
      <w:r>
        <w:t>.</w:t>
      </w:r>
      <w:r w:rsidR="00061D78">
        <w:t xml:space="preserve"> </w:t>
      </w:r>
      <w:r>
        <w:t>În acel moment s-a creat o busculadă, în care membrii celor două grupuri s-au împins reciproc, s-au urcat pe mese și pe canapele, spărgând mai multe sticle și pahare. R.C. a folosit gaz lacrimogen, pulverizându-l în direcția în care avea loc încăierarea. Mai mulți agenți de securitate au intervenit și l-au evacuat pe reclamant și pe membrii grupului său în afara clubului.</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8</w:t>
      </w:r>
      <w:r w:rsidRPr="00325F5F">
        <w:fldChar w:fldCharType="end"/>
      </w:r>
      <w:r>
        <w:t>.</w:t>
      </w:r>
      <w:r w:rsidR="00061D78">
        <w:t xml:space="preserve"> </w:t>
      </w:r>
      <w:r>
        <w:t xml:space="preserve">Numitul I.Ș., prezent de asemenea în club și care mai avusese conflicte cu cei din grupului reclamantului, s-a îndreptat către reclamant și a avut o discuție contradictorie cu acesta, în același timp împingându-l cu mâinile. S-a creat o nouă busculadă între aceste persoane care au început să-și adreseze injurii și să gesticuleze provocator. În cele din urmă, I.Ș. a fost lovit în zona capului de unul dintre cei din grupul reclamantului; acesta s-a retras în fugă spre intrarea din club, fiind urmărit de reclamant și de câțiva dintre prietenii săi. I.Ș. a intrat din nou în club, unde, așa cum au reținut instanțele interne (a se vedea procedurile descrise în capitolul IV </w:t>
      </w:r>
      <w:r>
        <w:rPr>
          <w:i/>
          <w:iCs/>
        </w:rPr>
        <w:t>infra</w:t>
      </w:r>
      <w:r>
        <w:t>), „probabil pentru a se defula în urma loviturilor primite de la numiții P.F., P.D. și M.V.S. (reclamantul)”, l-a lovit și l-a împins pe V.Ș.A. Între timp, R.C. a continuat să fie recalcitrant și a aruncat o sticlă spre bar. I.Ș., R.C. și alte persoane din grupul lui R.C. s-au îndreptat spre ieșirea din club și apoi au ieșit din clădire, cu intenția clară de a se confrunta din nou cu grupul advers, anume cel al reclamantului.</w:t>
      </w:r>
    </w:p>
    <w:p w:rsidR="00761D85" w:rsidRPr="00325F5F" w:rsidRDefault="00834E9D" w:rsidP="00325F5F">
      <w:pPr>
        <w:pStyle w:val="JuPara"/>
      </w:pPr>
      <w:fldSimple w:instr=" SEQ level0 \*arabic \* MERGEFORMAT ">
        <w:bookmarkStart w:id="6" w:name="paragraph00009"/>
        <w:r w:rsidR="003130F1">
          <w:rPr>
            <w:noProof/>
          </w:rPr>
          <w:t>9</w:t>
        </w:r>
        <w:bookmarkEnd w:id="6"/>
      </w:fldSimple>
      <w:r w:rsidR="005A30A0">
        <w:t>.</w:t>
      </w:r>
      <w:r w:rsidR="00061D78">
        <w:t xml:space="preserve"> </w:t>
      </w:r>
      <w:r w:rsidR="005A30A0">
        <w:t>Ca urmare a atitudinii acestora, mulți clienți au decis să părăsească definitiv centrul comercial.</w:t>
      </w:r>
    </w:p>
    <w:p w:rsidR="00761D85" w:rsidRPr="00325F5F" w:rsidRDefault="005A30A0" w:rsidP="0047462E">
      <w:pPr>
        <w:pStyle w:val="JuHIRoman"/>
      </w:pPr>
      <w:r>
        <w:t>Plângerile terților</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10</w:t>
      </w:r>
      <w:r w:rsidRPr="00325F5F">
        <w:fldChar w:fldCharType="end"/>
      </w:r>
      <w:r>
        <w:t>.</w:t>
      </w:r>
      <w:r w:rsidR="00061D78">
        <w:t xml:space="preserve"> </w:t>
      </w:r>
      <w:r>
        <w:t>La 25 septembrie 2011, administratorul clubului a informat organele de cercetare penală cu privire la faptul că, în primele ore ale aceleiași zile, două grupuri de persoane au provocat scandal, în urma căruia au fost distruse mai multe bunuri din incinta clubului și mai mulți clienți au părăsit localul.</w:t>
      </w:r>
      <w:r w:rsidR="00061D78">
        <w:t xml:space="preserve"> </w:t>
      </w:r>
      <w:r>
        <w:t>Plângerea nu a fost însoțită de nicio pretenție civilă. La o dată nespecificată, plângerea a fost retrasă.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11</w:t>
      </w:r>
      <w:r w:rsidRPr="00325F5F">
        <w:fldChar w:fldCharType="end"/>
      </w:r>
      <w:r>
        <w:t>.</w:t>
      </w:r>
      <w:r w:rsidR="00061D78">
        <w:t xml:space="preserve"> </w:t>
      </w:r>
      <w:r>
        <w:t>În aceeași zi, I.Ș. a depus o plângere penală împotriva lui P.F. și a reclamantului pentru lovirile din club. Ulterior, acesta și-a retras plângerea.</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12</w:t>
      </w:r>
      <w:r w:rsidRPr="00325F5F">
        <w:fldChar w:fldCharType="end"/>
      </w:r>
      <w:r>
        <w:t>.</w:t>
      </w:r>
      <w:r w:rsidR="00061D78">
        <w:t xml:space="preserve"> </w:t>
      </w:r>
      <w:r>
        <w:t>La 27 septembrie 2011, numiții L.D.B. și P.F. au sesizat organele de cercetare penală cu privire la faptul că au fost loviți în interiorul clubului de I.Ș. și T.C.I. și, respectiv, de I.Ș., și că ordinea publică a fost tulburată cu această ocazie. La o dată nespecificată, L.D.B. și-a retras plângerea.</w:t>
      </w:r>
    </w:p>
    <w:p w:rsidR="00761D85" w:rsidRPr="00325F5F" w:rsidRDefault="005A30A0" w:rsidP="0047462E">
      <w:pPr>
        <w:pStyle w:val="JuHIRoman"/>
      </w:pPr>
      <w:r>
        <w:t>Procesul-verbal de contravenție și amenda impuse reclamantului pentru fapte de tulburare a ordinii și liniștii publice.</w:t>
      </w:r>
    </w:p>
    <w:p w:rsidR="00761D85" w:rsidRPr="00325F5F" w:rsidRDefault="003130F1" w:rsidP="00325F5F">
      <w:pPr>
        <w:pStyle w:val="JuPara"/>
      </w:pPr>
      <w:r>
        <w:fldChar w:fldCharType="begin"/>
      </w:r>
      <w:r>
        <w:instrText xml:space="preserve"> SEQ level0 \*arabic </w:instrText>
      </w:r>
      <w:r>
        <w:fldChar w:fldCharType="separate"/>
      </w:r>
      <w:bookmarkStart w:id="7" w:name="paragraph00013"/>
      <w:r>
        <w:rPr>
          <w:noProof/>
        </w:rPr>
        <w:t>13</w:t>
      </w:r>
      <w:bookmarkEnd w:id="7"/>
      <w:r>
        <w:fldChar w:fldCharType="end"/>
      </w:r>
      <w:r w:rsidR="005A30A0">
        <w:t>.</w:t>
      </w:r>
      <w:r w:rsidR="00061D78">
        <w:t xml:space="preserve"> </w:t>
      </w:r>
      <w:r w:rsidR="005A30A0">
        <w:t>La 28 septembrie 2011, s-a întocmit un proces-verbal de contravenție. În temeiul art. 3 pct. 24 din Legea nr. 61/1991 pentru sancționarea faptelor de încălcare a unor norme de conviețuire socială, a ordinii și liniștii publice (</w:t>
      </w:r>
      <w:r w:rsidR="005A30A0">
        <w:rPr>
          <w:i/>
          <w:iCs/>
        </w:rPr>
        <w:t>infra</w:t>
      </w:r>
      <w:r w:rsidR="005A30A0">
        <w:t xml:space="preserve">, pct. </w:t>
      </w:r>
      <w:r w:rsidR="005A30A0" w:rsidRPr="00325F5F">
        <w:fldChar w:fldCharType="begin"/>
      </w:r>
      <w:r w:rsidR="005A30A0" w:rsidRPr="00325F5F">
        <w:instrText xml:space="preserve"> REF paragraph00029 \h  \* CharFormat </w:instrText>
      </w:r>
      <w:r w:rsidR="005A30A0" w:rsidRPr="00325F5F">
        <w:fldChar w:fldCharType="separate"/>
      </w:r>
      <w:r w:rsidRPr="00325F5F">
        <w:t>29</w:t>
      </w:r>
      <w:r w:rsidR="005A30A0" w:rsidRPr="00325F5F">
        <w:fldChar w:fldCharType="end"/>
      </w:r>
      <w:r w:rsidR="005A30A0">
        <w:t>), reclamantul a primit o amendă în cuantum de 200 de lei românești (RON – aproximativ 50 de euro) pentru o contravenție comisă în noaptea din 24/25 septembrie 2011, în legătură cu tulburarea ordinii și liniștii publice. Conform procesului verbal:</w:t>
      </w:r>
    </w:p>
    <w:p w:rsidR="00761D85" w:rsidRPr="00325F5F" w:rsidRDefault="005A30A0" w:rsidP="00325F5F">
      <w:pPr>
        <w:pStyle w:val="JuQuot"/>
      </w:pPr>
      <w:r>
        <w:t>„În timp ce se afla în Clubul K., acesta a provocat și, împreună cu I.Ș., R.C. și S.M., a participat la un scandal, stârnind indignarea publică.”</w:t>
      </w:r>
    </w:p>
    <w:p w:rsidR="00761D85" w:rsidRPr="00325F5F" w:rsidRDefault="00834E9D" w:rsidP="00325F5F">
      <w:pPr>
        <w:pStyle w:val="JuPara"/>
      </w:pPr>
      <w:fldSimple w:instr=" SEQ level0 \*arabic \* MERGEFORMAT ">
        <w:bookmarkStart w:id="8" w:name="paragraph00014"/>
        <w:r w:rsidR="003130F1">
          <w:rPr>
            <w:noProof/>
          </w:rPr>
          <w:t>14</w:t>
        </w:r>
        <w:bookmarkEnd w:id="8"/>
      </w:fldSimple>
      <w:r w:rsidR="005A30A0">
        <w:t>.</w:t>
      </w:r>
      <w:r w:rsidR="00061D78">
        <w:t xml:space="preserve"> </w:t>
      </w:r>
      <w:r w:rsidR="005A30A0">
        <w:t>Procesul-verbal, care preciza că poate fi contestat în termen de cincisprezece zile de la notificarea autorului contravenției, nu a fost contestat niciodată de reclamant, care a plătit amenda la o dată ulterioară nespecificată.</w:t>
      </w:r>
    </w:p>
    <w:p w:rsidR="00761D85" w:rsidRPr="00325F5F" w:rsidRDefault="005A30A0" w:rsidP="0047462E">
      <w:pPr>
        <w:pStyle w:val="JuHIRoman"/>
      </w:pPr>
      <w:r>
        <w:t>Procesul penal împotriva reclamantului pentru ultraj contra bunelor moravuri și tulburarea ordinii și liniștii publice</w:t>
      </w:r>
    </w:p>
    <w:p w:rsidR="00761D85" w:rsidRPr="00325F5F" w:rsidRDefault="00834E9D" w:rsidP="00325F5F">
      <w:pPr>
        <w:pStyle w:val="JuPara"/>
      </w:pPr>
      <w:fldSimple w:instr=" SEQ level0 \*arabic \* MERGEFORMAT ">
        <w:bookmarkStart w:id="9" w:name="paragraph00015"/>
        <w:r w:rsidR="003130F1">
          <w:rPr>
            <w:noProof/>
          </w:rPr>
          <w:t>15</w:t>
        </w:r>
        <w:bookmarkEnd w:id="9"/>
      </w:fldSimple>
      <w:r w:rsidR="005A30A0">
        <w:t>.</w:t>
      </w:r>
      <w:r w:rsidR="00061D78">
        <w:t xml:space="preserve"> </w:t>
      </w:r>
      <w:r w:rsidR="005A30A0">
        <w:t>La 25 septembrie 2011, a fost începută urmărirea penală, în legătură cu incidentul din 24/25 septembrie 2011 (</w:t>
      </w:r>
      <w:r w:rsidR="005A30A0">
        <w:rPr>
          <w:i/>
          <w:iCs/>
        </w:rPr>
        <w:t>supra</w:t>
      </w:r>
      <w:r w:rsidR="005A30A0">
        <w:t xml:space="preserve">, pct. </w:t>
      </w:r>
      <w:r w:rsidR="005A30A0" w:rsidRPr="00325F5F">
        <w:fldChar w:fldCharType="begin"/>
      </w:r>
      <w:r w:rsidR="005A30A0" w:rsidRPr="00325F5F">
        <w:instrText xml:space="preserve"> REF paragraph00005 \h  \* CharFormat  \* MERGEFORMAT </w:instrText>
      </w:r>
      <w:r w:rsidR="005A30A0" w:rsidRPr="00325F5F">
        <w:fldChar w:fldCharType="separate"/>
      </w:r>
      <w:r w:rsidR="003130F1">
        <w:t>5</w:t>
      </w:r>
      <w:r w:rsidR="005A30A0" w:rsidRPr="00325F5F">
        <w:fldChar w:fldCharType="end"/>
      </w:r>
      <w:r w:rsidR="005A30A0">
        <w:t xml:space="preserve"> -</w:t>
      </w:r>
      <w:r w:rsidR="005A30A0" w:rsidRPr="00325F5F">
        <w:fldChar w:fldCharType="begin"/>
      </w:r>
      <w:r w:rsidR="005A30A0" w:rsidRPr="00325F5F">
        <w:instrText xml:space="preserve"> REF paragraph00009 \h  \* CharFormat  \* MERGEFORMAT </w:instrText>
      </w:r>
      <w:r w:rsidR="005A30A0" w:rsidRPr="00325F5F">
        <w:fldChar w:fldCharType="separate"/>
      </w:r>
      <w:r w:rsidR="003130F1">
        <w:t>9</w:t>
      </w:r>
      <w:r w:rsidR="005A30A0" w:rsidRPr="00325F5F">
        <w:fldChar w:fldCharType="end"/>
      </w:r>
      <w:r w:rsidR="005A30A0">
        <w:t xml:space="preserve">), față de mai multe persoane, inclusiv reclamantul, care au fost învinuiți de comiterea infracțiunii prevăzute la art. 321 alin. (2) C. </w:t>
      </w:r>
      <w:proofErr w:type="spellStart"/>
      <w:r w:rsidR="005A30A0">
        <w:t>pen</w:t>
      </w:r>
      <w:proofErr w:type="spellEnd"/>
      <w:r w:rsidR="005A30A0">
        <w:t xml:space="preserve">. în vigoare la acea dată („vechiul Cod penal” – </w:t>
      </w:r>
      <w:r w:rsidR="005A30A0">
        <w:rPr>
          <w:i/>
          <w:iCs/>
        </w:rPr>
        <w:t>infra</w:t>
      </w:r>
      <w:r w:rsidR="005A30A0">
        <w:t xml:space="preserve">, pct. </w:t>
      </w:r>
      <w:r w:rsidR="005A30A0" w:rsidRPr="00325F5F">
        <w:fldChar w:fldCharType="begin"/>
      </w:r>
      <w:r w:rsidR="005A30A0" w:rsidRPr="00325F5F">
        <w:instrText xml:space="preserve"> REF paragraph00028 \h  \* CharFormat </w:instrText>
      </w:r>
      <w:r w:rsidR="005A30A0" w:rsidRPr="00325F5F">
        <w:fldChar w:fldCharType="separate"/>
      </w:r>
      <w:r w:rsidR="003130F1" w:rsidRPr="00325F5F">
        <w:t>28</w:t>
      </w:r>
      <w:r w:rsidR="005A30A0" w:rsidRPr="00325F5F">
        <w:fldChar w:fldCharType="end"/>
      </w:r>
      <w:r w:rsidR="005A30A0">
        <w:t>).</w:t>
      </w:r>
    </w:p>
    <w:p w:rsidR="00761D85" w:rsidRPr="00325F5F" w:rsidRDefault="005A30A0" w:rsidP="00325F5F">
      <w:pPr>
        <w:pStyle w:val="JuPara"/>
      </w:pPr>
      <w:r>
        <w:t xml:space="preserve">Dovezile prezentate în acest caz au constat, </w:t>
      </w:r>
      <w:r>
        <w:rPr>
          <w:i/>
        </w:rPr>
        <w:t>inter alia</w:t>
      </w:r>
      <w:r>
        <w:t xml:space="preserve">, în declarații ale martorilor luate între septembrie și decembrie 2011, planșe </w:t>
      </w:r>
      <w:proofErr w:type="spellStart"/>
      <w:r>
        <w:t>foto</w:t>
      </w:r>
      <w:proofErr w:type="spellEnd"/>
      <w:r>
        <w:t xml:space="preserve"> și filmări video de pe camerele de securitate.</w:t>
      </w:r>
    </w:p>
    <w:p w:rsidR="00761D85" w:rsidRPr="00325F5F" w:rsidRDefault="00834E9D" w:rsidP="00325F5F">
      <w:pPr>
        <w:pStyle w:val="JuPara"/>
      </w:pPr>
      <w:fldSimple w:instr=" SEQ level0 \*arabic \* MERGEFORMAT ">
        <w:bookmarkStart w:id="10" w:name="paragraph00016"/>
        <w:r w:rsidR="003130F1">
          <w:rPr>
            <w:noProof/>
          </w:rPr>
          <w:t>16</w:t>
        </w:r>
        <w:bookmarkEnd w:id="10"/>
      </w:fldSimple>
      <w:r w:rsidR="005A30A0">
        <w:t>.</w:t>
      </w:r>
      <w:r w:rsidR="00061D78">
        <w:t xml:space="preserve"> </w:t>
      </w:r>
      <w:r w:rsidR="005A30A0">
        <w:t xml:space="preserve">Reclamantul a fost trimis în judecată la 22 martie 2012 pentru comiterea infracțiunii prevăzută la art. 321 alin. (2) din vechiul Cod penal pentru că </w:t>
      </w:r>
    </w:p>
    <w:p w:rsidR="00761D85" w:rsidRPr="00325F5F" w:rsidRDefault="005A30A0" w:rsidP="00325F5F">
      <w:pPr>
        <w:pStyle w:val="JuQuot"/>
      </w:pPr>
      <w:r>
        <w:t xml:space="preserve">„[...] a provocat scandal în incinta C.P. din Bacău, în urma căruia au fost distruse mai multe bunuri din interiorul Clubului K., a fost întrerupt programul de divertisment, iar peste 200 clienți au părăsit localul, indignați și speriați de manifestarea antisocială a reclamantului [și a </w:t>
      </w:r>
      <w:r w:rsidR="00061D78">
        <w:t>celorlalți</w:t>
      </w:r>
      <w:r>
        <w:t xml:space="preserve"> inculpați] [...]</w:t>
      </w:r>
      <w:r w:rsidR="00061D78">
        <w:t>.</w:t>
      </w:r>
      <w:r>
        <w:t>”</w:t>
      </w:r>
    </w:p>
    <w:p w:rsidR="00761D85" w:rsidRPr="00325F5F" w:rsidRDefault="00834E9D" w:rsidP="00325F5F">
      <w:pPr>
        <w:pStyle w:val="JuPara"/>
      </w:pPr>
      <w:fldSimple w:instr=" SEQ level0 \*arabic \* MERGEFORMAT ">
        <w:bookmarkStart w:id="11" w:name="paragraph00017"/>
        <w:r w:rsidR="003130F1">
          <w:rPr>
            <w:noProof/>
          </w:rPr>
          <w:t>17</w:t>
        </w:r>
        <w:bookmarkEnd w:id="11"/>
      </w:fldSimple>
      <w:r w:rsidR="005A30A0">
        <w:t>.</w:t>
      </w:r>
      <w:r w:rsidR="00061D78">
        <w:t xml:space="preserve"> </w:t>
      </w:r>
      <w:r w:rsidR="005A30A0">
        <w:t xml:space="preserve">Reclamantul a contestat rechizitoriul prin prezentarea în fața Judecătoriei Bacău a unei excepții de </w:t>
      </w:r>
      <w:proofErr w:type="spellStart"/>
      <w:r w:rsidR="005A30A0">
        <w:rPr>
          <w:i/>
        </w:rPr>
        <w:t>res</w:t>
      </w:r>
      <w:proofErr w:type="spellEnd"/>
      <w:r w:rsidR="005A30A0">
        <w:rPr>
          <w:i/>
        </w:rPr>
        <w:t xml:space="preserve"> </w:t>
      </w:r>
      <w:proofErr w:type="spellStart"/>
      <w:r w:rsidR="005A30A0">
        <w:rPr>
          <w:i/>
        </w:rPr>
        <w:t>judicata</w:t>
      </w:r>
      <w:proofErr w:type="spellEnd"/>
      <w:r w:rsidR="005A30A0">
        <w:t>, susținând că a fost deja sancționat pentru aceeași faptă prin procesul-verbal de contravenție din 28 septembrie 2011 (</w:t>
      </w:r>
      <w:r w:rsidR="005A30A0">
        <w:rPr>
          <w:i/>
          <w:iCs/>
        </w:rPr>
        <w:t>supra</w:t>
      </w:r>
      <w:r w:rsidR="005A30A0">
        <w:t xml:space="preserve">, pct. </w:t>
      </w:r>
      <w:r w:rsidR="005A30A0" w:rsidRPr="00325F5F">
        <w:fldChar w:fldCharType="begin"/>
      </w:r>
      <w:r w:rsidR="005A30A0" w:rsidRPr="00325F5F">
        <w:instrText xml:space="preserve"> REF paragraph00013 \h  \* CharFormat </w:instrText>
      </w:r>
      <w:r w:rsidR="005A30A0" w:rsidRPr="00325F5F">
        <w:fldChar w:fldCharType="separate"/>
      </w:r>
      <w:r w:rsidR="003130F1">
        <w:t>13</w:t>
      </w:r>
      <w:r w:rsidR="005A30A0" w:rsidRPr="00325F5F">
        <w:fldChar w:fldCharType="end"/>
      </w:r>
      <w:r w:rsidR="005A30A0">
        <w:t xml:space="preserve">) și că, potrivit principiului </w:t>
      </w:r>
      <w:r w:rsidR="005A30A0">
        <w:rPr>
          <w:i/>
        </w:rPr>
        <w:t>ne bis in idem</w:t>
      </w:r>
      <w:r w:rsidR="005A30A0">
        <w:t>, acesta nu poate fi judecat, din nou, pentru fapte identice.</w:t>
      </w:r>
    </w:p>
    <w:p w:rsidR="00761D85" w:rsidRPr="00325F5F" w:rsidRDefault="00834E9D" w:rsidP="00325F5F">
      <w:pPr>
        <w:pStyle w:val="JuPara"/>
      </w:pPr>
      <w:fldSimple w:instr=" SEQ level0 \*arabic \* MERGEFORMAT ">
        <w:bookmarkStart w:id="12" w:name="paragraph00018"/>
        <w:r w:rsidR="003130F1">
          <w:rPr>
            <w:noProof/>
          </w:rPr>
          <w:t>18</w:t>
        </w:r>
        <w:bookmarkEnd w:id="12"/>
      </w:fldSimple>
      <w:r w:rsidR="005A30A0">
        <w:t>.</w:t>
      </w:r>
      <w:r w:rsidR="00061D78">
        <w:t xml:space="preserve"> </w:t>
      </w:r>
      <w:r w:rsidR="005A30A0">
        <w:t>În hotărârea pronunțată la 19 martie 2015, instanța a respins argumentele acestuia, considerând că, în măsura în care procesul-verbal de contravenție nu fusese contestat în fața unei instanțe (</w:t>
      </w:r>
      <w:r w:rsidR="005A30A0">
        <w:rPr>
          <w:i/>
          <w:iCs/>
        </w:rPr>
        <w:t>supra</w:t>
      </w:r>
      <w:r w:rsidR="005A30A0">
        <w:t xml:space="preserve">, pct. </w:t>
      </w:r>
      <w:r w:rsidR="005A30A0" w:rsidRPr="00325F5F">
        <w:fldChar w:fldCharType="begin"/>
      </w:r>
      <w:r w:rsidR="005A30A0" w:rsidRPr="00325F5F">
        <w:instrText xml:space="preserve"> REF paragraph00014 \h  \* CharFormat </w:instrText>
      </w:r>
      <w:r w:rsidR="005A30A0" w:rsidRPr="00325F5F">
        <w:fldChar w:fldCharType="separate"/>
      </w:r>
      <w:r w:rsidR="003130F1">
        <w:t>14</w:t>
      </w:r>
      <w:r w:rsidR="005A30A0" w:rsidRPr="00325F5F">
        <w:fldChar w:fldCharType="end"/>
      </w:r>
      <w:r w:rsidR="005A30A0">
        <w:t xml:space="preserve">), nu exista o hotărâre definitivă care să fie luată în considerare în aplicarea principiului de </w:t>
      </w:r>
      <w:proofErr w:type="spellStart"/>
      <w:r w:rsidR="005A30A0">
        <w:rPr>
          <w:i/>
        </w:rPr>
        <w:t>res</w:t>
      </w:r>
      <w:proofErr w:type="spellEnd"/>
      <w:r w:rsidR="005A30A0">
        <w:rPr>
          <w:i/>
        </w:rPr>
        <w:t xml:space="preserve"> </w:t>
      </w:r>
      <w:proofErr w:type="spellStart"/>
      <w:r w:rsidR="005A30A0">
        <w:rPr>
          <w:i/>
        </w:rPr>
        <w:t>judicata</w:t>
      </w:r>
      <w:proofErr w:type="spellEnd"/>
      <w:r w:rsidR="005A30A0">
        <w:t>. Un proces-verbal și constatările acestuia nu puteau fi considerate comparabile cu hotărârea definitivă pronunțată de o instanță.</w:t>
      </w:r>
    </w:p>
    <w:p w:rsidR="00761D85" w:rsidRPr="00325F5F" w:rsidRDefault="00834E9D" w:rsidP="00325F5F">
      <w:pPr>
        <w:pStyle w:val="JuPara"/>
      </w:pPr>
      <w:fldSimple w:instr=" SEQ level0 \*arabic \* MERGEFORMAT ">
        <w:bookmarkStart w:id="13" w:name="paragraph00019"/>
        <w:r w:rsidR="003130F1">
          <w:rPr>
            <w:noProof/>
          </w:rPr>
          <w:t>19</w:t>
        </w:r>
        <w:bookmarkEnd w:id="13"/>
      </w:fldSimple>
      <w:r w:rsidR="005A30A0">
        <w:t>.</w:t>
      </w:r>
      <w:r w:rsidR="00061D78">
        <w:t xml:space="preserve"> </w:t>
      </w:r>
      <w:r w:rsidR="005A30A0">
        <w:t>Pe de altă parte, potrivit judecătoriei, fapta sancționată prin procesul-verbal era diferită de fapta pentru care reclamantul fusese trimis în judecată. Procesul-verbal făcea trimitere la participarea reclamantului la „scandal”, care înseamnă „participa[rea] la un conflict verbal, strigăte, certuri, alarmă”; cu toate acestea, procesul penal în fața instanței a avut în vedere fapta de tulburare a ordinii și liniștii publice, care, începând cu 1 noiembrie 2014, când noul Cod penal, cu limitele de pedeapsă inferioare (</w:t>
      </w:r>
      <w:proofErr w:type="spellStart"/>
      <w:r w:rsidR="005A30A0">
        <w:rPr>
          <w:i/>
        </w:rPr>
        <w:t>lex</w:t>
      </w:r>
      <w:proofErr w:type="spellEnd"/>
      <w:r w:rsidR="005A30A0">
        <w:rPr>
          <w:i/>
        </w:rPr>
        <w:t xml:space="preserve"> </w:t>
      </w:r>
      <w:proofErr w:type="spellStart"/>
      <w:r w:rsidR="005A30A0">
        <w:rPr>
          <w:i/>
        </w:rPr>
        <w:t>mitior</w:t>
      </w:r>
      <w:proofErr w:type="spellEnd"/>
      <w:r w:rsidR="005A30A0">
        <w:t>), a intrat în vigoare, era prevăzută la articolul 371, care sancționa „fapta persoanei care, în public, prin violențe comise împotriva persoanelor sau bunurilor, sau prin amenințări sau atingeri grave aduse demnității persoanelor, tulbură ordinea și liniștea publică” (</w:t>
      </w:r>
      <w:r w:rsidR="005A30A0">
        <w:rPr>
          <w:i/>
          <w:iCs/>
        </w:rPr>
        <w:t>infra</w:t>
      </w:r>
      <w:r w:rsidR="005A30A0">
        <w:t xml:space="preserve">, pct. </w:t>
      </w:r>
      <w:r w:rsidR="005A30A0" w:rsidRPr="00325F5F">
        <w:fldChar w:fldCharType="begin"/>
      </w:r>
      <w:r w:rsidR="005A30A0" w:rsidRPr="00325F5F">
        <w:instrText xml:space="preserve"> REF paragraph00028 \h  \* CharFormat </w:instrText>
      </w:r>
      <w:r w:rsidR="005A30A0" w:rsidRPr="00325F5F">
        <w:fldChar w:fldCharType="separate"/>
      </w:r>
      <w:r w:rsidR="003130F1" w:rsidRPr="00325F5F">
        <w:t>28</w:t>
      </w:r>
      <w:r w:rsidR="005A30A0" w:rsidRPr="00325F5F">
        <w:fldChar w:fldCharType="end"/>
      </w:r>
      <w:r w:rsidR="005A30A0">
        <w:t>). În același timp, o amendă modică în cuantum de 200 RON nu putea avea caracterul unei sancțiuni penale.</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20</w:t>
      </w:r>
      <w:r w:rsidRPr="00325F5F">
        <w:fldChar w:fldCharType="end"/>
      </w:r>
      <w:r>
        <w:t>.</w:t>
      </w:r>
      <w:r w:rsidR="00061D78">
        <w:t xml:space="preserve"> </w:t>
      </w:r>
      <w:r>
        <w:t xml:space="preserve">Instanța de fond l-a condamnat pe reclamant pentru săvârșirea infracțiunii prevăzute la art. 371 C. </w:t>
      </w:r>
      <w:proofErr w:type="spellStart"/>
      <w:r>
        <w:t>pen</w:t>
      </w:r>
      <w:proofErr w:type="spellEnd"/>
      <w:r>
        <w:t>. la un an de închisoare, având în vedere antecedentele penale al reclamantului și contribuția avută de acesta la „</w:t>
      </w:r>
      <w:r>
        <w:rPr>
          <w:i/>
        </w:rPr>
        <w:t>nașterea, propagarea și alimentarea conflictului”</w:t>
      </w:r>
      <w:r>
        <w:t>.</w:t>
      </w:r>
    </w:p>
    <w:p w:rsidR="00761D85" w:rsidRPr="00325F5F" w:rsidRDefault="00834E9D" w:rsidP="00325F5F">
      <w:pPr>
        <w:pStyle w:val="JuPara"/>
      </w:pPr>
      <w:fldSimple w:instr=" SEQ level0 \*arabic \* MERGEFORMAT ">
        <w:bookmarkStart w:id="14" w:name="paragraph00021"/>
        <w:r w:rsidR="003130F1">
          <w:rPr>
            <w:noProof/>
          </w:rPr>
          <w:t>21</w:t>
        </w:r>
        <w:bookmarkEnd w:id="14"/>
      </w:fldSimple>
      <w:r w:rsidR="005A30A0">
        <w:t>.</w:t>
      </w:r>
      <w:r w:rsidR="00061D78">
        <w:t xml:space="preserve"> </w:t>
      </w:r>
      <w:r w:rsidR="005A30A0">
        <w:t xml:space="preserve">Reclamantul a declarat apel la Curtea de Apel Bacău. A reiterat cele două argumente principale: în primul rând, că a fost condamnat cu încălcarea principiului </w:t>
      </w:r>
      <w:r w:rsidR="005A30A0">
        <w:rPr>
          <w:i/>
        </w:rPr>
        <w:t>ne bis in idem</w:t>
      </w:r>
      <w:r w:rsidR="005A30A0">
        <w:t xml:space="preserve">; în al doilea rând, că nu a lovit, nu a distrus bunuri și nici nu a amenințat pe nimeni, pentru a justifica trimiterea sa în judecată pentru infracțiunea prevăzută la art. 371 C. </w:t>
      </w:r>
      <w:proofErr w:type="spellStart"/>
      <w:r w:rsidR="005A30A0">
        <w:t>pen</w:t>
      </w:r>
      <w:proofErr w:type="spellEnd"/>
      <w:r w:rsidR="005A30A0">
        <w:t>.</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22</w:t>
      </w:r>
      <w:r w:rsidRPr="00325F5F">
        <w:fldChar w:fldCharType="end"/>
      </w:r>
      <w:r>
        <w:t>.</w:t>
      </w:r>
      <w:r w:rsidR="00061D78">
        <w:t xml:space="preserve"> </w:t>
      </w:r>
      <w:r>
        <w:t xml:space="preserve">Acesta a invocat </w:t>
      </w:r>
      <w:bookmarkStart w:id="15" w:name="lt_pId428"/>
      <w:r>
        <w:t xml:space="preserve">hotărârea Curții de Justiție a Uniunii Europene din 11 februarie 2003 </w:t>
      </w:r>
      <w:proofErr w:type="spellStart"/>
      <w:r>
        <w:rPr>
          <w:i/>
        </w:rPr>
        <w:t>Gözütok</w:t>
      </w:r>
      <w:proofErr w:type="spellEnd"/>
      <w:r>
        <w:rPr>
          <w:i/>
        </w:rPr>
        <w:t xml:space="preserve"> și </w:t>
      </w:r>
      <w:proofErr w:type="spellStart"/>
      <w:r>
        <w:rPr>
          <w:i/>
        </w:rPr>
        <w:t>Brügge</w:t>
      </w:r>
      <w:proofErr w:type="spellEnd"/>
      <w:r>
        <w:t xml:space="preserve"> (cauzele conexate C-187/01 și C-385/01, EU: C:2003: 87, pct. 31)</w:t>
      </w:r>
      <w:bookmarkEnd w:id="15"/>
      <w:r>
        <w:t>, care afirma că o „hotărâre definitivă” este o decizie judecătorească care a rămas definitivă, dar și orice decizie definitivă emisă de o autoritate într-o cauză „penală”, în sensul Convenției.</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23</w:t>
      </w:r>
      <w:r w:rsidRPr="00325F5F">
        <w:fldChar w:fldCharType="end"/>
      </w:r>
      <w:r>
        <w:t>.</w:t>
      </w:r>
      <w:r w:rsidR="00061D78">
        <w:t xml:space="preserve"> </w:t>
      </w:r>
      <w:r>
        <w:t xml:space="preserve">De asemenea, făcând trimitere la </w:t>
      </w:r>
      <w:proofErr w:type="spellStart"/>
      <w:r>
        <w:rPr>
          <w:i/>
        </w:rPr>
        <w:t>Engel</w:t>
      </w:r>
      <w:proofErr w:type="spellEnd"/>
      <w:r>
        <w:rPr>
          <w:i/>
        </w:rPr>
        <w:t xml:space="preserve"> și alții împotriva Olandei</w:t>
      </w:r>
      <w:r>
        <w:t xml:space="preserve"> (8 iunie 1976, Seria A nr. 22), </w:t>
      </w:r>
      <w:r>
        <w:rPr>
          <w:i/>
        </w:rPr>
        <w:t>Ser</w:t>
      </w:r>
      <w:bookmarkStart w:id="16" w:name="cl36192"/>
      <w:r>
        <w:rPr>
          <w:i/>
        </w:rPr>
        <w:t xml:space="preserve">ghei </w:t>
      </w:r>
      <w:proofErr w:type="spellStart"/>
      <w:r>
        <w:rPr>
          <w:i/>
        </w:rPr>
        <w:t>Zolotuhin</w:t>
      </w:r>
      <w:proofErr w:type="spellEnd"/>
      <w:r>
        <w:rPr>
          <w:i/>
        </w:rPr>
        <w:t xml:space="preserve"> împotriva Rusiei</w:t>
      </w:r>
      <w:bookmarkEnd w:id="16"/>
      <w:r w:rsidR="00061D78">
        <w:t xml:space="preserve"> [(MC), nr. 14939/03, CEDO 2009]</w:t>
      </w:r>
      <w:r>
        <w:t xml:space="preserve"> și </w:t>
      </w:r>
      <w:proofErr w:type="spellStart"/>
      <w:r>
        <w:rPr>
          <w:i/>
        </w:rPr>
        <w:t>Țonio</w:t>
      </w:r>
      <w:proofErr w:type="spellEnd"/>
      <w:r>
        <w:rPr>
          <w:i/>
        </w:rPr>
        <w:t xml:space="preserve"> </w:t>
      </w:r>
      <w:proofErr w:type="spellStart"/>
      <w:r>
        <w:rPr>
          <w:i/>
        </w:rPr>
        <w:t>Țonev</w:t>
      </w:r>
      <w:proofErr w:type="spellEnd"/>
      <w:r>
        <w:rPr>
          <w:i/>
        </w:rPr>
        <w:t xml:space="preserve"> împotriva Bulgariei (nr. 2)</w:t>
      </w:r>
      <w:r>
        <w:t xml:space="preserve"> (nr. 2376/03, 14 ianuarie 2010), acesta a susținut că fapta descrisă în procesul-verbal și cea descrisă în rechizitoriu erau identice în fond, cu alte cuvinte a fost acuzat de două ori pentru faptul de a fi provocat scandal în public, ceea ce a generat tulburare și indignare. Acesta a indicat că, la 21 mai 2015, aceeași instanță de apel a decis, într-un caz similar, să înceteze procesul penal al unui acuzat ca </w:t>
      </w:r>
      <w:proofErr w:type="spellStart"/>
      <w:r>
        <w:rPr>
          <w:i/>
        </w:rPr>
        <w:t>res</w:t>
      </w:r>
      <w:proofErr w:type="spellEnd"/>
      <w:r>
        <w:rPr>
          <w:i/>
        </w:rPr>
        <w:t xml:space="preserve"> </w:t>
      </w:r>
      <w:proofErr w:type="spellStart"/>
      <w:r>
        <w:rPr>
          <w:i/>
        </w:rPr>
        <w:t>judicata</w:t>
      </w:r>
      <w:proofErr w:type="spellEnd"/>
      <w:r>
        <w:t xml:space="preserve">, pe baza faptului că principiul </w:t>
      </w:r>
      <w:r>
        <w:rPr>
          <w:i/>
        </w:rPr>
        <w:t>ne bis in idem</w:t>
      </w:r>
      <w:r>
        <w:t xml:space="preserve"> a fost încălcat prin impunerea unei amenzi și, ulterior, a unei pedepse penale pentru aceeași faptă.</w:t>
      </w:r>
    </w:p>
    <w:p w:rsidR="00761D85" w:rsidRPr="00325F5F" w:rsidRDefault="00834E9D" w:rsidP="00325F5F">
      <w:pPr>
        <w:pStyle w:val="JuPara"/>
      </w:pPr>
      <w:fldSimple w:instr=" SEQ level0 \*arabic \* MERGEFORMAT ">
        <w:bookmarkStart w:id="17" w:name="paragraph00024"/>
        <w:r w:rsidR="003130F1">
          <w:rPr>
            <w:noProof/>
          </w:rPr>
          <w:t>24</w:t>
        </w:r>
        <w:bookmarkEnd w:id="17"/>
      </w:fldSimple>
      <w:r w:rsidR="005A30A0">
        <w:t>.</w:t>
      </w:r>
      <w:r w:rsidR="00061D78">
        <w:t xml:space="preserve"> </w:t>
      </w:r>
      <w:r w:rsidR="005A30A0">
        <w:t>Reclamantul a susținut, de asemenea, că, potrivit dicționarului român, cuvântul „</w:t>
      </w:r>
      <w:r w:rsidR="005A30A0">
        <w:rPr>
          <w:i/>
        </w:rPr>
        <w:t>scandal</w:t>
      </w:r>
      <w:r w:rsidR="005A30A0">
        <w:t>” desemnează o reacție violentă de protest, ceartă însoțită adesea de bătaie, de deteriorări de obiecte etc., sau zgomot, gălăgie mare produsă de o asemenea ceartă; cuvântul nu face nicidecum trimitere în mod exclusiv la „violență verbală”, astfel cum a susținut de instanța de fond.</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25</w:t>
      </w:r>
      <w:r w:rsidRPr="00325F5F">
        <w:fldChar w:fldCharType="end"/>
      </w:r>
      <w:r>
        <w:t>.</w:t>
      </w:r>
      <w:r w:rsidR="00061D78">
        <w:t xml:space="preserve"> </w:t>
      </w:r>
      <w:r>
        <w:t>În sfârșit, acesta a subliniat faptul că personal nu a fost trimis în judecată pentru nici o faptă de lovire sau amenințare a unei persoane sau de distrugere de bunuri, filmarea de pe camera de supraveghere servind ca dovadă că nu a comis astfel de fapte.</w:t>
      </w:r>
    </w:p>
    <w:p w:rsidR="00761D85" w:rsidRPr="00325F5F" w:rsidRDefault="00834E9D" w:rsidP="00325F5F">
      <w:pPr>
        <w:pStyle w:val="JuPara"/>
      </w:pPr>
      <w:fldSimple w:instr=" SEQ level0 \*arabic \* MERGEFORMAT ">
        <w:bookmarkStart w:id="18" w:name="paragraph00026"/>
        <w:r w:rsidR="003130F1">
          <w:rPr>
            <w:noProof/>
          </w:rPr>
          <w:t>26</w:t>
        </w:r>
        <w:bookmarkEnd w:id="18"/>
      </w:fldSimple>
      <w:r w:rsidR="005A30A0">
        <w:t>.</w:t>
      </w:r>
      <w:r w:rsidR="00061D78">
        <w:t xml:space="preserve"> </w:t>
      </w:r>
      <w:r w:rsidR="005A30A0">
        <w:t xml:space="preserve">La 15 decembrie 2015, instanța de apel a confirmat condamnarea reclamantului. Hotărârea acesteia a fost comunicată reclamantului la 14 ianuarie 2016. Ca răspuns la argumentul </w:t>
      </w:r>
      <w:r w:rsidR="005A30A0">
        <w:rPr>
          <w:i/>
        </w:rPr>
        <w:t>ne bis in idem</w:t>
      </w:r>
      <w:r w:rsidR="005A30A0">
        <w:t xml:space="preserve"> prezentat de reclamant, instanța de apel, care distinge prezenta cauză de jurisprudența relevantă invocată de reclamant, a constatat că reclamantul fusese inițial sancționat pentru provocarea de scandal în public, fiind ulterior acuzat de fapte care depășeau gradul de gravitate al unei contravenții, și anume „pentru tulburarea gravă a liniștii și ordinii publice în contextul comiterii de violențe, amenințări și distrugeri de bunuri”.</w:t>
      </w:r>
    </w:p>
    <w:p w:rsidR="00761D85" w:rsidRPr="00325F5F" w:rsidRDefault="005A30A0" w:rsidP="00325F5F">
      <w:pPr>
        <w:pStyle w:val="JuPara"/>
      </w:pPr>
      <w:r>
        <w:t>Instanța de fond a stabilit în mod întemeiat că reclamantul, împreună cu alți coinculpați, provocaseră scandal, în urma căruia mai multe bunuri au fost distruse, toate acestea făcând ca mai mult de două sute de clienți să părăsească locul respectiv, indignați și speriați.</w:t>
      </w:r>
    </w:p>
    <w:p w:rsidR="00761D85" w:rsidRPr="00325F5F" w:rsidRDefault="00834E9D" w:rsidP="00325F5F">
      <w:pPr>
        <w:pStyle w:val="JuPara"/>
      </w:pPr>
      <w:fldSimple w:instr=" SEQ level0 \*arabic \* MERGEFORMAT ">
        <w:bookmarkStart w:id="19" w:name="paragraph00027"/>
        <w:r w:rsidR="003130F1">
          <w:rPr>
            <w:noProof/>
          </w:rPr>
          <w:t>27</w:t>
        </w:r>
        <w:bookmarkEnd w:id="19"/>
      </w:fldSimple>
      <w:r w:rsidR="005A30A0">
        <w:t>.</w:t>
      </w:r>
      <w:r w:rsidR="00061D78">
        <w:t xml:space="preserve"> </w:t>
      </w:r>
      <w:r w:rsidR="005A30A0">
        <w:t>De asemenea, Curtea a decis să anuleze executarea pedepsei cu închisoarea impusă reclamantului, constatând, printre altele că, în ceea ce privește condamnările anterioare ale acestuia, reabilitarea fusese îndeplinită. Au fost luate mai multe măsuri de probațiune în privința sa, inclusiv obligația de a efectua o sută de zile de muncă în folosul comunității.</w:t>
      </w:r>
    </w:p>
    <w:p w:rsidR="00761D85" w:rsidRPr="00325F5F" w:rsidRDefault="005A30A0" w:rsidP="0047462E">
      <w:pPr>
        <w:pStyle w:val="JuHHead"/>
      </w:pPr>
      <w:r>
        <w:t>CADRUL JURIDIC ȘI PRACTICA RELEVANTE</w:t>
      </w:r>
    </w:p>
    <w:p w:rsidR="00761D85" w:rsidRPr="00325F5F" w:rsidRDefault="003130F1" w:rsidP="00325F5F">
      <w:pPr>
        <w:pStyle w:val="JuPara"/>
      </w:pPr>
      <w:r>
        <w:fldChar w:fldCharType="begin"/>
      </w:r>
      <w:r>
        <w:instrText xml:space="preserve"> SEQ level0 \*arabic </w:instrText>
      </w:r>
      <w:r>
        <w:fldChar w:fldCharType="separate"/>
      </w:r>
      <w:bookmarkStart w:id="20" w:name="paragraph00028"/>
      <w:r>
        <w:rPr>
          <w:noProof/>
        </w:rPr>
        <w:t>28</w:t>
      </w:r>
      <w:bookmarkEnd w:id="20"/>
      <w:r>
        <w:fldChar w:fldCharType="end"/>
      </w:r>
      <w:r w:rsidR="005A30A0">
        <w:t>.</w:t>
      </w:r>
      <w:r w:rsidR="00061D78">
        <w:t xml:space="preserve"> </w:t>
      </w:r>
      <w:r w:rsidR="005A30A0">
        <w:t xml:space="preserve">Art. 321 din vechiul Cod penal și art. 371 C. </w:t>
      </w:r>
      <w:proofErr w:type="spellStart"/>
      <w:r w:rsidR="005A30A0">
        <w:t>pen</w:t>
      </w:r>
      <w:proofErr w:type="spellEnd"/>
      <w:r w:rsidR="005A30A0">
        <w:t>, astfel cum erau în vigoare la momentul faptelor, prevedeau următoarele:</w:t>
      </w:r>
    </w:p>
    <w:p w:rsidR="00761D85" w:rsidRPr="00325F5F" w:rsidRDefault="005A30A0" w:rsidP="00325F5F">
      <w:pPr>
        <w:pStyle w:val="JuHArticle"/>
      </w:pPr>
      <w:r>
        <w:t>Art. 321 – Ultraj contra bunelor moravuri și tulburarea ordinii și liniștii publice</w:t>
      </w:r>
    </w:p>
    <w:p w:rsidR="00761D85" w:rsidRPr="00325F5F" w:rsidRDefault="005A30A0" w:rsidP="00325F5F">
      <w:pPr>
        <w:pStyle w:val="JuQuot"/>
      </w:pPr>
      <w:r>
        <w:t>„(1) Fapta persoanei care, în public, săvârșește acte sau gesturi, proferează cuvinte ori expresii, sau se dedă la orice alte manifestări prin care se aduce atingere bunelor moravuri sau se produce scandal public ori se tulbură, în alt mod, liniștea și ordinea publică, se pedepsește cu închisoare de la unu la 5 ani.</w:t>
      </w:r>
    </w:p>
    <w:p w:rsidR="00761D85" w:rsidRPr="00325F5F" w:rsidRDefault="005A30A0" w:rsidP="00325F5F">
      <w:pPr>
        <w:pStyle w:val="JuQuot"/>
      </w:pPr>
      <w:r>
        <w:t>(2) Dacă prin fapta prevăzută la alin. 1 s-au tulburat grav liniștea și ordinea publică, pedeapsa este închisoarea de la 2 la 7 ani.”</w:t>
      </w:r>
    </w:p>
    <w:p w:rsidR="00761D85" w:rsidRPr="00325F5F" w:rsidRDefault="005A30A0" w:rsidP="00325F5F">
      <w:pPr>
        <w:pStyle w:val="JuHArticle"/>
      </w:pPr>
      <w:r>
        <w:t>Articolul 371 – Tulburarea ordinii și liniștii publice</w:t>
      </w:r>
    </w:p>
    <w:p w:rsidR="00761D85" w:rsidRPr="00325F5F" w:rsidRDefault="005A30A0" w:rsidP="00325F5F">
      <w:pPr>
        <w:pStyle w:val="JuQuot"/>
      </w:pPr>
      <w:r>
        <w:t>„Fapta persoanei care, în public, prin amenințări sau atingeri grave aduse demnității persoanelor, tulbură ordinea și liniștea publică se pedepsește cu închisoare de la 3 luni la 2 ani sau cu amendă.”</w:t>
      </w:r>
    </w:p>
    <w:p w:rsidR="00761D85" w:rsidRPr="00325F5F" w:rsidRDefault="00834E9D" w:rsidP="00325F5F">
      <w:pPr>
        <w:pStyle w:val="JuPara"/>
      </w:pPr>
      <w:fldSimple w:instr=" SEQ level0 \*arabic \* MERGEFORMAT ">
        <w:bookmarkStart w:id="21" w:name="paragraph00029"/>
        <w:r w:rsidR="003130F1">
          <w:rPr>
            <w:noProof/>
          </w:rPr>
          <w:t>29</w:t>
        </w:r>
        <w:bookmarkEnd w:id="21"/>
      </w:fldSimple>
      <w:r w:rsidR="005A30A0">
        <w:t>.</w:t>
      </w:r>
      <w:r w:rsidR="00061D78">
        <w:t xml:space="preserve"> </w:t>
      </w:r>
      <w:r w:rsidR="005A30A0">
        <w:t xml:space="preserve">Dispozițiile relevante ale Legii nr. 61/1991 pentru sancționarea faptelor de încălcare a unor norme de conviețuire socială, a ordinii </w:t>
      </w:r>
      <w:r w:rsidR="00061D78">
        <w:t>și</w:t>
      </w:r>
      <w:r w:rsidR="005A30A0">
        <w:t xml:space="preserve"> liniștii publice, în vigoare la momentul faptelor, se citesc după cum urmează:</w:t>
      </w:r>
    </w:p>
    <w:p w:rsidR="00761D85" w:rsidRPr="00325F5F" w:rsidRDefault="005A30A0" w:rsidP="00325F5F">
      <w:pPr>
        <w:pStyle w:val="JuHArticle"/>
      </w:pPr>
      <w:r>
        <w:t>Art. 1</w:t>
      </w:r>
    </w:p>
    <w:p w:rsidR="00761D85" w:rsidRPr="00325F5F" w:rsidRDefault="005A30A0" w:rsidP="00325F5F">
      <w:pPr>
        <w:pStyle w:val="JuQuot"/>
      </w:pPr>
      <w:r>
        <w:t>„Pentru asigurarea climatului de ordine și liniște publică necesar desfășurării normale a activității economice și social-culturale și promovarea unor relații civilizate în viața cotidiană, cetățenii sunt obligați să aibă un comportament civic, moral și responsabil, în spiritul legilor țării și al normelor de conviețuire socială.”</w:t>
      </w:r>
    </w:p>
    <w:p w:rsidR="00761D85" w:rsidRPr="00325F5F" w:rsidRDefault="005A30A0" w:rsidP="00325F5F">
      <w:pPr>
        <w:pStyle w:val="JuHArticle"/>
      </w:pPr>
      <w:r>
        <w:t>Art. 2</w:t>
      </w:r>
    </w:p>
    <w:p w:rsidR="00761D85" w:rsidRPr="00325F5F" w:rsidRDefault="005A30A0" w:rsidP="00325F5F">
      <w:pPr>
        <w:pStyle w:val="JuQuot"/>
      </w:pPr>
      <w:r>
        <w:t>„Constituie contravenție săvârșirea oricăreia dintre următoarele fapte, dacă nu sunt comise în astfel de condiții încât, potrivit legii penale, să fie considerate infracțiuni:</w:t>
      </w:r>
    </w:p>
    <w:p w:rsidR="00761D85" w:rsidRPr="00325F5F" w:rsidRDefault="005A30A0" w:rsidP="00325F5F">
      <w:pPr>
        <w:pStyle w:val="JuQuot"/>
      </w:pPr>
      <w:r>
        <w:t>[...]</w:t>
      </w:r>
    </w:p>
    <w:p w:rsidR="00761D85" w:rsidRPr="00325F5F" w:rsidRDefault="005A30A0" w:rsidP="00325F5F">
      <w:pPr>
        <w:pStyle w:val="JuQuot"/>
      </w:pPr>
      <w:r>
        <w:t>(24) provocarea ori participarea efectivă la scandal, în locuri sau localuri publice; [...]”</w:t>
      </w:r>
    </w:p>
    <w:p w:rsidR="00761D85" w:rsidRPr="00325F5F" w:rsidRDefault="005A30A0" w:rsidP="00325F5F">
      <w:pPr>
        <w:pStyle w:val="JuPara"/>
      </w:pPr>
      <w:r>
        <w:t>Potrivit legii, pedeapsa prevăzută pentru fapta descrisă la art. 2 pct. 24 era amenda de la 200 RON la 1 000 RON.</w:t>
      </w:r>
    </w:p>
    <w:p w:rsidR="00761D85" w:rsidRPr="00325F5F" w:rsidRDefault="005A30A0" w:rsidP="0047462E">
      <w:pPr>
        <w:pStyle w:val="JuHHead"/>
        <w:numPr>
          <w:ilvl w:val="0"/>
          <w:numId w:val="2"/>
        </w:numPr>
        <w:tabs>
          <w:tab w:val="num" w:pos="340"/>
        </w:tabs>
        <w:ind w:left="340" w:hanging="340"/>
      </w:pPr>
      <w:r>
        <w:t>ÎN DREPT</w:t>
      </w:r>
    </w:p>
    <w:p w:rsidR="00761D85" w:rsidRPr="00325F5F" w:rsidRDefault="005A30A0" w:rsidP="0047462E">
      <w:pPr>
        <w:pStyle w:val="JuHIRoman"/>
      </w:pPr>
      <w:r>
        <w:t>Cu privire la pretinsa încălcare a art. 4 din Protocolul nr. 7 la Convenție</w:t>
      </w:r>
    </w:p>
    <w:p w:rsidR="00761D85" w:rsidRPr="00325F5F" w:rsidRDefault="003130F1" w:rsidP="00325F5F">
      <w:pPr>
        <w:pStyle w:val="JuPara"/>
      </w:pPr>
      <w:r>
        <w:fldChar w:fldCharType="begin"/>
      </w:r>
      <w:r>
        <w:instrText xml:space="preserve"> SEQ level0 \*arabic </w:instrText>
      </w:r>
      <w:r>
        <w:fldChar w:fldCharType="separate"/>
      </w:r>
      <w:r>
        <w:rPr>
          <w:noProof/>
        </w:rPr>
        <w:t>30</w:t>
      </w:r>
      <w:r>
        <w:fldChar w:fldCharType="end"/>
      </w:r>
      <w:r w:rsidR="005A30A0">
        <w:t>.</w:t>
      </w:r>
      <w:r w:rsidR="00061D78">
        <w:t xml:space="preserve"> </w:t>
      </w:r>
      <w:r w:rsidR="005A30A0">
        <w:t>Reclamantul s-a plâns că a fost judecat și condamnat de două ori pentru aceeași faptă, încălcându-i-se drepturile sale protejate prin art. 4 din Protocolul nr. 7 la Convenție, care, în măsura în care este relevant, prevede următoarele:</w:t>
      </w:r>
    </w:p>
    <w:p w:rsidR="00761D85" w:rsidRPr="00325F5F" w:rsidRDefault="005A30A0" w:rsidP="00325F5F">
      <w:pPr>
        <w:pStyle w:val="JuQuot"/>
      </w:pPr>
      <w:r>
        <w:t>„1.</w:t>
      </w:r>
      <w:r w:rsidR="00061D78">
        <w:t xml:space="preserve"> </w:t>
      </w:r>
      <w:r>
        <w:t xml:space="preserve">Nimeni nu poate fi urmărit sau pedepsit penal de către jurisdicțiile </w:t>
      </w:r>
      <w:r w:rsidR="00061D78">
        <w:t>aceluiași</w:t>
      </w:r>
      <w:r>
        <w:t xml:space="preserve"> stat pentru săvârșirea infracțiunii pentru care a fost deja achitat sau condamnat printr-o hotărâre definitivă conform legii și procedurii penale ale acestui stat.</w:t>
      </w:r>
    </w:p>
    <w:p w:rsidR="00761D85" w:rsidRPr="00325F5F" w:rsidRDefault="005A30A0" w:rsidP="00325F5F">
      <w:pPr>
        <w:pStyle w:val="JuQuot"/>
      </w:pPr>
      <w:r>
        <w:t>2.</w:t>
      </w:r>
      <w:r w:rsidR="00061D78">
        <w:t xml:space="preserve"> </w:t>
      </w:r>
      <w:r>
        <w:t>Dispozițiile paragrafului precedent nu împiedică redeschiderea procesului, conform legii și procedurii penale a statului respectiv, dacă fapte noi ori recent descoperite sau un viciu fundamental în cadrul procedurii precedente sunt de natura să afecteze hotărârea pronunțată.</w:t>
      </w:r>
    </w:p>
    <w:p w:rsidR="00761D85" w:rsidRPr="00325F5F" w:rsidRDefault="005A30A0" w:rsidP="00325F5F">
      <w:pPr>
        <w:pStyle w:val="JuQuot"/>
      </w:pPr>
      <w:r>
        <w:t>[...]”</w:t>
      </w:r>
    </w:p>
    <w:p w:rsidR="00761D85" w:rsidRPr="00325F5F" w:rsidRDefault="005A30A0" w:rsidP="0047462E">
      <w:pPr>
        <w:pStyle w:val="JuHA"/>
      </w:pPr>
      <w:r>
        <w:t>Cu privire la admisibilitate</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31</w:t>
      </w:r>
      <w:r w:rsidRPr="00325F5F">
        <w:fldChar w:fldCharType="end"/>
      </w:r>
      <w:r>
        <w:t>.</w:t>
      </w:r>
      <w:r w:rsidR="00061D78">
        <w:t xml:space="preserve"> </w:t>
      </w:r>
      <w:r>
        <w:t>Curtea constată că acest capăt de cerere nu este nici vădit nefondat, nici inadmisibil pentru alte motive enumerate la art. 35 din Convenție. Trebuie așadar să fie declarat admisibil.</w:t>
      </w:r>
    </w:p>
    <w:p w:rsidR="00761D85" w:rsidRPr="00325F5F" w:rsidRDefault="005A30A0" w:rsidP="0047462E">
      <w:pPr>
        <w:pStyle w:val="JuHA"/>
      </w:pPr>
      <w:r>
        <w:t>Cu privire la fond</w:t>
      </w:r>
    </w:p>
    <w:p w:rsidR="00761D85" w:rsidRPr="00325F5F" w:rsidRDefault="005A30A0" w:rsidP="0047462E">
      <w:pPr>
        <w:pStyle w:val="JuH1"/>
      </w:pPr>
      <w:r>
        <w:t>Argumentele părților</w:t>
      </w:r>
    </w:p>
    <w:p w:rsidR="00761D85" w:rsidRPr="00325F5F" w:rsidRDefault="005A30A0" w:rsidP="0047462E">
      <w:pPr>
        <w:pStyle w:val="JuHa0"/>
      </w:pPr>
      <w:r>
        <w:t>Reclamantul</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32</w:t>
      </w:r>
      <w:r w:rsidRPr="00325F5F">
        <w:fldChar w:fldCharType="end"/>
      </w:r>
      <w:r>
        <w:t>.</w:t>
      </w:r>
      <w:r w:rsidR="00061D78">
        <w:t xml:space="preserve"> </w:t>
      </w:r>
      <w:r>
        <w:t>Reclamantul a reiterat în esență argumentele pe care le-a prezentat în fața instanțelor interne (</w:t>
      </w:r>
      <w:r>
        <w:rPr>
          <w:i/>
          <w:iCs/>
        </w:rPr>
        <w:t>supra</w:t>
      </w:r>
      <w:r>
        <w:t xml:space="preserve">, pct. </w:t>
      </w:r>
      <w:r w:rsidR="005A30A0" w:rsidRPr="00325F5F">
        <w:fldChar w:fldCharType="begin"/>
      </w:r>
      <w:r w:rsidR="005A30A0" w:rsidRPr="00325F5F">
        <w:instrText xml:space="preserve"> REF paragraph00021 \h  \* CharFormat </w:instrText>
      </w:r>
      <w:r w:rsidR="005A30A0" w:rsidRPr="00325F5F">
        <w:fldChar w:fldCharType="separate"/>
      </w:r>
      <w:r w:rsidR="003130F1">
        <w:t>21</w:t>
      </w:r>
      <w:r w:rsidR="005A30A0" w:rsidRPr="00325F5F">
        <w:fldChar w:fldCharType="end"/>
      </w:r>
      <w:r>
        <w:t>-</w:t>
      </w:r>
      <w:r w:rsidR="005A30A0" w:rsidRPr="00325F5F">
        <w:fldChar w:fldCharType="begin"/>
      </w:r>
      <w:r w:rsidR="005A30A0" w:rsidRPr="00325F5F">
        <w:instrText xml:space="preserve"> REF paragraph00024 \h  \* CharFormat </w:instrText>
      </w:r>
      <w:r w:rsidR="005A30A0" w:rsidRPr="00325F5F">
        <w:fldChar w:fldCharType="separate"/>
      </w:r>
      <w:r w:rsidR="003130F1">
        <w:t>24</w:t>
      </w:r>
      <w:r w:rsidR="005A30A0" w:rsidRPr="00325F5F">
        <w:fldChar w:fldCharType="end"/>
      </w:r>
      <w:r>
        <w:t>): noțiunea de „hotărâre definitivă” este largă și include un proces-verbal de contravenție precum cel care a condus la amendarea sa; cele două forme de pedeapsă în cauză sunt de natură penală, infracțiunea minoră - contravenția - fiind aplicabilă publicului general, și ambele au o funcție preventivă și represivă; cuvântul „scandal” nu se referă exclusiv la violență verbală, ci eventual și la violență fizică. El a susținut că ambele seturi de proceduri priveau aceleași fapte.</w:t>
      </w:r>
    </w:p>
    <w:p w:rsidR="00761D85" w:rsidRPr="00325F5F" w:rsidRDefault="005A30A0" w:rsidP="0047462E">
      <w:pPr>
        <w:pStyle w:val="JuHa0"/>
      </w:pPr>
      <w:r>
        <w:t>Guvernul</w:t>
      </w:r>
    </w:p>
    <w:p w:rsidR="00761D85" w:rsidRPr="00325F5F" w:rsidRDefault="003130F1" w:rsidP="00325F5F">
      <w:pPr>
        <w:pStyle w:val="JuPara"/>
      </w:pPr>
      <w:r>
        <w:fldChar w:fldCharType="begin"/>
      </w:r>
      <w:r>
        <w:instrText xml:space="preserve"> SEQ level0 \*arabic </w:instrText>
      </w:r>
      <w:r>
        <w:fldChar w:fldCharType="separate"/>
      </w:r>
      <w:r>
        <w:rPr>
          <w:noProof/>
        </w:rPr>
        <w:t>33</w:t>
      </w:r>
      <w:r>
        <w:fldChar w:fldCharType="end"/>
      </w:r>
      <w:r w:rsidR="005A30A0">
        <w:t>.</w:t>
      </w:r>
      <w:r w:rsidR="00061D78">
        <w:t xml:space="preserve"> </w:t>
      </w:r>
      <w:r w:rsidR="005A30A0">
        <w:t>Guvernul a susținut că plângerea reclamantului este una de natură de instanță de gradul patru de jurisdicție: argumentele pe care acesta le-a prezentat în fața Curții fuseseră deja evaluate în detaliu și respinse în mod corect de instanțele interne.</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34</w:t>
      </w:r>
      <w:r w:rsidRPr="00325F5F">
        <w:fldChar w:fldCharType="end"/>
      </w:r>
      <w:r>
        <w:t>.</w:t>
      </w:r>
      <w:r w:rsidR="00061D78">
        <w:t xml:space="preserve"> </w:t>
      </w:r>
      <w:r>
        <w:t>În primul rând, cele două pedepse s-au întemeiat pe fapte care nu erau identice, astfel cum au explicat instanțele interne, care au făcut o distincție clară între cele două fapte de care reclamantul a fost acuzat și pentru care a fost pedepsit. Acestea au considerat că noțiunea de „scandal” (menționată în definiția contravenției) se referă în mod necesar la un conflict verbal, în timp ce acuzația penală se referă la o manifestare fizică violentă și agresivă.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35</w:t>
      </w:r>
      <w:r w:rsidRPr="00325F5F">
        <w:fldChar w:fldCharType="end"/>
      </w:r>
      <w:r>
        <w:t>.</w:t>
      </w:r>
      <w:r w:rsidR="00061D78">
        <w:t xml:space="preserve"> </w:t>
      </w:r>
      <w:r>
        <w:t xml:space="preserve">În al doilea rând, amenda nu putea fi considerată „penală” în sensul jurisprudenței Curții: legea internă a definit fapta ca fiind contravenție, amenda impusă a fost minimă și pedeapsa nu putea fi înlocuită cu închisoarea [Guvernul s-a întemeiat pe recenta decizie în </w:t>
      </w:r>
      <w:r>
        <w:rPr>
          <w:i/>
        </w:rPr>
        <w:t>Prina împotriva României</w:t>
      </w:r>
      <w:r>
        <w:t xml:space="preserve"> (dec.), nr. 37697/13, 8 septembrie 2020, inadmisibilă în măsura în care amenda aplicată reclamantului în cauza respectivă fusese considerată ca nefiind o pedeapsă penală].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36</w:t>
      </w:r>
      <w:r w:rsidRPr="00325F5F">
        <w:fldChar w:fldCharType="end"/>
      </w:r>
      <w:r>
        <w:t>.</w:t>
      </w:r>
      <w:r w:rsidR="00061D78">
        <w:t xml:space="preserve"> </w:t>
      </w:r>
      <w:r>
        <w:t>În plus, cele două pedepse fuseseră impuse de autorități diferite: amenda fusese impusă în urma evaluării efectuate de ofițerul de poliție la fața locului, în timp ce procesul penal (care a avut ca rezultat condamnarea reclamantului) a fost inițiat doar după depunerea mai multor plângeri penale, care au susținut că acțiunile reclamantului din noaptea respectivă constituiseră infracțiuni. Prin urmare, cele două proceduri au fost complementare și nu dublate; caracterul subsidiar al răspunderii pentru contravenție în raport cu răspunderea penală era un element important care trebuia luat în considerare în speță.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37</w:t>
      </w:r>
      <w:r w:rsidRPr="00325F5F">
        <w:fldChar w:fldCharType="end"/>
      </w:r>
      <w:r>
        <w:t>.</w:t>
      </w:r>
      <w:r w:rsidR="00061D78">
        <w:t xml:space="preserve"> </w:t>
      </w:r>
      <w:r>
        <w:t>În sfârșit, amenda nu poate fi considerată ca reprezentând o condamnare „definitivă”, întrucât nu a existat o nicio decizie definitivă în această privință, reclamantul nu a contestat amenda în fața unei instanțe, iar procesul-verbal nu putea fi considerat drept o hotărâre definitivă.</w:t>
      </w:r>
    </w:p>
    <w:p w:rsidR="00761D85" w:rsidRPr="00325F5F" w:rsidRDefault="005A30A0" w:rsidP="0047462E">
      <w:pPr>
        <w:pStyle w:val="JuH1"/>
      </w:pPr>
      <w:r>
        <w:t>Motivarea Curții</w:t>
      </w:r>
    </w:p>
    <w:p w:rsidR="00761D85" w:rsidRPr="00325F5F" w:rsidRDefault="005A30A0" w:rsidP="0047462E">
      <w:pPr>
        <w:pStyle w:val="JuHa0"/>
      </w:pPr>
      <w:r>
        <w:t>Principii generale</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38</w:t>
      </w:r>
      <w:r w:rsidRPr="00325F5F">
        <w:fldChar w:fldCharType="end"/>
      </w:r>
      <w:r>
        <w:t>.</w:t>
      </w:r>
      <w:r w:rsidR="00061D78">
        <w:t xml:space="preserve"> </w:t>
      </w:r>
      <w:r>
        <w:t xml:space="preserve">Principiile relevante privind protecția împotriva dublării procedurilor penale sunt rezumate în </w:t>
      </w:r>
      <w:bookmarkStart w:id="22" w:name="_Hlk147149125"/>
      <w:r>
        <w:rPr>
          <w:i/>
        </w:rPr>
        <w:t xml:space="preserve">Serghei </w:t>
      </w:r>
      <w:proofErr w:type="spellStart"/>
      <w:r>
        <w:rPr>
          <w:i/>
        </w:rPr>
        <w:t>Zolotuhin</w:t>
      </w:r>
      <w:proofErr w:type="spellEnd"/>
      <w:r>
        <w:rPr>
          <w:i/>
        </w:rPr>
        <w:t xml:space="preserve"> împotriva Rusiei</w:t>
      </w:r>
      <w:r>
        <w:t xml:space="preserve"> [(MC) nr. 14939/03, pct. 79-84, CEDO 2009), </w:t>
      </w:r>
      <w:r>
        <w:rPr>
          <w:i/>
        </w:rPr>
        <w:t xml:space="preserve">A și B împotriva Norvegiei </w:t>
      </w:r>
      <w:r>
        <w:t xml:space="preserve">[(MC), nr. 24130/11 și 29758/11, pct. 105-34, 15 noiembrie 2016] și </w:t>
      </w:r>
      <w:r>
        <w:rPr>
          <w:i/>
        </w:rPr>
        <w:t>Mihalache împotriva României</w:t>
      </w:r>
      <w:r>
        <w:t xml:space="preserve"> [(MC), nr. 54012/10, pct. 47-49, 53-54, 67 și 88-116, 8 iulie 2019).</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39</w:t>
      </w:r>
      <w:r w:rsidRPr="00325F5F">
        <w:fldChar w:fldCharType="end"/>
      </w:r>
      <w:r>
        <w:t>.</w:t>
      </w:r>
      <w:r w:rsidR="00061D78">
        <w:t xml:space="preserve"> </w:t>
      </w:r>
      <w:r>
        <w:t xml:space="preserve">Potrivit art. 4 din Protocolul nr. 7, care consacră regula </w:t>
      </w:r>
      <w:r>
        <w:rPr>
          <w:i/>
        </w:rPr>
        <w:t>ne bis in idem</w:t>
      </w:r>
      <w:r>
        <w:t>, Curtea trebuie să stabilească dacă cele două seturi de proceduri sunt de natură penală, dacă se referă la aceleași fapte și infracțiuni („</w:t>
      </w:r>
      <w:r>
        <w:rPr>
          <w:i/>
        </w:rPr>
        <w:t>in idem</w:t>
      </w:r>
      <w:r>
        <w:t>”), dacă amenda contravențională constituie o „condamnare definitivă” și dacă a existat o dublare a procedurilor („</w:t>
      </w:r>
      <w:r>
        <w:rPr>
          <w:i/>
        </w:rPr>
        <w:t>bis</w:t>
      </w:r>
      <w:r>
        <w:t xml:space="preserve">” – a se vedea, de exemplu, și </w:t>
      </w:r>
      <w:r>
        <w:rPr>
          <w:i/>
        </w:rPr>
        <w:t>mutatis mutandis</w:t>
      </w:r>
      <w:r>
        <w:t xml:space="preserve">, </w:t>
      </w:r>
      <w:r>
        <w:rPr>
          <w:i/>
        </w:rPr>
        <w:t>A și B împotriva Norvegiei</w:t>
      </w:r>
      <w:r>
        <w:t>, citată anterior, pct. 136-47).</w:t>
      </w:r>
    </w:p>
    <w:bookmarkEnd w:id="22"/>
    <w:p w:rsidR="00761D85" w:rsidRPr="00325F5F" w:rsidRDefault="005A30A0" w:rsidP="0047462E">
      <w:pPr>
        <w:pStyle w:val="JuHa0"/>
      </w:pPr>
      <w:r>
        <w:t>Aplicarea acestor principii în prezenta cauză</w:t>
      </w:r>
    </w:p>
    <w:p w:rsidR="00761D85" w:rsidRPr="00325F5F" w:rsidRDefault="005A30A0" w:rsidP="0047462E">
      <w:pPr>
        <w:pStyle w:val="JuHi"/>
      </w:pPr>
      <w:r>
        <w:t>Cu privire la natura penală a procedurilor</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40</w:t>
      </w:r>
      <w:r w:rsidRPr="00325F5F">
        <w:fldChar w:fldCharType="end"/>
      </w:r>
      <w:r>
        <w:t>.</w:t>
      </w:r>
      <w:r w:rsidR="00061D78">
        <w:t xml:space="preserve"> </w:t>
      </w:r>
      <w:r>
        <w:t xml:space="preserve">Părțile nu contestă faptul că procedura care a condus la condamnarea reclamantului pentru „tulburarea ordinii și liniștii publice”, infracțiune sancționată de art. 371 C. </w:t>
      </w:r>
      <w:proofErr w:type="spellStart"/>
      <w:r>
        <w:t>pen</w:t>
      </w:r>
      <w:proofErr w:type="spellEnd"/>
      <w:r>
        <w:t>., era de natură penală. Curtea constată că nu există niciun motiv pentru a adopta o poziție diferită.</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41</w:t>
      </w:r>
      <w:r w:rsidRPr="00325F5F">
        <w:fldChar w:fldCharType="end"/>
      </w:r>
      <w:r>
        <w:t>.</w:t>
      </w:r>
      <w:r w:rsidR="00061D78">
        <w:t xml:space="preserve"> </w:t>
      </w:r>
      <w:r>
        <w:t xml:space="preserve">Rămâne de stabilit dacă procedura privind impunerea unei amenzi contravenționale reclamantului în temeiul Legii nr. 61/1991 este de natură penală. În acest sens, Curtea se va baza pe „criteriile </w:t>
      </w:r>
      <w:proofErr w:type="spellStart"/>
      <w:r>
        <w:rPr>
          <w:i/>
        </w:rPr>
        <w:t>Engel</w:t>
      </w:r>
      <w:proofErr w:type="spellEnd"/>
      <w:r>
        <w:t xml:space="preserve">” (a se vedea </w:t>
      </w:r>
      <w:bookmarkStart w:id="23" w:name="_Hlk147150953"/>
      <w:proofErr w:type="spellStart"/>
      <w:r>
        <w:rPr>
          <w:i/>
        </w:rPr>
        <w:t>Engel</w:t>
      </w:r>
      <w:proofErr w:type="spellEnd"/>
      <w:r>
        <w:rPr>
          <w:i/>
        </w:rPr>
        <w:t xml:space="preserve"> și alții împotriva Țărilor de Jos</w:t>
      </w:r>
      <w:r>
        <w:t xml:space="preserve">, 8 iunie 1976, pct. 82, Seria A nr. 22): primul criteriu este calificarea juridică a infracțiunii în dreptul intern, al doilea este natura însăși a infracțiunii, iar al treilea este gradul de severitate al pedepsei pe care persoana în cauză riscă să o suporte. Cel de-al doilea și cel de-al treilea criteriu sunt alternative și nu sunt neapărat cumulative. Totuși, aceasta nu exclude o abordare cumulativă în cazurile în care analiza separată a fiecărui criteriu nu permite să se ajungă la o concluzie clară cu privire la existența unei acuzații penale (a se vedea, printre multe altele, </w:t>
      </w:r>
      <w:r>
        <w:rPr>
          <w:i/>
        </w:rPr>
        <w:t xml:space="preserve">Serghei </w:t>
      </w:r>
      <w:proofErr w:type="spellStart"/>
      <w:r>
        <w:rPr>
          <w:i/>
        </w:rPr>
        <w:t>Zolotuhin</w:t>
      </w:r>
      <w:proofErr w:type="spellEnd"/>
      <w:r>
        <w:t>, citată anterior, pct. 53</w:t>
      </w:r>
      <w:bookmarkEnd w:id="23"/>
      <w:r>
        <w:t>, și cauzele citate).</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42</w:t>
      </w:r>
      <w:r w:rsidRPr="00325F5F">
        <w:fldChar w:fldCharType="end"/>
      </w:r>
      <w:r>
        <w:t>.</w:t>
      </w:r>
      <w:r w:rsidR="00061D78">
        <w:t xml:space="preserve"> </w:t>
      </w:r>
      <w:r>
        <w:t>În ceea ce privește primul criteriu, trebuie să se constate că amenda criticată era administrativă în temeiul Legii nr. 61/1991, care reglementează contravențiile (</w:t>
      </w:r>
      <w:r>
        <w:rPr>
          <w:i/>
          <w:iCs/>
        </w:rPr>
        <w:t>supra</w:t>
      </w:r>
      <w:r>
        <w:t xml:space="preserve">, pct. </w:t>
      </w:r>
      <w:r w:rsidR="005A30A0" w:rsidRPr="00325F5F">
        <w:fldChar w:fldCharType="begin"/>
      </w:r>
      <w:r w:rsidR="005A30A0" w:rsidRPr="00325F5F">
        <w:instrText xml:space="preserve"> REF paragraph00029 \h  \* CharFormat </w:instrText>
      </w:r>
      <w:r w:rsidR="005A30A0" w:rsidRPr="00325F5F">
        <w:fldChar w:fldCharType="separate"/>
      </w:r>
      <w:r w:rsidR="003130F1">
        <w:t>29</w:t>
      </w:r>
      <w:r w:rsidR="005A30A0" w:rsidRPr="00325F5F">
        <w:fldChar w:fldCharType="end"/>
      </w:r>
      <w:r>
        <w:t xml:space="preserve">). Cu toate acestea, doar acest element singur nu poate fi decisiv; într-adevăr, caracterizarea juridică a procedurii în temeiul dreptului intern nu poate fi singurul criteriu de relevanță pentru aplicabilitatea principiului </w:t>
      </w:r>
      <w:r>
        <w:rPr>
          <w:i/>
        </w:rPr>
        <w:t>ne bis in</w:t>
      </w:r>
      <w:r>
        <w:t xml:space="preserve"> </w:t>
      </w:r>
      <w:r>
        <w:rPr>
          <w:i/>
          <w:iCs/>
        </w:rPr>
        <w:t>idem</w:t>
      </w:r>
      <w:r>
        <w:t xml:space="preserve"> în temeiul art. 4 § 1 din Protocolul nr. 7, în caz contrar aplicarea acestei dispoziții ar fi lăsată la latitudinea statelor contractante într-o măsură care ar putea conduce la rezultate incompatibile cu obiectul și scopul Convenției (a se vedea </w:t>
      </w:r>
      <w:bookmarkStart w:id="24" w:name="_Hlk147151152"/>
      <w:proofErr w:type="spellStart"/>
      <w:r>
        <w:rPr>
          <w:i/>
        </w:rPr>
        <w:t>Mus</w:t>
      </w:r>
      <w:bookmarkStart w:id="25" w:name="cl32481"/>
      <w:r>
        <w:rPr>
          <w:i/>
        </w:rPr>
        <w:t>lija</w:t>
      </w:r>
      <w:proofErr w:type="spellEnd"/>
      <w:r>
        <w:rPr>
          <w:i/>
        </w:rPr>
        <w:t xml:space="preserve"> împotriva Bosniei și Herțegovinei</w:t>
      </w:r>
      <w:bookmarkEnd w:id="25"/>
      <w:r>
        <w:t>, nr. 32042/11, pct. 25, 14 ianuarie 2014).</w:t>
      </w:r>
    </w:p>
    <w:p w:rsidR="00761D85" w:rsidRPr="00325F5F" w:rsidRDefault="00834E9D" w:rsidP="00325F5F">
      <w:pPr>
        <w:pStyle w:val="JuPara"/>
      </w:pPr>
      <w:fldSimple w:instr=" SEQ level0 \*arabic \* MERGEFORMAT ">
        <w:bookmarkStart w:id="26" w:name="paragraph00042"/>
        <w:r w:rsidR="003130F1">
          <w:rPr>
            <w:noProof/>
          </w:rPr>
          <w:t>43</w:t>
        </w:r>
        <w:bookmarkEnd w:id="26"/>
      </w:fldSimple>
      <w:r w:rsidR="005A30A0">
        <w:t>.</w:t>
      </w:r>
      <w:r w:rsidR="00061D78">
        <w:t xml:space="preserve"> </w:t>
      </w:r>
      <w:r w:rsidR="005A30A0">
        <w:t>În ceea ce privește al doilea criteriu, dispozițiile interne relevante erau aplicabile, în conformitate cu art. 1 din Legea nr. 61/1991 (</w:t>
      </w:r>
      <w:r w:rsidR="005A30A0">
        <w:rPr>
          <w:i/>
          <w:iCs/>
        </w:rPr>
        <w:t>supra</w:t>
      </w:r>
      <w:r w:rsidR="005A30A0">
        <w:t xml:space="preserve">, pct. </w:t>
      </w:r>
      <w:r w:rsidR="005A30A0" w:rsidRPr="00325F5F">
        <w:fldChar w:fldCharType="begin"/>
      </w:r>
      <w:r w:rsidR="005A30A0" w:rsidRPr="00325F5F">
        <w:instrText xml:space="preserve"> REF paragraph00029 \h  \* CharFormat </w:instrText>
      </w:r>
      <w:r w:rsidR="005A30A0" w:rsidRPr="00325F5F">
        <w:fldChar w:fldCharType="separate"/>
      </w:r>
      <w:r w:rsidR="003130F1">
        <w:t>29</w:t>
      </w:r>
      <w:r w:rsidR="005A30A0" w:rsidRPr="00325F5F">
        <w:fldChar w:fldCharType="end"/>
      </w:r>
      <w:r w:rsidR="005A30A0">
        <w:t>), mai degrabă tuturor cetățenilor și nu unui grup posedând un statut special (</w:t>
      </w:r>
      <w:r w:rsidR="005A30A0">
        <w:rPr>
          <w:i/>
          <w:iCs/>
        </w:rPr>
        <w:t xml:space="preserve">a </w:t>
      </w:r>
      <w:proofErr w:type="spellStart"/>
      <w:r w:rsidR="005A30A0">
        <w:rPr>
          <w:i/>
          <w:iCs/>
        </w:rPr>
        <w:t>contrario</w:t>
      </w:r>
      <w:proofErr w:type="spellEnd"/>
      <w:r w:rsidR="005A30A0">
        <w:t xml:space="preserve"> </w:t>
      </w:r>
      <w:r w:rsidR="005A30A0">
        <w:rPr>
          <w:i/>
        </w:rPr>
        <w:t>Prina</w:t>
      </w:r>
      <w:r w:rsidR="005A30A0">
        <w:t>, citată anterior, pct. 53-54).</w:t>
      </w:r>
      <w:bookmarkStart w:id="27" w:name="lt_pId536"/>
      <w:r w:rsidR="005A30A0">
        <w:t xml:space="preserve"> Sancțiunea prevăzută pentru infracțiunea definită la art. 3 din lege era o amendă care avea ca scop pedepsirea și descurajarea comportamentului de natură să submineze valorile sociale protejate de leg</w:t>
      </w:r>
      <w:bookmarkEnd w:id="27"/>
      <w:r w:rsidR="005A30A0">
        <w:t>e; aceste elemente sunt recunoscute drept trăsături caracteristice ale sancțiunilor penale.</w:t>
      </w:r>
    </w:p>
    <w:p w:rsidR="00761D85" w:rsidRPr="00325F5F" w:rsidRDefault="00834E9D" w:rsidP="00325F5F">
      <w:pPr>
        <w:pStyle w:val="JuPara"/>
      </w:pPr>
      <w:fldSimple w:instr=" SEQ level0 \*arabic \* MERGEFORMAT ">
        <w:r w:rsidR="003130F1">
          <w:rPr>
            <w:noProof/>
          </w:rPr>
          <w:t>44</w:t>
        </w:r>
      </w:fldSimple>
      <w:r w:rsidR="005A30A0">
        <w:t>.</w:t>
      </w:r>
      <w:r w:rsidR="00061D78">
        <w:t xml:space="preserve"> </w:t>
      </w:r>
      <w:r w:rsidR="005A30A0">
        <w:t xml:space="preserve">În ceea ce privește al treilea criteriu, și anume gradul de severitate al măsurii, Curtea observă că, deși amenda aplicată în speță nu a avut o valoare substanțială (aproximativ 50 EUR), amenda maximă prevăzută de lege pentru un astfel de comportament este ea însăși destul de scăzută (aproximativ 250 EUR), totuși, aceasta a avut un caracter punitiv, astfel cum s-a menționat deja </w:t>
      </w:r>
      <w:r w:rsidR="005A30A0">
        <w:rPr>
          <w:i/>
          <w:iCs/>
        </w:rPr>
        <w:t>supra</w:t>
      </w:r>
      <w:r w:rsidR="005A30A0">
        <w:t xml:space="preserve">, la pct. </w:t>
      </w:r>
      <w:r w:rsidR="005A30A0" w:rsidRPr="00325F5F">
        <w:fldChar w:fldCharType="begin"/>
      </w:r>
      <w:r w:rsidR="005A30A0" w:rsidRPr="00325F5F">
        <w:instrText xml:space="preserve"> REF paragraph00042 \h  \* CharFormat </w:instrText>
      </w:r>
      <w:r w:rsidR="005A30A0" w:rsidRPr="00325F5F">
        <w:fldChar w:fldCharType="separate"/>
      </w:r>
      <w:r w:rsidR="003130F1">
        <w:t>43</w:t>
      </w:r>
      <w:r w:rsidR="005A30A0" w:rsidRPr="00325F5F">
        <w:fldChar w:fldCharType="end"/>
      </w:r>
      <w:r w:rsidR="005A30A0">
        <w:t xml:space="preserve">, scopul amenzii nefiind acela de a compensa prejudiciul cauzat de reclamant, ci mai degrabă de a-l descuraja să comită din nou infracțiunea (a se vedea, </w:t>
      </w:r>
      <w:r w:rsidR="005A30A0">
        <w:rPr>
          <w:i/>
        </w:rPr>
        <w:t>mutatis mutandis</w:t>
      </w:r>
      <w:r w:rsidR="005A30A0">
        <w:t xml:space="preserve">, </w:t>
      </w:r>
      <w:proofErr w:type="spellStart"/>
      <w:r w:rsidR="005A30A0">
        <w:rPr>
          <w:i/>
        </w:rPr>
        <w:t>Sancaklı</w:t>
      </w:r>
      <w:proofErr w:type="spellEnd"/>
      <w:r w:rsidR="005A30A0">
        <w:rPr>
          <w:i/>
        </w:rPr>
        <w:t xml:space="preserve"> împotriva Turciei</w:t>
      </w:r>
      <w:r w:rsidR="005A30A0">
        <w:t xml:space="preserve">, nr. 1385/07 pct. 30, 15 mai 2018). Într-adevăr, faptul că pedeapsa maximă eventuală pentru încălcarea ordinii și liniștii publice de care a fost acuzat reclamantul nu include privarea de libertate nu este decisiv, fiind suficient ca infracțiunea în cauză să fie prin natura sa penală în sensul Convenției [a se vedea, </w:t>
      </w:r>
      <w:r w:rsidR="005A30A0">
        <w:rPr>
          <w:i/>
        </w:rPr>
        <w:t>mutatis mutandis</w:t>
      </w:r>
      <w:r w:rsidR="005A30A0">
        <w:t xml:space="preserve">, </w:t>
      </w:r>
      <w:proofErr w:type="spellStart"/>
      <w:r w:rsidR="005A30A0">
        <w:rPr>
          <w:i/>
        </w:rPr>
        <w:t>Țo</w:t>
      </w:r>
      <w:bookmarkStart w:id="28" w:name="cl38146"/>
      <w:r w:rsidR="005A30A0">
        <w:rPr>
          <w:i/>
        </w:rPr>
        <w:t>nio</w:t>
      </w:r>
      <w:proofErr w:type="spellEnd"/>
      <w:r w:rsidR="005A30A0">
        <w:rPr>
          <w:i/>
        </w:rPr>
        <w:t xml:space="preserve"> </w:t>
      </w:r>
      <w:proofErr w:type="spellStart"/>
      <w:r w:rsidR="005A30A0">
        <w:rPr>
          <w:i/>
        </w:rPr>
        <w:t>Țonev</w:t>
      </w:r>
      <w:proofErr w:type="spellEnd"/>
      <w:r w:rsidR="005A30A0">
        <w:rPr>
          <w:i/>
        </w:rPr>
        <w:t xml:space="preserve"> împotriva Bulgariei (nr. 2)</w:t>
      </w:r>
      <w:bookmarkEnd w:id="28"/>
      <w:r w:rsidR="005A30A0">
        <w:t>, nr. 2376/03 pct. 49, 14 ianuarie 2010].</w:t>
      </w:r>
    </w:p>
    <w:bookmarkEnd w:id="24"/>
    <w:p w:rsidR="00761D85" w:rsidRPr="00325F5F" w:rsidRDefault="005A30A0" w:rsidP="00325F5F">
      <w:pPr>
        <w:pStyle w:val="JuPara"/>
      </w:pPr>
      <w:r w:rsidRPr="00325F5F">
        <w:fldChar w:fldCharType="begin"/>
      </w:r>
      <w:r w:rsidRPr="00325F5F">
        <w:instrText xml:space="preserve"> SEQ level0 \*arabic \* MERGEFORMAT </w:instrText>
      </w:r>
      <w:r w:rsidRPr="00325F5F">
        <w:fldChar w:fldCharType="separate"/>
      </w:r>
      <w:bookmarkStart w:id="29" w:name="paragraph00044"/>
      <w:r w:rsidR="003130F1">
        <w:rPr>
          <w:noProof/>
        </w:rPr>
        <w:t>45</w:t>
      </w:r>
      <w:bookmarkEnd w:id="29"/>
      <w:r w:rsidRPr="00325F5F">
        <w:fldChar w:fldCharType="end"/>
      </w:r>
      <w:r>
        <w:t>.</w:t>
      </w:r>
      <w:r w:rsidR="00061D78">
        <w:t xml:space="preserve"> </w:t>
      </w:r>
      <w:r>
        <w:t>În lumina considerentelor anterioare, Curtea concluzionează că infracțiunea pentru care reclamantul a fost amendat de poliție la 28 septembrie 2011 este de natură a fi încadrată în sfera de aplicare a expresiei „procedură penală” utilizată la art. 4 din Protocolul nr. 7.</w:t>
      </w:r>
    </w:p>
    <w:p w:rsidR="00761D85" w:rsidRPr="00325F5F" w:rsidRDefault="005A30A0" w:rsidP="0047462E">
      <w:pPr>
        <w:pStyle w:val="JuHi"/>
      </w:pPr>
      <w:r>
        <w:t>Cu privire la caracterul identic al faptelor („</w:t>
      </w:r>
      <w:r>
        <w:rPr>
          <w:i w:val="0"/>
        </w:rPr>
        <w:t>in idem</w:t>
      </w:r>
      <w:r>
        <w:t>”)</w:t>
      </w:r>
    </w:p>
    <w:p w:rsidR="00761D85" w:rsidRPr="00325F5F" w:rsidRDefault="003130F1" w:rsidP="00325F5F">
      <w:pPr>
        <w:pStyle w:val="JuPara"/>
      </w:pPr>
      <w:r>
        <w:fldChar w:fldCharType="begin"/>
      </w:r>
      <w:r>
        <w:instrText xml:space="preserve"> SEQ level0 \*arabic \* MERGEFORMAT </w:instrText>
      </w:r>
      <w:r>
        <w:fldChar w:fldCharType="separate"/>
      </w:r>
      <w:r>
        <w:rPr>
          <w:noProof/>
        </w:rPr>
        <w:t>46</w:t>
      </w:r>
      <w:r>
        <w:fldChar w:fldCharType="end"/>
      </w:r>
      <w:r w:rsidR="005A30A0">
        <w:t>.</w:t>
      </w:r>
      <w:r w:rsidR="00061D78">
        <w:t xml:space="preserve"> </w:t>
      </w:r>
      <w:r w:rsidR="005A30A0">
        <w:t xml:space="preserve">Noțiunea de „aceeași infracțiune” – elementul </w:t>
      </w:r>
      <w:r w:rsidR="005A30A0">
        <w:rPr>
          <w:i/>
          <w:iCs/>
        </w:rPr>
        <w:t>in idem</w:t>
      </w:r>
      <w:r w:rsidR="005A30A0">
        <w:t xml:space="preserve"> al principiului </w:t>
      </w:r>
      <w:r w:rsidR="005A30A0">
        <w:rPr>
          <w:i/>
        </w:rPr>
        <w:t>ne bis in idem</w:t>
      </w:r>
      <w:r w:rsidR="005A30A0">
        <w:t xml:space="preserve"> din art. 4 al Protocolului nr. 7 – trebuie interpretată ca o a doua „infracțiune” care rezultă din fapte identice sau fapte care sunt în esență identice (a se vedea </w:t>
      </w:r>
      <w:bookmarkStart w:id="30" w:name="_Hlk147151206"/>
      <w:r w:rsidR="005A30A0">
        <w:rPr>
          <w:i/>
        </w:rPr>
        <w:t xml:space="preserve">Serghei </w:t>
      </w:r>
      <w:proofErr w:type="spellStart"/>
      <w:r w:rsidR="005A30A0">
        <w:rPr>
          <w:i/>
        </w:rPr>
        <w:t>Zolotuhin</w:t>
      </w:r>
      <w:proofErr w:type="spellEnd"/>
      <w:r w:rsidR="005A30A0">
        <w:t>, citată anterior, pct. 78-84</w:t>
      </w:r>
      <w:bookmarkEnd w:id="30"/>
      <w:r w:rsidR="005A30A0">
        <w:t>).</w:t>
      </w:r>
    </w:p>
    <w:p w:rsidR="00761D85" w:rsidRPr="00325F5F" w:rsidRDefault="003130F1" w:rsidP="00325F5F">
      <w:pPr>
        <w:pStyle w:val="JuPara"/>
        <w:rPr>
          <w:rFonts w:ascii="Arial" w:hAnsi="Arial" w:cs="Arial"/>
          <w:color w:val="000000"/>
          <w:sz w:val="17"/>
          <w:szCs w:val="17"/>
        </w:rPr>
      </w:pPr>
      <w:r>
        <w:fldChar w:fldCharType="begin"/>
      </w:r>
      <w:r>
        <w:instrText xml:space="preserve"> SEQ level0 \*arabic \* MERGEFORMAT </w:instrText>
      </w:r>
      <w:r>
        <w:fldChar w:fldCharType="separate"/>
      </w:r>
      <w:bookmarkStart w:id="31" w:name="paragraph00048"/>
      <w:r>
        <w:rPr>
          <w:noProof/>
        </w:rPr>
        <w:t>47</w:t>
      </w:r>
      <w:bookmarkEnd w:id="31"/>
      <w:r>
        <w:fldChar w:fldCharType="end"/>
      </w:r>
      <w:r w:rsidR="005A30A0">
        <w:t>.</w:t>
      </w:r>
      <w:r w:rsidR="00061D78">
        <w:t xml:space="preserve"> </w:t>
      </w:r>
      <w:r w:rsidR="005A30A0">
        <w:t xml:space="preserve">În speță, faptele care au condus la aplicarea amenzii contravenționale, precum și la trimiterea în judecată și condamnarea reclamantului au fost, în esență, provocarea unui scandal care generat indignare publică și a tulburat ordinea și liniștea publică, încălcând dispozițiile legale relevante prevăzute de Legea nr. 69/1991, pe de o parte, și pe cele din Codul penal, pe de altă parte. Această recapitulare a faptelor demonstrează că în cauză este vorba de același comportament din partea aceluiași inculpat și în același interval de timp; rămâne de stabilit dacă faptele infracțiunii pentru care reclamantul a fost sancționat cu amendă și cele ale infracțiunii pentru care a fost trimis în judecată sunt identice sau aceleași în fond (a se </w:t>
      </w:r>
      <w:r w:rsidR="005A30A0">
        <w:rPr>
          <w:i/>
        </w:rPr>
        <w:t>vedea</w:t>
      </w:r>
      <w:r w:rsidR="005A30A0">
        <w:t xml:space="preserve"> </w:t>
      </w:r>
      <w:r w:rsidR="005A30A0">
        <w:rPr>
          <w:i/>
          <w:iCs/>
        </w:rPr>
        <w:t>mutatis</w:t>
      </w:r>
      <w:bookmarkStart w:id="32" w:name="_Hlk147151223"/>
      <w:r w:rsidR="005A30A0">
        <w:t xml:space="preserve"> </w:t>
      </w:r>
      <w:r w:rsidR="005A30A0">
        <w:rPr>
          <w:i/>
        </w:rPr>
        <w:t>mutandis</w:t>
      </w:r>
      <w:r w:rsidR="005A30A0">
        <w:t xml:space="preserve">, </w:t>
      </w:r>
      <w:proofErr w:type="spellStart"/>
      <w:r w:rsidR="005A30A0">
        <w:rPr>
          <w:i/>
        </w:rPr>
        <w:t>Ruo</w:t>
      </w:r>
      <w:proofErr w:type="spellEnd"/>
      <w:r w:rsidR="005A30A0">
        <w:t xml:space="preserve"> </w:t>
      </w:r>
      <w:bookmarkStart w:id="33" w:name="cl35301"/>
      <w:proofErr w:type="spellStart"/>
      <w:r w:rsidR="005A30A0">
        <w:rPr>
          <w:i/>
        </w:rPr>
        <w:t>tsalainen</w:t>
      </w:r>
      <w:proofErr w:type="spellEnd"/>
      <w:r w:rsidR="005A30A0">
        <w:rPr>
          <w:i/>
        </w:rPr>
        <w:t xml:space="preserve"> împotriva Finlandei</w:t>
      </w:r>
      <w:bookmarkEnd w:id="33"/>
      <w:r w:rsidR="005A30A0">
        <w:t>, nr. 13079/03, pct. 53, 16 iunie 2009).</w:t>
      </w:r>
    </w:p>
    <w:bookmarkEnd w:id="32"/>
    <w:p w:rsidR="00761D85" w:rsidRPr="00325F5F" w:rsidRDefault="005A30A0" w:rsidP="00325F5F">
      <w:pPr>
        <w:pStyle w:val="JuPara"/>
      </w:pPr>
      <w:r w:rsidRPr="00325F5F">
        <w:fldChar w:fldCharType="begin"/>
      </w:r>
      <w:r w:rsidRPr="00325F5F">
        <w:instrText xml:space="preserve"> SEQ level0 \*arabic \* MERGEFORMAT </w:instrText>
      </w:r>
      <w:r w:rsidRPr="00325F5F">
        <w:fldChar w:fldCharType="separate"/>
      </w:r>
      <w:bookmarkStart w:id="34" w:name="paragraph00049"/>
      <w:r w:rsidR="003130F1">
        <w:rPr>
          <w:noProof/>
        </w:rPr>
        <w:t>48</w:t>
      </w:r>
      <w:bookmarkEnd w:id="34"/>
      <w:r w:rsidRPr="00325F5F">
        <w:fldChar w:fldCharType="end"/>
      </w:r>
      <w:r>
        <w:t>.</w:t>
      </w:r>
      <w:r w:rsidR="00061D78">
        <w:t xml:space="preserve"> </w:t>
      </w:r>
      <w:r>
        <w:t>Faptele stabilite în cadrul celor două seturi de proceduri s-au referit la un singur incident petrecut la Clubul K. în noaptea de 24/25 septembrie 2011, care a provocat ultraj și/sau indignare. Calificarea lor juridică a fost aparent diferită într-o singură privință, după cum au subliniat autoritățile locale: gradul de gravitate al tulburării. Fapta sancționată prin procesul-verbal ca fiind o contravenție prezenta o gravitate mai redusă, în timp ce fapta pentru care reclamantul a fost inculpat în procesul penal era mai gravă. Cu alte cuvinte, astfel cum au sugerat autoritățile naționale, în timp ce prima faptă se referea la provocarea de scandal fără nici un element de violență fizică, în măsura în care cuvântul „scandal” implica doar violență verbală, fapta penală a fost descrisă într-un context mai larg ca fiind o „tulburare gravă a liniștii și ordinii publice în contextul comiterii de violențe, amenințări și distrugeri de bunuri” (</w:t>
      </w:r>
      <w:r>
        <w:rPr>
          <w:i/>
          <w:iCs/>
        </w:rPr>
        <w:t>supra</w:t>
      </w:r>
      <w:r>
        <w:t xml:space="preserve">, pct. </w:t>
      </w:r>
      <w:r w:rsidRPr="00325F5F">
        <w:fldChar w:fldCharType="begin"/>
      </w:r>
      <w:r w:rsidRPr="00325F5F">
        <w:instrText xml:space="preserve"> REF paragraph00019 \h  \* CharFormat </w:instrText>
      </w:r>
      <w:r w:rsidRPr="00325F5F">
        <w:fldChar w:fldCharType="separate"/>
      </w:r>
      <w:r w:rsidR="003130F1">
        <w:t>19</w:t>
      </w:r>
      <w:r w:rsidRPr="00325F5F">
        <w:fldChar w:fldCharType="end"/>
      </w:r>
      <w:r>
        <w:t xml:space="preserve"> și </w:t>
      </w:r>
      <w:r w:rsidRPr="00325F5F">
        <w:fldChar w:fldCharType="begin"/>
      </w:r>
      <w:r w:rsidRPr="00325F5F">
        <w:instrText xml:space="preserve"> REF paragraph00026 \h  \* CharFormat </w:instrText>
      </w:r>
      <w:r w:rsidRPr="00325F5F">
        <w:fldChar w:fldCharType="separate"/>
      </w:r>
      <w:r w:rsidR="003130F1">
        <w:t>26</w:t>
      </w:r>
      <w:r w:rsidRPr="00325F5F">
        <w:fldChar w:fldCharType="end"/>
      </w:r>
      <w:r>
        <w:t>).</w:t>
      </w:r>
    </w:p>
    <w:p w:rsidR="00761D85" w:rsidRPr="00325F5F" w:rsidRDefault="003130F1" w:rsidP="00325F5F">
      <w:pPr>
        <w:pStyle w:val="JuPara"/>
        <w:rPr>
          <w:rFonts w:ascii="Arial" w:hAnsi="Arial" w:cs="Arial"/>
          <w:color w:val="000000"/>
        </w:rPr>
      </w:pPr>
      <w:r>
        <w:fldChar w:fldCharType="begin"/>
      </w:r>
      <w:r>
        <w:instrText xml:space="preserve"> SEQ level0 \*arabic \* MERGEFORMAT </w:instrText>
      </w:r>
      <w:r>
        <w:fldChar w:fldCharType="separate"/>
      </w:r>
      <w:bookmarkStart w:id="35" w:name="paragraph00050"/>
      <w:r>
        <w:rPr>
          <w:noProof/>
        </w:rPr>
        <w:t>49</w:t>
      </w:r>
      <w:bookmarkEnd w:id="35"/>
      <w:r>
        <w:fldChar w:fldCharType="end"/>
      </w:r>
      <w:r w:rsidR="005A30A0">
        <w:t>.</w:t>
      </w:r>
      <w:r w:rsidR="00061D78">
        <w:t xml:space="preserve"> </w:t>
      </w:r>
      <w:r w:rsidR="005A30A0">
        <w:t>Deși observă că nu au fost formulate acuzații separate de distrugere de bunuri sau de agresiune fizică împotriva reclamantului (</w:t>
      </w:r>
      <w:r w:rsidR="005A30A0">
        <w:rPr>
          <w:i/>
          <w:iCs/>
        </w:rPr>
        <w:t>supra</w:t>
      </w:r>
      <w:r w:rsidR="005A30A0">
        <w:t xml:space="preserve">, pct. </w:t>
      </w:r>
      <w:r w:rsidR="005A30A0" w:rsidRPr="00325F5F">
        <w:fldChar w:fldCharType="begin"/>
      </w:r>
      <w:r w:rsidR="005A30A0" w:rsidRPr="00325F5F">
        <w:instrText xml:space="preserve"> REF paragraph00015 \h  \* CharFormat </w:instrText>
      </w:r>
      <w:r w:rsidR="005A30A0" w:rsidRPr="00325F5F">
        <w:fldChar w:fldCharType="separate"/>
      </w:r>
      <w:r>
        <w:t>15</w:t>
      </w:r>
      <w:r w:rsidR="005A30A0" w:rsidRPr="00325F5F">
        <w:fldChar w:fldCharType="end"/>
      </w:r>
      <w:r w:rsidR="005A30A0">
        <w:t>-</w:t>
      </w:r>
      <w:r w:rsidR="005A30A0" w:rsidRPr="00325F5F">
        <w:fldChar w:fldCharType="begin"/>
      </w:r>
      <w:r w:rsidR="005A30A0" w:rsidRPr="00325F5F">
        <w:instrText xml:space="preserve"> REF paragraph00016 \h  \* CharFormat </w:instrText>
      </w:r>
      <w:r w:rsidR="005A30A0" w:rsidRPr="00325F5F">
        <w:fldChar w:fldCharType="separate"/>
      </w:r>
      <w:r>
        <w:t>16</w:t>
      </w:r>
      <w:r w:rsidR="005A30A0" w:rsidRPr="00325F5F">
        <w:fldChar w:fldCharType="end"/>
      </w:r>
      <w:r w:rsidR="005A30A0">
        <w:t>), Curtea nu poate trece cu vederea faptul că noțiunea de „scandal”, în măsura în care nu este definită în mod specific în dreptul penal intern relevant, trebuie interpretată în conformitate cu sensul său comun, care, astfel cum susține și reclamantul, sugerează o anumită idee de violență, verbală sau fizică, îndreptată împotriva persoanelor și/sau a bunurilor (</w:t>
      </w:r>
      <w:r w:rsidR="005A30A0">
        <w:rPr>
          <w:i/>
          <w:iCs/>
        </w:rPr>
        <w:t>supra</w:t>
      </w:r>
      <w:r w:rsidR="005A30A0">
        <w:t xml:space="preserve">, pct. </w:t>
      </w:r>
      <w:r w:rsidR="005A30A0" w:rsidRPr="00325F5F">
        <w:fldChar w:fldCharType="begin"/>
      </w:r>
      <w:r w:rsidR="005A30A0" w:rsidRPr="00325F5F">
        <w:instrText xml:space="preserve"> REF paragraph00024 \h  \* CharFormat </w:instrText>
      </w:r>
      <w:r w:rsidR="005A30A0" w:rsidRPr="00325F5F">
        <w:fldChar w:fldCharType="separate"/>
      </w:r>
      <w:r>
        <w:t>24</w:t>
      </w:r>
      <w:r w:rsidR="005A30A0" w:rsidRPr="00325F5F">
        <w:fldChar w:fldCharType="end"/>
      </w:r>
      <w:r w:rsidR="005A30A0">
        <w:t>)</w:t>
      </w:r>
      <w:r w:rsidR="005A30A0">
        <w:rPr>
          <w:rStyle w:val="FootnoteReference"/>
          <w:lang w:bidi="en-US"/>
        </w:rPr>
        <w:footnoteReference w:id="1"/>
      </w:r>
      <w:r w:rsidR="005A30A0">
        <w:t>.</w:t>
      </w:r>
    </w:p>
    <w:p w:rsidR="00761D85" w:rsidRPr="00325F5F" w:rsidRDefault="003130F1" w:rsidP="00325F5F">
      <w:pPr>
        <w:pStyle w:val="JuPara"/>
      </w:pPr>
      <w:r>
        <w:fldChar w:fldCharType="begin"/>
      </w:r>
      <w:r>
        <w:instrText xml:space="preserve"> SEQ level0 \*arabic \* MERGEFORMAT </w:instrText>
      </w:r>
      <w:r>
        <w:fldChar w:fldCharType="separate"/>
      </w:r>
      <w:r>
        <w:rPr>
          <w:noProof/>
        </w:rPr>
        <w:t>50</w:t>
      </w:r>
      <w:r>
        <w:fldChar w:fldCharType="end"/>
      </w:r>
      <w:r w:rsidR="005A30A0">
        <w:t>.</w:t>
      </w:r>
      <w:r w:rsidR="00061D78">
        <w:t xml:space="preserve"> </w:t>
      </w:r>
      <w:r w:rsidR="005A30A0">
        <w:t xml:space="preserve">Având în vedere elementele de mai sus, Curtea trebuie să concluzioneze că plângerea penală formulată împotriva reclamantului cuprindea faptele contravenției în totalitate și, în schimb, faptele contravenției nu conțineau elemente care să nu fie prezente în infracțiunea pentru care reclamantul a fost trimis în judecată (a se vedea, </w:t>
      </w:r>
      <w:r w:rsidR="005A30A0">
        <w:rPr>
          <w:i/>
          <w:iCs/>
        </w:rPr>
        <w:t>mutatis mutandis</w:t>
      </w:r>
      <w:r w:rsidR="005A30A0">
        <w:t xml:space="preserve">, </w:t>
      </w:r>
      <w:bookmarkStart w:id="36" w:name="_Hlk147151248"/>
      <w:r w:rsidR="005A30A0">
        <w:rPr>
          <w:i/>
        </w:rPr>
        <w:t xml:space="preserve">Serghei </w:t>
      </w:r>
      <w:proofErr w:type="spellStart"/>
      <w:r w:rsidR="005A30A0">
        <w:rPr>
          <w:i/>
        </w:rPr>
        <w:t>Zolotuhin</w:t>
      </w:r>
      <w:proofErr w:type="spellEnd"/>
      <w:r w:rsidR="005A30A0">
        <w:t xml:space="preserve">, pct. 97; </w:t>
      </w:r>
      <w:proofErr w:type="spellStart"/>
      <w:r w:rsidR="005A30A0">
        <w:rPr>
          <w:i/>
        </w:rPr>
        <w:t>Țonio</w:t>
      </w:r>
      <w:proofErr w:type="spellEnd"/>
      <w:r w:rsidR="005A30A0">
        <w:rPr>
          <w:i/>
        </w:rPr>
        <w:t xml:space="preserve"> </w:t>
      </w:r>
      <w:proofErr w:type="spellStart"/>
      <w:r w:rsidR="005A30A0">
        <w:rPr>
          <w:i/>
        </w:rPr>
        <w:t>Țonev</w:t>
      </w:r>
      <w:proofErr w:type="spellEnd"/>
      <w:r w:rsidR="005A30A0">
        <w:t xml:space="preserve">, pct. 52; </w:t>
      </w:r>
      <w:proofErr w:type="spellStart"/>
      <w:r w:rsidR="005A30A0">
        <w:rPr>
          <w:i/>
        </w:rPr>
        <w:t>Ruotsalainen</w:t>
      </w:r>
      <w:proofErr w:type="spellEnd"/>
      <w:r w:rsidR="005A30A0">
        <w:t xml:space="preserve">, pct. 50 și 56, </w:t>
      </w:r>
      <w:bookmarkEnd w:id="36"/>
      <w:r w:rsidR="005A30A0">
        <w:t>toate citate anterior).</w:t>
      </w:r>
    </w:p>
    <w:p w:rsidR="00761D85" w:rsidRPr="00325F5F" w:rsidRDefault="003130F1" w:rsidP="00325F5F">
      <w:pPr>
        <w:pStyle w:val="JuPara"/>
      </w:pPr>
      <w:r>
        <w:fldChar w:fldCharType="begin"/>
      </w:r>
      <w:r>
        <w:instrText xml:space="preserve"> SEQ level0 \*arabic \* MERGEFORMAT </w:instrText>
      </w:r>
      <w:r>
        <w:fldChar w:fldCharType="separate"/>
      </w:r>
      <w:r>
        <w:rPr>
          <w:noProof/>
        </w:rPr>
        <w:t>51</w:t>
      </w:r>
      <w:r>
        <w:fldChar w:fldCharType="end"/>
      </w:r>
      <w:r w:rsidR="005A30A0">
        <w:t>.</w:t>
      </w:r>
      <w:r w:rsidR="00061D78">
        <w:t xml:space="preserve"> </w:t>
      </w:r>
      <w:r w:rsidR="005A30A0">
        <w:t>Faptele care constituie cele două infracțiuni trebuie, așadar, considerate ca fiind, în esență, identice în sensul art. 4 din Protocolul nr. 7.</w:t>
      </w:r>
    </w:p>
    <w:p w:rsidR="00761D85" w:rsidRPr="00325F5F" w:rsidRDefault="005A30A0" w:rsidP="0047462E">
      <w:pPr>
        <w:pStyle w:val="JuHi"/>
      </w:pPr>
      <w:r>
        <w:t>Cu privire la faptul dacă amenda contravențională constituie o „condamnare definitivă”</w:t>
      </w:r>
    </w:p>
    <w:p w:rsidR="00761D85" w:rsidRPr="00325F5F" w:rsidRDefault="003130F1" w:rsidP="00325F5F">
      <w:pPr>
        <w:pStyle w:val="JuPara"/>
      </w:pPr>
      <w:r>
        <w:fldChar w:fldCharType="begin"/>
      </w:r>
      <w:r>
        <w:instrText xml:space="preserve"> SEQ level0 \*arabic \* MERGEFORMAT </w:instrText>
      </w:r>
      <w:r>
        <w:fldChar w:fldCharType="separate"/>
      </w:r>
      <w:r>
        <w:rPr>
          <w:noProof/>
        </w:rPr>
        <w:t>52</w:t>
      </w:r>
      <w:r>
        <w:fldChar w:fldCharType="end"/>
      </w:r>
      <w:r w:rsidR="005A30A0">
        <w:t>.</w:t>
      </w:r>
      <w:r w:rsidR="00061D78">
        <w:t xml:space="preserve"> </w:t>
      </w:r>
      <w:r w:rsidR="005A30A0">
        <w:t xml:space="preserve">Curtea a stabilit în hotărârea </w:t>
      </w:r>
      <w:bookmarkStart w:id="37" w:name="_Hlk147151269"/>
      <w:r w:rsidR="005A30A0">
        <w:rPr>
          <w:i/>
        </w:rPr>
        <w:t>Mihalache</w:t>
      </w:r>
      <w:r w:rsidR="005A30A0">
        <w:t xml:space="preserve"> (citată anterior, pct. 93-95</w:t>
      </w:r>
      <w:bookmarkEnd w:id="37"/>
      <w:r w:rsidR="005A30A0">
        <w:t xml:space="preserve">) că, în temeiul art. 4 din Protocolul nr. 7, nu este necesară intervenția instanței pentru ca o decizie să fie considerată drept o „achitare definitivă” sau o „condamnare”. Aceasta a clarificat ce se înțelege prin hotărâre definitivă în sensul art. 4 din Protocolul nr. 7 în hotărârea </w:t>
      </w:r>
      <w:bookmarkStart w:id="38" w:name="_Hlk147151285"/>
      <w:r w:rsidR="005A30A0">
        <w:rPr>
          <w:i/>
        </w:rPr>
        <w:t xml:space="preserve">Serghei </w:t>
      </w:r>
      <w:proofErr w:type="spellStart"/>
      <w:r w:rsidR="005A30A0">
        <w:rPr>
          <w:i/>
        </w:rPr>
        <w:t>Zolotuhin</w:t>
      </w:r>
      <w:proofErr w:type="spellEnd"/>
      <w:r w:rsidR="005A30A0">
        <w:t xml:space="preserve"> (citată anterior, pct. 107 și 108, cu trimiteri suplimentare) și, în special, în ceea ce privește situațiile în care au fost aplicate amenzi printr-o decizie administrativă, precum în </w:t>
      </w:r>
      <w:proofErr w:type="spellStart"/>
      <w:r w:rsidR="005A30A0">
        <w:rPr>
          <w:i/>
        </w:rPr>
        <w:t>Țonio</w:t>
      </w:r>
      <w:proofErr w:type="spellEnd"/>
      <w:r w:rsidR="005A30A0">
        <w:rPr>
          <w:i/>
        </w:rPr>
        <w:t xml:space="preserve"> </w:t>
      </w:r>
      <w:proofErr w:type="spellStart"/>
      <w:r w:rsidR="005A30A0">
        <w:rPr>
          <w:i/>
        </w:rPr>
        <w:t>Țonev</w:t>
      </w:r>
      <w:proofErr w:type="spellEnd"/>
      <w:r w:rsidR="005A30A0">
        <w:t xml:space="preserve"> (citată anterior, pct. 53, 54 și 56</w:t>
      </w:r>
      <w:bookmarkEnd w:id="38"/>
      <w:r w:rsidR="005A30A0">
        <w:t>).</w:t>
      </w:r>
    </w:p>
    <w:p w:rsidR="00761D85" w:rsidRPr="00325F5F" w:rsidRDefault="003130F1" w:rsidP="00325F5F">
      <w:pPr>
        <w:pStyle w:val="JuPara"/>
      </w:pPr>
      <w:r>
        <w:fldChar w:fldCharType="begin"/>
      </w:r>
      <w:r>
        <w:instrText xml:space="preserve"> SEQ level0 \*arabic \* MERGEFORMAT </w:instrText>
      </w:r>
      <w:r>
        <w:fldChar w:fldCharType="separate"/>
      </w:r>
      <w:r>
        <w:rPr>
          <w:noProof/>
        </w:rPr>
        <w:t>53</w:t>
      </w:r>
      <w:r>
        <w:fldChar w:fldCharType="end"/>
      </w:r>
      <w:r w:rsidR="005A30A0">
        <w:t>.</w:t>
      </w:r>
      <w:r w:rsidR="00061D78">
        <w:t xml:space="preserve"> </w:t>
      </w:r>
      <w:r w:rsidR="005A30A0">
        <w:t>Având în vedere principiile consacrate sus-menționate, relevante în speță, și reținând faptul că reclamantul nu a contestat procesul-verbal de contravenție și a plătit amenda la un moment ulterior (</w:t>
      </w:r>
      <w:r w:rsidR="005A30A0">
        <w:rPr>
          <w:i/>
          <w:iCs/>
        </w:rPr>
        <w:t>supra</w:t>
      </w:r>
      <w:r w:rsidR="005A30A0">
        <w:t xml:space="preserve">, pct. </w:t>
      </w:r>
      <w:r w:rsidR="005A30A0" w:rsidRPr="00325F5F">
        <w:fldChar w:fldCharType="begin"/>
      </w:r>
      <w:r w:rsidR="005A30A0" w:rsidRPr="00325F5F">
        <w:instrText xml:space="preserve"> REF paragraph00014 \h  \* CharFormat </w:instrText>
      </w:r>
      <w:r w:rsidR="005A30A0" w:rsidRPr="00325F5F">
        <w:fldChar w:fldCharType="separate"/>
      </w:r>
      <w:r>
        <w:t>14</w:t>
      </w:r>
      <w:r w:rsidR="005A30A0" w:rsidRPr="00325F5F">
        <w:fldChar w:fldCharType="end"/>
      </w:r>
      <w:r w:rsidR="005A30A0">
        <w:t>), decizia administrativă prin care a fost aplicată această amendă a devenit „definitivă” în sensul art. 4 din Protocolul nr. 7.</w:t>
      </w:r>
    </w:p>
    <w:p w:rsidR="00761D85" w:rsidRPr="00325F5F" w:rsidRDefault="005A30A0" w:rsidP="00325F5F">
      <w:pPr>
        <w:pStyle w:val="JuPara"/>
      </w:pPr>
      <w:r>
        <w:t xml:space="preserve">Deși data la care această decizie a devenit definitivă nu poate fi stabilită cu suficientă precizie, în lipsa unor informații exacte cu privire la data la care i-a fost întocmit procesul-verbal reclamantului sau cel puțin data la care a fost plătită amenda, ceea ce nu poate fi contestat este faptul că, în momentul în care reclamantul a fost trimis în judecată în fața instanței de fond, acesta a ridicat o obiecție de </w:t>
      </w:r>
      <w:proofErr w:type="spellStart"/>
      <w:r>
        <w:rPr>
          <w:i/>
        </w:rPr>
        <w:t>res</w:t>
      </w:r>
      <w:proofErr w:type="spellEnd"/>
      <w:r>
        <w:rPr>
          <w:i/>
        </w:rPr>
        <w:t xml:space="preserve"> </w:t>
      </w:r>
      <w:proofErr w:type="spellStart"/>
      <w:r>
        <w:rPr>
          <w:i/>
        </w:rPr>
        <w:t>judicata</w:t>
      </w:r>
      <w:proofErr w:type="spellEnd"/>
      <w:r>
        <w:t xml:space="preserve"> (</w:t>
      </w:r>
      <w:r>
        <w:rPr>
          <w:i/>
          <w:iCs/>
        </w:rPr>
        <w:t>supra</w:t>
      </w:r>
      <w:r>
        <w:t xml:space="preserve">, pct. </w:t>
      </w:r>
      <w:r w:rsidRPr="00325F5F">
        <w:fldChar w:fldCharType="begin"/>
      </w:r>
      <w:r w:rsidRPr="00325F5F">
        <w:instrText xml:space="preserve"> REF paragraph00017 \h  \* CharFormat </w:instrText>
      </w:r>
      <w:r w:rsidRPr="00325F5F">
        <w:fldChar w:fldCharType="separate"/>
      </w:r>
      <w:r w:rsidR="003130F1">
        <w:t>17</w:t>
      </w:r>
      <w:r w:rsidRPr="00325F5F">
        <w:fldChar w:fldCharType="end"/>
      </w:r>
      <w:r>
        <w:t>), susținând astfel că decizia anterioară era definitivă. Prima instanță a confirmat la momentul pronunțării hotărârii că amenda fusese plătită și că raportul nu fusese contestat (</w:t>
      </w:r>
      <w:r>
        <w:rPr>
          <w:i/>
          <w:iCs/>
        </w:rPr>
        <w:t>supra</w:t>
      </w:r>
      <w:r>
        <w:t xml:space="preserve">, pct. </w:t>
      </w:r>
      <w:r w:rsidRPr="00325F5F">
        <w:fldChar w:fldCharType="begin"/>
      </w:r>
      <w:r w:rsidRPr="00325F5F">
        <w:instrText xml:space="preserve"> REF paragraph00018 \h  \* CharFormat </w:instrText>
      </w:r>
      <w:r w:rsidRPr="00325F5F">
        <w:fldChar w:fldCharType="separate"/>
      </w:r>
      <w:r w:rsidR="003130F1">
        <w:t>18</w:t>
      </w:r>
      <w:r w:rsidRPr="00325F5F">
        <w:fldChar w:fldCharType="end"/>
      </w:r>
      <w:r>
        <w:t>).</w:t>
      </w:r>
    </w:p>
    <w:p w:rsidR="00761D85" w:rsidRPr="00325F5F" w:rsidRDefault="005A30A0" w:rsidP="0047462E">
      <w:pPr>
        <w:pStyle w:val="JuHi"/>
      </w:pPr>
      <w:r>
        <w:t>Cu privire la faptul dacă a existat o dublare a procedurii („bis”)</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54</w:t>
      </w:r>
      <w:r w:rsidRPr="00325F5F">
        <w:fldChar w:fldCharType="end"/>
      </w:r>
      <w:r>
        <w:t>.</w:t>
      </w:r>
      <w:r w:rsidR="00061D78">
        <w:t xml:space="preserve"> </w:t>
      </w:r>
      <w:r>
        <w:t>În ceea ce privește condițiile care trebuie îndeplinite pentru ca două seturi de proceduri, penală și contravențională, să fie considerate suficient de strâns legate pe fond și în timp și, astfel, compatibile cu criteriul „</w:t>
      </w:r>
      <w:r>
        <w:rPr>
          <w:i/>
        </w:rPr>
        <w:t>bis</w:t>
      </w:r>
      <w:r>
        <w:t>” de la art. 4 din Protocolul nr. 7, este necesar să se verifice, de exemplu:</w:t>
      </w:r>
    </w:p>
    <w:p w:rsidR="00761D85" w:rsidRPr="00325F5F" w:rsidRDefault="005A30A0" w:rsidP="00325F5F">
      <w:pPr>
        <w:pStyle w:val="JuPara"/>
      </w:pPr>
      <w:r>
        <w:t xml:space="preserve">– dacă procedurile diferite au urmărit scopuri complementare și, prin urmare, au abordat, nu numai </w:t>
      </w:r>
      <w:r>
        <w:rPr>
          <w:i/>
        </w:rPr>
        <w:t xml:space="preserve">în </w:t>
      </w:r>
      <w:proofErr w:type="spellStart"/>
      <w:r>
        <w:rPr>
          <w:i/>
        </w:rPr>
        <w:t>abstracto</w:t>
      </w:r>
      <w:proofErr w:type="spellEnd"/>
      <w:r>
        <w:t xml:space="preserve">, ci și </w:t>
      </w:r>
      <w:r>
        <w:rPr>
          <w:i/>
        </w:rPr>
        <w:t xml:space="preserve">în </w:t>
      </w:r>
      <w:proofErr w:type="spellStart"/>
      <w:r>
        <w:rPr>
          <w:i/>
        </w:rPr>
        <w:t>concreto</w:t>
      </w:r>
      <w:proofErr w:type="spellEnd"/>
      <w:r>
        <w:t>, diferite aspecte ale comportamentului contrar normelor de conviețuire socială în cauză;</w:t>
      </w:r>
    </w:p>
    <w:p w:rsidR="00761D85" w:rsidRPr="00325F5F" w:rsidRDefault="005A30A0" w:rsidP="00325F5F">
      <w:pPr>
        <w:pStyle w:val="JuPara"/>
      </w:pPr>
      <w:r>
        <w:t>– dacă dublul set de proceduri în cauză a constituit o consecință previzibilă, atât în drept, cât și în practică, a aceluiași comportament incriminat („</w:t>
      </w:r>
      <w:r>
        <w:rPr>
          <w:i/>
        </w:rPr>
        <w:t>in idem</w:t>
      </w:r>
      <w:r>
        <w:t>”);</w:t>
      </w:r>
    </w:p>
    <w:p w:rsidR="00761D85" w:rsidRPr="00325F5F" w:rsidRDefault="005A30A0" w:rsidP="00325F5F">
      <w:pPr>
        <w:pStyle w:val="JuPara"/>
      </w:pPr>
      <w:r>
        <w:t>– dacă seturile relevante de proceduri au fost efectuate astfel încât să se evite, pe cât posibil, orice dezavantaje suplimentare care rezultă din dublarea procedurilor, în special în ceea ce privește colectarea și evaluarea probelor, în special printr-o interacțiune adecvată între diferitele autorități competente pentru a se asigura că stabilirea faptelor într-un set de proceduri a fost reprodusă în celălalt;</w:t>
      </w:r>
    </w:p>
    <w:p w:rsidR="00761D85" w:rsidRPr="00325F5F" w:rsidRDefault="005A30A0" w:rsidP="00325F5F">
      <w:pPr>
        <w:pStyle w:val="JuPara"/>
      </w:pPr>
      <w:r>
        <w:t xml:space="preserve">– și, mai presus de toate, dacă pedeapsa aplicată în procedura care a devenit prima definitivă a fost luată în considerare în cealaltă care a devenit ultima definitivă, astfel încât să se evite ca persoana în cauză să fie în final obligată să suporte o sarcină excesivă; acest risc este cel mai puțin probabil să fie prezent în cazul în care există în vigoare un mecanism de compensare destinat să asigure că cuantumul global al oricăror sancțiuni impuse este proporțional (a se vedea </w:t>
      </w:r>
      <w:bookmarkStart w:id="39" w:name="_Hlk147151313"/>
      <w:r>
        <w:rPr>
          <w:i/>
        </w:rPr>
        <w:t>A și B împotriva Norvegiei</w:t>
      </w:r>
      <w:r>
        <w:t>, citate anterior, pct. 131-32).</w:t>
      </w:r>
    </w:p>
    <w:bookmarkEnd w:id="39"/>
    <w:p w:rsidR="00761D85" w:rsidRPr="00325F5F" w:rsidRDefault="005A30A0" w:rsidP="00325F5F">
      <w:pPr>
        <w:pStyle w:val="JuPara"/>
      </w:pPr>
      <w:r>
        <w:t>În sfârșit, este mai probabil ca procedurile combinate să îndeplinească criteriile de complementaritate și coerență în cazul în care sancțiunile care urmează să fie impuse în cadrul procedurilor care nu sunt clasificate oficial drept „penale” sunt specifice comportamentului în cauză și, prin urmare, diferă de „nucleul dur al dreptului penal” (</w:t>
      </w:r>
      <w:bookmarkStart w:id="40" w:name="x_x__cl21564"/>
      <w:bookmarkStart w:id="41" w:name="_Hlk147151330"/>
      <w:proofErr w:type="spellStart"/>
      <w:r>
        <w:rPr>
          <w:i/>
        </w:rPr>
        <w:t>Bajčić</w:t>
      </w:r>
      <w:proofErr w:type="spellEnd"/>
      <w:r>
        <w:rPr>
          <w:i/>
        </w:rPr>
        <w:t xml:space="preserve"> împotriva Croației</w:t>
      </w:r>
      <w:bookmarkEnd w:id="40"/>
      <w:r>
        <w:t>, nr. 67334/13, pct. 40, 8 octombrie 2020).</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55</w:t>
      </w:r>
      <w:r w:rsidRPr="00325F5F">
        <w:fldChar w:fldCharType="end"/>
      </w:r>
      <w:r>
        <w:t>.</w:t>
      </w:r>
      <w:r w:rsidR="00061D78">
        <w:t xml:space="preserve"> </w:t>
      </w:r>
      <w:r>
        <w:t>În speță, procesul penal a fost inițiat împotriva reclamantului la 25 septembrie 2011 (</w:t>
      </w:r>
      <w:r>
        <w:rPr>
          <w:i/>
          <w:iCs/>
        </w:rPr>
        <w:t>supra</w:t>
      </w:r>
      <w:r>
        <w:t xml:space="preserve">, pct. </w:t>
      </w:r>
      <w:r w:rsidR="005A30A0" w:rsidRPr="00325F5F">
        <w:fldChar w:fldCharType="begin"/>
      </w:r>
      <w:r w:rsidR="005A30A0" w:rsidRPr="00325F5F">
        <w:instrText xml:space="preserve"> REF paragraph00015 \h  \* CharFormat </w:instrText>
      </w:r>
      <w:r w:rsidR="005A30A0" w:rsidRPr="00325F5F">
        <w:fldChar w:fldCharType="separate"/>
      </w:r>
      <w:r w:rsidR="003130F1">
        <w:t>15</w:t>
      </w:r>
      <w:r w:rsidR="005A30A0" w:rsidRPr="00325F5F">
        <w:fldChar w:fldCharType="end"/>
      </w:r>
      <w:r>
        <w:t>); la 28 septembrie 2011, în paralel cu procesul penal, poliția a întocmit procesul-verbal prin care reclamantul era sancționat cu o amendă contravențională (</w:t>
      </w:r>
      <w:r>
        <w:rPr>
          <w:i/>
          <w:iCs/>
        </w:rPr>
        <w:t>supra</w:t>
      </w:r>
      <w:r>
        <w:t xml:space="preserve">, pct. </w:t>
      </w:r>
      <w:r w:rsidR="005A30A0" w:rsidRPr="00325F5F">
        <w:fldChar w:fldCharType="begin"/>
      </w:r>
      <w:r w:rsidR="005A30A0" w:rsidRPr="00325F5F">
        <w:instrText xml:space="preserve"> REF paragraph00013 \h  \* CharFormat </w:instrText>
      </w:r>
      <w:r w:rsidR="005A30A0" w:rsidRPr="00325F5F">
        <w:fldChar w:fldCharType="separate"/>
      </w:r>
      <w:r w:rsidR="003130F1">
        <w:t>13</w:t>
      </w:r>
      <w:r w:rsidR="005A30A0" w:rsidRPr="00325F5F">
        <w:fldChar w:fldCharType="end"/>
      </w:r>
      <w:r>
        <w:t>). Această amendă a rămas definitivă pentru o anumită perioadă de timp, în timp ce procedura penală era încă pendinte în fața organelor de cercetare (</w:t>
      </w:r>
      <w:r>
        <w:rPr>
          <w:i/>
          <w:iCs/>
        </w:rPr>
        <w:t>supra</w:t>
      </w:r>
      <w:r>
        <w:t xml:space="preserve">, pct. </w:t>
      </w:r>
      <w:r w:rsidR="005A30A0" w:rsidRPr="00325F5F">
        <w:fldChar w:fldCharType="begin"/>
      </w:r>
      <w:r w:rsidR="005A30A0" w:rsidRPr="00325F5F">
        <w:instrText xml:space="preserve"> REF paragraph00014 \h  \* CharFormat  \* MERGEFORMAT </w:instrText>
      </w:r>
      <w:r w:rsidR="005A30A0" w:rsidRPr="00325F5F">
        <w:fldChar w:fldCharType="separate"/>
      </w:r>
      <w:r w:rsidR="003130F1">
        <w:t>14</w:t>
      </w:r>
      <w:r w:rsidR="005A30A0" w:rsidRPr="00325F5F">
        <w:fldChar w:fldCharType="end"/>
      </w:r>
      <w:r>
        <w:t>). Aceste proceduri s-au încheiat la 15 decembrie 2015, reclamantul fiind condamnat printr-o hotărâre definitivă la o pedeapsă cu închisoarea, a cărei executare a fost anulată (</w:t>
      </w:r>
      <w:r>
        <w:rPr>
          <w:i/>
          <w:iCs/>
        </w:rPr>
        <w:t>supra</w:t>
      </w:r>
      <w:r>
        <w:t xml:space="preserve">, pct. </w:t>
      </w:r>
      <w:r w:rsidR="005A30A0" w:rsidRPr="00325F5F">
        <w:fldChar w:fldCharType="begin"/>
      </w:r>
      <w:r w:rsidR="005A30A0" w:rsidRPr="00325F5F">
        <w:instrText xml:space="preserve"> REF paragraph00026 \h  \* CharFormat </w:instrText>
      </w:r>
      <w:r w:rsidR="005A30A0" w:rsidRPr="00325F5F">
        <w:fldChar w:fldCharType="separate"/>
      </w:r>
      <w:r w:rsidR="003130F1">
        <w:t>26</w:t>
      </w:r>
      <w:r w:rsidR="005A30A0" w:rsidRPr="00325F5F">
        <w:fldChar w:fldCharType="end"/>
      </w:r>
      <w:r>
        <w:t>-</w:t>
      </w:r>
      <w:r w:rsidR="005A30A0" w:rsidRPr="00325F5F">
        <w:fldChar w:fldCharType="begin"/>
      </w:r>
      <w:r w:rsidR="005A30A0" w:rsidRPr="00325F5F">
        <w:instrText xml:space="preserve"> REF paragraph00027 \h  \* CharFormat </w:instrText>
      </w:r>
      <w:r w:rsidR="005A30A0" w:rsidRPr="00325F5F">
        <w:fldChar w:fldCharType="separate"/>
      </w:r>
      <w:r w:rsidR="003130F1">
        <w:t>27</w:t>
      </w:r>
      <w:r w:rsidR="005A30A0" w:rsidRPr="00325F5F">
        <w:fldChar w:fldCharType="end"/>
      </w:r>
      <w:r>
        <w:t>).</w:t>
      </w:r>
    </w:p>
    <w:p w:rsidR="00761D85" w:rsidRPr="00325F5F" w:rsidRDefault="00834E9D" w:rsidP="00325F5F">
      <w:pPr>
        <w:pStyle w:val="JuPara"/>
      </w:pPr>
      <w:fldSimple w:instr=" SEQ level0 \*arabic \* MERGEFORMAT ">
        <w:bookmarkStart w:id="42" w:name="paragraph00055"/>
        <w:r w:rsidR="003130F1">
          <w:rPr>
            <w:noProof/>
          </w:rPr>
          <w:t>56</w:t>
        </w:r>
        <w:bookmarkEnd w:id="42"/>
      </w:fldSimple>
      <w:r w:rsidR="005A30A0">
        <w:t>.</w:t>
      </w:r>
      <w:r w:rsidR="00061D78">
        <w:t xml:space="preserve"> </w:t>
      </w:r>
      <w:r w:rsidR="005A30A0">
        <w:t xml:space="preserve">Observând că, potrivit jurisprudenței sale constante, cele două seturi de proceduri nu trebuie în mod necesar să fie efectuate simultan de la început până la sfârșit, Curtea consideră că cele două seturi de proceduri erau suficient de conectate în timp, în sensul jurisprudenței sale (a se vedea </w:t>
      </w:r>
      <w:r w:rsidR="005A30A0">
        <w:rPr>
          <w:i/>
        </w:rPr>
        <w:t>A și B împotriva Norvegiei</w:t>
      </w:r>
      <w:r w:rsidR="005A30A0">
        <w:t xml:space="preserve">, citată anterior, pct. 134, și </w:t>
      </w:r>
      <w:proofErr w:type="spellStart"/>
      <w:r w:rsidR="005A30A0">
        <w:rPr>
          <w:i/>
        </w:rPr>
        <w:t>Velkov</w:t>
      </w:r>
      <w:proofErr w:type="spellEnd"/>
      <w:r w:rsidR="005A30A0">
        <w:rPr>
          <w:i/>
        </w:rPr>
        <w:t xml:space="preserve"> împotriva Bulgariei</w:t>
      </w:r>
      <w:r w:rsidR="005A30A0">
        <w:t>, nr. 34503/10, pct. 77, 21 iulie 2020).</w:t>
      </w:r>
    </w:p>
    <w:bookmarkEnd w:id="41"/>
    <w:p w:rsidR="00761D85" w:rsidRPr="00325F5F" w:rsidRDefault="005A30A0" w:rsidP="00325F5F">
      <w:pPr>
        <w:pStyle w:val="JuPara"/>
      </w:pPr>
      <w:r w:rsidRPr="00325F5F">
        <w:fldChar w:fldCharType="begin"/>
      </w:r>
      <w:r w:rsidRPr="00325F5F">
        <w:instrText xml:space="preserve"> SEQ level0 \*arabic \* MERGEFORMAT </w:instrText>
      </w:r>
      <w:r w:rsidRPr="00325F5F">
        <w:fldChar w:fldCharType="separate"/>
      </w:r>
      <w:r w:rsidR="003130F1">
        <w:rPr>
          <w:noProof/>
        </w:rPr>
        <w:t>57</w:t>
      </w:r>
      <w:r w:rsidRPr="00325F5F">
        <w:fldChar w:fldCharType="end"/>
      </w:r>
      <w:r>
        <w:t>.</w:t>
      </w:r>
      <w:r w:rsidR="00061D78">
        <w:t xml:space="preserve"> </w:t>
      </w:r>
      <w:r>
        <w:t>În evaluarea legăturii pe fond dintre cele două seturi de proceduri, Curtea reiterează ceea ce a stabilit deja, și anume faptul că ambele seturi erau de natură penală (</w:t>
      </w:r>
      <w:r>
        <w:rPr>
          <w:i/>
          <w:iCs/>
        </w:rPr>
        <w:t>supra</w:t>
      </w:r>
      <w:r>
        <w:t xml:space="preserve">, pct. </w:t>
      </w:r>
      <w:r w:rsidRPr="00325F5F">
        <w:fldChar w:fldCharType="begin"/>
      </w:r>
      <w:r w:rsidRPr="00325F5F">
        <w:instrText xml:space="preserve"> REF paragraph00044 \h  \* CharFormat </w:instrText>
      </w:r>
      <w:r w:rsidRPr="00325F5F">
        <w:fldChar w:fldCharType="separate"/>
      </w:r>
      <w:r w:rsidR="003130F1">
        <w:t>45</w:t>
      </w:r>
      <w:r w:rsidRPr="00325F5F">
        <w:fldChar w:fldCharType="end"/>
      </w:r>
      <w:r>
        <w:t>) și vizau același comportament reprobabil al reclamantului, manifestat în același interval de timp (</w:t>
      </w:r>
      <w:r>
        <w:rPr>
          <w:i/>
          <w:iCs/>
        </w:rPr>
        <w:t>supra</w:t>
      </w:r>
      <w:r>
        <w:t xml:space="preserve">, pct. </w:t>
      </w:r>
      <w:r w:rsidRPr="00325F5F">
        <w:fldChar w:fldCharType="begin"/>
      </w:r>
      <w:r w:rsidRPr="00325F5F">
        <w:instrText xml:space="preserve"> REF paragraph00048 \h  \* CharFormat </w:instrText>
      </w:r>
      <w:r w:rsidRPr="00325F5F">
        <w:fldChar w:fldCharType="separate"/>
      </w:r>
      <w:r w:rsidR="003130F1">
        <w:t>47</w:t>
      </w:r>
      <w:r w:rsidRPr="00325F5F">
        <w:fldChar w:fldCharType="end"/>
      </w:r>
      <w:r>
        <w:t>).</w:t>
      </w:r>
    </w:p>
    <w:p w:rsidR="00761D85" w:rsidRPr="00325F5F" w:rsidRDefault="00834E9D" w:rsidP="00325F5F">
      <w:pPr>
        <w:pStyle w:val="JuPara"/>
      </w:pPr>
      <w:fldSimple w:instr=" SEQ level0 \*arabic \* MERGEFORMAT ">
        <w:bookmarkStart w:id="43" w:name="paragraph00057"/>
        <w:r w:rsidR="003130F1">
          <w:rPr>
            <w:noProof/>
          </w:rPr>
          <w:t>58</w:t>
        </w:r>
        <w:bookmarkEnd w:id="43"/>
      </w:fldSimple>
      <w:r w:rsidR="005A30A0">
        <w:t>.</w:t>
      </w:r>
      <w:r w:rsidR="00061D78">
        <w:t xml:space="preserve"> </w:t>
      </w:r>
      <w:r w:rsidR="005A30A0">
        <w:t xml:space="preserve">Deși scopurile urmărite de ambele sancțiuni au fost descurajarea și pedepsirea, Curtea observă că amenda aplicată în cadrul procedurii administrative era specifică pentru comportamentul în cauză și, prin urmare, se deosebea de „nucleul dur al dreptului penal”, întrucât nu avea caracter stigmatizant (a se vedea, </w:t>
      </w:r>
      <w:r w:rsidR="005A30A0">
        <w:rPr>
          <w:i/>
          <w:iCs/>
        </w:rPr>
        <w:t>mutatis mutandis</w:t>
      </w:r>
      <w:r w:rsidR="005A30A0">
        <w:t xml:space="preserve">, </w:t>
      </w:r>
      <w:bookmarkStart w:id="44" w:name="x__cl41785"/>
      <w:bookmarkStart w:id="45" w:name="_Hlk147151380"/>
      <w:proofErr w:type="spellStart"/>
      <w:r w:rsidR="005A30A0">
        <w:rPr>
          <w:i/>
        </w:rPr>
        <w:t>Goulandris</w:t>
      </w:r>
      <w:proofErr w:type="spellEnd"/>
      <w:r w:rsidR="005A30A0">
        <w:rPr>
          <w:i/>
        </w:rPr>
        <w:t xml:space="preserve"> și </w:t>
      </w:r>
      <w:proofErr w:type="spellStart"/>
      <w:r w:rsidR="005A30A0">
        <w:rPr>
          <w:i/>
        </w:rPr>
        <w:t>Vardinogianni</w:t>
      </w:r>
      <w:proofErr w:type="spellEnd"/>
      <w:r w:rsidR="005A30A0">
        <w:rPr>
          <w:i/>
        </w:rPr>
        <w:t xml:space="preserve"> împotriva Greciei</w:t>
      </w:r>
      <w:bookmarkEnd w:id="44"/>
      <w:r w:rsidR="005A30A0">
        <w:t>, nr. 1735/13, pct. 74, 16 iunie 2022). Cu toate acestea, Curtea observă că respectivul comportament a reprezentat mai degrabă un incident izolat decât un tipar de astfel de comportament. În plus, procedura penală a fost inițiată împotriva reclamantului chiar înainte de a-i fi aplicată amenda contravențională (</w:t>
      </w:r>
      <w:r w:rsidR="005A30A0">
        <w:rPr>
          <w:i/>
          <w:iCs/>
        </w:rPr>
        <w:t>supra</w:t>
      </w:r>
      <w:r w:rsidR="005A30A0">
        <w:t xml:space="preserve">, pct. </w:t>
      </w:r>
      <w:r w:rsidR="005A30A0" w:rsidRPr="00325F5F">
        <w:fldChar w:fldCharType="begin"/>
      </w:r>
      <w:r w:rsidR="005A30A0" w:rsidRPr="00325F5F">
        <w:instrText xml:space="preserve"> REF paragraph00015 \h  \* CharFormat </w:instrText>
      </w:r>
      <w:r w:rsidR="005A30A0" w:rsidRPr="00325F5F">
        <w:fldChar w:fldCharType="separate"/>
      </w:r>
      <w:r w:rsidR="003130F1">
        <w:t>15</w:t>
      </w:r>
      <w:r w:rsidR="005A30A0" w:rsidRPr="00325F5F">
        <w:fldChar w:fldCharType="end"/>
      </w:r>
      <w:r w:rsidR="005A30A0">
        <w:t xml:space="preserve"> și </w:t>
      </w:r>
      <w:r w:rsidR="005A30A0" w:rsidRPr="00325F5F">
        <w:fldChar w:fldCharType="begin"/>
      </w:r>
      <w:r w:rsidR="005A30A0" w:rsidRPr="00325F5F">
        <w:instrText xml:space="preserve"> REF paragraph00013 \h  \* CharFormat </w:instrText>
      </w:r>
      <w:r w:rsidR="005A30A0" w:rsidRPr="00325F5F">
        <w:fldChar w:fldCharType="separate"/>
      </w:r>
      <w:r w:rsidR="003130F1">
        <w:t>13</w:t>
      </w:r>
      <w:r w:rsidR="005A30A0" w:rsidRPr="00325F5F">
        <w:fldChar w:fldCharType="end"/>
      </w:r>
      <w:r w:rsidR="005A30A0">
        <w:t>). Prin urmare, Curtea concluzionează că procedura penală nu poate fi considerată un răspuns complementar la comportamentul ilicit al reclamantului, menit să abordeze o situație continuă de violență într-un mod cuprinzător, odată ce s-a constatat că acest comportament a atins un anumit nivel de gravitate (</w:t>
      </w:r>
      <w:r w:rsidR="005A30A0">
        <w:rPr>
          <w:i/>
          <w:iCs/>
        </w:rPr>
        <w:t xml:space="preserve">a </w:t>
      </w:r>
      <w:proofErr w:type="spellStart"/>
      <w:r w:rsidR="005A30A0">
        <w:rPr>
          <w:i/>
          <w:iCs/>
        </w:rPr>
        <w:t>contrario</w:t>
      </w:r>
      <w:proofErr w:type="spellEnd"/>
      <w:r w:rsidR="005A30A0">
        <w:t xml:space="preserve"> </w:t>
      </w:r>
      <w:proofErr w:type="spellStart"/>
      <w:r w:rsidR="005A30A0">
        <w:rPr>
          <w:i/>
        </w:rPr>
        <w:t>Galović</w:t>
      </w:r>
      <w:proofErr w:type="spellEnd"/>
      <w:r w:rsidR="005A30A0">
        <w:rPr>
          <w:i/>
        </w:rPr>
        <w:t xml:space="preserve"> împotriva Croației</w:t>
      </w:r>
      <w:r w:rsidR="005A30A0">
        <w:t>, nr. 45512/11, pct. 117-18, 31 august 2021).</w:t>
      </w:r>
      <w:bookmarkEnd w:id="45"/>
      <w:r w:rsidR="005A30A0">
        <w:t xml:space="preserve"> Rezultă că cele două seturi de proceduri nu au urmărit scopuri complementare în abordarea problemei comportamentului agresiv care tulbură ordinea publică prin provocarea de scandal într-un loc public.</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59</w:t>
      </w:r>
      <w:r w:rsidRPr="00325F5F">
        <w:fldChar w:fldCharType="end"/>
      </w:r>
      <w:r>
        <w:t>.</w:t>
      </w:r>
      <w:r w:rsidR="00061D78">
        <w:t xml:space="preserve"> </w:t>
      </w:r>
      <w:r>
        <w:t>În plus, în ceea ce privește previzibilitatea în drept și în practică a consecințelor comportamentului reclamantului, Curtea reiterează faptul că comportamentul incriminat a corespuns unui singur incident, descris în mod similar atât în procesul-verbal de contravenție (</w:t>
      </w:r>
      <w:r>
        <w:rPr>
          <w:i/>
          <w:iCs/>
        </w:rPr>
        <w:t>supra</w:t>
      </w:r>
      <w:r>
        <w:t xml:space="preserve">, pct. </w:t>
      </w:r>
      <w:r w:rsidR="005A30A0" w:rsidRPr="00325F5F">
        <w:fldChar w:fldCharType="begin"/>
      </w:r>
      <w:r w:rsidR="005A30A0" w:rsidRPr="00325F5F">
        <w:instrText xml:space="preserve"> REF paragraph00013 \h  \* CharFormat </w:instrText>
      </w:r>
      <w:r w:rsidR="005A30A0" w:rsidRPr="00325F5F">
        <w:fldChar w:fldCharType="separate"/>
      </w:r>
      <w:r w:rsidR="003130F1">
        <w:t>13</w:t>
      </w:r>
      <w:r w:rsidR="005A30A0" w:rsidRPr="00325F5F">
        <w:fldChar w:fldCharType="end"/>
      </w:r>
      <w:r>
        <w:t>), cât și în rechizitoriu ca fiind fapta de a provoca un scandal care a condus la indignare publică, rechizitoriul făcând referire, de asemenea, la o consecință suplimentară, și anume cea care a implicat distrugerea unor bunuri (</w:t>
      </w:r>
      <w:r>
        <w:rPr>
          <w:i/>
          <w:iCs/>
        </w:rPr>
        <w:t>supra</w:t>
      </w:r>
      <w:r>
        <w:t xml:space="preserve">, pct. </w:t>
      </w:r>
      <w:r w:rsidR="005A30A0" w:rsidRPr="00325F5F">
        <w:fldChar w:fldCharType="begin"/>
      </w:r>
      <w:r w:rsidR="005A30A0" w:rsidRPr="00325F5F">
        <w:instrText xml:space="preserve"> REF paragraph00016 \h  \* CharFormat </w:instrText>
      </w:r>
      <w:r w:rsidR="005A30A0" w:rsidRPr="00325F5F">
        <w:fldChar w:fldCharType="separate"/>
      </w:r>
      <w:r w:rsidR="003130F1">
        <w:t>16</w:t>
      </w:r>
      <w:r w:rsidR="005A30A0" w:rsidRPr="00325F5F">
        <w:fldChar w:fldCharType="end"/>
      </w:r>
      <w:r>
        <w:t>), fără a-l încrimina însă pe reclamant pentru distrugere de bunuri.</w:t>
      </w:r>
    </w:p>
    <w:p w:rsidR="00761D85" w:rsidRPr="00325F5F" w:rsidRDefault="00834E9D" w:rsidP="00325F5F">
      <w:pPr>
        <w:pStyle w:val="JuPara"/>
      </w:pPr>
      <w:fldSimple w:instr=" SEQ level0 \*arabic \* MERGEFORMAT ">
        <w:bookmarkStart w:id="46" w:name="paragraph00059"/>
        <w:r w:rsidR="003130F1">
          <w:rPr>
            <w:noProof/>
          </w:rPr>
          <w:t>60</w:t>
        </w:r>
        <w:bookmarkEnd w:id="46"/>
      </w:fldSimple>
      <w:r w:rsidR="005A30A0">
        <w:t>.</w:t>
      </w:r>
      <w:r w:rsidR="00061D78">
        <w:t xml:space="preserve"> </w:t>
      </w:r>
      <w:r w:rsidR="005A30A0">
        <w:t xml:space="preserve">Observând că dublarea procedurii și a pedepsei poate fi permisă numai în condițiile prevăzute și definite în mod exhaustiv prin norme clare și precise care să permită indivizilor să prevadă care acțiuni sau inacțiuni sunt susceptibile de a face obiectul unei astfel de dublări, asigurându-se astfel că dreptul garantat de art. 4 din Protocolul nr. 7 nu este pus în discuție ca atare și că securitatea juridică este menținută (a se vedea </w:t>
      </w:r>
      <w:bookmarkStart w:id="47" w:name="_Hlk147151413"/>
      <w:proofErr w:type="spellStart"/>
      <w:r w:rsidR="005A30A0">
        <w:rPr>
          <w:i/>
        </w:rPr>
        <w:t>Galović</w:t>
      </w:r>
      <w:proofErr w:type="spellEnd"/>
      <w:r w:rsidR="005A30A0">
        <w:t>, citată anterior, pct. 119</w:t>
      </w:r>
      <w:bookmarkEnd w:id="47"/>
      <w:r w:rsidR="005A30A0">
        <w:t>), Curtea consideră că, în speță, reclamantul nu avea niciun motiv să prevadă că comportamentul său ar fi putut avea consecințe precum inițierea unor proceduri contravenționale pentru un anumit incident, precum și a unei proceduri penale pentru același incident.</w:t>
      </w:r>
    </w:p>
    <w:p w:rsidR="00761D85" w:rsidRPr="00325F5F" w:rsidRDefault="00834E9D" w:rsidP="00325F5F">
      <w:pPr>
        <w:pStyle w:val="JuPara"/>
      </w:pPr>
      <w:fldSimple w:instr=" SEQ level0 \*arabic \* MERGEFORMAT ">
        <w:bookmarkStart w:id="48" w:name="paragraph00060"/>
        <w:r w:rsidR="003130F1">
          <w:rPr>
            <w:noProof/>
          </w:rPr>
          <w:t>61</w:t>
        </w:r>
        <w:bookmarkEnd w:id="48"/>
      </w:fldSimple>
      <w:r w:rsidR="005A30A0">
        <w:t>.</w:t>
      </w:r>
      <w:r w:rsidR="00061D78">
        <w:t xml:space="preserve"> </w:t>
      </w:r>
      <w:r w:rsidR="005A30A0">
        <w:t xml:space="preserve">În ceea ce privește modul de desfășurare a procedurii, Curtea observă că instanța penală nu a ținut seama de procedura contravențională anterioară împotriva reclamantului. Ambele instanțe interne au considerat că aceste proceduri nu sunt relevante pentru aprecierea excepției de </w:t>
      </w:r>
      <w:proofErr w:type="spellStart"/>
      <w:r w:rsidR="005A30A0">
        <w:rPr>
          <w:i/>
        </w:rPr>
        <w:t>res</w:t>
      </w:r>
      <w:proofErr w:type="spellEnd"/>
      <w:r w:rsidR="005A30A0">
        <w:rPr>
          <w:i/>
        </w:rPr>
        <w:t xml:space="preserve"> </w:t>
      </w:r>
      <w:proofErr w:type="spellStart"/>
      <w:r w:rsidR="005A30A0">
        <w:rPr>
          <w:i/>
        </w:rPr>
        <w:t>judicata</w:t>
      </w:r>
      <w:proofErr w:type="spellEnd"/>
      <w:r w:rsidR="005A30A0">
        <w:t xml:space="preserve"> invocată de reclamant, în măsura în care nu a fost pronunțată nicio hotărâre definitivă în cadrul procedurii contravenționale, care, în opinia lor, nu a condus la o pedeapsă de natură penală, având în vedere caracterul cuantumul redus al amenzii (</w:t>
      </w:r>
      <w:r w:rsidR="005A30A0">
        <w:rPr>
          <w:i/>
          <w:iCs/>
        </w:rPr>
        <w:t>supra</w:t>
      </w:r>
      <w:r w:rsidR="005A30A0">
        <w:t xml:space="preserve">, pct. </w:t>
      </w:r>
      <w:r w:rsidR="005A30A0" w:rsidRPr="00325F5F">
        <w:fldChar w:fldCharType="begin"/>
      </w:r>
      <w:r w:rsidR="005A30A0" w:rsidRPr="00325F5F">
        <w:instrText xml:space="preserve"> REF paragraph00018 \h  \* CharFormat </w:instrText>
      </w:r>
      <w:r w:rsidR="005A30A0" w:rsidRPr="00325F5F">
        <w:fldChar w:fldCharType="separate"/>
      </w:r>
      <w:r w:rsidR="003130F1">
        <w:t>18</w:t>
      </w:r>
      <w:r w:rsidR="005A30A0" w:rsidRPr="00325F5F">
        <w:fldChar w:fldCharType="end"/>
      </w:r>
      <w:r w:rsidR="005A30A0">
        <w:t>-</w:t>
      </w:r>
      <w:r w:rsidR="005A30A0" w:rsidRPr="00325F5F">
        <w:fldChar w:fldCharType="begin"/>
      </w:r>
      <w:r w:rsidR="005A30A0" w:rsidRPr="00325F5F">
        <w:instrText xml:space="preserve"> REF paragraph00019 \h  \* CharFormat </w:instrText>
      </w:r>
      <w:r w:rsidR="005A30A0" w:rsidRPr="00325F5F">
        <w:fldChar w:fldCharType="separate"/>
      </w:r>
      <w:r w:rsidR="003130F1">
        <w:t>19</w:t>
      </w:r>
      <w:r w:rsidR="005A30A0" w:rsidRPr="00325F5F">
        <w:fldChar w:fldCharType="end"/>
      </w:r>
      <w:r w:rsidR="005A30A0">
        <w:t xml:space="preserve"> și </w:t>
      </w:r>
      <w:r w:rsidR="005A30A0" w:rsidRPr="00325F5F">
        <w:fldChar w:fldCharType="begin"/>
      </w:r>
      <w:r w:rsidR="005A30A0" w:rsidRPr="00325F5F">
        <w:instrText xml:space="preserve"> REF paragraph00026 \h  \* CharFormat </w:instrText>
      </w:r>
      <w:r w:rsidR="005A30A0" w:rsidRPr="00325F5F">
        <w:fldChar w:fldCharType="separate"/>
      </w:r>
      <w:r w:rsidR="003130F1">
        <w:t>26</w:t>
      </w:r>
      <w:r w:rsidR="005A30A0" w:rsidRPr="00325F5F">
        <w:fldChar w:fldCharType="end"/>
      </w:r>
      <w:r w:rsidR="005A30A0">
        <w:t>). Cele două sancțiuni impuse reclamantului, dintre care una a presupus o privare de libertate, deși executarea acesteia a fost în cele din urmă anulată, nu au fost combinate sau integrate în niciun fel.</w:t>
      </w:r>
      <w:r w:rsidR="005A30A0">
        <w:rPr>
          <w:rFonts w:ascii="Arial" w:hAnsi="Arial"/>
          <w:color w:val="000000"/>
        </w:rPr>
        <w:t xml:space="preserve"> </w:t>
      </w:r>
      <w:r w:rsidR="005A30A0">
        <w:t>În consecință, se poate considera că reclamantul a suferit un dezavantaj legat de dublarea procedurilor, dincolo de ceea ce era strict necesar.</w:t>
      </w:r>
    </w:p>
    <w:p w:rsidR="00761D85" w:rsidRPr="00325F5F" w:rsidRDefault="00325F5F" w:rsidP="00325F5F">
      <w:pPr>
        <w:pStyle w:val="JuPara"/>
      </w:pPr>
      <w:r w:rsidRPr="00325F5F">
        <w:fldChar w:fldCharType="begin"/>
      </w:r>
      <w:r w:rsidR="005A30A0">
        <w:instrText xml:space="preserve"> SEQ level0 \*arabic \* MERGEFORMAT </w:instrText>
      </w:r>
      <w:r w:rsidRPr="00325F5F">
        <w:fldChar w:fldCharType="separate"/>
      </w:r>
      <w:r w:rsidR="003130F1">
        <w:rPr>
          <w:noProof/>
        </w:rPr>
        <w:t>62</w:t>
      </w:r>
      <w:r w:rsidRPr="00325F5F">
        <w:fldChar w:fldCharType="end"/>
      </w:r>
      <w:r>
        <w:t>.</w:t>
      </w:r>
      <w:r w:rsidR="00061D78">
        <w:t xml:space="preserve"> </w:t>
      </w:r>
      <w:r>
        <w:t>Având în vedere aceste elemente, Curtea constată că cele două seturi de proceduri nu au fost combinate într-un mod integrat astfel încât să formeze un ansamblu coerent, încălcând astfel criteriul „</w:t>
      </w:r>
      <w:r>
        <w:rPr>
          <w:i/>
        </w:rPr>
        <w:t>bis</w:t>
      </w:r>
      <w:r>
        <w:t xml:space="preserve">” prevăzut la art. 4 din Protocolul nr. 7 (a se vedea, </w:t>
      </w:r>
      <w:r>
        <w:rPr>
          <w:i/>
        </w:rPr>
        <w:t>mutatis mutandis,</w:t>
      </w:r>
      <w:r>
        <w:t xml:space="preserve"> </w:t>
      </w:r>
      <w:bookmarkStart w:id="49" w:name="_Hlk147151422"/>
      <w:r>
        <w:rPr>
          <w:i/>
        </w:rPr>
        <w:t>Mihalache</w:t>
      </w:r>
      <w:r>
        <w:t>, citată anterior, pct. 85</w:t>
      </w:r>
      <w:bookmarkEnd w:id="49"/>
      <w:r>
        <w:t>).</w:t>
      </w:r>
    </w:p>
    <w:p w:rsidR="00761D85" w:rsidRPr="00325F5F" w:rsidRDefault="005A30A0" w:rsidP="0047462E">
      <w:pPr>
        <w:pStyle w:val="JuHi"/>
      </w:pPr>
      <w:r>
        <w:t>Concluzie</w:t>
      </w:r>
    </w:p>
    <w:p w:rsidR="00761D85" w:rsidRPr="00325F5F" w:rsidRDefault="00834E9D" w:rsidP="00325F5F">
      <w:pPr>
        <w:pStyle w:val="JuPara"/>
      </w:pPr>
      <w:fldSimple w:instr=" SEQ level0 \*arabic \* MERGEFORMAT ">
        <w:bookmarkStart w:id="50" w:name="paragraph00062"/>
        <w:r w:rsidR="003130F1">
          <w:rPr>
            <w:noProof/>
          </w:rPr>
          <w:t>63</w:t>
        </w:r>
        <w:bookmarkEnd w:id="50"/>
      </w:fldSimple>
      <w:r w:rsidR="005A30A0">
        <w:t>.</w:t>
      </w:r>
      <w:r w:rsidR="00061D78">
        <w:t xml:space="preserve"> </w:t>
      </w:r>
      <w:r w:rsidR="005A30A0">
        <w:t>Reclamantul a fost amendat în cadrul unei proceduri contravenționale care trebuie să fie asimilată unei „proceduri penale” în sensul autonom dat de Convenție noțiunii de „penal”. Procedura ulterioară împotriva reclamantului, calificată drept infracțiune în dreptul intern, a vizat, în esență, aceeași infracțiune pentru care acesta fusese deja amendat de poliție cu efect definitiv.</w:t>
      </w:r>
    </w:p>
    <w:p w:rsidR="00761D85" w:rsidRPr="00325F5F" w:rsidRDefault="00834E9D" w:rsidP="00325F5F">
      <w:pPr>
        <w:pStyle w:val="JuPara"/>
      </w:pPr>
      <w:fldSimple w:instr=" SEQ level0 \*arabic \* MERGEFORMAT ">
        <w:r w:rsidR="003130F1">
          <w:rPr>
            <w:noProof/>
          </w:rPr>
          <w:t>64</w:t>
        </w:r>
      </w:fldSimple>
      <w:r w:rsidR="005A30A0">
        <w:t>.</w:t>
      </w:r>
      <w:r w:rsidR="00061D78">
        <w:t xml:space="preserve"> </w:t>
      </w:r>
      <w:r w:rsidR="005A30A0">
        <w:t>În pofida legăturii lor în timp, nu s-a stabilit că cele două seturi de proceduri urmăreau scopuri complementare sau că au fost combinate într-un mod integrat astfel încât să constituie un ansamblu coerent; în orice caz, ca o consecință, reclamantul a fost pedepsit de două ori pentru același comportament și a suferit un prejudiciu disproporționat ca urmare a dublării procedurii și a sancțiunilor, care, în cazul său, nu au constituit un ansamblu coerent și nu au fost proporționale.</w:t>
      </w:r>
    </w:p>
    <w:p w:rsidR="00761D85" w:rsidRPr="00325F5F" w:rsidRDefault="00834E9D" w:rsidP="00325F5F">
      <w:pPr>
        <w:pStyle w:val="JuPara"/>
      </w:pPr>
      <w:fldSimple w:instr=" SEQ level0 \*arabic \* MERGEFORMAT ">
        <w:bookmarkStart w:id="51" w:name="paragraph00064"/>
        <w:r w:rsidR="003130F1">
          <w:rPr>
            <w:noProof/>
          </w:rPr>
          <w:t>65</w:t>
        </w:r>
        <w:bookmarkEnd w:id="51"/>
      </w:fldSimple>
      <w:r w:rsidR="005A30A0">
        <w:t>.</w:t>
      </w:r>
      <w:r w:rsidR="00061D78">
        <w:t xml:space="preserve"> </w:t>
      </w:r>
      <w:r w:rsidR="005A30A0">
        <w:t>În consecință, a fost încălcat art. 4 din Protocolul nr. 7 la Convenție.</w:t>
      </w:r>
    </w:p>
    <w:p w:rsidR="00761D85" w:rsidRPr="00325F5F" w:rsidRDefault="005A30A0" w:rsidP="0047462E">
      <w:pPr>
        <w:pStyle w:val="JuHIRoman"/>
      </w:pPr>
      <w:r>
        <w:t>Cu privire la aplicarea art. 41 din Convenție</w:t>
      </w:r>
    </w:p>
    <w:p w:rsidR="00761D85" w:rsidRPr="00325F5F" w:rsidRDefault="003130F1" w:rsidP="00325F5F">
      <w:pPr>
        <w:pStyle w:val="JuPara"/>
        <w:keepNext/>
        <w:keepLines/>
      </w:pPr>
      <w:r>
        <w:fldChar w:fldCharType="begin"/>
      </w:r>
      <w:r>
        <w:instrText xml:space="preserve"> SEQ level0 \*arabic </w:instrText>
      </w:r>
      <w:r>
        <w:fldChar w:fldCharType="separate"/>
      </w:r>
      <w:r>
        <w:rPr>
          <w:noProof/>
        </w:rPr>
        <w:t>66</w:t>
      </w:r>
      <w:r>
        <w:fldChar w:fldCharType="end"/>
      </w:r>
      <w:r w:rsidR="005A30A0">
        <w:t>.</w:t>
      </w:r>
      <w:r w:rsidR="00061D78">
        <w:t xml:space="preserve"> </w:t>
      </w:r>
      <w:r w:rsidR="005A30A0">
        <w:t>Art. 41 din Convenție prevede:</w:t>
      </w:r>
    </w:p>
    <w:p w:rsidR="00761D85" w:rsidRPr="00325F5F" w:rsidRDefault="005A30A0" w:rsidP="00325F5F">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761D85" w:rsidRPr="00325F5F" w:rsidRDefault="005A30A0" w:rsidP="0047462E">
      <w:pPr>
        <w:pStyle w:val="JuHA"/>
        <w:numPr>
          <w:ilvl w:val="2"/>
          <w:numId w:val="1"/>
        </w:numPr>
      </w:pPr>
      <w:r>
        <w:t>Prejudiciu</w:t>
      </w:r>
    </w:p>
    <w:p w:rsidR="00761D85" w:rsidRPr="00325F5F" w:rsidRDefault="003130F1" w:rsidP="00325F5F">
      <w:pPr>
        <w:pStyle w:val="JuPara"/>
      </w:pPr>
      <w:r>
        <w:fldChar w:fldCharType="begin"/>
      </w:r>
      <w:r>
        <w:instrText xml:space="preserve"> SEQ level0 \*arabic </w:instrText>
      </w:r>
      <w:r>
        <w:fldChar w:fldCharType="separate"/>
      </w:r>
      <w:r>
        <w:rPr>
          <w:noProof/>
        </w:rPr>
        <w:t>67</w:t>
      </w:r>
      <w:r>
        <w:fldChar w:fldCharType="end"/>
      </w:r>
      <w:r w:rsidR="005A30A0">
        <w:t>.</w:t>
      </w:r>
      <w:r w:rsidR="00061D78">
        <w:t xml:space="preserve"> </w:t>
      </w:r>
      <w:r w:rsidR="005A30A0">
        <w:t>Reclamantul a solicitat 20 000 de euro (EUR) cu titlu de despăgubire pentru prejudiciul moral.</w:t>
      </w:r>
    </w:p>
    <w:p w:rsidR="00761D85" w:rsidRPr="00325F5F" w:rsidRDefault="003130F1" w:rsidP="00325F5F">
      <w:pPr>
        <w:pStyle w:val="JuPara"/>
      </w:pPr>
      <w:r>
        <w:fldChar w:fldCharType="begin"/>
      </w:r>
      <w:r>
        <w:instrText xml:space="preserve"> SEQ level0 \*arabic </w:instrText>
      </w:r>
      <w:r>
        <w:fldChar w:fldCharType="separate"/>
      </w:r>
      <w:r>
        <w:rPr>
          <w:noProof/>
        </w:rPr>
        <w:t>68</w:t>
      </w:r>
      <w:r>
        <w:fldChar w:fldCharType="end"/>
      </w:r>
      <w:r w:rsidR="005A30A0">
        <w:t>.</w:t>
      </w:r>
      <w:r w:rsidR="00061D78">
        <w:t xml:space="preserve"> </w:t>
      </w:r>
      <w:r w:rsidR="005A30A0">
        <w:t>Guvernul a contestat această pretenție.</w:t>
      </w:r>
    </w:p>
    <w:p w:rsidR="00761D85" w:rsidRPr="00325F5F" w:rsidRDefault="003130F1" w:rsidP="00325F5F">
      <w:pPr>
        <w:pStyle w:val="JuPara"/>
      </w:pPr>
      <w:r>
        <w:fldChar w:fldCharType="begin"/>
      </w:r>
      <w:r>
        <w:instrText xml:space="preserve"> SEQ level0 \*arabic </w:instrText>
      </w:r>
      <w:r>
        <w:fldChar w:fldCharType="separate"/>
      </w:r>
      <w:r>
        <w:rPr>
          <w:noProof/>
        </w:rPr>
        <w:t>69</w:t>
      </w:r>
      <w:r>
        <w:fldChar w:fldCharType="end"/>
      </w:r>
      <w:r w:rsidR="005A30A0">
        <w:t>.</w:t>
      </w:r>
      <w:r w:rsidR="00061D78">
        <w:t xml:space="preserve"> </w:t>
      </w:r>
      <w:r w:rsidR="005A30A0">
        <w:t>Având în vedere natura încălcării constatate și împrejurările prezentei cauze, Curtea consideră că constatarea unei încălcări constituie în sine o reparație echitabilă suficientă pentru orice prejudiciu moral suferit de reclamant.</w:t>
      </w:r>
    </w:p>
    <w:p w:rsidR="00761D85" w:rsidRPr="00325F5F" w:rsidRDefault="005A30A0" w:rsidP="0047462E">
      <w:pPr>
        <w:pStyle w:val="JuHA"/>
        <w:numPr>
          <w:ilvl w:val="2"/>
          <w:numId w:val="1"/>
        </w:numPr>
      </w:pPr>
      <w:r>
        <w:t>Cheltuieli de judecată</w:t>
      </w:r>
    </w:p>
    <w:p w:rsidR="00761D85" w:rsidRPr="00325F5F" w:rsidRDefault="003130F1" w:rsidP="00325F5F">
      <w:pPr>
        <w:pStyle w:val="JuPara"/>
      </w:pPr>
      <w:r>
        <w:fldChar w:fldCharType="begin"/>
      </w:r>
      <w:r>
        <w:instrText xml:space="preserve"> SEQ level0 \*arabic </w:instrText>
      </w:r>
      <w:r>
        <w:fldChar w:fldCharType="separate"/>
      </w:r>
      <w:r>
        <w:rPr>
          <w:noProof/>
        </w:rPr>
        <w:t>70</w:t>
      </w:r>
      <w:r>
        <w:fldChar w:fldCharType="end"/>
      </w:r>
      <w:r w:rsidR="005A30A0">
        <w:t>.</w:t>
      </w:r>
      <w:r w:rsidR="00061D78">
        <w:t xml:space="preserve"> </w:t>
      </w:r>
      <w:r w:rsidR="005A30A0">
        <w:t>Întrucât reclamantul nu a solicitat cheltuieli de judecată, Curtea nu este chemată să acorde vreo sumă cu acest titlu.</w:t>
      </w:r>
    </w:p>
    <w:p w:rsidR="00761D85" w:rsidRPr="00325F5F" w:rsidRDefault="005A30A0" w:rsidP="0047462E">
      <w:pPr>
        <w:pStyle w:val="JuHHead"/>
        <w:numPr>
          <w:ilvl w:val="0"/>
          <w:numId w:val="1"/>
        </w:numPr>
      </w:pPr>
      <w:r>
        <w:t>PENTRU ACESTE MOTIVE, CURTEA, ÎN UNANIMITATE,</w:t>
      </w:r>
    </w:p>
    <w:p w:rsidR="00761D85" w:rsidRPr="00325F5F" w:rsidRDefault="005A30A0" w:rsidP="0047462E">
      <w:pPr>
        <w:pStyle w:val="JuList"/>
      </w:pPr>
      <w:r>
        <w:rPr>
          <w:i/>
        </w:rPr>
        <w:t>Declară</w:t>
      </w:r>
      <w:r>
        <w:t xml:space="preserve"> cererea admisibilă;</w:t>
      </w:r>
    </w:p>
    <w:p w:rsidR="00761D85" w:rsidRPr="00325F5F" w:rsidRDefault="005A30A0" w:rsidP="0047462E">
      <w:pPr>
        <w:pStyle w:val="JuList"/>
      </w:pPr>
      <w:r>
        <w:rPr>
          <w:i/>
          <w:iCs/>
        </w:rPr>
        <w:t>Hotărăște</w:t>
      </w:r>
      <w:r>
        <w:t xml:space="preserve"> că a fost încălcat art. 1 din Protocolul nr. 1 la Convenție;</w:t>
      </w:r>
    </w:p>
    <w:p w:rsidR="004D0EC7" w:rsidRPr="00325F5F" w:rsidRDefault="005A30A0" w:rsidP="0047462E">
      <w:pPr>
        <w:pStyle w:val="JuList"/>
      </w:pPr>
      <w:r>
        <w:rPr>
          <w:i/>
          <w:iCs/>
        </w:rPr>
        <w:t>Hotărăște</w:t>
      </w:r>
      <w:r>
        <w:t xml:space="preserve"> că o constatare a unei încălcări constituie, în sine, o reparație echitabilă pentru orice prejudiciu moral suferit de reclamant.</w:t>
      </w:r>
    </w:p>
    <w:p w:rsidR="008E3A08" w:rsidRPr="00325F5F" w:rsidRDefault="005A30A0" w:rsidP="00325F5F">
      <w:pPr>
        <w:pStyle w:val="JuParaLast"/>
      </w:pPr>
      <w:r>
        <w:t>Redactată în limba engleză, apoi comunicată în scris la 3 octombrie 2023, în temeiul art. 77 § 2 și 3 din Regulamentul Curții.</w:t>
      </w:r>
    </w:p>
    <w:p w:rsidR="007E79A4" w:rsidRPr="00325F5F" w:rsidRDefault="005A30A0" w:rsidP="00325F5F">
      <w:pPr>
        <w:pStyle w:val="ECHRPlaceholder"/>
        <w:rPr>
          <w:szCs w:val="22"/>
        </w:rPr>
      </w:pPr>
      <w:r>
        <w:tab/>
      </w:r>
    </w:p>
    <w:p w:rsidR="00182EBA" w:rsidRPr="001C1B5D" w:rsidRDefault="005A30A0" w:rsidP="00325F5F">
      <w:pPr>
        <w:pStyle w:val="JuSigned"/>
      </w:pPr>
      <w:r>
        <w:tab/>
        <w:t>Andrea Tamietti</w:t>
      </w:r>
      <w:r>
        <w:tab/>
        <w:t>Gabriele Kucsko-Stadlmayer</w:t>
      </w:r>
      <w:r>
        <w:br/>
      </w:r>
      <w:r>
        <w:tab/>
        <w:t>Grefier</w:t>
      </w:r>
      <w:r>
        <w:tab/>
        <w:t>Președinte</w:t>
      </w:r>
    </w:p>
    <w:sectPr w:rsidR="00182EBA" w:rsidRPr="001C1B5D"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4E9D" w:rsidRDefault="00834E9D">
      <w:r>
        <w:separator/>
      </w:r>
    </w:p>
  </w:endnote>
  <w:endnote w:type="continuationSeparator" w:id="0">
    <w:p w:rsidR="00834E9D" w:rsidRDefault="00834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D85" w:rsidRPr="00150BFA" w:rsidRDefault="005A30A0" w:rsidP="0020718E">
    <w:pPr>
      <w:jc w:val="center"/>
    </w:pPr>
    <w:r>
      <w:rPr>
        <w:noProof/>
        <w:lang w:val="en-US"/>
      </w:rPr>
      <w:drawing>
        <wp:inline distT="0" distB="0" distL="0" distR="0">
          <wp:extent cx="771525" cy="619125"/>
          <wp:effectExtent l="0" t="0" r="9525" b="9525"/>
          <wp:docPr id="32" name="Picture 3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8410D" w:rsidRPr="00E67565" w:rsidRDefault="0098410D" w:rsidP="00AF12C5">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D85" w:rsidRPr="00150BFA" w:rsidRDefault="005A30A0" w:rsidP="0020718E">
    <w:pPr>
      <w:jc w:val="center"/>
    </w:pPr>
    <w:r>
      <w:rPr>
        <w:noProof/>
        <w:lang w:val="en-US"/>
      </w:rPr>
      <w:drawing>
        <wp:inline distT="0" distB="0" distL="0" distR="0">
          <wp:extent cx="771525" cy="619125"/>
          <wp:effectExtent l="0" t="0" r="9525" b="9525"/>
          <wp:docPr id="34" name="Picture 3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9E7A6F" w:rsidRPr="00E67565" w:rsidRDefault="009E7A6F" w:rsidP="009E7A6F">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5A30A0" w:rsidP="009A115C">
    <w:pPr>
      <w:pStyle w:val="JuHeader"/>
    </w:pPr>
    <w:r>
      <w:rPr>
        <w:rStyle w:val="PageNumber"/>
      </w:rPr>
      <w:fldChar w:fldCharType="begin"/>
    </w:r>
    <w:r>
      <w:rPr>
        <w:rStyle w:val="PageNumber"/>
      </w:rPr>
      <w:instrText xml:space="preserve"> PAGE </w:instrText>
    </w:r>
    <w:r>
      <w:rPr>
        <w:rStyle w:val="PageNumber"/>
      </w:rPr>
      <w:fldChar w:fldCharType="separate"/>
    </w:r>
    <w:r w:rsidR="003130F1">
      <w:rPr>
        <w:rStyle w:val="PageNumber"/>
        <w:noProof/>
      </w:rPr>
      <w:t>14</w:t>
    </w:r>
    <w:r>
      <w:rPr>
        <w:rStyle w:val="PageNumber"/>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5A30A0" w:rsidP="007D3701">
    <w:pPr>
      <w:pStyle w:val="JuHeader"/>
    </w:pPr>
    <w:r>
      <w:fldChar w:fldCharType="begin"/>
    </w:r>
    <w:r>
      <w:instrText xml:space="preserve"> PAGE </w:instrText>
    </w:r>
    <w:r>
      <w:fldChar w:fldCharType="separate"/>
    </w:r>
    <w:r w:rsidR="003130F1">
      <w:rPr>
        <w:noProof/>
      </w:rPr>
      <w:t>15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4E9D" w:rsidRPr="00E67565" w:rsidRDefault="00834E9D" w:rsidP="0098410D">
      <w:r w:rsidRPr="00E67565">
        <w:separator/>
      </w:r>
    </w:p>
  </w:footnote>
  <w:footnote w:type="continuationSeparator" w:id="0">
    <w:p w:rsidR="00834E9D" w:rsidRPr="00E67565" w:rsidRDefault="00834E9D" w:rsidP="0098410D">
      <w:r w:rsidRPr="00E67565">
        <w:continuationSeparator/>
      </w:r>
    </w:p>
  </w:footnote>
  <w:footnote w:id="1">
    <w:p w:rsidR="00761D85" w:rsidRDefault="005A30A0" w:rsidP="00761D85">
      <w:pPr>
        <w:pStyle w:val="FootnoteText"/>
      </w:pPr>
      <w:r>
        <w:rPr>
          <w:rStyle w:val="FootnoteReference"/>
        </w:rPr>
        <w:footnoteRef/>
      </w:r>
      <w:r>
        <w:rPr>
          <w:rStyle w:val="FootnoteReference"/>
        </w:rPr>
        <w:t xml:space="preserve"> </w:t>
      </w:r>
      <w:r>
        <w:t>Conform unui dicționar online (https://www.dex.ro/scandal), cuvântul „scandal” poate fi definit ca: 1. „reacție violentă de protest față de ceva nedemn, rușinos, inacceptabil etc. 2. ceartă însoțită adesea de bătaie, de deteriorări de obiecte etc.; (p. ext.) zgomot, gălăgie mare produsă de o asemenea ceartă”.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D85" w:rsidRPr="00A45145" w:rsidRDefault="005A30A0" w:rsidP="00A45145">
    <w:pPr>
      <w:jc w:val="center"/>
    </w:pPr>
    <w:r>
      <w:rPr>
        <w:noProof/>
        <w:lang w:val="en-US"/>
      </w:rPr>
      <w:drawing>
        <wp:inline distT="0" distB="0" distL="0" distR="0">
          <wp:extent cx="2962275" cy="1219200"/>
          <wp:effectExtent l="0" t="0" r="9525" b="0"/>
          <wp:docPr id="31" name="Picture 3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D78" w:rsidRDefault="00061D78" w:rsidP="00061D78">
    <w:pPr>
      <w:jc w:val="right"/>
      <w:rPr>
        <w:i/>
        <w:iCs/>
      </w:rPr>
    </w:pPr>
    <w:r>
      <w:rPr>
        <w:i/>
        <w:iCs/>
      </w:rPr>
      <w:t>Tradus și revizuit de IER (</w:t>
    </w:r>
    <w:hyperlink r:id="rId1" w:history="1">
      <w:r>
        <w:rPr>
          <w:i/>
        </w:rPr>
        <w:t>http://ier.gov.ro/</w:t>
      </w:r>
    </w:hyperlink>
    <w:r>
      <w:rPr>
        <w:i/>
        <w:iCs/>
      </w:rPr>
      <w:t>)</w:t>
    </w:r>
  </w:p>
  <w:p w:rsidR="00061D78" w:rsidRDefault="00061D78" w:rsidP="00061D78">
    <w:pPr>
      <w:jc w:val="right"/>
      <w:rPr>
        <w:i/>
        <w:iCs/>
      </w:rPr>
    </w:pPr>
  </w:p>
  <w:p w:rsidR="00761D85" w:rsidRPr="00A45145" w:rsidRDefault="005A30A0" w:rsidP="00A45145">
    <w:pPr>
      <w:jc w:val="center"/>
    </w:pPr>
    <w:r>
      <w:rPr>
        <w:noProof/>
        <w:lang w:val="en-US"/>
      </w:rPr>
      <w:drawing>
        <wp:inline distT="0" distB="0" distL="0" distR="0">
          <wp:extent cx="2962275" cy="1219200"/>
          <wp:effectExtent l="0" t="0" r="9525" b="0"/>
          <wp:docPr id="33" name="Picture 3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E67565" w:rsidRDefault="0098410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1C73E9" w:rsidRDefault="005A30A0" w:rsidP="004D0EC7">
    <w:pPr>
      <w:pStyle w:val="JuHeader"/>
    </w:pPr>
    <w:r>
      <w:t>VASILE SORIN MARIN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1C73E9" w:rsidRDefault="005A30A0" w:rsidP="007D3701">
    <w:pPr>
      <w:pStyle w:val="JuHeader"/>
    </w:pPr>
    <w:r>
      <w:t>VASILE SORIN MARIN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1A72EFB6">
      <w:start w:val="1"/>
      <w:numFmt w:val="bullet"/>
      <w:pStyle w:val="ListBullet"/>
      <w:lvlText w:val=""/>
      <w:lvlJc w:val="left"/>
      <w:pPr>
        <w:tabs>
          <w:tab w:val="num" w:pos="851"/>
        </w:tabs>
        <w:ind w:left="568" w:firstLine="0"/>
      </w:pPr>
      <w:rPr>
        <w:rFonts w:ascii="Wingdings" w:hAnsi="Wingdings" w:hint="default"/>
        <w:color w:val="808080"/>
        <w:sz w:val="16"/>
      </w:rPr>
    </w:lvl>
    <w:lvl w:ilvl="1" w:tplc="E15E76F8" w:tentative="1">
      <w:start w:val="1"/>
      <w:numFmt w:val="bullet"/>
      <w:lvlText w:val="o"/>
      <w:lvlJc w:val="left"/>
      <w:pPr>
        <w:tabs>
          <w:tab w:val="num" w:pos="1724"/>
        </w:tabs>
        <w:ind w:left="1724" w:hanging="360"/>
      </w:pPr>
      <w:rPr>
        <w:rFonts w:ascii="Courier New" w:hAnsi="Courier New" w:cs="Courier New" w:hint="default"/>
      </w:rPr>
    </w:lvl>
    <w:lvl w:ilvl="2" w:tplc="73F02FD0" w:tentative="1">
      <w:start w:val="1"/>
      <w:numFmt w:val="bullet"/>
      <w:lvlText w:val=""/>
      <w:lvlJc w:val="left"/>
      <w:pPr>
        <w:tabs>
          <w:tab w:val="num" w:pos="2444"/>
        </w:tabs>
        <w:ind w:left="2444" w:hanging="360"/>
      </w:pPr>
      <w:rPr>
        <w:rFonts w:ascii="Wingdings" w:hAnsi="Wingdings" w:hint="default"/>
      </w:rPr>
    </w:lvl>
    <w:lvl w:ilvl="3" w:tplc="B9DCB554" w:tentative="1">
      <w:start w:val="1"/>
      <w:numFmt w:val="bullet"/>
      <w:lvlText w:val=""/>
      <w:lvlJc w:val="left"/>
      <w:pPr>
        <w:tabs>
          <w:tab w:val="num" w:pos="3164"/>
        </w:tabs>
        <w:ind w:left="3164" w:hanging="360"/>
      </w:pPr>
      <w:rPr>
        <w:rFonts w:ascii="Symbol" w:hAnsi="Symbol" w:hint="default"/>
      </w:rPr>
    </w:lvl>
    <w:lvl w:ilvl="4" w:tplc="E398E304" w:tentative="1">
      <w:start w:val="1"/>
      <w:numFmt w:val="bullet"/>
      <w:lvlText w:val="o"/>
      <w:lvlJc w:val="left"/>
      <w:pPr>
        <w:tabs>
          <w:tab w:val="num" w:pos="3884"/>
        </w:tabs>
        <w:ind w:left="3884" w:hanging="360"/>
      </w:pPr>
      <w:rPr>
        <w:rFonts w:ascii="Courier New" w:hAnsi="Courier New" w:cs="Courier New" w:hint="default"/>
      </w:rPr>
    </w:lvl>
    <w:lvl w:ilvl="5" w:tplc="D0307EDE" w:tentative="1">
      <w:start w:val="1"/>
      <w:numFmt w:val="bullet"/>
      <w:lvlText w:val=""/>
      <w:lvlJc w:val="left"/>
      <w:pPr>
        <w:tabs>
          <w:tab w:val="num" w:pos="4604"/>
        </w:tabs>
        <w:ind w:left="4604" w:hanging="360"/>
      </w:pPr>
      <w:rPr>
        <w:rFonts w:ascii="Wingdings" w:hAnsi="Wingdings" w:hint="default"/>
      </w:rPr>
    </w:lvl>
    <w:lvl w:ilvl="6" w:tplc="772A1842" w:tentative="1">
      <w:start w:val="1"/>
      <w:numFmt w:val="bullet"/>
      <w:lvlText w:val=""/>
      <w:lvlJc w:val="left"/>
      <w:pPr>
        <w:tabs>
          <w:tab w:val="num" w:pos="5324"/>
        </w:tabs>
        <w:ind w:left="5324" w:hanging="360"/>
      </w:pPr>
      <w:rPr>
        <w:rFonts w:ascii="Symbol" w:hAnsi="Symbol" w:hint="default"/>
      </w:rPr>
    </w:lvl>
    <w:lvl w:ilvl="7" w:tplc="DAC0B6C4" w:tentative="1">
      <w:start w:val="1"/>
      <w:numFmt w:val="bullet"/>
      <w:lvlText w:val="o"/>
      <w:lvlJc w:val="left"/>
      <w:pPr>
        <w:tabs>
          <w:tab w:val="num" w:pos="6044"/>
        </w:tabs>
        <w:ind w:left="6044" w:hanging="360"/>
      </w:pPr>
      <w:rPr>
        <w:rFonts w:ascii="Courier New" w:hAnsi="Courier New" w:cs="Courier New" w:hint="default"/>
      </w:rPr>
    </w:lvl>
    <w:lvl w:ilvl="8" w:tplc="2A72CFE0"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9"/>
  </w:num>
  <w:num w:numId="2">
    <w:abstractNumId w:val="17"/>
  </w:num>
  <w:num w:numId="3">
    <w:abstractNumId w:val="14"/>
  </w:num>
  <w:num w:numId="4">
    <w:abstractNumId w:val="12"/>
  </w:num>
  <w:num w:numId="5">
    <w:abstractNumId w:val="11"/>
  </w:num>
  <w:num w:numId="6">
    <w:abstractNumId w:val="18"/>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5"/>
  </w:num>
  <w:num w:numId="20">
    <w:abstractNumId w:val="16"/>
  </w:num>
  <w:num w:numId="21">
    <w:abstractNumId w:val="10"/>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761D85"/>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4987"/>
    <w:rsid w:val="00041560"/>
    <w:rsid w:val="000602DF"/>
    <w:rsid w:val="00061B05"/>
    <w:rsid w:val="00061D78"/>
    <w:rsid w:val="000632D5"/>
    <w:rsid w:val="000644EE"/>
    <w:rsid w:val="000712E3"/>
    <w:rsid w:val="0007780A"/>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1B5D"/>
    <w:rsid w:val="001C2A42"/>
    <w:rsid w:val="001C73E9"/>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1F46"/>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130F1"/>
    <w:rsid w:val="003201D8"/>
    <w:rsid w:val="00320F72"/>
    <w:rsid w:val="0032463E"/>
    <w:rsid w:val="00325F5F"/>
    <w:rsid w:val="00326224"/>
    <w:rsid w:val="00337EE4"/>
    <w:rsid w:val="00340FFD"/>
    <w:rsid w:val="00345C41"/>
    <w:rsid w:val="003506B1"/>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2CC4"/>
    <w:rsid w:val="00443D98"/>
    <w:rsid w:val="00445366"/>
    <w:rsid w:val="00447F5B"/>
    <w:rsid w:val="0045729D"/>
    <w:rsid w:val="00461DB0"/>
    <w:rsid w:val="00463926"/>
    <w:rsid w:val="00464AB7"/>
    <w:rsid w:val="00464C9A"/>
    <w:rsid w:val="0047462E"/>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2BB5"/>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4596"/>
    <w:rsid w:val="00545DA6"/>
    <w:rsid w:val="00547353"/>
    <w:rsid w:val="005474E7"/>
    <w:rsid w:val="005512A3"/>
    <w:rsid w:val="005578CE"/>
    <w:rsid w:val="00562781"/>
    <w:rsid w:val="00562B6C"/>
    <w:rsid w:val="0057271C"/>
    <w:rsid w:val="00572845"/>
    <w:rsid w:val="005879A2"/>
    <w:rsid w:val="00592772"/>
    <w:rsid w:val="0059574A"/>
    <w:rsid w:val="005A1B9B"/>
    <w:rsid w:val="005A2221"/>
    <w:rsid w:val="005A2E79"/>
    <w:rsid w:val="005A30A0"/>
    <w:rsid w:val="005A6751"/>
    <w:rsid w:val="005B092E"/>
    <w:rsid w:val="005B152C"/>
    <w:rsid w:val="005B1EE0"/>
    <w:rsid w:val="005B2B24"/>
    <w:rsid w:val="005B4425"/>
    <w:rsid w:val="005B4B94"/>
    <w:rsid w:val="005C2C62"/>
    <w:rsid w:val="005C3EE8"/>
    <w:rsid w:val="005D2F2A"/>
    <w:rsid w:val="005D34F9"/>
    <w:rsid w:val="005D4190"/>
    <w:rsid w:val="005D67A3"/>
    <w:rsid w:val="005E2988"/>
    <w:rsid w:val="005E3085"/>
    <w:rsid w:val="005F0EB3"/>
    <w:rsid w:val="005F51E1"/>
    <w:rsid w:val="00611C80"/>
    <w:rsid w:val="00620692"/>
    <w:rsid w:val="006242CA"/>
    <w:rsid w:val="006248F1"/>
    <w:rsid w:val="00627507"/>
    <w:rsid w:val="00633717"/>
    <w:rsid w:val="006344E1"/>
    <w:rsid w:val="00643524"/>
    <w:rsid w:val="0064393B"/>
    <w:rsid w:val="00645CF2"/>
    <w:rsid w:val="006545C4"/>
    <w:rsid w:val="00660757"/>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1D85"/>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D6CB8"/>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34E9D"/>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63F44"/>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6E0"/>
    <w:rsid w:val="00AC38DE"/>
    <w:rsid w:val="00AC4CD4"/>
    <w:rsid w:val="00AE0A2E"/>
    <w:rsid w:val="00AE354C"/>
    <w:rsid w:val="00AF12C5"/>
    <w:rsid w:val="00AF4B07"/>
    <w:rsid w:val="00AF6186"/>
    <w:rsid w:val="00AF7A3A"/>
    <w:rsid w:val="00B02587"/>
    <w:rsid w:val="00B049D1"/>
    <w:rsid w:val="00B14793"/>
    <w:rsid w:val="00B153A0"/>
    <w:rsid w:val="00B160DB"/>
    <w:rsid w:val="00B16472"/>
    <w:rsid w:val="00B20836"/>
    <w:rsid w:val="00B235BB"/>
    <w:rsid w:val="00B25E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1C58"/>
    <w:rsid w:val="00B861B4"/>
    <w:rsid w:val="00B86DFE"/>
    <w:rsid w:val="00B90990"/>
    <w:rsid w:val="00B922FF"/>
    <w:rsid w:val="00B9281E"/>
    <w:rsid w:val="00B93925"/>
    <w:rsid w:val="00B95187"/>
    <w:rsid w:val="00B96D36"/>
    <w:rsid w:val="00BA2D55"/>
    <w:rsid w:val="00BA71B1"/>
    <w:rsid w:val="00BB0637"/>
    <w:rsid w:val="00BB345F"/>
    <w:rsid w:val="00BB68EA"/>
    <w:rsid w:val="00BC081C"/>
    <w:rsid w:val="00BC0B99"/>
    <w:rsid w:val="00BC1C27"/>
    <w:rsid w:val="00BC56A7"/>
    <w:rsid w:val="00BC6BBF"/>
    <w:rsid w:val="00BD1572"/>
    <w:rsid w:val="00BE14E3"/>
    <w:rsid w:val="00BE3774"/>
    <w:rsid w:val="00BE41E5"/>
    <w:rsid w:val="00BE4CE2"/>
    <w:rsid w:val="00BF118F"/>
    <w:rsid w:val="00BF4109"/>
    <w:rsid w:val="00BF4CC3"/>
    <w:rsid w:val="00C01202"/>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108B"/>
    <w:rsid w:val="00D02EEC"/>
    <w:rsid w:val="00D03551"/>
    <w:rsid w:val="00D04090"/>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167B"/>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325F5F"/>
    <w:rPr>
      <w:sz w:val="24"/>
      <w:szCs w:val="24"/>
    </w:rPr>
  </w:style>
  <w:style w:type="paragraph" w:styleId="Heading1">
    <w:name w:val="heading 1"/>
    <w:basedOn w:val="Normal"/>
    <w:next w:val="Normal"/>
    <w:link w:val="Heading1Char"/>
    <w:uiPriority w:val="98"/>
    <w:semiHidden/>
    <w:rsid w:val="00325F5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325F5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325F5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325F5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325F5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325F5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325F5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325F5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325F5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325F5F"/>
    <w:rPr>
      <w:rFonts w:ascii="Tahoma" w:hAnsi="Tahoma" w:cs="Tahoma"/>
      <w:sz w:val="16"/>
      <w:szCs w:val="16"/>
    </w:rPr>
  </w:style>
  <w:style w:type="character" w:customStyle="1" w:styleId="BalloonTextChar">
    <w:name w:val="Balloon Text Char"/>
    <w:basedOn w:val="DefaultParagraphFont"/>
    <w:link w:val="BalloonText"/>
    <w:uiPriority w:val="98"/>
    <w:semiHidden/>
    <w:rsid w:val="00325F5F"/>
    <w:rPr>
      <w:rFonts w:ascii="Tahoma" w:hAnsi="Tahoma" w:cs="Tahoma"/>
      <w:sz w:val="16"/>
      <w:szCs w:val="16"/>
      <w:lang w:val="ro-RO"/>
    </w:rPr>
  </w:style>
  <w:style w:type="character" w:styleId="BookTitle">
    <w:name w:val="Book Title"/>
    <w:uiPriority w:val="98"/>
    <w:semiHidden/>
    <w:qFormat/>
    <w:rsid w:val="00325F5F"/>
    <w:rPr>
      <w:i/>
      <w:iCs/>
      <w:smallCaps/>
      <w:spacing w:val="5"/>
    </w:rPr>
  </w:style>
  <w:style w:type="paragraph" w:customStyle="1" w:styleId="JuHeader">
    <w:name w:val="Ju_Header"/>
    <w:aliases w:val="_Header"/>
    <w:basedOn w:val="Header"/>
    <w:uiPriority w:val="29"/>
    <w:qFormat/>
    <w:rsid w:val="00325F5F"/>
    <w:pPr>
      <w:tabs>
        <w:tab w:val="clear" w:pos="4536"/>
        <w:tab w:val="clear" w:pos="9072"/>
      </w:tabs>
      <w:jc w:val="center"/>
    </w:pPr>
    <w:rPr>
      <w:sz w:val="18"/>
    </w:rPr>
  </w:style>
  <w:style w:type="paragraph" w:customStyle="1" w:styleId="NormalJustified">
    <w:name w:val="Normal_Justified"/>
    <w:basedOn w:val="Normal"/>
    <w:semiHidden/>
    <w:rsid w:val="00325F5F"/>
    <w:pPr>
      <w:jc w:val="both"/>
    </w:pPr>
  </w:style>
  <w:style w:type="character" w:styleId="Strong">
    <w:name w:val="Strong"/>
    <w:uiPriority w:val="98"/>
    <w:semiHidden/>
    <w:qFormat/>
    <w:rsid w:val="00325F5F"/>
    <w:rPr>
      <w:b/>
      <w:bCs/>
    </w:rPr>
  </w:style>
  <w:style w:type="paragraph" w:styleId="NoSpacing">
    <w:name w:val="No Spacing"/>
    <w:basedOn w:val="Normal"/>
    <w:link w:val="NoSpacingChar"/>
    <w:uiPriority w:val="98"/>
    <w:semiHidden/>
    <w:qFormat/>
    <w:rsid w:val="00325F5F"/>
  </w:style>
  <w:style w:type="character" w:customStyle="1" w:styleId="NoSpacingChar">
    <w:name w:val="No Spacing Char"/>
    <w:basedOn w:val="DefaultParagraphFont"/>
    <w:link w:val="NoSpacing"/>
    <w:uiPriority w:val="98"/>
    <w:rsid w:val="00325F5F"/>
    <w:rPr>
      <w:sz w:val="24"/>
      <w:szCs w:val="24"/>
      <w:lang w:val="ro-RO"/>
    </w:rPr>
  </w:style>
  <w:style w:type="paragraph" w:customStyle="1" w:styleId="JuQuot">
    <w:name w:val="Ju_Quot"/>
    <w:aliases w:val="_Quote"/>
    <w:basedOn w:val="NormalJustified"/>
    <w:uiPriority w:val="20"/>
    <w:qFormat/>
    <w:rsid w:val="00325F5F"/>
    <w:pPr>
      <w:spacing w:before="120" w:after="120"/>
      <w:ind w:left="425" w:firstLine="142"/>
    </w:pPr>
    <w:rPr>
      <w:sz w:val="20"/>
    </w:rPr>
  </w:style>
  <w:style w:type="paragraph" w:customStyle="1" w:styleId="DummyStyle">
    <w:name w:val="Dummy_Style"/>
    <w:aliases w:val="_Dummy"/>
    <w:basedOn w:val="Normal"/>
    <w:semiHidden/>
    <w:qFormat/>
    <w:rsid w:val="00325F5F"/>
    <w:rPr>
      <w:color w:val="00B050"/>
      <w:sz w:val="22"/>
    </w:rPr>
  </w:style>
  <w:style w:type="paragraph" w:customStyle="1" w:styleId="JuList">
    <w:name w:val="Ju_List"/>
    <w:aliases w:val="_List_1"/>
    <w:basedOn w:val="NormalJustified"/>
    <w:uiPriority w:val="23"/>
    <w:qFormat/>
    <w:rsid w:val="00325F5F"/>
    <w:pPr>
      <w:numPr>
        <w:numId w:val="22"/>
      </w:numPr>
      <w:spacing w:before="280" w:after="60"/>
    </w:pPr>
  </w:style>
  <w:style w:type="paragraph" w:customStyle="1" w:styleId="JuLista">
    <w:name w:val="Ju_List_a"/>
    <w:aliases w:val="_List_2"/>
    <w:basedOn w:val="NormalJustified"/>
    <w:uiPriority w:val="23"/>
    <w:rsid w:val="00325F5F"/>
    <w:pPr>
      <w:numPr>
        <w:ilvl w:val="1"/>
        <w:numId w:val="22"/>
      </w:numPr>
    </w:pPr>
  </w:style>
  <w:style w:type="paragraph" w:customStyle="1" w:styleId="JuListi">
    <w:name w:val="Ju_List_i"/>
    <w:aliases w:val="_List_3"/>
    <w:basedOn w:val="NormalJustified"/>
    <w:uiPriority w:val="23"/>
    <w:rsid w:val="00325F5F"/>
    <w:pPr>
      <w:numPr>
        <w:ilvl w:val="2"/>
        <w:numId w:val="22"/>
      </w:numPr>
    </w:pPr>
  </w:style>
  <w:style w:type="paragraph" w:customStyle="1" w:styleId="JuHArticle">
    <w:name w:val="Ju_H_Article"/>
    <w:aliases w:val="_Title_Quote"/>
    <w:basedOn w:val="Normal"/>
    <w:next w:val="JuQuot"/>
    <w:uiPriority w:val="19"/>
    <w:qFormat/>
    <w:rsid w:val="00325F5F"/>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325F5F"/>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325F5F"/>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325F5F"/>
    <w:pPr>
      <w:keepNext/>
      <w:keepLines/>
      <w:numPr>
        <w:numId w:val="21"/>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325F5F"/>
    <w:pPr>
      <w:numPr>
        <w:numId w:val="16"/>
      </w:numPr>
    </w:pPr>
  </w:style>
  <w:style w:type="paragraph" w:customStyle="1" w:styleId="JuSigned">
    <w:name w:val="Ju_Signed"/>
    <w:aliases w:val="_Signature"/>
    <w:basedOn w:val="Normal"/>
    <w:next w:val="JuPara"/>
    <w:uiPriority w:val="31"/>
    <w:qFormat/>
    <w:rsid w:val="00325F5F"/>
    <w:pPr>
      <w:tabs>
        <w:tab w:val="center" w:pos="1418"/>
        <w:tab w:val="center" w:pos="5954"/>
      </w:tabs>
      <w:spacing w:before="720"/>
    </w:pPr>
  </w:style>
  <w:style w:type="paragraph" w:styleId="Title">
    <w:name w:val="Title"/>
    <w:basedOn w:val="Normal"/>
    <w:next w:val="Normal"/>
    <w:link w:val="TitleChar"/>
    <w:uiPriority w:val="98"/>
    <w:semiHidden/>
    <w:qFormat/>
    <w:rsid w:val="00325F5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325F5F"/>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325F5F"/>
    <w:pPr>
      <w:numPr>
        <w:numId w:val="17"/>
      </w:numPr>
    </w:pPr>
  </w:style>
  <w:style w:type="numbering" w:customStyle="1" w:styleId="ECHRA1StyleNumberedList">
    <w:name w:val="ECHR_A1_Style_Numbered_List"/>
    <w:basedOn w:val="NoList"/>
    <w:rsid w:val="00325F5F"/>
    <w:pPr>
      <w:numPr>
        <w:numId w:val="18"/>
      </w:numPr>
    </w:pPr>
  </w:style>
  <w:style w:type="table" w:customStyle="1" w:styleId="ECHRTable2019">
    <w:name w:val="ECHR_Table_2019"/>
    <w:basedOn w:val="TableNormal"/>
    <w:uiPriority w:val="99"/>
    <w:rsid w:val="00325F5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325F5F"/>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325F5F"/>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325F5F"/>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325F5F"/>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uiPriority w:val="98"/>
    <w:semiHidden/>
    <w:rsid w:val="00325F5F"/>
    <w:pPr>
      <w:tabs>
        <w:tab w:val="center" w:pos="4536"/>
        <w:tab w:val="right" w:pos="9072"/>
      </w:tabs>
    </w:pPr>
  </w:style>
  <w:style w:type="character" w:customStyle="1" w:styleId="HeaderChar">
    <w:name w:val="Header Char"/>
    <w:basedOn w:val="DefaultParagraphFont"/>
    <w:link w:val="Header"/>
    <w:uiPriority w:val="98"/>
    <w:semiHidden/>
    <w:rsid w:val="00325F5F"/>
    <w:rPr>
      <w:sz w:val="24"/>
      <w:szCs w:val="24"/>
      <w:lang w:val="ro-RO"/>
    </w:rPr>
  </w:style>
  <w:style w:type="character" w:customStyle="1" w:styleId="Heading1Char">
    <w:name w:val="Heading 1 Char"/>
    <w:basedOn w:val="DefaultParagraphFont"/>
    <w:link w:val="Heading1"/>
    <w:uiPriority w:val="98"/>
    <w:rsid w:val="00325F5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325F5F"/>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325F5F"/>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325F5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325F5F"/>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325F5F"/>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325F5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325F5F"/>
    <w:pPr>
      <w:keepNext/>
      <w:keepLines/>
      <w:spacing w:before="240" w:after="240"/>
      <w:ind w:firstLine="284"/>
    </w:pPr>
  </w:style>
  <w:style w:type="paragraph" w:customStyle="1" w:styleId="JuJudges">
    <w:name w:val="Ju_Judges"/>
    <w:aliases w:val="_Judges"/>
    <w:basedOn w:val="Normal"/>
    <w:uiPriority w:val="32"/>
    <w:qFormat/>
    <w:rsid w:val="00325F5F"/>
    <w:pPr>
      <w:tabs>
        <w:tab w:val="left" w:pos="567"/>
        <w:tab w:val="left" w:pos="1134"/>
      </w:tabs>
    </w:pPr>
  </w:style>
  <w:style w:type="character" w:customStyle="1" w:styleId="Heading4Char">
    <w:name w:val="Heading 4 Char"/>
    <w:basedOn w:val="DefaultParagraphFont"/>
    <w:link w:val="Heading4"/>
    <w:uiPriority w:val="98"/>
    <w:semiHidden/>
    <w:rsid w:val="00325F5F"/>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325F5F"/>
    <w:pPr>
      <w:tabs>
        <w:tab w:val="center" w:pos="6407"/>
      </w:tabs>
      <w:spacing w:before="720"/>
      <w:jc w:val="right"/>
    </w:pPr>
  </w:style>
  <w:style w:type="character" w:customStyle="1" w:styleId="Heading5Char">
    <w:name w:val="Heading 5 Char"/>
    <w:basedOn w:val="DefaultParagraphFont"/>
    <w:link w:val="Heading5"/>
    <w:uiPriority w:val="98"/>
    <w:semiHidden/>
    <w:rsid w:val="00325F5F"/>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325F5F"/>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325F5F"/>
    <w:rPr>
      <w:caps w:val="0"/>
      <w:smallCaps/>
    </w:rPr>
  </w:style>
  <w:style w:type="character" w:styleId="SubtleEmphasis">
    <w:name w:val="Subtle Emphasis"/>
    <w:uiPriority w:val="98"/>
    <w:semiHidden/>
    <w:qFormat/>
    <w:rsid w:val="00325F5F"/>
    <w:rPr>
      <w:i/>
      <w:iCs/>
    </w:rPr>
  </w:style>
  <w:style w:type="table" w:customStyle="1" w:styleId="ECHRTable">
    <w:name w:val="ECHR_Table"/>
    <w:basedOn w:val="TableNormal"/>
    <w:rsid w:val="00325F5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325F5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325F5F"/>
    <w:rPr>
      <w:b/>
      <w:bCs/>
      <w:i/>
      <w:iCs/>
      <w:spacing w:val="10"/>
      <w:bdr w:val="none" w:sz="0" w:space="0" w:color="auto"/>
      <w:shd w:val="clear" w:color="auto" w:fill="auto"/>
    </w:rPr>
  </w:style>
  <w:style w:type="paragraph" w:styleId="Footer0">
    <w:name w:val="footer"/>
    <w:basedOn w:val="Normal"/>
    <w:link w:val="FooterChar"/>
    <w:uiPriority w:val="98"/>
    <w:semiHidden/>
    <w:rsid w:val="00325F5F"/>
    <w:pPr>
      <w:tabs>
        <w:tab w:val="center" w:pos="3686"/>
        <w:tab w:val="right" w:pos="7371"/>
      </w:tabs>
    </w:pPr>
  </w:style>
  <w:style w:type="character" w:customStyle="1" w:styleId="FooterChar">
    <w:name w:val="Footer Char"/>
    <w:basedOn w:val="DefaultParagraphFont"/>
    <w:link w:val="Footer0"/>
    <w:uiPriority w:val="98"/>
    <w:semiHidden/>
    <w:rsid w:val="00325F5F"/>
    <w:rPr>
      <w:sz w:val="24"/>
      <w:szCs w:val="24"/>
      <w:lang w:val="ro-RO"/>
    </w:rPr>
  </w:style>
  <w:style w:type="character" w:styleId="FootnoteReference">
    <w:name w:val="footnote reference"/>
    <w:basedOn w:val="DefaultParagraphFont"/>
    <w:uiPriority w:val="98"/>
    <w:semiHidden/>
    <w:rsid w:val="00325F5F"/>
    <w:rPr>
      <w:vertAlign w:val="superscript"/>
    </w:rPr>
  </w:style>
  <w:style w:type="paragraph" w:styleId="FootnoteText">
    <w:name w:val="footnote text"/>
    <w:basedOn w:val="NormalJustified"/>
    <w:link w:val="FootnoteTextChar"/>
    <w:uiPriority w:val="98"/>
    <w:semiHidden/>
    <w:rsid w:val="00325F5F"/>
    <w:rPr>
      <w:sz w:val="20"/>
      <w:szCs w:val="20"/>
    </w:rPr>
  </w:style>
  <w:style w:type="character" w:customStyle="1" w:styleId="FootnoteTextChar">
    <w:name w:val="Footnote Text Char"/>
    <w:basedOn w:val="DefaultParagraphFont"/>
    <w:link w:val="FootnoteText"/>
    <w:uiPriority w:val="98"/>
    <w:semiHidden/>
    <w:rsid w:val="00325F5F"/>
    <w:rPr>
      <w:sz w:val="20"/>
      <w:szCs w:val="20"/>
      <w:lang w:val="ro-RO"/>
    </w:rPr>
  </w:style>
  <w:style w:type="character" w:customStyle="1" w:styleId="Heading6Char">
    <w:name w:val="Heading 6 Char"/>
    <w:basedOn w:val="DefaultParagraphFont"/>
    <w:link w:val="Heading6"/>
    <w:uiPriority w:val="98"/>
    <w:semiHidden/>
    <w:rsid w:val="00325F5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325F5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325F5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325F5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325F5F"/>
    <w:rPr>
      <w:color w:val="0072BC" w:themeColor="hyperlink"/>
      <w:u w:val="single"/>
    </w:rPr>
  </w:style>
  <w:style w:type="character" w:styleId="IntenseEmphasis">
    <w:name w:val="Intense Emphasis"/>
    <w:uiPriority w:val="98"/>
    <w:semiHidden/>
    <w:qFormat/>
    <w:rsid w:val="00325F5F"/>
    <w:rPr>
      <w:b/>
      <w:bCs/>
    </w:rPr>
  </w:style>
  <w:style w:type="paragraph" w:styleId="IntenseQuote">
    <w:name w:val="Intense Quote"/>
    <w:basedOn w:val="Normal"/>
    <w:next w:val="Normal"/>
    <w:link w:val="IntenseQuoteChar"/>
    <w:uiPriority w:val="98"/>
    <w:semiHidden/>
    <w:qFormat/>
    <w:rsid w:val="00325F5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325F5F"/>
    <w:rPr>
      <w:b/>
      <w:bCs/>
      <w:i/>
      <w:iCs/>
      <w:sz w:val="24"/>
      <w:szCs w:val="24"/>
      <w:lang w:val="ro-RO" w:bidi="en-US"/>
    </w:rPr>
  </w:style>
  <w:style w:type="character" w:styleId="IntenseReference">
    <w:name w:val="Intense Reference"/>
    <w:uiPriority w:val="98"/>
    <w:semiHidden/>
    <w:qFormat/>
    <w:rsid w:val="00325F5F"/>
    <w:rPr>
      <w:smallCaps/>
      <w:spacing w:val="5"/>
      <w:u w:val="single"/>
    </w:rPr>
  </w:style>
  <w:style w:type="paragraph" w:styleId="ListParagraph">
    <w:name w:val="List Paragraph"/>
    <w:basedOn w:val="Normal"/>
    <w:uiPriority w:val="98"/>
    <w:semiHidden/>
    <w:qFormat/>
    <w:rsid w:val="00325F5F"/>
    <w:pPr>
      <w:ind w:left="720"/>
      <w:contextualSpacing/>
    </w:pPr>
  </w:style>
  <w:style w:type="table" w:customStyle="1" w:styleId="LtrTableAddress">
    <w:name w:val="Ltr_Table_Address"/>
    <w:aliases w:val="ECHR_Ltr_Table_Address"/>
    <w:basedOn w:val="TableNormal"/>
    <w:uiPriority w:val="99"/>
    <w:rsid w:val="00325F5F"/>
    <w:rPr>
      <w:sz w:val="24"/>
      <w:szCs w:val="24"/>
    </w:rPr>
    <w:tblPr>
      <w:tblInd w:w="5103" w:type="dxa"/>
    </w:tblPr>
  </w:style>
  <w:style w:type="paragraph" w:styleId="Quote">
    <w:name w:val="Quote"/>
    <w:basedOn w:val="Normal"/>
    <w:next w:val="Normal"/>
    <w:link w:val="QuoteChar"/>
    <w:uiPriority w:val="98"/>
    <w:semiHidden/>
    <w:qFormat/>
    <w:rsid w:val="00325F5F"/>
    <w:pPr>
      <w:spacing w:before="200"/>
      <w:ind w:left="360" w:right="360"/>
    </w:pPr>
    <w:rPr>
      <w:i/>
      <w:iCs/>
      <w:lang w:bidi="en-US"/>
    </w:rPr>
  </w:style>
  <w:style w:type="character" w:customStyle="1" w:styleId="QuoteChar">
    <w:name w:val="Quote Char"/>
    <w:basedOn w:val="DefaultParagraphFont"/>
    <w:link w:val="Quote"/>
    <w:uiPriority w:val="98"/>
    <w:rsid w:val="00325F5F"/>
    <w:rPr>
      <w:i/>
      <w:iCs/>
      <w:sz w:val="24"/>
      <w:szCs w:val="24"/>
      <w:lang w:val="ro-RO" w:bidi="en-US"/>
    </w:rPr>
  </w:style>
  <w:style w:type="character" w:styleId="SubtleReference">
    <w:name w:val="Subtle Reference"/>
    <w:uiPriority w:val="98"/>
    <w:semiHidden/>
    <w:qFormat/>
    <w:rsid w:val="00325F5F"/>
    <w:rPr>
      <w:smallCaps/>
    </w:rPr>
  </w:style>
  <w:style w:type="table" w:styleId="TableGrid">
    <w:name w:val="Table Grid"/>
    <w:basedOn w:val="TableNormal"/>
    <w:uiPriority w:val="59"/>
    <w:semiHidden/>
    <w:rsid w:val="00325F5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325F5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325F5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325F5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325F5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325F5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325F5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325F5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325F5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325F5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325F5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325F5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325F5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325F5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325F5F"/>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325F5F"/>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325F5F"/>
    <w:pPr>
      <w:numPr>
        <w:numId w:val="3"/>
      </w:numPr>
    </w:pPr>
  </w:style>
  <w:style w:type="paragraph" w:customStyle="1" w:styleId="JuPara">
    <w:name w:val="Ju_Para"/>
    <w:aliases w:val="_Para"/>
    <w:basedOn w:val="NormalJustified"/>
    <w:link w:val="JuParaChar"/>
    <w:uiPriority w:val="4"/>
    <w:qFormat/>
    <w:rsid w:val="00325F5F"/>
    <w:pPr>
      <w:ind w:firstLine="284"/>
    </w:pPr>
  </w:style>
  <w:style w:type="numbering" w:styleId="1ai">
    <w:name w:val="Outline List 1"/>
    <w:basedOn w:val="NoList"/>
    <w:uiPriority w:val="99"/>
    <w:semiHidden/>
    <w:unhideWhenUsed/>
    <w:rsid w:val="00325F5F"/>
    <w:pPr>
      <w:numPr>
        <w:numId w:val="4"/>
      </w:numPr>
    </w:pPr>
  </w:style>
  <w:style w:type="table" w:customStyle="1" w:styleId="ECHRTableSimpleBox">
    <w:name w:val="ECHR_Table_Simple_Box"/>
    <w:basedOn w:val="TableNormal"/>
    <w:uiPriority w:val="99"/>
    <w:rsid w:val="00325F5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325F5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325F5F"/>
    <w:pPr>
      <w:numPr>
        <w:numId w:val="5"/>
      </w:numPr>
    </w:pPr>
  </w:style>
  <w:style w:type="table" w:customStyle="1" w:styleId="ECHRTableForInternalUse">
    <w:name w:val="ECHR_Table_For_Internal_Use"/>
    <w:basedOn w:val="TableNormal"/>
    <w:uiPriority w:val="99"/>
    <w:rsid w:val="00325F5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325F5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325F5F"/>
  </w:style>
  <w:style w:type="paragraph" w:styleId="BlockText">
    <w:name w:val="Block Text"/>
    <w:basedOn w:val="Normal"/>
    <w:uiPriority w:val="98"/>
    <w:semiHidden/>
    <w:rsid w:val="00325F5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325F5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325F5F"/>
    <w:pPr>
      <w:spacing w:after="120"/>
    </w:pPr>
  </w:style>
  <w:style w:type="character" w:customStyle="1" w:styleId="BodyTextChar">
    <w:name w:val="Body Text Char"/>
    <w:basedOn w:val="DefaultParagraphFont"/>
    <w:link w:val="BodyText"/>
    <w:uiPriority w:val="98"/>
    <w:semiHidden/>
    <w:rsid w:val="00325F5F"/>
    <w:rPr>
      <w:sz w:val="24"/>
      <w:szCs w:val="24"/>
      <w:lang w:val="ro-RO"/>
    </w:rPr>
  </w:style>
  <w:style w:type="table" w:customStyle="1" w:styleId="ECHRTableOddBanded">
    <w:name w:val="ECHR_Table_Odd_Banded"/>
    <w:basedOn w:val="TableNormal"/>
    <w:uiPriority w:val="99"/>
    <w:rsid w:val="00325F5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325F5F"/>
    <w:pPr>
      <w:spacing w:after="120" w:line="480" w:lineRule="auto"/>
    </w:pPr>
  </w:style>
  <w:style w:type="table" w:customStyle="1" w:styleId="ECHRHeaderTableReduced">
    <w:name w:val="ECHR_Header_Table_Reduced"/>
    <w:basedOn w:val="TableNormal"/>
    <w:uiPriority w:val="99"/>
    <w:rsid w:val="00325F5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325F5F"/>
    <w:pPr>
      <w:ind w:firstLine="284"/>
    </w:pPr>
    <w:rPr>
      <w:b/>
    </w:rPr>
  </w:style>
  <w:style w:type="character" w:styleId="PageNumber">
    <w:name w:val="page number"/>
    <w:uiPriority w:val="98"/>
    <w:semiHidden/>
    <w:rsid w:val="00325F5F"/>
    <w:rPr>
      <w:sz w:val="18"/>
    </w:rPr>
  </w:style>
  <w:style w:type="paragraph" w:styleId="ListBullet">
    <w:name w:val="List Bullet"/>
    <w:basedOn w:val="Normal"/>
    <w:uiPriority w:val="98"/>
    <w:semiHidden/>
    <w:rsid w:val="00325F5F"/>
    <w:pPr>
      <w:numPr>
        <w:numId w:val="6"/>
      </w:numPr>
    </w:pPr>
  </w:style>
  <w:style w:type="paragraph" w:styleId="ListBullet3">
    <w:name w:val="List Bullet 3"/>
    <w:basedOn w:val="Normal"/>
    <w:uiPriority w:val="98"/>
    <w:semiHidden/>
    <w:rsid w:val="00325F5F"/>
    <w:pPr>
      <w:numPr>
        <w:numId w:val="8"/>
      </w:numPr>
      <w:contextualSpacing/>
    </w:pPr>
  </w:style>
  <w:style w:type="character" w:customStyle="1" w:styleId="BodyText2Char">
    <w:name w:val="Body Text 2 Char"/>
    <w:basedOn w:val="DefaultParagraphFont"/>
    <w:link w:val="BodyText2"/>
    <w:uiPriority w:val="98"/>
    <w:semiHidden/>
    <w:rsid w:val="00325F5F"/>
    <w:rPr>
      <w:sz w:val="24"/>
      <w:szCs w:val="24"/>
      <w:lang w:val="ro-RO"/>
    </w:rPr>
  </w:style>
  <w:style w:type="paragraph" w:styleId="BodyText3">
    <w:name w:val="Body Text 3"/>
    <w:basedOn w:val="Normal"/>
    <w:link w:val="BodyText3Char"/>
    <w:uiPriority w:val="98"/>
    <w:semiHidden/>
    <w:rsid w:val="00325F5F"/>
    <w:pPr>
      <w:spacing w:after="120"/>
    </w:pPr>
    <w:rPr>
      <w:sz w:val="16"/>
      <w:szCs w:val="16"/>
    </w:rPr>
  </w:style>
  <w:style w:type="character" w:customStyle="1" w:styleId="BodyText3Char">
    <w:name w:val="Body Text 3 Char"/>
    <w:basedOn w:val="DefaultParagraphFont"/>
    <w:link w:val="BodyText3"/>
    <w:uiPriority w:val="98"/>
    <w:semiHidden/>
    <w:rsid w:val="00325F5F"/>
    <w:rPr>
      <w:sz w:val="16"/>
      <w:szCs w:val="16"/>
      <w:lang w:val="ro-RO"/>
    </w:rPr>
  </w:style>
  <w:style w:type="paragraph" w:styleId="BodyTextFirstIndent">
    <w:name w:val="Body Text First Indent"/>
    <w:basedOn w:val="BodyText"/>
    <w:link w:val="BodyTextFirstIndentChar"/>
    <w:uiPriority w:val="98"/>
    <w:semiHidden/>
    <w:rsid w:val="00325F5F"/>
    <w:pPr>
      <w:spacing w:after="0"/>
      <w:ind w:firstLine="360"/>
    </w:pPr>
  </w:style>
  <w:style w:type="character" w:customStyle="1" w:styleId="BodyTextFirstIndentChar">
    <w:name w:val="Body Text First Indent Char"/>
    <w:basedOn w:val="BodyTextChar"/>
    <w:link w:val="BodyTextFirstIndent"/>
    <w:uiPriority w:val="98"/>
    <w:semiHidden/>
    <w:rsid w:val="00325F5F"/>
    <w:rPr>
      <w:sz w:val="24"/>
      <w:szCs w:val="24"/>
      <w:lang w:val="ro-RO"/>
    </w:rPr>
  </w:style>
  <w:style w:type="paragraph" w:styleId="BodyTextIndent">
    <w:name w:val="Body Text Indent"/>
    <w:basedOn w:val="Normal"/>
    <w:link w:val="BodyTextIndentChar"/>
    <w:uiPriority w:val="98"/>
    <w:semiHidden/>
    <w:rsid w:val="00325F5F"/>
    <w:pPr>
      <w:spacing w:after="120"/>
      <w:ind w:left="283"/>
    </w:pPr>
  </w:style>
  <w:style w:type="character" w:customStyle="1" w:styleId="BodyTextIndentChar">
    <w:name w:val="Body Text Indent Char"/>
    <w:basedOn w:val="DefaultParagraphFont"/>
    <w:link w:val="BodyTextIndent"/>
    <w:uiPriority w:val="98"/>
    <w:semiHidden/>
    <w:rsid w:val="00325F5F"/>
    <w:rPr>
      <w:sz w:val="24"/>
      <w:szCs w:val="24"/>
      <w:lang w:val="ro-RO"/>
    </w:rPr>
  </w:style>
  <w:style w:type="paragraph" w:styleId="BodyTextFirstIndent2">
    <w:name w:val="Body Text First Indent 2"/>
    <w:basedOn w:val="BodyTextIndent"/>
    <w:link w:val="BodyTextFirstIndent2Char"/>
    <w:uiPriority w:val="98"/>
    <w:semiHidden/>
    <w:rsid w:val="00325F5F"/>
    <w:pPr>
      <w:spacing w:after="0"/>
      <w:ind w:left="360" w:firstLine="360"/>
    </w:pPr>
  </w:style>
  <w:style w:type="character" w:customStyle="1" w:styleId="BodyTextFirstIndent2Char">
    <w:name w:val="Body Text First Indent 2 Char"/>
    <w:basedOn w:val="BodyTextIndentChar"/>
    <w:link w:val="BodyTextFirstIndent2"/>
    <w:uiPriority w:val="98"/>
    <w:semiHidden/>
    <w:rsid w:val="00325F5F"/>
    <w:rPr>
      <w:sz w:val="24"/>
      <w:szCs w:val="24"/>
      <w:lang w:val="ro-RO"/>
    </w:rPr>
  </w:style>
  <w:style w:type="paragraph" w:styleId="BodyTextIndent2">
    <w:name w:val="Body Text Indent 2"/>
    <w:basedOn w:val="Normal"/>
    <w:link w:val="BodyTextIndent2Char"/>
    <w:uiPriority w:val="98"/>
    <w:semiHidden/>
    <w:rsid w:val="00325F5F"/>
    <w:pPr>
      <w:spacing w:after="120" w:line="480" w:lineRule="auto"/>
      <w:ind w:left="283"/>
    </w:pPr>
  </w:style>
  <w:style w:type="character" w:customStyle="1" w:styleId="BodyTextIndent2Char">
    <w:name w:val="Body Text Indent 2 Char"/>
    <w:basedOn w:val="DefaultParagraphFont"/>
    <w:link w:val="BodyTextIndent2"/>
    <w:uiPriority w:val="98"/>
    <w:semiHidden/>
    <w:rsid w:val="00325F5F"/>
    <w:rPr>
      <w:sz w:val="24"/>
      <w:szCs w:val="24"/>
      <w:lang w:val="ro-RO"/>
    </w:rPr>
  </w:style>
  <w:style w:type="paragraph" w:styleId="BodyTextIndent3">
    <w:name w:val="Body Text Indent 3"/>
    <w:basedOn w:val="Normal"/>
    <w:link w:val="BodyTextIndent3Char"/>
    <w:uiPriority w:val="98"/>
    <w:semiHidden/>
    <w:rsid w:val="00325F5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325F5F"/>
    <w:rPr>
      <w:sz w:val="16"/>
      <w:szCs w:val="16"/>
      <w:lang w:val="ro-RO"/>
    </w:rPr>
  </w:style>
  <w:style w:type="paragraph" w:styleId="Caption">
    <w:name w:val="caption"/>
    <w:basedOn w:val="Normal"/>
    <w:next w:val="Normal"/>
    <w:uiPriority w:val="98"/>
    <w:semiHidden/>
    <w:qFormat/>
    <w:rsid w:val="00325F5F"/>
    <w:pPr>
      <w:spacing w:after="200"/>
    </w:pPr>
    <w:rPr>
      <w:b/>
      <w:bCs/>
      <w:color w:val="0072BC" w:themeColor="accent1"/>
      <w:sz w:val="18"/>
      <w:szCs w:val="18"/>
    </w:rPr>
  </w:style>
  <w:style w:type="paragraph" w:styleId="Closing">
    <w:name w:val="Closing"/>
    <w:basedOn w:val="Normal"/>
    <w:link w:val="ClosingChar"/>
    <w:uiPriority w:val="98"/>
    <w:semiHidden/>
    <w:rsid w:val="00325F5F"/>
    <w:pPr>
      <w:ind w:left="4252"/>
    </w:pPr>
  </w:style>
  <w:style w:type="character" w:customStyle="1" w:styleId="ClosingChar">
    <w:name w:val="Closing Char"/>
    <w:basedOn w:val="DefaultParagraphFont"/>
    <w:link w:val="Closing"/>
    <w:uiPriority w:val="98"/>
    <w:semiHidden/>
    <w:rsid w:val="00325F5F"/>
    <w:rPr>
      <w:sz w:val="24"/>
      <w:szCs w:val="24"/>
      <w:lang w:val="ro-RO"/>
    </w:rPr>
  </w:style>
  <w:style w:type="table" w:styleId="ColorfulGrid">
    <w:name w:val="Colorful Grid"/>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325F5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325F5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25F5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325F5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325F5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325F5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325F5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325F5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325F5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25F5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25F5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25F5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325F5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25F5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25F5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325F5F"/>
    <w:rPr>
      <w:sz w:val="16"/>
      <w:szCs w:val="16"/>
    </w:rPr>
  </w:style>
  <w:style w:type="paragraph" w:styleId="CommentText">
    <w:name w:val="annotation text"/>
    <w:basedOn w:val="Normal"/>
    <w:link w:val="CommentTextChar"/>
    <w:uiPriority w:val="98"/>
    <w:semiHidden/>
    <w:rsid w:val="00325F5F"/>
    <w:rPr>
      <w:sz w:val="20"/>
      <w:szCs w:val="20"/>
    </w:rPr>
  </w:style>
  <w:style w:type="character" w:customStyle="1" w:styleId="CommentTextChar">
    <w:name w:val="Comment Text Char"/>
    <w:basedOn w:val="DefaultParagraphFont"/>
    <w:link w:val="CommentText"/>
    <w:uiPriority w:val="98"/>
    <w:semiHidden/>
    <w:rsid w:val="00325F5F"/>
    <w:rPr>
      <w:sz w:val="20"/>
      <w:szCs w:val="20"/>
      <w:lang w:val="ro-RO"/>
    </w:rPr>
  </w:style>
  <w:style w:type="paragraph" w:styleId="CommentSubject">
    <w:name w:val="annotation subject"/>
    <w:basedOn w:val="CommentText"/>
    <w:next w:val="CommentText"/>
    <w:link w:val="CommentSubjectChar"/>
    <w:uiPriority w:val="98"/>
    <w:semiHidden/>
    <w:rsid w:val="00325F5F"/>
    <w:rPr>
      <w:b/>
      <w:bCs/>
    </w:rPr>
  </w:style>
  <w:style w:type="character" w:customStyle="1" w:styleId="CommentSubjectChar">
    <w:name w:val="Comment Subject Char"/>
    <w:basedOn w:val="CommentTextChar"/>
    <w:link w:val="CommentSubject"/>
    <w:uiPriority w:val="98"/>
    <w:semiHidden/>
    <w:rsid w:val="00325F5F"/>
    <w:rPr>
      <w:b/>
      <w:bCs/>
      <w:sz w:val="20"/>
      <w:szCs w:val="20"/>
      <w:lang w:val="ro-RO"/>
    </w:rPr>
  </w:style>
  <w:style w:type="table" w:styleId="DarkList">
    <w:name w:val="Dark List"/>
    <w:basedOn w:val="TableNormal"/>
    <w:uiPriority w:val="70"/>
    <w:semiHidden/>
    <w:rsid w:val="00325F5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25F5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325F5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325F5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325F5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325F5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325F5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325F5F"/>
  </w:style>
  <w:style w:type="character" w:customStyle="1" w:styleId="DateChar">
    <w:name w:val="Date Char"/>
    <w:basedOn w:val="DefaultParagraphFont"/>
    <w:link w:val="Date"/>
    <w:uiPriority w:val="98"/>
    <w:semiHidden/>
    <w:rsid w:val="00325F5F"/>
    <w:rPr>
      <w:sz w:val="24"/>
      <w:szCs w:val="24"/>
      <w:lang w:val="ro-RO"/>
    </w:rPr>
  </w:style>
  <w:style w:type="paragraph" w:styleId="DocumentMap">
    <w:name w:val="Document Map"/>
    <w:basedOn w:val="Normal"/>
    <w:link w:val="DocumentMapChar"/>
    <w:uiPriority w:val="98"/>
    <w:semiHidden/>
    <w:rsid w:val="00325F5F"/>
    <w:rPr>
      <w:rFonts w:ascii="Tahoma" w:hAnsi="Tahoma" w:cs="Tahoma"/>
      <w:sz w:val="16"/>
      <w:szCs w:val="16"/>
    </w:rPr>
  </w:style>
  <w:style w:type="character" w:customStyle="1" w:styleId="DocumentMapChar">
    <w:name w:val="Document Map Char"/>
    <w:basedOn w:val="DefaultParagraphFont"/>
    <w:link w:val="DocumentMap"/>
    <w:uiPriority w:val="98"/>
    <w:semiHidden/>
    <w:rsid w:val="00325F5F"/>
    <w:rPr>
      <w:rFonts w:ascii="Tahoma" w:hAnsi="Tahoma" w:cs="Tahoma"/>
      <w:sz w:val="16"/>
      <w:szCs w:val="16"/>
      <w:lang w:val="ro-RO"/>
    </w:rPr>
  </w:style>
  <w:style w:type="paragraph" w:styleId="E-mailSignature">
    <w:name w:val="E-mail Signature"/>
    <w:basedOn w:val="Normal"/>
    <w:link w:val="E-mailSignatureChar"/>
    <w:uiPriority w:val="98"/>
    <w:semiHidden/>
    <w:rsid w:val="00325F5F"/>
  </w:style>
  <w:style w:type="character" w:customStyle="1" w:styleId="E-mailSignatureChar">
    <w:name w:val="E-mail Signature Char"/>
    <w:basedOn w:val="DefaultParagraphFont"/>
    <w:link w:val="E-mailSignature"/>
    <w:uiPriority w:val="98"/>
    <w:semiHidden/>
    <w:rsid w:val="00325F5F"/>
    <w:rPr>
      <w:sz w:val="24"/>
      <w:szCs w:val="24"/>
      <w:lang w:val="ro-RO"/>
    </w:rPr>
  </w:style>
  <w:style w:type="character" w:styleId="EndnoteReference">
    <w:name w:val="endnote reference"/>
    <w:basedOn w:val="DefaultParagraphFont"/>
    <w:uiPriority w:val="98"/>
    <w:semiHidden/>
    <w:rsid w:val="00325F5F"/>
    <w:rPr>
      <w:vertAlign w:val="superscript"/>
    </w:rPr>
  </w:style>
  <w:style w:type="paragraph" w:styleId="EndnoteText">
    <w:name w:val="endnote text"/>
    <w:basedOn w:val="Normal"/>
    <w:link w:val="EndnoteTextChar"/>
    <w:uiPriority w:val="98"/>
    <w:semiHidden/>
    <w:rsid w:val="00325F5F"/>
    <w:rPr>
      <w:sz w:val="20"/>
      <w:szCs w:val="20"/>
    </w:rPr>
  </w:style>
  <w:style w:type="character" w:customStyle="1" w:styleId="EndnoteTextChar">
    <w:name w:val="Endnote Text Char"/>
    <w:basedOn w:val="DefaultParagraphFont"/>
    <w:link w:val="EndnoteText"/>
    <w:uiPriority w:val="98"/>
    <w:semiHidden/>
    <w:rsid w:val="00325F5F"/>
    <w:rPr>
      <w:sz w:val="20"/>
      <w:szCs w:val="20"/>
      <w:lang w:val="ro-RO"/>
    </w:rPr>
  </w:style>
  <w:style w:type="paragraph" w:styleId="EnvelopeAddress">
    <w:name w:val="envelope address"/>
    <w:basedOn w:val="Normal"/>
    <w:uiPriority w:val="98"/>
    <w:semiHidden/>
    <w:rsid w:val="00325F5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325F5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325F5F"/>
    <w:rPr>
      <w:color w:val="7030A0" w:themeColor="followedHyperlink"/>
      <w:u w:val="single"/>
    </w:rPr>
  </w:style>
  <w:style w:type="character" w:styleId="HTMLAcronym">
    <w:name w:val="HTML Acronym"/>
    <w:basedOn w:val="DefaultParagraphFont"/>
    <w:uiPriority w:val="98"/>
    <w:semiHidden/>
    <w:rsid w:val="00325F5F"/>
  </w:style>
  <w:style w:type="paragraph" w:styleId="HTMLAddress">
    <w:name w:val="HTML Address"/>
    <w:basedOn w:val="Normal"/>
    <w:link w:val="HTMLAddressChar"/>
    <w:uiPriority w:val="98"/>
    <w:semiHidden/>
    <w:rsid w:val="00325F5F"/>
    <w:rPr>
      <w:i/>
      <w:iCs/>
    </w:rPr>
  </w:style>
  <w:style w:type="character" w:customStyle="1" w:styleId="HTMLAddressChar">
    <w:name w:val="HTML Address Char"/>
    <w:basedOn w:val="DefaultParagraphFont"/>
    <w:link w:val="HTMLAddress"/>
    <w:uiPriority w:val="98"/>
    <w:semiHidden/>
    <w:rsid w:val="00325F5F"/>
    <w:rPr>
      <w:i/>
      <w:iCs/>
      <w:sz w:val="24"/>
      <w:szCs w:val="24"/>
      <w:lang w:val="ro-RO"/>
    </w:rPr>
  </w:style>
  <w:style w:type="character" w:styleId="HTMLCite">
    <w:name w:val="HTML Cite"/>
    <w:basedOn w:val="DefaultParagraphFont"/>
    <w:uiPriority w:val="98"/>
    <w:semiHidden/>
    <w:rsid w:val="00325F5F"/>
    <w:rPr>
      <w:i/>
      <w:iCs/>
    </w:rPr>
  </w:style>
  <w:style w:type="character" w:styleId="HTMLCode">
    <w:name w:val="HTML Code"/>
    <w:basedOn w:val="DefaultParagraphFont"/>
    <w:uiPriority w:val="98"/>
    <w:semiHidden/>
    <w:rsid w:val="00325F5F"/>
    <w:rPr>
      <w:rFonts w:ascii="Consolas" w:hAnsi="Consolas" w:cs="Consolas"/>
      <w:sz w:val="20"/>
      <w:szCs w:val="20"/>
    </w:rPr>
  </w:style>
  <w:style w:type="character" w:styleId="HTMLDefinition">
    <w:name w:val="HTML Definition"/>
    <w:basedOn w:val="DefaultParagraphFont"/>
    <w:uiPriority w:val="98"/>
    <w:semiHidden/>
    <w:rsid w:val="00325F5F"/>
    <w:rPr>
      <w:i/>
      <w:iCs/>
    </w:rPr>
  </w:style>
  <w:style w:type="character" w:styleId="HTMLKeyboard">
    <w:name w:val="HTML Keyboard"/>
    <w:basedOn w:val="DefaultParagraphFont"/>
    <w:uiPriority w:val="98"/>
    <w:semiHidden/>
    <w:rsid w:val="00325F5F"/>
    <w:rPr>
      <w:rFonts w:ascii="Consolas" w:hAnsi="Consolas" w:cs="Consolas"/>
      <w:sz w:val="20"/>
      <w:szCs w:val="20"/>
    </w:rPr>
  </w:style>
  <w:style w:type="paragraph" w:styleId="HTMLPreformatted">
    <w:name w:val="HTML Preformatted"/>
    <w:basedOn w:val="Normal"/>
    <w:link w:val="HTMLPreformattedChar"/>
    <w:uiPriority w:val="98"/>
    <w:semiHidden/>
    <w:rsid w:val="00325F5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325F5F"/>
    <w:rPr>
      <w:rFonts w:ascii="Consolas" w:hAnsi="Consolas" w:cs="Consolas"/>
      <w:sz w:val="20"/>
      <w:szCs w:val="20"/>
      <w:lang w:val="ro-RO"/>
    </w:rPr>
  </w:style>
  <w:style w:type="character" w:styleId="HTMLSample">
    <w:name w:val="HTML Sample"/>
    <w:basedOn w:val="DefaultParagraphFont"/>
    <w:uiPriority w:val="98"/>
    <w:semiHidden/>
    <w:rsid w:val="00325F5F"/>
    <w:rPr>
      <w:rFonts w:ascii="Consolas" w:hAnsi="Consolas" w:cs="Consolas"/>
      <w:sz w:val="24"/>
      <w:szCs w:val="24"/>
    </w:rPr>
  </w:style>
  <w:style w:type="character" w:styleId="HTMLTypewriter">
    <w:name w:val="HTML Typewriter"/>
    <w:basedOn w:val="DefaultParagraphFont"/>
    <w:uiPriority w:val="98"/>
    <w:semiHidden/>
    <w:rsid w:val="00325F5F"/>
    <w:rPr>
      <w:rFonts w:ascii="Consolas" w:hAnsi="Consolas" w:cs="Consolas"/>
      <w:sz w:val="20"/>
      <w:szCs w:val="20"/>
    </w:rPr>
  </w:style>
  <w:style w:type="character" w:styleId="HTMLVariable">
    <w:name w:val="HTML Variable"/>
    <w:basedOn w:val="DefaultParagraphFont"/>
    <w:uiPriority w:val="98"/>
    <w:semiHidden/>
    <w:rsid w:val="00325F5F"/>
    <w:rPr>
      <w:i/>
      <w:iCs/>
    </w:rPr>
  </w:style>
  <w:style w:type="paragraph" w:styleId="Index1">
    <w:name w:val="index 1"/>
    <w:basedOn w:val="Normal"/>
    <w:next w:val="Normal"/>
    <w:autoRedefine/>
    <w:uiPriority w:val="98"/>
    <w:semiHidden/>
    <w:rsid w:val="00325F5F"/>
    <w:pPr>
      <w:ind w:left="240" w:hanging="240"/>
    </w:pPr>
  </w:style>
  <w:style w:type="paragraph" w:styleId="Index2">
    <w:name w:val="index 2"/>
    <w:basedOn w:val="Normal"/>
    <w:next w:val="Normal"/>
    <w:autoRedefine/>
    <w:uiPriority w:val="98"/>
    <w:semiHidden/>
    <w:rsid w:val="00325F5F"/>
    <w:pPr>
      <w:ind w:left="480" w:hanging="240"/>
    </w:pPr>
  </w:style>
  <w:style w:type="paragraph" w:styleId="Index3">
    <w:name w:val="index 3"/>
    <w:basedOn w:val="Normal"/>
    <w:next w:val="Normal"/>
    <w:autoRedefine/>
    <w:uiPriority w:val="98"/>
    <w:semiHidden/>
    <w:rsid w:val="00325F5F"/>
    <w:pPr>
      <w:ind w:left="720" w:hanging="240"/>
    </w:pPr>
  </w:style>
  <w:style w:type="paragraph" w:styleId="Index4">
    <w:name w:val="index 4"/>
    <w:basedOn w:val="Normal"/>
    <w:next w:val="Normal"/>
    <w:autoRedefine/>
    <w:uiPriority w:val="98"/>
    <w:semiHidden/>
    <w:rsid w:val="00325F5F"/>
    <w:pPr>
      <w:ind w:left="960" w:hanging="240"/>
    </w:pPr>
  </w:style>
  <w:style w:type="paragraph" w:styleId="Index5">
    <w:name w:val="index 5"/>
    <w:basedOn w:val="Normal"/>
    <w:next w:val="Normal"/>
    <w:autoRedefine/>
    <w:uiPriority w:val="98"/>
    <w:semiHidden/>
    <w:rsid w:val="00325F5F"/>
    <w:pPr>
      <w:ind w:left="1200" w:hanging="240"/>
    </w:pPr>
  </w:style>
  <w:style w:type="paragraph" w:styleId="Index6">
    <w:name w:val="index 6"/>
    <w:basedOn w:val="Normal"/>
    <w:next w:val="Normal"/>
    <w:autoRedefine/>
    <w:uiPriority w:val="98"/>
    <w:semiHidden/>
    <w:rsid w:val="00325F5F"/>
    <w:pPr>
      <w:ind w:left="1440" w:hanging="240"/>
    </w:pPr>
  </w:style>
  <w:style w:type="paragraph" w:styleId="Index7">
    <w:name w:val="index 7"/>
    <w:basedOn w:val="Normal"/>
    <w:next w:val="Normal"/>
    <w:autoRedefine/>
    <w:uiPriority w:val="98"/>
    <w:semiHidden/>
    <w:rsid w:val="00325F5F"/>
    <w:pPr>
      <w:ind w:left="1680" w:hanging="240"/>
    </w:pPr>
  </w:style>
  <w:style w:type="paragraph" w:styleId="Index8">
    <w:name w:val="index 8"/>
    <w:basedOn w:val="Normal"/>
    <w:next w:val="Normal"/>
    <w:autoRedefine/>
    <w:uiPriority w:val="98"/>
    <w:semiHidden/>
    <w:rsid w:val="00325F5F"/>
    <w:pPr>
      <w:ind w:left="1920" w:hanging="240"/>
    </w:pPr>
  </w:style>
  <w:style w:type="paragraph" w:styleId="Index9">
    <w:name w:val="index 9"/>
    <w:basedOn w:val="Normal"/>
    <w:next w:val="Normal"/>
    <w:autoRedefine/>
    <w:uiPriority w:val="98"/>
    <w:semiHidden/>
    <w:rsid w:val="00325F5F"/>
    <w:pPr>
      <w:ind w:left="2160" w:hanging="240"/>
    </w:pPr>
  </w:style>
  <w:style w:type="paragraph" w:styleId="IndexHeading">
    <w:name w:val="index heading"/>
    <w:basedOn w:val="Normal"/>
    <w:next w:val="Index1"/>
    <w:uiPriority w:val="98"/>
    <w:semiHidden/>
    <w:rsid w:val="00325F5F"/>
    <w:rPr>
      <w:rFonts w:asciiTheme="majorHAnsi" w:eastAsiaTheme="majorEastAsia" w:hAnsiTheme="majorHAnsi" w:cstheme="majorBidi"/>
      <w:b/>
      <w:bCs/>
    </w:rPr>
  </w:style>
  <w:style w:type="table" w:styleId="LightGrid">
    <w:name w:val="Light Grid"/>
    <w:basedOn w:val="TableNormal"/>
    <w:uiPriority w:val="62"/>
    <w:semiHidden/>
    <w:rsid w:val="00325F5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25F5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325F5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325F5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325F5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325F5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325F5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325F5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25F5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325F5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325F5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325F5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325F5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325F5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325F5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25F5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325F5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325F5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325F5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325F5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325F5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325F5F"/>
  </w:style>
  <w:style w:type="paragraph" w:styleId="List">
    <w:name w:val="List"/>
    <w:basedOn w:val="Normal"/>
    <w:uiPriority w:val="98"/>
    <w:semiHidden/>
    <w:rsid w:val="00325F5F"/>
    <w:pPr>
      <w:ind w:left="283" w:hanging="283"/>
      <w:contextualSpacing/>
    </w:pPr>
  </w:style>
  <w:style w:type="paragraph" w:styleId="List2">
    <w:name w:val="List 2"/>
    <w:basedOn w:val="Normal"/>
    <w:uiPriority w:val="98"/>
    <w:semiHidden/>
    <w:rsid w:val="00325F5F"/>
    <w:pPr>
      <w:ind w:left="566" w:hanging="283"/>
      <w:contextualSpacing/>
    </w:pPr>
  </w:style>
  <w:style w:type="paragraph" w:styleId="List3">
    <w:name w:val="List 3"/>
    <w:basedOn w:val="Normal"/>
    <w:uiPriority w:val="98"/>
    <w:semiHidden/>
    <w:rsid w:val="00325F5F"/>
    <w:pPr>
      <w:ind w:left="849" w:hanging="283"/>
      <w:contextualSpacing/>
    </w:pPr>
  </w:style>
  <w:style w:type="paragraph" w:styleId="List4">
    <w:name w:val="List 4"/>
    <w:basedOn w:val="Normal"/>
    <w:uiPriority w:val="98"/>
    <w:semiHidden/>
    <w:rsid w:val="00325F5F"/>
    <w:pPr>
      <w:ind w:left="1132" w:hanging="283"/>
      <w:contextualSpacing/>
    </w:pPr>
  </w:style>
  <w:style w:type="paragraph" w:styleId="List5">
    <w:name w:val="List 5"/>
    <w:basedOn w:val="Normal"/>
    <w:uiPriority w:val="98"/>
    <w:semiHidden/>
    <w:rsid w:val="00325F5F"/>
    <w:pPr>
      <w:ind w:left="1415" w:hanging="283"/>
      <w:contextualSpacing/>
    </w:pPr>
  </w:style>
  <w:style w:type="paragraph" w:styleId="ListBullet2">
    <w:name w:val="List Bullet 2"/>
    <w:basedOn w:val="Normal"/>
    <w:uiPriority w:val="98"/>
    <w:semiHidden/>
    <w:rsid w:val="00325F5F"/>
    <w:pPr>
      <w:numPr>
        <w:numId w:val="7"/>
      </w:numPr>
      <w:contextualSpacing/>
    </w:pPr>
  </w:style>
  <w:style w:type="paragraph" w:styleId="ListBullet4">
    <w:name w:val="List Bullet 4"/>
    <w:basedOn w:val="Normal"/>
    <w:uiPriority w:val="98"/>
    <w:semiHidden/>
    <w:rsid w:val="00325F5F"/>
    <w:pPr>
      <w:numPr>
        <w:numId w:val="9"/>
      </w:numPr>
      <w:contextualSpacing/>
    </w:pPr>
  </w:style>
  <w:style w:type="paragraph" w:styleId="ListBullet5">
    <w:name w:val="List Bullet 5"/>
    <w:basedOn w:val="Normal"/>
    <w:uiPriority w:val="98"/>
    <w:semiHidden/>
    <w:rsid w:val="00325F5F"/>
    <w:pPr>
      <w:numPr>
        <w:numId w:val="10"/>
      </w:numPr>
      <w:contextualSpacing/>
    </w:pPr>
  </w:style>
  <w:style w:type="paragraph" w:styleId="ListContinue">
    <w:name w:val="List Continue"/>
    <w:basedOn w:val="Normal"/>
    <w:uiPriority w:val="98"/>
    <w:semiHidden/>
    <w:rsid w:val="00325F5F"/>
    <w:pPr>
      <w:spacing w:after="120"/>
      <w:ind w:left="283"/>
      <w:contextualSpacing/>
    </w:pPr>
  </w:style>
  <w:style w:type="paragraph" w:styleId="ListContinue2">
    <w:name w:val="List Continue 2"/>
    <w:basedOn w:val="Normal"/>
    <w:uiPriority w:val="98"/>
    <w:semiHidden/>
    <w:rsid w:val="00325F5F"/>
    <w:pPr>
      <w:spacing w:after="120"/>
      <w:ind w:left="566"/>
      <w:contextualSpacing/>
    </w:pPr>
  </w:style>
  <w:style w:type="paragraph" w:styleId="ListContinue3">
    <w:name w:val="List Continue 3"/>
    <w:basedOn w:val="Normal"/>
    <w:uiPriority w:val="98"/>
    <w:semiHidden/>
    <w:rsid w:val="00325F5F"/>
    <w:pPr>
      <w:spacing w:after="120"/>
      <w:ind w:left="849"/>
      <w:contextualSpacing/>
    </w:pPr>
  </w:style>
  <w:style w:type="paragraph" w:styleId="ListContinue4">
    <w:name w:val="List Continue 4"/>
    <w:basedOn w:val="Normal"/>
    <w:uiPriority w:val="98"/>
    <w:semiHidden/>
    <w:rsid w:val="00325F5F"/>
    <w:pPr>
      <w:spacing w:after="120"/>
      <w:ind w:left="1132"/>
      <w:contextualSpacing/>
    </w:pPr>
  </w:style>
  <w:style w:type="paragraph" w:styleId="ListContinue5">
    <w:name w:val="List Continue 5"/>
    <w:basedOn w:val="Normal"/>
    <w:uiPriority w:val="98"/>
    <w:semiHidden/>
    <w:rsid w:val="00325F5F"/>
    <w:pPr>
      <w:spacing w:after="120"/>
      <w:ind w:left="1415"/>
      <w:contextualSpacing/>
    </w:pPr>
  </w:style>
  <w:style w:type="paragraph" w:styleId="ListNumber">
    <w:name w:val="List Number"/>
    <w:basedOn w:val="Normal"/>
    <w:uiPriority w:val="98"/>
    <w:semiHidden/>
    <w:rsid w:val="00325F5F"/>
    <w:pPr>
      <w:numPr>
        <w:numId w:val="11"/>
      </w:numPr>
      <w:contextualSpacing/>
    </w:pPr>
  </w:style>
  <w:style w:type="paragraph" w:styleId="ListNumber2">
    <w:name w:val="List Number 2"/>
    <w:basedOn w:val="Normal"/>
    <w:uiPriority w:val="98"/>
    <w:semiHidden/>
    <w:rsid w:val="00325F5F"/>
    <w:pPr>
      <w:numPr>
        <w:numId w:val="12"/>
      </w:numPr>
      <w:contextualSpacing/>
    </w:pPr>
  </w:style>
  <w:style w:type="paragraph" w:styleId="ListNumber3">
    <w:name w:val="List Number 3"/>
    <w:basedOn w:val="Normal"/>
    <w:uiPriority w:val="98"/>
    <w:semiHidden/>
    <w:rsid w:val="00325F5F"/>
    <w:pPr>
      <w:numPr>
        <w:numId w:val="13"/>
      </w:numPr>
      <w:contextualSpacing/>
    </w:pPr>
  </w:style>
  <w:style w:type="paragraph" w:styleId="ListNumber4">
    <w:name w:val="List Number 4"/>
    <w:basedOn w:val="Normal"/>
    <w:uiPriority w:val="98"/>
    <w:semiHidden/>
    <w:rsid w:val="00325F5F"/>
    <w:pPr>
      <w:numPr>
        <w:numId w:val="14"/>
      </w:numPr>
      <w:contextualSpacing/>
    </w:pPr>
  </w:style>
  <w:style w:type="paragraph" w:styleId="ListNumber5">
    <w:name w:val="List Number 5"/>
    <w:basedOn w:val="Normal"/>
    <w:uiPriority w:val="98"/>
    <w:semiHidden/>
    <w:rsid w:val="00325F5F"/>
    <w:pPr>
      <w:numPr>
        <w:numId w:val="15"/>
      </w:numPr>
      <w:contextualSpacing/>
    </w:pPr>
  </w:style>
  <w:style w:type="paragraph" w:styleId="MacroText">
    <w:name w:val="macro"/>
    <w:link w:val="MacroTextChar"/>
    <w:uiPriority w:val="98"/>
    <w:semiHidden/>
    <w:rsid w:val="00325F5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325F5F"/>
    <w:rPr>
      <w:rFonts w:ascii="Consolas" w:eastAsiaTheme="minorEastAsia" w:hAnsi="Consolas" w:cs="Consolas"/>
      <w:sz w:val="20"/>
      <w:szCs w:val="20"/>
    </w:rPr>
  </w:style>
  <w:style w:type="table" w:styleId="MediumGrid1">
    <w:name w:val="Medium Grid 1"/>
    <w:basedOn w:val="TableNormal"/>
    <w:uiPriority w:val="67"/>
    <w:semiHidden/>
    <w:rsid w:val="00325F5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25F5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325F5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325F5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325F5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325F5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325F5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325F5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325F5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25F5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325F5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325F5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325F5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325F5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325F5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25F5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325F5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25F5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25F5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25F5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25F5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25F5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25F5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25F5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325F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325F5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325F5F"/>
    <w:rPr>
      <w:rFonts w:ascii="Times New Roman" w:hAnsi="Times New Roman" w:cs="Times New Roman"/>
    </w:rPr>
  </w:style>
  <w:style w:type="paragraph" w:styleId="NormalIndent">
    <w:name w:val="Normal Indent"/>
    <w:basedOn w:val="Normal"/>
    <w:uiPriority w:val="98"/>
    <w:semiHidden/>
    <w:rsid w:val="00325F5F"/>
    <w:pPr>
      <w:ind w:left="720"/>
    </w:pPr>
  </w:style>
  <w:style w:type="paragraph" w:styleId="NoteHeading">
    <w:name w:val="Note Heading"/>
    <w:basedOn w:val="Normal"/>
    <w:next w:val="Normal"/>
    <w:link w:val="NoteHeadingChar"/>
    <w:uiPriority w:val="98"/>
    <w:semiHidden/>
    <w:rsid w:val="00325F5F"/>
  </w:style>
  <w:style w:type="character" w:customStyle="1" w:styleId="NoteHeadingChar">
    <w:name w:val="Note Heading Char"/>
    <w:basedOn w:val="DefaultParagraphFont"/>
    <w:link w:val="NoteHeading"/>
    <w:uiPriority w:val="98"/>
    <w:semiHidden/>
    <w:rsid w:val="00325F5F"/>
    <w:rPr>
      <w:sz w:val="24"/>
      <w:szCs w:val="24"/>
      <w:lang w:val="ro-RO"/>
    </w:rPr>
  </w:style>
  <w:style w:type="character" w:styleId="PlaceholderText">
    <w:name w:val="Placeholder Text"/>
    <w:basedOn w:val="DefaultParagraphFont"/>
    <w:uiPriority w:val="98"/>
    <w:semiHidden/>
    <w:rsid w:val="00325F5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325F5F"/>
    <w:rPr>
      <w:rFonts w:ascii="Consolas" w:hAnsi="Consolas" w:cs="Consolas"/>
      <w:sz w:val="21"/>
      <w:szCs w:val="21"/>
    </w:rPr>
  </w:style>
  <w:style w:type="character" w:customStyle="1" w:styleId="PlainTextChar">
    <w:name w:val="Plain Text Char"/>
    <w:basedOn w:val="DefaultParagraphFont"/>
    <w:link w:val="PlainText"/>
    <w:uiPriority w:val="98"/>
    <w:semiHidden/>
    <w:rsid w:val="00325F5F"/>
    <w:rPr>
      <w:rFonts w:ascii="Consolas" w:hAnsi="Consolas" w:cs="Consolas"/>
      <w:sz w:val="21"/>
      <w:szCs w:val="21"/>
      <w:lang w:val="ro-RO"/>
    </w:rPr>
  </w:style>
  <w:style w:type="paragraph" w:styleId="Salutation">
    <w:name w:val="Salutation"/>
    <w:basedOn w:val="Normal"/>
    <w:next w:val="Normal"/>
    <w:link w:val="SalutationChar"/>
    <w:uiPriority w:val="98"/>
    <w:semiHidden/>
    <w:rsid w:val="00325F5F"/>
  </w:style>
  <w:style w:type="character" w:customStyle="1" w:styleId="SalutationChar">
    <w:name w:val="Salutation Char"/>
    <w:basedOn w:val="DefaultParagraphFont"/>
    <w:link w:val="Salutation"/>
    <w:uiPriority w:val="98"/>
    <w:semiHidden/>
    <w:rsid w:val="00325F5F"/>
    <w:rPr>
      <w:sz w:val="24"/>
      <w:szCs w:val="24"/>
      <w:lang w:val="ro-RO"/>
    </w:rPr>
  </w:style>
  <w:style w:type="paragraph" w:styleId="Signature">
    <w:name w:val="Signature"/>
    <w:basedOn w:val="Normal"/>
    <w:link w:val="SignatureChar"/>
    <w:uiPriority w:val="98"/>
    <w:semiHidden/>
    <w:rsid w:val="00325F5F"/>
    <w:pPr>
      <w:ind w:left="4252"/>
    </w:pPr>
  </w:style>
  <w:style w:type="character" w:customStyle="1" w:styleId="SignatureChar">
    <w:name w:val="Signature Char"/>
    <w:basedOn w:val="DefaultParagraphFont"/>
    <w:link w:val="Signature"/>
    <w:uiPriority w:val="98"/>
    <w:semiHidden/>
    <w:rsid w:val="00325F5F"/>
    <w:rPr>
      <w:sz w:val="24"/>
      <w:szCs w:val="24"/>
      <w:lang w:val="ro-RO"/>
    </w:rPr>
  </w:style>
  <w:style w:type="table" w:styleId="Table3Deffects1">
    <w:name w:val="Table 3D effects 1"/>
    <w:basedOn w:val="TableNormal"/>
    <w:uiPriority w:val="99"/>
    <w:semiHidden/>
    <w:unhideWhenUsed/>
    <w:rsid w:val="00325F5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25F5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25F5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25F5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25F5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25F5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25F5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25F5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25F5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25F5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25F5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25F5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25F5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25F5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25F5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25F5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25F5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25F5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25F5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25F5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25F5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25F5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25F5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25F5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25F5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25F5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25F5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25F5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25F5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25F5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25F5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25F5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25F5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325F5F"/>
    <w:pPr>
      <w:ind w:left="240" w:hanging="240"/>
    </w:pPr>
  </w:style>
  <w:style w:type="paragraph" w:styleId="TableofFigures">
    <w:name w:val="table of figures"/>
    <w:basedOn w:val="Normal"/>
    <w:next w:val="Normal"/>
    <w:uiPriority w:val="98"/>
    <w:semiHidden/>
    <w:rsid w:val="00325F5F"/>
  </w:style>
  <w:style w:type="table" w:styleId="TableProfessional">
    <w:name w:val="Table Professional"/>
    <w:basedOn w:val="TableNormal"/>
    <w:uiPriority w:val="99"/>
    <w:semiHidden/>
    <w:unhideWhenUsed/>
    <w:rsid w:val="00325F5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25F5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25F5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25F5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25F5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25F5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25F5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25F5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25F5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25F5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325F5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325F5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325F5F"/>
    <w:pPr>
      <w:spacing w:after="100"/>
      <w:ind w:left="1680"/>
    </w:pPr>
  </w:style>
  <w:style w:type="paragraph" w:styleId="TOC9">
    <w:name w:val="toc 9"/>
    <w:basedOn w:val="Normal"/>
    <w:next w:val="Normal"/>
    <w:autoRedefine/>
    <w:uiPriority w:val="98"/>
    <w:semiHidden/>
    <w:rsid w:val="00325F5F"/>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325F5F"/>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325F5F"/>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325F5F"/>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325F5F"/>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325F5F"/>
    <w:pPr>
      <w:numPr>
        <w:numId w:val="19"/>
      </w:numPr>
      <w:spacing w:before="60" w:after="60"/>
    </w:pPr>
  </w:style>
  <w:style w:type="paragraph" w:customStyle="1" w:styleId="ECHRBullet2">
    <w:name w:val="ECHR_Bullet_2"/>
    <w:aliases w:val="_Bul_2"/>
    <w:basedOn w:val="ECHRBullet1"/>
    <w:uiPriority w:val="23"/>
    <w:semiHidden/>
    <w:rsid w:val="00325F5F"/>
    <w:pPr>
      <w:numPr>
        <w:ilvl w:val="1"/>
      </w:numPr>
    </w:pPr>
  </w:style>
  <w:style w:type="paragraph" w:customStyle="1" w:styleId="ECHRBullet3">
    <w:name w:val="ECHR_Bullet_3"/>
    <w:aliases w:val="_Bul_3"/>
    <w:basedOn w:val="ECHRBullet2"/>
    <w:uiPriority w:val="23"/>
    <w:semiHidden/>
    <w:rsid w:val="00325F5F"/>
    <w:pPr>
      <w:numPr>
        <w:ilvl w:val="2"/>
      </w:numPr>
    </w:pPr>
  </w:style>
  <w:style w:type="paragraph" w:customStyle="1" w:styleId="ECHRBullet4">
    <w:name w:val="ECHR_Bullet_4"/>
    <w:aliases w:val="_Bul_4"/>
    <w:basedOn w:val="ECHRBullet3"/>
    <w:uiPriority w:val="23"/>
    <w:semiHidden/>
    <w:rsid w:val="00325F5F"/>
    <w:pPr>
      <w:numPr>
        <w:ilvl w:val="3"/>
      </w:numPr>
    </w:pPr>
  </w:style>
  <w:style w:type="paragraph" w:customStyle="1" w:styleId="ECHRConfidential">
    <w:name w:val="ECHR_Confidential"/>
    <w:aliases w:val="_Confidential"/>
    <w:basedOn w:val="Normal"/>
    <w:next w:val="Normal"/>
    <w:uiPriority w:val="42"/>
    <w:semiHidden/>
    <w:qFormat/>
    <w:rsid w:val="00325F5F"/>
    <w:pPr>
      <w:jc w:val="right"/>
    </w:pPr>
    <w:rPr>
      <w:color w:val="C00000"/>
      <w:sz w:val="20"/>
    </w:rPr>
  </w:style>
  <w:style w:type="paragraph" w:customStyle="1" w:styleId="ECHRDecisionBody">
    <w:name w:val="ECHR_Decision_Body"/>
    <w:aliases w:val="_Decision_Body"/>
    <w:basedOn w:val="NormalJustified"/>
    <w:uiPriority w:val="54"/>
    <w:semiHidden/>
    <w:rsid w:val="00325F5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325F5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325F5F"/>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325F5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325F5F"/>
    <w:pPr>
      <w:jc w:val="right"/>
    </w:pPr>
    <w:rPr>
      <w:sz w:val="20"/>
    </w:rPr>
  </w:style>
  <w:style w:type="paragraph" w:customStyle="1" w:styleId="ECHRHeaderRefIt">
    <w:name w:val="ECHR_Header_Ref_It"/>
    <w:aliases w:val="_Ref_Ital"/>
    <w:basedOn w:val="Normal"/>
    <w:next w:val="ECHRHeaderDate"/>
    <w:uiPriority w:val="43"/>
    <w:qFormat/>
    <w:rsid w:val="00325F5F"/>
    <w:pPr>
      <w:jc w:val="right"/>
    </w:pPr>
    <w:rPr>
      <w:i/>
      <w:sz w:val="20"/>
    </w:rPr>
  </w:style>
  <w:style w:type="paragraph" w:customStyle="1" w:styleId="ECHRHeading9">
    <w:name w:val="ECHR_Heading_9"/>
    <w:aliases w:val="_Head_9"/>
    <w:basedOn w:val="Heading9"/>
    <w:uiPriority w:val="17"/>
    <w:semiHidden/>
    <w:rsid w:val="00325F5F"/>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325F5F"/>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325F5F"/>
    <w:pPr>
      <w:numPr>
        <w:numId w:val="20"/>
      </w:numPr>
      <w:spacing w:before="60" w:after="60"/>
    </w:pPr>
  </w:style>
  <w:style w:type="paragraph" w:customStyle="1" w:styleId="ECHRNumberedList2">
    <w:name w:val="ECHR_Numbered_List_2"/>
    <w:aliases w:val="_Num_2"/>
    <w:basedOn w:val="ECHRNumberedList1"/>
    <w:uiPriority w:val="23"/>
    <w:semiHidden/>
    <w:rsid w:val="00325F5F"/>
    <w:pPr>
      <w:numPr>
        <w:ilvl w:val="1"/>
      </w:numPr>
    </w:pPr>
  </w:style>
  <w:style w:type="paragraph" w:customStyle="1" w:styleId="ECHRNumberedList3">
    <w:name w:val="ECHR_Numbered_List_3"/>
    <w:aliases w:val="_Num_3"/>
    <w:basedOn w:val="ECHRNumberedList2"/>
    <w:uiPriority w:val="23"/>
    <w:semiHidden/>
    <w:rsid w:val="00325F5F"/>
    <w:pPr>
      <w:numPr>
        <w:ilvl w:val="2"/>
      </w:numPr>
    </w:pPr>
  </w:style>
  <w:style w:type="paragraph" w:customStyle="1" w:styleId="ECHRParaHanging">
    <w:name w:val="ECHR_Para_Hanging"/>
    <w:aliases w:val="_Hanging"/>
    <w:basedOn w:val="NormalJustified"/>
    <w:uiPriority w:val="8"/>
    <w:semiHidden/>
    <w:qFormat/>
    <w:rsid w:val="00325F5F"/>
    <w:pPr>
      <w:ind w:left="567" w:hanging="567"/>
    </w:pPr>
  </w:style>
  <w:style w:type="paragraph" w:customStyle="1" w:styleId="ECHRParaIndent">
    <w:name w:val="ECHR_Para_Indent"/>
    <w:aliases w:val="_Indent"/>
    <w:basedOn w:val="NormalJustified"/>
    <w:uiPriority w:val="7"/>
    <w:semiHidden/>
    <w:qFormat/>
    <w:rsid w:val="00325F5F"/>
    <w:pPr>
      <w:spacing w:before="120" w:after="120"/>
      <w:ind w:left="284"/>
    </w:pPr>
  </w:style>
  <w:style w:type="character" w:customStyle="1" w:styleId="ECHRRed">
    <w:name w:val="ECHR_Red"/>
    <w:aliases w:val="_Red"/>
    <w:basedOn w:val="DefaultParagraphFont"/>
    <w:uiPriority w:val="15"/>
    <w:semiHidden/>
    <w:qFormat/>
    <w:rsid w:val="00325F5F"/>
    <w:rPr>
      <w:color w:val="C00000" w:themeColor="accent2"/>
    </w:rPr>
  </w:style>
  <w:style w:type="paragraph" w:customStyle="1" w:styleId="DecList">
    <w:name w:val="Dec_List"/>
    <w:aliases w:val="_List"/>
    <w:basedOn w:val="JuList"/>
    <w:uiPriority w:val="22"/>
    <w:rsid w:val="00325F5F"/>
    <w:pPr>
      <w:numPr>
        <w:numId w:val="0"/>
      </w:numPr>
      <w:ind w:left="284"/>
    </w:pPr>
  </w:style>
  <w:style w:type="table" w:customStyle="1" w:styleId="ECHRTable2">
    <w:name w:val="ECHR_Table_2"/>
    <w:basedOn w:val="TableNormal"/>
    <w:uiPriority w:val="99"/>
    <w:rsid w:val="00325F5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325F5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325F5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325F5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325F5F"/>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325F5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325F5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325F5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325F5F"/>
    <w:pPr>
      <w:outlineLvl w:val="0"/>
    </w:pPr>
  </w:style>
  <w:style w:type="paragraph" w:customStyle="1" w:styleId="ECHRTitleTOC1">
    <w:name w:val="ECHR_Title_TOC_1"/>
    <w:aliases w:val="_Title_L_TOC"/>
    <w:basedOn w:val="ECHRTitle1"/>
    <w:next w:val="Normal"/>
    <w:uiPriority w:val="27"/>
    <w:semiHidden/>
    <w:qFormat/>
    <w:rsid w:val="00325F5F"/>
    <w:pPr>
      <w:outlineLvl w:val="0"/>
    </w:pPr>
  </w:style>
  <w:style w:type="paragraph" w:customStyle="1" w:styleId="ECHRPlaceholder">
    <w:name w:val="ECHR_Placeholder"/>
    <w:aliases w:val="_Placeholder"/>
    <w:basedOn w:val="JuSigned"/>
    <w:uiPriority w:val="31"/>
    <w:rsid w:val="00325F5F"/>
    <w:rPr>
      <w:color w:val="FFFFFF"/>
    </w:rPr>
  </w:style>
  <w:style w:type="paragraph" w:customStyle="1" w:styleId="ECHRSpacer">
    <w:name w:val="ECHR_Spacer"/>
    <w:aliases w:val="_Spacer"/>
    <w:basedOn w:val="Normal"/>
    <w:uiPriority w:val="45"/>
    <w:semiHidden/>
    <w:rsid w:val="00325F5F"/>
    <w:rPr>
      <w:sz w:val="4"/>
    </w:rPr>
  </w:style>
  <w:style w:type="table" w:customStyle="1" w:styleId="ECHRTableGrey">
    <w:name w:val="ECHR_Table_Grey"/>
    <w:basedOn w:val="TableNormal"/>
    <w:uiPriority w:val="99"/>
    <w:rsid w:val="00325F5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325F5F"/>
    <w:rPr>
      <w:color w:val="605E5C"/>
      <w:shd w:val="clear" w:color="auto" w:fill="E1DFDD"/>
    </w:rPr>
  </w:style>
  <w:style w:type="character" w:customStyle="1" w:styleId="JuParaChar">
    <w:name w:val="Ju_Para Char"/>
    <w:aliases w:val="_Para Char"/>
    <w:link w:val="JuPara"/>
    <w:uiPriority w:val="4"/>
    <w:rsid w:val="00761D85"/>
    <w:rPr>
      <w:sz w:val="24"/>
      <w:szCs w:val="24"/>
      <w:lang w:val="ro-RO"/>
    </w:rPr>
  </w:style>
  <w:style w:type="table" w:styleId="GridTable1Light">
    <w:name w:val="Grid Table 1 Light"/>
    <w:basedOn w:val="TableNormal"/>
    <w:uiPriority w:val="46"/>
    <w:semiHidden/>
    <w:rsid w:val="00761D8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761D85"/>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761D8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761D8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61D8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61D8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61D8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61D8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61D8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61D8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761D8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761D8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761D8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761D8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761D8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761D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61D8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761D8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761D8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761D8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761D8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761D8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761D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61D8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761D8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761D8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761D8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761D8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761D8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761D8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761D8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761D8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761D8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761D8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761D8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761D8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761D8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761D8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761D8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761D8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761D8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761D8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761D8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761D8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761D85"/>
    <w:rPr>
      <w:color w:val="2B579A"/>
      <w:shd w:val="clear" w:color="auto" w:fill="E1DFDD"/>
    </w:rPr>
  </w:style>
  <w:style w:type="table" w:styleId="ListTable1Light">
    <w:name w:val="List Table 1 Light"/>
    <w:basedOn w:val="TableNormal"/>
    <w:uiPriority w:val="46"/>
    <w:semiHidden/>
    <w:rsid w:val="00761D8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61D8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761D8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761D8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761D8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761D8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761D8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761D8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61D8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761D8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761D8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761D8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761D8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761D8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761D8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61D8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761D8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761D8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761D8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761D8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761D8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761D8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61D8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761D8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761D8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761D8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761D8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761D8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761D8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61D8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61D8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61D8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61D8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61D8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61D8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761D8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761D8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761D8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761D8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761D8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761D8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761D8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761D8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761D8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761D8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761D8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761D8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761D8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761D8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61D85"/>
    <w:rPr>
      <w:color w:val="2B579A"/>
      <w:shd w:val="clear" w:color="auto" w:fill="E1DFDD"/>
    </w:rPr>
  </w:style>
  <w:style w:type="table" w:styleId="PlainTable1">
    <w:name w:val="Plain Table 1"/>
    <w:basedOn w:val="TableNormal"/>
    <w:uiPriority w:val="41"/>
    <w:semiHidden/>
    <w:rsid w:val="00761D8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761D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61D8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61D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761D8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61D85"/>
    <w:rPr>
      <w:u w:val="dotted"/>
    </w:rPr>
  </w:style>
  <w:style w:type="character" w:customStyle="1" w:styleId="SmartLink">
    <w:name w:val="Smart Link"/>
    <w:basedOn w:val="DefaultParagraphFont"/>
    <w:uiPriority w:val="99"/>
    <w:semiHidden/>
    <w:unhideWhenUsed/>
    <w:rsid w:val="00761D85"/>
    <w:rPr>
      <w:color w:val="0000FF"/>
      <w:u w:val="single"/>
      <w:shd w:val="clear" w:color="auto" w:fill="F3F2F1"/>
    </w:rPr>
  </w:style>
  <w:style w:type="table" w:styleId="TableGridLight">
    <w:name w:val="Grid Table Light"/>
    <w:basedOn w:val="TableNormal"/>
    <w:uiPriority w:val="40"/>
    <w:semiHidden/>
    <w:rsid w:val="00761D8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761D85"/>
    <w:rPr>
      <w:sz w:val="24"/>
      <w:szCs w:val="24"/>
    </w:rPr>
  </w:style>
  <w:style w:type="paragraph" w:customStyle="1" w:styleId="jupara0">
    <w:name w:val="jupara"/>
    <w:basedOn w:val="Normal"/>
    <w:rsid w:val="00DA167B"/>
    <w:pPr>
      <w:ind w:firstLine="284"/>
      <w:jc w:val="both"/>
    </w:pPr>
    <w:rPr>
      <w:rFonts w:ascii="Times New Roman" w:eastAsia="Times New Roman" w:hAnsi="Times New Roman" w:cs="Times New Roman"/>
      <w:lang w:eastAsia="en-GB"/>
    </w:rPr>
  </w:style>
  <w:style w:type="paragraph" w:customStyle="1" w:styleId="jucase0">
    <w:name w:val="jucase"/>
    <w:basedOn w:val="Normal"/>
    <w:rsid w:val="00DA167B"/>
    <w:pPr>
      <w:ind w:firstLine="284"/>
      <w:jc w:val="both"/>
    </w:pPr>
    <w:rPr>
      <w:rFonts w:ascii="Times New Roman" w:eastAsia="Times New Roman" w:hAnsi="Times New Roman" w:cs="Times New Roman"/>
      <w:b/>
      <w:bC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C1F80-55DB-4696-B0E8-19349EF1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6433</Words>
  <Characters>36670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Vasile Sorin Marin impotriva Romaniei</dc:title>
  <dc:subject>JUD</dc:subject>
  <dc:creator/>
  <cp:lastModifiedBy/>
  <cp:revision>1</cp:revision>
  <dcterms:created xsi:type="dcterms:W3CDTF">2024-07-04T09:03:00Z</dcterms:created>
  <dcterms:modified xsi:type="dcterms:W3CDTF">2024-08-07T06:58:00Z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1190910</vt:lpwstr>
  </property>
  <property fmtid="{D5CDD505-2E9C-101B-9397-08002B2CF9AE}" pid="3" name="cstLanguage">
    <vt:i4>2057</vt:i4>
  </property>
  <property fmtid="{D5CDD505-2E9C-101B-9397-08002B2CF9AE}" pid="4" name="RegisteredNo">
    <vt:lpwstr>17412/16</vt:lpwstr>
  </property>
</Properties>
</file>